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8D1C9">
      <w:pPr>
        <w:ind w:firstLine="435"/>
        <w:rPr>
          <w:color w:val="auto"/>
          <w:highlight w:val="none"/>
        </w:rPr>
      </w:pPr>
      <w:bookmarkStart w:id="0" w:name="_Toc300678060"/>
    </w:p>
    <w:p w14:paraId="35341A29">
      <w:pPr>
        <w:ind w:firstLine="435"/>
        <w:rPr>
          <w:color w:val="auto"/>
          <w:highlight w:val="none"/>
        </w:rPr>
      </w:pPr>
    </w:p>
    <w:p w14:paraId="41336506">
      <w:pPr>
        <w:ind w:firstLine="435"/>
        <w:rPr>
          <w:color w:val="auto"/>
          <w:highlight w:val="none"/>
        </w:rPr>
      </w:pPr>
    </w:p>
    <w:p w14:paraId="56C39FE7">
      <w:pPr>
        <w:ind w:firstLine="435"/>
        <w:rPr>
          <w:color w:val="auto"/>
          <w:highlight w:val="none"/>
        </w:rPr>
      </w:pPr>
    </w:p>
    <w:p w14:paraId="71F2840E">
      <w:pPr>
        <w:ind w:firstLine="435"/>
        <w:rPr>
          <w:color w:val="auto"/>
          <w:highlight w:val="none"/>
        </w:rPr>
      </w:pPr>
    </w:p>
    <w:p w14:paraId="4ACA536C">
      <w:pPr>
        <w:ind w:firstLine="435"/>
        <w:rPr>
          <w:color w:val="auto"/>
          <w:highlight w:val="none"/>
        </w:rPr>
      </w:pPr>
    </w:p>
    <w:p w14:paraId="3756F7CB">
      <w:pPr>
        <w:jc w:val="center"/>
        <w:rPr>
          <w:rFonts w:eastAsia="黑体"/>
          <w:color w:val="auto"/>
          <w:sz w:val="44"/>
          <w:szCs w:val="44"/>
          <w:highlight w:val="none"/>
        </w:rPr>
      </w:pPr>
      <w:r>
        <w:rPr>
          <w:rFonts w:eastAsia="黑体"/>
          <w:color w:val="auto"/>
          <w:sz w:val="44"/>
          <w:szCs w:val="44"/>
          <w:highlight w:val="none"/>
        </w:rPr>
        <w:t>湖南省房屋建筑和市政基础设施工程</w:t>
      </w:r>
    </w:p>
    <w:p w14:paraId="13FD4CE0">
      <w:pPr>
        <w:ind w:firstLine="437"/>
        <w:rPr>
          <w:color w:val="auto"/>
          <w:sz w:val="44"/>
          <w:szCs w:val="52"/>
          <w:highlight w:val="none"/>
        </w:rPr>
      </w:pPr>
    </w:p>
    <w:p w14:paraId="4C0B5C14">
      <w:pPr>
        <w:jc w:val="center"/>
        <w:rPr>
          <w:rFonts w:eastAsia="华文新魏"/>
          <w:color w:val="auto"/>
          <w:sz w:val="84"/>
          <w:szCs w:val="84"/>
          <w:highlight w:val="none"/>
        </w:rPr>
      </w:pPr>
      <w:r>
        <w:rPr>
          <w:rFonts w:eastAsia="华文新魏"/>
          <w:color w:val="auto"/>
          <w:sz w:val="84"/>
          <w:szCs w:val="84"/>
          <w:highlight w:val="none"/>
        </w:rPr>
        <w:t>标准</w:t>
      </w:r>
      <w:r>
        <w:rPr>
          <w:rFonts w:hint="eastAsia" w:eastAsia="华文新魏"/>
          <w:color w:val="auto"/>
          <w:sz w:val="84"/>
          <w:szCs w:val="84"/>
          <w:highlight w:val="none"/>
        </w:rPr>
        <w:t>施工</w:t>
      </w:r>
      <w:r>
        <w:rPr>
          <w:rFonts w:eastAsia="华文新魏"/>
          <w:color w:val="auto"/>
          <w:sz w:val="84"/>
          <w:szCs w:val="84"/>
          <w:highlight w:val="none"/>
        </w:rPr>
        <w:t>招标文件</w:t>
      </w:r>
    </w:p>
    <w:p w14:paraId="530FCB11">
      <w:pPr>
        <w:jc w:val="center"/>
        <w:rPr>
          <w:color w:val="auto"/>
          <w:sz w:val="44"/>
          <w:szCs w:val="44"/>
          <w:highlight w:val="none"/>
        </w:rPr>
      </w:pPr>
    </w:p>
    <w:p w14:paraId="223F0F77">
      <w:pPr>
        <w:ind w:firstLine="435"/>
        <w:rPr>
          <w:color w:val="auto"/>
          <w:highlight w:val="none"/>
        </w:rPr>
      </w:pPr>
      <w:bookmarkStart w:id="1016" w:name="_GoBack"/>
      <w:bookmarkEnd w:id="1016"/>
    </w:p>
    <w:p w14:paraId="233789B1">
      <w:pPr>
        <w:ind w:firstLine="435"/>
        <w:rPr>
          <w:color w:val="auto"/>
          <w:highlight w:val="none"/>
        </w:rPr>
      </w:pPr>
    </w:p>
    <w:p w14:paraId="424F5877">
      <w:pPr>
        <w:ind w:firstLine="435"/>
        <w:rPr>
          <w:color w:val="auto"/>
          <w:highlight w:val="none"/>
        </w:rPr>
      </w:pPr>
    </w:p>
    <w:p w14:paraId="346D40AD">
      <w:pPr>
        <w:ind w:firstLine="435"/>
        <w:rPr>
          <w:color w:val="auto"/>
          <w:highlight w:val="none"/>
        </w:rPr>
      </w:pPr>
    </w:p>
    <w:p w14:paraId="070D8A46">
      <w:pPr>
        <w:ind w:firstLine="435"/>
        <w:rPr>
          <w:color w:val="auto"/>
          <w:highlight w:val="none"/>
        </w:rPr>
      </w:pPr>
    </w:p>
    <w:p w14:paraId="56D92BA6">
      <w:pPr>
        <w:ind w:firstLine="435"/>
        <w:rPr>
          <w:color w:val="auto"/>
          <w:highlight w:val="none"/>
        </w:rPr>
      </w:pPr>
    </w:p>
    <w:p w14:paraId="1BED99F6">
      <w:pPr>
        <w:ind w:firstLine="435"/>
        <w:rPr>
          <w:color w:val="auto"/>
          <w:highlight w:val="none"/>
        </w:rPr>
      </w:pPr>
    </w:p>
    <w:p w14:paraId="3748520A">
      <w:pPr>
        <w:ind w:firstLine="435"/>
        <w:rPr>
          <w:color w:val="auto"/>
          <w:highlight w:val="none"/>
        </w:rPr>
      </w:pPr>
    </w:p>
    <w:p w14:paraId="5786B326">
      <w:pPr>
        <w:ind w:firstLine="435"/>
        <w:rPr>
          <w:color w:val="auto"/>
          <w:highlight w:val="none"/>
        </w:rPr>
      </w:pPr>
    </w:p>
    <w:p w14:paraId="4F0E1646">
      <w:pPr>
        <w:ind w:firstLine="435"/>
        <w:rPr>
          <w:color w:val="auto"/>
          <w:highlight w:val="none"/>
        </w:rPr>
      </w:pPr>
    </w:p>
    <w:p w14:paraId="47C6EC69">
      <w:pPr>
        <w:ind w:firstLine="435"/>
        <w:rPr>
          <w:color w:val="auto"/>
          <w:highlight w:val="none"/>
        </w:rPr>
      </w:pPr>
    </w:p>
    <w:p w14:paraId="00C5A3F0">
      <w:pPr>
        <w:ind w:firstLine="435"/>
        <w:rPr>
          <w:color w:val="auto"/>
          <w:highlight w:val="none"/>
        </w:rPr>
      </w:pPr>
    </w:p>
    <w:p w14:paraId="50B3B7B2">
      <w:pPr>
        <w:ind w:firstLine="435"/>
        <w:rPr>
          <w:color w:val="auto"/>
          <w:highlight w:val="none"/>
        </w:rPr>
      </w:pPr>
    </w:p>
    <w:p w14:paraId="2888E1EA">
      <w:pPr>
        <w:ind w:firstLine="435"/>
        <w:rPr>
          <w:color w:val="auto"/>
          <w:highlight w:val="none"/>
        </w:rPr>
      </w:pPr>
    </w:p>
    <w:p w14:paraId="044C9CB0">
      <w:pPr>
        <w:ind w:firstLine="435"/>
        <w:rPr>
          <w:color w:val="auto"/>
          <w:highlight w:val="none"/>
        </w:rPr>
      </w:pPr>
    </w:p>
    <w:p w14:paraId="2F418340">
      <w:pPr>
        <w:ind w:firstLine="435"/>
        <w:rPr>
          <w:color w:val="auto"/>
          <w:highlight w:val="none"/>
        </w:rPr>
      </w:pPr>
    </w:p>
    <w:p w14:paraId="3FAAFBC3">
      <w:pPr>
        <w:ind w:firstLine="435"/>
        <w:rPr>
          <w:color w:val="auto"/>
          <w:highlight w:val="none"/>
        </w:rPr>
      </w:pPr>
    </w:p>
    <w:p w14:paraId="7749FCB8">
      <w:pPr>
        <w:ind w:firstLine="435"/>
        <w:rPr>
          <w:color w:val="auto"/>
          <w:highlight w:val="none"/>
        </w:rPr>
      </w:pPr>
    </w:p>
    <w:p w14:paraId="78292301">
      <w:pPr>
        <w:ind w:firstLine="435"/>
        <w:rPr>
          <w:color w:val="auto"/>
          <w:highlight w:val="none"/>
        </w:rPr>
      </w:pPr>
    </w:p>
    <w:p w14:paraId="48F1BC42">
      <w:pPr>
        <w:ind w:firstLine="435"/>
        <w:rPr>
          <w:color w:val="auto"/>
          <w:highlight w:val="none"/>
        </w:rPr>
      </w:pPr>
    </w:p>
    <w:p w14:paraId="0BE5A171">
      <w:pPr>
        <w:ind w:firstLine="435"/>
        <w:rPr>
          <w:color w:val="auto"/>
          <w:highlight w:val="none"/>
        </w:rPr>
      </w:pPr>
    </w:p>
    <w:p w14:paraId="119757EC">
      <w:pPr>
        <w:ind w:firstLine="435"/>
        <w:rPr>
          <w:color w:val="auto"/>
          <w:highlight w:val="none"/>
        </w:rPr>
      </w:pPr>
    </w:p>
    <w:p w14:paraId="4E07F7CE">
      <w:pPr>
        <w:ind w:firstLine="435"/>
        <w:rPr>
          <w:color w:val="auto"/>
          <w:highlight w:val="none"/>
        </w:rPr>
      </w:pPr>
    </w:p>
    <w:p w14:paraId="606AB699">
      <w:pPr>
        <w:ind w:firstLine="435"/>
        <w:rPr>
          <w:color w:val="auto"/>
          <w:highlight w:val="none"/>
        </w:rPr>
      </w:pPr>
    </w:p>
    <w:p w14:paraId="6538E050">
      <w:pPr>
        <w:ind w:firstLine="435"/>
        <w:rPr>
          <w:color w:val="auto"/>
          <w:highlight w:val="none"/>
        </w:rPr>
      </w:pPr>
    </w:p>
    <w:p w14:paraId="519DA774">
      <w:pPr>
        <w:ind w:firstLine="435"/>
        <w:rPr>
          <w:color w:val="auto"/>
          <w:highlight w:val="none"/>
        </w:rPr>
      </w:pPr>
    </w:p>
    <w:p w14:paraId="2BA6A097">
      <w:pPr>
        <w:ind w:firstLine="435"/>
        <w:rPr>
          <w:color w:val="auto"/>
          <w:highlight w:val="none"/>
        </w:rPr>
      </w:pPr>
    </w:p>
    <w:p w14:paraId="2101FCEC">
      <w:pPr>
        <w:ind w:firstLine="435"/>
        <w:rPr>
          <w:color w:val="auto"/>
          <w:highlight w:val="none"/>
        </w:rPr>
      </w:pPr>
    </w:p>
    <w:p w14:paraId="0576FCA9">
      <w:pPr>
        <w:ind w:firstLine="435"/>
        <w:rPr>
          <w:color w:val="auto"/>
          <w:highlight w:val="none"/>
        </w:rPr>
      </w:pPr>
    </w:p>
    <w:p w14:paraId="1EA16A1E">
      <w:pPr>
        <w:ind w:firstLine="435"/>
        <w:rPr>
          <w:rFonts w:eastAsia="黑体"/>
          <w:color w:val="auto"/>
          <w:sz w:val="32"/>
          <w:szCs w:val="32"/>
          <w:highlight w:val="none"/>
        </w:rPr>
      </w:pPr>
    </w:p>
    <w:p w14:paraId="25338FC0">
      <w:pPr>
        <w:ind w:firstLine="435"/>
        <w:rPr>
          <w:rFonts w:eastAsia="黑体"/>
          <w:color w:val="auto"/>
          <w:sz w:val="32"/>
          <w:szCs w:val="32"/>
          <w:highlight w:val="none"/>
        </w:rPr>
      </w:pPr>
    </w:p>
    <w:p w14:paraId="50D44CD4">
      <w:pPr>
        <w:spacing w:after="120" w:afterLines="50"/>
        <w:jc w:val="center"/>
        <w:rPr>
          <w:rFonts w:eastAsia="黑体"/>
          <w:color w:val="auto"/>
          <w:sz w:val="32"/>
          <w:szCs w:val="32"/>
          <w:highlight w:val="none"/>
        </w:rPr>
      </w:pPr>
      <w:r>
        <w:rPr>
          <w:rFonts w:eastAsia="黑体"/>
          <w:color w:val="auto"/>
          <w:sz w:val="32"/>
          <w:szCs w:val="32"/>
          <w:highlight w:val="none"/>
        </w:rPr>
        <w:t>湖南省住房和城乡建设厅</w:t>
      </w:r>
    </w:p>
    <w:p w14:paraId="4CEF928C">
      <w:pPr>
        <w:ind w:firstLine="435"/>
        <w:rPr>
          <w:color w:val="auto"/>
          <w:highlight w:val="none"/>
        </w:rPr>
      </w:pPr>
      <w:r>
        <w:rPr>
          <w:color w:val="auto"/>
          <w:highlight w:val="none"/>
        </w:rPr>
        <w:br w:type="page"/>
      </w:r>
    </w:p>
    <w:p w14:paraId="113CFFE3">
      <w:pPr>
        <w:spacing w:after="120" w:afterLines="50"/>
        <w:jc w:val="center"/>
        <w:rPr>
          <w:rFonts w:eastAsia="黑体"/>
          <w:color w:val="auto"/>
          <w:sz w:val="36"/>
          <w:szCs w:val="36"/>
          <w:highlight w:val="none"/>
        </w:rPr>
      </w:pPr>
      <w:r>
        <w:rPr>
          <w:rFonts w:eastAsia="黑体"/>
          <w:color w:val="auto"/>
          <w:sz w:val="36"/>
          <w:szCs w:val="36"/>
          <w:highlight w:val="none"/>
        </w:rPr>
        <w:t>使 用 说 明</w:t>
      </w:r>
    </w:p>
    <w:p w14:paraId="54290E5D">
      <w:pPr>
        <w:ind w:firstLine="435"/>
        <w:rPr>
          <w:color w:val="auto"/>
          <w:highlight w:val="none"/>
        </w:rPr>
      </w:pPr>
    </w:p>
    <w:p w14:paraId="37505319">
      <w:pPr>
        <w:keepNext w:val="0"/>
        <w:keepLines w:val="0"/>
        <w:pageBreakBefore w:val="0"/>
        <w:widowControl w:val="0"/>
        <w:kinsoku/>
        <w:wordWrap/>
        <w:overflowPunct/>
        <w:topLinePunct w:val="0"/>
        <w:autoSpaceDE/>
        <w:autoSpaceDN/>
        <w:bidi w:val="0"/>
        <w:adjustRightInd/>
        <w:snapToGrid/>
        <w:spacing w:line="480" w:lineRule="exact"/>
        <w:ind w:firstLine="570"/>
        <w:jc w:val="left"/>
        <w:textAlignment w:val="auto"/>
        <w:rPr>
          <w:rFonts w:eastAsia="仿宋_GB2312"/>
          <w:color w:val="auto"/>
          <w:sz w:val="28"/>
          <w:szCs w:val="28"/>
          <w:highlight w:val="none"/>
        </w:rPr>
      </w:pPr>
      <w:r>
        <w:rPr>
          <w:rFonts w:eastAsia="仿宋_GB2312"/>
          <w:color w:val="auto"/>
          <w:sz w:val="28"/>
          <w:szCs w:val="28"/>
          <w:highlight w:val="none"/>
        </w:rPr>
        <w:t>一、《湖南省房屋建筑和市政基础设施工程标准施工招标文件》（以下简称《标准</w:t>
      </w:r>
      <w:r>
        <w:rPr>
          <w:rFonts w:hint="eastAsia" w:eastAsia="仿宋_GB2312"/>
          <w:color w:val="auto"/>
          <w:sz w:val="28"/>
          <w:szCs w:val="28"/>
          <w:highlight w:val="none"/>
        </w:rPr>
        <w:t>施工招标</w:t>
      </w:r>
      <w:r>
        <w:rPr>
          <w:rFonts w:eastAsia="仿宋_GB2312"/>
          <w:color w:val="auto"/>
          <w:sz w:val="28"/>
          <w:szCs w:val="28"/>
          <w:highlight w:val="none"/>
        </w:rPr>
        <w:t>文件》）根据《</w:t>
      </w:r>
      <w:r>
        <w:rPr>
          <w:rFonts w:hint="eastAsia" w:eastAsia="仿宋_GB2312"/>
          <w:color w:val="auto"/>
          <w:sz w:val="28"/>
          <w:szCs w:val="28"/>
          <w:highlight w:val="none"/>
        </w:rPr>
        <w:t>中华人民共和国</w:t>
      </w:r>
      <w:r>
        <w:rPr>
          <w:rFonts w:eastAsia="仿宋_GB2312"/>
          <w:color w:val="auto"/>
          <w:sz w:val="28"/>
          <w:szCs w:val="28"/>
          <w:highlight w:val="none"/>
        </w:rPr>
        <w:t>招标投标法》及其实施条例等法律法规</w:t>
      </w:r>
      <w:r>
        <w:rPr>
          <w:rFonts w:hint="eastAsia" w:eastAsia="仿宋_GB2312"/>
          <w:color w:val="auto"/>
          <w:sz w:val="28"/>
          <w:szCs w:val="28"/>
          <w:highlight w:val="none"/>
        </w:rPr>
        <w:t>、</w:t>
      </w:r>
      <w:r>
        <w:rPr>
          <w:rFonts w:eastAsia="仿宋_GB2312"/>
          <w:color w:val="auto"/>
          <w:sz w:val="28"/>
          <w:szCs w:val="28"/>
          <w:highlight w:val="none"/>
        </w:rPr>
        <w:t>规章</w:t>
      </w:r>
      <w:r>
        <w:rPr>
          <w:rFonts w:hint="eastAsia" w:eastAsia="仿宋_GB2312"/>
          <w:color w:val="auto"/>
          <w:sz w:val="28"/>
          <w:szCs w:val="28"/>
          <w:highlight w:val="none"/>
        </w:rPr>
        <w:t>和文件</w:t>
      </w:r>
      <w:r>
        <w:rPr>
          <w:rFonts w:eastAsia="仿宋_GB2312"/>
          <w:color w:val="auto"/>
          <w:sz w:val="28"/>
          <w:szCs w:val="28"/>
          <w:highlight w:val="none"/>
        </w:rPr>
        <w:t>编制。</w:t>
      </w:r>
    </w:p>
    <w:p w14:paraId="7B614141">
      <w:pPr>
        <w:keepNext w:val="0"/>
        <w:keepLines w:val="0"/>
        <w:pageBreakBefore w:val="0"/>
        <w:widowControl w:val="0"/>
        <w:kinsoku/>
        <w:wordWrap/>
        <w:overflowPunct/>
        <w:topLinePunct w:val="0"/>
        <w:autoSpaceDE/>
        <w:autoSpaceDN/>
        <w:bidi w:val="0"/>
        <w:adjustRightInd/>
        <w:snapToGrid/>
        <w:spacing w:line="480" w:lineRule="exact"/>
        <w:ind w:firstLine="570"/>
        <w:jc w:val="left"/>
        <w:textAlignment w:val="auto"/>
        <w:rPr>
          <w:rFonts w:eastAsia="仿宋_GB2312"/>
          <w:color w:val="auto"/>
          <w:sz w:val="28"/>
          <w:szCs w:val="28"/>
          <w:highlight w:val="none"/>
        </w:rPr>
      </w:pPr>
      <w:r>
        <w:rPr>
          <w:rFonts w:eastAsia="仿宋_GB2312"/>
          <w:color w:val="auto"/>
          <w:sz w:val="28"/>
          <w:szCs w:val="28"/>
          <w:highlight w:val="none"/>
        </w:rPr>
        <w:t>二、《标准</w:t>
      </w:r>
      <w:r>
        <w:rPr>
          <w:rFonts w:hint="eastAsia" w:eastAsia="仿宋_GB2312"/>
          <w:color w:val="auto"/>
          <w:sz w:val="28"/>
          <w:szCs w:val="28"/>
          <w:highlight w:val="none"/>
        </w:rPr>
        <w:t>施工招标</w:t>
      </w:r>
      <w:r>
        <w:rPr>
          <w:rFonts w:eastAsia="仿宋_GB2312"/>
          <w:color w:val="auto"/>
          <w:sz w:val="28"/>
          <w:szCs w:val="28"/>
          <w:highlight w:val="none"/>
        </w:rPr>
        <w:t>文件》</w:t>
      </w:r>
      <w:r>
        <w:rPr>
          <w:rFonts w:hint="eastAsia" w:eastAsia="仿宋_GB2312"/>
          <w:color w:val="auto"/>
          <w:sz w:val="28"/>
          <w:szCs w:val="28"/>
          <w:highlight w:val="none"/>
        </w:rPr>
        <w:t>适用于本省行政区域内，依法必须招标的房屋建筑和市政基础设施工程施工招标项目的电子招标。</w:t>
      </w:r>
    </w:p>
    <w:p w14:paraId="2113B87B">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eastAsia="仿宋_GB2312"/>
          <w:color w:val="auto"/>
          <w:sz w:val="28"/>
          <w:szCs w:val="28"/>
          <w:highlight w:val="none"/>
        </w:rPr>
        <w:t>三、《标准</w:t>
      </w:r>
      <w:r>
        <w:rPr>
          <w:rFonts w:hint="eastAsia" w:eastAsia="仿宋_GB2312"/>
          <w:color w:val="auto"/>
          <w:sz w:val="28"/>
          <w:szCs w:val="28"/>
          <w:highlight w:val="none"/>
        </w:rPr>
        <w:t>施工招标</w:t>
      </w:r>
      <w:r>
        <w:rPr>
          <w:rFonts w:eastAsia="仿宋_GB2312"/>
          <w:color w:val="auto"/>
          <w:sz w:val="28"/>
          <w:szCs w:val="28"/>
          <w:highlight w:val="none"/>
        </w:rPr>
        <w:t>文件》用相同序号标示的章、节、条、款、项、目，供招标人和投标人选择使用。以空格标示</w:t>
      </w:r>
      <w:r>
        <w:rPr>
          <w:rFonts w:hint="eastAsia" w:eastAsia="仿宋_GB2312"/>
          <w:color w:val="auto"/>
          <w:sz w:val="28"/>
          <w:szCs w:val="28"/>
          <w:highlight w:val="none"/>
        </w:rPr>
        <w:t>和</w:t>
      </w:r>
      <w:r>
        <w:rPr>
          <w:rFonts w:hint="eastAsia" w:ascii="宋体" w:hAnsi="宋体" w:cs="宋体"/>
          <w:color w:val="auto"/>
          <w:szCs w:val="21"/>
          <w:highlight w:val="none"/>
        </w:rPr>
        <w:sym w:font="Wingdings 2" w:char="00A3"/>
      </w:r>
      <w:r>
        <w:rPr>
          <w:rFonts w:hint="eastAsia" w:ascii="仿宋_GB2312" w:hAnsi="仿宋_GB2312" w:eastAsia="仿宋_GB2312" w:cs="仿宋_GB2312"/>
          <w:color w:val="auto"/>
          <w:sz w:val="28"/>
          <w:szCs w:val="28"/>
          <w:highlight w:val="none"/>
        </w:rPr>
        <w:t>标示的</w:t>
      </w:r>
      <w:r>
        <w:rPr>
          <w:rFonts w:hint="eastAsia" w:eastAsia="仿宋_GB2312"/>
          <w:color w:val="auto"/>
          <w:sz w:val="28"/>
          <w:szCs w:val="28"/>
          <w:highlight w:val="none"/>
        </w:rPr>
        <w:t>，</w:t>
      </w:r>
      <w:r>
        <w:rPr>
          <w:rFonts w:eastAsia="仿宋_GB2312"/>
          <w:color w:val="auto"/>
          <w:sz w:val="28"/>
          <w:szCs w:val="28"/>
          <w:highlight w:val="none"/>
        </w:rPr>
        <w:t>由招标人根据</w:t>
      </w:r>
      <w:r>
        <w:rPr>
          <w:rFonts w:hint="eastAsia" w:eastAsia="仿宋_GB2312"/>
          <w:color w:val="auto"/>
          <w:sz w:val="28"/>
          <w:szCs w:val="28"/>
          <w:highlight w:val="none"/>
        </w:rPr>
        <w:t>法律法规规定，以及</w:t>
      </w:r>
      <w:r>
        <w:rPr>
          <w:rFonts w:eastAsia="仿宋_GB2312"/>
          <w:color w:val="auto"/>
          <w:sz w:val="28"/>
          <w:szCs w:val="28"/>
          <w:highlight w:val="none"/>
        </w:rPr>
        <w:t>招标项目特点和实际</w:t>
      </w:r>
      <w:r>
        <w:rPr>
          <w:rFonts w:hint="eastAsia" w:eastAsia="仿宋_GB2312"/>
          <w:color w:val="auto"/>
          <w:sz w:val="28"/>
          <w:szCs w:val="28"/>
          <w:highlight w:val="none"/>
        </w:rPr>
        <w:t>需要填写和勾选。</w:t>
      </w:r>
      <w:r>
        <w:rPr>
          <w:rFonts w:eastAsia="仿宋_GB2312"/>
          <w:color w:val="auto"/>
          <w:sz w:val="28"/>
          <w:szCs w:val="28"/>
          <w:highlight w:val="none"/>
        </w:rPr>
        <w:t>确实没有需要填写的，在空格中用“/”标示。其余内容应当不加修改地直接引用。《标准</w:t>
      </w:r>
      <w:r>
        <w:rPr>
          <w:rFonts w:hint="eastAsia" w:eastAsia="仿宋_GB2312"/>
          <w:color w:val="auto"/>
          <w:sz w:val="28"/>
          <w:szCs w:val="28"/>
          <w:highlight w:val="none"/>
        </w:rPr>
        <w:t>施工招标</w:t>
      </w:r>
      <w:r>
        <w:rPr>
          <w:rFonts w:eastAsia="仿宋_GB2312"/>
          <w:color w:val="auto"/>
          <w:sz w:val="28"/>
          <w:szCs w:val="28"/>
          <w:highlight w:val="none"/>
        </w:rPr>
        <w:t>文件》中引用的政策文件发生了变化的，</w:t>
      </w:r>
      <w:r>
        <w:rPr>
          <w:rFonts w:hint="eastAsia" w:eastAsia="仿宋_GB2312"/>
          <w:color w:val="auto"/>
          <w:sz w:val="28"/>
          <w:szCs w:val="28"/>
          <w:highlight w:val="none"/>
        </w:rPr>
        <w:t>由招标人进行</w:t>
      </w:r>
      <w:r>
        <w:rPr>
          <w:rFonts w:eastAsia="仿宋_GB2312"/>
          <w:color w:val="auto"/>
          <w:sz w:val="28"/>
          <w:szCs w:val="28"/>
          <w:highlight w:val="none"/>
        </w:rPr>
        <w:t>调整。</w:t>
      </w:r>
    </w:p>
    <w:p w14:paraId="7BC3AC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eastAsia="仿宋_GB2312"/>
          <w:color w:val="auto"/>
          <w:sz w:val="28"/>
          <w:szCs w:val="28"/>
          <w:highlight w:val="none"/>
        </w:rPr>
      </w:pPr>
      <w:r>
        <w:rPr>
          <w:rFonts w:eastAsia="仿宋_GB2312"/>
          <w:color w:val="auto"/>
          <w:sz w:val="28"/>
          <w:szCs w:val="28"/>
          <w:highlight w:val="none"/>
        </w:rPr>
        <w:t>四、招标人按照《标准</w:t>
      </w:r>
      <w:r>
        <w:rPr>
          <w:rFonts w:hint="eastAsia" w:eastAsia="仿宋_GB2312"/>
          <w:color w:val="auto"/>
          <w:sz w:val="28"/>
          <w:szCs w:val="28"/>
          <w:highlight w:val="none"/>
        </w:rPr>
        <w:t>施工招标</w:t>
      </w:r>
      <w:r>
        <w:rPr>
          <w:rFonts w:eastAsia="仿宋_GB2312"/>
          <w:color w:val="auto"/>
          <w:sz w:val="28"/>
          <w:szCs w:val="28"/>
          <w:highlight w:val="none"/>
        </w:rPr>
        <w:t>文件》第一章的格式发布招标公告或投标邀请书。</w:t>
      </w:r>
    </w:p>
    <w:p w14:paraId="0C10F0FD">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eastAsia="仿宋_GB2312"/>
          <w:color w:val="auto"/>
          <w:sz w:val="28"/>
          <w:szCs w:val="28"/>
          <w:highlight w:val="none"/>
        </w:rPr>
        <w:t>五、</w:t>
      </w:r>
      <w:r>
        <w:rPr>
          <w:rFonts w:hint="eastAsia" w:eastAsia="仿宋_GB2312"/>
          <w:color w:val="auto"/>
          <w:sz w:val="28"/>
          <w:szCs w:val="28"/>
          <w:highlight w:val="none"/>
        </w:rPr>
        <w:t>《标准施工招标文件》以附件方式集中列示的否决投标情形、投标报价成本评审办法，以及评定分离工作规则等是对投标人须知和评标办法有关条款的总结和补充，是评标办法的组成部分。</w:t>
      </w:r>
    </w:p>
    <w:p w14:paraId="2AECCCF6">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六</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文件》第三章“评标办法”规定经评审的最低投标价法、综合评估法</w:t>
      </w:r>
      <w:r>
        <w:rPr>
          <w:rFonts w:hint="eastAsia" w:eastAsia="仿宋_GB2312"/>
          <w:color w:val="auto"/>
          <w:sz w:val="28"/>
          <w:szCs w:val="28"/>
          <w:highlight w:val="none"/>
        </w:rPr>
        <w:t>两</w:t>
      </w:r>
      <w:r>
        <w:rPr>
          <w:rFonts w:eastAsia="仿宋_GB2312"/>
          <w:color w:val="auto"/>
          <w:sz w:val="28"/>
          <w:szCs w:val="28"/>
          <w:highlight w:val="none"/>
        </w:rPr>
        <w:t>种评标方法，由招标人根据</w:t>
      </w:r>
      <w:r>
        <w:rPr>
          <w:rFonts w:hint="eastAsia" w:eastAsia="仿宋_GB2312"/>
          <w:color w:val="auto"/>
          <w:sz w:val="28"/>
          <w:szCs w:val="28"/>
          <w:highlight w:val="none"/>
        </w:rPr>
        <w:t>招标项目规模和</w:t>
      </w:r>
      <w:r>
        <w:rPr>
          <w:rFonts w:eastAsia="仿宋_GB2312"/>
          <w:color w:val="auto"/>
          <w:sz w:val="28"/>
          <w:szCs w:val="28"/>
          <w:highlight w:val="none"/>
        </w:rPr>
        <w:t>文件规定选择使用。</w:t>
      </w:r>
    </w:p>
    <w:p w14:paraId="2F93D96C">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七</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文件》第四章“合同条款及格式”采用《建设工程施工合同（示范文本）》（GF-2017-0201）</w:t>
      </w:r>
      <w:r>
        <w:rPr>
          <w:rFonts w:hint="eastAsia" w:eastAsia="仿宋_GB2312"/>
          <w:color w:val="auto"/>
          <w:sz w:val="28"/>
          <w:szCs w:val="28"/>
          <w:highlight w:val="none"/>
        </w:rPr>
        <w:t>。</w:t>
      </w:r>
      <w:r>
        <w:rPr>
          <w:rFonts w:eastAsia="仿宋_GB2312"/>
          <w:color w:val="auto"/>
          <w:sz w:val="28"/>
          <w:szCs w:val="28"/>
          <w:highlight w:val="none"/>
        </w:rPr>
        <w:t>第一</w:t>
      </w:r>
      <w:r>
        <w:rPr>
          <w:rFonts w:hint="eastAsia" w:eastAsia="仿宋_GB2312"/>
          <w:color w:val="auto"/>
          <w:sz w:val="28"/>
          <w:szCs w:val="28"/>
          <w:highlight w:val="none"/>
        </w:rPr>
        <w:t>节</w:t>
      </w:r>
      <w:r>
        <w:rPr>
          <w:rFonts w:eastAsia="仿宋_GB2312"/>
          <w:color w:val="auto"/>
          <w:sz w:val="28"/>
          <w:szCs w:val="28"/>
          <w:highlight w:val="none"/>
        </w:rPr>
        <w:t>“合同协议书”、第二</w:t>
      </w:r>
      <w:r>
        <w:rPr>
          <w:rFonts w:hint="eastAsia" w:eastAsia="仿宋_GB2312"/>
          <w:color w:val="auto"/>
          <w:sz w:val="28"/>
          <w:szCs w:val="28"/>
          <w:highlight w:val="none"/>
        </w:rPr>
        <w:t>节</w:t>
      </w:r>
      <w:r>
        <w:rPr>
          <w:rFonts w:eastAsia="仿宋_GB2312"/>
          <w:color w:val="auto"/>
          <w:sz w:val="28"/>
          <w:szCs w:val="28"/>
          <w:highlight w:val="none"/>
        </w:rPr>
        <w:t>“通用合同条款”、第三</w:t>
      </w:r>
      <w:r>
        <w:rPr>
          <w:rFonts w:hint="eastAsia" w:eastAsia="仿宋_GB2312"/>
          <w:color w:val="auto"/>
          <w:sz w:val="28"/>
          <w:szCs w:val="28"/>
          <w:highlight w:val="none"/>
        </w:rPr>
        <w:t>节</w:t>
      </w:r>
      <w:r>
        <w:rPr>
          <w:rFonts w:eastAsia="仿宋_GB2312"/>
          <w:color w:val="auto"/>
          <w:sz w:val="28"/>
          <w:szCs w:val="28"/>
          <w:highlight w:val="none"/>
        </w:rPr>
        <w:t>“专用合同条款”和附件</w:t>
      </w:r>
      <w:r>
        <w:rPr>
          <w:rFonts w:hint="eastAsia" w:eastAsia="仿宋_GB2312"/>
          <w:color w:val="auto"/>
          <w:sz w:val="28"/>
          <w:szCs w:val="28"/>
          <w:highlight w:val="none"/>
          <w:lang w:val="en-US" w:eastAsia="zh-CN"/>
        </w:rPr>
        <w:t>应不加修改直接引用</w:t>
      </w:r>
      <w:r>
        <w:rPr>
          <w:rFonts w:eastAsia="仿宋_GB2312"/>
          <w:color w:val="auto"/>
          <w:sz w:val="28"/>
          <w:szCs w:val="28"/>
          <w:highlight w:val="none"/>
        </w:rPr>
        <w:t>（除以空格标示的由招标人填空的内容和选择性内容外）。填空内容由招标人根据国家和省有关法律法规规定以及招标项目具体情况确定。</w:t>
      </w:r>
    </w:p>
    <w:p w14:paraId="3AF8971F">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八</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文件》第五章“工程量清单”由招标人根据</w:t>
      </w:r>
      <w:r>
        <w:rPr>
          <w:rFonts w:hint="eastAsia" w:eastAsia="仿宋_GB2312"/>
          <w:color w:val="auto"/>
          <w:sz w:val="28"/>
          <w:szCs w:val="28"/>
          <w:highlight w:val="none"/>
        </w:rPr>
        <w:t>招标</w:t>
      </w:r>
      <w:r>
        <w:rPr>
          <w:rFonts w:eastAsia="仿宋_GB2312"/>
          <w:color w:val="auto"/>
          <w:sz w:val="28"/>
          <w:szCs w:val="28"/>
          <w:highlight w:val="none"/>
        </w:rPr>
        <w:t>项目特点和实际需要，以及</w:t>
      </w:r>
      <w:r>
        <w:rPr>
          <w:rFonts w:hint="eastAsia" w:eastAsia="仿宋_GB2312"/>
          <w:color w:val="auto"/>
          <w:sz w:val="28"/>
          <w:szCs w:val="28"/>
          <w:highlight w:val="none"/>
        </w:rPr>
        <w:t>国家或湖南省</w:t>
      </w:r>
      <w:r>
        <w:rPr>
          <w:rFonts w:eastAsia="仿宋_GB2312"/>
          <w:color w:val="auto"/>
          <w:sz w:val="28"/>
          <w:szCs w:val="28"/>
          <w:highlight w:val="none"/>
        </w:rPr>
        <w:t>计价规范补充相关内容。</w:t>
      </w:r>
    </w:p>
    <w:p w14:paraId="7EF34F1D">
      <w:pPr>
        <w:keepNext w:val="0"/>
        <w:keepLines w:val="0"/>
        <w:pageBreakBefore w:val="0"/>
        <w:widowControl w:val="0"/>
        <w:kinsoku/>
        <w:wordWrap/>
        <w:overflowPunct/>
        <w:topLinePunct w:val="0"/>
        <w:autoSpaceDE/>
        <w:autoSpaceDN/>
        <w:bidi w:val="0"/>
        <w:adjustRightInd/>
        <w:snapToGrid/>
        <w:spacing w:line="480" w:lineRule="exact"/>
        <w:ind w:firstLine="437"/>
        <w:textAlignment w:val="auto"/>
        <w:rPr>
          <w:rFonts w:eastAsia="仿宋_GB2312"/>
          <w:color w:val="auto"/>
          <w:sz w:val="28"/>
          <w:szCs w:val="28"/>
          <w:highlight w:val="none"/>
        </w:rPr>
      </w:pPr>
      <w:r>
        <w:rPr>
          <w:rFonts w:hint="eastAsia" w:eastAsia="仿宋_GB2312"/>
          <w:color w:val="auto"/>
          <w:sz w:val="28"/>
          <w:szCs w:val="28"/>
          <w:highlight w:val="none"/>
        </w:rPr>
        <w:t>九</w:t>
      </w:r>
      <w:r>
        <w:rPr>
          <w:rFonts w:eastAsia="仿宋_GB2312"/>
          <w:color w:val="auto"/>
          <w:sz w:val="28"/>
          <w:szCs w:val="28"/>
          <w:highlight w:val="none"/>
        </w:rPr>
        <w:t>、《标准</w:t>
      </w:r>
      <w:r>
        <w:rPr>
          <w:rFonts w:hint="eastAsia" w:eastAsia="仿宋_GB2312"/>
          <w:color w:val="auto"/>
          <w:sz w:val="28"/>
          <w:szCs w:val="28"/>
          <w:highlight w:val="none"/>
        </w:rPr>
        <w:t>施工招标</w:t>
      </w:r>
      <w:r>
        <w:rPr>
          <w:rFonts w:eastAsia="仿宋_GB2312"/>
          <w:color w:val="auto"/>
          <w:sz w:val="28"/>
          <w:szCs w:val="28"/>
          <w:highlight w:val="none"/>
        </w:rPr>
        <w:t>文件》第七章“技术标准和要求”招标人</w:t>
      </w:r>
      <w:r>
        <w:rPr>
          <w:rFonts w:hint="eastAsia" w:eastAsia="仿宋_GB2312"/>
          <w:color w:val="auto"/>
          <w:sz w:val="28"/>
          <w:szCs w:val="28"/>
          <w:highlight w:val="none"/>
        </w:rPr>
        <w:t>应当</w:t>
      </w:r>
      <w:r>
        <w:rPr>
          <w:rFonts w:eastAsia="仿宋_GB2312"/>
          <w:color w:val="auto"/>
          <w:sz w:val="28"/>
          <w:szCs w:val="28"/>
          <w:highlight w:val="none"/>
        </w:rPr>
        <w:t xml:space="preserve">结合招标项目具体特点和实际需要进行补充。    </w:t>
      </w:r>
      <w:r>
        <w:rPr>
          <w:rFonts w:eastAsia="仿宋_GB2312"/>
          <w:color w:val="auto"/>
          <w:sz w:val="28"/>
          <w:szCs w:val="28"/>
          <w:highlight w:val="none"/>
        </w:rPr>
        <w:br w:type="page"/>
      </w:r>
    </w:p>
    <w:p w14:paraId="7A1CB84C">
      <w:pPr>
        <w:ind w:firstLine="435"/>
        <w:rPr>
          <w:color w:val="auto"/>
          <w:highlight w:val="none"/>
        </w:rPr>
      </w:pPr>
    </w:p>
    <w:p w14:paraId="5985F7F0">
      <w:pPr>
        <w:ind w:firstLine="435"/>
        <w:rPr>
          <w:color w:val="auto"/>
          <w:highlight w:val="none"/>
        </w:rPr>
      </w:pPr>
    </w:p>
    <w:p w14:paraId="582AD51B">
      <w:pPr>
        <w:ind w:firstLine="435"/>
        <w:rPr>
          <w:color w:val="auto"/>
          <w:highlight w:val="none"/>
        </w:rPr>
      </w:pPr>
    </w:p>
    <w:p w14:paraId="749862ED">
      <w:pPr>
        <w:spacing w:line="540" w:lineRule="exact"/>
        <w:jc w:val="center"/>
        <w:rPr>
          <w:color w:val="auto"/>
          <w:sz w:val="28"/>
          <w:szCs w:val="28"/>
          <w:highlight w:val="none"/>
        </w:rPr>
      </w:pPr>
      <w:r>
        <w:rPr>
          <w:rFonts w:eastAsia="黑体"/>
          <w:color w:val="auto"/>
          <w:sz w:val="28"/>
          <w:szCs w:val="28"/>
          <w:highlight w:val="none"/>
        </w:rPr>
        <w:t>岳阳市水情会商分中心项目（</w:t>
      </w:r>
      <w:r>
        <w:rPr>
          <w:rFonts w:hint="eastAsia" w:eastAsia="黑体"/>
          <w:color w:val="auto"/>
          <w:sz w:val="28"/>
          <w:szCs w:val="28"/>
          <w:highlight w:val="none"/>
        </w:rPr>
        <w:t>招标</w:t>
      </w:r>
      <w:r>
        <w:rPr>
          <w:rFonts w:eastAsia="黑体"/>
          <w:color w:val="auto"/>
          <w:sz w:val="28"/>
          <w:szCs w:val="28"/>
          <w:highlight w:val="none"/>
        </w:rPr>
        <w:t>项目名称</w:t>
      </w:r>
      <w:r>
        <w:rPr>
          <w:rFonts w:hint="eastAsia" w:eastAsia="黑体"/>
          <w:color w:val="auto"/>
          <w:sz w:val="28"/>
          <w:szCs w:val="28"/>
          <w:highlight w:val="none"/>
        </w:rPr>
        <w:t>及标段</w:t>
      </w:r>
      <w:r>
        <w:rPr>
          <w:rFonts w:eastAsia="黑体"/>
          <w:color w:val="auto"/>
          <w:sz w:val="28"/>
          <w:szCs w:val="28"/>
          <w:highlight w:val="none"/>
        </w:rPr>
        <w:t>）施工招标</w:t>
      </w:r>
    </w:p>
    <w:p w14:paraId="6CD780B3">
      <w:pPr>
        <w:ind w:firstLine="435"/>
        <w:rPr>
          <w:color w:val="auto"/>
          <w:szCs w:val="21"/>
          <w:highlight w:val="none"/>
        </w:rPr>
      </w:pPr>
    </w:p>
    <w:p w14:paraId="269B1E06">
      <w:pPr>
        <w:ind w:firstLine="435"/>
        <w:rPr>
          <w:color w:val="auto"/>
          <w:szCs w:val="21"/>
          <w:highlight w:val="none"/>
        </w:rPr>
      </w:pPr>
    </w:p>
    <w:p w14:paraId="6106589A">
      <w:pPr>
        <w:ind w:firstLine="435"/>
        <w:rPr>
          <w:color w:val="auto"/>
          <w:szCs w:val="21"/>
          <w:highlight w:val="none"/>
        </w:rPr>
      </w:pPr>
    </w:p>
    <w:p w14:paraId="3727B565">
      <w:pPr>
        <w:ind w:firstLine="435"/>
        <w:rPr>
          <w:color w:val="auto"/>
          <w:szCs w:val="21"/>
          <w:highlight w:val="none"/>
        </w:rPr>
      </w:pPr>
    </w:p>
    <w:p w14:paraId="5B2A5BA1">
      <w:pPr>
        <w:ind w:firstLine="435"/>
        <w:rPr>
          <w:color w:val="auto"/>
          <w:szCs w:val="21"/>
          <w:highlight w:val="none"/>
        </w:rPr>
      </w:pPr>
    </w:p>
    <w:p w14:paraId="2CAD13AE">
      <w:pPr>
        <w:ind w:firstLine="435"/>
        <w:rPr>
          <w:color w:val="auto"/>
          <w:szCs w:val="21"/>
          <w:highlight w:val="none"/>
        </w:rPr>
      </w:pPr>
    </w:p>
    <w:p w14:paraId="6C431497">
      <w:pPr>
        <w:ind w:firstLine="435"/>
        <w:rPr>
          <w:color w:val="auto"/>
          <w:szCs w:val="21"/>
          <w:highlight w:val="none"/>
        </w:rPr>
      </w:pPr>
    </w:p>
    <w:p w14:paraId="38EDE7EE">
      <w:pPr>
        <w:jc w:val="center"/>
        <w:rPr>
          <w:rFonts w:eastAsia="黑体"/>
          <w:color w:val="auto"/>
          <w:sz w:val="72"/>
          <w:szCs w:val="72"/>
          <w:highlight w:val="none"/>
        </w:rPr>
      </w:pPr>
      <w:r>
        <w:rPr>
          <w:rFonts w:eastAsia="黑体"/>
          <w:color w:val="auto"/>
          <w:sz w:val="72"/>
          <w:szCs w:val="72"/>
          <w:highlight w:val="none"/>
        </w:rPr>
        <w:t>招  标  文  件</w:t>
      </w:r>
    </w:p>
    <w:p w14:paraId="79E7E7C1">
      <w:pPr>
        <w:ind w:firstLine="435"/>
        <w:rPr>
          <w:color w:val="auto"/>
          <w:highlight w:val="none"/>
        </w:rPr>
      </w:pPr>
    </w:p>
    <w:p w14:paraId="4413C7AD">
      <w:pPr>
        <w:ind w:firstLine="435"/>
        <w:rPr>
          <w:color w:val="auto"/>
          <w:highlight w:val="none"/>
        </w:rPr>
      </w:pPr>
    </w:p>
    <w:p w14:paraId="3B8F0A0B">
      <w:pPr>
        <w:ind w:firstLine="435"/>
        <w:rPr>
          <w:color w:val="auto"/>
          <w:highlight w:val="none"/>
        </w:rPr>
      </w:pPr>
    </w:p>
    <w:p w14:paraId="3E84B7FD">
      <w:pPr>
        <w:ind w:firstLine="435"/>
        <w:rPr>
          <w:color w:val="auto"/>
          <w:highlight w:val="none"/>
        </w:rPr>
      </w:pPr>
    </w:p>
    <w:p w14:paraId="3FAC4231">
      <w:pPr>
        <w:ind w:firstLine="435"/>
        <w:rPr>
          <w:color w:val="auto"/>
          <w:highlight w:val="none"/>
        </w:rPr>
      </w:pPr>
    </w:p>
    <w:p w14:paraId="5C6996C9">
      <w:pPr>
        <w:ind w:firstLine="435"/>
        <w:rPr>
          <w:color w:val="auto"/>
          <w:highlight w:val="none"/>
        </w:rPr>
      </w:pPr>
    </w:p>
    <w:p w14:paraId="7F851AC3">
      <w:pPr>
        <w:ind w:firstLine="435"/>
        <w:rPr>
          <w:color w:val="auto"/>
          <w:highlight w:val="none"/>
        </w:rPr>
      </w:pPr>
    </w:p>
    <w:p w14:paraId="087859C4">
      <w:pPr>
        <w:ind w:firstLine="435"/>
        <w:rPr>
          <w:color w:val="auto"/>
          <w:highlight w:val="none"/>
        </w:rPr>
      </w:pPr>
    </w:p>
    <w:p w14:paraId="6B185A2B">
      <w:pPr>
        <w:ind w:firstLine="435"/>
        <w:rPr>
          <w:color w:val="auto"/>
          <w:highlight w:val="none"/>
        </w:rPr>
      </w:pPr>
    </w:p>
    <w:p w14:paraId="7A20B72F">
      <w:pPr>
        <w:ind w:firstLine="435"/>
        <w:rPr>
          <w:color w:val="auto"/>
          <w:highlight w:val="none"/>
        </w:rPr>
      </w:pPr>
    </w:p>
    <w:p w14:paraId="6AE2C7BF">
      <w:pPr>
        <w:ind w:firstLine="435"/>
        <w:rPr>
          <w:color w:val="auto"/>
          <w:highlight w:val="none"/>
        </w:rPr>
      </w:pPr>
    </w:p>
    <w:p w14:paraId="7EA30D8E">
      <w:pPr>
        <w:ind w:firstLine="435"/>
        <w:rPr>
          <w:color w:val="auto"/>
          <w:highlight w:val="none"/>
        </w:rPr>
      </w:pPr>
    </w:p>
    <w:p w14:paraId="1BC697E9">
      <w:pPr>
        <w:ind w:firstLine="435"/>
        <w:rPr>
          <w:color w:val="auto"/>
          <w:highlight w:val="none"/>
        </w:rPr>
      </w:pPr>
    </w:p>
    <w:p w14:paraId="03913C68">
      <w:pPr>
        <w:ind w:firstLine="435"/>
        <w:rPr>
          <w:color w:val="auto"/>
          <w:highlight w:val="none"/>
        </w:rPr>
      </w:pPr>
    </w:p>
    <w:p w14:paraId="12BA96BA">
      <w:pPr>
        <w:ind w:firstLine="435"/>
        <w:rPr>
          <w:color w:val="auto"/>
          <w:highlight w:val="none"/>
        </w:rPr>
      </w:pPr>
    </w:p>
    <w:p w14:paraId="30BB1006">
      <w:pPr>
        <w:ind w:firstLine="435"/>
        <w:rPr>
          <w:color w:val="auto"/>
          <w:highlight w:val="none"/>
        </w:rPr>
      </w:pPr>
    </w:p>
    <w:p w14:paraId="234859FB">
      <w:pPr>
        <w:ind w:firstLine="435"/>
        <w:rPr>
          <w:color w:val="auto"/>
          <w:highlight w:val="none"/>
        </w:rPr>
      </w:pPr>
    </w:p>
    <w:p w14:paraId="2EE69B8A">
      <w:pPr>
        <w:ind w:firstLine="435"/>
        <w:rPr>
          <w:color w:val="auto"/>
          <w:highlight w:val="none"/>
        </w:rPr>
      </w:pPr>
    </w:p>
    <w:p w14:paraId="691F5760">
      <w:pPr>
        <w:ind w:firstLine="435"/>
        <w:rPr>
          <w:color w:val="auto"/>
          <w:highlight w:val="none"/>
        </w:rPr>
      </w:pPr>
    </w:p>
    <w:p w14:paraId="1B53B8E6">
      <w:pPr>
        <w:ind w:firstLine="435"/>
        <w:rPr>
          <w:color w:val="auto"/>
          <w:highlight w:val="none"/>
        </w:rPr>
      </w:pPr>
    </w:p>
    <w:p w14:paraId="760B5E31">
      <w:pPr>
        <w:ind w:firstLine="435"/>
        <w:rPr>
          <w:color w:val="auto"/>
          <w:highlight w:val="none"/>
        </w:rPr>
      </w:pPr>
    </w:p>
    <w:p w14:paraId="41A748C9">
      <w:pPr>
        <w:ind w:firstLine="435"/>
        <w:rPr>
          <w:color w:val="auto"/>
          <w:highlight w:val="none"/>
        </w:rPr>
      </w:pPr>
    </w:p>
    <w:p w14:paraId="3A8F4FF2">
      <w:pPr>
        <w:ind w:firstLine="435"/>
        <w:rPr>
          <w:color w:val="auto"/>
          <w:highlight w:val="none"/>
        </w:rPr>
      </w:pPr>
    </w:p>
    <w:p w14:paraId="1C6805F7">
      <w:pPr>
        <w:ind w:firstLine="435"/>
        <w:rPr>
          <w:color w:val="auto"/>
          <w:highlight w:val="none"/>
        </w:rPr>
      </w:pPr>
    </w:p>
    <w:p w14:paraId="48BB8962">
      <w:pPr>
        <w:ind w:firstLine="435"/>
        <w:rPr>
          <w:color w:val="auto"/>
          <w:highlight w:val="none"/>
        </w:rPr>
      </w:pPr>
    </w:p>
    <w:p w14:paraId="3D503102">
      <w:pPr>
        <w:ind w:firstLine="435"/>
        <w:rPr>
          <w:color w:val="auto"/>
          <w:highlight w:val="none"/>
        </w:rPr>
      </w:pPr>
    </w:p>
    <w:p w14:paraId="18742537">
      <w:pPr>
        <w:ind w:firstLine="435"/>
        <w:rPr>
          <w:color w:val="auto"/>
          <w:highlight w:val="none"/>
        </w:rPr>
      </w:pPr>
    </w:p>
    <w:p w14:paraId="214A0595">
      <w:pPr>
        <w:ind w:firstLine="435"/>
        <w:rPr>
          <w:color w:val="auto"/>
          <w:highlight w:val="none"/>
        </w:rPr>
      </w:pPr>
    </w:p>
    <w:p w14:paraId="30E4E854">
      <w:pPr>
        <w:ind w:firstLine="435"/>
        <w:rPr>
          <w:color w:val="auto"/>
          <w:highlight w:val="none"/>
        </w:rPr>
      </w:pPr>
    </w:p>
    <w:p w14:paraId="13307234">
      <w:pPr>
        <w:ind w:firstLine="435"/>
        <w:rPr>
          <w:color w:val="auto"/>
          <w:highlight w:val="none"/>
        </w:rPr>
      </w:pPr>
    </w:p>
    <w:p w14:paraId="64CCFAA0">
      <w:pPr>
        <w:ind w:firstLine="435"/>
        <w:rPr>
          <w:color w:val="auto"/>
          <w:highlight w:val="none"/>
        </w:rPr>
      </w:pPr>
    </w:p>
    <w:p w14:paraId="4832DA04">
      <w:pPr>
        <w:spacing w:line="360" w:lineRule="auto"/>
        <w:ind w:firstLine="437"/>
        <w:jc w:val="center"/>
        <w:rPr>
          <w:rFonts w:eastAsia="黑体"/>
          <w:color w:val="auto"/>
          <w:sz w:val="28"/>
          <w:szCs w:val="28"/>
          <w:highlight w:val="none"/>
        </w:rPr>
      </w:pPr>
      <w:r>
        <w:rPr>
          <w:rFonts w:eastAsia="黑体"/>
          <w:color w:val="auto"/>
          <w:sz w:val="28"/>
          <w:szCs w:val="28"/>
          <w:highlight w:val="none"/>
        </w:rPr>
        <w:t>招 标 人（或招标代理机构）：</w:t>
      </w:r>
      <w:r>
        <w:rPr>
          <w:rFonts w:hint="eastAsia" w:eastAsia="黑体"/>
          <w:color w:val="auto"/>
          <w:sz w:val="28"/>
          <w:szCs w:val="28"/>
          <w:highlight w:val="none"/>
          <w:u w:val="single"/>
          <w:lang w:eastAsia="zh-CN"/>
        </w:rPr>
        <w:t>华伦中建建设股份有限公司</w:t>
      </w:r>
      <w:r>
        <w:rPr>
          <w:rFonts w:eastAsia="黑体"/>
          <w:color w:val="auto"/>
          <w:sz w:val="28"/>
          <w:szCs w:val="28"/>
          <w:highlight w:val="none"/>
        </w:rPr>
        <w:t>（盖单位章）</w:t>
      </w:r>
    </w:p>
    <w:p w14:paraId="1874048E">
      <w:pPr>
        <w:spacing w:line="540" w:lineRule="exact"/>
        <w:ind w:firstLine="437"/>
        <w:jc w:val="center"/>
        <w:rPr>
          <w:rFonts w:eastAsia="黑体"/>
          <w:color w:val="auto"/>
          <w:sz w:val="28"/>
          <w:szCs w:val="28"/>
          <w:highlight w:val="none"/>
        </w:rPr>
      </w:pPr>
      <w:r>
        <w:rPr>
          <w:rFonts w:eastAsia="黑体"/>
          <w:color w:val="auto"/>
          <w:sz w:val="28"/>
          <w:szCs w:val="28"/>
          <w:highlight w:val="none"/>
        </w:rPr>
        <w:t>日    期：</w:t>
      </w:r>
      <w:r>
        <w:rPr>
          <w:rFonts w:hint="eastAsia" w:eastAsia="黑体"/>
          <w:color w:val="auto"/>
          <w:sz w:val="28"/>
          <w:szCs w:val="28"/>
          <w:highlight w:val="none"/>
          <w:lang w:val="en-US" w:eastAsia="zh-CN"/>
        </w:rPr>
        <w:t>2024</w:t>
      </w:r>
      <w:r>
        <w:rPr>
          <w:rFonts w:eastAsia="黑体"/>
          <w:color w:val="auto"/>
          <w:sz w:val="28"/>
          <w:szCs w:val="28"/>
          <w:highlight w:val="none"/>
        </w:rPr>
        <w:t>年</w:t>
      </w:r>
      <w:r>
        <w:rPr>
          <w:rFonts w:hint="eastAsia" w:eastAsia="黑体"/>
          <w:color w:val="auto"/>
          <w:sz w:val="28"/>
          <w:szCs w:val="28"/>
          <w:highlight w:val="none"/>
          <w:u w:val="single"/>
          <w:lang w:val="en-US" w:eastAsia="zh-CN"/>
        </w:rPr>
        <w:t>11</w:t>
      </w:r>
      <w:r>
        <w:rPr>
          <w:rFonts w:eastAsia="黑体"/>
          <w:color w:val="auto"/>
          <w:sz w:val="28"/>
          <w:szCs w:val="28"/>
          <w:highlight w:val="none"/>
        </w:rPr>
        <w:t>月</w:t>
      </w:r>
      <w:r>
        <w:rPr>
          <w:rFonts w:eastAsia="黑体"/>
          <w:color w:val="auto"/>
          <w:sz w:val="28"/>
          <w:szCs w:val="28"/>
          <w:highlight w:val="none"/>
          <w:u w:val="single"/>
        </w:rPr>
        <w:t xml:space="preserve"> </w:t>
      </w:r>
      <w:r>
        <w:rPr>
          <w:rFonts w:hint="eastAsia" w:eastAsia="黑体"/>
          <w:color w:val="auto"/>
          <w:sz w:val="28"/>
          <w:szCs w:val="28"/>
          <w:highlight w:val="none"/>
          <w:u w:val="single"/>
          <w:lang w:val="en-US" w:eastAsia="zh-CN"/>
        </w:rPr>
        <w:t>29</w:t>
      </w:r>
      <w:r>
        <w:rPr>
          <w:rFonts w:eastAsia="黑体"/>
          <w:color w:val="auto"/>
          <w:sz w:val="28"/>
          <w:szCs w:val="28"/>
          <w:highlight w:val="none"/>
          <w:u w:val="single"/>
        </w:rPr>
        <w:t xml:space="preserve"> </w:t>
      </w:r>
      <w:r>
        <w:rPr>
          <w:rFonts w:eastAsia="黑体"/>
          <w:color w:val="auto"/>
          <w:sz w:val="28"/>
          <w:szCs w:val="28"/>
          <w:highlight w:val="none"/>
        </w:rPr>
        <w:t>日</w:t>
      </w:r>
    </w:p>
    <w:p w14:paraId="73797526">
      <w:pPr>
        <w:ind w:firstLine="435"/>
        <w:rPr>
          <w:color w:val="auto"/>
          <w:highlight w:val="none"/>
        </w:rPr>
      </w:pPr>
    </w:p>
    <w:p w14:paraId="10343281">
      <w:pPr>
        <w:spacing w:line="540" w:lineRule="exact"/>
        <w:jc w:val="center"/>
        <w:rPr>
          <w:rFonts w:eastAsia="黑体"/>
          <w:bCs/>
          <w:color w:val="auto"/>
          <w:sz w:val="36"/>
          <w:szCs w:val="36"/>
          <w:highlight w:val="none"/>
        </w:rPr>
      </w:pPr>
      <w:r>
        <w:rPr>
          <w:rFonts w:eastAsia="黑体"/>
          <w:bCs/>
          <w:color w:val="auto"/>
          <w:sz w:val="36"/>
          <w:szCs w:val="36"/>
          <w:highlight w:val="none"/>
        </w:rPr>
        <w:br w:type="page"/>
      </w:r>
      <w:r>
        <w:rPr>
          <w:rFonts w:eastAsia="黑体"/>
          <w:bCs/>
          <w:color w:val="auto"/>
          <w:sz w:val="36"/>
          <w:szCs w:val="36"/>
          <w:highlight w:val="none"/>
        </w:rPr>
        <w:t>目  录</w:t>
      </w:r>
    </w:p>
    <w:p w14:paraId="0A24C8DF">
      <w:pPr>
        <w:pStyle w:val="30"/>
        <w:tabs>
          <w:tab w:val="right" w:leader="dot" w:pos="8891"/>
        </w:tabs>
        <w:rPr>
          <w:rFonts w:eastAsia="黑体"/>
          <w:color w:val="auto"/>
          <w:sz w:val="32"/>
          <w:szCs w:val="32"/>
          <w:highlight w:val="none"/>
        </w:rPr>
      </w:pPr>
    </w:p>
    <w:p w14:paraId="0D85B47F">
      <w:pPr>
        <w:pStyle w:val="30"/>
        <w:tabs>
          <w:tab w:val="right" w:leader="dot" w:pos="9060"/>
        </w:tabs>
        <w:rPr>
          <w:rFonts w:ascii="等线" w:hAnsi="等线" w:eastAsia="等线"/>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"_Toc80006177"</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  一  卷</w:t>
      </w:r>
      <w:r>
        <w:rPr>
          <w:color w:val="auto"/>
          <w:highlight w:val="none"/>
        </w:rPr>
        <w:tab/>
      </w:r>
      <w:r>
        <w:rPr>
          <w:color w:val="auto"/>
          <w:highlight w:val="none"/>
        </w:rPr>
        <w:fldChar w:fldCharType="begin"/>
      </w:r>
      <w:r>
        <w:rPr>
          <w:color w:val="auto"/>
          <w:highlight w:val="none"/>
        </w:rPr>
        <w:instrText xml:space="preserve"> PAGEREF _Toc80006177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5253CFCE">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"_Toc80006178"</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第一章  招标公告（适用于未进行资格预审的公开招标项目）</w:t>
      </w:r>
      <w:r>
        <w:rPr>
          <w:color w:val="auto"/>
          <w:highlight w:val="none"/>
        </w:rPr>
        <w:tab/>
      </w:r>
      <w:r>
        <w:rPr>
          <w:color w:val="auto"/>
          <w:highlight w:val="none"/>
        </w:rPr>
        <w:fldChar w:fldCharType="begin"/>
      </w:r>
      <w:r>
        <w:rPr>
          <w:color w:val="auto"/>
          <w:highlight w:val="none"/>
        </w:rPr>
        <w:instrText xml:space="preserve"> PAGEREF _Toc80006178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951DD48">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"_Toc80006179"</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1.项目概况</w:t>
      </w:r>
      <w:r>
        <w:rPr>
          <w:color w:val="auto"/>
          <w:highlight w:val="none"/>
        </w:rPr>
        <w:tab/>
      </w:r>
      <w:r>
        <w:rPr>
          <w:color w:val="auto"/>
          <w:highlight w:val="none"/>
        </w:rPr>
        <w:fldChar w:fldCharType="begin"/>
      </w:r>
      <w:r>
        <w:rPr>
          <w:color w:val="auto"/>
          <w:highlight w:val="none"/>
        </w:rPr>
        <w:instrText xml:space="preserve"> PAGEREF _Toc80006179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7DC043C">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"_Toc80006180"</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2.资格要求</w:t>
      </w:r>
      <w:r>
        <w:rPr>
          <w:color w:val="auto"/>
          <w:highlight w:val="none"/>
        </w:rPr>
        <w:tab/>
      </w:r>
      <w:r>
        <w:rPr>
          <w:color w:val="auto"/>
          <w:highlight w:val="none"/>
        </w:rPr>
        <w:fldChar w:fldCharType="begin"/>
      </w:r>
      <w:r>
        <w:rPr>
          <w:color w:val="auto"/>
          <w:highlight w:val="none"/>
        </w:rPr>
        <w:instrText xml:space="preserve"> PAGEREF _Toc80006180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457C4CD">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"_Toc80006181"</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3.资格审查</w:t>
      </w:r>
      <w:r>
        <w:rPr>
          <w:color w:val="auto"/>
          <w:highlight w:val="none"/>
        </w:rPr>
        <w:tab/>
      </w:r>
      <w:r>
        <w:rPr>
          <w:color w:val="auto"/>
          <w:highlight w:val="none"/>
        </w:rPr>
        <w:fldChar w:fldCharType="begin"/>
      </w:r>
      <w:r>
        <w:rPr>
          <w:color w:val="auto"/>
          <w:highlight w:val="none"/>
        </w:rPr>
        <w:instrText xml:space="preserve"> PAGEREF _Toc80006181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A0B9BFA">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"_Toc80006182"</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4.评标办法</w:t>
      </w:r>
      <w:r>
        <w:rPr>
          <w:color w:val="auto"/>
          <w:highlight w:val="none"/>
        </w:rPr>
        <w:tab/>
      </w:r>
      <w:r>
        <w:rPr>
          <w:color w:val="auto"/>
          <w:highlight w:val="none"/>
        </w:rPr>
        <w:fldChar w:fldCharType="begin"/>
      </w:r>
      <w:r>
        <w:rPr>
          <w:color w:val="auto"/>
          <w:highlight w:val="none"/>
        </w:rPr>
        <w:instrText xml:space="preserve"> PAGEREF _Toc80006182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576BFD5">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"_Toc80006183"</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5.招标文件的获取</w:t>
      </w:r>
      <w:r>
        <w:rPr>
          <w:color w:val="auto"/>
          <w:highlight w:val="none"/>
        </w:rPr>
        <w:tab/>
      </w:r>
      <w:r>
        <w:rPr>
          <w:color w:val="auto"/>
          <w:highlight w:val="none"/>
        </w:rPr>
        <w:fldChar w:fldCharType="begin"/>
      </w:r>
      <w:r>
        <w:rPr>
          <w:color w:val="auto"/>
          <w:highlight w:val="none"/>
        </w:rPr>
        <w:instrText xml:space="preserve"> PAGEREF _Toc80006183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2F0756E">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"_Toc80006184"</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6.投标文件的递交</w:t>
      </w:r>
      <w:r>
        <w:rPr>
          <w:color w:val="auto"/>
          <w:highlight w:val="none"/>
        </w:rPr>
        <w:tab/>
      </w:r>
      <w:r>
        <w:rPr>
          <w:color w:val="auto"/>
          <w:highlight w:val="none"/>
        </w:rPr>
        <w:fldChar w:fldCharType="begin"/>
      </w:r>
      <w:r>
        <w:rPr>
          <w:color w:val="auto"/>
          <w:highlight w:val="none"/>
        </w:rPr>
        <w:instrText xml:space="preserve"> PAGEREF _Toc80006184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9F141E3">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"_Toc80006185"</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7.发布公告的媒介</w:t>
      </w:r>
      <w:r>
        <w:rPr>
          <w:color w:val="auto"/>
          <w:highlight w:val="none"/>
        </w:rPr>
        <w:tab/>
      </w:r>
      <w:r>
        <w:rPr>
          <w:color w:val="auto"/>
          <w:highlight w:val="none"/>
        </w:rPr>
        <w:fldChar w:fldCharType="begin"/>
      </w:r>
      <w:r>
        <w:rPr>
          <w:color w:val="auto"/>
          <w:highlight w:val="none"/>
        </w:rPr>
        <w:instrText xml:space="preserve"> PAGEREF _Toc80006185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34BB19A">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"_Toc80006186"</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8.行政监督</w:t>
      </w:r>
      <w:r>
        <w:rPr>
          <w:color w:val="auto"/>
          <w:highlight w:val="none"/>
        </w:rPr>
        <w:tab/>
      </w:r>
      <w:r>
        <w:rPr>
          <w:color w:val="auto"/>
          <w:highlight w:val="none"/>
        </w:rPr>
        <w:fldChar w:fldCharType="begin"/>
      </w:r>
      <w:r>
        <w:rPr>
          <w:color w:val="auto"/>
          <w:highlight w:val="none"/>
        </w:rPr>
        <w:instrText xml:space="preserve"> PAGEREF _Toc80006186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CF43F8A">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"_Toc80006187"</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9.其它</w:t>
      </w:r>
      <w:r>
        <w:rPr>
          <w:color w:val="auto"/>
          <w:highlight w:val="none"/>
        </w:rPr>
        <w:tab/>
      </w:r>
      <w:r>
        <w:rPr>
          <w:color w:val="auto"/>
          <w:highlight w:val="none"/>
        </w:rPr>
        <w:fldChar w:fldCharType="begin"/>
      </w:r>
      <w:r>
        <w:rPr>
          <w:color w:val="auto"/>
          <w:highlight w:val="none"/>
        </w:rPr>
        <w:instrText xml:space="preserve"> PAGEREF _Toc80006187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FCF32E3">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"_Toc80006188"</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10.联系方式</w:t>
      </w:r>
      <w:r>
        <w:rPr>
          <w:color w:val="auto"/>
          <w:highlight w:val="none"/>
        </w:rPr>
        <w:tab/>
      </w:r>
      <w:r>
        <w:rPr>
          <w:color w:val="auto"/>
          <w:highlight w:val="none"/>
        </w:rPr>
        <w:fldChar w:fldCharType="begin"/>
      </w:r>
      <w:r>
        <w:rPr>
          <w:color w:val="auto"/>
          <w:highlight w:val="none"/>
        </w:rPr>
        <w:instrText xml:space="preserve"> PAGEREF _Toc80006188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FF6CF80">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"_Toc80006198"</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_Toc80006198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5A3EC8E1">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"_Toc80006199"</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1.总则</w:t>
      </w:r>
      <w:r>
        <w:rPr>
          <w:color w:val="auto"/>
          <w:highlight w:val="none"/>
        </w:rPr>
        <w:tab/>
      </w:r>
      <w:r>
        <w:rPr>
          <w:color w:val="auto"/>
          <w:highlight w:val="none"/>
        </w:rPr>
        <w:fldChar w:fldCharType="begin"/>
      </w:r>
      <w:r>
        <w:rPr>
          <w:color w:val="auto"/>
          <w:highlight w:val="none"/>
        </w:rPr>
        <w:instrText xml:space="preserve"> PAGEREF _Toc80006199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F6893DA">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"_Toc80006200"</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2.招标文件</w:t>
      </w:r>
      <w:r>
        <w:rPr>
          <w:color w:val="auto"/>
          <w:highlight w:val="none"/>
        </w:rPr>
        <w:tab/>
      </w:r>
      <w:r>
        <w:rPr>
          <w:color w:val="auto"/>
          <w:highlight w:val="none"/>
        </w:rPr>
        <w:fldChar w:fldCharType="begin"/>
      </w:r>
      <w:r>
        <w:rPr>
          <w:color w:val="auto"/>
          <w:highlight w:val="none"/>
        </w:rPr>
        <w:instrText xml:space="preserve"> PAGEREF _Toc80006200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E10CAB9">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"_Toc80006201"</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3.投标文件</w:t>
      </w:r>
      <w:r>
        <w:rPr>
          <w:color w:val="auto"/>
          <w:highlight w:val="none"/>
        </w:rPr>
        <w:tab/>
      </w:r>
      <w:r>
        <w:rPr>
          <w:color w:val="auto"/>
          <w:highlight w:val="none"/>
        </w:rPr>
        <w:fldChar w:fldCharType="begin"/>
      </w:r>
      <w:r>
        <w:rPr>
          <w:color w:val="auto"/>
          <w:highlight w:val="none"/>
        </w:rPr>
        <w:instrText xml:space="preserve"> PAGEREF _Toc80006201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CDCBCC5">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"_Toc80006202"</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4.投标</w:t>
      </w:r>
      <w:r>
        <w:rPr>
          <w:color w:val="auto"/>
          <w:highlight w:val="none"/>
        </w:rPr>
        <w:tab/>
      </w:r>
      <w:r>
        <w:rPr>
          <w:color w:val="auto"/>
          <w:highlight w:val="none"/>
        </w:rPr>
        <w:fldChar w:fldCharType="begin"/>
      </w:r>
      <w:r>
        <w:rPr>
          <w:color w:val="auto"/>
          <w:highlight w:val="none"/>
        </w:rPr>
        <w:instrText xml:space="preserve"> PAGEREF _Toc80006202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B2B3908">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"_Toc80006203"</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5.开标</w:t>
      </w:r>
      <w:r>
        <w:rPr>
          <w:color w:val="auto"/>
          <w:highlight w:val="none"/>
        </w:rPr>
        <w:tab/>
      </w:r>
      <w:r>
        <w:rPr>
          <w:color w:val="auto"/>
          <w:highlight w:val="none"/>
        </w:rPr>
        <w:fldChar w:fldCharType="begin"/>
      </w:r>
      <w:r>
        <w:rPr>
          <w:color w:val="auto"/>
          <w:highlight w:val="none"/>
        </w:rPr>
        <w:instrText xml:space="preserve"> PAGEREF _Toc80006203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C784ECC">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"_Toc80006204"</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6.评标</w:t>
      </w:r>
      <w:r>
        <w:rPr>
          <w:color w:val="auto"/>
          <w:highlight w:val="none"/>
        </w:rPr>
        <w:tab/>
      </w:r>
      <w:r>
        <w:rPr>
          <w:color w:val="auto"/>
          <w:highlight w:val="none"/>
        </w:rPr>
        <w:fldChar w:fldCharType="begin"/>
      </w:r>
      <w:r>
        <w:rPr>
          <w:color w:val="auto"/>
          <w:highlight w:val="none"/>
        </w:rPr>
        <w:instrText xml:space="preserve"> PAGEREF _Toc80006204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EB314AF">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"_Toc80006205"</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7.合同授予</w:t>
      </w:r>
      <w:r>
        <w:rPr>
          <w:color w:val="auto"/>
          <w:highlight w:val="none"/>
        </w:rPr>
        <w:tab/>
      </w:r>
      <w:r>
        <w:rPr>
          <w:color w:val="auto"/>
          <w:highlight w:val="none"/>
        </w:rPr>
        <w:fldChar w:fldCharType="begin"/>
      </w:r>
      <w:r>
        <w:rPr>
          <w:color w:val="auto"/>
          <w:highlight w:val="none"/>
        </w:rPr>
        <w:instrText xml:space="preserve"> PAGEREF _Toc80006205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247FC15F">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"_Toc80006206"</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8.重新招标和不再招标</w:t>
      </w:r>
      <w:r>
        <w:rPr>
          <w:color w:val="auto"/>
          <w:highlight w:val="none"/>
        </w:rPr>
        <w:tab/>
      </w:r>
      <w:r>
        <w:rPr>
          <w:color w:val="auto"/>
          <w:highlight w:val="none"/>
        </w:rPr>
        <w:fldChar w:fldCharType="begin"/>
      </w:r>
      <w:r>
        <w:rPr>
          <w:color w:val="auto"/>
          <w:highlight w:val="none"/>
        </w:rPr>
        <w:instrText xml:space="preserve"> PAGEREF _Toc80006206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4AFB961">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"_Toc80006207"</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9.纪律和监督</w:t>
      </w:r>
      <w:r>
        <w:rPr>
          <w:color w:val="auto"/>
          <w:highlight w:val="none"/>
        </w:rPr>
        <w:tab/>
      </w:r>
      <w:r>
        <w:rPr>
          <w:color w:val="auto"/>
          <w:highlight w:val="none"/>
        </w:rPr>
        <w:fldChar w:fldCharType="begin"/>
      </w:r>
      <w:r>
        <w:rPr>
          <w:color w:val="auto"/>
          <w:highlight w:val="none"/>
        </w:rPr>
        <w:instrText xml:space="preserve"> PAGEREF _Toc80006207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02AA843">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"_Toc80006208"</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_Toc80006208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5B1B8AF0">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"_Toc80006209"</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第三章  评标办法（经评审的最低投标价法）</w:t>
      </w:r>
      <w:r>
        <w:rPr>
          <w:color w:val="auto"/>
          <w:highlight w:val="none"/>
        </w:rPr>
        <w:tab/>
      </w:r>
      <w:r>
        <w:rPr>
          <w:color w:val="auto"/>
          <w:highlight w:val="none"/>
        </w:rPr>
        <w:fldChar w:fldCharType="begin"/>
      </w:r>
      <w:r>
        <w:rPr>
          <w:color w:val="auto"/>
          <w:highlight w:val="none"/>
        </w:rPr>
        <w:instrText xml:space="preserve"> PAGEREF _Toc80006209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2AA4C7A5">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"_Toc80006210"</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1.评审标准</w:t>
      </w:r>
      <w:r>
        <w:rPr>
          <w:color w:val="auto"/>
          <w:highlight w:val="none"/>
        </w:rPr>
        <w:tab/>
      </w:r>
      <w:r>
        <w:rPr>
          <w:color w:val="auto"/>
          <w:highlight w:val="none"/>
        </w:rPr>
        <w:fldChar w:fldCharType="begin"/>
      </w:r>
      <w:r>
        <w:rPr>
          <w:color w:val="auto"/>
          <w:highlight w:val="none"/>
        </w:rPr>
        <w:instrText xml:space="preserve"> PAGEREF _Toc80006210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5A5B167">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"_Toc80006211"</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2.评审程序</w:t>
      </w:r>
      <w:r>
        <w:rPr>
          <w:color w:val="auto"/>
          <w:highlight w:val="none"/>
        </w:rPr>
        <w:tab/>
      </w:r>
      <w:r>
        <w:rPr>
          <w:color w:val="auto"/>
          <w:highlight w:val="none"/>
        </w:rPr>
        <w:fldChar w:fldCharType="begin"/>
      </w:r>
      <w:r>
        <w:rPr>
          <w:color w:val="auto"/>
          <w:highlight w:val="none"/>
        </w:rPr>
        <w:instrText xml:space="preserve"> PAGEREF _Toc80006211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9D5AAF8">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"_Toc80006212"</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3.评标结果</w:t>
      </w:r>
      <w:r>
        <w:rPr>
          <w:color w:val="auto"/>
          <w:highlight w:val="none"/>
        </w:rPr>
        <w:tab/>
      </w:r>
      <w:r>
        <w:rPr>
          <w:color w:val="auto"/>
          <w:highlight w:val="none"/>
        </w:rPr>
        <w:fldChar w:fldCharType="begin"/>
      </w:r>
      <w:r>
        <w:rPr>
          <w:color w:val="auto"/>
          <w:highlight w:val="none"/>
        </w:rPr>
        <w:instrText xml:space="preserve"> PAGEREF _Toc80006212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AC6E735">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"_Toc80006219"</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_Toc80006219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48120E7A">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"_Toc80006220"</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第一节 合同协议书</w:t>
      </w:r>
      <w:r>
        <w:rPr>
          <w:color w:val="auto"/>
          <w:highlight w:val="none"/>
        </w:rPr>
        <w:tab/>
      </w:r>
      <w:r>
        <w:rPr>
          <w:color w:val="auto"/>
          <w:highlight w:val="none"/>
        </w:rPr>
        <w:fldChar w:fldCharType="begin"/>
      </w:r>
      <w:r>
        <w:rPr>
          <w:color w:val="auto"/>
          <w:highlight w:val="none"/>
        </w:rPr>
        <w:instrText xml:space="preserve"> PAGEREF _Toc80006220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73E9B738">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"_Toc80006221"</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第二节 通用合同条款</w:t>
      </w:r>
      <w:r>
        <w:rPr>
          <w:color w:val="auto"/>
          <w:highlight w:val="none"/>
        </w:rPr>
        <w:tab/>
      </w:r>
      <w:r>
        <w:rPr>
          <w:color w:val="auto"/>
          <w:highlight w:val="none"/>
        </w:rPr>
        <w:fldChar w:fldCharType="begin"/>
      </w:r>
      <w:r>
        <w:rPr>
          <w:color w:val="auto"/>
          <w:highlight w:val="none"/>
        </w:rPr>
        <w:instrText xml:space="preserve"> PAGEREF _Toc80006221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8669D8F">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"_Toc80006222"</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第三节 专用合同条款</w:t>
      </w:r>
      <w:r>
        <w:rPr>
          <w:color w:val="auto"/>
          <w:highlight w:val="none"/>
        </w:rPr>
        <w:tab/>
      </w:r>
      <w:r>
        <w:rPr>
          <w:color w:val="auto"/>
          <w:highlight w:val="none"/>
        </w:rPr>
        <w:fldChar w:fldCharType="begin"/>
      </w:r>
      <w:r>
        <w:rPr>
          <w:color w:val="auto"/>
          <w:highlight w:val="none"/>
        </w:rPr>
        <w:instrText xml:space="preserve"> PAGEREF _Toc80006222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05233CFA">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"_Toc80006223"</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_Toc80006223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2BF3B60A">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"_Toc80006224"</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1.工程量清单说明</w:t>
      </w:r>
      <w:r>
        <w:rPr>
          <w:color w:val="auto"/>
          <w:highlight w:val="none"/>
        </w:rPr>
        <w:tab/>
      </w:r>
      <w:r>
        <w:rPr>
          <w:color w:val="auto"/>
          <w:highlight w:val="none"/>
        </w:rPr>
        <w:fldChar w:fldCharType="begin"/>
      </w:r>
      <w:r>
        <w:rPr>
          <w:color w:val="auto"/>
          <w:highlight w:val="none"/>
        </w:rPr>
        <w:instrText xml:space="preserve"> PAGEREF _Toc80006224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3E3B7ECC">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"_Toc80006225"</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2.最高投标限价编制说明及公布内容</w:t>
      </w:r>
      <w:r>
        <w:rPr>
          <w:color w:val="auto"/>
          <w:highlight w:val="none"/>
        </w:rPr>
        <w:tab/>
      </w:r>
      <w:r>
        <w:rPr>
          <w:color w:val="auto"/>
          <w:highlight w:val="none"/>
        </w:rPr>
        <w:fldChar w:fldCharType="begin"/>
      </w:r>
      <w:r>
        <w:rPr>
          <w:color w:val="auto"/>
          <w:highlight w:val="none"/>
        </w:rPr>
        <w:instrText xml:space="preserve"> PAGEREF _Toc80006225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3D77AC49">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"_Toc80006226"</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3.投标报价说明</w:t>
      </w:r>
      <w:r>
        <w:rPr>
          <w:color w:val="auto"/>
          <w:highlight w:val="none"/>
        </w:rPr>
        <w:tab/>
      </w:r>
      <w:r>
        <w:rPr>
          <w:color w:val="auto"/>
          <w:highlight w:val="none"/>
        </w:rPr>
        <w:fldChar w:fldCharType="begin"/>
      </w:r>
      <w:r>
        <w:rPr>
          <w:color w:val="auto"/>
          <w:highlight w:val="none"/>
        </w:rPr>
        <w:instrText xml:space="preserve"> PAGEREF _Toc80006226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385C57EE">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"_Toc80006227"</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4.其他说明</w:t>
      </w:r>
      <w:r>
        <w:rPr>
          <w:color w:val="auto"/>
          <w:highlight w:val="none"/>
        </w:rPr>
        <w:tab/>
      </w:r>
      <w:r>
        <w:rPr>
          <w:color w:val="auto"/>
          <w:highlight w:val="none"/>
        </w:rPr>
        <w:fldChar w:fldCharType="begin"/>
      </w:r>
      <w:r>
        <w:rPr>
          <w:color w:val="auto"/>
          <w:highlight w:val="none"/>
        </w:rPr>
        <w:instrText xml:space="preserve"> PAGEREF _Toc80006227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7D850E71">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"_Toc80006228"</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5.工程量清单（另册）</w:t>
      </w:r>
      <w:r>
        <w:rPr>
          <w:color w:val="auto"/>
          <w:highlight w:val="none"/>
        </w:rPr>
        <w:tab/>
      </w:r>
      <w:r>
        <w:rPr>
          <w:color w:val="auto"/>
          <w:highlight w:val="none"/>
        </w:rPr>
        <w:fldChar w:fldCharType="begin"/>
      </w:r>
      <w:r>
        <w:rPr>
          <w:color w:val="auto"/>
          <w:highlight w:val="none"/>
        </w:rPr>
        <w:instrText xml:space="preserve"> PAGEREF _Toc80006228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27900DE2">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"_Toc80006229"</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  二  卷</w:t>
      </w:r>
      <w:r>
        <w:rPr>
          <w:color w:val="auto"/>
          <w:highlight w:val="none"/>
        </w:rPr>
        <w:tab/>
      </w:r>
      <w:r>
        <w:rPr>
          <w:color w:val="auto"/>
          <w:highlight w:val="none"/>
        </w:rPr>
        <w:fldChar w:fldCharType="begin"/>
      </w:r>
      <w:r>
        <w:rPr>
          <w:color w:val="auto"/>
          <w:highlight w:val="none"/>
        </w:rPr>
        <w:instrText xml:space="preserve"> PAGEREF _Toc80006229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776B623B">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"_Toc80006230"</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第六章  图  纸（另册）</w:t>
      </w:r>
      <w:r>
        <w:rPr>
          <w:color w:val="auto"/>
          <w:highlight w:val="none"/>
        </w:rPr>
        <w:tab/>
      </w:r>
      <w:r>
        <w:rPr>
          <w:color w:val="auto"/>
          <w:highlight w:val="none"/>
        </w:rPr>
        <w:fldChar w:fldCharType="begin"/>
      </w:r>
      <w:r>
        <w:rPr>
          <w:color w:val="auto"/>
          <w:highlight w:val="none"/>
        </w:rPr>
        <w:instrText xml:space="preserve"> PAGEREF _Toc80006230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75629FE7">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"_Toc80006231"</w:instrText>
      </w:r>
      <w:r>
        <w:rPr>
          <w:rStyle w:val="47"/>
          <w:color w:val="auto"/>
          <w:highlight w:val="none"/>
        </w:rPr>
        <w:instrText xml:space="preserve"> </w:instrText>
      </w:r>
      <w:r>
        <w:rPr>
          <w:color w:val="auto"/>
          <w:highlight w:val="none"/>
        </w:rPr>
        <w:fldChar w:fldCharType="separate"/>
      </w:r>
      <w:r>
        <w:rPr>
          <w:rStyle w:val="47"/>
          <w:color w:val="auto"/>
          <w:highlight w:val="none"/>
        </w:rPr>
        <w:t>1. 图纸目录</w:t>
      </w:r>
      <w:r>
        <w:rPr>
          <w:color w:val="auto"/>
          <w:highlight w:val="none"/>
        </w:rPr>
        <w:tab/>
      </w:r>
      <w:r>
        <w:rPr>
          <w:color w:val="auto"/>
          <w:highlight w:val="none"/>
        </w:rPr>
        <w:fldChar w:fldCharType="begin"/>
      </w:r>
      <w:r>
        <w:rPr>
          <w:color w:val="auto"/>
          <w:highlight w:val="none"/>
        </w:rPr>
        <w:instrText xml:space="preserve"> PAGEREF _Toc80006231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361BAEFB">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"_Toc80006232"</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  三  卷</w:t>
      </w:r>
      <w:r>
        <w:rPr>
          <w:color w:val="auto"/>
          <w:highlight w:val="none"/>
        </w:rPr>
        <w:tab/>
      </w:r>
      <w:r>
        <w:rPr>
          <w:color w:val="auto"/>
          <w:highlight w:val="none"/>
        </w:rPr>
        <w:fldChar w:fldCharType="begin"/>
      </w:r>
      <w:r>
        <w:rPr>
          <w:color w:val="auto"/>
          <w:highlight w:val="none"/>
        </w:rPr>
        <w:instrText xml:space="preserve"> PAGEREF _Toc80006232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1993BA42">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"_Toc80006233"</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_Toc80006233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7AA71472">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"_Toc80006234"</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第一节 一般要求</w:t>
      </w:r>
      <w:r>
        <w:rPr>
          <w:color w:val="auto"/>
          <w:highlight w:val="none"/>
        </w:rPr>
        <w:tab/>
      </w:r>
      <w:r>
        <w:rPr>
          <w:color w:val="auto"/>
          <w:highlight w:val="none"/>
        </w:rPr>
        <w:fldChar w:fldCharType="begin"/>
      </w:r>
      <w:r>
        <w:rPr>
          <w:color w:val="auto"/>
          <w:highlight w:val="none"/>
        </w:rPr>
        <w:instrText xml:space="preserve"> PAGEREF _Toc80006234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6EE6D4AD">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"_Toc80006251"</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第二节  特殊技术标准和要求</w:t>
      </w:r>
      <w:r>
        <w:rPr>
          <w:color w:val="auto"/>
          <w:highlight w:val="none"/>
        </w:rPr>
        <w:tab/>
      </w:r>
      <w:r>
        <w:rPr>
          <w:color w:val="auto"/>
          <w:highlight w:val="none"/>
        </w:rPr>
        <w:fldChar w:fldCharType="begin"/>
      </w:r>
      <w:r>
        <w:rPr>
          <w:color w:val="auto"/>
          <w:highlight w:val="none"/>
        </w:rPr>
        <w:instrText xml:space="preserve"> PAGEREF _Toc80006251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1638018D">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"_Toc80006257"</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第三节  适用的国家、行业以及地方规范、标准和规程</w:t>
      </w:r>
      <w:r>
        <w:rPr>
          <w:color w:val="auto"/>
          <w:highlight w:val="none"/>
        </w:rPr>
        <w:tab/>
      </w:r>
      <w:r>
        <w:rPr>
          <w:color w:val="auto"/>
          <w:highlight w:val="none"/>
        </w:rPr>
        <w:fldChar w:fldCharType="begin"/>
      </w:r>
      <w:r>
        <w:rPr>
          <w:color w:val="auto"/>
          <w:highlight w:val="none"/>
        </w:rPr>
        <w:instrText xml:space="preserve"> PAGEREF _Toc80006257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6A1AF86F">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"_Toc80006258"</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  四  卷</w:t>
      </w:r>
      <w:r>
        <w:rPr>
          <w:color w:val="auto"/>
          <w:highlight w:val="none"/>
        </w:rPr>
        <w:tab/>
      </w:r>
      <w:r>
        <w:rPr>
          <w:color w:val="auto"/>
          <w:highlight w:val="none"/>
        </w:rPr>
        <w:fldChar w:fldCharType="begin"/>
      </w:r>
      <w:r>
        <w:rPr>
          <w:color w:val="auto"/>
          <w:highlight w:val="none"/>
        </w:rPr>
        <w:instrText xml:space="preserve"> PAGEREF _Toc80006258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7A07170B">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"_Toc80006259"</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_Toc80006259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5D016B0B">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"_Toc80006260"</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第一节 投标函格式</w:t>
      </w:r>
      <w:r>
        <w:rPr>
          <w:color w:val="auto"/>
          <w:highlight w:val="none"/>
        </w:rPr>
        <w:tab/>
      </w:r>
      <w:r>
        <w:rPr>
          <w:color w:val="auto"/>
          <w:highlight w:val="none"/>
        </w:rPr>
        <w:fldChar w:fldCharType="begin"/>
      </w:r>
      <w:r>
        <w:rPr>
          <w:color w:val="auto"/>
          <w:highlight w:val="none"/>
        </w:rPr>
        <w:instrText xml:space="preserve"> PAGEREF _Toc80006260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254C0B55">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"_Toc80006261"</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_Toc80006261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5196CC34">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"_Toc80006262"</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1.投标函及投标函附录</w:t>
      </w:r>
      <w:r>
        <w:rPr>
          <w:color w:val="auto"/>
          <w:highlight w:val="none"/>
        </w:rPr>
        <w:tab/>
      </w:r>
      <w:r>
        <w:rPr>
          <w:color w:val="auto"/>
          <w:highlight w:val="none"/>
        </w:rPr>
        <w:fldChar w:fldCharType="begin"/>
      </w:r>
      <w:r>
        <w:rPr>
          <w:color w:val="auto"/>
          <w:highlight w:val="none"/>
        </w:rPr>
        <w:instrText xml:space="preserve"> PAGEREF _Toc80006262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4B6CE829">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"_Toc80006263"</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2.法定代表人身份证明</w:t>
      </w:r>
      <w:r>
        <w:rPr>
          <w:color w:val="auto"/>
          <w:highlight w:val="none"/>
        </w:rPr>
        <w:tab/>
      </w:r>
      <w:r>
        <w:rPr>
          <w:color w:val="auto"/>
          <w:highlight w:val="none"/>
        </w:rPr>
        <w:fldChar w:fldCharType="begin"/>
      </w:r>
      <w:r>
        <w:rPr>
          <w:color w:val="auto"/>
          <w:highlight w:val="none"/>
        </w:rPr>
        <w:instrText xml:space="preserve"> PAGEREF _Toc80006263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6094C646">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"_Toc80006264"</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3.授权委托书</w:t>
      </w:r>
      <w:r>
        <w:rPr>
          <w:color w:val="auto"/>
          <w:highlight w:val="none"/>
        </w:rPr>
        <w:tab/>
      </w:r>
      <w:r>
        <w:rPr>
          <w:color w:val="auto"/>
          <w:highlight w:val="none"/>
        </w:rPr>
        <w:fldChar w:fldCharType="begin"/>
      </w:r>
      <w:r>
        <w:rPr>
          <w:color w:val="auto"/>
          <w:highlight w:val="none"/>
        </w:rPr>
        <w:instrText xml:space="preserve"> PAGEREF _Toc80006264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14:paraId="716A0A6F">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"_Toc80006265"</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4.</w:t>
      </w:r>
      <w:r>
        <w:rPr>
          <w:rStyle w:val="47"/>
          <w:rFonts w:hint="eastAsia" w:eastAsia="黑体"/>
          <w:color w:val="auto"/>
          <w:highlight w:val="none"/>
          <w:lang w:eastAsia="zh-CN"/>
        </w:rPr>
        <w:t>共同投标协议</w:t>
      </w:r>
      <w:r>
        <w:rPr>
          <w:rStyle w:val="47"/>
          <w:rFonts w:ascii="黑体" w:hAnsi="黑体" w:eastAsia="黑体"/>
          <w:color w:val="auto"/>
          <w:highlight w:val="none"/>
        </w:rPr>
        <w:t>（</w:t>
      </w:r>
      <w:r>
        <w:rPr>
          <w:rStyle w:val="47"/>
          <w:rFonts w:ascii="黑体" w:hAnsi="黑体" w:eastAsia="黑体"/>
          <w:color w:val="auto"/>
          <w:sz w:val="24"/>
          <w:highlight w:val="none"/>
        </w:rPr>
        <w:sym w:font="Wingdings 2" w:char="00A3"/>
      </w:r>
      <w:r>
        <w:rPr>
          <w:rStyle w:val="47"/>
          <w:rFonts w:ascii="黑体" w:hAnsi="黑体" w:eastAsia="黑体"/>
          <w:color w:val="auto"/>
          <w:highlight w:val="none"/>
        </w:rPr>
        <w:t>联合体投标适用）</w:t>
      </w:r>
      <w:r>
        <w:rPr>
          <w:color w:val="auto"/>
          <w:highlight w:val="none"/>
        </w:rPr>
        <w:tab/>
      </w:r>
      <w:r>
        <w:rPr>
          <w:color w:val="auto"/>
          <w:highlight w:val="none"/>
        </w:rPr>
        <w:fldChar w:fldCharType="begin"/>
      </w:r>
      <w:r>
        <w:rPr>
          <w:color w:val="auto"/>
          <w:highlight w:val="none"/>
        </w:rPr>
        <w:instrText xml:space="preserve"> PAGEREF _Toc80006265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3E1FAFE2">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"_Toc80006266"</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5.投标保证</w:t>
      </w:r>
      <w:r>
        <w:rPr>
          <w:color w:val="auto"/>
          <w:highlight w:val="none"/>
        </w:rPr>
        <w:tab/>
      </w:r>
      <w:r>
        <w:rPr>
          <w:color w:val="auto"/>
          <w:highlight w:val="none"/>
        </w:rPr>
        <w:fldChar w:fldCharType="begin"/>
      </w:r>
      <w:r>
        <w:rPr>
          <w:color w:val="auto"/>
          <w:highlight w:val="none"/>
        </w:rPr>
        <w:instrText xml:space="preserve"> PAGEREF _Toc80006266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5E63D297">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"_Toc80006267"</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6.项目管理机构</w:t>
      </w:r>
      <w:r>
        <w:rPr>
          <w:color w:val="auto"/>
          <w:highlight w:val="none"/>
        </w:rPr>
        <w:tab/>
      </w:r>
      <w:r>
        <w:rPr>
          <w:color w:val="auto"/>
          <w:highlight w:val="none"/>
        </w:rPr>
        <w:fldChar w:fldCharType="begin"/>
      </w:r>
      <w:r>
        <w:rPr>
          <w:color w:val="auto"/>
          <w:highlight w:val="none"/>
        </w:rPr>
        <w:instrText xml:space="preserve"> PAGEREF _Toc80006267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0822B546">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"_Toc80006270"</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7.拟分包计划表</w:t>
      </w:r>
      <w:r>
        <w:rPr>
          <w:color w:val="auto"/>
          <w:highlight w:val="none"/>
        </w:rPr>
        <w:tab/>
      </w:r>
      <w:r>
        <w:rPr>
          <w:color w:val="auto"/>
          <w:highlight w:val="none"/>
        </w:rPr>
        <w:fldChar w:fldCharType="begin"/>
      </w:r>
      <w:r>
        <w:rPr>
          <w:color w:val="auto"/>
          <w:highlight w:val="none"/>
        </w:rPr>
        <w:instrText xml:space="preserve"> PAGEREF _Toc80006270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5DE07611">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"_Toc80006271"</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9.企业资信及履约能力（业绩及信用）自评表</w:t>
      </w:r>
      <w:r>
        <w:rPr>
          <w:color w:val="auto"/>
          <w:highlight w:val="none"/>
        </w:rPr>
        <w:tab/>
      </w:r>
      <w:r>
        <w:rPr>
          <w:color w:val="auto"/>
          <w:highlight w:val="none"/>
        </w:rPr>
        <w:fldChar w:fldCharType="begin"/>
      </w:r>
      <w:r>
        <w:rPr>
          <w:color w:val="auto"/>
          <w:highlight w:val="none"/>
        </w:rPr>
        <w:instrText xml:space="preserve"> PAGEREF _Toc80006271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58982A1A">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"_Toc80006272"</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10.承 诺 书</w:t>
      </w:r>
      <w:r>
        <w:rPr>
          <w:color w:val="auto"/>
          <w:highlight w:val="none"/>
        </w:rPr>
        <w:tab/>
      </w:r>
      <w:r>
        <w:rPr>
          <w:color w:val="auto"/>
          <w:highlight w:val="none"/>
        </w:rPr>
        <w:fldChar w:fldCharType="begin"/>
      </w:r>
      <w:r>
        <w:rPr>
          <w:color w:val="auto"/>
          <w:highlight w:val="none"/>
        </w:rPr>
        <w:instrText xml:space="preserve"> PAGEREF _Toc80006272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5E23EBD3">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"_Toc80006273"</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11.投标信息表</w:t>
      </w:r>
      <w:r>
        <w:rPr>
          <w:color w:val="auto"/>
          <w:highlight w:val="none"/>
        </w:rPr>
        <w:tab/>
      </w:r>
      <w:r>
        <w:rPr>
          <w:color w:val="auto"/>
          <w:highlight w:val="none"/>
        </w:rPr>
        <w:fldChar w:fldCharType="begin"/>
      </w:r>
      <w:r>
        <w:rPr>
          <w:color w:val="auto"/>
          <w:highlight w:val="none"/>
        </w:rPr>
        <w:instrText xml:space="preserve"> PAGEREF _Toc80006273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5E311522">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"_Toc80006274"</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12.其他</w:t>
      </w:r>
      <w:r>
        <w:rPr>
          <w:color w:val="auto"/>
          <w:highlight w:val="none"/>
        </w:rPr>
        <w:tab/>
      </w:r>
      <w:r>
        <w:rPr>
          <w:color w:val="auto"/>
          <w:highlight w:val="none"/>
        </w:rPr>
        <w:fldChar w:fldCharType="begin"/>
      </w:r>
      <w:r>
        <w:rPr>
          <w:color w:val="auto"/>
          <w:highlight w:val="none"/>
        </w:rPr>
        <w:instrText xml:space="preserve"> PAGEREF _Toc80006274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57E6762E">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"_Toc80006275"</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第二节 投标报价格式</w:t>
      </w:r>
      <w:r>
        <w:rPr>
          <w:color w:val="auto"/>
          <w:highlight w:val="none"/>
        </w:rPr>
        <w:tab/>
      </w:r>
      <w:r>
        <w:rPr>
          <w:color w:val="auto"/>
          <w:highlight w:val="none"/>
        </w:rPr>
        <w:fldChar w:fldCharType="begin"/>
      </w:r>
      <w:r>
        <w:rPr>
          <w:color w:val="auto"/>
          <w:highlight w:val="none"/>
        </w:rPr>
        <w:instrText xml:space="preserve"> PAGEREF _Toc80006275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14:paraId="6ABA37AA">
      <w:pPr>
        <w:pStyle w:val="35"/>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"_Toc80006276"</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目    录</w:t>
      </w:r>
      <w:r>
        <w:rPr>
          <w:color w:val="auto"/>
          <w:highlight w:val="none"/>
        </w:rPr>
        <w:tab/>
      </w:r>
      <w:r>
        <w:rPr>
          <w:color w:val="auto"/>
          <w:highlight w:val="none"/>
        </w:rPr>
        <w:fldChar w:fldCharType="begin"/>
      </w:r>
      <w:r>
        <w:rPr>
          <w:color w:val="auto"/>
          <w:highlight w:val="none"/>
        </w:rPr>
        <w:instrText xml:space="preserve"> PAGEREF _Toc80006276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0B65E34E">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"_Toc80006277"</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1.已标价工程量清单内容</w:t>
      </w:r>
      <w:r>
        <w:rPr>
          <w:color w:val="auto"/>
          <w:highlight w:val="none"/>
        </w:rPr>
        <w:tab/>
      </w:r>
      <w:r>
        <w:rPr>
          <w:color w:val="auto"/>
          <w:highlight w:val="none"/>
        </w:rPr>
        <w:fldChar w:fldCharType="begin"/>
      </w:r>
      <w:r>
        <w:rPr>
          <w:color w:val="auto"/>
          <w:highlight w:val="none"/>
        </w:rPr>
        <w:instrText xml:space="preserve"> PAGEREF _Toc80006277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3B8E3BF7">
      <w:pPr>
        <w:pStyle w:val="22"/>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"_Toc80006278"</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2.已标价工程量清单格式</w:t>
      </w:r>
      <w:r>
        <w:rPr>
          <w:color w:val="auto"/>
          <w:highlight w:val="none"/>
        </w:rPr>
        <w:tab/>
      </w:r>
      <w:r>
        <w:rPr>
          <w:color w:val="auto"/>
          <w:highlight w:val="none"/>
        </w:rPr>
        <w:fldChar w:fldCharType="begin"/>
      </w:r>
      <w:r>
        <w:rPr>
          <w:color w:val="auto"/>
          <w:highlight w:val="none"/>
        </w:rPr>
        <w:instrText xml:space="preserve"> PAGEREF _Toc80006278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531925FF">
      <w:pPr>
        <w:pStyle w:val="30"/>
        <w:tabs>
          <w:tab w:val="right" w:leader="dot" w:pos="9060"/>
        </w:tabs>
        <w:rPr>
          <w:rFonts w:ascii="等线" w:hAnsi="等线" w:eastAsia="等线"/>
          <w:color w:val="auto"/>
          <w:szCs w:val="22"/>
          <w:highlight w:val="none"/>
        </w:rPr>
      </w:pPr>
      <w:r>
        <w:rPr>
          <w:color w:val="auto"/>
          <w:highlight w:val="none"/>
        </w:rPr>
        <w:fldChar w:fldCharType="begin"/>
      </w:r>
      <w:r>
        <w:rPr>
          <w:rStyle w:val="47"/>
          <w:color w:val="auto"/>
          <w:highlight w:val="none"/>
        </w:rPr>
        <w:instrText xml:space="preserve"> </w:instrText>
      </w:r>
      <w:r>
        <w:rPr>
          <w:color w:val="auto"/>
          <w:highlight w:val="none"/>
        </w:rPr>
        <w:instrText xml:space="preserve">HYPERLINK \l "_Toc80006279"</w:instrText>
      </w:r>
      <w:r>
        <w:rPr>
          <w:rStyle w:val="47"/>
          <w:color w:val="auto"/>
          <w:highlight w:val="none"/>
        </w:rPr>
        <w:instrText xml:space="preserve"> </w:instrText>
      </w:r>
      <w:r>
        <w:rPr>
          <w:color w:val="auto"/>
          <w:highlight w:val="none"/>
        </w:rPr>
        <w:fldChar w:fldCharType="separate"/>
      </w:r>
      <w:r>
        <w:rPr>
          <w:rStyle w:val="47"/>
          <w:rFonts w:eastAsia="黑体"/>
          <w:color w:val="auto"/>
          <w:highlight w:val="none"/>
        </w:rPr>
        <w:t>第三节  施工组织设计格式</w:t>
      </w:r>
      <w:r>
        <w:rPr>
          <w:color w:val="auto"/>
          <w:highlight w:val="none"/>
        </w:rPr>
        <w:tab/>
      </w:r>
      <w:r>
        <w:rPr>
          <w:color w:val="auto"/>
          <w:highlight w:val="none"/>
        </w:rPr>
        <w:fldChar w:fldCharType="begin"/>
      </w:r>
      <w:r>
        <w:rPr>
          <w:color w:val="auto"/>
          <w:highlight w:val="none"/>
        </w:rPr>
        <w:instrText xml:space="preserve"> PAGEREF _Toc80006279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14:paraId="23DF9B83">
      <w:pPr>
        <w:rPr>
          <w:color w:val="auto"/>
          <w:highlight w:val="none"/>
        </w:rPr>
      </w:pPr>
      <w:r>
        <w:rPr>
          <w:b/>
          <w:bCs/>
          <w:color w:val="auto"/>
          <w:highlight w:val="none"/>
          <w:lang w:val="zh-CN"/>
        </w:rPr>
        <w:fldChar w:fldCharType="end"/>
      </w:r>
    </w:p>
    <w:p w14:paraId="1410A194">
      <w:pPr>
        <w:rPr>
          <w:color w:val="auto"/>
          <w:highlight w:val="none"/>
        </w:rPr>
      </w:pPr>
    </w:p>
    <w:p w14:paraId="3E45E57E">
      <w:pPr>
        <w:rPr>
          <w:color w:val="auto"/>
          <w:highlight w:val="none"/>
        </w:rPr>
      </w:pPr>
    </w:p>
    <w:p w14:paraId="1F0CA0DB">
      <w:pPr>
        <w:spacing w:line="340" w:lineRule="exact"/>
        <w:ind w:firstLine="437"/>
        <w:rPr>
          <w:color w:val="auto"/>
          <w:sz w:val="24"/>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sz w:val="24"/>
          <w:highlight w:val="none"/>
        </w:rPr>
        <w:fldChar w:fldCharType="end"/>
      </w:r>
    </w:p>
    <w:p w14:paraId="6FC5EAB3">
      <w:pPr>
        <w:spacing w:line="340" w:lineRule="exact"/>
        <w:ind w:firstLine="437"/>
        <w:rPr>
          <w:color w:val="auto"/>
          <w:sz w:val="24"/>
          <w:highlight w:val="none"/>
        </w:rPr>
      </w:pPr>
    </w:p>
    <w:p w14:paraId="29DE9154">
      <w:pPr>
        <w:spacing w:line="340" w:lineRule="exact"/>
        <w:ind w:firstLine="437"/>
        <w:rPr>
          <w:color w:val="auto"/>
          <w:sz w:val="24"/>
          <w:highlight w:val="none"/>
        </w:rPr>
      </w:pPr>
    </w:p>
    <w:p w14:paraId="22F3A53B">
      <w:pPr>
        <w:spacing w:line="340" w:lineRule="exact"/>
        <w:ind w:firstLine="437"/>
        <w:rPr>
          <w:rFonts w:eastAsia="黑体"/>
          <w:color w:val="auto"/>
          <w:sz w:val="32"/>
          <w:szCs w:val="32"/>
          <w:highlight w:val="none"/>
        </w:rPr>
      </w:pPr>
      <w:r>
        <w:rPr>
          <w:color w:val="auto"/>
          <w:sz w:val="24"/>
          <w:highlight w:val="none"/>
        </w:rPr>
        <w:br w:type="page"/>
      </w:r>
    </w:p>
    <w:p w14:paraId="5A03AB56">
      <w:pPr>
        <w:spacing w:after="240" w:afterLines="100" w:line="540" w:lineRule="exact"/>
        <w:rPr>
          <w:rFonts w:eastAsia="黑体"/>
          <w:color w:val="auto"/>
          <w:sz w:val="32"/>
          <w:szCs w:val="32"/>
          <w:highlight w:val="none"/>
        </w:rPr>
      </w:pPr>
    </w:p>
    <w:p w14:paraId="3EA5E6D2">
      <w:pPr>
        <w:spacing w:after="240" w:afterLines="100" w:line="540" w:lineRule="exact"/>
        <w:rPr>
          <w:rFonts w:eastAsia="黑体"/>
          <w:color w:val="auto"/>
          <w:sz w:val="32"/>
          <w:szCs w:val="32"/>
          <w:highlight w:val="none"/>
        </w:rPr>
      </w:pPr>
    </w:p>
    <w:p w14:paraId="45C166D2">
      <w:pPr>
        <w:spacing w:after="240" w:afterLines="100" w:line="540" w:lineRule="exact"/>
        <w:rPr>
          <w:rFonts w:eastAsia="黑体"/>
          <w:color w:val="auto"/>
          <w:sz w:val="32"/>
          <w:szCs w:val="32"/>
          <w:highlight w:val="none"/>
        </w:rPr>
      </w:pPr>
    </w:p>
    <w:p w14:paraId="229E0C1E">
      <w:pPr>
        <w:spacing w:after="240" w:afterLines="100" w:line="540" w:lineRule="exact"/>
        <w:rPr>
          <w:rFonts w:eastAsia="黑体"/>
          <w:color w:val="auto"/>
          <w:sz w:val="32"/>
          <w:szCs w:val="32"/>
          <w:highlight w:val="none"/>
        </w:rPr>
      </w:pPr>
    </w:p>
    <w:p w14:paraId="4C0F5EF7">
      <w:pPr>
        <w:pStyle w:val="5"/>
        <w:jc w:val="center"/>
        <w:rPr>
          <w:rFonts w:ascii="Times New Roman" w:hAnsi="Times New Roman" w:eastAsia="黑体"/>
          <w:b w:val="0"/>
          <w:bCs w:val="0"/>
          <w:color w:val="auto"/>
          <w:sz w:val="44"/>
          <w:szCs w:val="44"/>
          <w:highlight w:val="none"/>
        </w:rPr>
      </w:pPr>
      <w:bookmarkStart w:id="1" w:name="_Toc80006067"/>
      <w:bookmarkStart w:id="2" w:name="_Toc80006177"/>
      <w:bookmarkStart w:id="3" w:name="_Toc300677959"/>
      <w:r>
        <w:rPr>
          <w:rFonts w:ascii="Times New Roman" w:hAnsi="Times New Roman" w:eastAsia="黑体"/>
          <w:b w:val="0"/>
          <w:bCs w:val="0"/>
          <w:color w:val="auto"/>
          <w:sz w:val="44"/>
          <w:szCs w:val="44"/>
          <w:highlight w:val="none"/>
        </w:rPr>
        <w:t>第  一  卷</w:t>
      </w:r>
      <w:bookmarkEnd w:id="1"/>
      <w:bookmarkEnd w:id="2"/>
      <w:bookmarkEnd w:id="3"/>
    </w:p>
    <w:p w14:paraId="46D86E09">
      <w:pPr>
        <w:spacing w:after="240" w:afterLines="100" w:line="540" w:lineRule="exact"/>
        <w:rPr>
          <w:rFonts w:eastAsia="黑体"/>
          <w:color w:val="auto"/>
          <w:sz w:val="32"/>
          <w:szCs w:val="32"/>
          <w:highlight w:val="none"/>
        </w:rPr>
      </w:pPr>
    </w:p>
    <w:p w14:paraId="7D8FC998">
      <w:pPr>
        <w:spacing w:after="240" w:afterLines="100" w:line="540" w:lineRule="exact"/>
        <w:rPr>
          <w:rFonts w:eastAsia="黑体"/>
          <w:color w:val="auto"/>
          <w:sz w:val="32"/>
          <w:szCs w:val="32"/>
          <w:highlight w:val="none"/>
        </w:rPr>
      </w:pPr>
    </w:p>
    <w:p w14:paraId="51A22C90">
      <w:pPr>
        <w:spacing w:after="240" w:afterLines="100" w:line="540" w:lineRule="exact"/>
        <w:rPr>
          <w:rFonts w:eastAsia="黑体"/>
          <w:color w:val="auto"/>
          <w:sz w:val="32"/>
          <w:szCs w:val="32"/>
          <w:highlight w:val="none"/>
        </w:rPr>
      </w:pPr>
    </w:p>
    <w:p w14:paraId="0C0CF29B">
      <w:pPr>
        <w:spacing w:after="240" w:afterLines="100" w:line="540" w:lineRule="exact"/>
        <w:rPr>
          <w:rFonts w:eastAsia="黑体"/>
          <w:color w:val="auto"/>
          <w:sz w:val="32"/>
          <w:szCs w:val="32"/>
          <w:highlight w:val="none"/>
        </w:rPr>
      </w:pPr>
    </w:p>
    <w:p w14:paraId="38665151">
      <w:pPr>
        <w:spacing w:after="240" w:afterLines="100" w:line="540" w:lineRule="exact"/>
        <w:rPr>
          <w:rFonts w:eastAsia="黑体"/>
          <w:color w:val="auto"/>
          <w:sz w:val="32"/>
          <w:szCs w:val="32"/>
          <w:highlight w:val="none"/>
        </w:rPr>
      </w:pPr>
    </w:p>
    <w:p w14:paraId="5625AC24">
      <w:pPr>
        <w:spacing w:after="240" w:afterLines="100" w:line="540" w:lineRule="exact"/>
        <w:rPr>
          <w:rFonts w:eastAsia="黑体"/>
          <w:color w:val="auto"/>
          <w:sz w:val="32"/>
          <w:szCs w:val="32"/>
          <w:highlight w:val="none"/>
        </w:rPr>
      </w:pPr>
    </w:p>
    <w:p w14:paraId="2762A398">
      <w:pPr>
        <w:rPr>
          <w:color w:val="auto"/>
          <w:highlight w:val="none"/>
        </w:rPr>
      </w:pPr>
      <w:r>
        <w:rPr>
          <w:rFonts w:eastAsia="黑体"/>
          <w:color w:val="auto"/>
          <w:sz w:val="32"/>
          <w:szCs w:val="32"/>
          <w:highlight w:val="none"/>
        </w:rPr>
        <w:br w:type="page"/>
      </w:r>
      <w:bookmarkStart w:id="4" w:name="_Toc300677960"/>
    </w:p>
    <w:p w14:paraId="276ECE5F">
      <w:pPr>
        <w:pStyle w:val="5"/>
        <w:spacing w:before="0" w:after="0"/>
        <w:jc w:val="center"/>
        <w:rPr>
          <w:rFonts w:ascii="Times New Roman" w:hAnsi="Times New Roman" w:eastAsia="黑体"/>
          <w:b w:val="0"/>
          <w:bCs w:val="0"/>
          <w:color w:val="auto"/>
          <w:highlight w:val="none"/>
        </w:rPr>
      </w:pPr>
      <w:bookmarkStart w:id="5" w:name="_Toc80006068"/>
      <w:bookmarkStart w:id="6" w:name="_Toc80006178"/>
      <w:r>
        <w:rPr>
          <w:rFonts w:ascii="Times New Roman" w:hAnsi="Times New Roman" w:eastAsia="黑体"/>
          <w:b w:val="0"/>
          <w:bCs w:val="0"/>
          <w:color w:val="auto"/>
          <w:highlight w:val="none"/>
        </w:rPr>
        <w:t>第一章  招标公告（适用于</w:t>
      </w:r>
      <w:r>
        <w:rPr>
          <w:rFonts w:hint="eastAsia" w:ascii="Times New Roman" w:hAnsi="Times New Roman" w:eastAsia="黑体"/>
          <w:b w:val="0"/>
          <w:bCs w:val="0"/>
          <w:color w:val="auto"/>
          <w:highlight w:val="none"/>
        </w:rPr>
        <w:t>未进行资格预审的</w:t>
      </w:r>
      <w:r>
        <w:rPr>
          <w:rFonts w:ascii="Times New Roman" w:hAnsi="Times New Roman" w:eastAsia="黑体"/>
          <w:b w:val="0"/>
          <w:bCs w:val="0"/>
          <w:color w:val="auto"/>
          <w:highlight w:val="none"/>
        </w:rPr>
        <w:t>公开招标</w:t>
      </w:r>
      <w:r>
        <w:rPr>
          <w:rFonts w:hint="eastAsia" w:ascii="Times New Roman" w:hAnsi="Times New Roman" w:eastAsia="黑体"/>
          <w:b w:val="0"/>
          <w:bCs w:val="0"/>
          <w:color w:val="auto"/>
          <w:highlight w:val="none"/>
        </w:rPr>
        <w:t>项目</w:t>
      </w:r>
      <w:r>
        <w:rPr>
          <w:rFonts w:ascii="Times New Roman" w:hAnsi="Times New Roman" w:eastAsia="黑体"/>
          <w:b w:val="0"/>
          <w:bCs w:val="0"/>
          <w:color w:val="auto"/>
          <w:highlight w:val="none"/>
        </w:rPr>
        <w:t>）</w:t>
      </w:r>
      <w:bookmarkEnd w:id="4"/>
      <w:bookmarkEnd w:id="5"/>
      <w:bookmarkEnd w:id="6"/>
    </w:p>
    <w:p w14:paraId="1A86E9D4">
      <w:pPr>
        <w:rPr>
          <w:color w:val="auto"/>
          <w:highlight w:val="none"/>
        </w:rPr>
      </w:pPr>
    </w:p>
    <w:p w14:paraId="4C14E91C">
      <w:pPr>
        <w:jc w:val="center"/>
        <w:rPr>
          <w:rFonts w:eastAsia="黑体"/>
          <w:color w:val="auto"/>
          <w:sz w:val="28"/>
          <w:highlight w:val="none"/>
        </w:rPr>
      </w:pPr>
      <w:r>
        <w:rPr>
          <w:rFonts w:eastAsia="黑体"/>
          <w:color w:val="auto"/>
          <w:sz w:val="28"/>
          <w:highlight w:val="none"/>
        </w:rPr>
        <w:t>岳阳水文水情会商分中心项目（</w:t>
      </w:r>
      <w:r>
        <w:rPr>
          <w:rFonts w:hint="eastAsia" w:eastAsia="黑体"/>
          <w:color w:val="auto"/>
          <w:sz w:val="28"/>
          <w:highlight w:val="none"/>
        </w:rPr>
        <w:t>招标</w:t>
      </w:r>
      <w:r>
        <w:rPr>
          <w:rFonts w:eastAsia="黑体"/>
          <w:color w:val="auto"/>
          <w:sz w:val="28"/>
          <w:highlight w:val="none"/>
        </w:rPr>
        <w:t>项目名称</w:t>
      </w:r>
      <w:r>
        <w:rPr>
          <w:rFonts w:hint="eastAsia" w:eastAsia="黑体"/>
          <w:color w:val="auto"/>
          <w:sz w:val="28"/>
          <w:highlight w:val="none"/>
        </w:rPr>
        <w:t>及标段）</w:t>
      </w:r>
      <w:r>
        <w:rPr>
          <w:rFonts w:eastAsia="黑体"/>
          <w:color w:val="auto"/>
          <w:sz w:val="28"/>
          <w:highlight w:val="none"/>
        </w:rPr>
        <w:t>施工招标公告</w:t>
      </w:r>
    </w:p>
    <w:p w14:paraId="67406046">
      <w:pPr>
        <w:pStyle w:val="6"/>
        <w:spacing w:before="0" w:after="0" w:line="360" w:lineRule="auto"/>
        <w:rPr>
          <w:rFonts w:ascii="Times New Roman" w:hAnsi="Times New Roman" w:eastAsia="黑体"/>
          <w:b w:val="0"/>
          <w:bCs w:val="0"/>
          <w:color w:val="auto"/>
          <w:sz w:val="30"/>
          <w:highlight w:val="none"/>
        </w:rPr>
      </w:pPr>
      <w:bookmarkStart w:id="7" w:name="_Toc300677961"/>
      <w:bookmarkStart w:id="8" w:name="_Toc9178495"/>
      <w:bookmarkStart w:id="9" w:name="_Toc80006069"/>
      <w:bookmarkStart w:id="10" w:name="_Toc80006179"/>
      <w:r>
        <w:rPr>
          <w:rFonts w:ascii="Times New Roman" w:hAnsi="Times New Roman" w:eastAsia="黑体"/>
          <w:b w:val="0"/>
          <w:bCs w:val="0"/>
          <w:color w:val="auto"/>
          <w:sz w:val="30"/>
          <w:highlight w:val="none"/>
        </w:rPr>
        <w:t>1.</w:t>
      </w:r>
      <w:bookmarkEnd w:id="7"/>
      <w:r>
        <w:rPr>
          <w:rFonts w:ascii="Times New Roman" w:hAnsi="Times New Roman" w:eastAsia="黑体"/>
          <w:b w:val="0"/>
          <w:bCs w:val="0"/>
          <w:color w:val="auto"/>
          <w:sz w:val="30"/>
          <w:highlight w:val="none"/>
        </w:rPr>
        <w:t>项目概况</w:t>
      </w:r>
      <w:bookmarkEnd w:id="8"/>
      <w:bookmarkEnd w:id="9"/>
      <w:bookmarkEnd w:id="10"/>
    </w:p>
    <w:p w14:paraId="3B94DAFA">
      <w:pPr>
        <w:spacing w:line="360" w:lineRule="auto"/>
        <w:ind w:firstLine="420" w:firstLineChars="200"/>
        <w:rPr>
          <w:color w:val="auto"/>
          <w:highlight w:val="none"/>
        </w:rPr>
      </w:pPr>
      <w:r>
        <w:rPr>
          <w:color w:val="auto"/>
          <w:highlight w:val="none"/>
        </w:rPr>
        <w:t>1.1 审批、核准或备案情况</w:t>
      </w:r>
    </w:p>
    <w:p w14:paraId="44926BF7">
      <w:pPr>
        <w:spacing w:line="360" w:lineRule="auto"/>
        <w:ind w:firstLine="420" w:firstLineChars="200"/>
        <w:rPr>
          <w:color w:val="auto"/>
          <w:highlight w:val="none"/>
        </w:rPr>
      </w:pPr>
      <w:r>
        <w:rPr>
          <w:color w:val="auto"/>
          <w:highlight w:val="none"/>
        </w:rPr>
        <w:t>项目名称</w:t>
      </w:r>
      <w:r>
        <w:rPr>
          <w:color w:val="auto"/>
          <w:highlight w:val="none"/>
          <w:u w:val="single"/>
        </w:rPr>
        <w:t>岳阳水文水情会商分中心项目</w:t>
      </w:r>
      <w:r>
        <w:rPr>
          <w:color w:val="auto"/>
          <w:highlight w:val="none"/>
        </w:rPr>
        <w:t xml:space="preserve"> ，项目审批、核准或备案机关名称</w:t>
      </w:r>
      <w:r>
        <w:rPr>
          <w:rFonts w:hint="eastAsia"/>
          <w:color w:val="auto"/>
          <w:highlight w:val="none"/>
          <w:u w:val="single"/>
          <w:lang w:val="en-US" w:eastAsia="zh-CN"/>
        </w:rPr>
        <w:t>岳阳市发展和改革委员会《关于岳阳市水情会商分中心项目可行性研究报告的批复》、</w:t>
      </w:r>
      <w:r>
        <w:rPr>
          <w:color w:val="auto"/>
          <w:highlight w:val="none"/>
          <w:u w:val="single"/>
        </w:rPr>
        <w:t>岳发改审〔2024〕163号</w:t>
      </w:r>
      <w:r>
        <w:rPr>
          <w:rFonts w:hint="eastAsia"/>
          <w:color w:val="auto"/>
          <w:highlight w:val="none"/>
          <w:u w:val="single"/>
          <w:lang w:eastAsia="zh-CN"/>
        </w:rPr>
        <w:t>、项目编号2311-430600-04-01-589158</w:t>
      </w:r>
      <w:r>
        <w:rPr>
          <w:color w:val="auto"/>
          <w:highlight w:val="none"/>
        </w:rPr>
        <w:t>批文名称及编号，</w:t>
      </w:r>
      <w:r>
        <w:rPr>
          <w:rFonts w:hint="eastAsia"/>
          <w:color w:val="auto"/>
          <w:highlight w:val="none"/>
          <w:lang w:eastAsia="zh-CN"/>
        </w:rPr>
        <w:t>建设单位</w:t>
      </w:r>
      <w:r>
        <w:rPr>
          <w:color w:val="auto"/>
          <w:highlight w:val="none"/>
        </w:rPr>
        <w:t>为</w:t>
      </w:r>
      <w:r>
        <w:rPr>
          <w:rFonts w:hint="eastAsia"/>
          <w:color w:val="auto"/>
          <w:highlight w:val="none"/>
          <w:u w:val="single"/>
          <w:lang w:eastAsia="zh-CN"/>
        </w:rPr>
        <w:t>湖南省岳阳水文水资源勘测中心</w:t>
      </w:r>
      <w:r>
        <w:rPr>
          <w:color w:val="auto"/>
          <w:highlight w:val="none"/>
        </w:rPr>
        <w:t>，</w:t>
      </w:r>
      <w:r>
        <w:rPr>
          <w:rFonts w:hint="eastAsia"/>
          <w:color w:val="auto"/>
          <w:highlight w:val="none"/>
        </w:rPr>
        <w:t>招标人为</w:t>
      </w:r>
      <w:r>
        <w:rPr>
          <w:rFonts w:hint="eastAsia"/>
          <w:color w:val="auto"/>
          <w:highlight w:val="none"/>
          <w:u w:val="single"/>
          <w:lang w:eastAsia="zh-CN"/>
        </w:rPr>
        <w:t>湖南省岳阳水文水资源勘测中心</w:t>
      </w:r>
      <w:r>
        <w:rPr>
          <w:color w:val="auto"/>
          <w:highlight w:val="none"/>
        </w:rPr>
        <w:t>，项目总投资为</w:t>
      </w:r>
      <w:r>
        <w:rPr>
          <w:rFonts w:hint="eastAsia"/>
          <w:color w:val="auto"/>
          <w:highlight w:val="none"/>
          <w:u w:val="single"/>
          <w:lang w:val="en-US" w:eastAsia="zh-CN"/>
        </w:rPr>
        <w:t>490.251885万元</w:t>
      </w:r>
      <w:r>
        <w:rPr>
          <w:color w:val="auto"/>
          <w:highlight w:val="none"/>
        </w:rPr>
        <w:t>，资金来源</w:t>
      </w:r>
      <w:r>
        <w:rPr>
          <w:rFonts w:hint="eastAsia"/>
          <w:color w:val="auto"/>
          <w:highlight w:val="none"/>
        </w:rPr>
        <w:t>和落实情况</w:t>
      </w:r>
      <w:r>
        <w:rPr>
          <w:rFonts w:hint="eastAsia"/>
          <w:color w:val="auto"/>
          <w:highlight w:val="none"/>
          <w:u w:val="single"/>
          <w:lang w:val="en-US" w:eastAsia="zh-CN"/>
        </w:rPr>
        <w:t>自筹及省水文中心支持、已落实</w:t>
      </w:r>
      <w:r>
        <w:rPr>
          <w:color w:val="auto"/>
          <w:highlight w:val="none"/>
        </w:rPr>
        <w:t>。</w:t>
      </w:r>
    </w:p>
    <w:p w14:paraId="3DE65C4F">
      <w:pPr>
        <w:spacing w:line="360" w:lineRule="auto"/>
        <w:ind w:firstLine="420" w:firstLineChars="200"/>
        <w:rPr>
          <w:color w:val="auto"/>
          <w:highlight w:val="none"/>
        </w:rPr>
      </w:pPr>
      <w:r>
        <w:rPr>
          <w:color w:val="auto"/>
          <w:highlight w:val="none"/>
        </w:rPr>
        <w:t>1.2招标项目概况</w:t>
      </w:r>
    </w:p>
    <w:p w14:paraId="4BC0DCC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color w:val="auto"/>
          <w:highlight w:val="none"/>
        </w:rPr>
        <w:t>1.</w:t>
      </w:r>
      <w:r>
        <w:rPr>
          <w:color w:val="auto"/>
          <w:szCs w:val="21"/>
          <w:highlight w:val="none"/>
        </w:rPr>
        <w:t>2.1  招标项目或标段（以下简称：招标项目）名称：</w:t>
      </w:r>
      <w:r>
        <w:rPr>
          <w:color w:val="auto"/>
          <w:highlight w:val="none"/>
          <w:u w:val="single"/>
        </w:rPr>
        <w:t>岳阳水文水情会商分中心项目</w:t>
      </w:r>
      <w:r>
        <w:rPr>
          <w:color w:val="auto"/>
          <w:highlight w:val="none"/>
        </w:rPr>
        <w:t>；</w:t>
      </w:r>
    </w:p>
    <w:p w14:paraId="44A0034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rPr>
      </w:pPr>
      <w:r>
        <w:rPr>
          <w:color w:val="auto"/>
          <w:highlight w:val="none"/>
        </w:rPr>
        <w:t>1.</w:t>
      </w:r>
      <w:r>
        <w:rPr>
          <w:color w:val="auto"/>
          <w:szCs w:val="21"/>
          <w:highlight w:val="none"/>
        </w:rPr>
        <w:t>2.2  建设地点：</w:t>
      </w:r>
      <w:r>
        <w:rPr>
          <w:color w:val="auto"/>
          <w:highlight w:val="none"/>
          <w:u w:val="single"/>
        </w:rPr>
        <w:t>岳阳水文测报中心大楼东侧</w:t>
      </w:r>
      <w:r>
        <w:rPr>
          <w:color w:val="auto"/>
          <w:highlight w:val="none"/>
        </w:rPr>
        <w:t>；</w:t>
      </w:r>
    </w:p>
    <w:p w14:paraId="067A145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eastAsia="宋体"/>
          <w:color w:val="auto"/>
          <w:szCs w:val="21"/>
          <w:highlight w:val="none"/>
          <w:lang w:eastAsia="zh-CN"/>
        </w:rPr>
      </w:pPr>
      <w:r>
        <w:rPr>
          <w:color w:val="auto"/>
          <w:highlight w:val="none"/>
        </w:rPr>
        <w:t>1.</w:t>
      </w:r>
      <w:r>
        <w:rPr>
          <w:color w:val="auto"/>
          <w:szCs w:val="21"/>
          <w:highlight w:val="none"/>
        </w:rPr>
        <w:t>2.3  项目基本情况</w:t>
      </w:r>
      <w:r>
        <w:rPr>
          <w:rFonts w:hint="eastAsia"/>
          <w:color w:val="auto"/>
          <w:szCs w:val="21"/>
          <w:highlight w:val="none"/>
          <w:lang w:eastAsia="zh-CN"/>
        </w:rPr>
        <w:t>：</w:t>
      </w:r>
    </w:p>
    <w:p w14:paraId="773C7017">
      <w:pPr>
        <w:snapToGrid w:val="0"/>
        <w:spacing w:line="360" w:lineRule="auto"/>
        <w:ind w:firstLine="315" w:firstLineChars="150"/>
        <w:rPr>
          <w:rFonts w:ascii="Times New Roman" w:hAnsi="Times New Roman" w:eastAsia="宋体" w:cs="Times New Roman"/>
          <w:color w:val="auto"/>
          <w:kern w:val="2"/>
          <w:sz w:val="21"/>
          <w:szCs w:val="24"/>
          <w:highlight w:val="none"/>
          <w:u w:val="single"/>
          <w:lang w:val="en-US" w:eastAsia="zh-CN" w:bidi="ar-SA"/>
        </w:rPr>
      </w:pPr>
      <w:r>
        <w:rPr>
          <w:rFonts w:hint="eastAsia" w:ascii="Times New Roman" w:hAnsi="Times New Roman" w:eastAsia="宋体" w:cs="Times New Roman"/>
          <w:color w:val="auto"/>
          <w:kern w:val="2"/>
          <w:sz w:val="21"/>
          <w:szCs w:val="24"/>
          <w:highlight w:val="none"/>
          <w:u w:val="single"/>
          <w:lang w:val="en-US" w:eastAsia="zh-CN" w:bidi="ar-SA"/>
        </w:rPr>
        <w:t>主要新建钢框架结构水情会商分中心一处，共3层，总高度15.8米，最大跨度</w:t>
      </w:r>
      <w:r>
        <w:rPr>
          <w:rFonts w:hint="eastAsia" w:cs="Times New Roman"/>
          <w:color w:val="auto"/>
          <w:kern w:val="2"/>
          <w:sz w:val="21"/>
          <w:szCs w:val="24"/>
          <w:highlight w:val="none"/>
          <w:u w:val="single"/>
          <w:lang w:val="en-US" w:eastAsia="zh-CN" w:bidi="ar-SA"/>
        </w:rPr>
        <w:t>2</w:t>
      </w:r>
      <w:r>
        <w:rPr>
          <w:rFonts w:hint="eastAsia" w:ascii="Times New Roman" w:hAnsi="Times New Roman" w:eastAsia="宋体" w:cs="Times New Roman"/>
          <w:color w:val="auto"/>
          <w:kern w:val="2"/>
          <w:sz w:val="21"/>
          <w:szCs w:val="24"/>
          <w:highlight w:val="none"/>
          <w:u w:val="single"/>
          <w:lang w:val="en-US" w:eastAsia="zh-CN" w:bidi="ar-SA"/>
        </w:rPr>
        <w:t>0米</w:t>
      </w:r>
      <w:r>
        <w:rPr>
          <w:rFonts w:ascii="Times New Roman" w:hAnsi="Times New Roman" w:eastAsia="宋体" w:cs="Times New Roman"/>
          <w:color w:val="auto"/>
          <w:kern w:val="2"/>
          <w:sz w:val="21"/>
          <w:szCs w:val="24"/>
          <w:highlight w:val="none"/>
          <w:u w:val="single"/>
          <w:lang w:val="en-US" w:eastAsia="zh-CN" w:bidi="ar-SA"/>
        </w:rPr>
        <w:t>。项目规划净用地面积2894.30平方米，总建筑面积2051.16平方米，建筑占地面 积683.72平方米，并配套建设供电、给排水等设施；</w:t>
      </w:r>
    </w:p>
    <w:p w14:paraId="57F976D8">
      <w:pPr>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 “</w:t>
      </w:r>
      <w:r>
        <w:rPr>
          <w:rFonts w:hint="eastAsia"/>
          <w:color w:val="auto"/>
          <w:szCs w:val="32"/>
          <w:highlight w:val="none"/>
        </w:rPr>
        <w:t>建筑类型、</w:t>
      </w:r>
      <w:r>
        <w:rPr>
          <w:color w:val="auto"/>
          <w:szCs w:val="32"/>
          <w:highlight w:val="none"/>
        </w:rPr>
        <w:t>结构、层数、高度、建筑面积、跨度、单项合同额</w:t>
      </w:r>
      <w:r>
        <w:rPr>
          <w:rFonts w:hint="eastAsia" w:ascii="宋体" w:hAnsi="宋体"/>
          <w:color w:val="auto"/>
          <w:szCs w:val="21"/>
          <w:highlight w:val="none"/>
        </w:rPr>
        <w:t>等</w:t>
      </w:r>
      <w:r>
        <w:rPr>
          <w:rFonts w:hint="eastAsia" w:ascii="宋体" w:hAnsi="宋体"/>
          <w:color w:val="auto"/>
          <w:szCs w:val="21"/>
          <w:highlight w:val="none"/>
          <w:lang w:val="en-US" w:eastAsia="zh-CN"/>
        </w:rPr>
        <w:t>”</w:t>
      </w:r>
      <w:r>
        <w:rPr>
          <w:rFonts w:hint="eastAsia" w:ascii="宋体" w:hAnsi="宋体"/>
          <w:color w:val="auto"/>
          <w:szCs w:val="21"/>
          <w:highlight w:val="none"/>
        </w:rPr>
        <w:t>；市政基础设施工程要求的相关指标</w:t>
      </w:r>
      <w:r>
        <w:rPr>
          <w:rFonts w:hint="eastAsia" w:ascii="宋体" w:hAnsi="宋体"/>
          <w:color w:val="auto"/>
          <w:szCs w:val="21"/>
          <w:highlight w:val="none"/>
          <w:lang w:val="en-US" w:eastAsia="zh-CN"/>
        </w:rPr>
        <w:t>、特征</w:t>
      </w:r>
      <w:r>
        <w:rPr>
          <w:rFonts w:hint="eastAsia" w:ascii="宋体" w:hAnsi="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w:t>
      </w:r>
      <w:r>
        <w:rPr>
          <w:rFonts w:hint="eastAsia" w:ascii="宋体" w:hAnsi="宋体"/>
          <w:color w:val="auto"/>
          <w:szCs w:val="21"/>
          <w:highlight w:val="none"/>
          <w:lang w:val="en-US" w:eastAsia="zh-CN"/>
        </w:rPr>
        <w:t>等”</w:t>
      </w:r>
      <w:r>
        <w:rPr>
          <w:rFonts w:hint="eastAsia" w:ascii="宋体" w:hAnsi="宋体"/>
          <w:color w:val="auto"/>
          <w:szCs w:val="21"/>
          <w:highlight w:val="none"/>
        </w:rPr>
        <w:t>）</w:t>
      </w:r>
    </w:p>
    <w:p w14:paraId="1C34AF2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auto"/>
          <w:szCs w:val="21"/>
          <w:highlight w:val="none"/>
        </w:rPr>
      </w:pPr>
      <w:r>
        <w:rPr>
          <w:color w:val="auto"/>
          <w:szCs w:val="21"/>
          <w:highlight w:val="none"/>
        </w:rPr>
        <w:t xml:space="preserve">1.2.4  </w:t>
      </w:r>
      <w:r>
        <w:rPr>
          <w:rFonts w:hint="eastAsia" w:ascii="宋体" w:hAnsi="宋体"/>
          <w:color w:val="auto"/>
          <w:szCs w:val="21"/>
          <w:highlight w:val="none"/>
        </w:rPr>
        <w:t>标段划分：</w:t>
      </w:r>
      <w:r>
        <w:rPr>
          <w:rFonts w:hint="eastAsia"/>
          <w:color w:val="auto"/>
          <w:szCs w:val="21"/>
          <w:highlight w:val="none"/>
          <w:u w:val="single"/>
          <w:lang w:val="en-US" w:eastAsia="zh-CN"/>
        </w:rPr>
        <w:t>一个标段</w:t>
      </w:r>
      <w:r>
        <w:rPr>
          <w:color w:val="auto"/>
          <w:highlight w:val="none"/>
        </w:rPr>
        <w:t>；</w:t>
      </w:r>
    </w:p>
    <w:p w14:paraId="6413EB9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bookmarkStart w:id="11" w:name="_Hlk53729196"/>
      <w:r>
        <w:rPr>
          <w:rFonts w:hint="eastAsia"/>
          <w:color w:val="auto"/>
          <w:szCs w:val="21"/>
          <w:highlight w:val="none"/>
          <w:u w:val="single"/>
          <w:lang w:val="en-US" w:eastAsia="zh-CN"/>
        </w:rPr>
        <w:t>180</w:t>
      </w:r>
      <w:r>
        <w:rPr>
          <w:rFonts w:hint="eastAsia" w:ascii="宋体" w:hAnsi="宋体"/>
          <w:color w:val="auto"/>
          <w:szCs w:val="21"/>
          <w:highlight w:val="none"/>
          <w:lang w:eastAsia="zh-CN"/>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bookmarkEnd w:id="11"/>
      <w:r>
        <w:rPr>
          <w:color w:val="auto"/>
          <w:highlight w:val="none"/>
        </w:rPr>
        <w:t>；</w:t>
      </w:r>
      <w:r>
        <w:rPr>
          <w:color w:val="auto"/>
          <w:szCs w:val="21"/>
          <w:highlight w:val="none"/>
        </w:rPr>
        <w:t xml:space="preserve"> </w:t>
      </w:r>
    </w:p>
    <w:p w14:paraId="3B91C92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auto"/>
          <w:szCs w:val="21"/>
          <w:highlight w:val="none"/>
          <w:u w:val="single"/>
        </w:rPr>
      </w:pPr>
      <w:r>
        <w:rPr>
          <w:rFonts w:hint="eastAsia"/>
          <w:color w:val="auto"/>
          <w:highlight w:val="none"/>
        </w:rPr>
        <w:t>1.4 招标范围：</w:t>
      </w:r>
      <w:r>
        <w:rPr>
          <w:rFonts w:hint="eastAsia" w:ascii="宋体" w:hAnsi="宋体" w:eastAsia="宋体" w:cs="宋体"/>
          <w:i w:val="0"/>
          <w:iCs w:val="0"/>
          <w:caps w:val="0"/>
          <w:color w:val="555555"/>
          <w:spacing w:val="0"/>
          <w:sz w:val="21"/>
          <w:szCs w:val="21"/>
          <w:u w:val="single"/>
          <w:shd w:val="clear" w:fill="FFFFFF"/>
        </w:rPr>
        <w:t>完成经审核后施工图上的全部施工工作内容及保修服务。施工范围最终以招标人和建设行政主管部门审查核准的施工图和工程量清单为准</w:t>
      </w:r>
      <w:r>
        <w:rPr>
          <w:rFonts w:hint="eastAsia"/>
          <w:color w:val="auto"/>
          <w:highlight w:val="none"/>
        </w:rPr>
        <w:t>；</w:t>
      </w:r>
    </w:p>
    <w:p w14:paraId="7C9E1888">
      <w:pPr>
        <w:snapToGrid w:val="0"/>
        <w:spacing w:line="360" w:lineRule="auto"/>
        <w:ind w:firstLine="315" w:firstLineChars="150"/>
        <w:rPr>
          <w:color w:val="auto"/>
          <w:szCs w:val="21"/>
          <w:highlight w:val="none"/>
        </w:rPr>
      </w:pPr>
    </w:p>
    <w:p w14:paraId="1353825B">
      <w:pPr>
        <w:pStyle w:val="6"/>
        <w:spacing w:before="0" w:after="0" w:line="360" w:lineRule="auto"/>
        <w:rPr>
          <w:rFonts w:ascii="Times New Roman" w:hAnsi="Times New Roman" w:eastAsia="黑体"/>
          <w:b w:val="0"/>
          <w:bCs w:val="0"/>
          <w:color w:val="auto"/>
          <w:sz w:val="30"/>
          <w:highlight w:val="none"/>
        </w:rPr>
      </w:pPr>
      <w:bookmarkStart w:id="12" w:name="_Toc80006180"/>
      <w:bookmarkStart w:id="13" w:name="_Toc300677963"/>
      <w:bookmarkStart w:id="14" w:name="_Toc9178496"/>
      <w:bookmarkStart w:id="15" w:name="_Toc80006070"/>
      <w:r>
        <w:rPr>
          <w:rFonts w:ascii="Times New Roman" w:hAnsi="Times New Roman" w:eastAsia="黑体"/>
          <w:b w:val="0"/>
          <w:bCs w:val="0"/>
          <w:color w:val="auto"/>
          <w:sz w:val="30"/>
          <w:highlight w:val="none"/>
        </w:rPr>
        <w:t>2.资格要求</w:t>
      </w:r>
      <w:bookmarkEnd w:id="12"/>
      <w:bookmarkEnd w:id="13"/>
      <w:bookmarkEnd w:id="14"/>
      <w:bookmarkEnd w:id="15"/>
    </w:p>
    <w:p w14:paraId="74512A3A">
      <w:pPr>
        <w:spacing w:line="360" w:lineRule="auto"/>
        <w:ind w:firstLine="420" w:firstLineChars="200"/>
        <w:rPr>
          <w:color w:val="auto"/>
          <w:highlight w:val="none"/>
        </w:rPr>
      </w:pPr>
      <w:r>
        <w:rPr>
          <w:color w:val="auto"/>
          <w:highlight w:val="none"/>
        </w:rPr>
        <w:t xml:space="preserve">2.1  具有独立法人资格并依法取得企业营业执照，营业执照处于有效期； </w:t>
      </w:r>
    </w:p>
    <w:p w14:paraId="07F10BD0">
      <w:pPr>
        <w:spacing w:line="360" w:lineRule="auto"/>
        <w:ind w:firstLine="420" w:firstLineChars="200"/>
        <w:rPr>
          <w:color w:val="auto"/>
          <w:highlight w:val="none"/>
        </w:rPr>
      </w:pPr>
      <w:r>
        <w:rPr>
          <w:color w:val="auto"/>
          <w:highlight w:val="none"/>
        </w:rPr>
        <w:t xml:space="preserve">2.2  </w:t>
      </w:r>
      <w:r>
        <w:rPr>
          <w:rFonts w:hint="eastAsia"/>
          <w:color w:val="auto"/>
          <w:highlight w:val="none"/>
        </w:rPr>
        <w:t>具备住房城乡建设主管部门颁发的</w:t>
      </w:r>
      <w:r>
        <w:rPr>
          <w:rFonts w:hint="eastAsia"/>
          <w:color w:val="auto"/>
          <w:highlight w:val="none"/>
          <w:u w:val="single"/>
        </w:rPr>
        <w:t>建筑工程施工总承包叁级及以上资质</w:t>
      </w:r>
      <w:r>
        <w:rPr>
          <w:rFonts w:hint="eastAsia"/>
          <w:color w:val="auto"/>
          <w:highlight w:val="none"/>
        </w:rPr>
        <w:t>，安全生产许可证处于有效期；(施工企业叁级资质参与中标的，应按湘建法[2024]10号文的要求完成换证，否则，取消其中标资格)</w:t>
      </w:r>
      <w:r>
        <w:rPr>
          <w:color w:val="auto"/>
          <w:highlight w:val="none"/>
        </w:rPr>
        <w:t>；</w:t>
      </w:r>
    </w:p>
    <w:p w14:paraId="68778030">
      <w:pPr>
        <w:spacing w:line="360" w:lineRule="auto"/>
        <w:ind w:firstLine="420" w:firstLineChars="200"/>
        <w:rPr>
          <w:color w:val="auto"/>
          <w:highlight w:val="none"/>
        </w:rPr>
      </w:pPr>
      <w:r>
        <w:rPr>
          <w:color w:val="auto"/>
          <w:highlight w:val="none"/>
        </w:rPr>
        <w:t>2.3  拟任项目经理具备</w:t>
      </w:r>
      <w:r>
        <w:rPr>
          <w:rFonts w:hint="eastAsia" w:ascii="宋体" w:hAnsi="宋体" w:eastAsia="宋体" w:cs="宋体"/>
          <w:i w:val="0"/>
          <w:iCs w:val="0"/>
          <w:caps w:val="0"/>
          <w:color w:val="555555"/>
          <w:spacing w:val="0"/>
          <w:sz w:val="21"/>
          <w:szCs w:val="21"/>
          <w:u w:val="single"/>
          <w:shd w:val="clear" w:fill="FFFFFF"/>
        </w:rPr>
        <w:t>建筑工程</w:t>
      </w:r>
      <w:r>
        <w:rPr>
          <w:color w:val="auto"/>
          <w:highlight w:val="none"/>
        </w:rPr>
        <w:t>专业</w:t>
      </w:r>
      <w:r>
        <w:rPr>
          <w:rFonts w:hint="eastAsia" w:ascii="宋体" w:hAnsi="宋体" w:eastAsia="宋体" w:cs="宋体"/>
          <w:i w:val="0"/>
          <w:iCs w:val="0"/>
          <w:caps w:val="0"/>
          <w:color w:val="555555"/>
          <w:spacing w:val="0"/>
          <w:sz w:val="21"/>
          <w:szCs w:val="21"/>
          <w:u w:val="single"/>
          <w:shd w:val="clear" w:fill="FFFFFF"/>
        </w:rPr>
        <w:t>二级及以上注册建造师</w:t>
      </w:r>
      <w:r>
        <w:rPr>
          <w:color w:val="auto"/>
          <w:highlight w:val="none"/>
        </w:rPr>
        <w:t>资格，具备</w:t>
      </w:r>
      <w:r>
        <w:rPr>
          <w:color w:val="auto"/>
          <w:highlight w:val="none"/>
          <w:u w:val="single"/>
        </w:rPr>
        <w:t>项目负责人安全生产考核合格证书</w:t>
      </w:r>
      <w:r>
        <w:rPr>
          <w:color w:val="auto"/>
          <w:highlight w:val="none"/>
        </w:rPr>
        <w:t>；</w:t>
      </w:r>
    </w:p>
    <w:p w14:paraId="34F7CDF1">
      <w:pPr>
        <w:spacing w:line="360" w:lineRule="auto"/>
        <w:ind w:firstLine="420" w:firstLineChars="200"/>
        <w:rPr>
          <w:color w:val="auto"/>
          <w:highlight w:val="none"/>
          <w:u w:val="single"/>
        </w:rPr>
      </w:pPr>
      <w:r>
        <w:rPr>
          <w:color w:val="auto"/>
          <w:highlight w:val="none"/>
        </w:rPr>
        <w:t>2.</w:t>
      </w:r>
      <w:r>
        <w:rPr>
          <w:rFonts w:hint="eastAsia"/>
          <w:color w:val="auto"/>
          <w:highlight w:val="none"/>
          <w:lang w:val="en-US" w:eastAsia="zh-CN"/>
        </w:rPr>
        <w:t>4</w:t>
      </w:r>
      <w:r>
        <w:rPr>
          <w:color w:val="auto"/>
          <w:highlight w:val="none"/>
        </w:rPr>
        <w:t xml:space="preserve">  本次招标   </w:t>
      </w:r>
      <w:r>
        <w:rPr>
          <w:rFonts w:hint="eastAsia" w:ascii="宋体" w:hAnsi="宋体" w:cs="宋体"/>
          <w:color w:val="auto"/>
          <w:szCs w:val="21"/>
          <w:highlight w:val="none"/>
        </w:rPr>
        <w:sym w:font="Wingdings 2" w:char="00A3"/>
      </w:r>
      <w:r>
        <w:rPr>
          <w:color w:val="auto"/>
          <w:highlight w:val="none"/>
        </w:rPr>
        <w:t>接受联合体投标</w:t>
      </w:r>
      <w:r>
        <w:rPr>
          <w:rFonts w:hint="eastAsia"/>
          <w:color w:val="auto"/>
          <w:highlight w:val="none"/>
        </w:rPr>
        <w:t>，联合体投标的相关要求见投标人须知前附表</w:t>
      </w:r>
    </w:p>
    <w:p w14:paraId="63A4A222">
      <w:pPr>
        <w:spacing w:line="360" w:lineRule="auto"/>
        <w:ind w:firstLine="2100" w:firstLineChars="1000"/>
        <w:rPr>
          <w:color w:val="auto"/>
          <w:highlight w:val="none"/>
        </w:rPr>
      </w:pPr>
      <w:r>
        <w:rPr>
          <w:rFonts w:hint="eastAsia" w:ascii="宋体" w:hAnsi="宋体" w:cs="宋体"/>
          <w:color w:val="auto"/>
          <w:szCs w:val="21"/>
          <w:highlight w:val="none"/>
        </w:rPr>
        <w:sym w:font="Wingdings 2" w:char="0052"/>
      </w:r>
      <w:r>
        <w:rPr>
          <w:color w:val="auto"/>
          <w:highlight w:val="none"/>
        </w:rPr>
        <w:t>不接受联合体投标</w:t>
      </w:r>
    </w:p>
    <w:p w14:paraId="0A683DA1">
      <w:pPr>
        <w:spacing w:line="360" w:lineRule="auto"/>
        <w:ind w:left="199" w:leftChars="95" w:firstLine="210" w:firstLineChars="100"/>
        <w:rPr>
          <w:color w:val="auto"/>
          <w:highlight w:val="none"/>
        </w:rPr>
      </w:pPr>
      <w:r>
        <w:rPr>
          <w:color w:val="auto"/>
          <w:highlight w:val="none"/>
        </w:rPr>
        <w:t>2.</w:t>
      </w:r>
      <w:r>
        <w:rPr>
          <w:rFonts w:hint="eastAsia"/>
          <w:color w:val="auto"/>
          <w:highlight w:val="none"/>
          <w:lang w:val="en-US" w:eastAsia="zh-CN"/>
        </w:rPr>
        <w:t>5</w:t>
      </w:r>
      <w:r>
        <w:rPr>
          <w:color w:val="auto"/>
          <w:highlight w:val="none"/>
        </w:rPr>
        <w:t xml:space="preserve">  投标人可</w:t>
      </w:r>
      <w:r>
        <w:rPr>
          <w:rFonts w:hint="eastAsia"/>
          <w:color w:val="auto"/>
          <w:highlight w:val="none"/>
        </w:rPr>
        <w:t>以</w:t>
      </w:r>
      <w:r>
        <w:rPr>
          <w:color w:val="auto"/>
          <w:highlight w:val="none"/>
        </w:rPr>
        <w:t>就本招标项目上述标段中的</w:t>
      </w:r>
      <w:r>
        <w:rPr>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color w:val="auto"/>
          <w:highlight w:val="none"/>
        </w:rPr>
        <w:t>个标段投标，但最多允许中标</w:t>
      </w:r>
      <w:r>
        <w:rPr>
          <w:color w:val="auto"/>
          <w:highlight w:val="none"/>
          <w:u w:val="single"/>
        </w:rPr>
        <w:t xml:space="preserve"> </w:t>
      </w:r>
      <w:r>
        <w:rPr>
          <w:rFonts w:hint="eastAsia"/>
          <w:color w:val="auto"/>
          <w:highlight w:val="none"/>
          <w:u w:val="single"/>
          <w:lang w:val="en-US" w:eastAsia="zh-CN"/>
        </w:rPr>
        <w:t>/</w:t>
      </w:r>
      <w:r>
        <w:rPr>
          <w:color w:val="auto"/>
          <w:highlight w:val="none"/>
        </w:rPr>
        <w:t>个标段（适用于分标段的招标项目）；</w:t>
      </w:r>
    </w:p>
    <w:p w14:paraId="5FC7D081">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6</w:t>
      </w:r>
      <w:r>
        <w:rPr>
          <w:color w:val="auto"/>
          <w:highlight w:val="none"/>
        </w:rPr>
        <w:t xml:space="preserve"> 类似工程业绩要求：</w:t>
      </w:r>
    </w:p>
    <w:p w14:paraId="22FE723F">
      <w:pPr>
        <w:spacing w:line="360" w:lineRule="auto"/>
        <w:ind w:firstLine="420" w:firstLineChars="200"/>
        <w:rPr>
          <w:color w:val="auto"/>
          <w:highlight w:val="none"/>
        </w:rPr>
      </w:pPr>
      <w:r>
        <w:rPr>
          <w:color w:val="auto"/>
          <w:highlight w:val="none"/>
        </w:rPr>
        <w:t xml:space="preserve">  </w:t>
      </w:r>
      <w:r>
        <w:rPr>
          <w:rFonts w:hint="eastAsia" w:ascii="宋体" w:hAnsi="宋体" w:cs="宋体"/>
          <w:color w:val="auto"/>
          <w:szCs w:val="21"/>
          <w:highlight w:val="none"/>
        </w:rPr>
        <w:sym w:font="Wingdings 2" w:char="0052"/>
      </w:r>
      <w:r>
        <w:rPr>
          <w:color w:val="auto"/>
          <w:szCs w:val="21"/>
          <w:highlight w:val="none"/>
        </w:rPr>
        <w:t>不要求，</w:t>
      </w:r>
      <w:r>
        <w:rPr>
          <w:color w:val="auto"/>
          <w:highlight w:val="none"/>
        </w:rPr>
        <w:t xml:space="preserve"> </w:t>
      </w:r>
    </w:p>
    <w:p w14:paraId="22BFAFD6">
      <w:pPr>
        <w:spacing w:line="360" w:lineRule="auto"/>
        <w:ind w:firstLine="630" w:firstLineChars="300"/>
        <w:rPr>
          <w:color w:val="auto"/>
          <w:szCs w:val="21"/>
          <w:highlight w:val="none"/>
        </w:rPr>
      </w:pPr>
      <w:r>
        <w:rPr>
          <w:rFonts w:hint="eastAsia" w:ascii="宋体" w:hAnsi="宋体" w:cs="宋体"/>
          <w:color w:val="auto"/>
          <w:szCs w:val="21"/>
          <w:highlight w:val="none"/>
        </w:rPr>
        <w:sym w:font="Wingdings 2" w:char="00A3"/>
      </w:r>
      <w:r>
        <w:rPr>
          <w:color w:val="auto"/>
          <w:szCs w:val="21"/>
          <w:highlight w:val="none"/>
        </w:rPr>
        <w:t>要求，（由招标人在以下工程业绩中勾选一项）</w:t>
      </w:r>
    </w:p>
    <w:p w14:paraId="1EB6CBFD">
      <w:pPr>
        <w:spacing w:line="360" w:lineRule="auto"/>
        <w:ind w:firstLine="1050" w:firstLineChars="500"/>
        <w:rPr>
          <w:color w:val="auto"/>
          <w:highlight w:val="none"/>
        </w:rPr>
      </w:pPr>
      <w:r>
        <w:rPr>
          <w:rFonts w:hint="eastAsia" w:ascii="宋体" w:hAnsi="宋体" w:cs="宋体"/>
          <w:color w:val="auto"/>
          <w:szCs w:val="21"/>
          <w:highlight w:val="none"/>
        </w:rPr>
        <w:sym w:font="Wingdings 2" w:char="00A3"/>
      </w:r>
      <w:r>
        <w:rPr>
          <w:color w:val="auto"/>
          <w:highlight w:val="none"/>
        </w:rPr>
        <w:t xml:space="preserve">企业承担过1项类似工程； </w:t>
      </w:r>
      <w:r>
        <w:rPr>
          <w:rFonts w:hint="eastAsia" w:ascii="宋体" w:hAnsi="宋体" w:cs="宋体"/>
          <w:color w:val="auto"/>
          <w:szCs w:val="21"/>
          <w:highlight w:val="none"/>
        </w:rPr>
        <w:sym w:font="Wingdings 2" w:char="00A3"/>
      </w:r>
      <w:r>
        <w:rPr>
          <w:color w:val="auto"/>
          <w:szCs w:val="21"/>
          <w:highlight w:val="none"/>
        </w:rPr>
        <w:t xml:space="preserve"> </w:t>
      </w:r>
      <w:r>
        <w:rPr>
          <w:color w:val="auto"/>
          <w:highlight w:val="none"/>
        </w:rPr>
        <w:t xml:space="preserve">拟任项目经理承担过1项类似工程 </w:t>
      </w:r>
    </w:p>
    <w:p w14:paraId="3B7E5D70">
      <w:pPr>
        <w:spacing w:line="360" w:lineRule="auto"/>
        <w:ind w:firstLine="420" w:firstLineChars="200"/>
        <w:rPr>
          <w:color w:val="auto"/>
          <w:highlight w:val="none"/>
        </w:rPr>
      </w:pPr>
      <w:r>
        <w:rPr>
          <w:color w:val="auto"/>
          <w:highlight w:val="none"/>
        </w:rPr>
        <w:t>2.</w:t>
      </w:r>
      <w:r>
        <w:rPr>
          <w:rFonts w:hint="eastAsia"/>
          <w:color w:val="auto"/>
          <w:highlight w:val="none"/>
          <w:lang w:val="en-US" w:eastAsia="zh-CN"/>
        </w:rPr>
        <w:t>7</w:t>
      </w:r>
      <w:r>
        <w:rPr>
          <w:color w:val="auto"/>
          <w:highlight w:val="none"/>
        </w:rPr>
        <w:t xml:space="preserve">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olor w:val="auto"/>
          <w:highlight w:val="none"/>
        </w:rPr>
        <w:t>。</w:t>
      </w:r>
    </w:p>
    <w:p w14:paraId="14A54C13">
      <w:pPr>
        <w:snapToGrid w:val="0"/>
        <w:spacing w:line="460" w:lineRule="exact"/>
        <w:ind w:firstLine="630" w:firstLineChars="300"/>
        <w:rPr>
          <w:color w:val="auto"/>
          <w:highlight w:val="none"/>
        </w:rPr>
      </w:pPr>
      <w:r>
        <w:rPr>
          <w:color w:val="auto"/>
          <w:highlight w:val="none"/>
        </w:rPr>
        <w:t>投标人资格</w:t>
      </w:r>
      <w:r>
        <w:rPr>
          <w:rFonts w:hint="eastAsia"/>
          <w:color w:val="auto"/>
          <w:highlight w:val="none"/>
        </w:rPr>
        <w:t>具体要求</w:t>
      </w:r>
      <w:r>
        <w:rPr>
          <w:color w:val="auto"/>
          <w:highlight w:val="none"/>
        </w:rPr>
        <w:t>详见第二章投标人须知前附表。</w:t>
      </w:r>
    </w:p>
    <w:p w14:paraId="73DFE019">
      <w:pPr>
        <w:pStyle w:val="6"/>
        <w:spacing w:before="0" w:after="0" w:line="360" w:lineRule="auto"/>
        <w:rPr>
          <w:rFonts w:hint="eastAsia" w:ascii="Times New Roman" w:hAnsi="Times New Roman" w:eastAsia="黑体"/>
          <w:b w:val="0"/>
          <w:bCs w:val="0"/>
          <w:color w:val="auto"/>
          <w:sz w:val="30"/>
          <w:highlight w:val="none"/>
        </w:rPr>
      </w:pPr>
      <w:bookmarkStart w:id="16" w:name="_Toc80006181"/>
      <w:bookmarkStart w:id="17" w:name="_Toc80006071"/>
      <w:bookmarkStart w:id="18" w:name="_Toc9178497"/>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16"/>
      <w:bookmarkEnd w:id="17"/>
      <w:bookmarkEnd w:id="18"/>
      <w:r>
        <w:rPr>
          <w:rFonts w:hint="eastAsia" w:ascii="Times New Roman" w:hAnsi="Times New Roman" w:eastAsia="黑体"/>
          <w:b w:val="0"/>
          <w:bCs w:val="0"/>
          <w:color w:val="auto"/>
          <w:sz w:val="30"/>
          <w:highlight w:val="none"/>
        </w:rPr>
        <w:t xml:space="preserve">    </w:t>
      </w:r>
    </w:p>
    <w:p w14:paraId="5B4E282D">
      <w:pPr>
        <w:snapToGrid w:val="0"/>
        <w:spacing w:line="360" w:lineRule="auto"/>
        <w:ind w:firstLine="315" w:firstLineChars="150"/>
        <w:rPr>
          <w:rFonts w:hint="eastAsia"/>
          <w:color w:val="auto"/>
          <w:highlight w:val="none"/>
        </w:rPr>
      </w:pPr>
      <w:bookmarkStart w:id="19" w:name="_Toc9189272"/>
      <w:bookmarkStart w:id="20" w:name="_Toc9178498"/>
      <w:bookmarkStart w:id="21" w:name="_Toc9188856"/>
      <w:bookmarkStart w:id="22" w:name="_Toc9178161"/>
      <w:bookmarkStart w:id="23" w:name="_Toc9178302"/>
      <w:bookmarkStart w:id="24" w:name="_Toc21505371"/>
      <w:r>
        <w:rPr>
          <w:rFonts w:hint="eastAsia"/>
          <w:color w:val="auto"/>
          <w:highlight w:val="none"/>
        </w:rPr>
        <w:t>采用</w:t>
      </w:r>
      <w:bookmarkEnd w:id="19"/>
      <w:bookmarkEnd w:id="20"/>
      <w:bookmarkEnd w:id="21"/>
      <w:bookmarkEnd w:id="22"/>
      <w:bookmarkEnd w:id="23"/>
      <w:bookmarkStart w:id="25" w:name="_Toc9178303"/>
      <w:bookmarkStart w:id="26" w:name="_Toc9178499"/>
      <w:bookmarkStart w:id="27" w:name="_Toc9189273"/>
      <w:bookmarkStart w:id="28" w:name="_Toc9188857"/>
      <w:bookmarkStart w:id="29" w:name="_Toc9178162"/>
      <w:r>
        <w:rPr>
          <w:rFonts w:hint="eastAsia"/>
          <w:color w:val="auto"/>
          <w:highlight w:val="none"/>
        </w:rPr>
        <w:t>资格后审方式</w:t>
      </w:r>
      <w:bookmarkEnd w:id="24"/>
      <w:bookmarkEnd w:id="25"/>
      <w:bookmarkEnd w:id="26"/>
      <w:bookmarkEnd w:id="27"/>
      <w:bookmarkEnd w:id="28"/>
      <w:bookmarkEnd w:id="29"/>
    </w:p>
    <w:p w14:paraId="381F5B6A">
      <w:pPr>
        <w:pStyle w:val="6"/>
        <w:spacing w:before="0" w:after="0" w:line="360" w:lineRule="auto"/>
        <w:ind w:firstLine="300" w:firstLineChars="100"/>
        <w:rPr>
          <w:rFonts w:ascii="Times New Roman" w:hAnsi="Times New Roman" w:eastAsia="黑体"/>
          <w:b w:val="0"/>
          <w:bCs w:val="0"/>
          <w:color w:val="auto"/>
          <w:sz w:val="30"/>
          <w:highlight w:val="none"/>
        </w:rPr>
      </w:pPr>
      <w:bookmarkStart w:id="30" w:name="_Toc80006072"/>
      <w:bookmarkStart w:id="31" w:name="_Toc9178500"/>
      <w:bookmarkStart w:id="32" w:name="_Toc300677967"/>
      <w:bookmarkStart w:id="33" w:name="_Toc80006182"/>
      <w:r>
        <w:rPr>
          <w:rFonts w:ascii="Times New Roman" w:hAnsi="Times New Roman" w:eastAsia="黑体"/>
          <w:b w:val="0"/>
          <w:bCs w:val="0"/>
          <w:color w:val="auto"/>
          <w:sz w:val="30"/>
          <w:highlight w:val="none"/>
        </w:rPr>
        <w:t>4.评标办法</w:t>
      </w:r>
      <w:bookmarkEnd w:id="30"/>
      <w:bookmarkEnd w:id="31"/>
      <w:bookmarkEnd w:id="32"/>
      <w:bookmarkEnd w:id="33"/>
    </w:p>
    <w:p w14:paraId="6038B5E2">
      <w:pPr>
        <w:snapToGrid w:val="0"/>
        <w:spacing w:line="360" w:lineRule="auto"/>
        <w:ind w:firstLine="315" w:firstLineChars="150"/>
        <w:rPr>
          <w:color w:val="auto"/>
          <w:highlight w:val="none"/>
        </w:rPr>
      </w:pPr>
      <w:r>
        <w:rPr>
          <w:rFonts w:hint="eastAsia"/>
          <w:color w:val="auto"/>
          <w:highlight w:val="none"/>
        </w:rPr>
        <w:t>本招标项目采用湘建监督</w:t>
      </w:r>
      <w:r>
        <w:rPr>
          <w:color w:val="auto"/>
          <w:highlight w:val="none"/>
        </w:rPr>
        <w:t>〔</w:t>
      </w:r>
      <w:r>
        <w:rPr>
          <w:rFonts w:hint="eastAsia"/>
          <w:color w:val="auto"/>
          <w:highlight w:val="none"/>
          <w:lang w:val="en-US" w:eastAsia="zh-CN"/>
        </w:rPr>
        <w:t>2024</w:t>
      </w:r>
      <w:r>
        <w:rPr>
          <w:color w:val="auto"/>
          <w:highlight w:val="none"/>
        </w:rPr>
        <w:t>〕</w:t>
      </w:r>
      <w:r>
        <w:rPr>
          <w:rFonts w:hint="eastAsia"/>
          <w:color w:val="auto"/>
          <w:highlight w:val="none"/>
          <w:lang w:val="en-US" w:eastAsia="zh-CN"/>
        </w:rPr>
        <w:t xml:space="preserve">33 </w:t>
      </w:r>
      <w:r>
        <w:rPr>
          <w:rFonts w:hint="eastAsia"/>
          <w:color w:val="auto"/>
          <w:highlight w:val="none"/>
        </w:rPr>
        <w:t>号文件规定的：</w:t>
      </w:r>
      <w:r>
        <w:rPr>
          <w:rFonts w:hint="eastAsia"/>
          <w:color w:val="auto"/>
          <w:highlight w:val="none"/>
        </w:rPr>
        <w:sym w:font="Wingdings 2" w:char="0052"/>
      </w:r>
      <w:r>
        <w:rPr>
          <w:color w:val="auto"/>
          <w:highlight w:val="none"/>
        </w:rPr>
        <w:t>经评审的最低投标价法；</w:t>
      </w:r>
      <w:r>
        <w:rPr>
          <w:rFonts w:hint="eastAsia"/>
          <w:color w:val="auto"/>
          <w:highlight w:val="none"/>
        </w:rPr>
        <w:sym w:font="Wingdings 2" w:char="00A3"/>
      </w:r>
      <w:r>
        <w:rPr>
          <w:color w:val="auto"/>
          <w:highlight w:val="none"/>
        </w:rPr>
        <w:t>综合评估法。</w:t>
      </w:r>
    </w:p>
    <w:p w14:paraId="6DF08CAA">
      <w:pPr>
        <w:pStyle w:val="6"/>
        <w:spacing w:before="0" w:after="0" w:line="360" w:lineRule="auto"/>
        <w:ind w:firstLine="300" w:firstLineChars="100"/>
        <w:rPr>
          <w:rFonts w:ascii="Times New Roman" w:hAnsi="Times New Roman" w:eastAsia="黑体"/>
          <w:b w:val="0"/>
          <w:bCs w:val="0"/>
          <w:color w:val="auto"/>
          <w:sz w:val="30"/>
          <w:highlight w:val="none"/>
        </w:rPr>
      </w:pPr>
      <w:bookmarkStart w:id="34" w:name="_Toc300677964"/>
      <w:bookmarkStart w:id="35" w:name="_Toc9178501"/>
      <w:bookmarkStart w:id="36" w:name="_Toc80006183"/>
      <w:bookmarkStart w:id="37" w:name="_Toc80006073"/>
      <w:r>
        <w:rPr>
          <w:rFonts w:ascii="Times New Roman" w:hAnsi="Times New Roman" w:eastAsia="黑体"/>
          <w:b w:val="0"/>
          <w:bCs w:val="0"/>
          <w:color w:val="auto"/>
          <w:sz w:val="30"/>
          <w:highlight w:val="none"/>
        </w:rPr>
        <w:t>5.招标文件的获取</w:t>
      </w:r>
      <w:bookmarkEnd w:id="34"/>
      <w:bookmarkEnd w:id="35"/>
      <w:bookmarkEnd w:id="36"/>
      <w:bookmarkEnd w:id="37"/>
    </w:p>
    <w:p w14:paraId="4C43274F">
      <w:pPr>
        <w:spacing w:line="360" w:lineRule="auto"/>
        <w:ind w:firstLine="420" w:firstLineChars="200"/>
        <w:rPr>
          <w:color w:val="auto"/>
          <w:highlight w:val="none"/>
        </w:rPr>
      </w:pPr>
      <w:bookmarkStart w:id="38" w:name="_Toc80006078"/>
      <w:bookmarkStart w:id="39" w:name="_Toc80006188"/>
      <w:bookmarkStart w:id="40" w:name="_Toc9178506"/>
      <w:bookmarkStart w:id="41" w:name="_Toc300677971"/>
      <w:r>
        <w:rPr>
          <w:color w:val="auto"/>
          <w:highlight w:val="none"/>
        </w:rPr>
        <w:t>5.1 有投标意愿者，</w:t>
      </w:r>
      <w:r>
        <w:rPr>
          <w:color w:val="FF0000"/>
          <w:highlight w:val="none"/>
        </w:rPr>
        <w:t>请于</w:t>
      </w:r>
      <w:r>
        <w:rPr>
          <w:rFonts w:hint="eastAsia" w:ascii="宋体" w:hAnsi="宋体" w:eastAsia="宋体" w:cs="宋体"/>
          <w:color w:val="FF0000"/>
          <w:highlight w:val="none"/>
        </w:rPr>
        <w:t>2024年11月</w:t>
      </w:r>
      <w:r>
        <w:rPr>
          <w:rFonts w:hint="eastAsia" w:ascii="宋体" w:hAnsi="宋体" w:eastAsia="宋体" w:cs="宋体"/>
          <w:color w:val="FF0000"/>
          <w:highlight w:val="none"/>
          <w:lang w:val="en-US" w:eastAsia="zh-CN"/>
        </w:rPr>
        <w:t>2</w:t>
      </w:r>
      <w:r>
        <w:rPr>
          <w:rFonts w:hint="eastAsia" w:ascii="宋体" w:hAnsi="宋体" w:cs="宋体"/>
          <w:color w:val="FF0000"/>
          <w:highlight w:val="none"/>
          <w:lang w:val="en-US" w:eastAsia="zh-CN"/>
        </w:rPr>
        <w:t>9</w:t>
      </w:r>
      <w:r>
        <w:rPr>
          <w:rFonts w:hint="eastAsia" w:ascii="宋体" w:hAnsi="宋体" w:eastAsia="宋体" w:cs="宋体"/>
          <w:color w:val="FF0000"/>
          <w:highlight w:val="none"/>
        </w:rPr>
        <w:t>日</w:t>
      </w:r>
      <w:r>
        <w:rPr>
          <w:rFonts w:hint="eastAsia" w:ascii="宋体" w:hAnsi="宋体" w:cs="宋体"/>
          <w:color w:val="FF0000"/>
          <w:highlight w:val="yellow"/>
          <w:lang w:val="en-US" w:eastAsia="zh-CN"/>
        </w:rPr>
        <w:t>9时00分</w:t>
      </w:r>
      <w:r>
        <w:rPr>
          <w:rFonts w:hint="eastAsia" w:ascii="宋体" w:hAnsi="宋体" w:eastAsia="宋体" w:cs="宋体"/>
          <w:color w:val="FF0000"/>
          <w:highlight w:val="none"/>
        </w:rPr>
        <w:t>至2024年12月</w:t>
      </w:r>
      <w:r>
        <w:rPr>
          <w:rFonts w:hint="eastAsia" w:ascii="宋体" w:hAnsi="宋体" w:cs="宋体"/>
          <w:color w:val="FF0000"/>
          <w:highlight w:val="none"/>
          <w:lang w:val="en-US" w:eastAsia="zh-CN"/>
        </w:rPr>
        <w:t>6</w:t>
      </w:r>
      <w:r>
        <w:rPr>
          <w:rFonts w:hint="eastAsia" w:ascii="宋体" w:hAnsi="宋体" w:eastAsia="宋体" w:cs="宋体"/>
          <w:color w:val="FF0000"/>
          <w:highlight w:val="none"/>
        </w:rPr>
        <w:t>日17时00分</w:t>
      </w:r>
      <w:r>
        <w:rPr>
          <w:rFonts w:hint="eastAsia" w:ascii="宋体" w:hAnsi="宋体" w:eastAsia="宋体" w:cs="宋体"/>
          <w:color w:val="auto"/>
          <w:highlight w:val="none"/>
        </w:rPr>
        <w:t>止</w:t>
      </w:r>
      <w:r>
        <w:rPr>
          <w:color w:val="auto"/>
          <w:highlight w:val="none"/>
        </w:rPr>
        <w:t>在</w:t>
      </w:r>
      <w:r>
        <w:rPr>
          <w:rFonts w:hint="eastAsia"/>
          <w:color w:val="auto"/>
          <w:highlight w:val="none"/>
          <w:u w:val="single"/>
        </w:rPr>
        <w:t>岳阳市公共资源交易中心电子交易平台</w:t>
      </w:r>
      <w:r>
        <w:rPr>
          <w:color w:val="auto"/>
          <w:highlight w:val="none"/>
        </w:rPr>
        <w:t>下载</w:t>
      </w:r>
      <w:r>
        <w:rPr>
          <w:rFonts w:hint="eastAsia"/>
          <w:color w:val="auto"/>
          <w:highlight w:val="none"/>
        </w:rPr>
        <w:t>数据电文形式的</w:t>
      </w:r>
      <w:r>
        <w:rPr>
          <w:color w:val="auto"/>
          <w:highlight w:val="none"/>
        </w:rPr>
        <w:t>招标文件。招标文件包括图纸、工程量清单、最高投标限价、合同条款等。</w:t>
      </w:r>
    </w:p>
    <w:p w14:paraId="6F556C93">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方式，投标人应当在</w:t>
      </w:r>
      <w:r>
        <w:rPr>
          <w:rFonts w:hint="eastAsia"/>
          <w:color w:val="auto"/>
          <w:highlight w:val="none"/>
          <w:u w:val="single"/>
        </w:rPr>
        <w:t>岳阳市公共资源交易中心电子交易平台</w:t>
      </w:r>
      <w:r>
        <w:rPr>
          <w:color w:val="auto"/>
          <w:highlight w:val="none"/>
        </w:rPr>
        <w:t>进行注册</w:t>
      </w:r>
      <w:r>
        <w:rPr>
          <w:rFonts w:hint="eastAsia"/>
          <w:color w:val="auto"/>
          <w:highlight w:val="none"/>
        </w:rPr>
        <w:t>登记</w:t>
      </w:r>
      <w:r>
        <w:rPr>
          <w:color w:val="auto"/>
          <w:highlight w:val="none"/>
        </w:rPr>
        <w:t>和CA认证。</w:t>
      </w:r>
    </w:p>
    <w:p w14:paraId="148574CF">
      <w:pPr>
        <w:pStyle w:val="6"/>
        <w:spacing w:before="0" w:after="0" w:line="360" w:lineRule="auto"/>
        <w:rPr>
          <w:rFonts w:ascii="Times New Roman" w:hAnsi="Times New Roman" w:eastAsia="黑体"/>
          <w:b w:val="0"/>
          <w:bCs w:val="0"/>
          <w:color w:val="auto"/>
          <w:sz w:val="30"/>
          <w:highlight w:val="none"/>
        </w:rPr>
      </w:pPr>
      <w:bookmarkStart w:id="42" w:name="_Toc300677966"/>
      <w:bookmarkStart w:id="43" w:name="_Toc9178502"/>
      <w:r>
        <w:rPr>
          <w:rFonts w:hint="eastAsia" w:ascii="Times New Roman" w:hAnsi="Times New Roman" w:eastAsia="黑体"/>
          <w:b w:val="0"/>
          <w:bCs w:val="0"/>
          <w:color w:val="auto"/>
          <w:sz w:val="30"/>
          <w:highlight w:val="none"/>
        </w:rPr>
        <w:t xml:space="preserve"> </w:t>
      </w:r>
      <w:bookmarkStart w:id="44" w:name="_Toc80006074"/>
      <w:bookmarkStart w:id="45" w:name="_Toc80006184"/>
      <w:r>
        <w:rPr>
          <w:rFonts w:ascii="Times New Roman" w:hAnsi="Times New Roman" w:eastAsia="黑体"/>
          <w:b w:val="0"/>
          <w:bCs w:val="0"/>
          <w:color w:val="auto"/>
          <w:sz w:val="30"/>
          <w:highlight w:val="none"/>
        </w:rPr>
        <w:t>6.投标文件的递交</w:t>
      </w:r>
      <w:bookmarkEnd w:id="42"/>
      <w:bookmarkEnd w:id="43"/>
      <w:bookmarkEnd w:id="44"/>
      <w:bookmarkEnd w:id="45"/>
    </w:p>
    <w:p w14:paraId="24EDA2D9">
      <w:pPr>
        <w:spacing w:line="360" w:lineRule="auto"/>
        <w:ind w:firstLine="420" w:firstLineChars="200"/>
        <w:rPr>
          <w:color w:val="auto"/>
          <w:highlight w:val="none"/>
        </w:rPr>
      </w:pPr>
      <w:r>
        <w:rPr>
          <w:color w:val="auto"/>
          <w:szCs w:val="21"/>
          <w:highlight w:val="none"/>
        </w:rPr>
        <w:t>电子</w:t>
      </w:r>
      <w:r>
        <w:rPr>
          <w:color w:val="auto"/>
          <w:highlight w:val="none"/>
        </w:rPr>
        <w:t>投标文件递交的截止时间（即：投标截止时间，下同）及开标时间为</w:t>
      </w:r>
      <w:r>
        <w:rPr>
          <w:rFonts w:hint="eastAsia"/>
          <w:color w:val="FF0000"/>
          <w:highlight w:val="none"/>
          <w:u w:val="single"/>
          <w:lang w:val="en-US" w:eastAsia="zh-CN"/>
        </w:rPr>
        <w:t>2024</w:t>
      </w:r>
      <w:r>
        <w:rPr>
          <w:color w:val="FF0000"/>
          <w:highlight w:val="none"/>
        </w:rPr>
        <w:t>年</w:t>
      </w:r>
      <w:r>
        <w:rPr>
          <w:rFonts w:hint="eastAsia"/>
          <w:color w:val="FF0000"/>
          <w:highlight w:val="none"/>
          <w:u w:val="single"/>
          <w:lang w:val="en-US" w:eastAsia="zh-CN"/>
        </w:rPr>
        <w:t>12</w:t>
      </w:r>
      <w:r>
        <w:rPr>
          <w:color w:val="FF0000"/>
          <w:highlight w:val="none"/>
        </w:rPr>
        <w:t>月</w:t>
      </w:r>
      <w:r>
        <w:rPr>
          <w:rFonts w:hint="eastAsia"/>
          <w:color w:val="FF0000"/>
          <w:highlight w:val="none"/>
          <w:u w:val="single"/>
          <w:lang w:val="en-US" w:eastAsia="zh-CN"/>
        </w:rPr>
        <w:t>20</w:t>
      </w:r>
      <w:r>
        <w:rPr>
          <w:color w:val="FF0000"/>
          <w:highlight w:val="none"/>
        </w:rPr>
        <w:t>日</w:t>
      </w:r>
      <w:r>
        <w:rPr>
          <w:rFonts w:hint="eastAsia"/>
          <w:color w:val="FF0000"/>
          <w:highlight w:val="none"/>
          <w:u w:val="single"/>
          <w:lang w:val="en-US" w:eastAsia="zh-CN"/>
        </w:rPr>
        <w:t>9</w:t>
      </w:r>
      <w:r>
        <w:rPr>
          <w:color w:val="FF0000"/>
          <w:highlight w:val="none"/>
        </w:rPr>
        <w:t>时</w:t>
      </w:r>
      <w:r>
        <w:rPr>
          <w:rFonts w:hint="eastAsia"/>
          <w:color w:val="FF0000"/>
          <w:highlight w:val="none"/>
          <w:u w:val="single"/>
          <w:lang w:val="en-US" w:eastAsia="zh-CN"/>
        </w:rPr>
        <w:t>30</w:t>
      </w:r>
      <w:r>
        <w:rPr>
          <w:color w:val="FF0000"/>
          <w:highlight w:val="none"/>
        </w:rPr>
        <w:t>分</w:t>
      </w:r>
      <w:r>
        <w:rPr>
          <w:rFonts w:hint="eastAsia"/>
          <w:color w:val="auto"/>
          <w:highlight w:val="none"/>
        </w:rPr>
        <w:t>（北京时间，下同）</w:t>
      </w:r>
      <w:r>
        <w:rPr>
          <w:color w:val="auto"/>
          <w:highlight w:val="none"/>
        </w:rPr>
        <w:t>。请投标人登录</w:t>
      </w:r>
      <w:r>
        <w:rPr>
          <w:rFonts w:hint="eastAsia"/>
          <w:color w:val="auto"/>
          <w:highlight w:val="none"/>
          <w:u w:val="single"/>
        </w:rPr>
        <w:t>岳阳市公共资源交易中心电子交易平台</w:t>
      </w:r>
      <w:r>
        <w:rPr>
          <w:color w:val="auto"/>
          <w:highlight w:val="none"/>
        </w:rPr>
        <w:t>下载</w:t>
      </w:r>
      <w:r>
        <w:rPr>
          <w:rFonts w:hint="eastAsia"/>
          <w:color w:val="auto"/>
          <w:highlight w:val="none"/>
        </w:rPr>
        <w:t>电子投标文件制作工具</w:t>
      </w:r>
      <w:r>
        <w:rPr>
          <w:color w:val="auto"/>
          <w:highlight w:val="none"/>
        </w:rPr>
        <w:t>编制投标文件，</w:t>
      </w:r>
      <w:r>
        <w:rPr>
          <w:rFonts w:hint="eastAsia"/>
          <w:color w:val="auto"/>
          <w:highlight w:val="none"/>
        </w:rPr>
        <w:t>投标人应</w:t>
      </w:r>
      <w:r>
        <w:rPr>
          <w:color w:val="auto"/>
          <w:highlight w:val="none"/>
        </w:rPr>
        <w:t>在投标截止时间前通过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数据电文形式的投标文件</w:t>
      </w:r>
      <w:r>
        <w:rPr>
          <w:color w:val="auto"/>
          <w:highlight w:val="none"/>
        </w:rPr>
        <w:t>。逾期</w:t>
      </w:r>
      <w:r>
        <w:rPr>
          <w:rFonts w:hint="eastAsia"/>
          <w:color w:val="auto"/>
          <w:highlight w:val="none"/>
        </w:rPr>
        <w:t>递交</w:t>
      </w:r>
      <w:r>
        <w:rPr>
          <w:color w:val="auto"/>
          <w:highlight w:val="none"/>
        </w:rPr>
        <w:t>的投标文件，</w:t>
      </w:r>
      <w:r>
        <w:rPr>
          <w:rFonts w:hint="eastAsia"/>
          <w:color w:val="auto"/>
          <w:highlight w:val="none"/>
        </w:rPr>
        <w:t>电子招标投标交易平台</w:t>
      </w:r>
      <w:r>
        <w:rPr>
          <w:color w:val="auto"/>
          <w:highlight w:val="none"/>
        </w:rPr>
        <w:t>予以拒收。</w:t>
      </w:r>
    </w:p>
    <w:p w14:paraId="252B5D9A">
      <w:pPr>
        <w:spacing w:line="360" w:lineRule="auto"/>
        <w:ind w:firstLine="420" w:firstLineChars="200"/>
        <w:rPr>
          <w:color w:val="auto"/>
          <w:highlight w:val="none"/>
        </w:rPr>
      </w:pPr>
      <w:r>
        <w:rPr>
          <w:color w:val="auto"/>
          <w:highlight w:val="none"/>
        </w:rPr>
        <w:t>电子投标文件的解密截止时间为投标截止时间后</w:t>
      </w:r>
      <w:r>
        <w:rPr>
          <w:rFonts w:hint="eastAsia"/>
          <w:color w:val="auto"/>
          <w:highlight w:val="none"/>
          <w:u w:val="single"/>
          <w:lang w:val="en-US" w:eastAsia="zh-CN"/>
        </w:rPr>
        <w:t>30</w:t>
      </w:r>
      <w:r>
        <w:rPr>
          <w:color w:val="auto"/>
          <w:highlight w:val="none"/>
        </w:rPr>
        <w:t>分钟。请投标人确保投标文件如期解密。在开标现场解密的，请投标人自备解密电脑和网络。</w:t>
      </w:r>
    </w:p>
    <w:p w14:paraId="3EB7F653">
      <w:pPr>
        <w:pStyle w:val="6"/>
        <w:spacing w:before="0" w:after="0" w:line="360" w:lineRule="auto"/>
        <w:rPr>
          <w:rFonts w:ascii="Times New Roman" w:hAnsi="Times New Roman" w:eastAsia="黑体"/>
          <w:b w:val="0"/>
          <w:bCs w:val="0"/>
          <w:color w:val="auto"/>
          <w:sz w:val="30"/>
          <w:highlight w:val="none"/>
        </w:rPr>
      </w:pPr>
      <w:bookmarkStart w:id="46" w:name="_Toc9178503"/>
      <w:bookmarkStart w:id="47" w:name="_Toc80006185"/>
      <w:bookmarkStart w:id="48" w:name="_Toc300677969"/>
      <w:bookmarkStart w:id="49" w:name="_Toc80006075"/>
      <w:r>
        <w:rPr>
          <w:rFonts w:ascii="Times New Roman" w:hAnsi="Times New Roman" w:eastAsia="黑体"/>
          <w:b w:val="0"/>
          <w:bCs w:val="0"/>
          <w:color w:val="auto"/>
          <w:sz w:val="30"/>
          <w:highlight w:val="none"/>
        </w:rPr>
        <w:t>7.发布公告的媒介</w:t>
      </w:r>
      <w:bookmarkEnd w:id="46"/>
      <w:bookmarkEnd w:id="47"/>
      <w:bookmarkEnd w:id="48"/>
      <w:bookmarkEnd w:id="49"/>
    </w:p>
    <w:p w14:paraId="3BDDC8FE">
      <w:pPr>
        <w:spacing w:line="360" w:lineRule="auto"/>
        <w:ind w:firstLine="420" w:firstLineChars="200"/>
        <w:rPr>
          <w:color w:val="auto"/>
          <w:highlight w:val="none"/>
        </w:rPr>
      </w:pPr>
      <w:r>
        <w:rPr>
          <w:color w:val="auto"/>
          <w:highlight w:val="none"/>
        </w:rPr>
        <w:t>本次招标公告同时在</w:t>
      </w:r>
      <w:r>
        <w:rPr>
          <w:rFonts w:ascii="宋体" w:hAnsi="宋体" w:eastAsia="宋体" w:cs="宋体"/>
          <w:spacing w:val="11"/>
          <w:sz w:val="20"/>
          <w:szCs w:val="20"/>
          <w:u w:val="single" w:color="auto"/>
        </w:rPr>
        <w:t>湖南省招标投标监管网、岳阳市公共资源</w:t>
      </w:r>
      <w:r>
        <w:rPr>
          <w:rFonts w:ascii="宋体" w:hAnsi="宋体" w:eastAsia="宋体" w:cs="宋体"/>
          <w:spacing w:val="10"/>
          <w:sz w:val="20"/>
          <w:szCs w:val="20"/>
          <w:u w:val="single" w:color="auto"/>
        </w:rPr>
        <w:t>交易网、岳阳市住房和城乡建设</w:t>
      </w:r>
      <w:r>
        <w:rPr>
          <w:rFonts w:ascii="宋体" w:hAnsi="宋体" w:eastAsia="宋体" w:cs="宋体"/>
          <w:spacing w:val="6"/>
          <w:sz w:val="20"/>
          <w:szCs w:val="20"/>
          <w:u w:val="single" w:color="auto"/>
        </w:rPr>
        <w:t>局网</w:t>
      </w:r>
      <w:r>
        <w:rPr>
          <w:color w:val="auto"/>
          <w:highlight w:val="none"/>
        </w:rPr>
        <w:t>上发布。</w:t>
      </w:r>
    </w:p>
    <w:p w14:paraId="396CCB7F">
      <w:pPr>
        <w:pStyle w:val="6"/>
        <w:spacing w:before="0" w:after="0" w:line="360" w:lineRule="auto"/>
        <w:rPr>
          <w:rFonts w:ascii="Times New Roman" w:hAnsi="Times New Roman" w:eastAsia="黑体"/>
          <w:b w:val="0"/>
          <w:bCs w:val="0"/>
          <w:color w:val="auto"/>
          <w:sz w:val="30"/>
          <w:highlight w:val="none"/>
        </w:rPr>
      </w:pPr>
      <w:bookmarkStart w:id="50" w:name="_Toc9178504"/>
      <w:bookmarkStart w:id="51" w:name="_Toc80006076"/>
      <w:bookmarkStart w:id="52" w:name="_Toc80006186"/>
      <w:bookmarkStart w:id="53" w:name="_Toc300677968"/>
      <w:r>
        <w:rPr>
          <w:rFonts w:ascii="Times New Roman" w:hAnsi="Times New Roman" w:eastAsia="黑体"/>
          <w:b w:val="0"/>
          <w:bCs w:val="0"/>
          <w:color w:val="auto"/>
          <w:sz w:val="30"/>
          <w:highlight w:val="none"/>
        </w:rPr>
        <w:t>8.行政监督</w:t>
      </w:r>
      <w:bookmarkEnd w:id="50"/>
      <w:bookmarkEnd w:id="51"/>
      <w:bookmarkEnd w:id="52"/>
      <w:bookmarkEnd w:id="53"/>
    </w:p>
    <w:p w14:paraId="55EF3700">
      <w:pPr>
        <w:snapToGrid w:val="0"/>
        <w:spacing w:line="360" w:lineRule="auto"/>
        <w:ind w:firstLine="420" w:firstLineChars="200"/>
        <w:rPr>
          <w:color w:val="auto"/>
          <w:szCs w:val="21"/>
          <w:highlight w:val="none"/>
        </w:rPr>
      </w:pPr>
      <w:r>
        <w:rPr>
          <w:color w:val="auto"/>
          <w:szCs w:val="21"/>
          <w:highlight w:val="none"/>
        </w:rPr>
        <w:t>本次招标项目招标投标监督机构为</w:t>
      </w:r>
      <w:r>
        <w:rPr>
          <w:rFonts w:ascii="宋体" w:hAnsi="宋体" w:eastAsia="宋体" w:cs="宋体"/>
          <w:spacing w:val="11"/>
          <w:sz w:val="20"/>
          <w:szCs w:val="20"/>
          <w:u w:val="single" w:color="auto"/>
        </w:rPr>
        <w:t>岳阳市住房和城乡建设局建</w:t>
      </w:r>
      <w:r>
        <w:rPr>
          <w:rFonts w:ascii="宋体" w:hAnsi="宋体" w:eastAsia="宋体" w:cs="宋体"/>
          <w:spacing w:val="10"/>
          <w:sz w:val="20"/>
          <w:szCs w:val="20"/>
          <w:u w:val="single" w:color="auto"/>
        </w:rPr>
        <w:t>设工程招标投标管理办公室</w:t>
      </w:r>
      <w:r>
        <w:rPr>
          <w:rFonts w:ascii="宋体" w:hAnsi="宋体" w:eastAsia="宋体" w:cs="宋体"/>
          <w:spacing w:val="10"/>
          <w:sz w:val="20"/>
          <w:szCs w:val="20"/>
        </w:rPr>
        <w:t>，电</w:t>
      </w:r>
      <w:r>
        <w:rPr>
          <w:rFonts w:ascii="宋体" w:hAnsi="宋体" w:eastAsia="宋体" w:cs="宋体"/>
          <w:sz w:val="20"/>
          <w:szCs w:val="20"/>
        </w:rPr>
        <w:t xml:space="preserve"> </w:t>
      </w:r>
      <w:r>
        <w:rPr>
          <w:rFonts w:ascii="宋体" w:hAnsi="宋体" w:eastAsia="宋体" w:cs="宋体"/>
          <w:spacing w:val="3"/>
          <w:sz w:val="20"/>
          <w:szCs w:val="20"/>
        </w:rPr>
        <w:t>话</w:t>
      </w:r>
      <w:r>
        <w:rPr>
          <w:rFonts w:ascii="宋体" w:hAnsi="宋体" w:eastAsia="宋体" w:cs="宋体"/>
          <w:spacing w:val="-31"/>
          <w:sz w:val="20"/>
          <w:szCs w:val="20"/>
        </w:rPr>
        <w:t xml:space="preserve"> </w:t>
      </w:r>
      <w:r>
        <w:rPr>
          <w:rFonts w:ascii="Times New Roman" w:hAnsi="Times New Roman" w:eastAsia="Times New Roman" w:cs="Times New Roman"/>
          <w:spacing w:val="3"/>
          <w:sz w:val="20"/>
          <w:szCs w:val="20"/>
          <w:u w:val="single" w:color="auto"/>
        </w:rPr>
        <w:t>0730-8216835</w:t>
      </w:r>
      <w:r>
        <w:rPr>
          <w:rFonts w:ascii="宋体" w:hAnsi="宋体" w:eastAsia="宋体" w:cs="宋体"/>
          <w:spacing w:val="3"/>
          <w:sz w:val="20"/>
          <w:szCs w:val="20"/>
        </w:rPr>
        <w:t>。</w:t>
      </w:r>
    </w:p>
    <w:p w14:paraId="1D54AB1A">
      <w:pPr>
        <w:pStyle w:val="6"/>
        <w:spacing w:before="0" w:after="0" w:line="360" w:lineRule="auto"/>
        <w:rPr>
          <w:rFonts w:ascii="Times New Roman" w:hAnsi="Times New Roman" w:eastAsia="黑体"/>
          <w:b w:val="0"/>
          <w:bCs w:val="0"/>
          <w:color w:val="auto"/>
          <w:sz w:val="30"/>
          <w:highlight w:val="none"/>
        </w:rPr>
      </w:pPr>
      <w:bookmarkStart w:id="54" w:name="_Toc300677970"/>
      <w:bookmarkStart w:id="55" w:name="_Toc80006077"/>
      <w:bookmarkStart w:id="56" w:name="_Toc80006187"/>
      <w:bookmarkStart w:id="57" w:name="_Toc9178505"/>
      <w:r>
        <w:rPr>
          <w:rFonts w:ascii="Times New Roman" w:hAnsi="Times New Roman" w:eastAsia="黑体"/>
          <w:b w:val="0"/>
          <w:bCs w:val="0"/>
          <w:color w:val="auto"/>
          <w:sz w:val="30"/>
          <w:highlight w:val="none"/>
        </w:rPr>
        <w:t>9.其它</w:t>
      </w:r>
      <w:bookmarkEnd w:id="54"/>
      <w:bookmarkEnd w:id="55"/>
      <w:bookmarkEnd w:id="56"/>
      <w:bookmarkEnd w:id="57"/>
    </w:p>
    <w:p w14:paraId="7BC1446F">
      <w:pPr>
        <w:snapToGrid w:val="0"/>
        <w:spacing w:line="360" w:lineRule="auto"/>
        <w:ind w:firstLine="420" w:firstLineChars="200"/>
        <w:rPr>
          <w:rFonts w:hint="eastAsia"/>
          <w:color w:val="auto"/>
          <w:szCs w:val="21"/>
          <w:highlight w:val="none"/>
        </w:rPr>
      </w:pPr>
      <w:r>
        <w:rPr>
          <w:rFonts w:hint="eastAsia"/>
          <w:color w:val="auto"/>
          <w:highlight w:val="none"/>
          <w:lang w:val="en-US" w:eastAsia="zh-CN"/>
        </w:rPr>
        <w:t>9.1</w:t>
      </w:r>
      <w:r>
        <w:rPr>
          <w:rFonts w:hint="eastAsia"/>
          <w:color w:val="auto"/>
          <w:highlight w:val="none"/>
        </w:rPr>
        <w:t>本招标项目采用电子化招投标，投标人在投标前可在</w:t>
      </w:r>
      <w:r>
        <w:rPr>
          <w:rFonts w:hint="eastAsia"/>
          <w:color w:val="auto"/>
          <w:highlight w:val="none"/>
          <w:u w:val="single"/>
        </w:rPr>
        <w:t>岳阳市公共资源交易中心电子交易平台</w:t>
      </w:r>
      <w:r>
        <w:rPr>
          <w:rFonts w:hint="eastAsia"/>
          <w:color w:val="auto"/>
          <w:highlight w:val="none"/>
        </w:rPr>
        <w:t>下载</w:t>
      </w:r>
      <w:r>
        <w:rPr>
          <w:rFonts w:hint="eastAsia"/>
          <w:color w:val="auto"/>
          <w:szCs w:val="21"/>
          <w:highlight w:val="none"/>
        </w:rPr>
        <w:t>招标文件等相关资料。</w:t>
      </w:r>
    </w:p>
    <w:p w14:paraId="75DB053D">
      <w:pPr>
        <w:snapToGrid w:val="0"/>
        <w:spacing w:line="360" w:lineRule="auto"/>
        <w:ind w:firstLine="420" w:firstLineChars="200"/>
        <w:rPr>
          <w:rFonts w:hint="eastAsia"/>
          <w:color w:val="auto"/>
          <w:szCs w:val="21"/>
          <w:highlight w:val="none"/>
        </w:rPr>
      </w:pPr>
      <w:r>
        <w:rPr>
          <w:rFonts w:hint="eastAsia"/>
          <w:color w:val="auto"/>
          <w:szCs w:val="21"/>
          <w:highlight w:val="none"/>
        </w:rPr>
        <w:t>请各投标人及时下载安装正确版本软件，参与投标的投标人需使用电子标书编制软件制作投标文件。</w:t>
      </w:r>
    </w:p>
    <w:p w14:paraId="31A40E08">
      <w:pPr>
        <w:snapToGrid w:val="0"/>
        <w:spacing w:line="360" w:lineRule="auto"/>
        <w:ind w:firstLine="420" w:firstLineChars="200"/>
        <w:rPr>
          <w:rFonts w:hint="eastAsia"/>
          <w:color w:val="auto"/>
          <w:szCs w:val="21"/>
          <w:highlight w:val="none"/>
        </w:rPr>
      </w:pPr>
      <w:r>
        <w:rPr>
          <w:rFonts w:hint="eastAsia"/>
          <w:color w:val="auto"/>
          <w:szCs w:val="21"/>
          <w:highlight w:val="none"/>
        </w:rPr>
        <w:t xml:space="preserve">需要按照招标文件要求办理企业 CA 数字证书（含电子印章）、法人 CA 数字证书（含电子印章）、签字章等。 </w:t>
      </w:r>
    </w:p>
    <w:p w14:paraId="0D5CC87E">
      <w:pPr>
        <w:snapToGrid w:val="0"/>
        <w:spacing w:line="360" w:lineRule="auto"/>
        <w:ind w:firstLine="525" w:firstLineChars="250"/>
        <w:rPr>
          <w:rFonts w:hint="eastAsia"/>
          <w:color w:val="auto"/>
          <w:szCs w:val="21"/>
          <w:highlight w:val="none"/>
        </w:rPr>
      </w:pPr>
      <w:r>
        <w:rPr>
          <w:rFonts w:hint="eastAsia"/>
          <w:color w:val="auto"/>
          <w:szCs w:val="21"/>
          <w:highlight w:val="none"/>
        </w:rPr>
        <w:t>注：本项目投标过程中，电子系统</w:t>
      </w:r>
      <w:r>
        <w:rPr>
          <w:color w:val="auto"/>
          <w:szCs w:val="21"/>
          <w:highlight w:val="none"/>
        </w:rPr>
        <w:t>使用操作遇到问题时可及时向软件公司咨询，咨询联系方式：</w:t>
      </w:r>
      <w:r>
        <w:rPr>
          <w:rFonts w:ascii="宋体" w:hAnsi="宋体" w:eastAsia="宋体" w:cs="宋体"/>
          <w:spacing w:val="7"/>
          <w:sz w:val="20"/>
          <w:szCs w:val="20"/>
          <w:u w:val="single" w:color="auto"/>
        </w:rPr>
        <w:t>岳阳市公共资源交易中心信息技术科</w:t>
      </w:r>
      <w:r>
        <w:rPr>
          <w:rFonts w:ascii="宋体" w:hAnsi="宋体" w:eastAsia="宋体" w:cs="宋体"/>
          <w:spacing w:val="-40"/>
          <w:sz w:val="20"/>
          <w:szCs w:val="20"/>
          <w:u w:val="single" w:color="auto"/>
        </w:rPr>
        <w:t xml:space="preserve"> </w:t>
      </w:r>
      <w:r>
        <w:rPr>
          <w:rFonts w:ascii="Times New Roman" w:hAnsi="Times New Roman" w:eastAsia="Times New Roman" w:cs="Times New Roman"/>
          <w:spacing w:val="7"/>
          <w:sz w:val="20"/>
          <w:szCs w:val="20"/>
          <w:u w:val="single" w:color="auto"/>
        </w:rPr>
        <w:t>0730-2966</w:t>
      </w:r>
      <w:r>
        <w:rPr>
          <w:rFonts w:ascii="Times New Roman" w:hAnsi="Times New Roman" w:eastAsia="Times New Roman" w:cs="Times New Roman"/>
          <w:spacing w:val="6"/>
          <w:sz w:val="20"/>
          <w:szCs w:val="20"/>
          <w:u w:val="single" w:color="auto"/>
        </w:rPr>
        <w:t>692</w:t>
      </w:r>
      <w:r>
        <w:rPr>
          <w:rFonts w:ascii="宋体" w:hAnsi="宋体" w:eastAsia="宋体" w:cs="宋体"/>
          <w:spacing w:val="6"/>
          <w:sz w:val="20"/>
          <w:szCs w:val="20"/>
        </w:rPr>
        <w:t>。</w:t>
      </w:r>
    </w:p>
    <w:p w14:paraId="45587B81">
      <w:pPr>
        <w:pStyle w:val="6"/>
        <w:spacing w:before="0" w:after="0" w:line="360" w:lineRule="auto"/>
        <w:rPr>
          <w:rFonts w:ascii="Times New Roman" w:hAnsi="Times New Roman" w:eastAsia="黑体"/>
          <w:b w:val="0"/>
          <w:bCs w:val="0"/>
          <w:color w:val="auto"/>
          <w:sz w:val="30"/>
          <w:highlight w:val="none"/>
        </w:rPr>
      </w:pPr>
      <w:r>
        <w:rPr>
          <w:rFonts w:ascii="Times New Roman" w:hAnsi="Times New Roman" w:eastAsia="黑体"/>
          <w:b w:val="0"/>
          <w:bCs w:val="0"/>
          <w:color w:val="auto"/>
          <w:sz w:val="30"/>
          <w:highlight w:val="none"/>
        </w:rPr>
        <w:t>10.联系方式</w:t>
      </w:r>
      <w:bookmarkEnd w:id="38"/>
      <w:bookmarkEnd w:id="39"/>
      <w:bookmarkEnd w:id="40"/>
      <w:bookmarkEnd w:id="41"/>
    </w:p>
    <w:p w14:paraId="152B9A60">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rFonts w:hint="eastAsia"/>
          <w:color w:val="auto"/>
          <w:szCs w:val="21"/>
          <w:highlight w:val="none"/>
          <w:u w:val="single"/>
          <w:lang w:val="en-US" w:eastAsia="zh-CN"/>
        </w:rPr>
        <w:t>湖南省岳阳水文水资源勘测中心</w:t>
      </w:r>
      <w:r>
        <w:rPr>
          <w:color w:val="auto"/>
          <w:szCs w:val="21"/>
          <w:highlight w:val="none"/>
          <w:u w:val="single"/>
        </w:rPr>
        <w:t xml:space="preserve">   </w:t>
      </w:r>
      <w:r>
        <w:rPr>
          <w:color w:val="auto"/>
          <w:szCs w:val="21"/>
          <w:highlight w:val="none"/>
        </w:rPr>
        <w:t>；</w:t>
      </w:r>
    </w:p>
    <w:p w14:paraId="6C6AE077">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湖南省岳阳市岳阳楼区沿湖路</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14:paraId="58FC651F">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rFonts w:hint="eastAsia" w:eastAsia="宋体"/>
          <w:color w:val="auto"/>
          <w:szCs w:val="21"/>
          <w:highlight w:val="none"/>
          <w:u w:val="single"/>
          <w:lang w:val="en-US" w:eastAsia="zh-CN"/>
        </w:rPr>
        <w:t xml:space="preserve">王宁宁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14:paraId="638881F0">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rFonts w:hint="eastAsia" w:eastAsia="宋体"/>
          <w:color w:val="auto"/>
          <w:szCs w:val="21"/>
          <w:highlight w:val="none"/>
          <w:u w:val="single"/>
          <w:lang w:val="en-US" w:eastAsia="zh-CN"/>
        </w:rPr>
        <w:t>13077190426</w:t>
      </w:r>
      <w:r>
        <w:rPr>
          <w:color w:val="auto"/>
          <w:szCs w:val="21"/>
          <w:highlight w:val="none"/>
          <w:u w:val="single"/>
        </w:rPr>
        <w:t xml:space="preserve">          </w:t>
      </w:r>
      <w:r>
        <w:rPr>
          <w:color w:val="auto"/>
          <w:szCs w:val="21"/>
          <w:highlight w:val="none"/>
        </w:rPr>
        <w:t>；</w:t>
      </w:r>
    </w:p>
    <w:p w14:paraId="01B400F7">
      <w:pPr>
        <w:spacing w:line="360" w:lineRule="auto"/>
        <w:ind w:firstLine="420" w:firstLineChars="200"/>
        <w:rPr>
          <w:color w:val="auto"/>
          <w:szCs w:val="21"/>
          <w:highlight w:val="none"/>
        </w:rPr>
      </w:pPr>
    </w:p>
    <w:p w14:paraId="4B173FDC">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rFonts w:hint="eastAsia"/>
          <w:color w:val="auto"/>
          <w:szCs w:val="21"/>
          <w:highlight w:val="none"/>
          <w:u w:val="single"/>
        </w:rPr>
        <w:t>华伦中建建设股份有限公司</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14:paraId="22C4FA9D">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湖南省岳阳市岳阳楼区金鹗东路219号万象中心</w:t>
      </w:r>
      <w:r>
        <w:rPr>
          <w:color w:val="auto"/>
          <w:szCs w:val="21"/>
          <w:highlight w:val="none"/>
          <w:u w:val="single"/>
        </w:rPr>
        <w:t xml:space="preserve">   </w:t>
      </w:r>
      <w:r>
        <w:rPr>
          <w:color w:val="auto"/>
          <w:szCs w:val="21"/>
          <w:highlight w:val="none"/>
        </w:rPr>
        <w:t>；</w:t>
      </w:r>
    </w:p>
    <w:p w14:paraId="74200A4B">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rFonts w:hint="eastAsia"/>
          <w:color w:val="auto"/>
          <w:szCs w:val="21"/>
          <w:highlight w:val="none"/>
          <w:u w:val="single"/>
          <w:lang w:val="en-US" w:eastAsia="zh-CN"/>
        </w:rPr>
        <w:t>刘能</w:t>
      </w:r>
      <w:r>
        <w:rPr>
          <w:color w:val="auto"/>
          <w:szCs w:val="21"/>
          <w:highlight w:val="none"/>
          <w:u w:val="single"/>
        </w:rPr>
        <w:t xml:space="preserve">     </w:t>
      </w:r>
      <w:r>
        <w:rPr>
          <w:color w:val="auto"/>
          <w:szCs w:val="21"/>
          <w:highlight w:val="none"/>
        </w:rPr>
        <w:t>；</w:t>
      </w:r>
    </w:p>
    <w:p w14:paraId="50C7D040">
      <w:pPr>
        <w:spacing w:line="360" w:lineRule="auto"/>
        <w:ind w:firstLine="420" w:firstLineChars="200"/>
        <w:rPr>
          <w:rFonts w:hint="eastAsia"/>
          <w:color w:val="auto"/>
          <w:szCs w:val="21"/>
          <w:highlight w:val="none"/>
        </w:rPr>
      </w:pPr>
      <w:r>
        <w:rPr>
          <w:color w:val="auto"/>
          <w:szCs w:val="21"/>
          <w:highlight w:val="none"/>
        </w:rPr>
        <w:t>电    话：</w:t>
      </w:r>
      <w:r>
        <w:rPr>
          <w:rFonts w:hint="eastAsia"/>
          <w:color w:val="auto"/>
          <w:szCs w:val="21"/>
          <w:highlight w:val="none"/>
          <w:u w:val="single"/>
          <w:lang w:val="en-US" w:eastAsia="zh-CN"/>
        </w:rPr>
        <w:t>15773006182</w:t>
      </w:r>
      <w:r>
        <w:rPr>
          <w:color w:val="auto"/>
          <w:szCs w:val="21"/>
          <w:highlight w:val="none"/>
          <w:u w:val="single"/>
        </w:rPr>
        <w:t xml:space="preserve">                         </w:t>
      </w:r>
      <w:r>
        <w:rPr>
          <w:rFonts w:hint="eastAsia"/>
          <w:color w:val="auto"/>
          <w:szCs w:val="21"/>
          <w:highlight w:val="none"/>
        </w:rPr>
        <w:t>。</w:t>
      </w:r>
    </w:p>
    <w:p w14:paraId="744097F4">
      <w:pPr>
        <w:spacing w:line="360" w:lineRule="auto"/>
        <w:ind w:firstLine="437"/>
        <w:jc w:val="right"/>
        <w:rPr>
          <w:rFonts w:hint="eastAsia"/>
          <w:color w:val="auto"/>
          <w:highlight w:val="none"/>
        </w:rPr>
      </w:pPr>
    </w:p>
    <w:p w14:paraId="63F566F6">
      <w:pPr>
        <w:spacing w:line="360" w:lineRule="auto"/>
        <w:ind w:firstLine="437"/>
        <w:jc w:val="right"/>
        <w:rPr>
          <w:rFonts w:hint="eastAsia"/>
          <w:color w:val="auto"/>
          <w:highlight w:val="none"/>
        </w:rPr>
      </w:pPr>
    </w:p>
    <w:p w14:paraId="5238B552">
      <w:pPr>
        <w:spacing w:line="360" w:lineRule="auto"/>
        <w:ind w:firstLine="437"/>
        <w:jc w:val="right"/>
        <w:rPr>
          <w:rFonts w:hint="eastAsia"/>
          <w:color w:val="auto"/>
          <w:highlight w:val="none"/>
        </w:rPr>
      </w:pPr>
    </w:p>
    <w:p w14:paraId="0A3490F9">
      <w:pPr>
        <w:spacing w:line="360" w:lineRule="auto"/>
        <w:ind w:firstLine="437"/>
        <w:jc w:val="right"/>
        <w:rPr>
          <w:rFonts w:hint="eastAsia"/>
          <w:color w:val="auto"/>
          <w:highlight w:val="none"/>
        </w:rPr>
      </w:pPr>
    </w:p>
    <w:p w14:paraId="4E4BBB41">
      <w:pPr>
        <w:spacing w:line="360" w:lineRule="auto"/>
        <w:ind w:firstLine="437"/>
        <w:jc w:val="right"/>
        <w:rPr>
          <w:color w:val="auto"/>
          <w:highlight w:val="none"/>
        </w:rPr>
        <w:sectPr>
          <w:footerReference r:id="rId4" w:type="first"/>
          <w:footerReference r:id="rId3" w:type="default"/>
          <w:pgSz w:w="11906" w:h="16838"/>
          <w:pgMar w:top="1418" w:right="1418" w:bottom="1418" w:left="1418" w:header="851" w:footer="850" w:gutter="0"/>
          <w:pgNumType w:start="0"/>
          <w:cols w:space="720" w:num="1"/>
          <w:titlePg/>
          <w:docGrid w:linePitch="306" w:charSpace="0"/>
        </w:sectPr>
      </w:pPr>
      <w:r>
        <w:rPr>
          <w:rFonts w:hint="eastAsia"/>
          <w:color w:val="auto"/>
          <w:szCs w:val="21"/>
          <w:highlight w:val="none"/>
          <w:u w:val="single"/>
          <w:lang w:val="en-US" w:eastAsia="zh-CN"/>
        </w:rPr>
        <w:t>2024</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rFonts w:hint="eastAsia"/>
          <w:color w:val="auto"/>
          <w:szCs w:val="21"/>
          <w:highlight w:val="none"/>
          <w:u w:val="single"/>
          <w:lang w:val="en-US" w:eastAsia="zh-CN"/>
        </w:rPr>
        <w:t>11</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29</w:t>
      </w:r>
      <w:r>
        <w:rPr>
          <w:color w:val="auto"/>
          <w:szCs w:val="21"/>
          <w:highlight w:val="none"/>
          <w:u w:val="single"/>
        </w:rPr>
        <w:t xml:space="preserve"> </w:t>
      </w:r>
      <w:r>
        <w:rPr>
          <w:color w:val="auto"/>
          <w:szCs w:val="21"/>
          <w:highlight w:val="none"/>
        </w:rPr>
        <w:t>日</w:t>
      </w:r>
    </w:p>
    <w:p w14:paraId="5E0048C9">
      <w:pPr>
        <w:pStyle w:val="5"/>
        <w:spacing w:before="0" w:after="0"/>
        <w:jc w:val="center"/>
        <w:rPr>
          <w:rFonts w:ascii="Times New Roman" w:hAnsi="Times New Roman" w:eastAsia="黑体"/>
          <w:b w:val="0"/>
          <w:bCs w:val="0"/>
          <w:color w:val="auto"/>
          <w:highlight w:val="none"/>
        </w:rPr>
      </w:pPr>
      <w:bookmarkStart w:id="58" w:name="_Toc80006088"/>
      <w:bookmarkStart w:id="59" w:name="_Toc80006198"/>
      <w:r>
        <w:rPr>
          <w:rFonts w:ascii="Times New Roman" w:hAnsi="Times New Roman" w:eastAsia="黑体"/>
          <w:b w:val="0"/>
          <w:bCs w:val="0"/>
          <w:color w:val="auto"/>
          <w:highlight w:val="none"/>
        </w:rPr>
        <w:t>第二章  投标人须知</w:t>
      </w:r>
      <w:bookmarkEnd w:id="58"/>
      <w:bookmarkEnd w:id="59"/>
    </w:p>
    <w:p w14:paraId="1131CE62">
      <w:pPr>
        <w:rPr>
          <w:color w:val="auto"/>
          <w:highlight w:val="none"/>
        </w:rPr>
      </w:pPr>
    </w:p>
    <w:p w14:paraId="383B022E">
      <w:pPr>
        <w:snapToGrid w:val="0"/>
        <w:jc w:val="center"/>
        <w:rPr>
          <w:rFonts w:eastAsia="黑体"/>
          <w:color w:val="auto"/>
          <w:sz w:val="28"/>
          <w:szCs w:val="28"/>
          <w:highlight w:val="none"/>
        </w:rPr>
      </w:pPr>
      <w:bookmarkStart w:id="60" w:name="_Toc300677997"/>
      <w:r>
        <w:rPr>
          <w:rFonts w:eastAsia="黑体"/>
          <w:color w:val="auto"/>
          <w:sz w:val="28"/>
          <w:szCs w:val="28"/>
          <w:highlight w:val="none"/>
        </w:rPr>
        <w:t>投标人须知前附表</w:t>
      </w:r>
      <w:bookmarkEnd w:id="60"/>
    </w:p>
    <w:tbl>
      <w:tblPr>
        <w:tblStyle w:val="40"/>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435"/>
      </w:tblGrid>
      <w:tr w14:paraId="5FE8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0"/>
            <w:vAlign w:val="center"/>
          </w:tcPr>
          <w:p w14:paraId="7588E261">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bCs/>
                <w:color w:val="auto"/>
                <w:szCs w:val="21"/>
                <w:highlight w:val="none"/>
              </w:rPr>
              <w:t>条款号</w:t>
            </w:r>
          </w:p>
        </w:tc>
        <w:tc>
          <w:tcPr>
            <w:tcW w:w="1770" w:type="dxa"/>
            <w:noWrap w:val="0"/>
            <w:vAlign w:val="center"/>
          </w:tcPr>
          <w:p w14:paraId="2E657120">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bCs/>
                <w:color w:val="auto"/>
                <w:szCs w:val="21"/>
                <w:highlight w:val="none"/>
              </w:rPr>
              <w:t>条款名称</w:t>
            </w:r>
          </w:p>
        </w:tc>
        <w:tc>
          <w:tcPr>
            <w:tcW w:w="6435" w:type="dxa"/>
            <w:noWrap w:val="0"/>
            <w:vAlign w:val="center"/>
          </w:tcPr>
          <w:p w14:paraId="3F83E93C">
            <w:pPr>
              <w:keepNext w:val="0"/>
              <w:keepLines w:val="0"/>
              <w:suppressLineNumbers w:val="0"/>
              <w:spacing w:before="0" w:beforeAutospacing="0" w:after="0" w:afterAutospacing="0"/>
              <w:ind w:left="-103" w:leftChars="-49" w:right="0" w:firstLine="422" w:firstLineChars="201"/>
              <w:jc w:val="center"/>
              <w:rPr>
                <w:rFonts w:hint="default" w:ascii="Calibri" w:hAnsi="Calibri" w:cs="Calibri"/>
                <w:bCs/>
                <w:color w:val="auto"/>
                <w:szCs w:val="21"/>
                <w:highlight w:val="none"/>
              </w:rPr>
            </w:pPr>
            <w:r>
              <w:rPr>
                <w:rFonts w:hint="default" w:ascii="Calibri" w:hAnsi="Calibri" w:cs="Calibri"/>
                <w:bCs/>
                <w:color w:val="auto"/>
                <w:szCs w:val="21"/>
                <w:highlight w:val="none"/>
              </w:rPr>
              <w:t>编列内容</w:t>
            </w:r>
          </w:p>
        </w:tc>
      </w:tr>
      <w:tr w14:paraId="398F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0"/>
            <w:vAlign w:val="center"/>
          </w:tcPr>
          <w:p w14:paraId="71D55233">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.2</w:t>
            </w:r>
          </w:p>
        </w:tc>
        <w:tc>
          <w:tcPr>
            <w:tcW w:w="1770" w:type="dxa"/>
            <w:noWrap w:val="0"/>
            <w:vAlign w:val="center"/>
          </w:tcPr>
          <w:p w14:paraId="7527CF4F">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u w:val="none"/>
              </w:rPr>
            </w:pPr>
            <w:r>
              <w:rPr>
                <w:rFonts w:hint="default" w:ascii="Calibri" w:hAnsi="Calibri" w:cs="Calibri"/>
                <w:color w:val="auto"/>
                <w:szCs w:val="21"/>
                <w:highlight w:val="none"/>
                <w:u w:val="none"/>
              </w:rPr>
              <w:t>招标人</w:t>
            </w:r>
          </w:p>
        </w:tc>
        <w:tc>
          <w:tcPr>
            <w:tcW w:w="6435" w:type="dxa"/>
            <w:noWrap w:val="0"/>
            <w:vAlign w:val="center"/>
          </w:tcPr>
          <w:p w14:paraId="38BA29F6">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none"/>
              </w:rPr>
            </w:pPr>
            <w:r>
              <w:rPr>
                <w:rFonts w:hint="default" w:ascii="Calibri" w:hAnsi="Calibri" w:cs="Calibri"/>
                <w:color w:val="auto"/>
                <w:szCs w:val="21"/>
                <w:highlight w:val="none"/>
                <w:u w:val="none"/>
              </w:rPr>
              <w:t>名    称：</w:t>
            </w:r>
            <w:r>
              <w:rPr>
                <w:rFonts w:hint="eastAsia"/>
                <w:color w:val="auto"/>
                <w:szCs w:val="21"/>
                <w:highlight w:val="none"/>
                <w:u w:val="none"/>
                <w:lang w:val="en-US" w:eastAsia="zh-CN"/>
              </w:rPr>
              <w:t>湖南省岳阳水文水资源勘测中心</w:t>
            </w:r>
          </w:p>
          <w:p w14:paraId="30473798">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none"/>
              </w:rPr>
            </w:pPr>
            <w:r>
              <w:rPr>
                <w:rFonts w:hint="default" w:ascii="Calibri" w:hAnsi="Calibri" w:cs="Calibri"/>
                <w:color w:val="auto"/>
                <w:szCs w:val="21"/>
                <w:highlight w:val="none"/>
                <w:u w:val="none"/>
              </w:rPr>
              <w:t>地    址：</w:t>
            </w:r>
            <w:r>
              <w:rPr>
                <w:rFonts w:hint="eastAsia"/>
                <w:color w:val="auto"/>
                <w:szCs w:val="21"/>
                <w:highlight w:val="none"/>
                <w:u w:val="none"/>
              </w:rPr>
              <w:t>湖南省岳阳市岳阳楼区沿湖路</w:t>
            </w:r>
          </w:p>
          <w:p w14:paraId="01E26944">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none"/>
              </w:rPr>
            </w:pPr>
            <w:r>
              <w:rPr>
                <w:rFonts w:hint="default" w:ascii="Calibri" w:hAnsi="Calibri" w:cs="Calibri"/>
                <w:color w:val="auto"/>
                <w:szCs w:val="21"/>
                <w:highlight w:val="none"/>
                <w:u w:val="none"/>
              </w:rPr>
              <w:t>联 系 人：</w:t>
            </w:r>
            <w:r>
              <w:rPr>
                <w:rFonts w:hint="eastAsia" w:eastAsia="宋体"/>
                <w:color w:val="auto"/>
                <w:szCs w:val="21"/>
                <w:highlight w:val="none"/>
                <w:u w:val="none"/>
                <w:lang w:val="en-US" w:eastAsia="zh-CN"/>
              </w:rPr>
              <w:t>王宁宁</w:t>
            </w:r>
          </w:p>
          <w:p w14:paraId="45882A77">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none"/>
              </w:rPr>
            </w:pPr>
            <w:r>
              <w:rPr>
                <w:rFonts w:hint="default" w:ascii="Calibri" w:hAnsi="Calibri" w:cs="Calibri"/>
                <w:color w:val="auto"/>
                <w:szCs w:val="21"/>
                <w:highlight w:val="none"/>
                <w:u w:val="none"/>
              </w:rPr>
              <w:t xml:space="preserve">电    话： </w:t>
            </w:r>
            <w:r>
              <w:rPr>
                <w:rFonts w:hint="eastAsia" w:eastAsia="宋体"/>
                <w:color w:val="auto"/>
                <w:szCs w:val="21"/>
                <w:highlight w:val="none"/>
                <w:u w:val="none"/>
                <w:lang w:val="en-US" w:eastAsia="zh-CN"/>
              </w:rPr>
              <w:t>13077190426</w:t>
            </w:r>
          </w:p>
        </w:tc>
      </w:tr>
      <w:tr w14:paraId="2677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065" w:type="dxa"/>
            <w:noWrap w:val="0"/>
            <w:vAlign w:val="center"/>
          </w:tcPr>
          <w:p w14:paraId="1668A7DB">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3</w:t>
            </w:r>
          </w:p>
        </w:tc>
        <w:tc>
          <w:tcPr>
            <w:tcW w:w="1770" w:type="dxa"/>
            <w:noWrap w:val="0"/>
            <w:vAlign w:val="center"/>
          </w:tcPr>
          <w:p w14:paraId="1BB2CF88">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招标代理机构</w:t>
            </w:r>
          </w:p>
        </w:tc>
        <w:tc>
          <w:tcPr>
            <w:tcW w:w="6435" w:type="dxa"/>
            <w:noWrap w:val="0"/>
            <w:vAlign w:val="center"/>
          </w:tcPr>
          <w:p w14:paraId="4AD5E9AD">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名    称：华伦中建建设股份有限公司</w:t>
            </w:r>
          </w:p>
          <w:p w14:paraId="599D7788">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地    址： 湖南省岳阳市岳阳楼区金鹗东路219号万象中心</w:t>
            </w:r>
          </w:p>
          <w:p w14:paraId="268A6371">
            <w:pPr>
              <w:keepNext w:val="0"/>
              <w:keepLines w:val="0"/>
              <w:suppressLineNumbers w:val="0"/>
              <w:spacing w:before="0" w:beforeAutospacing="0" w:after="0" w:afterAutospacing="0"/>
              <w:ind w:left="-103" w:leftChars="-49" w:right="0" w:firstLine="422" w:firstLineChars="201"/>
              <w:rPr>
                <w:rFonts w:hint="default" w:ascii="宋体" w:hAnsi="宋体" w:eastAsia="宋体"/>
                <w:color w:val="auto"/>
                <w:szCs w:val="21"/>
                <w:highlight w:val="none"/>
                <w:lang w:val="en-US" w:eastAsia="zh-CN"/>
              </w:rPr>
            </w:pPr>
            <w:r>
              <w:rPr>
                <w:rFonts w:hint="eastAsia" w:ascii="宋体" w:hAnsi="宋体"/>
                <w:color w:val="auto"/>
                <w:szCs w:val="21"/>
                <w:highlight w:val="none"/>
              </w:rPr>
              <w:t>项目负责人：</w:t>
            </w:r>
            <w:r>
              <w:rPr>
                <w:rFonts w:hint="eastAsia" w:ascii="宋体" w:hAnsi="宋体"/>
                <w:color w:val="auto"/>
                <w:szCs w:val="21"/>
                <w:highlight w:val="none"/>
                <w:lang w:val="en-US" w:eastAsia="zh-CN"/>
              </w:rPr>
              <w:t>黄东坡</w:t>
            </w:r>
          </w:p>
          <w:p w14:paraId="6B76E76B">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olor w:val="auto"/>
                <w:szCs w:val="21"/>
                <w:highlight w:val="none"/>
              </w:rPr>
              <w:t>专职人员</w:t>
            </w:r>
            <w:r>
              <w:rPr>
                <w:rFonts w:hint="eastAsia" w:ascii="宋体" w:hAnsi="宋体"/>
                <w:color w:val="auto"/>
                <w:szCs w:val="21"/>
                <w:highlight w:val="none"/>
                <w:lang w:eastAsia="zh-CN"/>
              </w:rPr>
              <w:t>：黄杜、赵小梅</w:t>
            </w:r>
          </w:p>
          <w:p w14:paraId="70E8DD5F">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电    话：</w:t>
            </w:r>
            <w:r>
              <w:rPr>
                <w:rFonts w:hint="eastAsia" w:ascii="Calibri" w:hAnsi="Calibri" w:cs="Calibri"/>
                <w:color w:val="auto"/>
                <w:szCs w:val="21"/>
                <w:highlight w:val="none"/>
                <w:lang w:val="en-US" w:eastAsia="zh-CN"/>
              </w:rPr>
              <w:t>0730-8280355</w:t>
            </w:r>
            <w:r>
              <w:rPr>
                <w:rFonts w:hint="default" w:ascii="Calibri" w:hAnsi="Calibri" w:cs="Calibri"/>
                <w:color w:val="auto"/>
                <w:szCs w:val="21"/>
                <w:highlight w:val="none"/>
              </w:rPr>
              <w:t xml:space="preserve"> </w:t>
            </w:r>
          </w:p>
        </w:tc>
      </w:tr>
      <w:tr w14:paraId="0EBE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noWrap w:val="0"/>
            <w:vAlign w:val="center"/>
          </w:tcPr>
          <w:p w14:paraId="7D539EE7">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.4</w:t>
            </w:r>
          </w:p>
        </w:tc>
        <w:tc>
          <w:tcPr>
            <w:tcW w:w="1770" w:type="dxa"/>
            <w:noWrap w:val="0"/>
            <w:vAlign w:val="center"/>
          </w:tcPr>
          <w:p w14:paraId="32EDEF4B">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招标项目名称</w:t>
            </w:r>
          </w:p>
        </w:tc>
        <w:tc>
          <w:tcPr>
            <w:tcW w:w="6435" w:type="dxa"/>
            <w:noWrap w:val="0"/>
            <w:vAlign w:val="center"/>
          </w:tcPr>
          <w:p w14:paraId="7A321248">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color w:val="auto"/>
                <w:highlight w:val="none"/>
                <w:u w:val="single"/>
              </w:rPr>
              <w:t>岳阳水文水情会商分中心项目</w:t>
            </w:r>
          </w:p>
        </w:tc>
      </w:tr>
      <w:tr w14:paraId="1FCF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65" w:type="dxa"/>
            <w:noWrap w:val="0"/>
            <w:vAlign w:val="center"/>
          </w:tcPr>
          <w:p w14:paraId="3411A5B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1.1</w:t>
            </w:r>
            <w:r>
              <w:rPr>
                <w:rFonts w:hint="eastAsia" w:ascii="Calibri" w:hAnsi="Calibri" w:cs="Calibri"/>
                <w:color w:val="auto"/>
                <w:szCs w:val="21"/>
                <w:highlight w:val="none"/>
              </w:rPr>
              <w:t>.5</w:t>
            </w:r>
          </w:p>
        </w:tc>
        <w:tc>
          <w:tcPr>
            <w:tcW w:w="1770" w:type="dxa"/>
            <w:noWrap w:val="0"/>
            <w:vAlign w:val="center"/>
          </w:tcPr>
          <w:p w14:paraId="5F529BED">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建设地点</w:t>
            </w:r>
          </w:p>
        </w:tc>
        <w:tc>
          <w:tcPr>
            <w:tcW w:w="6435" w:type="dxa"/>
            <w:noWrap w:val="0"/>
            <w:vAlign w:val="center"/>
          </w:tcPr>
          <w:p w14:paraId="12399B30">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color w:val="auto"/>
                <w:highlight w:val="none"/>
                <w:u w:val="single"/>
              </w:rPr>
              <w:t>岳阳水文测报中心大楼东侧</w:t>
            </w:r>
          </w:p>
        </w:tc>
      </w:tr>
      <w:tr w14:paraId="5638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noWrap w:val="0"/>
            <w:vAlign w:val="center"/>
          </w:tcPr>
          <w:p w14:paraId="6DF27FD9">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.1</w:t>
            </w:r>
          </w:p>
        </w:tc>
        <w:tc>
          <w:tcPr>
            <w:tcW w:w="1770" w:type="dxa"/>
            <w:noWrap w:val="0"/>
            <w:vAlign w:val="center"/>
          </w:tcPr>
          <w:p w14:paraId="713E5FEB">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招标范围</w:t>
            </w:r>
          </w:p>
        </w:tc>
        <w:tc>
          <w:tcPr>
            <w:tcW w:w="6435" w:type="dxa"/>
            <w:noWrap w:val="0"/>
            <w:vAlign w:val="center"/>
          </w:tcPr>
          <w:p w14:paraId="55AC5774">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详见招标公告</w:t>
            </w:r>
            <w:r>
              <w:rPr>
                <w:rFonts w:hint="eastAsia" w:ascii="Calibri" w:hAnsi="Calibri" w:cs="Calibri"/>
                <w:color w:val="auto"/>
                <w:szCs w:val="21"/>
                <w:highlight w:val="none"/>
              </w:rPr>
              <w:t>（</w:t>
            </w:r>
            <w:r>
              <w:rPr>
                <w:rFonts w:hint="default" w:ascii="Calibri" w:hAnsi="Calibri" w:cs="Calibri"/>
                <w:color w:val="auto"/>
                <w:szCs w:val="21"/>
                <w:highlight w:val="none"/>
              </w:rPr>
              <w:t>适用于采用资格</w:t>
            </w:r>
            <w:r>
              <w:rPr>
                <w:rFonts w:hint="eastAsia" w:ascii="Calibri" w:hAnsi="Calibri" w:cs="Calibri"/>
                <w:color w:val="auto"/>
                <w:szCs w:val="21"/>
                <w:highlight w:val="none"/>
              </w:rPr>
              <w:t>后</w:t>
            </w:r>
            <w:r>
              <w:rPr>
                <w:rFonts w:hint="default" w:ascii="Calibri" w:hAnsi="Calibri" w:cs="Calibri"/>
                <w:color w:val="auto"/>
                <w:szCs w:val="21"/>
                <w:highlight w:val="none"/>
              </w:rPr>
              <w:t>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r>
              <w:rPr>
                <w:rFonts w:hint="eastAsia" w:ascii="Calibri" w:hAnsi="Calibri" w:cs="Calibri"/>
                <w:color w:val="auto"/>
                <w:szCs w:val="21"/>
                <w:highlight w:val="none"/>
              </w:rPr>
              <w:t>）</w:t>
            </w:r>
          </w:p>
          <w:p w14:paraId="1FBB70AC">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详见投标邀请书（适用于邀请招标</w:t>
            </w:r>
            <w:r>
              <w:rPr>
                <w:rFonts w:hint="eastAsia" w:ascii="Calibri" w:hAnsi="Calibri" w:cs="Calibri"/>
                <w:color w:val="auto"/>
                <w:szCs w:val="21"/>
                <w:highlight w:val="none"/>
              </w:rPr>
              <w:t>项目</w:t>
            </w:r>
            <w:r>
              <w:rPr>
                <w:rFonts w:hint="default" w:ascii="Calibri" w:hAnsi="Calibri" w:cs="Calibri"/>
                <w:color w:val="auto"/>
                <w:szCs w:val="21"/>
                <w:highlight w:val="none"/>
              </w:rPr>
              <w:t>）</w:t>
            </w:r>
          </w:p>
          <w:p w14:paraId="4C4B027F">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w:t>
            </w:r>
          </w:p>
          <w:p w14:paraId="2F0BF827">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关于招标范围的详细说明见第七章“技术标准和要求”及施工图纸和工程量清单。（适用于采用资格预审方式的</w:t>
            </w:r>
            <w:r>
              <w:rPr>
                <w:rFonts w:hint="eastAsia" w:ascii="Calibri" w:hAnsi="Calibri" w:cs="Calibri"/>
                <w:color w:val="auto"/>
                <w:szCs w:val="21"/>
                <w:highlight w:val="none"/>
              </w:rPr>
              <w:t>招标</w:t>
            </w:r>
            <w:r>
              <w:rPr>
                <w:rFonts w:hint="default" w:ascii="Calibri" w:hAnsi="Calibri" w:cs="Calibri"/>
                <w:color w:val="auto"/>
                <w:szCs w:val="21"/>
                <w:highlight w:val="none"/>
              </w:rPr>
              <w:t>项目）</w:t>
            </w:r>
          </w:p>
        </w:tc>
      </w:tr>
      <w:tr w14:paraId="08C4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65" w:type="dxa"/>
            <w:noWrap w:val="0"/>
            <w:vAlign w:val="center"/>
          </w:tcPr>
          <w:p w14:paraId="714F095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.2</w:t>
            </w:r>
          </w:p>
        </w:tc>
        <w:tc>
          <w:tcPr>
            <w:tcW w:w="1770" w:type="dxa"/>
            <w:noWrap w:val="0"/>
            <w:vAlign w:val="center"/>
          </w:tcPr>
          <w:p w14:paraId="7EBDD052">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计划工期</w:t>
            </w:r>
          </w:p>
        </w:tc>
        <w:tc>
          <w:tcPr>
            <w:tcW w:w="6435" w:type="dxa"/>
            <w:noWrap w:val="0"/>
            <w:vAlign w:val="center"/>
          </w:tcPr>
          <w:p w14:paraId="0A857F0E">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计划工期：</w:t>
            </w:r>
            <w:r>
              <w:rPr>
                <w:rFonts w:hint="eastAsia" w:ascii="Calibri" w:hAnsi="Calibri" w:cs="Calibri"/>
                <w:color w:val="auto"/>
                <w:szCs w:val="21"/>
                <w:highlight w:val="none"/>
                <w:u w:val="single"/>
                <w:lang w:val="en-US" w:eastAsia="zh-CN"/>
              </w:rPr>
              <w:t>180</w:t>
            </w:r>
            <w:r>
              <w:rPr>
                <w:rFonts w:hint="eastAsia" w:ascii="宋体" w:hAnsi="宋体" w:cs="Calibri"/>
                <w:color w:val="auto"/>
                <w:szCs w:val="21"/>
                <w:highlight w:val="none"/>
                <w:lang w:eastAsia="zh-CN"/>
              </w:rPr>
              <w:t>☑</w:t>
            </w:r>
            <w:r>
              <w:rPr>
                <w:rFonts w:hint="default" w:ascii="Calibri" w:hAnsi="Calibri" w:cs="Calibri"/>
                <w:color w:val="auto"/>
                <w:szCs w:val="21"/>
                <w:highlight w:val="none"/>
              </w:rPr>
              <w:t>天</w:t>
            </w:r>
            <w:r>
              <w:rPr>
                <w:rFonts w:hint="eastAsia" w:ascii="宋体" w:hAnsi="宋体" w:cs="Calibri"/>
                <w:color w:val="auto"/>
                <w:szCs w:val="21"/>
                <w:highlight w:val="none"/>
              </w:rPr>
              <w:t>□月□年</w:t>
            </w:r>
          </w:p>
        </w:tc>
      </w:tr>
      <w:tr w14:paraId="50AB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0"/>
            <w:vAlign w:val="center"/>
          </w:tcPr>
          <w:p w14:paraId="530915CD">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.3</w:t>
            </w:r>
            <w:r>
              <w:rPr>
                <w:rFonts w:hint="default" w:ascii="Calibri" w:hAnsi="Calibri" w:cs="Calibri"/>
                <w:color w:val="auto"/>
                <w:szCs w:val="21"/>
                <w:highlight w:val="none"/>
              </w:rPr>
              <w:t>.3</w:t>
            </w:r>
          </w:p>
        </w:tc>
        <w:tc>
          <w:tcPr>
            <w:tcW w:w="1770" w:type="dxa"/>
            <w:noWrap w:val="0"/>
            <w:vAlign w:val="center"/>
          </w:tcPr>
          <w:p w14:paraId="07375B49">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质量标准和</w:t>
            </w:r>
          </w:p>
          <w:p w14:paraId="6DD4D084">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保修要求</w:t>
            </w:r>
          </w:p>
        </w:tc>
        <w:tc>
          <w:tcPr>
            <w:tcW w:w="6435" w:type="dxa"/>
            <w:noWrap w:val="0"/>
            <w:vAlign w:val="center"/>
          </w:tcPr>
          <w:p w14:paraId="484C8EA3">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default" w:ascii="Calibri" w:hAnsi="Calibri" w:cs="Calibri"/>
                <w:color w:val="auto"/>
                <w:szCs w:val="21"/>
                <w:highlight w:val="none"/>
              </w:rPr>
              <w:t>质量标准：</w:t>
            </w:r>
            <w:r>
              <w:rPr>
                <w:rFonts w:hint="default"/>
                <w:spacing w:val="13"/>
                <w:u w:val="single" w:color="auto"/>
              </w:rPr>
              <w:t>工程质量符合建设项目工程</w:t>
            </w:r>
            <w:r>
              <w:rPr>
                <w:rFonts w:hint="eastAsia"/>
                <w:spacing w:val="13"/>
                <w:u w:val="single" w:color="auto"/>
                <w:lang w:val="en-US" w:eastAsia="zh-CN"/>
              </w:rPr>
              <w:t>施工</w:t>
            </w:r>
            <w:r>
              <w:rPr>
                <w:rFonts w:hint="default"/>
                <w:spacing w:val="13"/>
                <w:u w:val="single" w:color="auto"/>
              </w:rPr>
              <w:t>总承包管</w:t>
            </w:r>
            <w:r>
              <w:rPr>
                <w:rFonts w:hint="default"/>
                <w:spacing w:val="9"/>
                <w:u w:val="single" w:color="auto"/>
              </w:rPr>
              <w:t>理规范及现行国家验收规范规定的合格标准</w:t>
            </w:r>
            <w:r>
              <w:rPr>
                <w:rFonts w:hint="eastAsia" w:ascii="Calibri" w:hAnsi="Calibri" w:cs="Calibri"/>
                <w:color w:val="auto"/>
                <w:szCs w:val="21"/>
                <w:highlight w:val="none"/>
              </w:rPr>
              <w:t>；</w:t>
            </w:r>
          </w:p>
          <w:p w14:paraId="72C86505">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保修要求：</w:t>
            </w:r>
            <w:r>
              <w:rPr>
                <w:rFonts w:hint="default"/>
                <w:spacing w:val="7"/>
                <w:u w:val="single" w:color="auto"/>
              </w:rPr>
              <w:t>按建设部【</w:t>
            </w:r>
            <w:r>
              <w:rPr>
                <w:rFonts w:hint="default" w:ascii="Times New Roman" w:hAnsi="Times New Roman" w:eastAsia="Times New Roman" w:cs="Times New Roman"/>
                <w:spacing w:val="7"/>
                <w:u w:val="single" w:color="auto"/>
              </w:rPr>
              <w:t>2000</w:t>
            </w:r>
            <w:r>
              <w:rPr>
                <w:rFonts w:hint="default"/>
                <w:spacing w:val="7"/>
                <w:u w:val="single" w:color="auto"/>
              </w:rPr>
              <w:t>】年</w:t>
            </w:r>
            <w:r>
              <w:rPr>
                <w:rFonts w:hint="default"/>
                <w:spacing w:val="-22"/>
                <w:u w:val="single" w:color="auto"/>
              </w:rPr>
              <w:t xml:space="preserve"> </w:t>
            </w:r>
            <w:r>
              <w:rPr>
                <w:rFonts w:hint="default" w:ascii="Times New Roman" w:hAnsi="Times New Roman" w:eastAsia="Times New Roman" w:cs="Times New Roman"/>
                <w:spacing w:val="7"/>
                <w:u w:val="single" w:color="auto"/>
              </w:rPr>
              <w:t xml:space="preserve">80 </w:t>
            </w:r>
            <w:r>
              <w:rPr>
                <w:rFonts w:hint="default"/>
                <w:spacing w:val="7"/>
                <w:u w:val="single" w:color="auto"/>
              </w:rPr>
              <w:t>号令保修</w:t>
            </w:r>
            <w:r>
              <w:rPr>
                <w:rFonts w:hint="default" w:ascii="Calibri" w:hAnsi="Calibri" w:cs="Calibri"/>
                <w:color w:val="auto"/>
                <w:szCs w:val="21"/>
                <w:highlight w:val="none"/>
              </w:rPr>
              <w:t>。</w:t>
            </w:r>
          </w:p>
        </w:tc>
      </w:tr>
      <w:tr w14:paraId="7EEB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065" w:type="dxa"/>
            <w:noWrap w:val="0"/>
            <w:vAlign w:val="center"/>
          </w:tcPr>
          <w:p w14:paraId="61BEAE7E">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.1</w:t>
            </w:r>
          </w:p>
        </w:tc>
        <w:tc>
          <w:tcPr>
            <w:tcW w:w="1770" w:type="dxa"/>
            <w:noWrap w:val="0"/>
            <w:vAlign w:val="center"/>
          </w:tcPr>
          <w:p w14:paraId="59F784A2">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资质条件</w:t>
            </w:r>
          </w:p>
        </w:tc>
        <w:tc>
          <w:tcPr>
            <w:tcW w:w="6435" w:type="dxa"/>
            <w:noWrap w:val="0"/>
            <w:vAlign w:val="center"/>
          </w:tcPr>
          <w:p w14:paraId="134F7091">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szCs w:val="21"/>
                <w:highlight w:val="none"/>
              </w:rPr>
              <w:t>1.</w:t>
            </w:r>
            <w:r>
              <w:rPr>
                <w:rFonts w:hint="default" w:ascii="Calibri" w:hAnsi="Calibri" w:cs="Calibri"/>
                <w:color w:val="auto"/>
                <w:szCs w:val="21"/>
                <w:highlight w:val="none"/>
              </w:rPr>
              <w:t>具有独立法人资格并依法取得企业营业执照，营业执照处于有效期；</w:t>
            </w:r>
            <w:r>
              <w:rPr>
                <w:rFonts w:hint="default" w:ascii="Calibri" w:hAnsi="Calibri" w:cs="Calibri"/>
                <w:color w:val="auto"/>
                <w:highlight w:val="none"/>
              </w:rPr>
              <w:t xml:space="preserve"> </w:t>
            </w:r>
          </w:p>
          <w:p w14:paraId="5367B860">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具有住房城乡建设主管部门颁发的</w:t>
            </w:r>
            <w:r>
              <w:rPr>
                <w:rFonts w:hint="eastAsia" w:ascii="宋体" w:hAnsi="宋体" w:eastAsia="宋体" w:cs="宋体"/>
                <w:i w:val="0"/>
                <w:iCs w:val="0"/>
                <w:caps w:val="0"/>
                <w:color w:val="555555"/>
                <w:spacing w:val="0"/>
                <w:sz w:val="21"/>
                <w:szCs w:val="21"/>
                <w:u w:val="single"/>
                <w:shd w:val="clear" w:fill="FFFFFF"/>
              </w:rPr>
              <w:t>建筑工程施工总承包叁级及以上</w:t>
            </w:r>
            <w:r>
              <w:rPr>
                <w:rFonts w:hint="default" w:ascii="Calibri" w:hAnsi="Calibri" w:cs="Calibri"/>
                <w:color w:val="auto"/>
                <w:szCs w:val="21"/>
                <w:highlight w:val="none"/>
              </w:rPr>
              <w:t>资质，</w:t>
            </w:r>
            <w:r>
              <w:rPr>
                <w:rFonts w:hint="default" w:ascii="Calibri" w:hAnsi="Calibri" w:cs="Calibri"/>
                <w:color w:val="auto"/>
                <w:szCs w:val="21"/>
                <w:highlight w:val="none"/>
                <w:u w:val="single"/>
              </w:rPr>
              <w:t>安全生产许可证处于有效期</w:t>
            </w:r>
            <w:r>
              <w:rPr>
                <w:rFonts w:hint="default" w:ascii="Calibri" w:hAnsi="Calibri" w:cs="Calibri"/>
                <w:color w:val="auto"/>
                <w:szCs w:val="21"/>
                <w:highlight w:val="none"/>
              </w:rPr>
              <w:t>；</w:t>
            </w:r>
          </w:p>
          <w:p w14:paraId="7A727C75">
            <w:pPr>
              <w:keepNext w:val="0"/>
              <w:keepLines w:val="0"/>
              <w:suppressLineNumbers w:val="0"/>
              <w:spacing w:before="0" w:beforeAutospacing="0" w:after="0" w:afterAutospacing="0"/>
              <w:ind w:left="-103" w:leftChars="-49" w:right="0" w:firstLine="422" w:firstLineChars="201"/>
              <w:rPr>
                <w:rFonts w:hint="default" w:ascii="Times New Roman" w:hAnsi="Times New Roman" w:cs="Times New Roman"/>
                <w:color w:val="auto"/>
                <w:highlight w:val="none"/>
              </w:rPr>
            </w:pPr>
            <w:r>
              <w:rPr>
                <w:rFonts w:hint="eastAsia" w:ascii="Calibri" w:hAnsi="Calibri" w:cs="Calibri"/>
                <w:color w:val="auto"/>
                <w:highlight w:val="none"/>
              </w:rPr>
              <w:t>3.</w:t>
            </w:r>
            <w:r>
              <w:rPr>
                <w:rFonts w:hint="default" w:ascii="Calibri" w:hAnsi="Calibri" w:cs="Calibri"/>
                <w:color w:val="auto"/>
                <w:szCs w:val="21"/>
                <w:highlight w:val="none"/>
              </w:rPr>
              <w:t xml:space="preserve"> </w:t>
            </w:r>
            <w:r>
              <w:rPr>
                <w:rFonts w:hint="default" w:ascii="Calibri" w:hAnsi="Calibri" w:cs="Calibri"/>
                <w:color w:val="auto"/>
                <w:highlight w:val="none"/>
              </w:rPr>
              <w:t>拟任项目经理具备</w:t>
            </w:r>
            <w:r>
              <w:rPr>
                <w:rFonts w:hint="eastAsia" w:ascii="宋体" w:hAnsi="宋体" w:eastAsia="宋体" w:cs="宋体"/>
                <w:i w:val="0"/>
                <w:iCs w:val="0"/>
                <w:caps w:val="0"/>
                <w:color w:val="555555"/>
                <w:spacing w:val="0"/>
                <w:sz w:val="21"/>
                <w:szCs w:val="21"/>
                <w:u w:val="single"/>
                <w:shd w:val="clear" w:fill="FFFFFF"/>
              </w:rPr>
              <w:t>建筑工程</w:t>
            </w:r>
            <w:r>
              <w:rPr>
                <w:rFonts w:hint="default" w:ascii="Calibri" w:hAnsi="Calibri" w:cs="Calibri"/>
                <w:color w:val="auto"/>
                <w:highlight w:val="none"/>
              </w:rPr>
              <w:t>专业</w:t>
            </w:r>
            <w:r>
              <w:rPr>
                <w:rFonts w:hint="eastAsia" w:ascii="宋体" w:hAnsi="宋体" w:eastAsia="宋体" w:cs="宋体"/>
                <w:i w:val="0"/>
                <w:iCs w:val="0"/>
                <w:caps w:val="0"/>
                <w:color w:val="555555"/>
                <w:spacing w:val="0"/>
                <w:sz w:val="21"/>
                <w:szCs w:val="21"/>
                <w:u w:val="single"/>
                <w:shd w:val="clear" w:fill="FFFFFF"/>
              </w:rPr>
              <w:t>二级及以上注册建造师</w:t>
            </w:r>
            <w:r>
              <w:rPr>
                <w:rFonts w:hint="default" w:ascii="Calibri" w:hAnsi="Calibri" w:cs="Calibri"/>
                <w:color w:val="auto"/>
                <w:highlight w:val="none"/>
              </w:rPr>
              <w:t xml:space="preserve">资格,具备项目负责人安全生产考核合格证书。 </w:t>
            </w:r>
          </w:p>
          <w:p w14:paraId="5E3A8FF8">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highlight w:val="none"/>
                <w:lang w:val="en-US" w:eastAsia="zh-CN"/>
              </w:rPr>
              <w:t>4</w:t>
            </w:r>
            <w:r>
              <w:rPr>
                <w:rFonts w:hint="eastAsia" w:ascii="Calibri" w:hAnsi="Calibri" w:cs="Calibri"/>
                <w:color w:val="auto"/>
                <w:highlight w:val="none"/>
              </w:rPr>
              <w:t>.</w:t>
            </w:r>
            <w:r>
              <w:rPr>
                <w:rFonts w:hint="default" w:ascii="Calibri" w:hAnsi="Calibri" w:cs="Calibri"/>
                <w:color w:val="auto"/>
                <w:highlight w:val="none"/>
              </w:rPr>
              <w:t>类似工程业绩要求</w:t>
            </w:r>
          </w:p>
          <w:p w14:paraId="6789B5C6">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r>
              <w:rPr>
                <w:rFonts w:hint="eastAsia" w:ascii="Calibri" w:hAnsi="Calibri" w:cs="Calibri"/>
                <w:color w:val="auto"/>
                <w:szCs w:val="21"/>
                <w:highlight w:val="none"/>
              </w:rPr>
              <w:t>具体要求</w:t>
            </w:r>
            <w:r>
              <w:rPr>
                <w:rFonts w:hint="default" w:ascii="Calibri" w:hAnsi="Calibri" w:cs="Calibri"/>
                <w:color w:val="auto"/>
                <w:szCs w:val="21"/>
                <w:highlight w:val="none"/>
              </w:rPr>
              <w:t>详见本表第10.1.1</w:t>
            </w:r>
            <w:r>
              <w:rPr>
                <w:rFonts w:hint="default" w:ascii="Calibri" w:hAnsi="Calibri" w:cs="Calibri"/>
                <w:color w:val="auto"/>
                <w:highlight w:val="none"/>
              </w:rPr>
              <w:t xml:space="preserve"> </w:t>
            </w:r>
            <w:r>
              <w:rPr>
                <w:rFonts w:hint="eastAsia" w:ascii="Calibri" w:hAnsi="Calibri" w:cs="Calibri"/>
                <w:color w:val="auto"/>
                <w:highlight w:val="none"/>
              </w:rPr>
              <w:t>项</w:t>
            </w:r>
          </w:p>
          <w:p w14:paraId="017A6805">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u w:val="single"/>
              </w:rPr>
            </w:pPr>
            <w:r>
              <w:rPr>
                <w:rFonts w:hint="eastAsia" w:ascii="Calibri" w:hAnsi="Calibri" w:cs="Calibri"/>
                <w:color w:val="auto"/>
                <w:highlight w:val="none"/>
                <w:lang w:val="en-US" w:eastAsia="zh-CN"/>
              </w:rPr>
              <w:t>5</w:t>
            </w:r>
            <w:r>
              <w:rPr>
                <w:rFonts w:hint="eastAsia" w:ascii="Calibri" w:hAnsi="Calibri" w:cs="Calibri"/>
                <w:color w:val="auto"/>
                <w:highlight w:val="none"/>
              </w:rPr>
              <w:t>.</w:t>
            </w:r>
            <w:r>
              <w:rPr>
                <w:rFonts w:hint="default" w:ascii="Calibri" w:hAnsi="Calibri" w:cs="Calibri"/>
                <w:color w:val="auto"/>
                <w:highlight w:val="none"/>
              </w:rPr>
              <w:t>其他</w:t>
            </w:r>
            <w:r>
              <w:rPr>
                <w:rFonts w:hint="eastAsia" w:ascii="Calibri" w:hAnsi="Calibri" w:cs="Calibri"/>
                <w:color w:val="auto"/>
                <w:highlight w:val="none"/>
                <w:u w:val="single"/>
              </w:rPr>
              <w:t xml:space="preserve">          </w:t>
            </w:r>
            <w:r>
              <w:rPr>
                <w:rFonts w:hint="eastAsia" w:ascii="Calibri" w:hAnsi="Calibri" w:cs="Calibri"/>
                <w:color w:val="auto"/>
                <w:highlight w:val="none"/>
                <w:u w:val="single"/>
                <w:lang w:val="en-US" w:eastAsia="zh-CN"/>
              </w:rPr>
              <w:t>/</w:t>
            </w:r>
            <w:r>
              <w:rPr>
                <w:rFonts w:hint="eastAsia" w:ascii="Calibri" w:hAnsi="Calibri" w:cs="Calibri"/>
                <w:color w:val="auto"/>
                <w:highlight w:val="none"/>
                <w:u w:val="single"/>
              </w:rPr>
              <w:t xml:space="preserve">           </w:t>
            </w:r>
          </w:p>
          <w:p w14:paraId="758B042D">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highlight w:val="none"/>
              </w:rPr>
            </w:pPr>
          </w:p>
        </w:tc>
      </w:tr>
      <w:tr w14:paraId="14D4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5" w:type="dxa"/>
            <w:noWrap w:val="0"/>
            <w:vAlign w:val="center"/>
          </w:tcPr>
          <w:p w14:paraId="67C78CD4">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4</w:t>
            </w:r>
            <w:r>
              <w:rPr>
                <w:rFonts w:hint="default" w:ascii="Calibri" w:hAnsi="Calibri" w:cs="Calibri"/>
                <w:color w:val="auto"/>
                <w:szCs w:val="21"/>
                <w:highlight w:val="none"/>
              </w:rPr>
              <w:t>.2</w:t>
            </w:r>
          </w:p>
        </w:tc>
        <w:tc>
          <w:tcPr>
            <w:tcW w:w="1770" w:type="dxa"/>
            <w:noWrap w:val="0"/>
            <w:vAlign w:val="center"/>
          </w:tcPr>
          <w:p w14:paraId="72E6CE28">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default" w:ascii="Calibri" w:hAnsi="Calibri" w:cs="Calibri"/>
                <w:color w:val="auto"/>
                <w:szCs w:val="21"/>
                <w:highlight w:val="none"/>
              </w:rPr>
              <w:t>是否接受</w:t>
            </w:r>
          </w:p>
          <w:p w14:paraId="4205F059">
            <w:pPr>
              <w:keepNext w:val="0"/>
              <w:keepLines w:val="0"/>
              <w:suppressLineNumbers w:val="0"/>
              <w:spacing w:before="0" w:beforeAutospacing="0" w:after="0" w:afterAutospacing="0"/>
              <w:ind w:left="0" w:right="0" w:firstLine="105" w:firstLineChars="50"/>
              <w:rPr>
                <w:rFonts w:hint="default" w:ascii="Calibri" w:hAnsi="Calibri" w:cs="Calibri"/>
                <w:color w:val="auto"/>
                <w:szCs w:val="21"/>
                <w:highlight w:val="none"/>
              </w:rPr>
            </w:pPr>
            <w:r>
              <w:rPr>
                <w:rFonts w:hint="default" w:ascii="Calibri" w:hAnsi="Calibri" w:cs="Calibri"/>
                <w:color w:val="auto"/>
                <w:szCs w:val="21"/>
                <w:highlight w:val="none"/>
              </w:rPr>
              <w:t>联合体投标</w:t>
            </w:r>
          </w:p>
        </w:tc>
        <w:tc>
          <w:tcPr>
            <w:tcW w:w="6435" w:type="dxa"/>
            <w:noWrap w:val="0"/>
            <w:vAlign w:val="center"/>
          </w:tcPr>
          <w:p w14:paraId="2C4F0285">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不接受</w:t>
            </w:r>
          </w:p>
          <w:p w14:paraId="0BB4B03C">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接受，应满足下列要求： </w:t>
            </w:r>
          </w:p>
        </w:tc>
      </w:tr>
      <w:tr w14:paraId="52BF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65" w:type="dxa"/>
            <w:noWrap w:val="0"/>
            <w:vAlign w:val="center"/>
          </w:tcPr>
          <w:p w14:paraId="0D9F9144">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9.1</w:t>
            </w:r>
          </w:p>
        </w:tc>
        <w:tc>
          <w:tcPr>
            <w:tcW w:w="1770" w:type="dxa"/>
            <w:noWrap w:val="0"/>
            <w:vAlign w:val="center"/>
          </w:tcPr>
          <w:p w14:paraId="12F57094">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踏勘现场</w:t>
            </w:r>
          </w:p>
        </w:tc>
        <w:tc>
          <w:tcPr>
            <w:tcW w:w="6435" w:type="dxa"/>
            <w:noWrap w:val="0"/>
            <w:vAlign w:val="center"/>
          </w:tcPr>
          <w:p w14:paraId="2C558599">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不组织</w:t>
            </w:r>
          </w:p>
          <w:p w14:paraId="77CF2A22">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组织，踏勘时间</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eastAsia" w:ascii="Calibri" w:hAnsi="Calibri" w:cs="Calibri"/>
                <w:color w:val="auto"/>
                <w:szCs w:val="21"/>
                <w:highlight w:val="none"/>
              </w:rPr>
              <w:t>，</w:t>
            </w:r>
          </w:p>
          <w:p w14:paraId="14360D61">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踏勘地点</w:t>
            </w:r>
            <w:r>
              <w:rPr>
                <w:rFonts w:hint="eastAsia" w:ascii="Calibri" w:hAnsi="Calibri" w:cs="Calibri"/>
                <w:color w:val="auto"/>
                <w:szCs w:val="21"/>
                <w:highlight w:val="none"/>
              </w:rPr>
              <w:t>：</w:t>
            </w:r>
          </w:p>
        </w:tc>
      </w:tr>
      <w:tr w14:paraId="7AF6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65" w:type="dxa"/>
            <w:noWrap w:val="0"/>
            <w:vAlign w:val="center"/>
          </w:tcPr>
          <w:p w14:paraId="05385A24">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1.11</w:t>
            </w:r>
          </w:p>
        </w:tc>
        <w:tc>
          <w:tcPr>
            <w:tcW w:w="1770" w:type="dxa"/>
            <w:noWrap w:val="0"/>
            <w:vAlign w:val="center"/>
          </w:tcPr>
          <w:p w14:paraId="13A2F4F5">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分  包</w:t>
            </w:r>
          </w:p>
        </w:tc>
        <w:tc>
          <w:tcPr>
            <w:tcW w:w="6435" w:type="dxa"/>
            <w:noWrap w:val="0"/>
            <w:vAlign w:val="center"/>
          </w:tcPr>
          <w:p w14:paraId="55C29E8E">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不允许</w:t>
            </w:r>
          </w:p>
          <w:p w14:paraId="4EDD5897">
            <w:pPr>
              <w:keepNext w:val="0"/>
              <w:keepLines w:val="0"/>
              <w:suppressLineNumbers w:val="0"/>
              <w:spacing w:before="0" w:beforeAutospacing="0" w:after="0" w:afterAutospacing="0"/>
              <w:ind w:left="-103" w:leftChars="-49" w:right="0" w:firstLine="422" w:firstLineChars="201"/>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允许，分包内容要求：</w:t>
            </w:r>
            <w:r>
              <w:rPr>
                <w:rFonts w:hint="eastAsia" w:ascii="Calibri" w:hAnsi="Calibri" w:cs="Calibri"/>
                <w:color w:val="auto"/>
                <w:szCs w:val="21"/>
                <w:highlight w:val="none"/>
                <w:lang w:val="en-US" w:eastAsia="zh-CN"/>
              </w:rPr>
              <w:t>/</w:t>
            </w:r>
          </w:p>
          <w:p w14:paraId="53CD10BE">
            <w:pPr>
              <w:keepNext w:val="0"/>
              <w:keepLines w:val="0"/>
              <w:suppressLineNumbers w:val="0"/>
              <w:spacing w:before="0" w:beforeAutospacing="0" w:after="0" w:afterAutospacing="0"/>
              <w:ind w:left="-103" w:leftChars="-49" w:right="0" w:firstLine="422" w:firstLineChars="201"/>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 xml:space="preserve">       分包金额要求：</w:t>
            </w:r>
            <w:r>
              <w:rPr>
                <w:rFonts w:hint="eastAsia" w:ascii="Calibri" w:hAnsi="Calibri" w:cs="Calibri"/>
                <w:color w:val="auto"/>
                <w:szCs w:val="21"/>
                <w:highlight w:val="none"/>
                <w:lang w:val="en-US" w:eastAsia="zh-CN"/>
              </w:rPr>
              <w:t>/</w:t>
            </w:r>
          </w:p>
          <w:p w14:paraId="2ED4539A">
            <w:pPr>
              <w:keepNext w:val="0"/>
              <w:keepLines w:val="0"/>
              <w:suppressLineNumbers w:val="0"/>
              <w:spacing w:before="0" w:beforeAutospacing="0" w:after="0" w:afterAutospacing="0"/>
              <w:ind w:left="-103" w:leftChars="-49" w:right="0" w:firstLine="422" w:firstLineChars="201"/>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t xml:space="preserve">       接受分包的第三人资质要求：</w:t>
            </w:r>
            <w:r>
              <w:rPr>
                <w:rFonts w:hint="eastAsia" w:ascii="Calibri" w:hAnsi="Calibri" w:cs="Calibri"/>
                <w:color w:val="auto"/>
                <w:szCs w:val="21"/>
                <w:highlight w:val="none"/>
                <w:lang w:val="en-US" w:eastAsia="zh-CN"/>
              </w:rPr>
              <w:t>/</w:t>
            </w:r>
          </w:p>
        </w:tc>
      </w:tr>
      <w:tr w14:paraId="04F9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65" w:type="dxa"/>
            <w:noWrap w:val="0"/>
            <w:vAlign w:val="center"/>
          </w:tcPr>
          <w:p w14:paraId="73AB0C60">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1.12</w:t>
            </w:r>
          </w:p>
        </w:tc>
        <w:tc>
          <w:tcPr>
            <w:tcW w:w="1770" w:type="dxa"/>
            <w:noWrap w:val="0"/>
            <w:vAlign w:val="center"/>
          </w:tcPr>
          <w:p w14:paraId="4EFC8BED">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偏  离</w:t>
            </w:r>
          </w:p>
        </w:tc>
        <w:tc>
          <w:tcPr>
            <w:tcW w:w="6435" w:type="dxa"/>
            <w:noWrap w:val="0"/>
            <w:vAlign w:val="center"/>
          </w:tcPr>
          <w:p w14:paraId="3111859E">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不允许</w:t>
            </w:r>
          </w:p>
          <w:p w14:paraId="2F238EFE">
            <w:pPr>
              <w:keepNext w:val="0"/>
              <w:keepLines w:val="0"/>
              <w:suppressLineNumbers w:val="0"/>
              <w:spacing w:before="0" w:beforeAutospacing="0" w:after="0" w:afterAutospacing="0"/>
              <w:ind w:left="-103" w:leftChars="-49" w:right="0" w:firstLine="422" w:firstLineChars="201"/>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允许，偏差范围：</w:t>
            </w:r>
            <w:r>
              <w:rPr>
                <w:rFonts w:hint="eastAsia" w:ascii="Calibri" w:hAnsi="Calibri" w:cs="Calibri"/>
                <w:color w:val="auto"/>
                <w:szCs w:val="21"/>
                <w:highlight w:val="none"/>
                <w:lang w:val="en-US" w:eastAsia="zh-CN"/>
              </w:rPr>
              <w:t>/</w:t>
            </w:r>
            <w:r>
              <w:rPr>
                <w:rFonts w:hint="default" w:ascii="Calibri" w:hAnsi="Calibri" w:cs="Calibri"/>
                <w:color w:val="auto"/>
                <w:szCs w:val="21"/>
                <w:highlight w:val="none"/>
              </w:rPr>
              <w:t xml:space="preserve">            偏差幅度：</w:t>
            </w:r>
            <w:r>
              <w:rPr>
                <w:rFonts w:hint="eastAsia" w:ascii="Calibri" w:hAnsi="Calibri" w:cs="Calibri"/>
                <w:color w:val="auto"/>
                <w:szCs w:val="21"/>
                <w:highlight w:val="none"/>
                <w:lang w:val="en-US" w:eastAsia="zh-CN"/>
              </w:rPr>
              <w:t>/</w:t>
            </w:r>
          </w:p>
        </w:tc>
      </w:tr>
      <w:tr w14:paraId="4C86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5" w:type="dxa"/>
            <w:noWrap w:val="0"/>
            <w:vAlign w:val="center"/>
          </w:tcPr>
          <w:p w14:paraId="2B7A1D3D">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2.1</w:t>
            </w:r>
          </w:p>
        </w:tc>
        <w:tc>
          <w:tcPr>
            <w:tcW w:w="1770" w:type="dxa"/>
            <w:noWrap w:val="0"/>
            <w:vAlign w:val="center"/>
          </w:tcPr>
          <w:p w14:paraId="52A510A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构成招标文件的其他资料</w:t>
            </w:r>
          </w:p>
        </w:tc>
        <w:tc>
          <w:tcPr>
            <w:tcW w:w="6435" w:type="dxa"/>
            <w:noWrap w:val="0"/>
            <w:vAlign w:val="center"/>
          </w:tcPr>
          <w:p w14:paraId="2E0F99D9">
            <w:pPr>
              <w:keepNext w:val="0"/>
              <w:keepLines w:val="0"/>
              <w:suppressLineNumbers w:val="0"/>
              <w:spacing w:before="0" w:beforeAutospacing="0" w:after="0" w:afterAutospacing="0"/>
              <w:ind w:left="-103" w:leftChars="-49" w:right="0" w:firstLine="458" w:firstLineChars="201"/>
              <w:rPr>
                <w:rFonts w:hint="default" w:ascii="Calibri" w:hAnsi="Calibri" w:cs="Calibri"/>
                <w:color w:val="auto"/>
                <w:szCs w:val="21"/>
                <w:highlight w:val="none"/>
              </w:rPr>
            </w:pPr>
            <w:r>
              <w:rPr>
                <w:rFonts w:hint="default"/>
                <w:spacing w:val="9"/>
                <w:u w:val="single" w:color="auto"/>
              </w:rPr>
              <w:t>补充、澄清文件等（如有）</w:t>
            </w:r>
          </w:p>
        </w:tc>
      </w:tr>
      <w:tr w14:paraId="6E5D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0"/>
            <w:vAlign w:val="center"/>
          </w:tcPr>
          <w:p w14:paraId="5A1F61A1">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2.2.1</w:t>
            </w:r>
          </w:p>
        </w:tc>
        <w:tc>
          <w:tcPr>
            <w:tcW w:w="1770" w:type="dxa"/>
            <w:noWrap w:val="0"/>
            <w:vAlign w:val="center"/>
          </w:tcPr>
          <w:p w14:paraId="727492E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投标人要求澄清</w:t>
            </w:r>
            <w:r>
              <w:rPr>
                <w:rFonts w:hint="default" w:ascii="Calibri" w:hAnsi="Calibri" w:cs="Calibri"/>
                <w:color w:val="auto"/>
                <w:szCs w:val="21"/>
                <w:highlight w:val="none"/>
              </w:rPr>
              <w:t>招标文件的时间和方式</w:t>
            </w:r>
          </w:p>
        </w:tc>
        <w:tc>
          <w:tcPr>
            <w:tcW w:w="6435" w:type="dxa"/>
            <w:noWrap w:val="0"/>
            <w:vAlign w:val="center"/>
          </w:tcPr>
          <w:p w14:paraId="2DEA959B">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截止时间：</w:t>
            </w:r>
            <w:r>
              <w:rPr>
                <w:rFonts w:hint="default"/>
                <w:spacing w:val="4"/>
                <w:u w:val="single" w:color="auto"/>
              </w:rPr>
              <w:t>在投标截止时间</w:t>
            </w:r>
            <w:r>
              <w:rPr>
                <w:rFonts w:hint="default"/>
                <w:spacing w:val="-16"/>
                <w:u w:val="single" w:color="auto"/>
              </w:rPr>
              <w:t xml:space="preserve"> </w:t>
            </w:r>
            <w:r>
              <w:rPr>
                <w:rFonts w:hint="default" w:ascii="Times New Roman" w:hAnsi="Times New Roman" w:eastAsia="Times New Roman" w:cs="Times New Roman"/>
                <w:spacing w:val="4"/>
                <w:u w:val="single" w:color="auto"/>
              </w:rPr>
              <w:t>15</w:t>
            </w:r>
            <w:r>
              <w:rPr>
                <w:rFonts w:hint="default" w:ascii="Times New Roman" w:hAnsi="Times New Roman" w:eastAsia="Times New Roman" w:cs="Times New Roman"/>
                <w:spacing w:val="45"/>
                <w:w w:val="101"/>
                <w:u w:val="single" w:color="auto"/>
              </w:rPr>
              <w:t xml:space="preserve"> </w:t>
            </w:r>
            <w:r>
              <w:rPr>
                <w:rFonts w:hint="default"/>
                <w:spacing w:val="4"/>
                <w:u w:val="single" w:color="auto"/>
              </w:rPr>
              <w:t>日前</w:t>
            </w:r>
            <w:r>
              <w:rPr>
                <w:rFonts w:hint="eastAsia" w:ascii="Calibri" w:hAnsi="Calibri" w:cs="Calibri"/>
                <w:color w:val="auto"/>
                <w:szCs w:val="21"/>
                <w:highlight w:val="none"/>
              </w:rPr>
              <w:t xml:space="preserve"> </w:t>
            </w:r>
          </w:p>
          <w:p w14:paraId="2A3F47B3">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网络方式,提交至</w:t>
            </w:r>
            <w:r>
              <w:rPr>
                <w:rFonts w:hint="eastAsia" w:ascii="Calibri" w:hAnsi="Calibri" w:cs="Calibri"/>
                <w:color w:val="auto"/>
                <w:szCs w:val="21"/>
                <w:highlight w:val="none"/>
              </w:rPr>
              <w:t xml:space="preserve"> </w:t>
            </w:r>
            <w:r>
              <w:rPr>
                <w:rFonts w:hint="eastAsia" w:ascii="Calibri" w:hAnsi="Calibri" w:cs="Calibri"/>
                <w:color w:val="auto"/>
                <w:szCs w:val="21"/>
                <w:highlight w:val="none"/>
                <w:u w:val="single"/>
              </w:rPr>
              <w:t xml:space="preserve"> </w:t>
            </w:r>
            <w:r>
              <w:rPr>
                <w:rFonts w:hint="default"/>
                <w:spacing w:val="10"/>
                <w:u w:val="single" w:color="auto"/>
              </w:rPr>
              <w:t>岳阳市公共资源交易中心电子招标投标交易</w:t>
            </w:r>
            <w:r>
              <w:rPr>
                <w:rFonts w:hint="default"/>
                <w:spacing w:val="5"/>
                <w:u w:val="single" w:color="auto"/>
              </w:rPr>
              <w:t>平台</w:t>
            </w:r>
          </w:p>
        </w:tc>
      </w:tr>
      <w:tr w14:paraId="195B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0"/>
            <w:vAlign w:val="center"/>
          </w:tcPr>
          <w:p w14:paraId="7A695EBB">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2.2.2</w:t>
            </w:r>
          </w:p>
        </w:tc>
        <w:tc>
          <w:tcPr>
            <w:tcW w:w="1770" w:type="dxa"/>
            <w:noWrap w:val="0"/>
            <w:vAlign w:val="center"/>
          </w:tcPr>
          <w:p w14:paraId="3A2D76ED">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投标截止时间</w:t>
            </w:r>
          </w:p>
        </w:tc>
        <w:tc>
          <w:tcPr>
            <w:tcW w:w="6435" w:type="dxa"/>
            <w:noWrap w:val="0"/>
            <w:vAlign w:val="center"/>
          </w:tcPr>
          <w:p w14:paraId="3E61F3F1">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年</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月</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日</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时</w:t>
            </w:r>
            <w:r>
              <w:rPr>
                <w:rFonts w:hint="default" w:ascii="Calibri" w:hAnsi="Calibri" w:cs="Calibri"/>
                <w:color w:val="auto"/>
                <w:szCs w:val="21"/>
                <w:highlight w:val="none"/>
                <w:u w:val="single"/>
              </w:rPr>
              <w:t xml:space="preserve">   </w:t>
            </w:r>
            <w:r>
              <w:rPr>
                <w:rFonts w:hint="default" w:ascii="Calibri" w:hAnsi="Calibri" w:cs="Calibri"/>
                <w:color w:val="auto"/>
                <w:szCs w:val="21"/>
                <w:highlight w:val="none"/>
              </w:rPr>
              <w:t>分</w:t>
            </w:r>
          </w:p>
        </w:tc>
      </w:tr>
      <w:tr w14:paraId="2A7D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0"/>
            <w:vAlign w:val="center"/>
          </w:tcPr>
          <w:p w14:paraId="070CEE45">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2.2.3</w:t>
            </w:r>
          </w:p>
        </w:tc>
        <w:tc>
          <w:tcPr>
            <w:tcW w:w="1770" w:type="dxa"/>
            <w:noWrap w:val="0"/>
            <w:vAlign w:val="center"/>
          </w:tcPr>
          <w:p w14:paraId="71FE4A6A">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澄清</w:t>
            </w:r>
            <w:r>
              <w:rPr>
                <w:rFonts w:hint="eastAsia" w:ascii="Calibri" w:hAnsi="Calibri" w:cs="Calibri"/>
                <w:color w:val="auto"/>
                <w:szCs w:val="21"/>
                <w:highlight w:val="none"/>
              </w:rPr>
              <w:t>和</w:t>
            </w:r>
            <w:r>
              <w:rPr>
                <w:rFonts w:hint="default" w:ascii="Calibri" w:hAnsi="Calibri" w:cs="Calibri"/>
                <w:color w:val="auto"/>
                <w:szCs w:val="21"/>
                <w:highlight w:val="none"/>
              </w:rPr>
              <w:t>修改</w:t>
            </w:r>
          </w:p>
          <w:p w14:paraId="1BCAF28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招标文件的</w:t>
            </w:r>
          </w:p>
          <w:p w14:paraId="02381F0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方式</w:t>
            </w:r>
          </w:p>
        </w:tc>
        <w:tc>
          <w:tcPr>
            <w:tcW w:w="6435" w:type="dxa"/>
            <w:noWrap w:val="0"/>
            <w:vAlign w:val="center"/>
          </w:tcPr>
          <w:p w14:paraId="2E79F42B">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在</w:t>
            </w:r>
            <w:r>
              <w:rPr>
                <w:rFonts w:hint="default"/>
                <w:spacing w:val="13"/>
                <w:u w:val="single" w:color="auto"/>
              </w:rPr>
              <w:t>湖南省招标投标监管网、岳阳市公共资源交易网、岳阳市</w:t>
            </w:r>
            <w:r>
              <w:rPr>
                <w:rFonts w:hint="default"/>
                <w:spacing w:val="8"/>
                <w:u w:val="single" w:color="auto"/>
              </w:rPr>
              <w:t>住房和城乡建设局网</w:t>
            </w:r>
            <w:r>
              <w:rPr>
                <w:rFonts w:hint="default" w:ascii="Calibri" w:hAnsi="Calibri" w:cs="Calibri"/>
                <w:color w:val="auto"/>
                <w:szCs w:val="21"/>
                <w:highlight w:val="none"/>
              </w:rPr>
              <w:t>发布。</w:t>
            </w:r>
          </w:p>
        </w:tc>
      </w:tr>
      <w:tr w14:paraId="1D6E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noWrap w:val="0"/>
            <w:vAlign w:val="center"/>
          </w:tcPr>
          <w:p w14:paraId="21504A89">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3.1</w:t>
            </w:r>
            <w:r>
              <w:rPr>
                <w:rFonts w:hint="eastAsia" w:ascii="Calibri" w:hAnsi="Calibri" w:cs="Calibri"/>
                <w:color w:val="auto"/>
                <w:szCs w:val="21"/>
                <w:highlight w:val="none"/>
              </w:rPr>
              <w:t>.1</w:t>
            </w:r>
          </w:p>
        </w:tc>
        <w:tc>
          <w:tcPr>
            <w:tcW w:w="1770" w:type="dxa"/>
            <w:noWrap w:val="0"/>
            <w:vAlign w:val="center"/>
          </w:tcPr>
          <w:p w14:paraId="207C3483">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构成投标文件的的其他材料</w:t>
            </w:r>
          </w:p>
        </w:tc>
        <w:tc>
          <w:tcPr>
            <w:tcW w:w="6435" w:type="dxa"/>
            <w:noWrap w:val="0"/>
            <w:vAlign w:val="center"/>
          </w:tcPr>
          <w:p w14:paraId="1BB80C8F">
            <w:pPr>
              <w:keepNext w:val="0"/>
              <w:keepLines w:val="0"/>
              <w:suppressLineNumbers w:val="0"/>
              <w:spacing w:before="0" w:beforeAutospacing="0" w:after="0" w:afterAutospacing="0"/>
              <w:ind w:left="-103" w:leftChars="-49" w:right="0" w:firstLine="458" w:firstLineChars="201"/>
              <w:rPr>
                <w:rFonts w:hint="default" w:ascii="Calibri" w:hAnsi="Calibri" w:cs="Calibri"/>
                <w:color w:val="auto"/>
                <w:szCs w:val="21"/>
                <w:highlight w:val="none"/>
              </w:rPr>
            </w:pPr>
            <w:r>
              <w:rPr>
                <w:rFonts w:hint="default"/>
                <w:spacing w:val="9"/>
                <w:u w:val="single" w:color="auto"/>
              </w:rPr>
              <w:t>答疑及澄清文件等（如有）</w:t>
            </w:r>
          </w:p>
        </w:tc>
      </w:tr>
      <w:tr w14:paraId="318D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65" w:type="dxa"/>
            <w:noWrap w:val="0"/>
            <w:vAlign w:val="center"/>
          </w:tcPr>
          <w:p w14:paraId="03356B52">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3.</w:t>
            </w:r>
            <w:r>
              <w:rPr>
                <w:rFonts w:hint="eastAsia" w:ascii="Calibri" w:hAnsi="Calibri" w:cs="Calibri"/>
                <w:color w:val="auto"/>
                <w:szCs w:val="21"/>
                <w:highlight w:val="none"/>
              </w:rPr>
              <w:t>3.1</w:t>
            </w:r>
          </w:p>
        </w:tc>
        <w:tc>
          <w:tcPr>
            <w:tcW w:w="1770" w:type="dxa"/>
            <w:noWrap w:val="0"/>
            <w:vAlign w:val="center"/>
          </w:tcPr>
          <w:p w14:paraId="6A904ECE">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投标有效期</w:t>
            </w:r>
          </w:p>
        </w:tc>
        <w:tc>
          <w:tcPr>
            <w:tcW w:w="6435" w:type="dxa"/>
            <w:noWrap w:val="0"/>
            <w:vAlign w:val="center"/>
          </w:tcPr>
          <w:p w14:paraId="7D21F0F7">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自投标截止之日起</w:t>
            </w:r>
            <w:r>
              <w:rPr>
                <w:rFonts w:hint="eastAsia" w:ascii="Calibri" w:hAnsi="Calibri" w:cs="Calibri"/>
                <w:color w:val="auto"/>
                <w:szCs w:val="21"/>
                <w:highlight w:val="none"/>
                <w:u w:val="single"/>
                <w:lang w:val="en-US" w:eastAsia="zh-CN"/>
              </w:rPr>
              <w:t>90</w:t>
            </w:r>
            <w:r>
              <w:rPr>
                <w:rFonts w:hint="default" w:ascii="Calibri" w:hAnsi="Calibri" w:cs="Calibri"/>
                <w:color w:val="auto"/>
                <w:szCs w:val="21"/>
                <w:highlight w:val="none"/>
              </w:rPr>
              <w:t>天（日历天）</w:t>
            </w:r>
          </w:p>
        </w:tc>
      </w:tr>
      <w:tr w14:paraId="6260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5" w:type="dxa"/>
            <w:noWrap w:val="0"/>
            <w:vAlign w:val="center"/>
          </w:tcPr>
          <w:p w14:paraId="3F2DB603">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3.4.1</w:t>
            </w:r>
          </w:p>
        </w:tc>
        <w:tc>
          <w:tcPr>
            <w:tcW w:w="1770" w:type="dxa"/>
            <w:noWrap w:val="0"/>
            <w:vAlign w:val="center"/>
          </w:tcPr>
          <w:p w14:paraId="2384E47F">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投标保证</w:t>
            </w:r>
          </w:p>
        </w:tc>
        <w:tc>
          <w:tcPr>
            <w:tcW w:w="6435" w:type="dxa"/>
            <w:noWrap w:val="0"/>
            <w:vAlign w:val="center"/>
          </w:tcPr>
          <w:p w14:paraId="4FFDB895">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w:t>
            </w:r>
            <w:r>
              <w:rPr>
                <w:rFonts w:hint="default" w:ascii="Calibri" w:hAnsi="Calibri" w:cs="Calibri"/>
                <w:color w:val="auto"/>
                <w:szCs w:val="21"/>
                <w:highlight w:val="none"/>
              </w:rPr>
              <w:t>不要求提交投标担保</w:t>
            </w:r>
          </w:p>
          <w:p w14:paraId="64341AD8">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lang w:eastAsia="zh-CN"/>
              </w:rPr>
              <w:t>☑</w:t>
            </w:r>
            <w:r>
              <w:rPr>
                <w:rFonts w:hint="default" w:ascii="Calibri" w:hAnsi="Calibri" w:cs="Calibri"/>
                <w:color w:val="auto"/>
                <w:szCs w:val="21"/>
                <w:highlight w:val="none"/>
              </w:rPr>
              <w:t>要求提交投标担保</w:t>
            </w:r>
          </w:p>
          <w:p w14:paraId="514578BD">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1.形式： </w:t>
            </w:r>
          </w:p>
          <w:p w14:paraId="27C7C5D5">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（1）现金</w:t>
            </w:r>
          </w:p>
          <w:p w14:paraId="0BE8E096">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（2）保函（银行业金融机构、专业担保公司开立的无条件的、不可撤销的独立保函、保险公司开具的</w:t>
            </w:r>
            <w:r>
              <w:rPr>
                <w:rFonts w:hint="eastAsia" w:ascii="Times New Roman" w:hAnsi="Times New Roman" w:eastAsia="宋体" w:cs="Times New Roman"/>
                <w:color w:val="auto"/>
                <w:szCs w:val="21"/>
                <w:highlight w:val="none"/>
                <w:lang w:val="en-US" w:eastAsia="zh-CN"/>
              </w:rPr>
              <w:t>见索即付</w:t>
            </w:r>
            <w:r>
              <w:rPr>
                <w:rFonts w:hint="default" w:ascii="Times New Roman" w:hAnsi="Times New Roman" w:eastAsia="宋体" w:cs="Times New Roman"/>
                <w:color w:val="auto"/>
                <w:szCs w:val="21"/>
                <w:highlight w:val="none"/>
              </w:rPr>
              <w:t>的保证保险）</w:t>
            </w:r>
          </w:p>
          <w:p w14:paraId="5B2F6A42">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（3）承诺</w:t>
            </w:r>
          </w:p>
          <w:p w14:paraId="3B9DC6C6">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□不接受承诺</w:t>
            </w:r>
          </w:p>
          <w:p w14:paraId="550732CE">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eastAsia" w:cs="Times New Roman"/>
                <w:color w:val="auto"/>
                <w:szCs w:val="21"/>
                <w:highlight w:val="none"/>
                <w:lang w:eastAsia="zh-CN"/>
              </w:rPr>
              <w:t>☑</w:t>
            </w:r>
            <w:r>
              <w:rPr>
                <w:rFonts w:hint="default" w:ascii="Times New Roman" w:hAnsi="Times New Roman" w:eastAsia="宋体" w:cs="Times New Roman"/>
                <w:color w:val="auto"/>
                <w:szCs w:val="21"/>
                <w:highlight w:val="none"/>
              </w:rPr>
              <w:t>接受承诺，适用于所有投标人</w:t>
            </w:r>
          </w:p>
          <w:p w14:paraId="164F1693">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接受承诺，仅适用于获得“湖南省建筑强企称号”或者参加“湖南省房屋建筑和市政基础设施工程施工及监理招标投标信用评价”且取得提交投标文件截止之时最新公布的信用评价结果满分的投标人以承诺形式递交的投标担保。</w:t>
            </w:r>
          </w:p>
          <w:p w14:paraId="46480509">
            <w:pPr>
              <w:keepNext w:val="0"/>
              <w:keepLines w:val="0"/>
              <w:suppressLineNumbers w:val="0"/>
              <w:spacing w:before="0" w:beforeAutospacing="0" w:after="0" w:afterAutospacing="0"/>
              <w:ind w:left="0" w:right="0"/>
              <w:rPr>
                <w:rFonts w:hint="default" w:ascii="Calibri" w:hAnsi="Calibri" w:cs="Calibri"/>
                <w:color w:val="auto"/>
                <w:highlight w:val="none"/>
              </w:rPr>
            </w:pPr>
          </w:p>
          <w:p w14:paraId="42C94124">
            <w:pPr>
              <w:keepNext w:val="0"/>
              <w:keepLines w:val="0"/>
              <w:suppressLineNumbers w:val="0"/>
              <w:spacing w:before="0" w:beforeAutospacing="0" w:after="0" w:afterAutospacing="0"/>
              <w:ind w:left="-103" w:leftChars="-49" w:right="0" w:firstLine="422" w:firstLineChars="201"/>
              <w:rPr>
                <w:rFonts w:hint="eastAsia"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2.现金和保函的担保金额</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最高不超过50万元）</w:t>
            </w:r>
            <w:r>
              <w:rPr>
                <w:rFonts w:hint="default" w:ascii="Times New Roman" w:hAnsi="Times New Roman" w:eastAsia="宋体" w:cs="Times New Roman"/>
                <w:color w:val="auto"/>
                <w:szCs w:val="21"/>
                <w:highlight w:val="none"/>
              </w:rPr>
              <w:t>：人民币</w:t>
            </w:r>
            <w:r>
              <w:rPr>
                <w:rFonts w:hint="eastAsia" w:cs="Times New Roman"/>
                <w:color w:val="auto"/>
                <w:szCs w:val="21"/>
                <w:highlight w:val="none"/>
                <w:lang w:val="en-US" w:eastAsia="zh-CN"/>
              </w:rPr>
              <w:t>捌万</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元（￥</w:t>
            </w:r>
            <w:r>
              <w:rPr>
                <w:rFonts w:hint="eastAsia" w:cs="Times New Roman"/>
                <w:color w:val="auto"/>
                <w:szCs w:val="21"/>
                <w:highlight w:val="none"/>
                <w:lang w:val="en-US" w:eastAsia="zh-CN"/>
              </w:rPr>
              <w:t>80000</w:t>
            </w:r>
            <w:r>
              <w:rPr>
                <w:rFonts w:hint="default" w:ascii="Times New Roman" w:hAnsi="Times New Roman" w:eastAsia="宋体" w:cs="Times New Roman"/>
                <w:color w:val="auto"/>
                <w:szCs w:val="21"/>
                <w:highlight w:val="none"/>
              </w:rPr>
              <w:t>元）。</w:t>
            </w:r>
          </w:p>
          <w:p w14:paraId="4D2357F9">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3.提交方式：</w:t>
            </w:r>
          </w:p>
          <w:p w14:paraId="2C66A926">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（1）采用现金的，在投标截止时间前（含），由投标人通过其基本账户转账到达如下账户</w:t>
            </w:r>
          </w:p>
          <w:p w14:paraId="0FBAAB65">
            <w:pPr>
              <w:pStyle w:val="224"/>
              <w:keepNext w:val="0"/>
              <w:keepLines w:val="0"/>
              <w:suppressLineNumbers w:val="0"/>
              <w:spacing w:before="28" w:beforeAutospacing="0" w:after="0" w:afterAutospacing="0" w:line="228" w:lineRule="auto"/>
              <w:ind w:left="432" w:right="0"/>
              <w:rPr>
                <w:rFonts w:hint="default"/>
              </w:rPr>
            </w:pPr>
            <w:r>
              <w:rPr>
                <w:rFonts w:hint="default"/>
                <w:spacing w:val="8"/>
              </w:rPr>
              <w:t>户    名：</w:t>
            </w:r>
            <w:r>
              <w:rPr>
                <w:rFonts w:hint="default"/>
                <w:spacing w:val="8"/>
                <w:u w:val="single" w:color="auto"/>
              </w:rPr>
              <w:t>岳阳市公共资源交易中心</w:t>
            </w:r>
            <w:r>
              <w:rPr>
                <w:rFonts w:hint="default"/>
                <w:spacing w:val="3"/>
                <w:u w:val="single" w:color="auto"/>
              </w:rPr>
              <w:t xml:space="preserve">  </w:t>
            </w:r>
          </w:p>
          <w:p w14:paraId="0C57D556">
            <w:pPr>
              <w:pStyle w:val="224"/>
              <w:keepNext w:val="0"/>
              <w:keepLines w:val="0"/>
              <w:suppressLineNumbers w:val="0"/>
              <w:spacing w:before="24" w:beforeAutospacing="0" w:after="0" w:afterAutospacing="0" w:line="229" w:lineRule="auto"/>
              <w:ind w:left="432" w:right="0"/>
              <w:rPr>
                <w:rFonts w:hint="default"/>
              </w:rPr>
            </w:pPr>
            <w:r>
              <w:rPr>
                <w:rFonts w:hint="default"/>
                <w:spacing w:val="9"/>
              </w:rPr>
              <w:t>开户银行：</w:t>
            </w:r>
            <w:r>
              <w:rPr>
                <w:rFonts w:hint="default"/>
                <w:spacing w:val="9"/>
                <w:u w:val="single" w:color="auto"/>
              </w:rPr>
              <w:t>投标人在网上可自行选择保证金专户银行账户</w:t>
            </w:r>
          </w:p>
          <w:p w14:paraId="54771ECE">
            <w:pPr>
              <w:keepNext w:val="0"/>
              <w:keepLines w:val="0"/>
              <w:suppressLineNumbers w:val="0"/>
              <w:spacing w:before="0" w:beforeAutospacing="0" w:after="0" w:afterAutospacing="0"/>
              <w:ind w:left="-103" w:leftChars="-49" w:right="0" w:firstLine="458" w:firstLineChars="201"/>
              <w:rPr>
                <w:rFonts w:hint="default" w:ascii="Times New Roman" w:hAnsi="Times New Roman" w:eastAsia="宋体" w:cs="Times New Roman"/>
                <w:color w:val="auto"/>
                <w:szCs w:val="21"/>
                <w:highlight w:val="none"/>
                <w:u w:val="none"/>
              </w:rPr>
            </w:pPr>
            <w:r>
              <w:rPr>
                <w:rFonts w:hint="default"/>
                <w:spacing w:val="9"/>
              </w:rPr>
              <w:t>账    号：</w:t>
            </w:r>
            <w:r>
              <w:rPr>
                <w:rFonts w:hint="default"/>
                <w:spacing w:val="9"/>
                <w:u w:val="single" w:color="auto"/>
              </w:rPr>
              <w:t>随机生成（须在投标截止时间前获</w:t>
            </w:r>
            <w:r>
              <w:rPr>
                <w:rFonts w:hint="default"/>
                <w:spacing w:val="8"/>
                <w:u w:val="single" w:color="auto"/>
              </w:rPr>
              <w:t>取该子账号）</w:t>
            </w:r>
            <w:r>
              <w:rPr>
                <w:rFonts w:hint="default" w:ascii="Times New Roman" w:hAnsi="Times New Roman" w:eastAsia="宋体" w:cs="Times New Roman"/>
                <w:color w:val="auto"/>
                <w:szCs w:val="21"/>
                <w:highlight w:val="none"/>
                <w:u w:val="none"/>
              </w:rPr>
              <w:t xml:space="preserve">               </w:t>
            </w:r>
          </w:p>
          <w:p w14:paraId="579C8C8F">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（2）采用承诺或保函的，符合招标文件第七章投标文件格式第一节“投标函格式”规定。</w:t>
            </w:r>
          </w:p>
          <w:p w14:paraId="1045C55D">
            <w:pPr>
              <w:keepNext w:val="0"/>
              <w:keepLines w:val="0"/>
              <w:suppressLineNumbers w:val="0"/>
              <w:spacing w:before="0" w:beforeAutospacing="0" w:after="0" w:afterAutospacing="0"/>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4.联合体投标的，由牵头人递交。</w:t>
            </w:r>
          </w:p>
          <w:p w14:paraId="32EE8BD7">
            <w:pPr>
              <w:keepNext w:val="0"/>
              <w:keepLines w:val="0"/>
              <w:suppressLineNumbers w:val="0"/>
              <w:spacing w:before="0" w:beforeAutospacing="0" w:after="0" w:afterAutospacing="0" w:line="240" w:lineRule="auto"/>
              <w:ind w:left="-103" w:leftChars="-49" w:right="0" w:firstLine="422" w:firstLineChars="201"/>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5.本项目投标保证金已委托</w:t>
            </w:r>
            <w:r>
              <w:rPr>
                <w:rFonts w:hint="default"/>
                <w:spacing w:val="10"/>
                <w:u w:val="single" w:color="auto"/>
              </w:rPr>
              <w:t>岳阳市公共资源交易中心</w:t>
            </w:r>
            <w:r>
              <w:rPr>
                <w:rFonts w:hint="default" w:ascii="Times New Roman" w:hAnsi="Times New Roman" w:eastAsia="宋体" w:cs="Times New Roman"/>
                <w:color w:val="auto"/>
                <w:szCs w:val="21"/>
                <w:highlight w:val="none"/>
              </w:rPr>
              <w:t>进行收退、保密、保管。</w:t>
            </w:r>
          </w:p>
          <w:p w14:paraId="40CA9F3F">
            <w:pPr>
              <w:pStyle w:val="224"/>
              <w:keepNext w:val="0"/>
              <w:keepLines w:val="0"/>
              <w:suppressLineNumbers w:val="0"/>
              <w:spacing w:before="33" w:beforeAutospacing="0" w:after="0" w:afterAutospacing="0" w:line="248" w:lineRule="auto"/>
              <w:ind w:left="9" w:right="107" w:firstLine="422"/>
              <w:rPr>
                <w:rFonts w:hint="default"/>
              </w:rPr>
            </w:pP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.其他：</w:t>
            </w:r>
            <w:r>
              <w:rPr>
                <w:rFonts w:hint="default" w:ascii="Times New Roman" w:hAnsi="Times New Roman" w:eastAsia="Times New Roman" w:cs="Times New Roman"/>
                <w:spacing w:val="8"/>
                <w:u w:val="single" w:color="auto"/>
              </w:rPr>
              <w:t>6.</w:t>
            </w:r>
            <w:r>
              <w:rPr>
                <w:rFonts w:hint="default" w:ascii="Times New Roman" w:hAnsi="Times New Roman" w:eastAsia="Times New Roman" w:cs="Times New Roman"/>
                <w:spacing w:val="-25"/>
                <w:u w:val="single" w:color="auto"/>
              </w:rPr>
              <w:t xml:space="preserve"> </w:t>
            </w:r>
            <w:r>
              <w:rPr>
                <w:rFonts w:hint="default" w:ascii="Times New Roman" w:hAnsi="Times New Roman" w:eastAsia="Times New Roman" w:cs="Times New Roman"/>
                <w:spacing w:val="8"/>
                <w:u w:val="single" w:color="auto"/>
              </w:rPr>
              <w:t xml:space="preserve">1 </w:t>
            </w:r>
            <w:r>
              <w:rPr>
                <w:rFonts w:hint="default"/>
                <w:spacing w:val="8"/>
                <w:u w:val="single" w:color="auto"/>
              </w:rPr>
              <w:t>采用电子保函的，投标人和担保机构通过</w:t>
            </w:r>
            <w:r>
              <w:rPr>
                <w:rFonts w:hint="default"/>
                <w:spacing w:val="7"/>
                <w:u w:val="single" w:color="auto"/>
              </w:rPr>
              <w:t>平台办理电子保</w:t>
            </w:r>
            <w:r>
              <w:rPr>
                <w:rFonts w:hint="default"/>
              </w:rPr>
              <w:t xml:space="preserve"> </w:t>
            </w:r>
            <w:r>
              <w:rPr>
                <w:rFonts w:hint="default"/>
                <w:spacing w:val="12"/>
                <w:u w:val="single" w:color="auto"/>
              </w:rPr>
              <w:t>函，</w:t>
            </w:r>
            <w:r>
              <w:rPr>
                <w:rFonts w:hint="default"/>
                <w:spacing w:val="-58"/>
                <w:u w:val="single" w:color="auto"/>
              </w:rPr>
              <w:t xml:space="preserve"> </w:t>
            </w:r>
            <w:r>
              <w:rPr>
                <w:rFonts w:hint="default"/>
                <w:spacing w:val="12"/>
                <w:u w:val="single" w:color="auto"/>
              </w:rPr>
              <w:t>由平台与招投标电子交易系统对保函进行</w:t>
            </w:r>
            <w:r>
              <w:rPr>
                <w:rFonts w:hint="default"/>
                <w:spacing w:val="11"/>
                <w:u w:val="single" w:color="auto"/>
              </w:rPr>
              <w:t>验证。①投标保证</w:t>
            </w:r>
            <w:r>
              <w:rPr>
                <w:rFonts w:hint="default"/>
              </w:rPr>
              <w:t xml:space="preserve"> </w:t>
            </w:r>
            <w:r>
              <w:rPr>
                <w:rFonts w:hint="default"/>
                <w:spacing w:val="12"/>
                <w:u w:val="single" w:color="auto"/>
              </w:rPr>
              <w:t>金采用保证保险方式的，</w:t>
            </w:r>
            <w:r>
              <w:rPr>
                <w:rFonts w:hint="default"/>
                <w:spacing w:val="-57"/>
                <w:u w:val="single" w:color="auto"/>
              </w:rPr>
              <w:t xml:space="preserve"> </w:t>
            </w:r>
            <w:r>
              <w:rPr>
                <w:rFonts w:hint="default"/>
                <w:spacing w:val="12"/>
                <w:u w:val="single" w:color="auto"/>
              </w:rPr>
              <w:t>由保险公司开具投</w:t>
            </w:r>
            <w:r>
              <w:rPr>
                <w:rFonts w:hint="default"/>
                <w:spacing w:val="11"/>
                <w:u w:val="single" w:color="auto"/>
              </w:rPr>
              <w:t>标保证保险的采用电</w:t>
            </w:r>
            <w:r>
              <w:rPr>
                <w:rFonts w:hint="default"/>
              </w:rPr>
              <w:t xml:space="preserve"> </w:t>
            </w:r>
            <w:r>
              <w:rPr>
                <w:rFonts w:hint="default"/>
                <w:spacing w:val="13"/>
                <w:u w:val="single" w:color="auto"/>
              </w:rPr>
              <w:t>子保险保单形式，投标人应登录岳阳市公共资源交易网，线上办</w:t>
            </w:r>
            <w:r>
              <w:rPr>
                <w:rFonts w:hint="default"/>
                <w:spacing w:val="6"/>
              </w:rPr>
              <w:t xml:space="preserve"> </w:t>
            </w:r>
            <w:r>
              <w:rPr>
                <w:rFonts w:hint="default"/>
                <w:spacing w:val="13"/>
                <w:u w:val="single" w:color="auto"/>
              </w:rPr>
              <w:t>理投保手续；②投标人可通过银行一般户、支付宝、微信等支付</w:t>
            </w:r>
            <w:r>
              <w:rPr>
                <w:rFonts w:hint="default"/>
                <w:spacing w:val="9"/>
              </w:rPr>
              <w:t xml:space="preserve"> </w:t>
            </w:r>
            <w:r>
              <w:rPr>
                <w:rFonts w:hint="default"/>
                <w:spacing w:val="13"/>
                <w:u w:val="single" w:color="auto"/>
              </w:rPr>
              <w:t>方式支付保费，完成投标保证金提交；③工程建设投标保证保险</w:t>
            </w:r>
            <w:r>
              <w:rPr>
                <w:rFonts w:hint="default"/>
                <w:spacing w:val="9"/>
              </w:rPr>
              <w:t xml:space="preserve"> </w:t>
            </w:r>
            <w:r>
              <w:rPr>
                <w:rFonts w:hint="default"/>
                <w:spacing w:val="10"/>
                <w:u w:val="single" w:color="auto"/>
              </w:rPr>
              <w:t>投保人操作流程详见岳阳市公共资源交易中心网站服务指南。</w:t>
            </w:r>
          </w:p>
          <w:p w14:paraId="0254E20A">
            <w:pPr>
              <w:keepNext w:val="0"/>
              <w:keepLines w:val="0"/>
              <w:suppressLineNumbers w:val="0"/>
              <w:spacing w:before="0" w:beforeAutospacing="0" w:after="0" w:afterAutospacing="0"/>
              <w:ind w:left="-103" w:leftChars="-49" w:right="0" w:firstLine="454" w:firstLineChars="201"/>
              <w:rPr>
                <w:rFonts w:hint="default" w:ascii="Calibri" w:hAnsi="Calibri" w:cs="Calibri"/>
                <w:color w:val="auto"/>
                <w:highlight w:val="none"/>
              </w:rPr>
            </w:pPr>
            <w:r>
              <w:rPr>
                <w:rFonts w:hint="default" w:ascii="Times New Roman" w:hAnsi="Times New Roman" w:eastAsia="Times New Roman" w:cs="Times New Roman"/>
                <w:spacing w:val="8"/>
                <w:u w:val="single" w:color="auto"/>
              </w:rPr>
              <w:t xml:space="preserve">6.2 </w:t>
            </w:r>
            <w:r>
              <w:rPr>
                <w:rFonts w:hint="default"/>
                <w:spacing w:val="8"/>
                <w:u w:val="single" w:color="auto"/>
              </w:rPr>
              <w:t>采用纸质保函的，应当在投标截止时间前将保函原件递交</w:t>
            </w:r>
            <w:r>
              <w:rPr>
                <w:rFonts w:hint="default"/>
                <w:spacing w:val="18"/>
              </w:rPr>
              <w:t xml:space="preserve"> </w:t>
            </w:r>
            <w:r>
              <w:rPr>
                <w:rFonts w:hint="default"/>
                <w:spacing w:val="13"/>
                <w:u w:val="single" w:color="auto"/>
              </w:rPr>
              <w:t>到开标会场（本项目采用电子化招投标，采用纸质保函的，纸质</w:t>
            </w:r>
            <w:r>
              <w:rPr>
                <w:rFonts w:hint="default"/>
                <w:spacing w:val="6"/>
              </w:rPr>
              <w:t xml:space="preserve"> </w:t>
            </w:r>
            <w:r>
              <w:rPr>
                <w:rFonts w:hint="default"/>
                <w:spacing w:val="8"/>
              </w:rPr>
              <w:t>保函原件扫描后，扫描件随投标文件一同提交）。</w:t>
            </w:r>
          </w:p>
        </w:tc>
      </w:tr>
      <w:tr w14:paraId="7E21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0"/>
            <w:vAlign w:val="center"/>
          </w:tcPr>
          <w:p w14:paraId="49D3E5F3">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3.6</w:t>
            </w:r>
          </w:p>
        </w:tc>
        <w:tc>
          <w:tcPr>
            <w:tcW w:w="1770" w:type="dxa"/>
            <w:noWrap w:val="0"/>
            <w:vAlign w:val="center"/>
          </w:tcPr>
          <w:p w14:paraId="104F1F92">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是否允许递交备选投标方案</w:t>
            </w:r>
          </w:p>
        </w:tc>
        <w:tc>
          <w:tcPr>
            <w:tcW w:w="6435" w:type="dxa"/>
            <w:noWrap w:val="0"/>
            <w:vAlign w:val="center"/>
          </w:tcPr>
          <w:p w14:paraId="02CDF483">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不允许</w:t>
            </w:r>
          </w:p>
          <w:p w14:paraId="78AEA484">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允许</w:t>
            </w:r>
          </w:p>
        </w:tc>
      </w:tr>
      <w:tr w14:paraId="584A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65" w:type="dxa"/>
            <w:noWrap w:val="0"/>
            <w:vAlign w:val="center"/>
          </w:tcPr>
          <w:p w14:paraId="79AC069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3.7.3</w:t>
            </w:r>
          </w:p>
        </w:tc>
        <w:tc>
          <w:tcPr>
            <w:tcW w:w="1770" w:type="dxa"/>
            <w:noWrap w:val="0"/>
            <w:vAlign w:val="center"/>
          </w:tcPr>
          <w:p w14:paraId="1F546F78">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签字和（或）盖章要求</w:t>
            </w:r>
          </w:p>
        </w:tc>
        <w:tc>
          <w:tcPr>
            <w:tcW w:w="6435" w:type="dxa"/>
            <w:noWrap w:val="0"/>
            <w:vAlign w:val="center"/>
          </w:tcPr>
          <w:p w14:paraId="2A62479E">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highlight w:val="none"/>
              </w:rPr>
              <w:t>投标人应使用CA数字证书（电子印章）进行签章。</w:t>
            </w:r>
            <w:r>
              <w:rPr>
                <w:rFonts w:hint="default" w:ascii="Calibri" w:hAnsi="Calibri" w:cs="Calibri"/>
                <w:color w:val="auto"/>
                <w:szCs w:val="21"/>
                <w:highlight w:val="none"/>
              </w:rPr>
              <w:t>投标人加盖的单位公章与其营业执照的单位名称</w:t>
            </w:r>
            <w:r>
              <w:rPr>
                <w:rFonts w:hint="eastAsia" w:ascii="Calibri" w:hAnsi="Calibri" w:cs="Calibri"/>
                <w:color w:val="auto"/>
                <w:szCs w:val="21"/>
                <w:highlight w:val="none"/>
              </w:rPr>
              <w:t>应当</w:t>
            </w:r>
            <w:r>
              <w:rPr>
                <w:rFonts w:hint="default" w:ascii="Calibri" w:hAnsi="Calibri" w:cs="Calibri"/>
                <w:color w:val="auto"/>
                <w:szCs w:val="21"/>
                <w:highlight w:val="none"/>
              </w:rPr>
              <w:t>一致。</w:t>
            </w:r>
            <w:r>
              <w:rPr>
                <w:rFonts w:hint="default" w:ascii="Calibri" w:hAnsi="Calibri" w:cs="Calibri"/>
                <w:bCs/>
                <w:color w:val="auto"/>
                <w:szCs w:val="21"/>
                <w:highlight w:val="none"/>
              </w:rPr>
              <w:t>施工组织设计采用暗标</w:t>
            </w:r>
            <w:r>
              <w:rPr>
                <w:rFonts w:hint="eastAsia" w:ascii="Calibri" w:hAnsi="Calibri" w:cs="Calibri"/>
                <w:bCs/>
                <w:color w:val="auto"/>
                <w:szCs w:val="21"/>
                <w:highlight w:val="none"/>
              </w:rPr>
              <w:t>评审</w:t>
            </w:r>
            <w:r>
              <w:rPr>
                <w:rFonts w:hint="default" w:ascii="Calibri" w:hAnsi="Calibri" w:cs="Calibri"/>
                <w:bCs/>
                <w:color w:val="auto"/>
                <w:szCs w:val="21"/>
                <w:highlight w:val="none"/>
              </w:rPr>
              <w:t>方式的，</w:t>
            </w:r>
            <w:r>
              <w:rPr>
                <w:rFonts w:hint="eastAsia" w:ascii="Calibri" w:hAnsi="Calibri" w:cs="Calibri"/>
                <w:bCs/>
                <w:color w:val="auto"/>
                <w:szCs w:val="21"/>
                <w:highlight w:val="none"/>
              </w:rPr>
              <w:t>详见</w:t>
            </w:r>
            <w:r>
              <w:rPr>
                <w:rFonts w:hint="eastAsia" w:ascii="宋体" w:hAnsi="宋体" w:cs="Calibri"/>
                <w:bCs/>
                <w:color w:val="auto"/>
                <w:szCs w:val="21"/>
                <w:highlight w:val="none"/>
              </w:rPr>
              <w:t>招标文件第八章第三节“施工组织设计文件格式（暗标）”的规定</w:t>
            </w:r>
            <w:r>
              <w:rPr>
                <w:rFonts w:hint="default" w:ascii="Calibri" w:hAnsi="Calibri" w:cs="Calibri"/>
                <w:color w:val="auto"/>
                <w:szCs w:val="21"/>
                <w:highlight w:val="none"/>
              </w:rPr>
              <w:t>。</w:t>
            </w:r>
          </w:p>
        </w:tc>
      </w:tr>
      <w:tr w14:paraId="4D00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65" w:type="dxa"/>
            <w:noWrap w:val="0"/>
            <w:vAlign w:val="center"/>
          </w:tcPr>
          <w:p w14:paraId="2B99EEE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3.7.4</w:t>
            </w:r>
          </w:p>
        </w:tc>
        <w:tc>
          <w:tcPr>
            <w:tcW w:w="1770" w:type="dxa"/>
            <w:noWrap w:val="0"/>
            <w:vAlign w:val="center"/>
          </w:tcPr>
          <w:p w14:paraId="790C62BA">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投标文件份数</w:t>
            </w:r>
          </w:p>
        </w:tc>
        <w:tc>
          <w:tcPr>
            <w:tcW w:w="6435" w:type="dxa"/>
            <w:noWrap w:val="0"/>
            <w:vAlign w:val="center"/>
          </w:tcPr>
          <w:p w14:paraId="1AB96D53">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Calibri"/>
                <w:color w:val="auto"/>
                <w:szCs w:val="21"/>
                <w:highlight w:val="none"/>
              </w:rPr>
              <w:t>投标人登录</w:t>
            </w:r>
            <w:r>
              <w:rPr>
                <w:rFonts w:hint="default"/>
                <w:spacing w:val="13"/>
                <w:u w:val="single" w:color="auto"/>
              </w:rPr>
              <w:t>岳阳市公共资源交易中心电子招标投标交易平台</w:t>
            </w:r>
            <w:r>
              <w:rPr>
                <w:rFonts w:hint="eastAsia" w:ascii="宋体" w:hAnsi="宋体" w:cs="Calibri"/>
                <w:color w:val="auto"/>
                <w:szCs w:val="21"/>
                <w:highlight w:val="none"/>
              </w:rPr>
              <w:t>上传电子投标文件（</w:t>
            </w:r>
            <w:r>
              <w:rPr>
                <w:rFonts w:hint="default"/>
                <w:u w:val="single" w:color="auto"/>
              </w:rPr>
              <w:t>YYTF</w:t>
            </w:r>
            <w:r>
              <w:rPr>
                <w:rFonts w:hint="eastAsia" w:ascii="宋体" w:hAnsi="宋体" w:cs="Calibri"/>
                <w:color w:val="auto"/>
                <w:szCs w:val="21"/>
                <w:highlight w:val="none"/>
              </w:rPr>
              <w:t>格式）一份</w:t>
            </w:r>
          </w:p>
        </w:tc>
      </w:tr>
      <w:tr w14:paraId="10D9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5" w:type="dxa"/>
            <w:noWrap w:val="0"/>
            <w:vAlign w:val="center"/>
          </w:tcPr>
          <w:p w14:paraId="51027B9D">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4.1.1</w:t>
            </w:r>
          </w:p>
        </w:tc>
        <w:tc>
          <w:tcPr>
            <w:tcW w:w="1770" w:type="dxa"/>
            <w:noWrap w:val="0"/>
            <w:vAlign w:val="center"/>
          </w:tcPr>
          <w:p w14:paraId="12DDA2C0">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投标文件加密  要求</w:t>
            </w:r>
          </w:p>
        </w:tc>
        <w:tc>
          <w:tcPr>
            <w:tcW w:w="6435" w:type="dxa"/>
            <w:noWrap w:val="0"/>
            <w:vAlign w:val="center"/>
          </w:tcPr>
          <w:p w14:paraId="4AAB7080">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宋体" w:hAnsi="宋体" w:cs="Calibri"/>
                <w:bCs/>
                <w:color w:val="auto"/>
                <w:szCs w:val="21"/>
                <w:highlight w:val="none"/>
              </w:rPr>
              <w:t>电子交易系统自动加密</w:t>
            </w:r>
          </w:p>
        </w:tc>
      </w:tr>
      <w:tr w14:paraId="15EF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65" w:type="dxa"/>
            <w:noWrap w:val="0"/>
            <w:vAlign w:val="center"/>
          </w:tcPr>
          <w:p w14:paraId="76C9CF4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4.2.2</w:t>
            </w:r>
          </w:p>
        </w:tc>
        <w:tc>
          <w:tcPr>
            <w:tcW w:w="1770" w:type="dxa"/>
            <w:noWrap w:val="0"/>
            <w:vAlign w:val="center"/>
          </w:tcPr>
          <w:p w14:paraId="4CBBAAC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递交投标文件</w:t>
            </w:r>
          </w:p>
          <w:p w14:paraId="0514D0AB">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地点</w:t>
            </w:r>
          </w:p>
        </w:tc>
        <w:tc>
          <w:tcPr>
            <w:tcW w:w="6435" w:type="dxa"/>
            <w:noWrap w:val="0"/>
            <w:vAlign w:val="center"/>
          </w:tcPr>
          <w:p w14:paraId="2D2DC117">
            <w:pPr>
              <w:keepNext w:val="0"/>
              <w:keepLines w:val="0"/>
              <w:suppressLineNumbers w:val="0"/>
              <w:snapToGrid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电子投标文件递交至</w:t>
            </w:r>
            <w:r>
              <w:rPr>
                <w:rFonts w:hint="default"/>
                <w:spacing w:val="13"/>
                <w:u w:val="single" w:color="auto"/>
              </w:rPr>
              <w:t>岳阳市公共资源交易中心电子招标投标交易平台</w:t>
            </w:r>
          </w:p>
        </w:tc>
      </w:tr>
      <w:tr w14:paraId="401F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65" w:type="dxa"/>
            <w:noWrap w:val="0"/>
            <w:vAlign w:val="center"/>
          </w:tcPr>
          <w:p w14:paraId="2792B72F">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4.2.3</w:t>
            </w:r>
          </w:p>
        </w:tc>
        <w:tc>
          <w:tcPr>
            <w:tcW w:w="1770" w:type="dxa"/>
            <w:noWrap w:val="0"/>
            <w:vAlign w:val="center"/>
          </w:tcPr>
          <w:p w14:paraId="425D5D4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是否退还投标</w:t>
            </w:r>
          </w:p>
          <w:p w14:paraId="22CC0DA7">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文件</w:t>
            </w:r>
          </w:p>
        </w:tc>
        <w:tc>
          <w:tcPr>
            <w:tcW w:w="6435" w:type="dxa"/>
            <w:noWrap w:val="0"/>
            <w:vAlign w:val="center"/>
          </w:tcPr>
          <w:p w14:paraId="3696D0E0">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否</w:t>
            </w:r>
          </w:p>
          <w:p w14:paraId="2FA4AAA3">
            <w:pPr>
              <w:keepNext w:val="0"/>
              <w:keepLines w:val="0"/>
              <w:suppressLineNumbers w:val="0"/>
              <w:snapToGrid w:val="0"/>
              <w:spacing w:before="0" w:beforeAutospacing="0" w:after="0" w:afterAutospacing="0"/>
              <w:ind w:left="-103" w:leftChars="-49" w:right="0" w:firstLine="422" w:firstLineChars="201"/>
              <w:jc w:val="left"/>
              <w:rPr>
                <w:rFonts w:hint="eastAsia" w:ascii="Calibri" w:hAnsi="Calibri" w:eastAsia="宋体" w:cs="Calibri"/>
                <w:color w:val="auto"/>
                <w:szCs w:val="21"/>
                <w:highlight w:val="none"/>
                <w:lang w:val="en-US" w:eastAsia="zh-CN"/>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是，退还时间：</w:t>
            </w:r>
            <w:r>
              <w:rPr>
                <w:rFonts w:hint="eastAsia" w:ascii="Calibri" w:hAnsi="Calibri" w:cs="Calibri"/>
                <w:color w:val="auto"/>
                <w:szCs w:val="21"/>
                <w:highlight w:val="none"/>
                <w:lang w:val="en-US" w:eastAsia="zh-CN"/>
              </w:rPr>
              <w:t>/</w:t>
            </w:r>
          </w:p>
        </w:tc>
      </w:tr>
      <w:tr w14:paraId="7BE1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065" w:type="dxa"/>
            <w:noWrap w:val="0"/>
            <w:vAlign w:val="center"/>
          </w:tcPr>
          <w:p w14:paraId="7BFA19F8">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default" w:ascii="Calibri" w:hAnsi="Calibri" w:cs="Calibri"/>
                <w:color w:val="auto"/>
                <w:szCs w:val="21"/>
                <w:highlight w:val="none"/>
              </w:rPr>
              <w:t>5.</w:t>
            </w:r>
            <w:r>
              <w:rPr>
                <w:rFonts w:hint="eastAsia" w:ascii="Calibri" w:hAnsi="Calibri" w:cs="Calibri"/>
                <w:color w:val="auto"/>
                <w:szCs w:val="21"/>
                <w:highlight w:val="none"/>
              </w:rPr>
              <w:t>1</w:t>
            </w:r>
          </w:p>
        </w:tc>
        <w:tc>
          <w:tcPr>
            <w:tcW w:w="1770" w:type="dxa"/>
            <w:noWrap w:val="0"/>
            <w:vAlign w:val="center"/>
          </w:tcPr>
          <w:p w14:paraId="19B0A687">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开标时间和地点</w:t>
            </w:r>
          </w:p>
        </w:tc>
        <w:tc>
          <w:tcPr>
            <w:tcW w:w="6435" w:type="dxa"/>
            <w:noWrap w:val="0"/>
            <w:vAlign w:val="center"/>
          </w:tcPr>
          <w:p w14:paraId="3D40751D">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rPr>
            </w:pPr>
            <w:r>
              <w:rPr>
                <w:rFonts w:hint="default" w:ascii="Calibri" w:hAnsi="Calibri" w:cs="Calibri"/>
                <w:color w:val="auto"/>
                <w:szCs w:val="21"/>
                <w:highlight w:val="none"/>
              </w:rPr>
              <w:t>开标时间：同投标截止时间</w:t>
            </w:r>
          </w:p>
          <w:p w14:paraId="51C43B93">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开标地点：</w:t>
            </w:r>
            <w:r>
              <w:rPr>
                <w:rFonts w:hint="eastAsia" w:ascii="Calibri" w:hAnsi="Calibri" w:cs="Calibri"/>
                <w:color w:val="auto"/>
                <w:szCs w:val="21"/>
                <w:highlight w:val="none"/>
              </w:rPr>
              <w:t xml:space="preserve"> </w:t>
            </w:r>
            <w:r>
              <w:rPr>
                <w:rFonts w:hint="default"/>
                <w:spacing w:val="13"/>
                <w:u w:val="single" w:color="auto"/>
              </w:rPr>
              <w:t>岳阳市公共资源交易中心电子招标投标交易平台</w:t>
            </w:r>
            <w:r>
              <w:rPr>
                <w:rFonts w:hint="default" w:ascii="Calibri" w:hAnsi="Calibri" w:cs="Calibri"/>
                <w:color w:val="auto"/>
                <w:szCs w:val="21"/>
                <w:highlight w:val="none"/>
              </w:rPr>
              <w:t>举行，所有投标人应准时在线参加开标。</w:t>
            </w:r>
            <w:r>
              <w:rPr>
                <w:rFonts w:hint="eastAsia" w:ascii="Calibri" w:hAnsi="Calibri" w:cs="Calibri"/>
                <w:color w:val="auto"/>
                <w:szCs w:val="21"/>
                <w:highlight w:val="none"/>
              </w:rPr>
              <w:t>同时在</w:t>
            </w:r>
            <w:r>
              <w:rPr>
                <w:rFonts w:hint="default"/>
                <w:spacing w:val="13"/>
                <w:u w:val="single" w:color="auto"/>
              </w:rPr>
              <w:t>岳阳市公共资源交易中心</w:t>
            </w:r>
            <w:r>
              <w:rPr>
                <w:rFonts w:hint="eastAsia" w:ascii="Calibri" w:hAnsi="Calibri" w:cs="Calibri"/>
                <w:color w:val="auto"/>
                <w:szCs w:val="21"/>
                <w:highlight w:val="none"/>
              </w:rPr>
              <w:t>设立</w:t>
            </w:r>
            <w:r>
              <w:rPr>
                <w:rFonts w:hint="default" w:ascii="Calibri" w:hAnsi="Calibri" w:cs="Calibri"/>
                <w:color w:val="auto"/>
                <w:szCs w:val="21"/>
                <w:highlight w:val="none"/>
              </w:rPr>
              <w:t>开标会场</w:t>
            </w:r>
            <w:r>
              <w:rPr>
                <w:rFonts w:hint="eastAsia" w:ascii="Calibri" w:hAnsi="Calibri" w:cs="Calibri"/>
                <w:color w:val="auto"/>
                <w:szCs w:val="21"/>
                <w:highlight w:val="none"/>
              </w:rPr>
              <w:t>。</w:t>
            </w:r>
          </w:p>
        </w:tc>
      </w:tr>
      <w:tr w14:paraId="6FAB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5" w:type="dxa"/>
            <w:noWrap w:val="0"/>
            <w:vAlign w:val="center"/>
          </w:tcPr>
          <w:p w14:paraId="7C18A4D4">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6.1.1</w:t>
            </w:r>
          </w:p>
        </w:tc>
        <w:tc>
          <w:tcPr>
            <w:tcW w:w="1770" w:type="dxa"/>
            <w:noWrap w:val="0"/>
            <w:vAlign w:val="center"/>
          </w:tcPr>
          <w:p w14:paraId="3FC37C7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评标委员会的      组建</w:t>
            </w:r>
          </w:p>
        </w:tc>
        <w:tc>
          <w:tcPr>
            <w:tcW w:w="6435" w:type="dxa"/>
            <w:noWrap w:val="0"/>
            <w:vAlign w:val="center"/>
          </w:tcPr>
          <w:p w14:paraId="70FAEB7E">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评标委员会</w:t>
            </w:r>
            <w:r>
              <w:rPr>
                <w:rFonts w:hint="eastAsia" w:ascii="Calibri" w:hAnsi="Calibri" w:cs="Calibri"/>
                <w:color w:val="auto"/>
                <w:szCs w:val="21"/>
                <w:highlight w:val="none"/>
              </w:rPr>
              <w:t>成员</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5</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rPr>
              <w:t>人</w:t>
            </w:r>
            <w:r>
              <w:rPr>
                <w:rFonts w:hint="eastAsia" w:ascii="Calibri" w:hAnsi="Calibri" w:cs="Calibri"/>
                <w:color w:val="auto"/>
                <w:szCs w:val="21"/>
                <w:highlight w:val="none"/>
              </w:rPr>
              <w:t>或以上单数</w:t>
            </w:r>
            <w:r>
              <w:rPr>
                <w:rFonts w:hint="default" w:ascii="Calibri" w:hAnsi="Calibri" w:cs="Calibri"/>
                <w:color w:val="auto"/>
                <w:szCs w:val="21"/>
                <w:highlight w:val="none"/>
              </w:rPr>
              <w:t>，其中：招标人代表</w:t>
            </w:r>
            <w:r>
              <w:rPr>
                <w:rFonts w:hint="eastAsia" w:ascii="Calibri" w:hAnsi="Calibri" w:cs="Calibri"/>
                <w:color w:val="auto"/>
                <w:szCs w:val="21"/>
                <w:highlight w:val="none"/>
                <w:u w:val="single"/>
                <w:lang w:val="en-US" w:eastAsia="zh-CN"/>
              </w:rPr>
              <w:t>0</w:t>
            </w:r>
            <w:r>
              <w:rPr>
                <w:rFonts w:hint="default" w:ascii="Calibri" w:hAnsi="Calibri" w:cs="Calibri"/>
                <w:color w:val="auto"/>
                <w:szCs w:val="21"/>
                <w:highlight w:val="none"/>
              </w:rPr>
              <w:t>人</w:t>
            </w:r>
            <w:r>
              <w:rPr>
                <w:rFonts w:hint="eastAsia" w:ascii="Calibri" w:hAnsi="Calibri" w:cs="Calibri"/>
                <w:color w:val="auto"/>
                <w:szCs w:val="21"/>
                <w:highlight w:val="none"/>
              </w:rPr>
              <w:t>。</w:t>
            </w:r>
          </w:p>
          <w:p w14:paraId="5592E723">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评标专家确定方式：</w:t>
            </w:r>
            <w:r>
              <w:rPr>
                <w:rFonts w:hint="default"/>
                <w:spacing w:val="9"/>
                <w:u w:val="single" w:color="auto"/>
              </w:rPr>
              <w:t>从湖南省综合评标专家库随机抽取</w:t>
            </w:r>
          </w:p>
        </w:tc>
      </w:tr>
      <w:tr w14:paraId="29AF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65" w:type="dxa"/>
            <w:noWrap w:val="0"/>
            <w:vAlign w:val="center"/>
          </w:tcPr>
          <w:p w14:paraId="448E8B8D">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7.1</w:t>
            </w:r>
          </w:p>
        </w:tc>
        <w:tc>
          <w:tcPr>
            <w:tcW w:w="1770" w:type="dxa"/>
            <w:noWrap w:val="0"/>
            <w:vAlign w:val="center"/>
          </w:tcPr>
          <w:p w14:paraId="5371DBAC">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推荐中标候选人和</w:t>
            </w:r>
            <w:r>
              <w:rPr>
                <w:rFonts w:hint="eastAsia" w:ascii="Calibri" w:hAnsi="Calibri" w:cs="Calibri"/>
                <w:color w:val="auto"/>
                <w:szCs w:val="21"/>
                <w:highlight w:val="none"/>
              </w:rPr>
              <w:t xml:space="preserve">确定中标人 </w:t>
            </w:r>
            <w:r>
              <w:rPr>
                <w:rFonts w:hint="default" w:ascii="Calibri" w:hAnsi="Calibri" w:cs="Calibri"/>
                <w:color w:val="auto"/>
                <w:szCs w:val="21"/>
                <w:highlight w:val="none"/>
              </w:rPr>
              <w:t>方式</w:t>
            </w:r>
          </w:p>
        </w:tc>
        <w:tc>
          <w:tcPr>
            <w:tcW w:w="6435" w:type="dxa"/>
            <w:noWrap w:val="0"/>
            <w:vAlign w:val="center"/>
          </w:tcPr>
          <w:p w14:paraId="2172E9AC">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eastAsia" w:ascii="Calibri" w:hAnsi="Calibri" w:cs="Calibri"/>
                <w:color w:val="auto"/>
                <w:szCs w:val="21"/>
                <w:highlight w:val="none"/>
              </w:rPr>
              <w:t>排序法，即：</w:t>
            </w:r>
            <w:r>
              <w:rPr>
                <w:rFonts w:hint="default" w:ascii="Calibri" w:hAnsi="Calibri" w:cs="Calibri"/>
                <w:color w:val="auto"/>
                <w:szCs w:val="21"/>
                <w:highlight w:val="none"/>
              </w:rPr>
              <w:t>由评标委员会推荐不超过</w:t>
            </w:r>
            <w:r>
              <w:rPr>
                <w:rFonts w:hint="eastAsia" w:ascii="Calibri" w:hAnsi="Calibri" w:cs="Calibri"/>
                <w:color w:val="auto"/>
                <w:szCs w:val="21"/>
                <w:highlight w:val="none"/>
              </w:rPr>
              <w:t>3</w:t>
            </w:r>
            <w:r>
              <w:rPr>
                <w:rFonts w:hint="default" w:ascii="Calibri" w:hAnsi="Calibri" w:cs="Calibri"/>
                <w:color w:val="auto"/>
                <w:szCs w:val="21"/>
                <w:highlight w:val="none"/>
              </w:rPr>
              <w:t>个有排序的中标候选人，公示期满后招标人</w:t>
            </w:r>
            <w:r>
              <w:rPr>
                <w:rFonts w:hint="eastAsia" w:ascii="Calibri" w:hAnsi="Calibri" w:cs="Calibri"/>
                <w:color w:val="auto"/>
                <w:szCs w:val="21"/>
                <w:highlight w:val="none"/>
              </w:rPr>
              <w:t>按照相关规定</w:t>
            </w:r>
            <w:r>
              <w:rPr>
                <w:rFonts w:hint="default" w:ascii="Calibri" w:hAnsi="Calibri" w:cs="Calibri"/>
                <w:color w:val="auto"/>
                <w:szCs w:val="21"/>
                <w:highlight w:val="none"/>
              </w:rPr>
              <w:t>确定中标人。</w:t>
            </w:r>
          </w:p>
          <w:p w14:paraId="6A3DFDA1">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评定分离法，即：</w:t>
            </w:r>
            <w:r>
              <w:rPr>
                <w:rFonts w:hint="default" w:ascii="Calibri" w:hAnsi="Calibri" w:cs="Calibri"/>
                <w:color w:val="auto"/>
                <w:szCs w:val="21"/>
                <w:highlight w:val="none"/>
              </w:rPr>
              <w:t>由评标委员会推荐</w:t>
            </w:r>
            <w:r>
              <w:rPr>
                <w:rFonts w:hint="eastAsia" w:ascii="Calibri" w:hAnsi="Calibri" w:cs="Calibri"/>
                <w:color w:val="auto"/>
                <w:szCs w:val="21"/>
                <w:highlight w:val="none"/>
              </w:rPr>
              <w:t>不超过</w:t>
            </w:r>
            <w:r>
              <w:rPr>
                <w:rFonts w:hint="default" w:ascii="Calibri" w:hAnsi="Calibri" w:cs="Calibri"/>
                <w:color w:val="auto"/>
                <w:szCs w:val="21"/>
                <w:highlight w:val="none"/>
              </w:rPr>
              <w:t>3个不排序的中标候选人，招标人按下列</w:t>
            </w:r>
            <w:r>
              <w:rPr>
                <w:rFonts w:hint="eastAsia" w:ascii="Calibri" w:hAnsi="Calibri" w:cs="Calibri"/>
                <w:color w:val="auto"/>
                <w:szCs w:val="21"/>
                <w:highlight w:val="none"/>
              </w:rPr>
              <w:t>第</w:t>
            </w:r>
            <w:r>
              <w:rPr>
                <w:rFonts w:hint="eastAsia" w:ascii="Calibri" w:hAnsi="Calibri" w:cs="Calibri"/>
                <w:color w:val="auto"/>
                <w:szCs w:val="21"/>
                <w:highlight w:val="none"/>
                <w:u w:val="single"/>
              </w:rPr>
              <w:t xml:space="preserve"> </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rPr>
              <w:t>种</w:t>
            </w:r>
            <w:r>
              <w:rPr>
                <w:rFonts w:hint="default" w:ascii="Calibri" w:hAnsi="Calibri" w:cs="Calibri"/>
                <w:color w:val="auto"/>
                <w:szCs w:val="21"/>
                <w:highlight w:val="none"/>
              </w:rPr>
              <w:t>方式确定中标人</w:t>
            </w:r>
            <w:r>
              <w:rPr>
                <w:rFonts w:hint="eastAsia" w:ascii="Calibri" w:hAnsi="Calibri" w:cs="Calibri"/>
                <w:color w:val="auto"/>
                <w:szCs w:val="21"/>
                <w:highlight w:val="none"/>
              </w:rPr>
              <w:t>。</w:t>
            </w:r>
          </w:p>
          <w:p w14:paraId="36F8335A">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bCs/>
                <w:color w:val="auto"/>
                <w:szCs w:val="21"/>
                <w:highlight w:val="none"/>
              </w:rPr>
              <w:t>（1）</w:t>
            </w:r>
            <w:r>
              <w:rPr>
                <w:rFonts w:hint="default" w:ascii="Calibri" w:hAnsi="Calibri" w:cs="Calibri"/>
                <w:bCs/>
                <w:color w:val="auto"/>
                <w:szCs w:val="21"/>
                <w:highlight w:val="none"/>
              </w:rPr>
              <w:t>票决法</w:t>
            </w:r>
            <w:r>
              <w:rPr>
                <w:rFonts w:hint="eastAsia" w:ascii="Calibri" w:hAnsi="Calibri" w:cs="Calibri"/>
                <w:bCs/>
                <w:color w:val="auto"/>
                <w:szCs w:val="21"/>
                <w:highlight w:val="none"/>
              </w:rPr>
              <w:t>：</w:t>
            </w:r>
            <w:r>
              <w:rPr>
                <w:rFonts w:hint="eastAsia" w:ascii="Calibri" w:hAnsi="Calibri" w:cs="Calibri"/>
                <w:color w:val="auto"/>
                <w:szCs w:val="21"/>
                <w:highlight w:val="none"/>
                <w:lang w:val="en-US" w:eastAsia="zh-CN"/>
              </w:rPr>
              <w:t>投票决定</w:t>
            </w:r>
            <w:r>
              <w:rPr>
                <w:rFonts w:hint="eastAsia" w:ascii="Calibri" w:hAnsi="Calibri" w:cs="Calibri"/>
                <w:bCs/>
                <w:color w:val="auto"/>
                <w:szCs w:val="21"/>
                <w:highlight w:val="none"/>
              </w:rPr>
              <w:t>。</w:t>
            </w:r>
          </w:p>
          <w:p w14:paraId="5838D316">
            <w:pPr>
              <w:keepNext w:val="0"/>
              <w:keepLines w:val="0"/>
              <w:suppressLineNumbers w:val="0"/>
              <w:spacing w:before="0" w:beforeAutospacing="0" w:after="0" w:afterAutospacing="0"/>
              <w:ind w:left="-103" w:leftChars="-49" w:right="0" w:firstLine="422" w:firstLineChars="201"/>
              <w:rPr>
                <w:rFonts w:hint="eastAsia" w:ascii="Calibri" w:hAnsi="Calibri" w:cs="Calibri"/>
                <w:bCs/>
                <w:color w:val="auto"/>
                <w:szCs w:val="21"/>
                <w:highlight w:val="none"/>
              </w:rPr>
            </w:pPr>
            <w:r>
              <w:rPr>
                <w:rFonts w:hint="eastAsia" w:ascii="Calibri" w:hAnsi="Calibri" w:cs="Calibri"/>
                <w:bCs/>
                <w:color w:val="auto"/>
                <w:szCs w:val="21"/>
                <w:highlight w:val="none"/>
              </w:rPr>
              <w:t>（2）</w:t>
            </w:r>
            <w:r>
              <w:rPr>
                <w:rFonts w:hint="default" w:ascii="Calibri" w:hAnsi="Calibri" w:cs="Calibri"/>
                <w:bCs/>
                <w:color w:val="auto"/>
                <w:szCs w:val="21"/>
                <w:highlight w:val="none"/>
              </w:rPr>
              <w:t>报价</w:t>
            </w:r>
            <w:r>
              <w:rPr>
                <w:rFonts w:hint="eastAsia" w:ascii="Calibri" w:hAnsi="Calibri" w:cs="Calibri"/>
                <w:bCs/>
                <w:color w:val="auto"/>
                <w:szCs w:val="21"/>
                <w:highlight w:val="none"/>
              </w:rPr>
              <w:t>竞争</w:t>
            </w:r>
            <w:r>
              <w:rPr>
                <w:rFonts w:hint="default" w:ascii="Calibri" w:hAnsi="Calibri" w:cs="Calibri"/>
                <w:bCs/>
                <w:color w:val="auto"/>
                <w:szCs w:val="21"/>
                <w:highlight w:val="none"/>
              </w:rPr>
              <w:t>法</w:t>
            </w:r>
            <w:r>
              <w:rPr>
                <w:rFonts w:hint="eastAsia" w:ascii="Calibri" w:hAnsi="Calibri" w:cs="Calibri"/>
                <w:bCs/>
                <w:color w:val="auto"/>
                <w:szCs w:val="21"/>
                <w:highlight w:val="none"/>
              </w:rPr>
              <w:t>：</w:t>
            </w:r>
            <w:r>
              <w:rPr>
                <w:rFonts w:hint="eastAsia" w:ascii="Calibri" w:hAnsi="Calibri" w:cs="Calibri"/>
                <w:bCs/>
                <w:color w:val="auto"/>
                <w:szCs w:val="21"/>
                <w:highlight w:val="none"/>
                <w:lang w:val="en-US" w:eastAsia="zh-CN"/>
              </w:rPr>
              <w:t>按</w:t>
            </w:r>
            <w:r>
              <w:rPr>
                <w:rFonts w:hint="eastAsia" w:ascii="宋体" w:hAnsi="宋体" w:cs="仿宋_GB2312"/>
                <w:color w:val="auto"/>
                <w:szCs w:val="21"/>
                <w:highlight w:val="none"/>
              </w:rPr>
              <w:t>最低投标价</w:t>
            </w:r>
            <w:r>
              <w:rPr>
                <w:rFonts w:hint="eastAsia" w:ascii="宋体" w:hAnsi="宋体" w:cs="仿宋_GB2312"/>
                <w:color w:val="auto"/>
                <w:szCs w:val="21"/>
                <w:highlight w:val="none"/>
                <w:lang w:val="en-US" w:eastAsia="zh-CN"/>
              </w:rPr>
              <w:t>确定</w:t>
            </w:r>
            <w:r>
              <w:rPr>
                <w:rFonts w:hint="eastAsia" w:ascii="Calibri" w:hAnsi="Calibri" w:cs="Calibri"/>
                <w:color w:val="auto"/>
                <w:szCs w:val="21"/>
                <w:highlight w:val="none"/>
              </w:rPr>
              <w:t>；</w:t>
            </w:r>
            <w:r>
              <w:rPr>
                <w:rFonts w:hint="eastAsia" w:ascii="Calibri" w:hAnsi="Calibri" w:cs="Calibri"/>
                <w:bCs/>
                <w:color w:val="auto"/>
                <w:szCs w:val="21"/>
                <w:highlight w:val="none"/>
              </w:rPr>
              <w:t xml:space="preserve">   </w:t>
            </w:r>
          </w:p>
          <w:p w14:paraId="4C0E0D3B">
            <w:pPr>
              <w:keepNext w:val="0"/>
              <w:keepLines w:val="0"/>
              <w:suppressLineNumbers w:val="0"/>
              <w:spacing w:before="0" w:beforeAutospacing="0" w:after="0" w:afterAutospacing="0"/>
              <w:ind w:left="-103" w:leftChars="-49" w:right="0" w:firstLine="422" w:firstLineChars="201"/>
              <w:rPr>
                <w:rFonts w:hint="default" w:ascii="Calibri" w:hAnsi="Calibri" w:cs="Calibri"/>
                <w:bCs/>
                <w:color w:val="auto"/>
                <w:szCs w:val="21"/>
                <w:highlight w:val="none"/>
              </w:rPr>
            </w:pPr>
            <w:r>
              <w:rPr>
                <w:rFonts w:hint="eastAsia" w:ascii="Calibri" w:hAnsi="Calibri" w:cs="Calibri"/>
                <w:color w:val="auto"/>
                <w:szCs w:val="21"/>
                <w:highlight w:val="none"/>
              </w:rPr>
              <w:t>（3）</w:t>
            </w:r>
            <w:r>
              <w:rPr>
                <w:rFonts w:hint="eastAsia" w:ascii="Calibri" w:hAnsi="Calibri" w:cs="Calibri"/>
                <w:bCs/>
                <w:color w:val="auto"/>
                <w:szCs w:val="21"/>
                <w:highlight w:val="none"/>
              </w:rPr>
              <w:t>因素法：</w:t>
            </w:r>
            <w:bookmarkStart w:id="61" w:name="_Hlk73543692"/>
            <w:r>
              <w:rPr>
                <w:rFonts w:hint="default" w:ascii="Calibri" w:hAnsi="Calibri" w:cs="Calibri"/>
                <w:color w:val="auto"/>
                <w:szCs w:val="21"/>
                <w:highlight w:val="none"/>
              </w:rPr>
              <w:sym w:font="Wingdings 2" w:char="0052"/>
            </w:r>
            <w:r>
              <w:rPr>
                <w:rFonts w:hint="eastAsia" w:ascii="Calibri" w:hAnsi="Calibri" w:cs="Calibri"/>
                <w:color w:val="auto"/>
                <w:szCs w:val="21"/>
                <w:highlight w:val="none"/>
              </w:rPr>
              <w:t>施工组织设计和企业资信及履约能力两项得分乘以相应权重之和由高至低排序确定</w:t>
            </w:r>
            <w:r>
              <w:rPr>
                <w:rFonts w:hint="eastAsia" w:ascii="宋体" w:hAnsi="宋体" w:cs="宋体"/>
                <w:color w:val="auto"/>
                <w:szCs w:val="21"/>
                <w:highlight w:val="none"/>
              </w:rPr>
              <w:t>；</w:t>
            </w: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企业资信及履约能力</w:t>
            </w:r>
            <w:r>
              <w:rPr>
                <w:rFonts w:hint="eastAsia" w:ascii="宋体" w:hAnsi="宋体" w:cs="宋体"/>
                <w:color w:val="auto"/>
                <w:szCs w:val="21"/>
                <w:highlight w:val="none"/>
              </w:rPr>
              <w:t>得分由高至低排序确定</w:t>
            </w:r>
            <w:r>
              <w:rPr>
                <w:rFonts w:hint="eastAsia" w:ascii="Calibri" w:hAnsi="Calibri" w:cs="Calibri"/>
                <w:bCs/>
                <w:color w:val="auto"/>
                <w:szCs w:val="21"/>
                <w:highlight w:val="none"/>
              </w:rPr>
              <w:t>。</w:t>
            </w:r>
            <w:bookmarkEnd w:id="61"/>
            <w:r>
              <w:rPr>
                <w:rFonts w:hint="eastAsia" w:ascii="Calibri" w:hAnsi="Calibri" w:cs="Calibri"/>
                <w:bCs/>
                <w:color w:val="auto"/>
                <w:szCs w:val="21"/>
                <w:highlight w:val="none"/>
              </w:rPr>
              <w:t xml:space="preserve">    </w:t>
            </w:r>
          </w:p>
        </w:tc>
      </w:tr>
      <w:tr w14:paraId="36F3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1065" w:type="dxa"/>
            <w:noWrap w:val="0"/>
            <w:vAlign w:val="center"/>
          </w:tcPr>
          <w:p w14:paraId="28F4B8B1">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7.3.1</w:t>
            </w:r>
          </w:p>
        </w:tc>
        <w:tc>
          <w:tcPr>
            <w:tcW w:w="1770" w:type="dxa"/>
            <w:noWrap w:val="0"/>
            <w:vAlign w:val="center"/>
          </w:tcPr>
          <w:p w14:paraId="1B806ACA">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履约担保</w:t>
            </w:r>
          </w:p>
        </w:tc>
        <w:tc>
          <w:tcPr>
            <w:tcW w:w="6435" w:type="dxa"/>
            <w:noWrap w:val="0"/>
            <w:vAlign w:val="center"/>
          </w:tcPr>
          <w:p w14:paraId="63CF5FF3">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经评审</w:t>
            </w:r>
            <w:r>
              <w:rPr>
                <w:rFonts w:hint="eastAsia" w:ascii="Calibri" w:hAnsi="Calibri" w:cs="Calibri"/>
                <w:color w:val="auto"/>
                <w:szCs w:val="21"/>
                <w:highlight w:val="none"/>
              </w:rPr>
              <w:t>的</w:t>
            </w:r>
            <w:r>
              <w:rPr>
                <w:rFonts w:hint="default" w:ascii="Calibri" w:hAnsi="Calibri" w:cs="Calibri"/>
                <w:color w:val="auto"/>
                <w:szCs w:val="21"/>
                <w:highlight w:val="none"/>
              </w:rPr>
              <w:t>最低投标价法，</w:t>
            </w:r>
            <w:r>
              <w:rPr>
                <w:rFonts w:hint="eastAsia" w:ascii="Calibri" w:hAnsi="Calibri" w:cs="Calibri"/>
                <w:color w:val="auto"/>
                <w:szCs w:val="21"/>
                <w:highlight w:val="none"/>
              </w:rPr>
              <w:t>应当</w:t>
            </w:r>
            <w:r>
              <w:rPr>
                <w:rFonts w:hint="default" w:ascii="Calibri" w:hAnsi="Calibri" w:cs="Calibri"/>
                <w:color w:val="auto"/>
                <w:szCs w:val="21"/>
                <w:highlight w:val="none"/>
              </w:rPr>
              <w:t>提供履约担保，</w:t>
            </w:r>
          </w:p>
          <w:p w14:paraId="1D9EC951">
            <w:pPr>
              <w:keepNext w:val="0"/>
              <w:keepLines w:val="0"/>
              <w:numPr>
                <w:ilvl w:val="0"/>
                <w:numId w:val="1"/>
              </w:numPr>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保函形式：包括银行业金融机构保函</w:t>
            </w:r>
            <w:r>
              <w:rPr>
                <w:rFonts w:hint="eastAsia" w:ascii="Calibri" w:hAnsi="Calibri" w:cs="Calibri"/>
                <w:color w:val="auto"/>
                <w:szCs w:val="21"/>
                <w:highlight w:val="none"/>
              </w:rPr>
              <w:t>、担保公司担保（</w:t>
            </w: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 xml:space="preserve">融资性担保公司保函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14:paraId="3590F798">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2.担保金额：中标金额低于最高投标限价10%以内的，不超过中标合同金额的10%</w:t>
            </w:r>
            <w:r>
              <w:rPr>
                <w:rFonts w:hint="eastAsia" w:ascii="Calibri" w:hAnsi="Calibri" w:cs="Calibri"/>
                <w:color w:val="auto"/>
                <w:szCs w:val="21"/>
                <w:highlight w:val="none"/>
              </w:rPr>
              <w:t>。</w:t>
            </w:r>
            <w:r>
              <w:rPr>
                <w:rFonts w:hint="default" w:ascii="Calibri" w:hAnsi="Calibri" w:cs="Calibri"/>
                <w:color w:val="auto"/>
                <w:szCs w:val="21"/>
                <w:highlight w:val="none"/>
              </w:rPr>
              <w:t>中标金额低于最高投标限价10%以上的，为最高投标限价减去中标合同金额后的差额。</w:t>
            </w:r>
          </w:p>
          <w:p w14:paraId="2FFC83BE">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综合评估法：</w:t>
            </w:r>
          </w:p>
          <w:p w14:paraId="21DAFA9D">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不要求提供履约担保；</w:t>
            </w:r>
          </w:p>
          <w:p w14:paraId="60B679A3">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要求</w:t>
            </w:r>
            <w:r>
              <w:rPr>
                <w:rFonts w:hint="eastAsia" w:ascii="Calibri" w:hAnsi="Calibri" w:cs="Calibri"/>
                <w:color w:val="auto"/>
                <w:szCs w:val="21"/>
                <w:highlight w:val="none"/>
              </w:rPr>
              <w:t>提供</w:t>
            </w:r>
            <w:r>
              <w:rPr>
                <w:rFonts w:hint="default" w:ascii="Calibri" w:hAnsi="Calibri" w:cs="Calibri"/>
                <w:color w:val="auto"/>
                <w:szCs w:val="21"/>
                <w:highlight w:val="none"/>
              </w:rPr>
              <w:t>履约担保</w:t>
            </w:r>
          </w:p>
          <w:p w14:paraId="1065EC3A">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1.保函形式：银行业金融机构保函</w:t>
            </w:r>
            <w:r>
              <w:rPr>
                <w:rFonts w:hint="eastAsia" w:ascii="Calibri" w:hAnsi="Calibri" w:cs="Calibri"/>
                <w:color w:val="auto"/>
                <w:szCs w:val="21"/>
                <w:highlight w:val="none"/>
              </w:rPr>
              <w:t>、担保公司担保（</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融资性担保公司保函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非融资性担保公司保函</w:t>
            </w:r>
            <w:r>
              <w:rPr>
                <w:rFonts w:hint="eastAsia" w:ascii="Calibri" w:hAnsi="Calibri" w:cs="Calibri"/>
                <w:color w:val="auto"/>
                <w:szCs w:val="21"/>
                <w:highlight w:val="none"/>
              </w:rPr>
              <w:t>）、</w:t>
            </w:r>
            <w:r>
              <w:rPr>
                <w:rFonts w:hint="default" w:ascii="Calibri" w:hAnsi="Calibri" w:cs="Calibri"/>
                <w:color w:val="auto"/>
                <w:szCs w:val="21"/>
                <w:highlight w:val="none"/>
              </w:rPr>
              <w:t>保险公司保证保险</w:t>
            </w:r>
          </w:p>
          <w:p w14:paraId="2B6CFC31">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rPr>
              <w:t>2.</w:t>
            </w:r>
            <w:r>
              <w:rPr>
                <w:rFonts w:hint="default" w:ascii="Calibri" w:hAnsi="Calibri" w:cs="Calibri"/>
                <w:color w:val="auto"/>
                <w:szCs w:val="21"/>
                <w:highlight w:val="none"/>
              </w:rPr>
              <w:t xml:space="preserve"> 担保金额：</w:t>
            </w:r>
            <w:r>
              <w:rPr>
                <w:rFonts w:hint="eastAsia"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w:t>
            </w:r>
            <w:r>
              <w:rPr>
                <w:rFonts w:hint="eastAsia" w:ascii="Calibri" w:hAnsi="Calibri" w:cs="Calibri"/>
                <w:color w:val="auto"/>
                <w:szCs w:val="21"/>
                <w:highlight w:val="none"/>
                <w:u w:val="single"/>
              </w:rPr>
              <w:t xml:space="preserve">      </w:t>
            </w:r>
          </w:p>
        </w:tc>
      </w:tr>
      <w:tr w14:paraId="6149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70" w:type="dxa"/>
            <w:gridSpan w:val="3"/>
            <w:noWrap w:val="0"/>
            <w:vAlign w:val="center"/>
          </w:tcPr>
          <w:p w14:paraId="73344184">
            <w:pPr>
              <w:keepNext w:val="0"/>
              <w:keepLines w:val="0"/>
              <w:suppressLineNumbers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default" w:ascii="Calibri" w:hAnsi="Calibri" w:cs="Calibri"/>
                <w:color w:val="auto"/>
                <w:szCs w:val="21"/>
                <w:highlight w:val="none"/>
              </w:rPr>
              <w:t>补充内容</w:t>
            </w:r>
          </w:p>
        </w:tc>
      </w:tr>
      <w:tr w14:paraId="05C1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65" w:type="dxa"/>
            <w:noWrap w:val="0"/>
            <w:vAlign w:val="center"/>
          </w:tcPr>
          <w:p w14:paraId="1B01D143">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.1.1</w:t>
            </w:r>
          </w:p>
        </w:tc>
        <w:tc>
          <w:tcPr>
            <w:tcW w:w="1770" w:type="dxa"/>
            <w:noWrap w:val="0"/>
            <w:vAlign w:val="center"/>
          </w:tcPr>
          <w:p w14:paraId="38A3522B">
            <w:pPr>
              <w:keepNext w:val="0"/>
              <w:keepLines w:val="0"/>
              <w:suppressLineNumbers w:val="0"/>
              <w:spacing w:before="0" w:beforeAutospacing="0" w:after="0" w:afterAutospacing="0"/>
              <w:ind w:left="0" w:right="0"/>
              <w:jc w:val="center"/>
              <w:rPr>
                <w:rFonts w:hint="default" w:ascii="Calibri" w:hAnsi="Calibri" w:cs="Calibri"/>
                <w:bCs/>
                <w:color w:val="auto"/>
                <w:szCs w:val="21"/>
                <w:highlight w:val="none"/>
              </w:rPr>
            </w:pPr>
            <w:r>
              <w:rPr>
                <w:rFonts w:hint="default" w:ascii="Calibri" w:hAnsi="Calibri" w:cs="Calibri"/>
                <w:color w:val="auto"/>
                <w:szCs w:val="21"/>
                <w:highlight w:val="none"/>
              </w:rPr>
              <w:t>类似工程业绩</w:t>
            </w:r>
          </w:p>
        </w:tc>
        <w:tc>
          <w:tcPr>
            <w:tcW w:w="6435" w:type="dxa"/>
            <w:noWrap w:val="0"/>
            <w:vAlign w:val="center"/>
          </w:tcPr>
          <w:p w14:paraId="7BF20657">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1.资格</w:t>
            </w:r>
            <w:r>
              <w:rPr>
                <w:rFonts w:hint="eastAsia" w:ascii="Calibri" w:hAnsi="Calibri" w:cs="Calibri"/>
                <w:color w:val="auto"/>
                <w:szCs w:val="21"/>
                <w:highlight w:val="none"/>
              </w:rPr>
              <w:t>要求</w:t>
            </w:r>
            <w:r>
              <w:rPr>
                <w:rFonts w:hint="default" w:ascii="Calibri" w:hAnsi="Calibri" w:cs="Calibri"/>
                <w:color w:val="auto"/>
                <w:szCs w:val="21"/>
                <w:highlight w:val="none"/>
              </w:rPr>
              <w:t>：</w:t>
            </w:r>
          </w:p>
          <w:p w14:paraId="2560FE4E">
            <w:pPr>
              <w:keepNext w:val="0"/>
              <w:keepLines w:val="0"/>
              <w:suppressLineNumbers w:val="0"/>
              <w:snapToGrid w:val="0"/>
              <w:spacing w:before="0" w:beforeAutospacing="0" w:after="0" w:afterAutospacing="0"/>
              <w:ind w:left="0" w:right="0" w:firstLine="210" w:firstLineChars="100"/>
              <w:rPr>
                <w:rFonts w:hint="default" w:ascii="Calibri" w:hAnsi="Calibri" w:cs="Calibri"/>
                <w:color w:val="auto"/>
                <w:szCs w:val="21"/>
                <w:highlight w:val="none"/>
              </w:rPr>
            </w:pP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不要求类似工程业绩</w:t>
            </w:r>
          </w:p>
          <w:p w14:paraId="17E6ACA0">
            <w:pPr>
              <w:keepNext w:val="0"/>
              <w:keepLines w:val="0"/>
              <w:suppressLineNumbers w:val="0"/>
              <w:snapToGrid w:val="0"/>
              <w:spacing w:before="0" w:beforeAutospacing="0" w:after="0" w:afterAutospacing="0"/>
              <w:ind w:left="420" w:leftChars="100" w:right="0" w:hanging="210" w:hangingChars="100"/>
              <w:rPr>
                <w:rFonts w:hint="default" w:ascii="Calibri" w:hAnsi="Calibri" w:cs="Calibri"/>
                <w:color w:val="auto"/>
                <w:szCs w:val="21"/>
                <w:highlight w:val="none"/>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要求类似工程业绩（由招标人在以下工程业绩中勾选一项）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 xml:space="preserve">投标人1项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拟任项目经理1项</w:t>
            </w:r>
          </w:p>
          <w:p w14:paraId="2A395BE8">
            <w:pPr>
              <w:keepNext w:val="0"/>
              <w:keepLines w:val="0"/>
              <w:suppressLineNumbers w:val="0"/>
              <w:tabs>
                <w:tab w:val="left" w:pos="312"/>
              </w:tabs>
              <w:snapToGrid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2.</w:t>
            </w:r>
            <w:r>
              <w:rPr>
                <w:rFonts w:hint="eastAsia" w:ascii="Calibri" w:hAnsi="Calibri" w:cs="Calibri"/>
                <w:color w:val="auto"/>
                <w:szCs w:val="21"/>
                <w:highlight w:val="none"/>
              </w:rPr>
              <w:t>评审加分</w:t>
            </w:r>
            <w:r>
              <w:rPr>
                <w:rFonts w:hint="default" w:ascii="Calibri" w:hAnsi="Calibri" w:cs="Calibri"/>
                <w:color w:val="auto"/>
                <w:szCs w:val="21"/>
                <w:highlight w:val="none"/>
              </w:rPr>
              <w:t>要求的类似工程业绩</w:t>
            </w:r>
            <w:r>
              <w:rPr>
                <w:rFonts w:hint="eastAsia" w:ascii="Calibri" w:hAnsi="Calibri" w:cs="Calibri"/>
                <w:color w:val="auto"/>
                <w:szCs w:val="21"/>
                <w:highlight w:val="none"/>
              </w:rPr>
              <w:t>个数</w:t>
            </w:r>
          </w:p>
          <w:p w14:paraId="71342458">
            <w:pPr>
              <w:keepNext w:val="0"/>
              <w:keepLines w:val="0"/>
              <w:suppressLineNumbers w:val="0"/>
              <w:snapToGrid w:val="0"/>
              <w:spacing w:before="0" w:beforeAutospacing="0" w:after="0" w:afterAutospacing="0"/>
              <w:ind w:left="0" w:right="0" w:firstLine="210" w:firstLineChars="100"/>
              <w:rPr>
                <w:rFonts w:hint="default" w:ascii="Calibri" w:hAnsi="Calibri" w:cs="Calibri"/>
                <w:color w:val="auto"/>
                <w:szCs w:val="21"/>
                <w:highlight w:val="none"/>
              </w:rPr>
            </w:pPr>
            <w:r>
              <w:rPr>
                <w:rFonts w:hint="eastAsia" w:ascii="Calibri" w:hAnsi="Calibri" w:cs="Calibri"/>
                <w:color w:val="auto"/>
                <w:szCs w:val="21"/>
                <w:highlight w:val="none"/>
              </w:rPr>
              <w:t>2.1投标人：</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0</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1</w:t>
            </w:r>
            <w:r>
              <w:rPr>
                <w:rFonts w:hint="eastAsia" w:ascii="Calibri" w:hAnsi="Calibri" w:cs="Calibri"/>
                <w:color w:val="auto"/>
                <w:szCs w:val="21"/>
                <w:highlight w:val="none"/>
              </w:rPr>
              <w:t>个</w:t>
            </w:r>
            <w:r>
              <w:rPr>
                <w:rFonts w:hint="default" w:ascii="Calibri" w:hAnsi="Calibri" w:cs="Calibri"/>
                <w:color w:val="auto"/>
                <w:szCs w:val="21"/>
                <w:highlight w:val="none"/>
              </w:rPr>
              <w:t xml:space="preserve">  </w:t>
            </w: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2</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eastAsia" w:ascii="Calibri" w:hAnsi="Calibri" w:cs="Calibri"/>
                <w:color w:val="auto"/>
                <w:szCs w:val="21"/>
                <w:highlight w:val="none"/>
              </w:rPr>
              <w:t>3个</w:t>
            </w:r>
          </w:p>
          <w:p w14:paraId="481C7097">
            <w:pPr>
              <w:keepNext w:val="0"/>
              <w:keepLines w:val="0"/>
              <w:suppressLineNumbers w:val="0"/>
              <w:snapToGrid w:val="0"/>
              <w:spacing w:before="0" w:beforeAutospacing="0" w:after="0" w:afterAutospacing="0"/>
              <w:ind w:left="0" w:right="0" w:firstLine="210" w:firstLineChars="100"/>
              <w:rPr>
                <w:rFonts w:hint="eastAsia" w:ascii="Calibri" w:hAnsi="Calibri" w:cs="Calibri"/>
                <w:color w:val="auto"/>
                <w:szCs w:val="21"/>
                <w:highlight w:val="none"/>
              </w:rPr>
            </w:pPr>
            <w:r>
              <w:rPr>
                <w:rFonts w:hint="eastAsia" w:ascii="Calibri" w:hAnsi="Calibri" w:cs="Calibri"/>
                <w:color w:val="auto"/>
                <w:szCs w:val="21"/>
                <w:highlight w:val="none"/>
              </w:rPr>
              <w:t>2.2拟任项目经理：</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0</w:t>
            </w:r>
            <w:r>
              <w:rPr>
                <w:rFonts w:hint="eastAsia" w:ascii="Calibri" w:hAnsi="Calibri" w:cs="Calibri"/>
                <w:color w:val="auto"/>
                <w:szCs w:val="21"/>
                <w:highlight w:val="none"/>
              </w:rPr>
              <w:t xml:space="preserve">个 </w:t>
            </w: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1</w:t>
            </w:r>
            <w:r>
              <w:rPr>
                <w:rFonts w:hint="eastAsia" w:ascii="Calibri" w:hAnsi="Calibri" w:cs="Calibri"/>
                <w:color w:val="auto"/>
                <w:szCs w:val="21"/>
                <w:highlight w:val="none"/>
              </w:rPr>
              <w:t>个</w:t>
            </w:r>
          </w:p>
          <w:p w14:paraId="419E734A">
            <w:pPr>
              <w:keepNext w:val="0"/>
              <w:keepLines w:val="0"/>
              <w:suppressLineNumbers w:val="0"/>
              <w:tabs>
                <w:tab w:val="left" w:pos="312"/>
              </w:tabs>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3</w:t>
            </w:r>
            <w:r>
              <w:rPr>
                <w:rFonts w:hint="default" w:ascii="Calibri" w:hAnsi="Calibri" w:cs="Calibri"/>
                <w:color w:val="auto"/>
                <w:szCs w:val="21"/>
                <w:highlight w:val="none"/>
              </w:rPr>
              <w:t>.类似工程业绩应当符合以下</w:t>
            </w:r>
            <w:r>
              <w:rPr>
                <w:rFonts w:hint="eastAsia" w:ascii="Calibri" w:hAnsi="Calibri" w:cs="Calibri"/>
                <w:color w:val="auto"/>
                <w:szCs w:val="21"/>
                <w:highlight w:val="none"/>
              </w:rPr>
              <w:t>规定</w:t>
            </w:r>
            <w:r>
              <w:rPr>
                <w:rFonts w:hint="default" w:ascii="Calibri" w:hAnsi="Calibri" w:cs="Calibri"/>
                <w:color w:val="auto"/>
                <w:szCs w:val="21"/>
                <w:highlight w:val="none"/>
              </w:rPr>
              <w:t>：</w:t>
            </w:r>
          </w:p>
          <w:p w14:paraId="197A6922">
            <w:pPr>
              <w:keepNext w:val="0"/>
              <w:keepLines w:val="0"/>
              <w:suppressLineNumbers w:val="0"/>
              <w:snapToGrid w:val="0"/>
              <w:spacing w:before="0" w:beforeAutospacing="0" w:after="0" w:afterAutospacing="0"/>
              <w:ind w:left="0" w:right="0"/>
              <w:rPr>
                <w:rFonts w:hint="default" w:ascii="Calibri" w:hAnsi="Calibri" w:cs="Calibri"/>
                <w:color w:val="000000" w:themeColor="text1"/>
                <w:szCs w:val="21"/>
                <w:highlight w:val="none"/>
                <w14:textFill>
                  <w14:solidFill>
                    <w14:schemeClr w14:val="tx1"/>
                  </w14:solidFill>
                </w14:textFill>
              </w:rPr>
            </w:pPr>
            <w:r>
              <w:rPr>
                <w:rFonts w:hint="eastAsia" w:ascii="Calibri" w:hAnsi="Calibri" w:cs="Calibri"/>
                <w:color w:val="000000" w:themeColor="text1"/>
                <w:szCs w:val="21"/>
                <w:highlight w:val="none"/>
                <w14:textFill>
                  <w14:solidFill>
                    <w14:schemeClr w14:val="tx1"/>
                  </w14:solidFill>
                </w14:textFill>
              </w:rPr>
              <w:t>（1）资格要求的类似工程业绩：</w:t>
            </w:r>
            <w:r>
              <w:rPr>
                <w:rFonts w:hint="eastAsia" w:ascii="Calibri" w:hAnsi="Calibri" w:cs="Calibri"/>
                <w:color w:val="000000" w:themeColor="text1"/>
                <w:szCs w:val="21"/>
                <w:highlight w:val="none"/>
                <w:u w:val="single"/>
                <w14:textFill>
                  <w14:solidFill>
                    <w14:schemeClr w14:val="tx1"/>
                  </w14:solidFill>
                </w14:textFill>
              </w:rPr>
              <w:t xml:space="preserve">   </w:t>
            </w:r>
            <w:r>
              <w:rPr>
                <w:rFonts w:hint="eastAsia" w:ascii="Calibri" w:hAnsi="Calibri" w:cs="Calibri"/>
                <w:color w:val="000000" w:themeColor="text1"/>
                <w:szCs w:val="21"/>
                <w:highlight w:val="none"/>
                <w:u w:val="single"/>
                <w:lang w:val="en-US" w:eastAsia="zh-CN"/>
                <w14:textFill>
                  <w14:solidFill>
                    <w14:schemeClr w14:val="tx1"/>
                  </w14:solidFill>
                </w14:textFill>
              </w:rPr>
              <w:t>/</w:t>
            </w:r>
            <w:r>
              <w:rPr>
                <w:rFonts w:hint="eastAsia" w:ascii="Calibri" w:hAnsi="Calibri" w:cs="Calibri"/>
                <w:color w:val="000000" w:themeColor="text1"/>
                <w:szCs w:val="21"/>
                <w:highlight w:val="none"/>
                <w:u w:val="single"/>
                <w14:textFill>
                  <w14:solidFill>
                    <w14:schemeClr w14:val="tx1"/>
                  </w14:solidFill>
                </w14:textFill>
              </w:rPr>
              <w:t xml:space="preserve">      </w:t>
            </w:r>
            <w:r>
              <w:rPr>
                <w:rFonts w:hint="eastAsia" w:ascii="Calibri" w:hAnsi="Calibri" w:cs="Calibri"/>
                <w:color w:val="000000" w:themeColor="text1"/>
                <w:szCs w:val="21"/>
                <w:highlight w:val="none"/>
                <w14:textFill>
                  <w14:solidFill>
                    <w14:schemeClr w14:val="tx1"/>
                  </w14:solidFill>
                </w14:textFill>
              </w:rPr>
              <w:t>。</w:t>
            </w:r>
          </w:p>
          <w:p w14:paraId="4B008C0F">
            <w:pPr>
              <w:keepNext w:val="0"/>
              <w:keepLines w:val="0"/>
              <w:suppressLineNumbers w:val="0"/>
              <w:snapToGrid w:val="0"/>
              <w:spacing w:before="0" w:beforeAutospacing="0" w:after="0" w:afterAutospacing="0"/>
              <w:ind w:left="-103" w:leftChars="-49" w:right="0"/>
              <w:rPr>
                <w:rFonts w:hint="default" w:ascii="Calibri" w:hAnsi="Calibri" w:cs="Calibri"/>
                <w:color w:val="000000" w:themeColor="text1"/>
                <w:szCs w:val="21"/>
                <w:highlight w:val="none"/>
                <w:u w:val="single"/>
                <w14:textFill>
                  <w14:solidFill>
                    <w14:schemeClr w14:val="tx1"/>
                  </w14:solidFill>
                </w14:textFill>
              </w:rPr>
            </w:pPr>
            <w:r>
              <w:rPr>
                <w:rFonts w:hint="eastAsia" w:ascii="Calibri" w:hAnsi="Calibri" w:cs="Calibri"/>
                <w:color w:val="000000" w:themeColor="text1"/>
                <w:szCs w:val="21"/>
                <w:highlight w:val="none"/>
                <w14:textFill>
                  <w14:solidFill>
                    <w14:schemeClr w14:val="tx1"/>
                  </w14:solidFill>
                </w14:textFill>
              </w:rPr>
              <w:t xml:space="preserve"> （2）评审加分要求的类似工程业绩：</w:t>
            </w:r>
            <w:r>
              <w:rPr>
                <w:rFonts w:hint="default" w:ascii="Calibri" w:hAnsi="Calibri" w:cs="Calibri"/>
                <w:color w:val="000000" w:themeColor="text1"/>
                <w:szCs w:val="21"/>
                <w:highlight w:val="none"/>
                <w:u w:val="single"/>
                <w14:textFill>
                  <w14:solidFill>
                    <w14:schemeClr w14:val="tx1"/>
                  </w14:solidFill>
                </w14:textFill>
              </w:rPr>
              <w:t>单项合同金额为 343万元及以上的建筑工程施工</w:t>
            </w:r>
            <w:r>
              <w:rPr>
                <w:rFonts w:hint="eastAsia" w:ascii="Calibri" w:hAnsi="Calibri" w:cs="Calibri"/>
                <w:color w:val="000000" w:themeColor="text1"/>
                <w:szCs w:val="21"/>
                <w:highlight w:val="none"/>
                <w14:textFill>
                  <w14:solidFill>
                    <w14:schemeClr w14:val="tx1"/>
                  </w14:solidFill>
                </w14:textFill>
              </w:rPr>
              <w:t>。</w:t>
            </w:r>
          </w:p>
          <w:p w14:paraId="3B4FAAE3">
            <w:pPr>
              <w:keepNext w:val="0"/>
              <w:keepLines w:val="0"/>
              <w:suppressLineNumbers w:val="0"/>
              <w:snapToGrid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000000" w:themeColor="text1"/>
                <w:szCs w:val="21"/>
                <w:highlight w:val="none"/>
                <w14:textFill>
                  <w14:solidFill>
                    <w14:schemeClr w14:val="tx1"/>
                  </w14:solidFill>
                </w14:textFill>
              </w:rPr>
              <w:t>（</w:t>
            </w:r>
            <w:r>
              <w:rPr>
                <w:rFonts w:hint="eastAsia" w:ascii="Calibri" w:hAnsi="Calibri" w:cs="Calibri"/>
                <w:color w:val="000000" w:themeColor="text1"/>
                <w:szCs w:val="21"/>
                <w:highlight w:val="none"/>
                <w14:textFill>
                  <w14:solidFill>
                    <w14:schemeClr w14:val="tx1"/>
                  </w14:solidFill>
                </w14:textFill>
              </w:rPr>
              <w:t>由招标人根据招</w:t>
            </w:r>
            <w:r>
              <w:rPr>
                <w:rFonts w:hint="eastAsia" w:ascii="Calibri" w:hAnsi="Calibri" w:cs="Calibri"/>
                <w:color w:val="auto"/>
                <w:szCs w:val="21"/>
                <w:highlight w:val="none"/>
              </w:rPr>
              <w:t>标项目的特点和实际需要提出要求，并符合以下规定：</w:t>
            </w:r>
            <w:r>
              <w:rPr>
                <w:rFonts w:hint="eastAsia" w:ascii="宋体" w:hAnsi="宋体" w:cs="宋体"/>
                <w:color w:val="auto"/>
                <w:szCs w:val="21"/>
                <w:highlight w:val="none"/>
              </w:rPr>
              <w:t>①</w:t>
            </w:r>
            <w:r>
              <w:rPr>
                <w:rFonts w:hint="default" w:ascii="Calibri" w:hAnsi="Calibri" w:cs="Calibri"/>
                <w:color w:val="auto"/>
                <w:szCs w:val="21"/>
                <w:highlight w:val="none"/>
              </w:rPr>
              <w:t>投标人资格要求的类似工程业绩原则上不超过招标项目相关指标的50%［四舍五入取整数，下同</w:t>
            </w:r>
            <w:r>
              <w:rPr>
                <w:rFonts w:hint="eastAsia" w:ascii="Calibri" w:hAnsi="Calibri" w:cs="Calibri"/>
                <w:color w:val="auto"/>
                <w:szCs w:val="21"/>
                <w:highlight w:val="none"/>
              </w:rPr>
              <w:t>］</w:t>
            </w:r>
            <w:r>
              <w:rPr>
                <w:rFonts w:hint="eastAsia" w:ascii="宋体" w:hAnsi="宋体" w:cs="宋体"/>
                <w:color w:val="auto"/>
                <w:szCs w:val="21"/>
                <w:highlight w:val="none"/>
              </w:rPr>
              <w:t>②</w:t>
            </w:r>
            <w:r>
              <w:rPr>
                <w:rFonts w:hint="eastAsia" w:ascii="Calibri" w:hAnsi="Calibri" w:cs="Calibri"/>
                <w:color w:val="auto"/>
                <w:szCs w:val="21"/>
                <w:highlight w:val="none"/>
              </w:rPr>
              <w:t>评审加分</w:t>
            </w:r>
            <w:r>
              <w:rPr>
                <w:rFonts w:hint="default" w:ascii="Calibri" w:hAnsi="Calibri" w:cs="Calibri"/>
                <w:color w:val="auto"/>
                <w:szCs w:val="21"/>
                <w:highlight w:val="none"/>
              </w:rPr>
              <w:t>的类似工程业绩，原则上</w:t>
            </w:r>
            <w:r>
              <w:rPr>
                <w:rFonts w:hint="eastAsia" w:ascii="Calibri" w:hAnsi="Calibri" w:cs="Calibri"/>
                <w:color w:val="auto"/>
                <w:szCs w:val="21"/>
                <w:highlight w:val="none"/>
              </w:rPr>
              <w:t>为</w:t>
            </w:r>
            <w:r>
              <w:rPr>
                <w:rFonts w:hint="default" w:ascii="Calibri" w:hAnsi="Calibri" w:cs="Calibri"/>
                <w:color w:val="auto"/>
                <w:szCs w:val="21"/>
                <w:highlight w:val="none"/>
              </w:rPr>
              <w:t>招标项目相关指标的70%。其中：</w:t>
            </w:r>
            <w:r>
              <w:rPr>
                <w:rFonts w:hint="eastAsia" w:ascii="Calibri" w:hAnsi="Calibri" w:cs="Calibri"/>
                <w:color w:val="auto"/>
                <w:szCs w:val="21"/>
                <w:highlight w:val="none"/>
              </w:rPr>
              <w:t>房屋建筑工程，采用</w:t>
            </w:r>
            <w:r>
              <w:rPr>
                <w:rFonts w:hint="eastAsia" w:ascii="Calibri" w:hAnsi="Calibri" w:cs="Calibri"/>
                <w:color w:val="auto"/>
                <w:szCs w:val="32"/>
                <w:highlight w:val="none"/>
              </w:rPr>
              <w:t>建筑类型、</w:t>
            </w:r>
            <w:r>
              <w:rPr>
                <w:rFonts w:hint="default" w:ascii="Calibri" w:hAnsi="Calibri" w:cs="Calibri"/>
                <w:color w:val="auto"/>
                <w:szCs w:val="32"/>
                <w:highlight w:val="none"/>
              </w:rPr>
              <w:t>结构、层数、高度、建筑面积、跨度、单项合同额等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szCs w:val="21"/>
                <w:highlight w:val="none"/>
              </w:rPr>
              <w:t>的 1-2项。市政基础设施工程，采用道路长度或者面积、桥梁长度或者面积或者跨度或者结构、管道直径或者压力、隧道和地下交通工程断面面积、供水能力、供气能力、供热能力、污水处理能力、垃圾处理能力、园林绿化规模以及单项合同额等</w:t>
            </w:r>
            <w:r>
              <w:rPr>
                <w:rFonts w:hint="default" w:ascii="Calibri" w:hAnsi="Calibri" w:cs="Calibri"/>
                <w:color w:val="auto"/>
                <w:highlight w:val="none"/>
              </w:rPr>
              <w:t>指标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特征</w:t>
            </w:r>
            <w:r>
              <w:rPr>
                <w:rFonts w:hint="default" w:ascii="Calibri" w:hAnsi="Calibri" w:cs="Calibri"/>
                <w:color w:val="auto"/>
                <w:highlight w:val="none"/>
              </w:rPr>
              <w:t>中</w:t>
            </w:r>
            <w:r>
              <w:rPr>
                <w:rFonts w:hint="eastAsia" w:ascii="Calibri" w:hAnsi="Calibri" w:cs="Calibri"/>
                <w:color w:val="auto"/>
                <w:szCs w:val="21"/>
                <w:highlight w:val="none"/>
              </w:rPr>
              <w:t>的1-2 项）。</w:t>
            </w:r>
          </w:p>
          <w:p w14:paraId="2756990E">
            <w:pPr>
              <w:keepNext w:val="0"/>
              <w:keepLines w:val="0"/>
              <w:suppressLineNumbers w:val="0"/>
              <w:snapToGrid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szCs w:val="21"/>
                <w:highlight w:val="none"/>
              </w:rPr>
              <w:t>4.类似工程业绩的考核要求：</w:t>
            </w:r>
          </w:p>
          <w:p w14:paraId="3E6E8491">
            <w:pPr>
              <w:keepNext w:val="0"/>
              <w:keepLines w:val="0"/>
              <w:suppressLineNumbers w:val="0"/>
              <w:snapToGrid/>
              <w:spacing w:before="0" w:beforeAutospacing="0" w:after="0" w:afterAutospacing="0" w:line="240" w:lineRule="auto"/>
              <w:ind w:left="0" w:right="0" w:firstLine="0" w:firstLineChars="0"/>
              <w:rPr>
                <w:rFonts w:hint="eastAsia" w:ascii="Times New Roman" w:hAnsi="Times New Roman" w:eastAsia="宋体" w:cs="Times New Roman"/>
                <w:color w:val="auto"/>
                <w:sz w:val="21"/>
                <w:highlight w:val="none"/>
              </w:rPr>
            </w:pPr>
            <w:r>
              <w:rPr>
                <w:rFonts w:hint="eastAsia" w:ascii="Calibri" w:hAnsi="Calibri" w:cs="Calibri"/>
                <w:bCs/>
                <w:color w:val="auto"/>
                <w:highlight w:val="none"/>
              </w:rPr>
              <w:t>（1）考核依</w:t>
            </w:r>
            <w:r>
              <w:rPr>
                <w:rFonts w:hint="eastAsia" w:ascii="Times New Roman" w:hAnsi="Times New Roman" w:eastAsia="宋体" w:cs="Times New Roman"/>
                <w:bCs w:val="0"/>
                <w:color w:val="auto"/>
                <w:highlight w:val="none"/>
              </w:rPr>
              <w:t>据：</w:t>
            </w:r>
            <w:r>
              <w:rPr>
                <w:rFonts w:hint="eastAsia" w:ascii="Times New Roman" w:hAnsi="Times New Roman" w:eastAsia="宋体" w:cs="Times New Roman"/>
                <w:color w:val="auto"/>
                <w:sz w:val="21"/>
                <w:highlight w:val="none"/>
              </w:rPr>
              <w:t>以投标文件中提供的中标通知书（招标工程提交）、 合同和竣工验收资料以及本项目答疑文件明确可以作为考核依据的资料的复印件为准，并提供“湖南省智慧住建云—湖南省建筑市场监管公共服务平台”或者“全国建筑市场监管公共服务平台”上体现其作为</w:t>
            </w:r>
            <w:r>
              <w:rPr>
                <w:rFonts w:hint="eastAsia" w:ascii="Times New Roman" w:hAnsi="Times New Roman" w:eastAsia="宋体" w:cs="Times New Roman"/>
                <w:color w:val="auto"/>
                <w:sz w:val="21"/>
                <w:highlight w:val="none"/>
                <w:lang w:val="en-US" w:eastAsia="zh-CN"/>
              </w:rPr>
              <w:t>相应</w:t>
            </w:r>
            <w:r>
              <w:rPr>
                <w:rFonts w:hint="eastAsia" w:ascii="Times New Roman" w:hAnsi="Times New Roman" w:eastAsia="宋体" w:cs="Times New Roman"/>
                <w:color w:val="auto"/>
                <w:sz w:val="21"/>
                <w:highlight w:val="none"/>
              </w:rPr>
              <w:t>承包人</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项目经理</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rPr>
              <w:t>的项目网页截图。</w:t>
            </w:r>
          </w:p>
          <w:p w14:paraId="080E3382">
            <w:pPr>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rP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r>
              <w:rPr>
                <w:rFonts w:hint="eastAsia" w:cs="Times New Roman"/>
                <w:color w:val="auto"/>
                <w:sz w:val="21"/>
                <w:highlight w:val="none"/>
                <w:lang w:eastAsia="zh-CN"/>
              </w:rPr>
              <w:t>。</w:t>
            </w:r>
          </w:p>
          <w:p w14:paraId="7413CF25">
            <w:pPr>
              <w:keepNext w:val="0"/>
              <w:keepLines w:val="0"/>
              <w:suppressLineNumbers w:val="0"/>
              <w:snapToGrid/>
              <w:spacing w:before="0" w:beforeAutospacing="0" w:after="0" w:afterAutospacing="0" w:line="240" w:lineRule="auto"/>
              <w:ind w:left="0" w:right="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投标人提供的类似工程业绩同时包含</w:t>
            </w:r>
            <w:r>
              <w:rPr>
                <w:rFonts w:hint="eastAsia" w:ascii="Times New Roman" w:hAnsi="Times New Roman" w:eastAsia="宋体" w:cs="Times New Roman"/>
                <w:color w:val="auto"/>
                <w:sz w:val="21"/>
                <w:highlight w:val="none"/>
                <w:lang w:val="en-US" w:eastAsia="zh-CN"/>
              </w:rPr>
              <w:t>多种类型</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专业）</w:t>
            </w:r>
            <w:r>
              <w:rPr>
                <w:rFonts w:hint="eastAsia" w:ascii="Times New Roman" w:hAnsi="Times New Roman" w:eastAsia="宋体" w:cs="Times New Roman"/>
                <w:color w:val="auto"/>
                <w:sz w:val="21"/>
                <w:highlight w:val="none"/>
              </w:rPr>
              <w:t>的，其工程</w:t>
            </w:r>
            <w:r>
              <w:rPr>
                <w:rFonts w:hint="eastAsia" w:ascii="Times New Roman" w:hAnsi="Times New Roman" w:eastAsia="宋体" w:cs="Times New Roman"/>
                <w:color w:val="auto"/>
                <w:sz w:val="21"/>
                <w:highlight w:val="none"/>
                <w:lang w:val="en-US" w:eastAsia="zh-CN"/>
              </w:rPr>
              <w:t>类型（专业）</w:t>
            </w:r>
            <w:r>
              <w:rPr>
                <w:rFonts w:hint="eastAsia" w:ascii="Times New Roman" w:hAnsi="Times New Roman" w:eastAsia="宋体" w:cs="Times New Roman"/>
                <w:color w:val="auto"/>
                <w:sz w:val="21"/>
                <w:highlight w:val="none"/>
              </w:rPr>
              <w:t>所对应的工程量应当根据中标通知书、合同、竣工验收资料</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lang w:val="en-US" w:eastAsia="zh-CN"/>
              </w:rPr>
              <w:t>以及</w:t>
            </w:r>
            <w:r>
              <w:rPr>
                <w:rFonts w:hint="eastAsia" w:ascii="Times New Roman" w:hAnsi="Times New Roman" w:eastAsia="宋体" w:cs="Times New Roman"/>
                <w:color w:val="auto"/>
                <w:sz w:val="21"/>
                <w:highlight w:val="none"/>
              </w:rPr>
              <w:t>本项目答疑文件明确可以作为考核依据的资料进行认定；以上资料均不能明确区分的，由评标委员会进行认定。</w:t>
            </w:r>
          </w:p>
          <w:p w14:paraId="7F45A4A9">
            <w:pPr>
              <w:keepNext w:val="0"/>
              <w:keepLines w:val="0"/>
              <w:suppressLineNumbers w:val="0"/>
              <w:spacing w:before="0" w:beforeAutospacing="0" w:after="0" w:afterAutospacing="0"/>
              <w:ind w:left="0" w:right="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（2）考核期限：</w:t>
            </w:r>
            <w:r>
              <w:rPr>
                <w:rFonts w:hint="eastAsia" w:ascii="Times New Roman" w:hAnsi="Times New Roman" w:eastAsia="宋体" w:cs="Times New Roman"/>
                <w:color w:val="auto"/>
                <w:highlight w:val="none"/>
                <w:lang w:val="en-US" w:eastAsia="zh-CN"/>
              </w:rPr>
              <w:t>投标截止时间之日前</w:t>
            </w:r>
            <w:r>
              <w:rPr>
                <w:rFonts w:hint="eastAsia" w:ascii="Calibri" w:hAnsi="Calibri" w:cs="Calibri"/>
                <w:color w:val="auto"/>
                <w:highlight w:val="none"/>
                <w:lang w:val="en-US" w:eastAsia="zh-CN"/>
              </w:rPr>
              <w:t>3年</w:t>
            </w:r>
            <w:r>
              <w:rPr>
                <w:rFonts w:hint="eastAsia" w:ascii="Calibri" w:hAnsi="Calibri" w:cs="Calibri"/>
                <w:color w:val="auto"/>
                <w:highlight w:val="none"/>
              </w:rPr>
              <w:t>，</w:t>
            </w:r>
            <w:r>
              <w:rPr>
                <w:rFonts w:hint="eastAsia" w:ascii="Times New Roman" w:hAnsi="Times New Roman" w:eastAsia="宋体" w:cs="Times New Roman"/>
                <w:color w:val="auto"/>
                <w:highlight w:val="none"/>
              </w:rPr>
              <w:t>按工程竣工验收文件中建设单位签字之日起计算。类似工程业绩考核依据中竣工验收备案表未体现建设单位签字之日的以竣工验收备案表“竣工验收日期”栏中注明的时间为准。</w:t>
            </w:r>
          </w:p>
          <w:p w14:paraId="6ABB4882">
            <w:pPr>
              <w:keepNext w:val="0"/>
              <w:keepLines w:val="0"/>
              <w:suppressLineNumbers w:val="0"/>
              <w:snapToGrid w:val="0"/>
              <w:spacing w:before="0" w:beforeAutospacing="0" w:after="0" w:afterAutospacing="0"/>
              <w:ind w:left="0" w:right="0"/>
              <w:rPr>
                <w:rFonts w:hint="eastAsia" w:ascii="Calibri" w:hAnsi="Calibri" w:cs="Calibri"/>
                <w:color w:val="auto"/>
                <w:szCs w:val="21"/>
                <w:highlight w:val="none"/>
              </w:rPr>
            </w:pPr>
            <w:r>
              <w:rPr>
                <w:rFonts w:hint="eastAsia" w:ascii="Times New Roman" w:hAnsi="Times New Roman" w:eastAsia="宋体" w:cs="Times New Roman"/>
                <w:color w:val="auto"/>
                <w:highlight w:val="none"/>
              </w:rPr>
              <w:t>投标人提供的类似工程业绩不符合上述规定时，涉及投标人资格条件的，应当认定该投标人资格条件不符合招标文件要求，否决其投标；涉及评审加分的，</w:t>
            </w:r>
            <w:r>
              <w:rPr>
                <w:rFonts w:hint="eastAsia" w:ascii="Times New Roman" w:hAnsi="Times New Roman" w:eastAsia="宋体" w:cs="Times New Roman"/>
                <w:color w:val="auto"/>
                <w:szCs w:val="24"/>
                <w:highlight w:val="none"/>
              </w:rPr>
              <w:t>投标人类似工程业绩不予计分。</w:t>
            </w:r>
          </w:p>
        </w:tc>
      </w:tr>
      <w:tr w14:paraId="5FDD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8" w:hRule="atLeast"/>
        </w:trPr>
        <w:tc>
          <w:tcPr>
            <w:tcW w:w="1065" w:type="dxa"/>
            <w:noWrap w:val="0"/>
            <w:vAlign w:val="center"/>
          </w:tcPr>
          <w:p w14:paraId="7EDF9A30">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w:t>
            </w:r>
            <w:r>
              <w:rPr>
                <w:rFonts w:hint="default" w:ascii="Calibri" w:hAnsi="Calibri" w:cs="Calibri"/>
                <w:color w:val="auto"/>
                <w:szCs w:val="21"/>
                <w:highlight w:val="none"/>
              </w:rPr>
              <w:t>.1.2</w:t>
            </w:r>
          </w:p>
        </w:tc>
        <w:tc>
          <w:tcPr>
            <w:tcW w:w="1770" w:type="dxa"/>
            <w:noWrap w:val="0"/>
            <w:vAlign w:val="center"/>
          </w:tcPr>
          <w:p w14:paraId="5B0781C8">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企业资信及履约能力评审的奖项、标准化工地</w:t>
            </w:r>
          </w:p>
        </w:tc>
        <w:tc>
          <w:tcPr>
            <w:tcW w:w="6435" w:type="dxa"/>
            <w:noWrap w:val="0"/>
            <w:vAlign w:val="center"/>
          </w:tcPr>
          <w:p w14:paraId="45F6BB0C">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w:t>
            </w:r>
            <w:r>
              <w:rPr>
                <w:rFonts w:hint="eastAsia" w:ascii="Calibri" w:hAnsi="Calibri" w:cs="Calibri"/>
                <w:color w:val="auto"/>
                <w:szCs w:val="21"/>
                <w:highlight w:val="none"/>
              </w:rPr>
              <w:t xml:space="preserve">奖项个数： </w:t>
            </w:r>
          </w:p>
          <w:p w14:paraId="797960EE">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宋体" w:hAnsi="宋体" w:cs="宋体"/>
                <w:color w:val="auto"/>
                <w:szCs w:val="21"/>
                <w:highlight w:val="none"/>
              </w:rPr>
              <w:t>①</w:t>
            </w:r>
            <w:r>
              <w:rPr>
                <w:rFonts w:hint="default" w:ascii="Calibri" w:hAnsi="Calibri" w:cs="Calibri"/>
                <w:color w:val="auto"/>
                <w:szCs w:val="21"/>
                <w:highlight w:val="none"/>
              </w:rPr>
              <w:t>国家级</w:t>
            </w:r>
            <w:r>
              <w:rPr>
                <w:rFonts w:hint="eastAsia" w:ascii="Calibri" w:hAnsi="Calibri" w:cs="Calibri"/>
                <w:color w:val="auto"/>
                <w:szCs w:val="21"/>
                <w:highlight w:val="none"/>
              </w:rPr>
              <w:t>（鲁班奖、国家优质工程奖）</w:t>
            </w:r>
            <w:r>
              <w:rPr>
                <w:rFonts w:hint="default" w:ascii="Calibri" w:hAnsi="Calibri" w:cs="Calibri"/>
                <w:color w:val="auto"/>
                <w:szCs w:val="21"/>
                <w:highlight w:val="none"/>
              </w:rPr>
              <w:t>：</w:t>
            </w:r>
          </w:p>
          <w:p w14:paraId="7D15D972">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Calibri" w:hAnsi="Calibri" w:cs="Calibri"/>
                <w:color w:val="auto"/>
                <w:szCs w:val="21"/>
                <w:highlight w:val="none"/>
              </w:rPr>
              <w:t>投标人</w:t>
            </w:r>
            <w:r>
              <w:rPr>
                <w:rFonts w:hint="eastAsia" w:ascii="Calibri" w:hAnsi="Calibri" w:cs="Calibri"/>
                <w:color w:val="auto"/>
                <w:szCs w:val="21"/>
                <w:highlight w:val="none"/>
                <w:lang w:val="en-US" w:eastAsia="zh-CN"/>
              </w:rPr>
              <w:t xml:space="preserve">  ☑0个  □1个  □2个  □3个</w:t>
            </w:r>
          </w:p>
          <w:p w14:paraId="346CEA39">
            <w:pPr>
              <w:keepNext w:val="0"/>
              <w:keepLines w:val="0"/>
              <w:suppressLineNumbers w:val="0"/>
              <w:spacing w:before="0" w:beforeAutospacing="0" w:after="0" w:afterAutospacing="0"/>
              <w:ind w:left="0" w:right="0" w:firstLine="420" w:firstLineChars="200"/>
              <w:rPr>
                <w:rFonts w:hint="default" w:ascii="Calibri" w:hAnsi="Calibri" w:cs="Calibri"/>
                <w:color w:val="auto"/>
                <w:szCs w:val="21"/>
                <w:highlight w:val="none"/>
              </w:rPr>
            </w:pPr>
            <w:r>
              <w:rPr>
                <w:rFonts w:hint="eastAsia" w:ascii="Calibri" w:hAnsi="Calibri" w:cs="Calibri"/>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14:paraId="79A86858">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eastAsia" w:ascii="宋体" w:hAnsi="宋体" w:cs="宋体"/>
                <w:color w:val="auto"/>
                <w:szCs w:val="21"/>
                <w:highlight w:val="none"/>
              </w:rPr>
              <w:t>②</w:t>
            </w:r>
            <w:r>
              <w:rPr>
                <w:rFonts w:hint="default" w:ascii="Calibri" w:hAnsi="Calibri" w:cs="Calibri"/>
                <w:color w:val="auto"/>
                <w:szCs w:val="21"/>
                <w:highlight w:val="none"/>
              </w:rPr>
              <w:t>省级</w:t>
            </w:r>
            <w:r>
              <w:rPr>
                <w:rFonts w:hint="eastAsia" w:ascii="Calibri" w:hAnsi="Calibri" w:cs="Calibri"/>
                <w:color w:val="auto"/>
                <w:szCs w:val="21"/>
                <w:highlight w:val="none"/>
              </w:rPr>
              <w:t>（省级综合工程质量奖、省</w:t>
            </w:r>
            <w:r>
              <w:rPr>
                <w:rFonts w:hint="eastAsia" w:ascii="Calibri" w:hAnsi="Calibri" w:cs="Calibri"/>
                <w:color w:val="auto"/>
                <w:szCs w:val="21"/>
                <w:highlight w:val="none"/>
                <w:lang w:val="en-US" w:eastAsia="zh-CN"/>
              </w:rPr>
              <w:t>级</w:t>
            </w:r>
            <w:r>
              <w:rPr>
                <w:rFonts w:hint="eastAsia" w:ascii="Calibri" w:hAnsi="Calibri" w:cs="Calibri"/>
                <w:color w:val="auto"/>
                <w:szCs w:val="21"/>
                <w:highlight w:val="none"/>
              </w:rPr>
              <w:t>优质工程奖</w:t>
            </w:r>
            <w:r>
              <w:rPr>
                <w:rFonts w:hint="default" w:ascii="Times New Roman" w:hAnsi="Times New Roman" w:eastAsia="宋体" w:cs="Times New Roman"/>
                <w:color w:val="auto"/>
                <w:szCs w:val="21"/>
                <w:highlight w:val="none"/>
              </w:rPr>
              <w:t>）：</w:t>
            </w:r>
          </w:p>
          <w:p w14:paraId="3C379A5A">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14:paraId="228ECF3C">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14:paraId="43F4B76C">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2.标准化工地个数：</w:t>
            </w:r>
          </w:p>
          <w:p w14:paraId="3A8B09F5">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①国家级（</w:t>
            </w:r>
            <w:r>
              <w:rPr>
                <w:rFonts w:hint="default" w:ascii="Times New Roman" w:hAnsi="Times New Roman" w:eastAsia="宋体" w:cs="Times New Roman"/>
                <w:color w:val="auto"/>
                <w:kern w:val="2"/>
                <w:sz w:val="21"/>
                <w:szCs w:val="21"/>
                <w:highlight w:val="none"/>
              </w:rPr>
              <w:t>国家建设工程项目施工工地安全生产标准化学习交流项目</w:t>
            </w:r>
            <w:r>
              <w:rPr>
                <w:rFonts w:hint="default" w:ascii="Times New Roman" w:hAnsi="Times New Roman" w:eastAsia="宋体" w:cs="Times New Roman"/>
                <w:color w:val="auto"/>
                <w:szCs w:val="21"/>
                <w:highlight w:val="none"/>
              </w:rPr>
              <w:t>）：</w:t>
            </w:r>
            <w:r>
              <w:rPr>
                <w:rFonts w:hint="eastAsia" w:ascii="Calibri" w:hAnsi="Calibri" w:cs="Calibri"/>
                <w:color w:val="auto"/>
                <w:szCs w:val="21"/>
                <w:highlight w:val="none"/>
                <w:lang w:val="en-US" w:eastAsia="zh-CN"/>
              </w:rPr>
              <w:t>☑0个  □1个  □2个</w:t>
            </w:r>
            <w:r>
              <w:rPr>
                <w:rFonts w:hint="default" w:ascii="Times New Roman" w:hAnsi="Times New Roman" w:eastAsia="宋体" w:cs="Times New Roman"/>
                <w:color w:val="auto"/>
                <w:szCs w:val="21"/>
                <w:highlight w:val="none"/>
              </w:rPr>
              <w:t xml:space="preserve"> </w:t>
            </w:r>
          </w:p>
          <w:p w14:paraId="449E1DC7">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②</w:t>
            </w:r>
            <w:r>
              <w:rPr>
                <w:rFonts w:hint="default" w:ascii="Times New Roman" w:hAnsi="Times New Roman" w:eastAsia="宋体" w:cs="Times New Roman"/>
                <w:color w:val="auto"/>
                <w:kern w:val="2"/>
                <w:sz w:val="21"/>
                <w:szCs w:val="21"/>
                <w:highlight w:val="none"/>
              </w:rPr>
              <w:t>省级建筑施工安全生产标准化年度项目考评优良工地</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rPr>
              <w:t>个（0-20个）</w:t>
            </w:r>
          </w:p>
          <w:p w14:paraId="3F106830">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 园林绿化工程奖项、标准化工地加分规定</w:t>
            </w:r>
          </w:p>
          <w:p w14:paraId="133B211F">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（1）奖项</w:t>
            </w:r>
          </w:p>
          <w:p w14:paraId="3B034BB7">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①国家级，中国人居环境范例奖（园林绿化获奖项目）：</w:t>
            </w:r>
          </w:p>
          <w:p w14:paraId="2045C0B5">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14:paraId="669FD89B">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14:paraId="469B6D29">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②省级园林绿化优质工程奖：</w:t>
            </w:r>
          </w:p>
          <w:p w14:paraId="385E5F29">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投标人</w:t>
            </w:r>
            <w:r>
              <w:rPr>
                <w:rFonts w:hint="eastAsia" w:ascii="Times New Roman" w:hAnsi="Times New Roman" w:eastAsia="宋体" w:cs="Times New Roman"/>
                <w:color w:val="auto"/>
                <w:szCs w:val="21"/>
                <w:highlight w:val="none"/>
                <w:lang w:val="en-US" w:eastAsia="zh-CN"/>
              </w:rPr>
              <w:t xml:space="preserve"> </w:t>
            </w:r>
            <w:r>
              <w:rPr>
                <w:rFonts w:hint="eastAsia" w:ascii="Calibri" w:hAnsi="Calibri" w:cs="Calibri"/>
                <w:color w:val="auto"/>
                <w:szCs w:val="21"/>
                <w:highlight w:val="none"/>
                <w:lang w:val="en-US" w:eastAsia="zh-CN"/>
              </w:rPr>
              <w:t>☑0个  □1个  □2个  □3个</w:t>
            </w:r>
          </w:p>
          <w:p w14:paraId="61B536D9">
            <w:pPr>
              <w:keepNext w:val="0"/>
              <w:keepLines w:val="0"/>
              <w:suppressLineNumbers w:val="0"/>
              <w:spacing w:before="0" w:beforeAutospacing="0" w:after="0" w:afterAutospacing="0"/>
              <w:ind w:left="0" w:leftChars="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项目经理</w:t>
            </w:r>
            <w:r>
              <w:rPr>
                <w:rFonts w:hint="eastAsia" w:ascii="Calibri" w:hAnsi="Calibri" w:cs="Calibri"/>
                <w:color w:val="auto"/>
                <w:szCs w:val="21"/>
                <w:highlight w:val="none"/>
                <w:lang w:val="en-US" w:eastAsia="zh-CN"/>
              </w:rPr>
              <w:t xml:space="preserve"> </w:t>
            </w:r>
            <w:r>
              <w:rPr>
                <w:rFonts w:hint="default" w:ascii="Calibri" w:hAnsi="Calibri" w:cs="Calibri"/>
                <w:color w:val="auto"/>
                <w:szCs w:val="21"/>
                <w:highlight w:val="none"/>
              </w:rPr>
              <w:sym w:font="Wingdings 2" w:char="0052"/>
            </w:r>
            <w:r>
              <w:rPr>
                <w:rFonts w:hint="default" w:ascii="Calibri" w:hAnsi="Calibri" w:cs="Calibri"/>
                <w:color w:val="auto"/>
                <w:szCs w:val="21"/>
                <w:highlight w:val="none"/>
              </w:rPr>
              <w:t xml:space="preserve"> </w:t>
            </w:r>
            <w:r>
              <w:rPr>
                <w:rFonts w:hint="eastAsia" w:ascii="Calibri" w:hAnsi="Calibri" w:cs="Calibri"/>
                <w:color w:val="auto"/>
                <w:szCs w:val="21"/>
                <w:highlight w:val="none"/>
              </w:rPr>
              <w:t>0</w:t>
            </w:r>
            <w:r>
              <w:rPr>
                <w:rFonts w:hint="default" w:ascii="Calibri" w:hAnsi="Calibri" w:cs="Calibri"/>
                <w:color w:val="auto"/>
                <w:szCs w:val="21"/>
                <w:highlight w:val="none"/>
              </w:rPr>
              <w:t xml:space="preserve"> </w:t>
            </w:r>
            <w:r>
              <w:rPr>
                <w:rFonts w:hint="eastAsia" w:ascii="Calibri" w:hAnsi="Calibri" w:cs="Calibri"/>
                <w:color w:val="auto"/>
                <w:szCs w:val="21"/>
                <w:highlight w:val="none"/>
              </w:rPr>
              <w:t xml:space="preserve">个  </w:t>
            </w:r>
            <w:r>
              <w:rPr>
                <w:rFonts w:hint="eastAsia" w:ascii="Calibri" w:hAnsi="Calibri" w:cs="Calibri"/>
                <w:color w:val="auto"/>
                <w:szCs w:val="21"/>
                <w:highlight w:val="none"/>
                <w:lang w:val="en-US" w:eastAsia="zh-CN"/>
              </w:rPr>
              <w:t>□1个</w:t>
            </w:r>
          </w:p>
          <w:p w14:paraId="6D1F015B">
            <w:pPr>
              <w:keepNext w:val="0"/>
              <w:keepLines w:val="0"/>
              <w:suppressLineNumbers w:val="0"/>
              <w:spacing w:before="0" w:beforeAutospacing="0" w:after="0" w:afterAutospacing="0"/>
              <w:ind w:left="0" w:right="0"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（2）标准化工地均不加分。</w:t>
            </w:r>
          </w:p>
          <w:p w14:paraId="62AE5241">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绿色科技创新</w:t>
            </w:r>
            <w:r>
              <w:rPr>
                <w:rFonts w:hint="eastAsia" w:ascii="Times New Roman" w:hAnsi="Times New Roman" w:eastAsia="宋体" w:cs="Times New Roman"/>
                <w:color w:val="auto"/>
                <w:szCs w:val="21"/>
                <w:highlight w:val="none"/>
                <w:lang w:val="en-US" w:eastAsia="zh-CN"/>
              </w:rPr>
              <w:t>指标</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sym w:font="Wingdings 2" w:char="0052"/>
            </w:r>
            <w:r>
              <w:rPr>
                <w:rFonts w:hint="default" w:ascii="Times New Roman" w:hAnsi="Times New Roman" w:eastAsia="宋体" w:cs="Times New Roman"/>
                <w:color w:val="auto"/>
                <w:szCs w:val="21"/>
                <w:highlight w:val="none"/>
              </w:rPr>
              <w:t>0</w:t>
            </w:r>
            <w:r>
              <w:rPr>
                <w:rFonts w:hint="eastAsia" w:cs="Times New Roman"/>
                <w:color w:val="auto"/>
                <w:szCs w:val="21"/>
                <w:highlight w:val="none"/>
                <w:lang w:eastAsia="zh-CN"/>
              </w:rPr>
              <w:t>分</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rPr>
              <w:sym w:font="Wingdings 2" w:char="00A3"/>
            </w:r>
            <w:r>
              <w:rPr>
                <w:rFonts w:hint="default" w:ascii="Times New Roman" w:hAnsi="Times New Roman" w:eastAsia="宋体" w:cs="Times New Roman"/>
                <w:color w:val="auto"/>
                <w:szCs w:val="21"/>
                <w:highlight w:val="none"/>
              </w:rPr>
              <w:t>1</w:t>
            </w:r>
            <w:r>
              <w:rPr>
                <w:rFonts w:hint="eastAsia" w:cs="Times New Roman"/>
                <w:color w:val="auto"/>
                <w:szCs w:val="21"/>
                <w:highlight w:val="none"/>
                <w:lang w:eastAsia="zh-CN"/>
              </w:rPr>
              <w:t>分</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rPr>
              <w:sym w:font="Wingdings 2" w:char="00A3"/>
            </w:r>
            <w:r>
              <w:rPr>
                <w:rFonts w:hint="default" w:ascii="Times New Roman" w:hAnsi="Times New Roman" w:eastAsia="宋体" w:cs="Times New Roman"/>
                <w:color w:val="auto"/>
                <w:szCs w:val="21"/>
                <w:highlight w:val="none"/>
              </w:rPr>
              <w:t>2</w:t>
            </w:r>
            <w:r>
              <w:rPr>
                <w:rFonts w:hint="eastAsia" w:cs="Times New Roman"/>
                <w:color w:val="auto"/>
                <w:szCs w:val="21"/>
                <w:highlight w:val="none"/>
                <w:lang w:eastAsia="zh-CN"/>
              </w:rPr>
              <w:t>分</w:t>
            </w:r>
            <w:r>
              <w:rPr>
                <w:rFonts w:hint="eastAsia" w:ascii="Calibri" w:hAnsi="Calibri" w:cs="Calibri"/>
                <w:color w:val="auto"/>
                <w:szCs w:val="21"/>
                <w:highlight w:val="none"/>
                <w:lang w:val="en-US" w:eastAsia="zh-CN"/>
              </w:rPr>
              <w:t xml:space="preserve">  □3分</w:t>
            </w:r>
            <w:r>
              <w:rPr>
                <w:rFonts w:hint="default" w:ascii="Times New Roman" w:hAnsi="Times New Roman" w:eastAsia="宋体" w:cs="Times New Roman"/>
                <w:color w:val="auto"/>
                <w:szCs w:val="21"/>
                <w:highlight w:val="none"/>
              </w:rPr>
              <w:t xml:space="preserve">  </w:t>
            </w:r>
          </w:p>
          <w:p w14:paraId="43F0D118">
            <w:pPr>
              <w:keepNext w:val="0"/>
              <w:keepLines w:val="0"/>
              <w:suppressLineNumbers w:val="0"/>
              <w:spacing w:before="0" w:beforeAutospacing="0" w:after="0" w:afterAutospacing="0" w:line="240" w:lineRule="auto"/>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三星绿色建筑</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sz w:val="21"/>
                <w:szCs w:val="24"/>
                <w:highlight w:val="none"/>
              </w:rPr>
              <w:t>二星绿色建筑</w:t>
            </w:r>
          </w:p>
          <w:p w14:paraId="2BE8B5D5">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sz w:val="21"/>
                <w:szCs w:val="24"/>
                <w:highlight w:val="none"/>
                <w:lang w:eastAsia="zh-CN"/>
              </w:rPr>
              <w:t>□</w:t>
            </w:r>
            <w:r>
              <w:rPr>
                <w:rFonts w:hint="eastAsia" w:ascii="Calibri" w:hAnsi="Calibri" w:cs="Calibri"/>
                <w:color w:val="auto"/>
                <w:szCs w:val="21"/>
                <w:highlight w:val="none"/>
              </w:rPr>
              <w:t>AA</w:t>
            </w:r>
            <w:r>
              <w:rPr>
                <w:rFonts w:hint="eastAsia" w:ascii="Calibri" w:hAnsi="Calibri" w:cs="Calibri"/>
                <w:color w:val="auto"/>
                <w:szCs w:val="21"/>
                <w:highlight w:val="none"/>
                <w:lang w:val="en-US" w:eastAsia="zh-CN"/>
              </w:rPr>
              <w:t>A</w:t>
            </w:r>
            <w:r>
              <w:rPr>
                <w:rFonts w:hint="eastAsia" w:ascii="Calibri" w:hAnsi="Calibri" w:cs="Calibri"/>
                <w:color w:val="auto"/>
                <w:szCs w:val="21"/>
                <w:highlight w:val="none"/>
              </w:rPr>
              <w:t>级装配式建筑</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A</w:t>
            </w:r>
            <w:r>
              <w:rPr>
                <w:rFonts w:hint="eastAsia" w:ascii="Calibri" w:hAnsi="Calibri" w:cs="Calibri"/>
                <w:color w:val="auto"/>
                <w:szCs w:val="21"/>
                <w:highlight w:val="none"/>
                <w:lang w:val="en-US" w:eastAsia="zh-CN"/>
              </w:rPr>
              <w:t>A</w:t>
            </w:r>
            <w:r>
              <w:rPr>
                <w:rFonts w:hint="eastAsia" w:ascii="Calibri" w:hAnsi="Calibri" w:cs="Calibri"/>
                <w:color w:val="auto"/>
                <w:szCs w:val="21"/>
                <w:highlight w:val="none"/>
              </w:rPr>
              <w:t>级装配式建筑</w:t>
            </w:r>
          </w:p>
          <w:p w14:paraId="42A600BF">
            <w:pPr>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省</w:t>
            </w:r>
            <w:r>
              <w:rPr>
                <w:rFonts w:hint="eastAsia" w:ascii="Times New Roman" w:hAnsi="Times New Roman" w:eastAsia="宋体" w:cs="Times New Roman"/>
                <w:color w:val="auto"/>
                <w:highlight w:val="none"/>
                <w:lang w:val="en-US" w:eastAsia="zh-CN"/>
              </w:rPr>
              <w:t>级</w:t>
            </w:r>
            <w:r>
              <w:rPr>
                <w:rFonts w:hint="eastAsia" w:ascii="Times New Roman" w:hAnsi="Times New Roman" w:eastAsia="宋体" w:cs="Times New Roman"/>
                <w:color w:val="auto"/>
                <w:highlight w:val="none"/>
              </w:rPr>
              <w:t>绿色施工工程</w:t>
            </w:r>
          </w:p>
          <w:p w14:paraId="16403FCB">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 其他</w:t>
            </w:r>
          </w:p>
          <w:p w14:paraId="601E87CB">
            <w:pPr>
              <w:keepNext w:val="0"/>
              <w:keepLines w:val="0"/>
              <w:suppressLineNumbers w:val="0"/>
              <w:spacing w:before="0" w:beforeAutospacing="0" w:after="0" w:afterAutospacing="0"/>
              <w:ind w:left="0" w:right="0"/>
              <w:rPr>
                <w:rFonts w:hint="default" w:ascii="宋体" w:hAnsi="宋体" w:cs="Calibri"/>
                <w:strike/>
                <w:color w:val="auto"/>
                <w:szCs w:val="21"/>
                <w:highlight w:val="none"/>
              </w:rPr>
            </w:pPr>
            <w:r>
              <w:rPr>
                <w:rFonts w:hint="eastAsia" w:cs="Times New Roman"/>
                <w:color w:val="auto"/>
                <w:szCs w:val="21"/>
                <w:highlight w:val="none"/>
                <w:u w:val="none"/>
                <w:lang w:val="en-US" w:eastAsia="zh-CN"/>
              </w:rPr>
              <w:t xml:space="preserve">    </w:t>
            </w:r>
            <w:r>
              <w:rPr>
                <w:rFonts w:hint="eastAsia" w:cs="Times New Roman"/>
                <w:color w:val="auto"/>
                <w:szCs w:val="21"/>
                <w:highlight w:val="none"/>
                <w:u w:val="single"/>
                <w:lang w:val="en-US" w:eastAsia="zh-CN"/>
              </w:rPr>
              <w:t xml:space="preserve">     /       </w:t>
            </w:r>
            <w:r>
              <w:rPr>
                <w:rFonts w:hint="default" w:ascii="Times New Roman" w:hAnsi="Times New Roman" w:eastAsia="宋体" w:cs="Times New Roman"/>
                <w:color w:val="auto"/>
                <w:szCs w:val="21"/>
                <w:highlight w:val="none"/>
                <w:u w:val="none"/>
              </w:rPr>
              <w:t xml:space="preserve">                    </w:t>
            </w:r>
          </w:p>
        </w:tc>
      </w:tr>
      <w:tr w14:paraId="5B11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65" w:type="dxa"/>
            <w:noWrap w:val="0"/>
            <w:vAlign w:val="center"/>
          </w:tcPr>
          <w:p w14:paraId="58828EEF">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10.2.1</w:t>
            </w:r>
          </w:p>
        </w:tc>
        <w:tc>
          <w:tcPr>
            <w:tcW w:w="1770" w:type="dxa"/>
            <w:noWrap w:val="0"/>
            <w:vAlign w:val="center"/>
          </w:tcPr>
          <w:p w14:paraId="28B3E13F">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最高投标限价</w:t>
            </w:r>
          </w:p>
        </w:tc>
        <w:tc>
          <w:tcPr>
            <w:tcW w:w="6435" w:type="dxa"/>
            <w:noWrap w:val="0"/>
            <w:vAlign w:val="center"/>
          </w:tcPr>
          <w:p w14:paraId="5C0C3598">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u w:val="single"/>
                <w:lang w:eastAsia="zh-CN"/>
              </w:rPr>
            </w:pPr>
            <w:r>
              <w:rPr>
                <w:rFonts w:hint="default" w:ascii="Calibri" w:hAnsi="Calibri" w:cs="Calibri"/>
                <w:color w:val="auto"/>
                <w:szCs w:val="21"/>
                <w:highlight w:val="none"/>
              </w:rPr>
              <w:t>最高投标限价总价：</w:t>
            </w:r>
            <w:r>
              <w:rPr>
                <w:rFonts w:hint="default" w:ascii="Calibri" w:hAnsi="Calibri" w:cs="Calibri"/>
                <w:color w:val="auto"/>
                <w:szCs w:val="21"/>
                <w:highlight w:val="none"/>
                <w:u w:val="single"/>
              </w:rPr>
              <w:t xml:space="preserve"> </w:t>
            </w:r>
            <w:r>
              <w:rPr>
                <w:rFonts w:hint="eastAsia" w:ascii="Calibri" w:hAnsi="Calibri" w:cs="Calibri"/>
                <w:color w:val="auto"/>
                <w:szCs w:val="21"/>
                <w:highlight w:val="none"/>
                <w:u w:val="single"/>
                <w:lang w:val="en-US" w:eastAsia="zh-CN"/>
              </w:rPr>
              <w:t>4902518.85元</w:t>
            </w:r>
            <w:r>
              <w:rPr>
                <w:rFonts w:hint="default" w:ascii="Calibri" w:hAnsi="Calibri" w:cs="Calibri"/>
                <w:color w:val="auto"/>
                <w:szCs w:val="21"/>
                <w:highlight w:val="none"/>
                <w:u w:val="single"/>
              </w:rPr>
              <w:t xml:space="preserve"> </w:t>
            </w:r>
          </w:p>
          <w:p w14:paraId="6C8CEEED">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u w:val="single"/>
                <w:lang w:val="en-US" w:eastAsia="zh-CN"/>
              </w:rPr>
            </w:pPr>
            <w:r>
              <w:rPr>
                <w:rFonts w:hint="eastAsia" w:ascii="Calibri" w:hAnsi="Calibri" w:cs="Calibri"/>
                <w:color w:val="auto"/>
                <w:szCs w:val="21"/>
                <w:highlight w:val="none"/>
                <w:u w:val="none"/>
                <w:lang w:val="en-US" w:eastAsia="zh-CN"/>
              </w:rPr>
              <w:t>最高投标限价应公布的内容详见“第五章 工程量清单”第2.3.3款</w:t>
            </w:r>
          </w:p>
        </w:tc>
      </w:tr>
      <w:tr w14:paraId="728D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65" w:type="dxa"/>
            <w:noWrap w:val="0"/>
            <w:vAlign w:val="center"/>
          </w:tcPr>
          <w:p w14:paraId="0D9A50D1">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10.2.2</w:t>
            </w:r>
          </w:p>
        </w:tc>
        <w:tc>
          <w:tcPr>
            <w:tcW w:w="1770" w:type="dxa"/>
            <w:noWrap w:val="0"/>
            <w:vAlign w:val="center"/>
          </w:tcPr>
          <w:p w14:paraId="61AC00C2">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投标报价计税</w:t>
            </w:r>
          </w:p>
          <w:p w14:paraId="1D8AF8D1">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方式</w:t>
            </w:r>
          </w:p>
        </w:tc>
        <w:tc>
          <w:tcPr>
            <w:tcW w:w="6435" w:type="dxa"/>
            <w:noWrap w:val="0"/>
            <w:vAlign w:val="center"/>
          </w:tcPr>
          <w:p w14:paraId="6C0CDA34">
            <w:pPr>
              <w:keepNext w:val="0"/>
              <w:keepLines w:val="0"/>
              <w:suppressLineNumbers w:val="0"/>
              <w:spacing w:before="0" w:beforeAutospacing="0" w:after="0" w:afterAutospacing="0"/>
              <w:ind w:left="-103" w:leftChars="-49" w:right="0" w:firstLine="422" w:firstLineChars="201"/>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一般计税法</w:t>
            </w:r>
          </w:p>
          <w:p w14:paraId="44D220E0">
            <w:pPr>
              <w:keepNext w:val="0"/>
              <w:keepLines w:val="0"/>
              <w:suppressLineNumbers w:val="0"/>
              <w:spacing w:before="0" w:beforeAutospacing="0" w:after="0" w:afterAutospacing="0"/>
              <w:ind w:left="-103" w:leftChars="-49" w:right="0" w:firstLine="422" w:firstLineChars="201"/>
              <w:rPr>
                <w:rFonts w:hint="default" w:ascii="Calibri" w:hAnsi="Calibri" w:cs="Calibri"/>
                <w:strike/>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简易计税法</w:t>
            </w:r>
          </w:p>
        </w:tc>
      </w:tr>
      <w:tr w14:paraId="3757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noWrap w:val="0"/>
            <w:vAlign w:val="center"/>
          </w:tcPr>
          <w:p w14:paraId="311FDF55">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shd w:val="pct10" w:color="auto" w:fill="FFFFFF"/>
              </w:rPr>
            </w:pPr>
            <w:r>
              <w:rPr>
                <w:rFonts w:hint="eastAsia" w:ascii="Calibri" w:hAnsi="Calibri" w:cs="Calibri"/>
                <w:color w:val="auto"/>
                <w:szCs w:val="21"/>
                <w:highlight w:val="none"/>
              </w:rPr>
              <w:t>10.2.3</w:t>
            </w:r>
          </w:p>
        </w:tc>
        <w:tc>
          <w:tcPr>
            <w:tcW w:w="1770" w:type="dxa"/>
            <w:noWrap w:val="0"/>
            <w:vAlign w:val="center"/>
          </w:tcPr>
          <w:p w14:paraId="4557B115">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联合体</w:t>
            </w:r>
            <w:r>
              <w:rPr>
                <w:rFonts w:hint="eastAsia" w:ascii="Calibri" w:hAnsi="Calibri" w:cs="Calibri"/>
                <w:color w:val="auto"/>
                <w:highlight w:val="none"/>
              </w:rPr>
              <w:t>奖项、标准化工地、加分业绩、信用评价、</w:t>
            </w:r>
            <w:r>
              <w:rPr>
                <w:rFonts w:hint="eastAsia" w:ascii="仿宋_GB2312" w:hAnsi="仿宋_GB2312" w:cs="仿宋_GB2312"/>
                <w:color w:val="auto"/>
                <w:sz w:val="21"/>
                <w:highlight w:val="none"/>
                <w:lang w:val="en-US" w:eastAsia="zh-CN"/>
              </w:rPr>
              <w:t>综合</w:t>
            </w:r>
            <w:r>
              <w:rPr>
                <w:rFonts w:hint="eastAsia" w:ascii="Calibri" w:hAnsi="Calibri" w:cs="Calibri"/>
                <w:color w:val="auto"/>
                <w:highlight w:val="none"/>
              </w:rPr>
              <w:t>优良率</w:t>
            </w:r>
            <w:r>
              <w:rPr>
                <w:rFonts w:hint="eastAsia" w:ascii="Calibri" w:hAnsi="Calibri" w:cs="Calibri"/>
                <w:color w:val="auto"/>
                <w:highlight w:val="none"/>
                <w:lang w:eastAsia="zh-CN"/>
              </w:rPr>
              <w:t>、</w:t>
            </w:r>
            <w:r>
              <w:rPr>
                <w:rFonts w:hint="eastAsia" w:ascii="Calibri" w:hAnsi="Calibri" w:cs="Calibri"/>
                <w:color w:val="auto"/>
                <w:highlight w:val="none"/>
                <w:lang w:val="en-US" w:eastAsia="zh-CN"/>
              </w:rPr>
              <w:t>绿色科技创新</w:t>
            </w:r>
            <w:r>
              <w:rPr>
                <w:rFonts w:hint="eastAsia" w:ascii="Calibri" w:hAnsi="Calibri" w:cs="Calibri"/>
                <w:color w:val="auto"/>
                <w:highlight w:val="none"/>
              </w:rPr>
              <w:t>得分</w:t>
            </w:r>
            <w:r>
              <w:rPr>
                <w:rFonts w:hint="eastAsia" w:ascii="Calibri" w:hAnsi="Calibri" w:cs="Calibri"/>
                <w:color w:val="auto"/>
                <w:szCs w:val="21"/>
                <w:highlight w:val="none"/>
              </w:rPr>
              <w:t>的计分方式</w:t>
            </w:r>
          </w:p>
        </w:tc>
        <w:tc>
          <w:tcPr>
            <w:tcW w:w="6435" w:type="dxa"/>
            <w:noWrap w:val="0"/>
            <w:vAlign w:val="center"/>
          </w:tcPr>
          <w:p w14:paraId="24280641">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招标项目存在不同类型工程内容的,招标人应根据项目实际情况在招标文件中明确主要类型（专业）,奖项、标准化工地、加分业绩、信用评价、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得分为联合体主要类型(专业)单位的得分。</w:t>
            </w:r>
            <w:r>
              <w:rPr>
                <w:rFonts w:hint="eastAsia" w:ascii="仿宋_GB2312" w:hAnsi="仿宋_GB2312" w:cs="仿宋_GB2312"/>
                <w:color w:val="auto"/>
                <w:sz w:val="21"/>
                <w:highlight w:val="none"/>
                <w:lang w:val="en-US" w:eastAsia="zh-CN"/>
              </w:rPr>
              <w:t>本项目</w:t>
            </w:r>
            <w:r>
              <w:rPr>
                <w:rFonts w:hint="eastAsia" w:ascii="Times New Roman" w:hAnsi="Times New Roman" w:eastAsia="宋体" w:cs="Times New Roman"/>
                <w:color w:val="auto"/>
                <w:sz w:val="21"/>
                <w:szCs w:val="21"/>
                <w:highlight w:val="none"/>
              </w:rPr>
              <w:t>主要类型（专业）</w:t>
            </w:r>
            <w:r>
              <w:rPr>
                <w:rFonts w:hint="eastAsia" w:ascii="Times New Roman" w:hAnsi="Times New Roman" w:eastAsia="宋体" w:cs="Times New Roman"/>
                <w:color w:val="auto"/>
                <w:sz w:val="21"/>
                <w:szCs w:val="21"/>
                <w:highlight w:val="none"/>
                <w:lang w:eastAsia="zh-CN"/>
              </w:rPr>
              <w:t>：</w:t>
            </w:r>
            <w:r>
              <w:rPr>
                <w:rFonts w:hint="eastAsia" w:cs="Times New Roman"/>
                <w:color w:val="auto"/>
                <w:szCs w:val="21"/>
                <w:highlight w:val="none"/>
                <w:u w:val="single"/>
                <w:lang w:val="en-US" w:eastAsia="zh-CN"/>
              </w:rPr>
              <w:t xml:space="preserve"> 房屋建筑 </w:t>
            </w:r>
            <w:r>
              <w:rPr>
                <w:rFonts w:hint="eastAsia" w:ascii="Times New Roman" w:hAnsi="Times New Roman" w:eastAsia="宋体" w:cs="Times New Roman"/>
                <w:color w:val="auto"/>
                <w:sz w:val="21"/>
                <w:highlight w:val="none"/>
                <w:lang w:val="en-US" w:eastAsia="zh-CN"/>
              </w:rPr>
              <w:t xml:space="preserve">    </w:t>
            </w:r>
          </w:p>
          <w:p w14:paraId="0E531B3A">
            <w:pPr>
              <w:keepNext w:val="0"/>
              <w:keepLines w:val="0"/>
              <w:suppressLineNumbers w:val="0"/>
              <w:spacing w:before="0" w:beforeAutospacing="0" w:after="0" w:afterAutospacing="0"/>
              <w:ind w:left="-103" w:leftChars="-49" w:right="0" w:firstLine="422" w:firstLineChars="201"/>
              <w:jc w:val="left"/>
              <w:rPr>
                <w:rFonts w:hint="eastAsia" w:ascii="仿宋_GB2312" w:hAnsi="仿宋_GB2312" w:cs="仿宋_GB2312"/>
                <w:color w:val="auto"/>
                <w:sz w:val="21"/>
                <w:highlight w:val="none"/>
              </w:rPr>
            </w:pPr>
            <w:r>
              <w:rPr>
                <w:rFonts w:hint="eastAsia" w:ascii="仿宋_GB2312" w:hAnsi="仿宋_GB2312" w:cs="仿宋_GB2312"/>
                <w:color w:val="auto"/>
                <w:sz w:val="21"/>
                <w:highlight w:val="none"/>
              </w:rPr>
              <w:t>联合体中同一类型(专业)</w:t>
            </w:r>
            <w:r>
              <w:rPr>
                <w:rFonts w:hint="eastAsia" w:ascii="仿宋_GB2312" w:hAnsi="仿宋_GB2312" w:cs="仿宋_GB2312"/>
                <w:color w:val="auto"/>
                <w:sz w:val="21"/>
                <w:highlight w:val="none"/>
                <w:lang w:val="en-US" w:eastAsia="zh-CN"/>
              </w:rPr>
              <w:t>或者主要类型（专业）</w:t>
            </w:r>
            <w:r>
              <w:rPr>
                <w:rFonts w:hint="eastAsia" w:ascii="仿宋_GB2312" w:hAnsi="仿宋_GB2312" w:cs="仿宋_GB2312"/>
                <w:color w:val="auto"/>
                <w:sz w:val="21"/>
                <w:highlight w:val="none"/>
              </w:rPr>
              <w:t>的</w:t>
            </w:r>
            <w:r>
              <w:rPr>
                <w:rFonts w:hint="eastAsia" w:ascii="仿宋_GB2312" w:hAnsi="仿宋_GB2312" w:cs="仿宋_GB2312"/>
                <w:color w:val="auto"/>
                <w:sz w:val="21"/>
                <w:highlight w:val="none"/>
                <w:lang w:val="en-US" w:eastAsia="zh-CN"/>
              </w:rPr>
              <w:t>施工</w:t>
            </w:r>
            <w:r>
              <w:rPr>
                <w:rFonts w:hint="eastAsia" w:ascii="仿宋_GB2312" w:hAnsi="仿宋_GB2312" w:cs="仿宋_GB2312"/>
                <w:color w:val="auto"/>
                <w:sz w:val="21"/>
                <w:highlight w:val="none"/>
              </w:rPr>
              <w:t>企业有两家以上的,奖项、标准化工地、加分业绩、信用评价、</w:t>
            </w:r>
            <w:r>
              <w:rPr>
                <w:rFonts w:hint="eastAsia" w:ascii="仿宋_GB2312" w:hAnsi="仿宋_GB2312" w:cs="仿宋_GB2312"/>
                <w:color w:val="auto"/>
                <w:sz w:val="21"/>
                <w:highlight w:val="none"/>
                <w:lang w:val="en-US" w:eastAsia="zh-CN"/>
              </w:rPr>
              <w:t>综合</w:t>
            </w:r>
            <w:r>
              <w:rPr>
                <w:rFonts w:hint="eastAsia" w:ascii="仿宋_GB2312" w:hAnsi="仿宋_GB2312" w:cs="仿宋_GB2312"/>
                <w:color w:val="auto"/>
                <w:sz w:val="21"/>
                <w:highlight w:val="none"/>
              </w:rPr>
              <w:t>优良率</w:t>
            </w:r>
            <w:r>
              <w:rPr>
                <w:rFonts w:hint="eastAsia" w:ascii="仿宋_GB2312" w:hAnsi="仿宋_GB2312" w:cs="仿宋_GB2312"/>
                <w:color w:val="auto"/>
                <w:sz w:val="21"/>
                <w:highlight w:val="none"/>
                <w:lang w:eastAsia="zh-CN"/>
              </w:rPr>
              <w:t>、</w:t>
            </w:r>
            <w:r>
              <w:rPr>
                <w:rFonts w:hint="eastAsia" w:ascii="Calibri" w:hAnsi="Calibri" w:cs="Calibri"/>
                <w:color w:val="auto"/>
                <w:highlight w:val="none"/>
                <w:lang w:val="en-US" w:eastAsia="zh-CN"/>
              </w:rPr>
              <w:t>绿色科技创新</w:t>
            </w:r>
            <w:r>
              <w:rPr>
                <w:rFonts w:hint="eastAsia" w:ascii="仿宋_GB2312" w:hAnsi="仿宋_GB2312" w:cs="仿宋_GB2312"/>
                <w:color w:val="auto"/>
                <w:sz w:val="21"/>
                <w:highlight w:val="none"/>
              </w:rPr>
              <w:t>得分分别为该类型(专业)</w:t>
            </w:r>
            <w:r>
              <w:rPr>
                <w:rFonts w:hint="eastAsia" w:ascii="仿宋_GB2312" w:hAnsi="仿宋_GB2312" w:cs="仿宋_GB2312"/>
                <w:color w:val="auto"/>
                <w:sz w:val="21"/>
                <w:highlight w:val="none"/>
                <w:lang w:eastAsia="zh-CN"/>
              </w:rPr>
              <w:t>联合体各方</w:t>
            </w:r>
            <w:r>
              <w:rPr>
                <w:rFonts w:hint="eastAsia" w:ascii="仿宋_GB2312" w:hAnsi="仿宋_GB2312" w:cs="仿宋_GB2312"/>
                <w:color w:val="auto"/>
                <w:sz w:val="21"/>
                <w:highlight w:val="none"/>
              </w:rPr>
              <w:t>得分的平均值。</w:t>
            </w:r>
          </w:p>
          <w:p w14:paraId="04694E9C">
            <w:pPr>
              <w:keepNext w:val="0"/>
              <w:keepLines w:val="0"/>
              <w:suppressLineNumbers w:val="0"/>
              <w:spacing w:before="0" w:beforeAutospacing="0" w:after="0" w:afterAutospacing="0"/>
              <w:ind w:left="218" w:leftChars="104" w:right="0" w:firstLine="0" w:firstLineChars="0"/>
              <w:jc w:val="left"/>
              <w:rPr>
                <w:rFonts w:hint="default" w:ascii="Calibri" w:hAnsi="Calibri" w:cs="Calibri"/>
                <w:color w:val="auto"/>
                <w:kern w:val="0"/>
                <w:sz w:val="18"/>
                <w:highlight w:val="none"/>
                <w:u w:val="single"/>
              </w:rPr>
            </w:pPr>
          </w:p>
        </w:tc>
      </w:tr>
      <w:tr w14:paraId="7C1D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65" w:type="dxa"/>
            <w:noWrap w:val="0"/>
            <w:vAlign w:val="center"/>
          </w:tcPr>
          <w:p w14:paraId="4753A2D9">
            <w:pPr>
              <w:keepNext w:val="0"/>
              <w:keepLines w:val="0"/>
              <w:suppressLineNumbers w:val="0"/>
              <w:spacing w:before="0" w:beforeAutospacing="0" w:after="0" w:afterAutospacing="0"/>
              <w:ind w:left="0" w:right="0"/>
              <w:jc w:val="center"/>
              <w:rPr>
                <w:rFonts w:hint="default" w:ascii="Calibri" w:hAnsi="Calibri" w:cs="Calibri"/>
                <w:strike/>
                <w:color w:val="auto"/>
                <w:szCs w:val="21"/>
                <w:highlight w:val="none"/>
              </w:rPr>
            </w:pPr>
            <w:r>
              <w:rPr>
                <w:rFonts w:hint="eastAsia" w:ascii="Calibri" w:hAnsi="Calibri" w:cs="Calibri"/>
                <w:color w:val="auto"/>
                <w:szCs w:val="21"/>
                <w:highlight w:val="none"/>
              </w:rPr>
              <w:t>10.2.4</w:t>
            </w:r>
          </w:p>
        </w:tc>
        <w:tc>
          <w:tcPr>
            <w:tcW w:w="1770" w:type="dxa"/>
            <w:noWrap w:val="0"/>
            <w:vAlign w:val="center"/>
          </w:tcPr>
          <w:p w14:paraId="11C7A6A6">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进入</w:t>
            </w:r>
            <w:r>
              <w:rPr>
                <w:rFonts w:hint="eastAsia" w:ascii="Calibri" w:hAnsi="Calibri" w:cs="Calibri"/>
                <w:color w:val="auto"/>
                <w:szCs w:val="21"/>
                <w:highlight w:val="none"/>
                <w:lang w:val="en-US" w:eastAsia="zh-CN"/>
              </w:rPr>
              <w:t>投标报价</w:t>
            </w:r>
            <w:r>
              <w:rPr>
                <w:rFonts w:hint="eastAsia" w:ascii="Calibri" w:hAnsi="Calibri" w:cs="Calibri"/>
                <w:color w:val="auto"/>
                <w:szCs w:val="21"/>
                <w:highlight w:val="none"/>
              </w:rPr>
              <w:t>评审阶段投标人数量的确定方式</w:t>
            </w:r>
          </w:p>
        </w:tc>
        <w:tc>
          <w:tcPr>
            <w:tcW w:w="6435" w:type="dxa"/>
            <w:noWrap w:val="0"/>
            <w:vAlign w:val="center"/>
          </w:tcPr>
          <w:p w14:paraId="0C187E2E">
            <w:pPr>
              <w:keepNext w:val="0"/>
              <w:keepLines w:val="0"/>
              <w:suppressLineNumbers w:val="0"/>
              <w:spacing w:before="0" w:beforeAutospacing="0" w:after="0" w:afterAutospacing="0"/>
              <w:ind w:left="-103" w:leftChars="-49" w:right="0" w:firstLine="422" w:firstLineChars="201"/>
              <w:rPr>
                <w:rFonts w:hint="default" w:ascii="宋体" w:hAnsi="宋体" w:cs="宋体"/>
                <w:bCs/>
                <w:color w:val="auto"/>
                <w:szCs w:val="21"/>
                <w:highlight w:val="none"/>
              </w:rPr>
            </w:pPr>
            <w:r>
              <w:rPr>
                <w:rFonts w:hint="eastAsia" w:ascii="Calibri" w:hAnsi="Calibri" w:cs="Calibri"/>
                <w:color w:val="auto"/>
                <w:szCs w:val="21"/>
                <w:highlight w:val="none"/>
              </w:rPr>
              <w:t>1.采</w:t>
            </w:r>
            <w:r>
              <w:rPr>
                <w:rFonts w:hint="eastAsia" w:ascii="宋体" w:hAnsi="宋体" w:cs="宋体"/>
                <w:bCs/>
                <w:color w:val="auto"/>
                <w:szCs w:val="21"/>
                <w:highlight w:val="none"/>
              </w:rPr>
              <w:t>用经评审的最低投标价法评标的：</w:t>
            </w:r>
          </w:p>
          <w:p w14:paraId="22269DE6">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Pr>
              <w:t>对所有</w:t>
            </w:r>
            <w:r>
              <w:rPr>
                <w:rFonts w:hint="eastAsia" w:ascii="宋体" w:hAnsi="宋体" w:eastAsia="宋体" w:cs="宋体"/>
                <w:bCs/>
                <w:color w:val="auto"/>
                <w:kern w:val="2"/>
                <w:sz w:val="21"/>
                <w:szCs w:val="21"/>
                <w:highlight w:val="none"/>
                <w:lang w:val="en-US" w:eastAsia="zh-CN"/>
              </w:rPr>
              <w:t>合格</w:t>
            </w:r>
            <w:r>
              <w:rPr>
                <w:rFonts w:hint="eastAsia" w:ascii="宋体" w:hAnsi="宋体" w:eastAsia="宋体" w:cs="宋体"/>
                <w:bCs/>
                <w:color w:val="auto"/>
                <w:kern w:val="2"/>
                <w:sz w:val="21"/>
                <w:szCs w:val="21"/>
                <w:highlight w:val="none"/>
              </w:rPr>
              <w:t>投标人</w:t>
            </w:r>
            <w:r>
              <w:rPr>
                <w:rFonts w:hint="eastAsia" w:ascii="宋体" w:hAnsi="宋体" w:eastAsia="宋体" w:cs="宋体"/>
                <w:bCs/>
                <w:color w:val="auto"/>
                <w:sz w:val="21"/>
                <w:szCs w:val="21"/>
                <w:highlight w:val="none"/>
              </w:rPr>
              <w:t>进入</w:t>
            </w:r>
            <w:r>
              <w:rPr>
                <w:rFonts w:hint="eastAsia" w:ascii="宋体" w:hAnsi="宋体" w:eastAsia="宋体" w:cs="宋体"/>
                <w:bCs/>
                <w:color w:val="auto"/>
                <w:kern w:val="2"/>
                <w:sz w:val="21"/>
                <w:szCs w:val="21"/>
                <w:highlight w:val="none"/>
                <w:lang w:val="en-US" w:eastAsia="zh-CN"/>
              </w:rPr>
              <w:t>下一步评审</w:t>
            </w:r>
            <w:r>
              <w:rPr>
                <w:rFonts w:hint="eastAsia" w:ascii="宋体" w:hAnsi="宋体" w:eastAsia="宋体" w:cs="宋体"/>
                <w:bCs/>
                <w:color w:val="auto"/>
                <w:szCs w:val="21"/>
                <w:highlight w:val="none"/>
              </w:rPr>
              <w:t>；</w:t>
            </w:r>
          </w:p>
          <w:p w14:paraId="68C34E44">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合格投标人超过</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个的（不足</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5个时，全部进入投标报价评审），按照投标报价由低至高的顺序确定</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个投标人进入</w:t>
            </w:r>
            <w:r>
              <w:rPr>
                <w:rFonts w:hint="eastAsia" w:ascii="宋体" w:hAnsi="宋体" w:eastAsia="宋体" w:cs="宋体"/>
                <w:bCs/>
                <w:color w:val="auto"/>
                <w:kern w:val="2"/>
                <w:sz w:val="21"/>
                <w:szCs w:val="21"/>
                <w:highlight w:val="none"/>
                <w:lang w:val="en-US" w:eastAsia="zh-CN"/>
              </w:rPr>
              <w:t>下一步</w:t>
            </w:r>
            <w:r>
              <w:rPr>
                <w:rFonts w:hint="eastAsia" w:ascii="宋体" w:hAnsi="宋体" w:eastAsia="宋体" w:cs="宋体"/>
                <w:bCs/>
                <w:color w:val="auto"/>
                <w:szCs w:val="21"/>
                <w:highlight w:val="none"/>
              </w:rPr>
              <w:t>评审，</w:t>
            </w:r>
            <w:r>
              <w:rPr>
                <w:rFonts w:hint="eastAsia" w:ascii="宋体" w:hAnsi="宋体" w:eastAsia="宋体" w:cs="宋体"/>
                <w:bCs/>
                <w:color w:val="auto"/>
                <w:kern w:val="2"/>
                <w:szCs w:val="21"/>
                <w:highlight w:val="none"/>
              </w:rPr>
              <w:t>报价相同无法确定前</w:t>
            </w:r>
            <w:r>
              <w:rPr>
                <w:rFonts w:hint="eastAsia" w:ascii="宋体" w:hAnsi="宋体" w:eastAsia="宋体" w:cs="宋体"/>
                <w:bCs/>
                <w:color w:val="auto"/>
                <w:kern w:val="2"/>
                <w:szCs w:val="21"/>
                <w:highlight w:val="none"/>
                <w:lang w:eastAsia="zh-CN"/>
              </w:rPr>
              <w:t>2</w:t>
            </w:r>
            <w:r>
              <w:rPr>
                <w:rFonts w:hint="eastAsia" w:ascii="宋体" w:hAnsi="宋体" w:eastAsia="宋体" w:cs="宋体"/>
                <w:bCs/>
                <w:color w:val="auto"/>
                <w:kern w:val="2"/>
                <w:szCs w:val="21"/>
                <w:highlight w:val="none"/>
                <w:lang w:val="en-US" w:eastAsia="zh-CN"/>
              </w:rPr>
              <w:t>5</w:t>
            </w:r>
            <w:r>
              <w:rPr>
                <w:rFonts w:hint="eastAsia" w:ascii="宋体" w:hAnsi="宋体" w:eastAsia="宋体" w:cs="宋体"/>
                <w:bCs/>
                <w:color w:val="auto"/>
                <w:kern w:val="2"/>
                <w:szCs w:val="21"/>
                <w:highlight w:val="none"/>
              </w:rPr>
              <w:t>个投标人时，</w:t>
            </w:r>
            <w:r>
              <w:rPr>
                <w:rFonts w:hint="eastAsia" w:ascii="宋体" w:hAnsi="宋体" w:eastAsia="宋体" w:cs="宋体"/>
                <w:bCs/>
                <w:color w:val="auto"/>
                <w:szCs w:val="21"/>
                <w:highlight w:val="none"/>
              </w:rPr>
              <w:t>其末位投标人报价相同的全部进入</w:t>
            </w:r>
            <w:r>
              <w:rPr>
                <w:rFonts w:hint="eastAsia" w:ascii="宋体" w:hAnsi="宋体" w:eastAsia="宋体" w:cs="宋体"/>
                <w:bCs/>
                <w:color w:val="auto"/>
                <w:kern w:val="2"/>
                <w:sz w:val="21"/>
                <w:szCs w:val="21"/>
                <w:highlight w:val="none"/>
                <w:lang w:val="en-US" w:eastAsia="zh-CN"/>
              </w:rPr>
              <w:t>下一步</w:t>
            </w:r>
            <w:r>
              <w:rPr>
                <w:rFonts w:hint="eastAsia" w:ascii="宋体" w:hAnsi="宋体" w:eastAsia="宋体" w:cs="宋体"/>
                <w:bCs/>
                <w:color w:val="auto"/>
                <w:kern w:val="2"/>
                <w:szCs w:val="21"/>
                <w:highlight w:val="none"/>
              </w:rPr>
              <w:t>评审。</w:t>
            </w:r>
          </w:p>
          <w:p w14:paraId="37DB58D9">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2.采用综合评估法评标的：</w:t>
            </w:r>
          </w:p>
          <w:p w14:paraId="2B119606">
            <w:pPr>
              <w:keepNext w:val="0"/>
              <w:keepLines w:val="0"/>
              <w:suppressLineNumbers w:val="0"/>
              <w:spacing w:before="0" w:beforeAutospacing="0" w:after="0" w:afterAutospacing="0"/>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Pr>
              <w:t>对所有</w:t>
            </w:r>
            <w:r>
              <w:rPr>
                <w:rFonts w:hint="eastAsia" w:ascii="宋体" w:hAnsi="宋体" w:eastAsia="宋体" w:cs="宋体"/>
                <w:bCs/>
                <w:color w:val="auto"/>
                <w:kern w:val="2"/>
                <w:sz w:val="21"/>
                <w:szCs w:val="21"/>
                <w:highlight w:val="none"/>
                <w:lang w:val="en-US" w:eastAsia="zh-CN"/>
              </w:rPr>
              <w:t>合格</w:t>
            </w:r>
            <w:r>
              <w:rPr>
                <w:rFonts w:hint="eastAsia" w:ascii="宋体" w:hAnsi="宋体" w:eastAsia="宋体" w:cs="宋体"/>
                <w:bCs/>
                <w:color w:val="auto"/>
                <w:kern w:val="2"/>
                <w:sz w:val="21"/>
                <w:szCs w:val="21"/>
                <w:highlight w:val="none"/>
              </w:rPr>
              <w:t>投标人</w:t>
            </w:r>
            <w:r>
              <w:rPr>
                <w:rFonts w:hint="eastAsia" w:ascii="宋体" w:hAnsi="宋体" w:eastAsia="宋体" w:cs="宋体"/>
                <w:bCs/>
                <w:color w:val="auto"/>
                <w:sz w:val="21"/>
                <w:szCs w:val="21"/>
                <w:highlight w:val="none"/>
              </w:rPr>
              <w:t>进入</w:t>
            </w:r>
            <w:r>
              <w:rPr>
                <w:rFonts w:hint="eastAsia" w:ascii="宋体" w:hAnsi="宋体" w:eastAsia="宋体" w:cs="宋体"/>
                <w:bCs/>
                <w:color w:val="auto"/>
                <w:kern w:val="2"/>
                <w:sz w:val="21"/>
                <w:szCs w:val="21"/>
                <w:highlight w:val="none"/>
                <w:lang w:val="en-US" w:eastAsia="zh-CN"/>
              </w:rPr>
              <w:t>投标报价评审</w:t>
            </w:r>
            <w:r>
              <w:rPr>
                <w:rFonts w:hint="eastAsia" w:ascii="宋体" w:hAnsi="宋体" w:eastAsia="宋体" w:cs="宋体"/>
                <w:bCs/>
                <w:color w:val="auto"/>
                <w:szCs w:val="21"/>
                <w:highlight w:val="none"/>
              </w:rPr>
              <w:t>；</w:t>
            </w:r>
          </w:p>
          <w:p w14:paraId="75EA7F9C">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eastAsia="宋体" w:cs="宋体"/>
                <w:bCs/>
                <w:color w:val="auto"/>
                <w:szCs w:val="21"/>
                <w:highlight w:val="none"/>
              </w:rPr>
              <w:t>□按照</w:t>
            </w:r>
            <w:r>
              <w:rPr>
                <w:rFonts w:hint="eastAsia" w:ascii="宋体" w:hAnsi="宋体" w:eastAsia="宋体" w:cs="宋体"/>
                <w:bCs/>
                <w:color w:val="auto"/>
                <w:kern w:val="2"/>
                <w:szCs w:val="21"/>
                <w:highlight w:val="none"/>
              </w:rPr>
              <w:t>企业资信及履约能力评审得分与</w:t>
            </w:r>
            <w:r>
              <w:rPr>
                <w:rFonts w:hint="eastAsia" w:ascii="宋体" w:hAnsi="宋体" w:eastAsia="宋体" w:cs="宋体"/>
                <w:bCs/>
                <w:color w:val="auto"/>
                <w:kern w:val="2"/>
                <w:szCs w:val="21"/>
                <w:highlight w:val="none"/>
                <w:lang w:val="en-US" w:eastAsia="zh-CN"/>
              </w:rPr>
              <w:t>施工组织设计</w:t>
            </w:r>
            <w:r>
              <w:rPr>
                <w:rFonts w:hint="eastAsia" w:ascii="宋体" w:hAnsi="宋体" w:eastAsia="宋体" w:cs="宋体"/>
                <w:bCs/>
                <w:color w:val="auto"/>
                <w:kern w:val="2"/>
                <w:szCs w:val="21"/>
                <w:highlight w:val="none"/>
              </w:rPr>
              <w:t>评审得分乘以相应权重之和</w:t>
            </w:r>
            <w:r>
              <w:rPr>
                <w:rFonts w:hint="eastAsia" w:ascii="宋体" w:hAnsi="宋体" w:eastAsia="宋体" w:cs="宋体"/>
                <w:bCs/>
                <w:color w:val="auto"/>
                <w:szCs w:val="21"/>
                <w:highlight w:val="none"/>
              </w:rPr>
              <w:t>由高至低的顺序确定</w:t>
            </w:r>
            <w:r>
              <w:rPr>
                <w:rFonts w:hint="eastAsia" w:ascii="宋体" w:hAnsi="宋体" w:eastAsia="宋体" w:cs="宋体"/>
                <w:bCs/>
                <w:color w:val="auto"/>
                <w:szCs w:val="21"/>
                <w:highlight w:val="none"/>
                <w:lang w:val="en-US" w:eastAsia="zh-CN"/>
              </w:rPr>
              <w:t>15个</w:t>
            </w:r>
            <w:r>
              <w:rPr>
                <w:rFonts w:hint="eastAsia" w:ascii="宋体" w:hAnsi="宋体" w:eastAsia="宋体" w:cs="宋体"/>
                <w:bCs/>
                <w:color w:val="auto"/>
                <w:szCs w:val="21"/>
                <w:highlight w:val="none"/>
              </w:rPr>
              <w:t>投标人进</w:t>
            </w:r>
            <w:r>
              <w:rPr>
                <w:rFonts w:hint="eastAsia" w:ascii="宋体" w:hAnsi="宋体" w:eastAsia="宋体" w:cs="宋体"/>
                <w:bCs/>
                <w:color w:val="auto"/>
                <w:szCs w:val="21"/>
                <w:highlight w:val="none"/>
                <w:lang w:val="en-US" w:eastAsia="zh-CN"/>
              </w:rPr>
              <w:t>行投标报价</w:t>
            </w:r>
            <w:r>
              <w:rPr>
                <w:rFonts w:hint="eastAsia" w:ascii="宋体" w:hAnsi="宋体" w:eastAsia="宋体" w:cs="宋体"/>
                <w:bCs/>
                <w:color w:val="auto"/>
                <w:szCs w:val="21"/>
                <w:highlight w:val="none"/>
              </w:rPr>
              <w:t>评审（不足15个时，全部进入投标报价评审）</w:t>
            </w:r>
            <w:r>
              <w:rPr>
                <w:rFonts w:hint="eastAsia" w:ascii="宋体" w:hAnsi="宋体" w:eastAsia="宋体" w:cs="宋体"/>
                <w:bCs/>
                <w:color w:val="auto"/>
                <w:szCs w:val="21"/>
                <w:highlight w:val="none"/>
                <w:lang w:eastAsia="zh-CN"/>
              </w:rPr>
              <w:t>，得分相同无法确定前15个投标人时，其末位投标人得分相同的全部进入投标报价评审。</w:t>
            </w:r>
            <w:r>
              <w:rPr>
                <w:rFonts w:hint="eastAsia" w:ascii="宋体" w:hAnsi="宋体" w:eastAsia="宋体" w:cs="宋体"/>
                <w:bCs/>
                <w:color w:val="auto"/>
                <w:kern w:val="2"/>
                <w:szCs w:val="21"/>
                <w:highlight w:val="none"/>
              </w:rPr>
              <w:t>其中最高投标限价5000万元以下的项目，再从本次投标得分排名50个以内的剩余合格投标人中随机抽取5个投标人进入投标报价评审，得分相同无法确定排名50个以内时，其末位投标人得分相同的全部</w:t>
            </w:r>
            <w:r>
              <w:rPr>
                <w:rFonts w:hint="eastAsia" w:ascii="宋体" w:hAnsi="宋体" w:eastAsia="宋体" w:cs="宋体"/>
                <w:bCs/>
                <w:color w:val="auto"/>
                <w:kern w:val="2"/>
                <w:szCs w:val="21"/>
                <w:highlight w:val="none"/>
                <w:lang w:val="en-US" w:eastAsia="zh-CN"/>
              </w:rPr>
              <w:t>纳入随机抽取范围</w:t>
            </w:r>
            <w:r>
              <w:rPr>
                <w:rFonts w:hint="eastAsia" w:ascii="宋体" w:hAnsi="宋体" w:eastAsia="宋体" w:cs="宋体"/>
                <w:bCs/>
                <w:color w:val="auto"/>
                <w:kern w:val="2"/>
                <w:szCs w:val="21"/>
                <w:highlight w:val="none"/>
                <w:lang w:eastAsia="zh-CN"/>
              </w:rPr>
              <w:t>，</w:t>
            </w:r>
            <w:r>
              <w:rPr>
                <w:rFonts w:hint="eastAsia" w:ascii="宋体" w:hAnsi="宋体" w:eastAsia="宋体" w:cs="宋体"/>
                <w:bCs/>
                <w:color w:val="auto"/>
                <w:kern w:val="2"/>
                <w:szCs w:val="21"/>
                <w:highlight w:val="none"/>
              </w:rPr>
              <w:t>剩余合格投标人不足5个的，全部进入投标报价评审。</w:t>
            </w:r>
          </w:p>
        </w:tc>
      </w:tr>
      <w:tr w14:paraId="4D6A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065" w:type="dxa"/>
            <w:noWrap w:val="0"/>
            <w:vAlign w:val="center"/>
          </w:tcPr>
          <w:p w14:paraId="056AB83B">
            <w:pPr>
              <w:keepNext w:val="0"/>
              <w:keepLines w:val="0"/>
              <w:suppressLineNumbers w:val="0"/>
              <w:spacing w:before="0" w:beforeAutospacing="0" w:after="0" w:afterAutospacing="0"/>
              <w:ind w:left="0" w:right="0"/>
              <w:jc w:val="center"/>
              <w:rPr>
                <w:rFonts w:hint="eastAsia" w:ascii="Calibri" w:hAnsi="Calibri" w:cs="Calibri"/>
                <w:strike/>
                <w:color w:val="auto"/>
                <w:szCs w:val="21"/>
                <w:highlight w:val="none"/>
              </w:rPr>
            </w:pPr>
            <w:r>
              <w:rPr>
                <w:rFonts w:hint="eastAsia" w:ascii="Calibri" w:hAnsi="Calibri" w:cs="Calibri"/>
                <w:color w:val="auto"/>
                <w:szCs w:val="21"/>
                <w:highlight w:val="none"/>
              </w:rPr>
              <w:t>10.3</w:t>
            </w:r>
          </w:p>
        </w:tc>
        <w:tc>
          <w:tcPr>
            <w:tcW w:w="1770" w:type="dxa"/>
            <w:noWrap w:val="0"/>
            <w:vAlign w:val="center"/>
          </w:tcPr>
          <w:p w14:paraId="64574934">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p>
          <w:p w14:paraId="362CBCC4">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施工组织设计   的评审</w:t>
            </w:r>
          </w:p>
          <w:p w14:paraId="12BFE750">
            <w:pPr>
              <w:keepNext w:val="0"/>
              <w:keepLines w:val="0"/>
              <w:suppressLineNumbers w:val="0"/>
              <w:spacing w:before="0" w:beforeAutospacing="0" w:after="0" w:afterAutospacing="0"/>
              <w:ind w:left="0" w:right="0"/>
              <w:rPr>
                <w:rFonts w:hint="default" w:ascii="Calibri" w:hAnsi="Calibri" w:cs="Calibri"/>
                <w:color w:val="auto"/>
                <w:szCs w:val="21"/>
                <w:highlight w:val="none"/>
              </w:rPr>
            </w:pPr>
          </w:p>
        </w:tc>
        <w:tc>
          <w:tcPr>
            <w:tcW w:w="6435" w:type="dxa"/>
            <w:noWrap w:val="0"/>
            <w:vAlign w:val="center"/>
          </w:tcPr>
          <w:p w14:paraId="69763C58">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Calibri" w:hAnsi="Calibri" w:cs="Calibri"/>
                <w:color w:val="auto"/>
                <w:szCs w:val="21"/>
                <w:highlight w:val="none"/>
              </w:rPr>
              <w:t>施工组织设计编制要求</w:t>
            </w:r>
          </w:p>
          <w:p w14:paraId="5F141849">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宋体"/>
                <w:color w:val="auto"/>
                <w:szCs w:val="21"/>
                <w:highlight w:val="none"/>
              </w:rPr>
              <w:sym w:font="Wingdings 2" w:char="00A3"/>
            </w:r>
            <w:r>
              <w:rPr>
                <w:rFonts w:hint="default" w:ascii="Calibri" w:hAnsi="Calibri" w:cs="Calibri"/>
                <w:color w:val="auto"/>
                <w:szCs w:val="21"/>
                <w:highlight w:val="none"/>
              </w:rPr>
              <w:t>不要求编制施工组织设计</w:t>
            </w:r>
            <w:r>
              <w:rPr>
                <w:rFonts w:hint="eastAsia" w:ascii="Calibri" w:hAnsi="Calibri" w:cs="Calibri"/>
                <w:color w:val="auto"/>
                <w:szCs w:val="21"/>
                <w:highlight w:val="none"/>
              </w:rPr>
              <w:t>。</w:t>
            </w:r>
            <w:r>
              <w:rPr>
                <w:rFonts w:hint="default" w:ascii="Calibri" w:hAnsi="Calibri" w:cs="Calibri"/>
                <w:color w:val="auto"/>
                <w:szCs w:val="21"/>
                <w:highlight w:val="none"/>
              </w:rPr>
              <w:t xml:space="preserve"> </w:t>
            </w:r>
          </w:p>
          <w:p w14:paraId="23D3BA74">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宋体" w:hAnsi="宋体" w:cs="宋体"/>
                <w:color w:val="auto"/>
                <w:szCs w:val="21"/>
                <w:highlight w:val="none"/>
              </w:rPr>
              <w:sym w:font="Wingdings 2" w:char="0052"/>
            </w:r>
            <w:r>
              <w:rPr>
                <w:rFonts w:hint="default" w:ascii="Calibri" w:hAnsi="Calibri" w:cs="Calibri"/>
                <w:color w:val="auto"/>
                <w:szCs w:val="21"/>
                <w:highlight w:val="none"/>
              </w:rPr>
              <w:t>要求编制施工组织设计，采用</w:t>
            </w:r>
            <w:r>
              <w:rPr>
                <w:rFonts w:hint="eastAsia" w:ascii="Calibri" w:hAnsi="Calibri" w:cs="Calibri"/>
                <w:color w:val="auto"/>
                <w:szCs w:val="21"/>
                <w:highlight w:val="none"/>
              </w:rPr>
              <w:t>合格性</w:t>
            </w:r>
            <w:r>
              <w:rPr>
                <w:rFonts w:hint="default" w:ascii="Calibri" w:hAnsi="Calibri" w:cs="Calibri"/>
                <w:color w:val="auto"/>
                <w:szCs w:val="21"/>
                <w:highlight w:val="none"/>
              </w:rPr>
              <w:t>评审方式，投标人应按照第八章投标文件格式</w:t>
            </w:r>
            <w:r>
              <w:rPr>
                <w:rFonts w:hint="eastAsia" w:ascii="Calibri" w:hAnsi="Calibri" w:cs="Calibri"/>
                <w:color w:val="auto"/>
                <w:szCs w:val="21"/>
                <w:highlight w:val="none"/>
              </w:rPr>
              <w:t>第三节“</w:t>
            </w:r>
            <w:r>
              <w:rPr>
                <w:rFonts w:hint="default" w:ascii="Calibri" w:hAnsi="Calibri" w:cs="Calibri"/>
                <w:color w:val="auto"/>
                <w:szCs w:val="21"/>
                <w:highlight w:val="none"/>
              </w:rPr>
              <w:t>施工组织设计</w:t>
            </w:r>
            <w:r>
              <w:rPr>
                <w:rFonts w:hint="eastAsia" w:ascii="Calibri" w:hAnsi="Calibri" w:cs="Calibri"/>
                <w:color w:val="auto"/>
                <w:szCs w:val="21"/>
                <w:highlight w:val="none"/>
              </w:rPr>
              <w:t>格式</w:t>
            </w:r>
            <w:r>
              <w:rPr>
                <w:rFonts w:hint="default" w:ascii="Calibri" w:hAnsi="Calibri" w:cs="Calibri"/>
                <w:color w:val="auto"/>
                <w:szCs w:val="21"/>
                <w:highlight w:val="none"/>
              </w:rPr>
              <w:t>（明标）</w:t>
            </w:r>
            <w:r>
              <w:rPr>
                <w:rFonts w:hint="eastAsia" w:ascii="Calibri" w:hAnsi="Calibri" w:cs="Calibri"/>
                <w:color w:val="auto"/>
                <w:szCs w:val="21"/>
                <w:highlight w:val="none"/>
              </w:rPr>
              <w:t>的</w:t>
            </w:r>
            <w:r>
              <w:rPr>
                <w:rFonts w:hint="default" w:ascii="Calibri" w:hAnsi="Calibri" w:cs="Calibri"/>
                <w:color w:val="auto"/>
                <w:szCs w:val="21"/>
                <w:highlight w:val="none"/>
              </w:rPr>
              <w:t>编制要求</w:t>
            </w:r>
            <w:r>
              <w:rPr>
                <w:rFonts w:hint="eastAsia" w:ascii="Calibri" w:hAnsi="Calibri" w:cs="Calibri"/>
                <w:color w:val="auto"/>
                <w:szCs w:val="21"/>
                <w:highlight w:val="none"/>
              </w:rPr>
              <w:t>”进行</w:t>
            </w:r>
            <w:r>
              <w:rPr>
                <w:rFonts w:hint="default" w:ascii="Calibri" w:hAnsi="Calibri" w:cs="Calibri"/>
                <w:color w:val="auto"/>
                <w:szCs w:val="21"/>
                <w:highlight w:val="none"/>
              </w:rPr>
              <w:t>编</w:t>
            </w:r>
            <w:r>
              <w:rPr>
                <w:rFonts w:hint="eastAsia" w:ascii="Calibri" w:hAnsi="Calibri" w:cs="Calibri"/>
                <w:color w:val="auto"/>
                <w:szCs w:val="21"/>
                <w:highlight w:val="none"/>
              </w:rPr>
              <w:t>制。</w:t>
            </w:r>
          </w:p>
          <w:p w14:paraId="227BBA52">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rPr>
            </w:pPr>
            <w:r>
              <w:rPr>
                <w:rFonts w:hint="eastAsia" w:ascii="宋体" w:hAnsi="宋体" w:cs="宋体"/>
                <w:color w:val="auto"/>
                <w:szCs w:val="21"/>
                <w:highlight w:val="none"/>
              </w:rPr>
              <w:sym w:font="Wingdings 2" w:char="00A3"/>
            </w:r>
            <w:r>
              <w:rPr>
                <w:rFonts w:hint="default" w:ascii="Calibri" w:hAnsi="Calibri" w:cs="Calibri"/>
                <w:color w:val="auto"/>
                <w:szCs w:val="21"/>
                <w:highlight w:val="none"/>
              </w:rPr>
              <w:t>要求编制施工组织设计，采用</w:t>
            </w:r>
            <w:r>
              <w:rPr>
                <w:rFonts w:hint="eastAsia" w:ascii="Calibri" w:hAnsi="Calibri" w:cs="Calibri"/>
                <w:color w:val="auto"/>
                <w:szCs w:val="21"/>
                <w:highlight w:val="none"/>
              </w:rPr>
              <w:t>计分评审</w:t>
            </w:r>
            <w:r>
              <w:rPr>
                <w:rFonts w:hint="default" w:ascii="Calibri" w:hAnsi="Calibri" w:cs="Calibri"/>
                <w:color w:val="auto"/>
                <w:szCs w:val="21"/>
                <w:highlight w:val="none"/>
              </w:rPr>
              <w:t>方式，投标人应按照第八章投标文件格式</w:t>
            </w:r>
            <w:r>
              <w:rPr>
                <w:rFonts w:hint="eastAsia" w:ascii="Calibri" w:hAnsi="Calibri" w:cs="Calibri"/>
                <w:color w:val="auto"/>
                <w:szCs w:val="21"/>
                <w:highlight w:val="none"/>
              </w:rPr>
              <w:t>第三节“</w:t>
            </w:r>
            <w:r>
              <w:rPr>
                <w:rFonts w:hint="default" w:ascii="Calibri" w:hAnsi="Calibri" w:cs="Calibri"/>
                <w:color w:val="auto"/>
                <w:szCs w:val="21"/>
                <w:highlight w:val="none"/>
              </w:rPr>
              <w:t>施工组织设计</w:t>
            </w:r>
            <w:r>
              <w:rPr>
                <w:rFonts w:hint="eastAsia" w:ascii="Calibri" w:hAnsi="Calibri" w:cs="Calibri"/>
                <w:color w:val="auto"/>
                <w:szCs w:val="21"/>
                <w:highlight w:val="none"/>
              </w:rPr>
              <w:t>格式</w:t>
            </w:r>
            <w:r>
              <w:rPr>
                <w:rFonts w:hint="default" w:ascii="Calibri" w:hAnsi="Calibri" w:cs="Calibri"/>
                <w:color w:val="auto"/>
                <w:szCs w:val="21"/>
                <w:highlight w:val="none"/>
              </w:rPr>
              <w:t>（暗标）</w:t>
            </w:r>
            <w:r>
              <w:rPr>
                <w:rFonts w:hint="eastAsia" w:ascii="Calibri" w:hAnsi="Calibri" w:cs="Calibri"/>
                <w:color w:val="auto"/>
                <w:szCs w:val="21"/>
                <w:highlight w:val="none"/>
              </w:rPr>
              <w:t>的要求”进行</w:t>
            </w:r>
            <w:r>
              <w:rPr>
                <w:rFonts w:hint="default" w:ascii="Calibri" w:hAnsi="Calibri" w:cs="Calibri"/>
                <w:color w:val="auto"/>
                <w:szCs w:val="21"/>
                <w:highlight w:val="none"/>
              </w:rPr>
              <w:t>编制</w:t>
            </w:r>
            <w:r>
              <w:rPr>
                <w:rFonts w:hint="eastAsia" w:ascii="Calibri" w:hAnsi="Calibri" w:cs="Calibri"/>
                <w:color w:val="auto"/>
                <w:szCs w:val="21"/>
                <w:highlight w:val="none"/>
              </w:rPr>
              <w:t>。</w:t>
            </w:r>
          </w:p>
          <w:p w14:paraId="45B4B0A9">
            <w:pPr>
              <w:keepNext w:val="0"/>
              <w:keepLines w:val="0"/>
              <w:suppressLineNumbers w:val="0"/>
              <w:spacing w:before="0" w:beforeAutospacing="0" w:after="0" w:afterAutospacing="0"/>
              <w:ind w:left="-103" w:leftChars="-49" w:right="0" w:firstLine="422" w:firstLineChars="201"/>
              <w:rPr>
                <w:rFonts w:hint="eastAsia" w:ascii="Calibri" w:hAnsi="Calibri" w:cs="Calibri"/>
                <w:color w:val="auto"/>
                <w:szCs w:val="21"/>
                <w:highlight w:val="none"/>
                <w:u w:val="single"/>
              </w:rPr>
            </w:pPr>
            <w:r>
              <w:rPr>
                <w:rFonts w:hint="default" w:ascii="Calibri" w:hAnsi="Calibri" w:cs="Calibri"/>
                <w:color w:val="auto"/>
                <w:szCs w:val="21"/>
                <w:highlight w:val="none"/>
              </w:rPr>
              <w:t>施工组织设计</w:t>
            </w:r>
            <w:r>
              <w:rPr>
                <w:rFonts w:hint="eastAsia" w:ascii="Calibri" w:hAnsi="Calibri" w:cs="Calibri"/>
                <w:color w:val="auto"/>
                <w:szCs w:val="21"/>
                <w:highlight w:val="none"/>
                <w:lang w:val="en-US" w:eastAsia="zh-CN"/>
              </w:rPr>
              <w:t>页数：不超过1000页。</w:t>
            </w:r>
          </w:p>
        </w:tc>
      </w:tr>
      <w:tr w14:paraId="7F6A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65" w:type="dxa"/>
            <w:noWrap w:val="0"/>
            <w:vAlign w:val="center"/>
          </w:tcPr>
          <w:p w14:paraId="3E2BBF4E">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4</w:t>
            </w:r>
          </w:p>
        </w:tc>
        <w:tc>
          <w:tcPr>
            <w:tcW w:w="1770" w:type="dxa"/>
            <w:noWrap w:val="0"/>
            <w:vAlign w:val="center"/>
          </w:tcPr>
          <w:p w14:paraId="2A9488C4">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w:t>
            </w:r>
            <w:r>
              <w:rPr>
                <w:rFonts w:hint="eastAsia" w:ascii="Calibri" w:hAnsi="Calibri" w:cs="Calibri"/>
                <w:color w:val="auto"/>
                <w:szCs w:val="21"/>
                <w:highlight w:val="none"/>
              </w:rPr>
              <w:t>实行</w:t>
            </w:r>
          </w:p>
          <w:p w14:paraId="15BA4591">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计算机辅助评标</w:t>
            </w:r>
          </w:p>
        </w:tc>
        <w:tc>
          <w:tcPr>
            <w:tcW w:w="6435" w:type="dxa"/>
            <w:noWrap w:val="0"/>
            <w:vAlign w:val="center"/>
          </w:tcPr>
          <w:p w14:paraId="2EAAC077">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eastAsia" w:ascii="Calibri" w:hAnsi="Calibri" w:cs="Calibri"/>
                <w:color w:val="auto"/>
                <w:szCs w:val="21"/>
                <w:highlight w:val="none"/>
                <w:lang w:eastAsia="zh-CN"/>
              </w:rPr>
              <w:t>☑</w:t>
            </w:r>
            <w:r>
              <w:rPr>
                <w:rFonts w:hint="default" w:ascii="Calibri" w:hAnsi="Calibri" w:cs="Calibri"/>
                <w:color w:val="auto"/>
                <w:szCs w:val="21"/>
                <w:highlight w:val="none"/>
              </w:rPr>
              <w:t>否</w:t>
            </w:r>
          </w:p>
          <w:p w14:paraId="4FABA57A">
            <w:pPr>
              <w:keepNext w:val="0"/>
              <w:keepLines w:val="0"/>
              <w:suppressLineNumbers w:val="0"/>
              <w:snapToGrid w:val="0"/>
              <w:spacing w:before="0" w:beforeAutospacing="0" w:after="0" w:afterAutospacing="0" w:line="360" w:lineRule="auto"/>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w:t>
            </w:r>
            <w:r>
              <w:rPr>
                <w:rFonts w:hint="default" w:ascii="Calibri" w:hAnsi="Calibri" w:cs="Calibri"/>
                <w:color w:val="auto"/>
                <w:szCs w:val="21"/>
                <w:highlight w:val="none"/>
              </w:rPr>
              <w:t>是，按</w:t>
            </w:r>
            <w:r>
              <w:rPr>
                <w:rFonts w:hint="eastAsia" w:ascii="Calibri" w:hAnsi="Calibri" w:cs="Calibri"/>
                <w:color w:val="auto"/>
                <w:szCs w:val="21"/>
                <w:highlight w:val="none"/>
              </w:rPr>
              <w:t>投标人</w:t>
            </w:r>
            <w:r>
              <w:rPr>
                <w:rFonts w:hint="default" w:ascii="Calibri" w:hAnsi="Calibri" w:cs="Calibri"/>
                <w:color w:val="auto"/>
                <w:szCs w:val="21"/>
                <w:highlight w:val="none"/>
              </w:rPr>
              <w:t>须知</w:t>
            </w:r>
            <w:r>
              <w:rPr>
                <w:rFonts w:hint="eastAsia" w:ascii="Calibri" w:hAnsi="Calibri" w:cs="Calibri"/>
                <w:color w:val="auto"/>
                <w:szCs w:val="21"/>
                <w:highlight w:val="none"/>
              </w:rPr>
              <w:t>附件2-1</w:t>
            </w:r>
            <w:r>
              <w:rPr>
                <w:rFonts w:hint="default" w:ascii="Calibri" w:hAnsi="Calibri" w:cs="Calibri"/>
                <w:color w:val="auto"/>
                <w:szCs w:val="21"/>
                <w:highlight w:val="none"/>
              </w:rPr>
              <w:t>“电子投标文件编制及报送要求”编制及报送电子投标文件。计算机辅助评标方法见</w:t>
            </w:r>
            <w:r>
              <w:rPr>
                <w:rFonts w:hint="eastAsia" w:ascii="Calibri" w:hAnsi="Calibri" w:cs="Calibri"/>
                <w:color w:val="auto"/>
                <w:szCs w:val="21"/>
                <w:highlight w:val="none"/>
              </w:rPr>
              <w:t>投标人须知附件2-4</w:t>
            </w:r>
            <w:r>
              <w:rPr>
                <w:rFonts w:hint="eastAsia" w:ascii="宋体" w:hAnsi="宋体" w:cs="宋体"/>
                <w:color w:val="auto"/>
                <w:szCs w:val="21"/>
                <w:highlight w:val="none"/>
              </w:rPr>
              <w:t>。</w:t>
            </w:r>
          </w:p>
        </w:tc>
      </w:tr>
      <w:tr w14:paraId="5066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65" w:type="dxa"/>
            <w:noWrap w:val="0"/>
            <w:vAlign w:val="center"/>
          </w:tcPr>
          <w:p w14:paraId="35AC8A27">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5</w:t>
            </w:r>
          </w:p>
        </w:tc>
        <w:tc>
          <w:tcPr>
            <w:tcW w:w="1770" w:type="dxa"/>
            <w:noWrap w:val="0"/>
            <w:vAlign w:val="center"/>
          </w:tcPr>
          <w:p w14:paraId="1FB10465">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是否要求投标人</w:t>
            </w:r>
            <w:r>
              <w:rPr>
                <w:rFonts w:hint="eastAsia" w:ascii="Calibri" w:hAnsi="Calibri" w:cs="Calibri"/>
                <w:color w:val="auto"/>
                <w:szCs w:val="21"/>
                <w:highlight w:val="none"/>
              </w:rPr>
              <w:t>代表</w:t>
            </w:r>
            <w:r>
              <w:rPr>
                <w:rFonts w:hint="default" w:ascii="Calibri" w:hAnsi="Calibri" w:cs="Calibri"/>
                <w:color w:val="auto"/>
                <w:szCs w:val="21"/>
                <w:highlight w:val="none"/>
              </w:rPr>
              <w:t>出席开标会</w:t>
            </w:r>
          </w:p>
        </w:tc>
        <w:tc>
          <w:tcPr>
            <w:tcW w:w="6435" w:type="dxa"/>
            <w:noWrap w:val="0"/>
            <w:vAlign w:val="center"/>
          </w:tcPr>
          <w:p w14:paraId="1BED0D9D">
            <w:pPr>
              <w:keepNext w:val="0"/>
              <w:keepLines w:val="0"/>
              <w:suppressLineNumbers w:val="0"/>
              <w:spacing w:before="0" w:beforeAutospacing="0" w:after="0" w:afterAutospacing="0"/>
              <w:ind w:left="-103" w:leftChars="-49" w:right="0" w:firstLine="422" w:firstLineChars="201"/>
              <w:rPr>
                <w:rFonts w:hint="default" w:ascii="Calibri" w:hAnsi="Calibri" w:cs="Calibri"/>
                <w:color w:val="auto"/>
                <w:szCs w:val="21"/>
                <w:highlight w:val="none"/>
              </w:rPr>
            </w:pPr>
            <w:r>
              <w:rPr>
                <w:rFonts w:hint="default" w:ascii="Calibri" w:hAnsi="Calibri" w:cs="Calibri"/>
                <w:color w:val="auto"/>
                <w:szCs w:val="21"/>
                <w:highlight w:val="none"/>
              </w:rPr>
              <w:t>不要求</w:t>
            </w:r>
          </w:p>
        </w:tc>
      </w:tr>
      <w:tr w14:paraId="1F7D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0"/>
            <w:vAlign w:val="center"/>
          </w:tcPr>
          <w:p w14:paraId="654DBB73">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6</w:t>
            </w:r>
          </w:p>
        </w:tc>
        <w:tc>
          <w:tcPr>
            <w:tcW w:w="1770" w:type="dxa"/>
            <w:noWrap w:val="0"/>
            <w:vAlign w:val="center"/>
          </w:tcPr>
          <w:p w14:paraId="256C8E1F">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中标公示</w:t>
            </w:r>
          </w:p>
        </w:tc>
        <w:tc>
          <w:tcPr>
            <w:tcW w:w="6435" w:type="dxa"/>
            <w:noWrap w:val="0"/>
            <w:vAlign w:val="center"/>
          </w:tcPr>
          <w:p w14:paraId="13EE67CF">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eastAsia" w:ascii="Calibri" w:hAnsi="Calibri" w:cs="Calibri"/>
                <w:color w:val="auto"/>
                <w:szCs w:val="21"/>
                <w:highlight w:val="none"/>
              </w:rPr>
              <w:t>招标人收到评标报告之日起3日内，</w:t>
            </w:r>
            <w:r>
              <w:rPr>
                <w:rFonts w:hint="default" w:ascii="Calibri" w:hAnsi="Calibri" w:cs="Calibri"/>
                <w:color w:val="auto"/>
                <w:szCs w:val="21"/>
                <w:highlight w:val="none"/>
              </w:rPr>
              <w:t>将中标候选人的情况在本招标项目招标公告发布的同一媒介予以公示，公示期不少于3个工作日。</w:t>
            </w:r>
          </w:p>
        </w:tc>
      </w:tr>
      <w:tr w14:paraId="0B21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noWrap w:val="0"/>
            <w:vAlign w:val="center"/>
          </w:tcPr>
          <w:p w14:paraId="6B1720AB">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lang w:val="en-US" w:eastAsia="zh-CN"/>
              </w:rPr>
              <w:t>10.7</w:t>
            </w:r>
          </w:p>
        </w:tc>
        <w:tc>
          <w:tcPr>
            <w:tcW w:w="1770" w:type="dxa"/>
            <w:noWrap w:val="0"/>
            <w:vAlign w:val="center"/>
          </w:tcPr>
          <w:p w14:paraId="2EDA3651">
            <w:pPr>
              <w:keepNext w:val="0"/>
              <w:keepLines w:val="0"/>
              <w:suppressLineNumbers w:val="0"/>
              <w:spacing w:before="0" w:beforeAutospacing="0" w:after="0" w:afterAutospacing="0" w:line="300" w:lineRule="exact"/>
              <w:ind w:left="0" w:right="0"/>
              <w:jc w:val="center"/>
              <w:rPr>
                <w:rFonts w:hint="default" w:ascii="Calibri" w:hAnsi="Calibri" w:cs="Calibri"/>
                <w:color w:val="auto"/>
                <w:highlight w:val="none"/>
              </w:rPr>
            </w:pPr>
            <w:r>
              <w:rPr>
                <w:rFonts w:hint="eastAsia" w:ascii="Calibri" w:hAnsi="Calibri" w:cs="Calibri"/>
                <w:color w:val="auto"/>
                <w:highlight w:val="none"/>
              </w:rPr>
              <w:t>省外入湘登记</w:t>
            </w:r>
          </w:p>
          <w:p w14:paraId="1C22ABFF">
            <w:pPr>
              <w:keepNext w:val="0"/>
              <w:keepLines w:val="0"/>
              <w:suppressLineNumbers w:val="0"/>
              <w:spacing w:before="0" w:beforeAutospacing="0" w:after="0" w:afterAutospacing="0" w:line="300" w:lineRule="exact"/>
              <w:ind w:left="0" w:right="0"/>
              <w:jc w:val="center"/>
              <w:rPr>
                <w:rFonts w:hint="default" w:ascii="Calibri" w:hAnsi="Calibri" w:cs="Calibri"/>
                <w:color w:val="auto"/>
                <w:szCs w:val="21"/>
                <w:highlight w:val="none"/>
              </w:rPr>
            </w:pPr>
            <w:r>
              <w:rPr>
                <w:rFonts w:hint="eastAsia" w:ascii="Calibri" w:hAnsi="Calibri" w:cs="Calibri"/>
                <w:color w:val="auto"/>
                <w:highlight w:val="none"/>
              </w:rPr>
              <w:t>要求</w:t>
            </w:r>
          </w:p>
        </w:tc>
        <w:tc>
          <w:tcPr>
            <w:tcW w:w="6435" w:type="dxa"/>
            <w:noWrap w:val="0"/>
            <w:vAlign w:val="center"/>
          </w:tcPr>
          <w:p w14:paraId="453047AA">
            <w:pPr>
              <w:keepNext w:val="0"/>
              <w:keepLines w:val="0"/>
              <w:suppressLineNumbers w:val="0"/>
              <w:spacing w:before="0" w:beforeAutospacing="0" w:after="0" w:afterAutospacing="0" w:line="300" w:lineRule="exact"/>
              <w:ind w:left="0" w:right="0"/>
              <w:jc w:val="left"/>
              <w:rPr>
                <w:rFonts w:hint="default" w:ascii="Calibri" w:hAnsi="Calibri" w:cs="Calibri"/>
                <w:color w:val="auto"/>
                <w:szCs w:val="21"/>
                <w:highlight w:val="none"/>
              </w:rPr>
            </w:pPr>
            <w:r>
              <w:rPr>
                <w:rFonts w:hint="eastAsia" w:ascii="Calibri" w:hAnsi="Calibri" w:cs="Calibri"/>
                <w:color w:val="auto"/>
                <w:highlight w:val="none"/>
              </w:rPr>
              <w:t>省外施工入湘企业在“湖南省住房和城乡建设网”进行基本信息登记（按照</w:t>
            </w:r>
            <w:r>
              <w:rPr>
                <w:rFonts w:hint="default" w:ascii="Calibri" w:hAnsi="Calibri" w:cs="Calibri"/>
                <w:color w:val="auto"/>
                <w:szCs w:val="21"/>
                <w:highlight w:val="none"/>
              </w:rPr>
              <w:t>招标文件第</w:t>
            </w:r>
            <w:r>
              <w:rPr>
                <w:rFonts w:hint="eastAsia" w:ascii="Calibri" w:hAnsi="Calibri" w:cs="Calibri"/>
                <w:color w:val="auto"/>
                <w:szCs w:val="21"/>
                <w:highlight w:val="none"/>
              </w:rPr>
              <w:t>七</w:t>
            </w:r>
            <w:r>
              <w:rPr>
                <w:rFonts w:hint="default" w:ascii="Calibri" w:hAnsi="Calibri" w:cs="Calibri"/>
                <w:color w:val="auto"/>
                <w:szCs w:val="21"/>
                <w:highlight w:val="none"/>
              </w:rPr>
              <w:t>章投标文件格式</w:t>
            </w:r>
            <w:r>
              <w:rPr>
                <w:rFonts w:hint="eastAsia" w:ascii="Calibri" w:hAnsi="Calibri" w:cs="Calibri"/>
                <w:color w:val="auto"/>
                <w:szCs w:val="21"/>
                <w:highlight w:val="none"/>
              </w:rPr>
              <w:t>第一节</w:t>
            </w:r>
            <w:r>
              <w:rPr>
                <w:rFonts w:hint="default" w:ascii="Calibri" w:hAnsi="Calibri" w:cs="Calibri"/>
                <w:color w:val="auto"/>
                <w:szCs w:val="21"/>
                <w:highlight w:val="none"/>
              </w:rPr>
              <w:t>“投标函</w:t>
            </w:r>
            <w:r>
              <w:rPr>
                <w:rFonts w:hint="eastAsia" w:ascii="Calibri" w:hAnsi="Calibri" w:cs="Calibri"/>
                <w:color w:val="auto"/>
                <w:szCs w:val="21"/>
                <w:highlight w:val="none"/>
                <w:lang w:val="en-US" w:eastAsia="zh-CN"/>
              </w:rPr>
              <w:t>及附录</w:t>
            </w:r>
            <w:r>
              <w:rPr>
                <w:rFonts w:hint="eastAsia" w:ascii="Calibri" w:hAnsi="Calibri" w:cs="Calibri"/>
                <w:color w:val="auto"/>
                <w:szCs w:val="21"/>
                <w:highlight w:val="none"/>
              </w:rPr>
              <w:t>格式</w:t>
            </w:r>
            <w:r>
              <w:rPr>
                <w:rFonts w:hint="default" w:ascii="Calibri" w:hAnsi="Calibri" w:cs="Calibri"/>
                <w:color w:val="auto"/>
                <w:szCs w:val="21"/>
                <w:highlight w:val="none"/>
              </w:rPr>
              <w:t>”规定</w:t>
            </w:r>
            <w:r>
              <w:rPr>
                <w:rFonts w:hint="eastAsia" w:ascii="Calibri" w:hAnsi="Calibri" w:cs="Calibri"/>
                <w:color w:val="auto"/>
                <w:highlight w:val="none"/>
              </w:rPr>
              <w:t>提供查询网页截图）。</w:t>
            </w:r>
          </w:p>
        </w:tc>
      </w:tr>
      <w:tr w14:paraId="5738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5" w:type="dxa"/>
            <w:noWrap w:val="0"/>
            <w:vAlign w:val="center"/>
          </w:tcPr>
          <w:p w14:paraId="25E5FE5D">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.8</w:t>
            </w:r>
          </w:p>
        </w:tc>
        <w:tc>
          <w:tcPr>
            <w:tcW w:w="1770" w:type="dxa"/>
            <w:noWrap w:val="0"/>
            <w:vAlign w:val="center"/>
          </w:tcPr>
          <w:p w14:paraId="48309DE6">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知识产权</w:t>
            </w:r>
          </w:p>
        </w:tc>
        <w:tc>
          <w:tcPr>
            <w:tcW w:w="6435" w:type="dxa"/>
            <w:noWrap w:val="0"/>
            <w:vAlign w:val="center"/>
          </w:tcPr>
          <w:p w14:paraId="1766E429">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招标人全部或者部分使用未中标人投标文件中的</w:t>
            </w:r>
            <w:r>
              <w:rPr>
                <w:rFonts w:hint="default" w:ascii="Calibri" w:hAnsi="Calibri" w:cs="Calibri"/>
                <w:bCs/>
                <w:color w:val="auto"/>
                <w:szCs w:val="21"/>
                <w:highlight w:val="none"/>
              </w:rPr>
              <w:t>技术</w:t>
            </w:r>
            <w:r>
              <w:rPr>
                <w:rFonts w:hint="default" w:ascii="Calibri" w:hAnsi="Calibri" w:cs="Calibri"/>
                <w:color w:val="auto"/>
                <w:szCs w:val="21"/>
                <w:highlight w:val="none"/>
              </w:rPr>
              <w:t>成果或技术方案时，需征得其书面同意，并不得擅自复印或提供给第三人。</w:t>
            </w:r>
          </w:p>
        </w:tc>
      </w:tr>
      <w:tr w14:paraId="0384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65" w:type="dxa"/>
            <w:noWrap w:val="0"/>
            <w:vAlign w:val="center"/>
          </w:tcPr>
          <w:p w14:paraId="6F84C3B7">
            <w:pPr>
              <w:keepNext w:val="0"/>
              <w:keepLines w:val="0"/>
              <w:suppressLineNumbers w:val="0"/>
              <w:spacing w:before="0" w:beforeAutospacing="0" w:after="0" w:afterAutospacing="0"/>
              <w:ind w:left="0" w:right="0"/>
              <w:jc w:val="center"/>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9</w:t>
            </w:r>
          </w:p>
        </w:tc>
        <w:tc>
          <w:tcPr>
            <w:tcW w:w="1770" w:type="dxa"/>
            <w:noWrap w:val="0"/>
            <w:vAlign w:val="center"/>
          </w:tcPr>
          <w:p w14:paraId="4F78410F">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同义词语</w:t>
            </w:r>
          </w:p>
        </w:tc>
        <w:tc>
          <w:tcPr>
            <w:tcW w:w="6435" w:type="dxa"/>
            <w:noWrap w:val="0"/>
            <w:vAlign w:val="center"/>
          </w:tcPr>
          <w:p w14:paraId="7C956C4B">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14:paraId="0E26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5" w:type="dxa"/>
            <w:noWrap w:val="0"/>
            <w:vAlign w:val="center"/>
          </w:tcPr>
          <w:p w14:paraId="6DC066F4">
            <w:pPr>
              <w:keepNext w:val="0"/>
              <w:keepLines w:val="0"/>
              <w:suppressLineNumbers w:val="0"/>
              <w:spacing w:before="0" w:beforeAutospacing="0" w:after="0" w:afterAutospacing="0"/>
              <w:ind w:left="0" w:right="0"/>
              <w:jc w:val="center"/>
              <w:rPr>
                <w:rFonts w:hint="default" w:ascii="Calibri" w:hAnsi="Calibri" w:eastAsia="宋体" w:cs="Calibri"/>
                <w:color w:val="auto"/>
                <w:szCs w:val="21"/>
                <w:highlight w:val="none"/>
                <w:lang w:val="en-US" w:eastAsia="zh-CN"/>
              </w:rPr>
            </w:pPr>
            <w:r>
              <w:rPr>
                <w:rFonts w:hint="eastAsia" w:ascii="Calibri" w:hAnsi="Calibri" w:cs="Calibri"/>
                <w:color w:val="auto"/>
                <w:szCs w:val="21"/>
                <w:highlight w:val="none"/>
              </w:rPr>
              <w:t>10.</w:t>
            </w:r>
            <w:r>
              <w:rPr>
                <w:rFonts w:hint="eastAsia" w:ascii="Calibri" w:hAnsi="Calibri" w:cs="Calibri"/>
                <w:color w:val="auto"/>
                <w:szCs w:val="21"/>
                <w:highlight w:val="none"/>
                <w:lang w:val="en-US" w:eastAsia="zh-CN"/>
              </w:rPr>
              <w:t>10</w:t>
            </w:r>
          </w:p>
        </w:tc>
        <w:tc>
          <w:tcPr>
            <w:tcW w:w="1770" w:type="dxa"/>
            <w:noWrap w:val="0"/>
            <w:vAlign w:val="center"/>
          </w:tcPr>
          <w:p w14:paraId="695ABB80">
            <w:pPr>
              <w:keepNext w:val="0"/>
              <w:keepLines w:val="0"/>
              <w:widowControl/>
              <w:suppressLineNumbers w:val="0"/>
              <w:spacing w:before="0" w:beforeAutospacing="0" w:after="0" w:afterAutospacing="0"/>
              <w:ind w:left="0" w:right="0" w:firstLine="420" w:firstLineChars="200"/>
              <w:jc w:val="left"/>
              <w:rPr>
                <w:rFonts w:hint="default" w:ascii="Calibri" w:hAnsi="Calibri" w:cs="Calibri"/>
                <w:color w:val="auto"/>
                <w:szCs w:val="21"/>
                <w:highlight w:val="none"/>
              </w:rPr>
            </w:pPr>
            <w:r>
              <w:rPr>
                <w:rFonts w:hint="default" w:ascii="Calibri" w:hAnsi="Calibri" w:cs="Calibri"/>
                <w:color w:val="auto"/>
                <w:szCs w:val="21"/>
                <w:highlight w:val="none"/>
              </w:rPr>
              <w:t>监  督</w:t>
            </w:r>
          </w:p>
        </w:tc>
        <w:tc>
          <w:tcPr>
            <w:tcW w:w="6435" w:type="dxa"/>
            <w:noWrap w:val="0"/>
            <w:vAlign w:val="center"/>
          </w:tcPr>
          <w:p w14:paraId="78518277">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本项目的</w:t>
            </w:r>
            <w:r>
              <w:rPr>
                <w:rFonts w:hint="default" w:ascii="Calibri" w:hAnsi="Calibri" w:cs="Calibri"/>
                <w:bCs/>
                <w:color w:val="auto"/>
                <w:szCs w:val="21"/>
                <w:highlight w:val="none"/>
              </w:rPr>
              <w:t>招标</w:t>
            </w:r>
            <w:r>
              <w:rPr>
                <w:rFonts w:hint="default" w:ascii="Calibri" w:hAnsi="Calibri" w:cs="Calibri"/>
                <w:color w:val="auto"/>
                <w:szCs w:val="21"/>
                <w:highlight w:val="none"/>
              </w:rPr>
              <w:t>投标活动及其相关当事人应当接受有管辖权的建设工程招标投标行政监督部门依法实施的监督。</w:t>
            </w:r>
          </w:p>
        </w:tc>
      </w:tr>
      <w:tr w14:paraId="0372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065" w:type="dxa"/>
            <w:noWrap w:val="0"/>
            <w:vAlign w:val="center"/>
          </w:tcPr>
          <w:p w14:paraId="3FACE717">
            <w:pPr>
              <w:keepNext w:val="0"/>
              <w:keepLines w:val="0"/>
              <w:suppressLineNumbers w:val="0"/>
              <w:spacing w:before="0" w:beforeAutospacing="0" w:after="0" w:afterAutospacing="0"/>
              <w:ind w:left="0" w:right="0" w:firstLine="105" w:firstLineChars="5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1</w:t>
            </w:r>
          </w:p>
        </w:tc>
        <w:tc>
          <w:tcPr>
            <w:tcW w:w="1770" w:type="dxa"/>
            <w:noWrap w:val="0"/>
            <w:vAlign w:val="center"/>
          </w:tcPr>
          <w:p w14:paraId="12C87A20">
            <w:pPr>
              <w:keepNext w:val="0"/>
              <w:keepLines w:val="0"/>
              <w:widowControl/>
              <w:suppressLineNumbers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解释权</w:t>
            </w:r>
          </w:p>
        </w:tc>
        <w:tc>
          <w:tcPr>
            <w:tcW w:w="6435" w:type="dxa"/>
            <w:noWrap w:val="0"/>
            <w:vAlign w:val="center"/>
          </w:tcPr>
          <w:p w14:paraId="59F263BB">
            <w:pPr>
              <w:keepNext w:val="0"/>
              <w:keepLines w:val="0"/>
              <w:widowControl/>
              <w:suppressLineNumbers w:val="0"/>
              <w:spacing w:before="0" w:beforeAutospacing="0" w:after="0" w:afterAutospacing="0"/>
              <w:ind w:left="-103" w:leftChars="-49" w:right="0" w:firstLine="422" w:firstLineChars="201"/>
              <w:jc w:val="left"/>
              <w:rPr>
                <w:rFonts w:hint="default" w:ascii="Calibri" w:hAnsi="Calibri" w:cs="Calibri"/>
                <w:color w:val="auto"/>
                <w:szCs w:val="21"/>
                <w:highlight w:val="none"/>
              </w:rPr>
            </w:pPr>
            <w:r>
              <w:rPr>
                <w:rFonts w:hint="default" w:ascii="Calibri" w:hAnsi="Calibri" w:cs="Calibri"/>
                <w:color w:val="auto"/>
                <w:szCs w:val="21"/>
                <w:highlight w:val="none"/>
              </w:rPr>
              <w:t>构成本招标文件的各个组成文件</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章，下同</w:t>
            </w:r>
            <w:r>
              <w:rPr>
                <w:rFonts w:hint="eastAsia" w:ascii="Calibri" w:hAnsi="Calibri" w:cs="Calibri"/>
                <w:color w:val="auto"/>
                <w:szCs w:val="21"/>
                <w:highlight w:val="none"/>
                <w:lang w:eastAsia="zh-CN"/>
              </w:rPr>
              <w:t>）</w:t>
            </w:r>
            <w:r>
              <w:rPr>
                <w:rFonts w:hint="default" w:ascii="Calibri" w:hAnsi="Calibri" w:cs="Calibri"/>
                <w:color w:val="auto"/>
                <w:szCs w:val="21"/>
                <w:highlight w:val="none"/>
              </w:rPr>
              <w:t>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hint="default" w:ascii="Calibri" w:hAnsi="Calibri" w:cs="Calibri"/>
                <w:bCs/>
                <w:color w:val="auto"/>
                <w:szCs w:val="21"/>
                <w:highlight w:val="none"/>
              </w:rPr>
              <w:t>解释</w:t>
            </w:r>
            <w:r>
              <w:rPr>
                <w:rFonts w:hint="default" w:ascii="Calibri" w:hAnsi="Calibri" w:cs="Calibri"/>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14:paraId="5915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70" w:type="dxa"/>
            <w:gridSpan w:val="3"/>
            <w:noWrap w:val="0"/>
            <w:vAlign w:val="center"/>
          </w:tcPr>
          <w:p w14:paraId="00C2E92D">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default" w:ascii="Calibri" w:hAnsi="Calibri" w:cs="Calibri"/>
                <w:color w:val="auto"/>
                <w:szCs w:val="21"/>
                <w:highlight w:val="none"/>
              </w:rPr>
              <w:t>其他补充内容</w:t>
            </w:r>
          </w:p>
        </w:tc>
      </w:tr>
      <w:tr w14:paraId="072D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065" w:type="dxa"/>
            <w:noWrap w:val="0"/>
            <w:vAlign w:val="center"/>
          </w:tcPr>
          <w:p w14:paraId="7060F7F3">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.1</w:t>
            </w:r>
          </w:p>
        </w:tc>
        <w:tc>
          <w:tcPr>
            <w:tcW w:w="8205" w:type="dxa"/>
            <w:gridSpan w:val="2"/>
            <w:noWrap w:val="0"/>
            <w:vAlign w:val="center"/>
          </w:tcPr>
          <w:p w14:paraId="77AFED99">
            <w:pPr>
              <w:keepNext w:val="0"/>
              <w:keepLines w:val="0"/>
              <w:suppressLineNumbers w:val="0"/>
              <w:spacing w:before="0" w:beforeAutospacing="0" w:after="0" w:afterAutospacing="0"/>
              <w:ind w:left="0" w:right="0" w:firstLine="420" w:firstLineChars="200"/>
              <w:rPr>
                <w:rFonts w:hint="default" w:ascii="Calibri" w:hAnsi="Calibri" w:cs="Calibri"/>
                <w:bCs/>
                <w:color w:val="auto"/>
                <w:szCs w:val="21"/>
                <w:highlight w:val="none"/>
              </w:rPr>
            </w:pPr>
            <w:r>
              <w:rPr>
                <w:rFonts w:hint="default" w:ascii="Calibri" w:hAnsi="Calibri" w:cs="Calibri"/>
                <w:bCs/>
                <w:color w:val="auto"/>
                <w:szCs w:val="21"/>
                <w:highlight w:val="none"/>
              </w:rPr>
              <w:t>以暂估价形式包括在总承包范围内的工程、货物、服务属于依法必须进行招标的项目范围且达到国家规定规模标准的，应当依法进行招标。</w:t>
            </w:r>
          </w:p>
        </w:tc>
      </w:tr>
      <w:tr w14:paraId="56DC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0"/>
            <w:vAlign w:val="center"/>
          </w:tcPr>
          <w:p w14:paraId="6DDA0FC5">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.2</w:t>
            </w:r>
          </w:p>
        </w:tc>
        <w:tc>
          <w:tcPr>
            <w:tcW w:w="8205" w:type="dxa"/>
            <w:gridSpan w:val="2"/>
            <w:noWrap w:val="0"/>
            <w:vAlign w:val="center"/>
          </w:tcPr>
          <w:p w14:paraId="515B13F8">
            <w:pPr>
              <w:keepNext w:val="0"/>
              <w:keepLines w:val="0"/>
              <w:suppressLineNumbers w:val="0"/>
              <w:spacing w:before="0" w:beforeAutospacing="0" w:after="0" w:afterAutospacing="0"/>
              <w:ind w:left="0" w:right="0"/>
              <w:rPr>
                <w:rFonts w:hint="default" w:ascii="Calibri" w:hAnsi="Calibri" w:cs="Calibri"/>
                <w:color w:val="auto"/>
                <w:szCs w:val="21"/>
                <w:highlight w:val="none"/>
              </w:rPr>
            </w:pPr>
            <w:r>
              <w:rPr>
                <w:rFonts w:hint="default" w:ascii="Calibri" w:hAnsi="Calibri" w:cs="Calibri"/>
                <w:color w:val="auto"/>
                <w:szCs w:val="21"/>
                <w:highlight w:val="none"/>
              </w:rPr>
              <w:t>1.招标文件中所设置的内容、条款及未尽事宜，以国家</w:t>
            </w:r>
            <w:r>
              <w:rPr>
                <w:rFonts w:hint="eastAsia" w:ascii="Calibri" w:hAnsi="Calibri" w:cs="Calibri"/>
                <w:color w:val="auto"/>
                <w:szCs w:val="21"/>
                <w:highlight w:val="none"/>
              </w:rPr>
              <w:t>或</w:t>
            </w:r>
            <w:r>
              <w:rPr>
                <w:rFonts w:hint="default" w:ascii="Calibri" w:hAnsi="Calibri" w:cs="Calibri"/>
                <w:color w:val="auto"/>
                <w:szCs w:val="21"/>
                <w:highlight w:val="none"/>
              </w:rPr>
              <w:t>省有关规定为准；</w:t>
            </w:r>
          </w:p>
          <w:p w14:paraId="116E2A86">
            <w:pPr>
              <w:keepNext w:val="0"/>
              <w:keepLines w:val="0"/>
              <w:suppressLineNumbers w:val="0"/>
              <w:spacing w:before="0" w:beforeAutospacing="0" w:after="0" w:afterAutospacing="0"/>
              <w:ind w:left="0" w:right="0"/>
              <w:rPr>
                <w:rFonts w:hint="eastAsia" w:ascii="Calibri" w:hAnsi="Calibri" w:eastAsia="宋体" w:cs="Calibri"/>
                <w:color w:val="auto"/>
                <w:szCs w:val="21"/>
                <w:highlight w:val="none"/>
                <w:lang w:eastAsia="zh-CN"/>
              </w:rPr>
            </w:pPr>
            <w:r>
              <w:rPr>
                <w:rFonts w:hint="default" w:ascii="Calibri" w:hAnsi="Calibri" w:cs="Calibri"/>
                <w:color w:val="auto"/>
                <w:szCs w:val="21"/>
                <w:highlight w:val="none"/>
              </w:rPr>
              <w:t>2.其它：</w:t>
            </w:r>
            <w:r>
              <w:rPr>
                <w:rFonts w:hint="eastAsia"/>
                <w:spacing w:val="8"/>
                <w:lang w:val="en-US" w:eastAsia="zh-CN"/>
              </w:rPr>
              <w:t>/</w:t>
            </w:r>
          </w:p>
        </w:tc>
      </w:tr>
      <w:tr w14:paraId="247D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5" w:type="dxa"/>
            <w:noWrap w:val="0"/>
            <w:vAlign w:val="center"/>
          </w:tcPr>
          <w:p w14:paraId="3EEAD278">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.3</w:t>
            </w:r>
          </w:p>
        </w:tc>
        <w:tc>
          <w:tcPr>
            <w:tcW w:w="8205" w:type="dxa"/>
            <w:gridSpan w:val="2"/>
            <w:noWrap w:val="0"/>
            <w:vAlign w:val="center"/>
          </w:tcPr>
          <w:p w14:paraId="3DF5A69E">
            <w:pPr>
              <w:pStyle w:val="7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本招标文件要求的复印件是指复印件或扫描件或影印件。</w:t>
            </w:r>
          </w:p>
        </w:tc>
      </w:tr>
      <w:tr w14:paraId="6F2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65" w:type="dxa"/>
            <w:noWrap w:val="0"/>
            <w:vAlign w:val="center"/>
          </w:tcPr>
          <w:p w14:paraId="5F3DAAEF">
            <w:pPr>
              <w:keepNext w:val="0"/>
              <w:keepLines w:val="0"/>
              <w:suppressLineNumbers w:val="0"/>
              <w:snapToGrid w:val="0"/>
              <w:spacing w:before="0" w:beforeAutospacing="0" w:after="0" w:afterAutospacing="0"/>
              <w:ind w:left="0" w:right="0"/>
              <w:rPr>
                <w:rFonts w:hint="default" w:ascii="Calibri" w:hAnsi="Calibri" w:cs="Calibri"/>
                <w:color w:val="auto"/>
                <w:szCs w:val="21"/>
                <w:highlight w:val="none"/>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.4</w:t>
            </w:r>
          </w:p>
        </w:tc>
        <w:tc>
          <w:tcPr>
            <w:tcW w:w="8205" w:type="dxa"/>
            <w:gridSpan w:val="2"/>
            <w:noWrap w:val="0"/>
            <w:vAlign w:val="center"/>
          </w:tcPr>
          <w:p w14:paraId="1982A113">
            <w:pPr>
              <w:pStyle w:val="7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招标代理服务费</w:t>
            </w:r>
            <w:r>
              <w:rPr>
                <w:rFonts w:hint="eastAsia" w:ascii="Calibri" w:hAnsi="Calibri" w:cs="Calibri"/>
                <w:color w:val="auto"/>
                <w:highlight w:val="none"/>
              </w:rPr>
              <w:t>：</w:t>
            </w:r>
            <w:r>
              <w:rPr>
                <w:rFonts w:hint="default"/>
                <w:spacing w:val="10"/>
                <w:u w:val="single" w:color="auto"/>
              </w:rPr>
              <w:t>按照招标代理合同约定</w:t>
            </w:r>
          </w:p>
          <w:p w14:paraId="1AD9F20A">
            <w:pPr>
              <w:pStyle w:val="75"/>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交易服务费：</w:t>
            </w:r>
            <w:r>
              <w:rPr>
                <w:rFonts w:hint="default"/>
                <w:spacing w:val="12"/>
                <w:u w:val="single" w:color="auto"/>
              </w:rPr>
              <w:t>根据《湖南省发展和改革委员会关于我省公共资源交易服务收费的通</w:t>
            </w:r>
            <w:r>
              <w:rPr>
                <w:rFonts w:hint="default"/>
                <w:spacing w:val="6"/>
                <w:u w:val="single" w:color="auto"/>
              </w:rPr>
              <w:t>知》（湘发改价费规〔</w:t>
            </w:r>
            <w:r>
              <w:rPr>
                <w:rFonts w:hint="default" w:ascii="Times New Roman" w:hAnsi="Times New Roman" w:eastAsia="Times New Roman" w:cs="Times New Roman"/>
                <w:spacing w:val="6"/>
                <w:u w:val="single" w:color="auto"/>
              </w:rPr>
              <w:t>2024</w:t>
            </w:r>
            <w:r>
              <w:rPr>
                <w:rFonts w:hint="default"/>
                <w:spacing w:val="6"/>
                <w:u w:val="single" w:color="auto"/>
              </w:rPr>
              <w:t>〕</w:t>
            </w:r>
            <w:r>
              <w:rPr>
                <w:rFonts w:hint="default" w:ascii="Times New Roman" w:hAnsi="Times New Roman" w:eastAsia="Times New Roman" w:cs="Times New Roman"/>
                <w:spacing w:val="6"/>
                <w:u w:val="single" w:color="auto"/>
              </w:rPr>
              <w:t xml:space="preserve">292 </w:t>
            </w:r>
            <w:r>
              <w:rPr>
                <w:rFonts w:hint="default"/>
                <w:spacing w:val="6"/>
                <w:u w:val="single" w:color="auto"/>
              </w:rPr>
              <w:t xml:space="preserve">号）文件规定，本项目交易服务费按照招标人 </w:t>
            </w:r>
            <w:r>
              <w:rPr>
                <w:rFonts w:hint="default" w:ascii="Times New Roman" w:hAnsi="Times New Roman" w:eastAsia="Times New Roman" w:cs="Times New Roman"/>
                <w:spacing w:val="6"/>
                <w:u w:val="single" w:color="auto"/>
              </w:rPr>
              <w:t>0%</w:t>
            </w:r>
            <w:r>
              <w:rPr>
                <w:rFonts w:hint="eastAsia" w:ascii="Times New Roman" w:hAnsi="Times New Roman" w:cs="Times New Roman"/>
                <w:spacing w:val="6"/>
                <w:u w:val="single" w:color="auto"/>
                <w:lang w:eastAsia="zh-CN"/>
              </w:rPr>
              <w:t>，</w:t>
            </w:r>
            <w:r>
              <w:rPr>
                <w:rFonts w:hint="default"/>
                <w:spacing w:val="6"/>
                <w:u w:val="single" w:color="auto"/>
              </w:rPr>
              <w:t>中标人</w:t>
            </w:r>
            <w:r>
              <w:rPr>
                <w:rFonts w:hint="default"/>
                <w:spacing w:val="-21"/>
                <w:u w:val="single" w:color="auto"/>
              </w:rPr>
              <w:t xml:space="preserve"> </w:t>
            </w:r>
            <w:r>
              <w:rPr>
                <w:rFonts w:hint="default" w:ascii="Times New Roman" w:hAnsi="Times New Roman" w:eastAsia="Times New Roman" w:cs="Times New Roman"/>
                <w:spacing w:val="6"/>
                <w:u w:val="single" w:color="auto"/>
              </w:rPr>
              <w:t>100%</w:t>
            </w:r>
            <w:r>
              <w:rPr>
                <w:rFonts w:hint="default"/>
                <w:spacing w:val="6"/>
                <w:u w:val="single" w:color="auto"/>
              </w:rPr>
              <w:t>收取。</w:t>
            </w:r>
          </w:p>
        </w:tc>
      </w:tr>
      <w:tr w14:paraId="61B3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65" w:type="dxa"/>
            <w:noWrap w:val="0"/>
            <w:vAlign w:val="center"/>
          </w:tcPr>
          <w:p w14:paraId="092ED8DA">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10.1</w:t>
            </w:r>
            <w:r>
              <w:rPr>
                <w:rFonts w:hint="eastAsia" w:ascii="Calibri" w:hAnsi="Calibri" w:cs="Calibri"/>
                <w:color w:val="auto"/>
                <w:szCs w:val="21"/>
                <w:highlight w:val="none"/>
                <w:lang w:val="en-US" w:eastAsia="zh-CN"/>
              </w:rPr>
              <w:t>2</w:t>
            </w:r>
            <w:r>
              <w:rPr>
                <w:rFonts w:hint="eastAsia" w:ascii="Calibri" w:hAnsi="Calibri" w:cs="Calibri"/>
                <w:color w:val="auto"/>
                <w:szCs w:val="21"/>
                <w:highlight w:val="none"/>
              </w:rPr>
              <w:t>.</w:t>
            </w:r>
            <w:r>
              <w:rPr>
                <w:rFonts w:hint="eastAsia" w:ascii="Calibri" w:hAnsi="Calibri" w:cs="Calibri"/>
                <w:color w:val="auto"/>
                <w:szCs w:val="21"/>
                <w:highlight w:val="none"/>
                <w:lang w:val="en-US" w:eastAsia="zh-CN"/>
              </w:rPr>
              <w:t>5</w:t>
            </w:r>
          </w:p>
        </w:tc>
        <w:tc>
          <w:tcPr>
            <w:tcW w:w="8205" w:type="dxa"/>
            <w:gridSpan w:val="2"/>
            <w:noWrap w:val="0"/>
            <w:vAlign w:val="center"/>
          </w:tcPr>
          <w:p w14:paraId="10D02D2B">
            <w:pPr>
              <w:pStyle w:val="75"/>
              <w:keepNext w:val="0"/>
              <w:keepLines w:val="0"/>
              <w:suppressLineNumbers w:val="0"/>
              <w:spacing w:before="0" w:beforeAutospacing="0" w:after="0" w:afterAutospacing="0"/>
              <w:ind w:left="0" w:right="0"/>
              <w:rPr>
                <w:rFonts w:hint="default" w:ascii="宋体" w:hAnsi="宋体" w:cs="仿宋_GB2312"/>
                <w:color w:val="auto"/>
                <w:highlight w:val="none"/>
              </w:rPr>
            </w:pPr>
            <w:r>
              <w:rPr>
                <w:rFonts w:hint="eastAsia" w:ascii="宋体" w:hAnsi="宋体" w:cs="Calibri"/>
                <w:color w:val="auto"/>
                <w:highlight w:val="none"/>
              </w:rPr>
              <w:t>□</w:t>
            </w:r>
            <w:r>
              <w:rPr>
                <w:rFonts w:hint="eastAsia" w:ascii="宋体" w:hAnsi="宋体" w:cs="仿宋_GB2312"/>
                <w:color w:val="auto"/>
                <w:highlight w:val="none"/>
              </w:rPr>
              <w:t>本项目属于</w:t>
            </w:r>
            <w:r>
              <w:rPr>
                <w:rFonts w:hint="eastAsia" w:ascii="Calibri" w:hAnsi="Calibri" w:cs="Calibri"/>
                <w:color w:val="auto"/>
                <w:highlight w:val="none"/>
              </w:rPr>
              <w:t>园林绿化工程。</w:t>
            </w:r>
          </w:p>
        </w:tc>
      </w:tr>
      <w:tr w14:paraId="0D92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065" w:type="dxa"/>
            <w:noWrap w:val="0"/>
            <w:vAlign w:val="center"/>
          </w:tcPr>
          <w:p w14:paraId="625499C1">
            <w:pPr>
              <w:keepNext w:val="0"/>
              <w:keepLines w:val="0"/>
              <w:suppressLineNumbers w:val="0"/>
              <w:snapToGrid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1</w:t>
            </w:r>
            <w:r>
              <w:rPr>
                <w:rFonts w:hint="default" w:ascii="Calibri" w:hAnsi="Calibri" w:cs="Calibri"/>
                <w:color w:val="auto"/>
                <w:szCs w:val="21"/>
                <w:highlight w:val="none"/>
              </w:rPr>
              <w:t>0.1</w:t>
            </w:r>
            <w:r>
              <w:rPr>
                <w:rFonts w:hint="eastAsia" w:ascii="Calibri" w:hAnsi="Calibri" w:cs="Calibri"/>
                <w:color w:val="auto"/>
                <w:szCs w:val="21"/>
                <w:highlight w:val="none"/>
                <w:lang w:val="en-US" w:eastAsia="zh-CN"/>
              </w:rPr>
              <w:t>2</w:t>
            </w:r>
            <w:r>
              <w:rPr>
                <w:rFonts w:hint="default" w:ascii="Calibri" w:hAnsi="Calibri" w:cs="Calibri"/>
                <w:color w:val="auto"/>
                <w:szCs w:val="21"/>
                <w:highlight w:val="none"/>
              </w:rPr>
              <w:t>.</w:t>
            </w:r>
            <w:r>
              <w:rPr>
                <w:rFonts w:hint="eastAsia" w:ascii="Calibri" w:hAnsi="Calibri" w:cs="Calibri"/>
                <w:color w:val="auto"/>
                <w:szCs w:val="21"/>
                <w:highlight w:val="none"/>
                <w:lang w:val="en-US" w:eastAsia="zh-CN"/>
              </w:rPr>
              <w:t>6</w:t>
            </w:r>
          </w:p>
        </w:tc>
        <w:tc>
          <w:tcPr>
            <w:tcW w:w="8205" w:type="dxa"/>
            <w:gridSpan w:val="2"/>
            <w:noWrap w:val="0"/>
            <w:vAlign w:val="center"/>
          </w:tcPr>
          <w:p w14:paraId="3DE953E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拟任项目经理在建情况以投标截止时在“湖南省建筑工程监管信息平台”查询信息为准，有在其他项目任关键岗位人员情形的，评标委员会应当否决其投标。</w:t>
            </w:r>
          </w:p>
          <w:p w14:paraId="6AD3D5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14:paraId="6EB3BE5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0" w:firstLineChars="200"/>
              <w:textAlignment w:val="auto"/>
              <w:rPr>
                <w:rFonts w:hint="eastAsia" w:ascii="宋体" w:hAnsi="宋体" w:cs="仿宋_GB2312"/>
                <w:color w:val="auto"/>
                <w:highlight w:val="none"/>
              </w:rPr>
            </w:pPr>
            <w:r>
              <w:rPr>
                <w:rFonts w:hint="eastAsia" w:ascii="仿宋_GB2312" w:hAnsi="仿宋_GB2312" w:cs="仿宋_GB2312"/>
                <w:color w:val="auto"/>
                <w:sz w:val="21"/>
                <w:szCs w:val="21"/>
                <w:highlight w:val="none"/>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tc>
      </w:tr>
      <w:tr w14:paraId="24E7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65" w:type="dxa"/>
            <w:noWrap w:val="0"/>
            <w:vAlign w:val="center"/>
          </w:tcPr>
          <w:p w14:paraId="0903A29C">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default" w:ascii="Calibri" w:hAnsi="Calibri" w:cs="Calibri"/>
                <w:color w:val="auto"/>
                <w:szCs w:val="21"/>
                <w:highlight w:val="none"/>
              </w:rPr>
              <w:t>……</w:t>
            </w:r>
          </w:p>
        </w:tc>
        <w:tc>
          <w:tcPr>
            <w:tcW w:w="8205" w:type="dxa"/>
            <w:gridSpan w:val="2"/>
            <w:noWrap w:val="0"/>
            <w:vAlign w:val="center"/>
          </w:tcPr>
          <w:p w14:paraId="78A8EDDB">
            <w:pPr>
              <w:pStyle w:val="75"/>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rPr>
              <w:t>……</w:t>
            </w:r>
          </w:p>
        </w:tc>
      </w:tr>
    </w:tbl>
    <w:p w14:paraId="1DEDF9CA">
      <w:pPr>
        <w:snapToGrid w:val="0"/>
        <w:jc w:val="center"/>
        <w:rPr>
          <w:rFonts w:eastAsia="黑体"/>
          <w:color w:val="auto"/>
          <w:sz w:val="28"/>
          <w:szCs w:val="28"/>
          <w:highlight w:val="none"/>
        </w:rPr>
      </w:pPr>
      <w:bookmarkStart w:id="62" w:name="_Toc300677998"/>
      <w:r>
        <w:rPr>
          <w:rFonts w:eastAsia="黑体"/>
          <w:color w:val="auto"/>
          <w:sz w:val="28"/>
          <w:szCs w:val="28"/>
          <w:highlight w:val="none"/>
        </w:rPr>
        <w:br w:type="page"/>
      </w:r>
      <w:r>
        <w:rPr>
          <w:rFonts w:eastAsia="黑体"/>
          <w:color w:val="auto"/>
          <w:sz w:val="28"/>
          <w:szCs w:val="28"/>
          <w:highlight w:val="none"/>
        </w:rPr>
        <w:t>投标人须知</w:t>
      </w:r>
      <w:bookmarkEnd w:id="62"/>
    </w:p>
    <w:p w14:paraId="0BD68860">
      <w:pPr>
        <w:pStyle w:val="75"/>
        <w:rPr>
          <w:rFonts w:eastAsia="黑体"/>
          <w:color w:val="auto"/>
          <w:highlight w:val="none"/>
        </w:rPr>
      </w:pPr>
    </w:p>
    <w:p w14:paraId="7003E18E">
      <w:pPr>
        <w:pStyle w:val="6"/>
        <w:spacing w:before="0" w:after="0" w:line="360" w:lineRule="auto"/>
        <w:rPr>
          <w:rFonts w:ascii="Times New Roman" w:hAnsi="Times New Roman" w:eastAsia="黑体"/>
          <w:b w:val="0"/>
          <w:bCs w:val="0"/>
          <w:color w:val="auto"/>
          <w:sz w:val="30"/>
          <w:highlight w:val="none"/>
        </w:rPr>
      </w:pPr>
      <w:bookmarkStart w:id="63" w:name="_Toc9178518"/>
      <w:bookmarkStart w:id="64" w:name="_Toc300677999"/>
      <w:bookmarkStart w:id="65" w:name="_Toc80006199"/>
      <w:bookmarkStart w:id="66" w:name="_Toc80006089"/>
      <w:r>
        <w:rPr>
          <w:rFonts w:ascii="Times New Roman" w:hAnsi="Times New Roman" w:eastAsia="黑体"/>
          <w:b w:val="0"/>
          <w:bCs w:val="0"/>
          <w:color w:val="auto"/>
          <w:sz w:val="30"/>
          <w:highlight w:val="none"/>
        </w:rPr>
        <w:t>1.总则</w:t>
      </w:r>
      <w:bookmarkEnd w:id="63"/>
      <w:bookmarkEnd w:id="64"/>
      <w:bookmarkEnd w:id="65"/>
      <w:bookmarkEnd w:id="66"/>
    </w:p>
    <w:p w14:paraId="25DEDC1A">
      <w:pPr>
        <w:pStyle w:val="8"/>
        <w:rPr>
          <w:rFonts w:ascii="Times New Roman" w:hAnsi="Times New Roman" w:eastAsia="黑体"/>
          <w:b w:val="0"/>
          <w:bCs w:val="0"/>
          <w:color w:val="auto"/>
          <w:sz w:val="24"/>
          <w:highlight w:val="none"/>
        </w:rPr>
      </w:pPr>
      <w:bookmarkStart w:id="67" w:name="_Toc300678000"/>
      <w:r>
        <w:rPr>
          <w:rFonts w:ascii="Times New Roman" w:hAnsi="Times New Roman" w:eastAsia="黑体"/>
          <w:b w:val="0"/>
          <w:bCs w:val="0"/>
          <w:color w:val="auto"/>
          <w:sz w:val="24"/>
          <w:highlight w:val="none"/>
        </w:rPr>
        <w:t>1.1 项目概况</w:t>
      </w:r>
      <w:bookmarkEnd w:id="67"/>
    </w:p>
    <w:p w14:paraId="51F09659">
      <w:pPr>
        <w:pStyle w:val="75"/>
        <w:spacing w:line="360" w:lineRule="auto"/>
        <w:ind w:firstLine="420" w:firstLineChars="200"/>
        <w:rPr>
          <w:color w:val="auto"/>
          <w:highlight w:val="none"/>
        </w:rPr>
      </w:pPr>
      <w:r>
        <w:rPr>
          <w:color w:val="auto"/>
          <w:highlight w:val="none"/>
        </w:rPr>
        <w:t>1.1.1  根据《 中华人民共和国招标投标法》、</w:t>
      </w:r>
      <w:r>
        <w:rPr>
          <w:color w:val="auto"/>
          <w:sz w:val="22"/>
          <w:szCs w:val="22"/>
          <w:highlight w:val="none"/>
        </w:rPr>
        <w:t>《中华人民共和国招标投标法实施条例》</w:t>
      </w:r>
      <w:r>
        <w:rPr>
          <w:color w:val="auto"/>
          <w:highlight w:val="none"/>
        </w:rPr>
        <w:t xml:space="preserve"> 等有关法律、法规和规章的规定，本招标项目已具备招标条件，现对施工进行招标。</w:t>
      </w:r>
    </w:p>
    <w:p w14:paraId="30AE91E1">
      <w:pPr>
        <w:pStyle w:val="75"/>
        <w:spacing w:line="360" w:lineRule="auto"/>
        <w:ind w:firstLine="420" w:firstLineChars="200"/>
        <w:rPr>
          <w:color w:val="auto"/>
          <w:highlight w:val="none"/>
        </w:rPr>
      </w:pPr>
      <w:r>
        <w:rPr>
          <w:color w:val="auto"/>
          <w:highlight w:val="none"/>
        </w:rPr>
        <w:t>1.1.2  招标人：见投标人须知前附表。</w:t>
      </w:r>
    </w:p>
    <w:p w14:paraId="56D09D91">
      <w:pPr>
        <w:pStyle w:val="75"/>
        <w:spacing w:line="360" w:lineRule="auto"/>
        <w:ind w:firstLine="420" w:firstLineChars="200"/>
        <w:rPr>
          <w:color w:val="auto"/>
          <w:highlight w:val="none"/>
        </w:rPr>
      </w:pPr>
      <w:r>
        <w:rPr>
          <w:color w:val="auto"/>
          <w:highlight w:val="none"/>
        </w:rPr>
        <w:t>1.1.3  招标代理机构：见投标人须知前附表。</w:t>
      </w:r>
    </w:p>
    <w:p w14:paraId="0A0DC6F1">
      <w:pPr>
        <w:pStyle w:val="75"/>
        <w:spacing w:line="360" w:lineRule="auto"/>
        <w:ind w:firstLine="420" w:firstLineChars="200"/>
        <w:rPr>
          <w:color w:val="auto"/>
          <w:highlight w:val="none"/>
        </w:rPr>
      </w:pPr>
      <w:r>
        <w:rPr>
          <w:color w:val="auto"/>
          <w:highlight w:val="none"/>
        </w:rPr>
        <w:t xml:space="preserve">1.1.4  </w:t>
      </w:r>
      <w:r>
        <w:rPr>
          <w:rFonts w:hint="eastAsia"/>
          <w:color w:val="auto"/>
          <w:highlight w:val="none"/>
        </w:rPr>
        <w:t>招标</w:t>
      </w:r>
      <w:r>
        <w:rPr>
          <w:color w:val="auto"/>
          <w:highlight w:val="none"/>
        </w:rPr>
        <w:t>项目名称：见投标人须知前附表。</w:t>
      </w:r>
    </w:p>
    <w:p w14:paraId="499D1C11">
      <w:pPr>
        <w:pStyle w:val="75"/>
        <w:spacing w:line="360" w:lineRule="auto"/>
        <w:ind w:firstLine="420" w:firstLineChars="200"/>
        <w:rPr>
          <w:color w:val="auto"/>
          <w:highlight w:val="none"/>
        </w:rPr>
      </w:pPr>
      <w:r>
        <w:rPr>
          <w:color w:val="auto"/>
          <w:highlight w:val="none"/>
        </w:rPr>
        <w:t>1.1.5  建设地点：见投标人须知前附表。</w:t>
      </w:r>
    </w:p>
    <w:p w14:paraId="53B529CF">
      <w:pPr>
        <w:pStyle w:val="8"/>
        <w:rPr>
          <w:rFonts w:ascii="Times New Roman" w:hAnsi="Times New Roman" w:eastAsia="黑体"/>
          <w:b w:val="0"/>
          <w:bCs w:val="0"/>
          <w:color w:val="auto"/>
          <w:sz w:val="24"/>
          <w:highlight w:val="none"/>
        </w:rPr>
      </w:pPr>
      <w:bookmarkStart w:id="68" w:name="_Toc300678001"/>
      <w:r>
        <w:rPr>
          <w:rFonts w:ascii="Times New Roman" w:hAnsi="Times New Roman" w:eastAsia="黑体"/>
          <w:b w:val="0"/>
          <w:bCs w:val="0"/>
          <w:color w:val="auto"/>
          <w:sz w:val="24"/>
          <w:highlight w:val="none"/>
        </w:rPr>
        <w:t>1.2 资金来源和落实情况</w:t>
      </w:r>
      <w:bookmarkEnd w:id="68"/>
    </w:p>
    <w:p w14:paraId="3228093B">
      <w:pPr>
        <w:pStyle w:val="75"/>
        <w:spacing w:line="360" w:lineRule="auto"/>
        <w:ind w:firstLine="420" w:firstLineChars="200"/>
        <w:rPr>
          <w:color w:val="auto"/>
          <w:highlight w:val="none"/>
        </w:rPr>
      </w:pPr>
      <w:r>
        <w:rPr>
          <w:color w:val="auto"/>
          <w:highlight w:val="none"/>
        </w:rPr>
        <w:t>详见招标公告或投标邀请书 。</w:t>
      </w:r>
    </w:p>
    <w:p w14:paraId="6DB751CE">
      <w:pPr>
        <w:pStyle w:val="8"/>
        <w:rPr>
          <w:rFonts w:ascii="Times New Roman" w:hAnsi="Times New Roman" w:eastAsia="黑体"/>
          <w:b w:val="0"/>
          <w:bCs w:val="0"/>
          <w:color w:val="auto"/>
          <w:sz w:val="24"/>
          <w:highlight w:val="none"/>
        </w:rPr>
      </w:pPr>
      <w:bookmarkStart w:id="69" w:name="_Toc300678002"/>
      <w:r>
        <w:rPr>
          <w:rFonts w:ascii="Times New Roman" w:hAnsi="Times New Roman" w:eastAsia="黑体"/>
          <w:b w:val="0"/>
          <w:bCs w:val="0"/>
          <w:color w:val="auto"/>
          <w:sz w:val="24"/>
          <w:highlight w:val="none"/>
        </w:rPr>
        <w:t>1.3 招标范围、计划工期和质量要求</w:t>
      </w:r>
      <w:bookmarkEnd w:id="69"/>
    </w:p>
    <w:p w14:paraId="483D0709">
      <w:pPr>
        <w:pStyle w:val="75"/>
        <w:spacing w:line="360" w:lineRule="auto"/>
        <w:ind w:firstLine="420" w:firstLineChars="200"/>
        <w:rPr>
          <w:color w:val="auto"/>
          <w:highlight w:val="none"/>
        </w:rPr>
      </w:pPr>
      <w:r>
        <w:rPr>
          <w:color w:val="auto"/>
          <w:highlight w:val="none"/>
        </w:rPr>
        <w:t>1.3.1  招标范围：见投标人须知前附表。</w:t>
      </w:r>
    </w:p>
    <w:p w14:paraId="47A7E38C">
      <w:pPr>
        <w:pStyle w:val="75"/>
        <w:spacing w:line="360" w:lineRule="auto"/>
        <w:ind w:firstLine="420" w:firstLineChars="200"/>
        <w:rPr>
          <w:color w:val="auto"/>
          <w:highlight w:val="none"/>
        </w:rPr>
      </w:pPr>
      <w:r>
        <w:rPr>
          <w:color w:val="auto"/>
          <w:highlight w:val="none"/>
        </w:rPr>
        <w:t>1.3.2  计划工期：见投标人须知前附表。</w:t>
      </w:r>
    </w:p>
    <w:p w14:paraId="7A2C8B60">
      <w:pPr>
        <w:pStyle w:val="75"/>
        <w:spacing w:line="360" w:lineRule="auto"/>
        <w:ind w:firstLine="420" w:firstLineChars="200"/>
        <w:rPr>
          <w:color w:val="auto"/>
          <w:highlight w:val="none"/>
        </w:rPr>
      </w:pPr>
      <w:r>
        <w:rPr>
          <w:color w:val="auto"/>
          <w:highlight w:val="none"/>
        </w:rPr>
        <w:t>1.3.3  质量标准和保修要求：见投标人须知前附表。</w:t>
      </w:r>
    </w:p>
    <w:p w14:paraId="230444F0">
      <w:pPr>
        <w:pStyle w:val="8"/>
        <w:rPr>
          <w:rFonts w:ascii="Times New Roman" w:hAnsi="Times New Roman" w:eastAsia="黑体"/>
          <w:b w:val="0"/>
          <w:bCs w:val="0"/>
          <w:color w:val="auto"/>
          <w:sz w:val="24"/>
          <w:highlight w:val="none"/>
        </w:rPr>
      </w:pPr>
      <w:bookmarkStart w:id="70" w:name="_Toc300678003"/>
      <w:r>
        <w:rPr>
          <w:rFonts w:ascii="Times New Roman" w:hAnsi="Times New Roman" w:eastAsia="黑体"/>
          <w:b w:val="0"/>
          <w:bCs w:val="0"/>
          <w:color w:val="auto"/>
          <w:sz w:val="24"/>
          <w:highlight w:val="none"/>
        </w:rPr>
        <w:t>1.4 投标人资格要求</w:t>
      </w:r>
    </w:p>
    <w:p w14:paraId="5DFDEC75">
      <w:pPr>
        <w:pStyle w:val="75"/>
        <w:spacing w:line="360" w:lineRule="auto"/>
        <w:ind w:firstLine="420" w:firstLineChars="200"/>
        <w:rPr>
          <w:strike/>
          <w:color w:val="auto"/>
          <w:highlight w:val="none"/>
        </w:rPr>
      </w:pPr>
      <w:bookmarkStart w:id="71" w:name="_Toc300678004"/>
      <w:r>
        <w:rPr>
          <w:color w:val="auto"/>
          <w:highlight w:val="none"/>
        </w:rPr>
        <w:t>□采用资格预审方式，</w:t>
      </w:r>
      <w:r>
        <w:rPr>
          <w:rFonts w:hint="eastAsia" w:ascii="宋体" w:hAnsi="宋体"/>
          <w:color w:val="auto"/>
          <w:highlight w:val="none"/>
        </w:rPr>
        <w:t>投标人应是收到招标人发出投标邀请书的单位。</w:t>
      </w:r>
      <w:bookmarkEnd w:id="71"/>
    </w:p>
    <w:p w14:paraId="02D7344C">
      <w:pPr>
        <w:pStyle w:val="8"/>
        <w:ind w:firstLine="420" w:firstLineChars="200"/>
        <w:rPr>
          <w:rFonts w:hint="eastAsia" w:ascii="宋体" w:hAnsi="宋体" w:cs="宋体"/>
          <w:b w:val="0"/>
          <w:bCs w:val="0"/>
          <w:color w:val="auto"/>
          <w:szCs w:val="21"/>
          <w:highlight w:val="none"/>
        </w:rPr>
      </w:pPr>
      <w:r>
        <w:rPr>
          <w:rFonts w:hint="eastAsia" w:ascii="Times New Roman" w:hAnsi="Times New Roman"/>
          <w:b w:val="0"/>
          <w:color w:val="auto"/>
          <w:szCs w:val="21"/>
          <w:highlight w:val="none"/>
          <w:lang w:eastAsia="zh-CN"/>
        </w:rPr>
        <w:t>☑</w:t>
      </w:r>
      <w:r>
        <w:rPr>
          <w:rFonts w:ascii="Times New Roman" w:hAnsi="Times New Roman"/>
          <w:b w:val="0"/>
          <w:color w:val="auto"/>
          <w:szCs w:val="21"/>
          <w:highlight w:val="none"/>
        </w:rPr>
        <w:t>采用资格后审方式，</w:t>
      </w:r>
      <w:r>
        <w:rPr>
          <w:rFonts w:hint="eastAsia" w:ascii="宋体" w:hAnsi="宋体" w:cs="宋体"/>
          <w:b w:val="0"/>
          <w:bCs w:val="0"/>
          <w:color w:val="auto"/>
          <w:szCs w:val="21"/>
          <w:highlight w:val="none"/>
        </w:rPr>
        <w:t>投标人资格要求</w:t>
      </w:r>
      <w:bookmarkEnd w:id="70"/>
    </w:p>
    <w:p w14:paraId="41876052">
      <w:pPr>
        <w:pStyle w:val="75"/>
        <w:spacing w:line="360" w:lineRule="auto"/>
        <w:ind w:firstLine="420" w:firstLineChars="200"/>
        <w:rPr>
          <w:color w:val="auto"/>
          <w:highlight w:val="none"/>
        </w:rPr>
      </w:pPr>
      <w:r>
        <w:rPr>
          <w:color w:val="auto"/>
          <w:highlight w:val="none"/>
        </w:rPr>
        <w:t>1.4.1  投标人应具备承担本</w:t>
      </w:r>
      <w:r>
        <w:rPr>
          <w:rFonts w:hint="eastAsia"/>
          <w:color w:val="auto"/>
          <w:highlight w:val="none"/>
        </w:rPr>
        <w:t>项目</w:t>
      </w:r>
      <w:r>
        <w:rPr>
          <w:color w:val="auto"/>
          <w:highlight w:val="none"/>
        </w:rPr>
        <w:t>施工的资质条件：见投标人须知前附表；</w:t>
      </w:r>
    </w:p>
    <w:p w14:paraId="6AAFF9FA">
      <w:pPr>
        <w:pStyle w:val="75"/>
        <w:spacing w:line="360" w:lineRule="auto"/>
        <w:ind w:firstLine="420" w:firstLineChars="200"/>
        <w:rPr>
          <w:color w:val="auto"/>
          <w:highlight w:val="none"/>
        </w:rPr>
      </w:pPr>
      <w:r>
        <w:rPr>
          <w:color w:val="auto"/>
          <w:highlight w:val="none"/>
        </w:rPr>
        <w:t>1.4.2  投标人须知前附表规定接受联合体投标的，除应符合本</w:t>
      </w:r>
      <w:r>
        <w:rPr>
          <w:rFonts w:hint="eastAsia"/>
          <w:color w:val="auto"/>
          <w:highlight w:val="none"/>
        </w:rPr>
        <w:t>须知</w:t>
      </w:r>
      <w:r>
        <w:rPr>
          <w:color w:val="auto"/>
          <w:highlight w:val="none"/>
        </w:rPr>
        <w:t>第1.4.1项和投标人须知前附表的要求外，还应遵守以下规定：</w:t>
      </w:r>
    </w:p>
    <w:p w14:paraId="0ADFB50D">
      <w:pPr>
        <w:pStyle w:val="75"/>
        <w:spacing w:line="360" w:lineRule="auto"/>
        <w:ind w:firstLine="420" w:firstLineChars="200"/>
        <w:rPr>
          <w:bCs/>
          <w:color w:val="auto"/>
          <w:highlight w:val="none"/>
        </w:rPr>
      </w:pPr>
      <w:r>
        <w:rPr>
          <w:bCs/>
          <w:color w:val="auto"/>
          <w:highlight w:val="none"/>
        </w:rPr>
        <w:t>（1）联合体各方应按招标文件提供的格式签订</w:t>
      </w:r>
      <w:r>
        <w:rPr>
          <w:rFonts w:hint="eastAsia"/>
          <w:bCs/>
          <w:color w:val="auto"/>
          <w:highlight w:val="none"/>
          <w:lang w:eastAsia="zh-CN"/>
        </w:rPr>
        <w:t>共同投标协议</w:t>
      </w:r>
      <w:r>
        <w:rPr>
          <w:bCs/>
          <w:color w:val="auto"/>
          <w:highlight w:val="none"/>
        </w:rPr>
        <w:t>，明确联合体牵头人和各方权利义务；</w:t>
      </w:r>
    </w:p>
    <w:p w14:paraId="08E48B87">
      <w:pPr>
        <w:pStyle w:val="75"/>
        <w:spacing w:line="360" w:lineRule="auto"/>
        <w:ind w:firstLine="420" w:firstLineChars="200"/>
        <w:rPr>
          <w:bCs/>
          <w:color w:val="auto"/>
          <w:highlight w:val="none"/>
        </w:rPr>
      </w:pPr>
      <w:r>
        <w:rPr>
          <w:bCs/>
          <w:color w:val="auto"/>
          <w:highlight w:val="none"/>
        </w:rPr>
        <w:t>（2）由同一专业的单位组成的联合体，按照资质等级较低的单位确定资质等级；</w:t>
      </w:r>
    </w:p>
    <w:p w14:paraId="1A70C1B4">
      <w:pPr>
        <w:pStyle w:val="75"/>
        <w:spacing w:line="360" w:lineRule="auto"/>
        <w:ind w:firstLine="420" w:firstLineChars="200"/>
        <w:rPr>
          <w:bCs/>
          <w:color w:val="auto"/>
          <w:highlight w:val="none"/>
        </w:rPr>
      </w:pPr>
      <w:r>
        <w:rPr>
          <w:bCs/>
          <w:color w:val="auto"/>
          <w:highlight w:val="none"/>
        </w:rPr>
        <w:t>（3）联合体各方不得再以自己名义单独或参加其他联合体在同一标段中投标。</w:t>
      </w:r>
    </w:p>
    <w:p w14:paraId="7D63265E">
      <w:pPr>
        <w:pStyle w:val="75"/>
        <w:spacing w:line="360" w:lineRule="auto"/>
        <w:ind w:firstLine="420" w:firstLineChars="200"/>
        <w:rPr>
          <w:bCs/>
          <w:color w:val="auto"/>
          <w:highlight w:val="none"/>
        </w:rPr>
      </w:pPr>
      <w:r>
        <w:rPr>
          <w:bCs/>
          <w:color w:val="auto"/>
          <w:highlight w:val="none"/>
        </w:rPr>
        <w:t>1.4.3 投标人不得存在下列情形之一：</w:t>
      </w:r>
    </w:p>
    <w:p w14:paraId="4F03C024">
      <w:pPr>
        <w:pStyle w:val="75"/>
        <w:spacing w:line="360" w:lineRule="auto"/>
        <w:ind w:firstLine="420" w:firstLineChars="200"/>
        <w:rPr>
          <w:bCs/>
          <w:color w:val="auto"/>
          <w:highlight w:val="none"/>
        </w:rPr>
      </w:pPr>
      <w:r>
        <w:rPr>
          <w:bCs/>
          <w:color w:val="auto"/>
          <w:highlight w:val="none"/>
        </w:rPr>
        <w:t>（l）为招标人的不具有独立法人资格的附属机构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14:paraId="03815D7E">
      <w:pPr>
        <w:pStyle w:val="75"/>
        <w:spacing w:line="360" w:lineRule="auto"/>
        <w:ind w:firstLine="420" w:firstLineChars="200"/>
        <w:rPr>
          <w:bCs/>
          <w:color w:val="auto"/>
          <w:highlight w:val="none"/>
        </w:rPr>
      </w:pPr>
      <w:r>
        <w:rPr>
          <w:bCs/>
          <w:color w:val="auto"/>
          <w:highlight w:val="none"/>
        </w:rPr>
        <w:t>（2）为本招标项目前期准备提供设计</w:t>
      </w:r>
      <w:r>
        <w:rPr>
          <w:rFonts w:hint="eastAsia"/>
          <w:bCs/>
          <w:color w:val="auto"/>
          <w:highlight w:val="none"/>
        </w:rPr>
        <w:t>或</w:t>
      </w:r>
      <w:r>
        <w:rPr>
          <w:bCs/>
          <w:color w:val="auto"/>
          <w:highlight w:val="none"/>
        </w:rPr>
        <w:t>咨询服务的；</w:t>
      </w:r>
    </w:p>
    <w:p w14:paraId="5195337C">
      <w:pPr>
        <w:pStyle w:val="75"/>
        <w:spacing w:line="360" w:lineRule="auto"/>
        <w:ind w:firstLine="420" w:firstLineChars="200"/>
        <w:rPr>
          <w:bCs/>
          <w:color w:val="auto"/>
          <w:highlight w:val="none"/>
        </w:rPr>
      </w:pPr>
      <w:r>
        <w:rPr>
          <w:bCs/>
          <w:color w:val="auto"/>
          <w:highlight w:val="none"/>
        </w:rPr>
        <w:t>（3）为本招标项目的监理人；</w:t>
      </w:r>
    </w:p>
    <w:p w14:paraId="33DEAA28">
      <w:pPr>
        <w:pStyle w:val="75"/>
        <w:spacing w:line="360" w:lineRule="auto"/>
        <w:ind w:firstLine="420" w:firstLineChars="200"/>
        <w:rPr>
          <w:bCs/>
          <w:color w:val="auto"/>
          <w:highlight w:val="none"/>
        </w:rPr>
      </w:pPr>
      <w:r>
        <w:rPr>
          <w:bCs/>
          <w:color w:val="auto"/>
          <w:highlight w:val="none"/>
        </w:rPr>
        <w:t>（4）为本招标项目的代建人；</w:t>
      </w:r>
    </w:p>
    <w:p w14:paraId="7A705D4E">
      <w:pPr>
        <w:pStyle w:val="75"/>
        <w:spacing w:line="360" w:lineRule="auto"/>
        <w:ind w:firstLine="420" w:firstLineChars="200"/>
        <w:rPr>
          <w:bCs/>
          <w:color w:val="auto"/>
          <w:highlight w:val="none"/>
        </w:rPr>
      </w:pPr>
      <w:r>
        <w:rPr>
          <w:bCs/>
          <w:color w:val="auto"/>
          <w:highlight w:val="none"/>
        </w:rPr>
        <w:t>（5）为本招标项目的招标代理机构；</w:t>
      </w:r>
    </w:p>
    <w:p w14:paraId="303E117C">
      <w:pPr>
        <w:pStyle w:val="75"/>
        <w:spacing w:line="360" w:lineRule="auto"/>
        <w:ind w:firstLine="420" w:firstLineChars="200"/>
        <w:rPr>
          <w:bCs/>
          <w:color w:val="auto"/>
          <w:highlight w:val="none"/>
        </w:rPr>
      </w:pPr>
      <w:r>
        <w:rPr>
          <w:bCs/>
          <w:color w:val="auto"/>
          <w:highlight w:val="none"/>
        </w:rPr>
        <w:t>（6）与本招标项目的监理人或代建人或招标代理机构同为一个法定代表人的；</w:t>
      </w:r>
    </w:p>
    <w:p w14:paraId="7C8FB16B">
      <w:pPr>
        <w:pStyle w:val="75"/>
        <w:spacing w:line="360" w:lineRule="auto"/>
        <w:ind w:firstLine="420" w:firstLineChars="200"/>
        <w:rPr>
          <w:bCs/>
          <w:color w:val="auto"/>
          <w:highlight w:val="none"/>
        </w:rPr>
      </w:pPr>
      <w:r>
        <w:rPr>
          <w:bCs/>
          <w:color w:val="auto"/>
          <w:highlight w:val="none"/>
        </w:rPr>
        <w:t>（7）与本招标项目的监理人或代建人或招标代理机构相互控股或参股的；</w:t>
      </w:r>
    </w:p>
    <w:p w14:paraId="465CE7CC">
      <w:pPr>
        <w:pStyle w:val="75"/>
        <w:spacing w:line="360" w:lineRule="auto"/>
        <w:ind w:firstLine="420" w:firstLineChars="200"/>
        <w:rPr>
          <w:bCs/>
          <w:color w:val="auto"/>
          <w:highlight w:val="none"/>
        </w:rPr>
      </w:pPr>
      <w:r>
        <w:rPr>
          <w:bCs/>
          <w:color w:val="auto"/>
          <w:highlight w:val="none"/>
        </w:rPr>
        <w:t>（8）与本招标项目的监理人或代建人或招标代理机构相互任职或工作的；</w:t>
      </w:r>
    </w:p>
    <w:p w14:paraId="0522C772">
      <w:pPr>
        <w:pStyle w:val="75"/>
        <w:spacing w:line="360" w:lineRule="auto"/>
        <w:ind w:firstLine="420" w:firstLineChars="200"/>
        <w:rPr>
          <w:bCs/>
          <w:color w:val="auto"/>
          <w:highlight w:val="none"/>
        </w:rPr>
      </w:pPr>
      <w:r>
        <w:rPr>
          <w:bCs/>
          <w:color w:val="auto"/>
          <w:highlight w:val="none"/>
        </w:rPr>
        <w:t>（9）被责令停业的；</w:t>
      </w:r>
    </w:p>
    <w:p w14:paraId="4467CA68">
      <w:pPr>
        <w:pStyle w:val="75"/>
        <w:spacing w:line="360" w:lineRule="auto"/>
        <w:ind w:firstLine="420" w:firstLineChars="200"/>
        <w:rPr>
          <w:bCs/>
          <w:color w:val="auto"/>
          <w:highlight w:val="none"/>
        </w:rPr>
      </w:pPr>
      <w:r>
        <w:rPr>
          <w:bCs/>
          <w:color w:val="auto"/>
          <w:highlight w:val="none"/>
        </w:rPr>
        <w:t>（10）被住房城乡建设主管部门取消参加本地区依法必须招标项目投标资格</w:t>
      </w:r>
      <w:r>
        <w:rPr>
          <w:rFonts w:hint="eastAsia"/>
          <w:bCs/>
          <w:color w:val="auto"/>
          <w:highlight w:val="none"/>
        </w:rPr>
        <w:t>的</w:t>
      </w:r>
      <w:r>
        <w:rPr>
          <w:bCs/>
          <w:color w:val="auto"/>
          <w:highlight w:val="none"/>
        </w:rPr>
        <w:t>；</w:t>
      </w:r>
    </w:p>
    <w:p w14:paraId="252F4141">
      <w:pPr>
        <w:spacing w:line="360" w:lineRule="auto"/>
        <w:ind w:firstLine="420" w:firstLineChars="200"/>
        <w:rPr>
          <w:bCs/>
          <w:color w:val="auto"/>
          <w:highlight w:val="none"/>
        </w:rPr>
      </w:pPr>
      <w:r>
        <w:rPr>
          <w:rFonts w:hint="eastAsia"/>
          <w:bCs/>
          <w:color w:val="auto"/>
          <w:highlight w:val="none"/>
        </w:rPr>
        <w:t>（1</w:t>
      </w:r>
      <w:r>
        <w:rPr>
          <w:bCs/>
          <w:color w:val="auto"/>
          <w:highlight w:val="none"/>
        </w:rPr>
        <w:t>1</w:t>
      </w:r>
      <w:r>
        <w:rPr>
          <w:rFonts w:hint="eastAsia"/>
          <w:bCs/>
          <w:color w:val="auto"/>
          <w:highlight w:val="none"/>
        </w:rPr>
        <w:t>）与招标人存在利害关系可能影响招标公正性的法人、其他组织或者个人；</w:t>
      </w:r>
    </w:p>
    <w:p w14:paraId="76A66D88">
      <w:pPr>
        <w:spacing w:line="360" w:lineRule="auto"/>
        <w:ind w:firstLine="420" w:firstLineChars="200"/>
        <w:rPr>
          <w:bCs/>
          <w:color w:val="auto"/>
          <w:highlight w:val="none"/>
        </w:rPr>
      </w:pPr>
      <w:r>
        <w:rPr>
          <w:rFonts w:hint="eastAsia"/>
          <w:bCs/>
          <w:color w:val="auto"/>
          <w:highlight w:val="none"/>
        </w:rPr>
        <w:t>（1</w:t>
      </w:r>
      <w:r>
        <w:rPr>
          <w:bCs/>
          <w:color w:val="auto"/>
          <w:highlight w:val="none"/>
        </w:rPr>
        <w:t>2</w:t>
      </w:r>
      <w:r>
        <w:rPr>
          <w:rFonts w:hint="eastAsia"/>
          <w:bCs/>
          <w:color w:val="auto"/>
          <w:highlight w:val="none"/>
        </w:rPr>
        <w:t>）单位负责人为同一人或者存在控股、管理关系的不同单位参加同一标段或者未划分标段的同一招标项目投标的；</w:t>
      </w:r>
    </w:p>
    <w:p w14:paraId="5C6A58E8">
      <w:pPr>
        <w:spacing w:line="360" w:lineRule="auto"/>
        <w:ind w:firstLine="420" w:firstLineChars="200"/>
        <w:rPr>
          <w:bCs/>
          <w:color w:val="auto"/>
          <w:highlight w:val="none"/>
        </w:rPr>
      </w:pPr>
      <w:r>
        <w:rPr>
          <w:bCs/>
          <w:color w:val="auto"/>
          <w:szCs w:val="21"/>
          <w:highlight w:val="none"/>
        </w:rPr>
        <w:t>（13）</w:t>
      </w:r>
      <w:r>
        <w:rPr>
          <w:bCs/>
          <w:color w:val="auto"/>
          <w:highlight w:val="none"/>
        </w:rPr>
        <w:t>法律、法规规定的其他情形。</w:t>
      </w:r>
    </w:p>
    <w:p w14:paraId="1B7C713B">
      <w:pPr>
        <w:pStyle w:val="8"/>
        <w:rPr>
          <w:rFonts w:ascii="Times New Roman" w:hAnsi="Times New Roman" w:eastAsia="黑体"/>
          <w:b w:val="0"/>
          <w:bCs w:val="0"/>
          <w:color w:val="auto"/>
          <w:sz w:val="24"/>
          <w:highlight w:val="none"/>
        </w:rPr>
      </w:pPr>
      <w:bookmarkStart w:id="72" w:name="_Toc300678005"/>
      <w:r>
        <w:rPr>
          <w:rFonts w:ascii="Times New Roman" w:hAnsi="Times New Roman" w:eastAsia="黑体"/>
          <w:b w:val="0"/>
          <w:bCs w:val="0"/>
          <w:color w:val="auto"/>
          <w:sz w:val="24"/>
          <w:highlight w:val="none"/>
        </w:rPr>
        <w:t>1.5 费用承担</w:t>
      </w:r>
      <w:bookmarkEnd w:id="72"/>
    </w:p>
    <w:p w14:paraId="65BA4AAD">
      <w:pPr>
        <w:pStyle w:val="75"/>
        <w:spacing w:line="360" w:lineRule="auto"/>
        <w:ind w:firstLine="420" w:firstLineChars="200"/>
        <w:rPr>
          <w:color w:val="auto"/>
          <w:highlight w:val="none"/>
        </w:rPr>
      </w:pPr>
      <w:r>
        <w:rPr>
          <w:color w:val="auto"/>
          <w:highlight w:val="none"/>
        </w:rPr>
        <w:t>投标人准备和参加投标活动发生的费用自理。</w:t>
      </w:r>
    </w:p>
    <w:p w14:paraId="3205FA79">
      <w:pPr>
        <w:pStyle w:val="8"/>
        <w:rPr>
          <w:rFonts w:ascii="Times New Roman" w:hAnsi="Times New Roman" w:eastAsia="黑体"/>
          <w:b w:val="0"/>
          <w:bCs w:val="0"/>
          <w:color w:val="auto"/>
          <w:sz w:val="24"/>
          <w:highlight w:val="none"/>
        </w:rPr>
      </w:pPr>
      <w:bookmarkStart w:id="73" w:name="_Toc300678006"/>
      <w:r>
        <w:rPr>
          <w:rFonts w:ascii="Times New Roman" w:hAnsi="Times New Roman" w:eastAsia="黑体"/>
          <w:b w:val="0"/>
          <w:bCs w:val="0"/>
          <w:color w:val="auto"/>
          <w:sz w:val="24"/>
          <w:highlight w:val="none"/>
        </w:rPr>
        <w:t>1.6 保密</w:t>
      </w:r>
      <w:bookmarkEnd w:id="73"/>
    </w:p>
    <w:p w14:paraId="6F5234E7">
      <w:pPr>
        <w:pStyle w:val="75"/>
        <w:spacing w:line="360" w:lineRule="auto"/>
        <w:ind w:firstLine="420" w:firstLineChars="200"/>
        <w:rPr>
          <w:color w:val="auto"/>
          <w:highlight w:val="none"/>
        </w:rPr>
      </w:pPr>
      <w:r>
        <w:rPr>
          <w:color w:val="auto"/>
          <w:highlight w:val="none"/>
        </w:rPr>
        <w:t>参与招标投标活动的各方应对招标文件和投标文件中的商业和技术等秘密保密，违者应对由此造成的后果承担法律责任。</w:t>
      </w:r>
    </w:p>
    <w:p w14:paraId="6CCA8A43">
      <w:pPr>
        <w:pStyle w:val="8"/>
        <w:rPr>
          <w:rFonts w:ascii="Times New Roman" w:hAnsi="Times New Roman" w:eastAsia="黑体"/>
          <w:b w:val="0"/>
          <w:bCs w:val="0"/>
          <w:color w:val="auto"/>
          <w:sz w:val="24"/>
          <w:highlight w:val="none"/>
        </w:rPr>
      </w:pPr>
      <w:bookmarkStart w:id="74" w:name="_Toc300678007"/>
      <w:r>
        <w:rPr>
          <w:rFonts w:ascii="Times New Roman" w:hAnsi="Times New Roman" w:eastAsia="黑体"/>
          <w:b w:val="0"/>
          <w:bCs w:val="0"/>
          <w:color w:val="auto"/>
          <w:sz w:val="24"/>
          <w:highlight w:val="none"/>
        </w:rPr>
        <w:t>1.7 语言文字</w:t>
      </w:r>
      <w:bookmarkEnd w:id="74"/>
    </w:p>
    <w:p w14:paraId="1FB58E9E">
      <w:pPr>
        <w:pStyle w:val="75"/>
        <w:spacing w:line="360" w:lineRule="auto"/>
        <w:ind w:firstLine="420" w:firstLineChars="200"/>
        <w:rPr>
          <w:color w:val="auto"/>
          <w:highlight w:val="none"/>
        </w:rPr>
      </w:pPr>
      <w:r>
        <w:rPr>
          <w:color w:val="auto"/>
          <w:highlight w:val="none"/>
        </w:rPr>
        <w:t>除专用术语外，与招标投标有关的语言均使用中文。必要时专用术语应附有中文注释。</w:t>
      </w:r>
    </w:p>
    <w:p w14:paraId="41E5ADC2">
      <w:pPr>
        <w:pStyle w:val="8"/>
        <w:rPr>
          <w:rFonts w:ascii="Times New Roman" w:hAnsi="Times New Roman" w:eastAsia="黑体"/>
          <w:b w:val="0"/>
          <w:bCs w:val="0"/>
          <w:color w:val="auto"/>
          <w:sz w:val="24"/>
          <w:highlight w:val="none"/>
        </w:rPr>
      </w:pPr>
      <w:bookmarkStart w:id="75" w:name="_Toc300678008"/>
      <w:r>
        <w:rPr>
          <w:rFonts w:ascii="Times New Roman" w:hAnsi="Times New Roman" w:eastAsia="黑体"/>
          <w:b w:val="0"/>
          <w:bCs w:val="0"/>
          <w:color w:val="auto"/>
          <w:sz w:val="24"/>
          <w:highlight w:val="none"/>
        </w:rPr>
        <w:t>1.8 计量单位</w:t>
      </w:r>
      <w:bookmarkEnd w:id="75"/>
    </w:p>
    <w:p w14:paraId="10390B44">
      <w:pPr>
        <w:pStyle w:val="75"/>
        <w:spacing w:line="360" w:lineRule="auto"/>
        <w:ind w:firstLine="420" w:firstLineChars="200"/>
        <w:rPr>
          <w:color w:val="auto"/>
          <w:highlight w:val="none"/>
        </w:rPr>
      </w:pPr>
      <w:r>
        <w:rPr>
          <w:color w:val="auto"/>
          <w:highlight w:val="none"/>
        </w:rPr>
        <w:t>所有计量均采用中华人民共和国法定计量单位。</w:t>
      </w:r>
    </w:p>
    <w:p w14:paraId="22238601">
      <w:pPr>
        <w:pStyle w:val="8"/>
        <w:rPr>
          <w:rFonts w:ascii="Times New Roman" w:hAnsi="Times New Roman" w:eastAsia="黑体"/>
          <w:b w:val="0"/>
          <w:bCs w:val="0"/>
          <w:color w:val="auto"/>
          <w:sz w:val="24"/>
          <w:highlight w:val="none"/>
        </w:rPr>
      </w:pPr>
      <w:bookmarkStart w:id="76" w:name="_Toc300678009"/>
      <w:r>
        <w:rPr>
          <w:rFonts w:ascii="Times New Roman" w:hAnsi="Times New Roman" w:eastAsia="黑体"/>
          <w:b w:val="0"/>
          <w:bCs w:val="0"/>
          <w:color w:val="auto"/>
          <w:sz w:val="24"/>
          <w:highlight w:val="none"/>
        </w:rPr>
        <w:t>1.9 踏勘现场</w:t>
      </w:r>
      <w:bookmarkEnd w:id="76"/>
    </w:p>
    <w:p w14:paraId="4C4C9EB7">
      <w:pPr>
        <w:pStyle w:val="75"/>
        <w:spacing w:line="360" w:lineRule="auto"/>
        <w:ind w:firstLine="420" w:firstLineChars="200"/>
        <w:rPr>
          <w:color w:val="auto"/>
          <w:highlight w:val="none"/>
        </w:rPr>
      </w:pPr>
      <w:r>
        <w:rPr>
          <w:color w:val="auto"/>
          <w:highlight w:val="none"/>
        </w:rPr>
        <w:t>1.9.1  按投标人须知前附表的规定执行。</w:t>
      </w:r>
    </w:p>
    <w:p w14:paraId="6137ECD6">
      <w:pPr>
        <w:pStyle w:val="75"/>
        <w:spacing w:line="360" w:lineRule="auto"/>
        <w:ind w:firstLine="420" w:firstLineChars="200"/>
        <w:rPr>
          <w:color w:val="auto"/>
          <w:highlight w:val="none"/>
        </w:rPr>
      </w:pPr>
      <w:r>
        <w:rPr>
          <w:color w:val="auto"/>
          <w:highlight w:val="none"/>
        </w:rPr>
        <w:t>1.9.2  投标人踏勘现场发生的费用自理。</w:t>
      </w:r>
    </w:p>
    <w:p w14:paraId="7C7F4130">
      <w:pPr>
        <w:pStyle w:val="75"/>
        <w:spacing w:line="360" w:lineRule="auto"/>
        <w:ind w:firstLine="420" w:firstLineChars="200"/>
        <w:rPr>
          <w:color w:val="auto"/>
          <w:highlight w:val="none"/>
        </w:rPr>
      </w:pPr>
      <w:r>
        <w:rPr>
          <w:color w:val="auto"/>
          <w:highlight w:val="none"/>
        </w:rPr>
        <w:t>1.9.3  除招标人的原因外，投标人自行负责在踏勘现场中所发生的人员伤亡和财产损失。</w:t>
      </w:r>
    </w:p>
    <w:p w14:paraId="3D0D1E84">
      <w:pPr>
        <w:pStyle w:val="75"/>
        <w:spacing w:line="360" w:lineRule="auto"/>
        <w:ind w:firstLine="420" w:firstLineChars="200"/>
        <w:rPr>
          <w:color w:val="auto"/>
          <w:highlight w:val="none"/>
        </w:rPr>
      </w:pPr>
      <w:r>
        <w:rPr>
          <w:color w:val="auto"/>
          <w:highlight w:val="none"/>
        </w:rPr>
        <w:t>1.9.4  招标人在踏勘现场有关工程场地和相关环境等情况的介绍，供投标人参考。投标人对自身的判断和决策负责。</w:t>
      </w:r>
    </w:p>
    <w:p w14:paraId="60BBE126">
      <w:pPr>
        <w:pStyle w:val="8"/>
        <w:rPr>
          <w:rFonts w:ascii="Times New Roman" w:hAnsi="Times New Roman" w:eastAsia="黑体"/>
          <w:b w:val="0"/>
          <w:bCs w:val="0"/>
          <w:color w:val="auto"/>
          <w:sz w:val="24"/>
          <w:highlight w:val="none"/>
        </w:rPr>
      </w:pPr>
      <w:bookmarkStart w:id="77" w:name="_Toc300678011"/>
      <w:r>
        <w:rPr>
          <w:rFonts w:ascii="Times New Roman" w:hAnsi="Times New Roman" w:eastAsia="黑体"/>
          <w:b w:val="0"/>
          <w:bCs w:val="0"/>
          <w:color w:val="auto"/>
          <w:sz w:val="24"/>
          <w:highlight w:val="none"/>
        </w:rPr>
        <w:t>1.10 分包</w:t>
      </w:r>
      <w:bookmarkEnd w:id="77"/>
    </w:p>
    <w:p w14:paraId="1BA91EEC">
      <w:pPr>
        <w:pStyle w:val="75"/>
        <w:spacing w:line="360" w:lineRule="auto"/>
        <w:ind w:firstLine="420" w:firstLineChars="200"/>
        <w:rPr>
          <w:color w:val="auto"/>
          <w:highlight w:val="none"/>
        </w:rPr>
      </w:pPr>
      <w:r>
        <w:rPr>
          <w:color w:val="auto"/>
          <w:highlight w:val="none"/>
        </w:rPr>
        <w:t>投标人拟在中标后将中标项目的部分非主体、非关键性工作进行分包的，应符合投标人须知前附表规定的分包内容、分包金额和接受分包的第三人资质要求等限制性条件。</w:t>
      </w:r>
    </w:p>
    <w:p w14:paraId="5D06217E">
      <w:pPr>
        <w:pStyle w:val="8"/>
        <w:rPr>
          <w:rFonts w:ascii="Times New Roman" w:hAnsi="Times New Roman" w:eastAsia="黑体"/>
          <w:b w:val="0"/>
          <w:bCs w:val="0"/>
          <w:color w:val="auto"/>
          <w:sz w:val="24"/>
          <w:highlight w:val="none"/>
        </w:rPr>
      </w:pPr>
      <w:bookmarkStart w:id="78" w:name="_Toc300678012"/>
      <w:r>
        <w:rPr>
          <w:rFonts w:ascii="Times New Roman" w:hAnsi="Times New Roman" w:eastAsia="黑体"/>
          <w:b w:val="0"/>
          <w:bCs w:val="0"/>
          <w:color w:val="auto"/>
          <w:sz w:val="24"/>
          <w:highlight w:val="none"/>
        </w:rPr>
        <w:t>1.11 偏离</w:t>
      </w:r>
      <w:bookmarkEnd w:id="78"/>
    </w:p>
    <w:p w14:paraId="0238025E">
      <w:pPr>
        <w:pStyle w:val="75"/>
        <w:spacing w:line="360" w:lineRule="auto"/>
        <w:ind w:firstLine="420" w:firstLineChars="200"/>
        <w:rPr>
          <w:color w:val="auto"/>
          <w:highlight w:val="none"/>
        </w:rPr>
      </w:pPr>
      <w:r>
        <w:rPr>
          <w:color w:val="auto"/>
          <w:highlight w:val="none"/>
        </w:rPr>
        <w:t>投标人须知前附表允许投标文件偏离招标文件某些要求的，偏离应当符合招标文件规定的偏离范围和幅度。</w:t>
      </w:r>
    </w:p>
    <w:p w14:paraId="2C96D440">
      <w:pPr>
        <w:pStyle w:val="6"/>
        <w:spacing w:before="0" w:after="0" w:line="360" w:lineRule="auto"/>
        <w:rPr>
          <w:rFonts w:ascii="Times New Roman" w:hAnsi="Times New Roman" w:eastAsia="黑体"/>
          <w:b w:val="0"/>
          <w:bCs w:val="0"/>
          <w:color w:val="auto"/>
          <w:sz w:val="30"/>
          <w:highlight w:val="none"/>
        </w:rPr>
      </w:pPr>
      <w:bookmarkStart w:id="79" w:name="_Toc80006200"/>
      <w:bookmarkStart w:id="80" w:name="_Toc9178519"/>
      <w:bookmarkStart w:id="81" w:name="_Toc80006090"/>
      <w:bookmarkStart w:id="82" w:name="_Toc300678013"/>
      <w:r>
        <w:rPr>
          <w:rFonts w:ascii="Times New Roman" w:hAnsi="Times New Roman" w:eastAsia="黑体"/>
          <w:b w:val="0"/>
          <w:bCs w:val="0"/>
          <w:color w:val="auto"/>
          <w:sz w:val="30"/>
          <w:highlight w:val="none"/>
        </w:rPr>
        <w:t>2.招标文件</w:t>
      </w:r>
      <w:bookmarkEnd w:id="79"/>
      <w:bookmarkEnd w:id="80"/>
      <w:bookmarkEnd w:id="81"/>
      <w:bookmarkEnd w:id="82"/>
    </w:p>
    <w:p w14:paraId="1C90CA5B">
      <w:pPr>
        <w:pStyle w:val="8"/>
        <w:rPr>
          <w:rFonts w:ascii="Times New Roman" w:hAnsi="Times New Roman" w:eastAsia="黑体"/>
          <w:b w:val="0"/>
          <w:bCs w:val="0"/>
          <w:color w:val="auto"/>
          <w:sz w:val="24"/>
          <w:highlight w:val="none"/>
        </w:rPr>
      </w:pPr>
      <w:bookmarkStart w:id="83" w:name="_Toc300678014"/>
      <w:r>
        <w:rPr>
          <w:rFonts w:ascii="Times New Roman" w:hAnsi="Times New Roman" w:eastAsia="黑体"/>
          <w:b w:val="0"/>
          <w:bCs w:val="0"/>
          <w:color w:val="auto"/>
          <w:sz w:val="24"/>
          <w:highlight w:val="none"/>
        </w:rPr>
        <w:t>2.1 招标文件的组成</w:t>
      </w:r>
      <w:bookmarkEnd w:id="83"/>
    </w:p>
    <w:p w14:paraId="24BAADA9">
      <w:pPr>
        <w:pStyle w:val="75"/>
        <w:spacing w:line="360" w:lineRule="auto"/>
        <w:ind w:firstLine="420" w:firstLineChars="200"/>
        <w:rPr>
          <w:color w:val="auto"/>
          <w:highlight w:val="none"/>
        </w:rPr>
      </w:pPr>
      <w:r>
        <w:rPr>
          <w:color w:val="auto"/>
          <w:highlight w:val="none"/>
        </w:rPr>
        <w:t>本招标文件包括：</w:t>
      </w:r>
    </w:p>
    <w:p w14:paraId="15D17565">
      <w:pPr>
        <w:pStyle w:val="75"/>
        <w:spacing w:line="360" w:lineRule="auto"/>
        <w:ind w:firstLine="420" w:firstLineChars="200"/>
        <w:rPr>
          <w:color w:val="auto"/>
          <w:highlight w:val="none"/>
        </w:rPr>
      </w:pPr>
      <w:r>
        <w:rPr>
          <w:color w:val="auto"/>
          <w:highlight w:val="none"/>
        </w:rPr>
        <w:t xml:space="preserve">（1）招标公告（或投标邀请书）； </w:t>
      </w:r>
    </w:p>
    <w:p w14:paraId="577ADD1D">
      <w:pPr>
        <w:pStyle w:val="75"/>
        <w:spacing w:line="360" w:lineRule="auto"/>
        <w:ind w:firstLine="420" w:firstLineChars="200"/>
        <w:rPr>
          <w:color w:val="auto"/>
          <w:highlight w:val="none"/>
        </w:rPr>
      </w:pPr>
      <w:r>
        <w:rPr>
          <w:color w:val="auto"/>
          <w:highlight w:val="none"/>
        </w:rPr>
        <w:t>（2）投标人须知；</w:t>
      </w:r>
    </w:p>
    <w:p w14:paraId="08A81C04">
      <w:pPr>
        <w:pStyle w:val="75"/>
        <w:spacing w:line="360" w:lineRule="auto"/>
        <w:ind w:firstLine="420" w:firstLineChars="200"/>
        <w:rPr>
          <w:color w:val="auto"/>
          <w:highlight w:val="none"/>
        </w:rPr>
      </w:pPr>
      <w:r>
        <w:rPr>
          <w:color w:val="auto"/>
          <w:highlight w:val="none"/>
        </w:rPr>
        <w:t>（3）评标办法；</w:t>
      </w:r>
    </w:p>
    <w:p w14:paraId="40A8AF44">
      <w:pPr>
        <w:pStyle w:val="75"/>
        <w:spacing w:line="360" w:lineRule="auto"/>
        <w:ind w:firstLine="420" w:firstLineChars="200"/>
        <w:rPr>
          <w:color w:val="auto"/>
          <w:highlight w:val="none"/>
        </w:rPr>
      </w:pPr>
      <w:r>
        <w:rPr>
          <w:color w:val="auto"/>
          <w:highlight w:val="none"/>
        </w:rPr>
        <w:t>（4）合同条款及格式；</w:t>
      </w:r>
    </w:p>
    <w:p w14:paraId="663BD1F1">
      <w:pPr>
        <w:pStyle w:val="75"/>
        <w:spacing w:line="360" w:lineRule="auto"/>
        <w:ind w:firstLine="420" w:firstLineChars="200"/>
        <w:rPr>
          <w:color w:val="auto"/>
          <w:highlight w:val="none"/>
        </w:rPr>
      </w:pPr>
      <w:r>
        <w:rPr>
          <w:color w:val="auto"/>
          <w:highlight w:val="none"/>
        </w:rPr>
        <w:t>（5）工程量清单；</w:t>
      </w:r>
    </w:p>
    <w:p w14:paraId="3A7104E1">
      <w:pPr>
        <w:pStyle w:val="75"/>
        <w:spacing w:line="360" w:lineRule="auto"/>
        <w:ind w:firstLine="420" w:firstLineChars="200"/>
        <w:rPr>
          <w:color w:val="auto"/>
          <w:highlight w:val="none"/>
        </w:rPr>
      </w:pPr>
      <w:r>
        <w:rPr>
          <w:color w:val="auto"/>
          <w:highlight w:val="none"/>
        </w:rPr>
        <w:t>（6）图纸；</w:t>
      </w:r>
    </w:p>
    <w:p w14:paraId="7610316C">
      <w:pPr>
        <w:pStyle w:val="75"/>
        <w:spacing w:line="360" w:lineRule="auto"/>
        <w:ind w:firstLine="420" w:firstLineChars="200"/>
        <w:rPr>
          <w:color w:val="auto"/>
          <w:highlight w:val="none"/>
        </w:rPr>
      </w:pPr>
      <w:r>
        <w:rPr>
          <w:color w:val="auto"/>
          <w:highlight w:val="none"/>
        </w:rPr>
        <w:t>（7）技术标准和要求；</w:t>
      </w:r>
    </w:p>
    <w:p w14:paraId="091F0EBB">
      <w:pPr>
        <w:pStyle w:val="75"/>
        <w:spacing w:line="360" w:lineRule="auto"/>
        <w:ind w:firstLine="420" w:firstLineChars="200"/>
        <w:rPr>
          <w:color w:val="auto"/>
          <w:highlight w:val="none"/>
        </w:rPr>
      </w:pPr>
      <w:r>
        <w:rPr>
          <w:color w:val="auto"/>
          <w:highlight w:val="none"/>
        </w:rPr>
        <w:t>（8）投标文件格式；</w:t>
      </w:r>
    </w:p>
    <w:p w14:paraId="6102AE57">
      <w:pPr>
        <w:pStyle w:val="75"/>
        <w:widowControl w:val="0"/>
        <w:spacing w:line="360" w:lineRule="auto"/>
        <w:ind w:firstLine="420" w:firstLineChars="200"/>
        <w:rPr>
          <w:color w:val="auto"/>
          <w:highlight w:val="none"/>
        </w:rPr>
      </w:pPr>
      <w:r>
        <w:rPr>
          <w:color w:val="auto"/>
          <w:highlight w:val="none"/>
        </w:rPr>
        <w:t>（9）投标人须知前附表规定的其他材料。</w:t>
      </w:r>
    </w:p>
    <w:p w14:paraId="286A9D61">
      <w:pPr>
        <w:pStyle w:val="75"/>
        <w:widowControl w:val="0"/>
        <w:spacing w:line="360" w:lineRule="auto"/>
        <w:ind w:firstLine="420" w:firstLineChars="200"/>
        <w:rPr>
          <w:color w:val="auto"/>
          <w:highlight w:val="none"/>
        </w:rPr>
      </w:pPr>
      <w:r>
        <w:rPr>
          <w:color w:val="auto"/>
          <w:highlight w:val="none"/>
        </w:rPr>
        <w:t>根据本</w:t>
      </w:r>
      <w:r>
        <w:rPr>
          <w:rFonts w:hint="eastAsia"/>
          <w:color w:val="auto"/>
          <w:highlight w:val="none"/>
        </w:rPr>
        <w:t>须知</w:t>
      </w:r>
      <w:r>
        <w:rPr>
          <w:color w:val="auto"/>
          <w:highlight w:val="none"/>
        </w:rPr>
        <w:t xml:space="preserve">第2.2 </w:t>
      </w:r>
      <w:r>
        <w:rPr>
          <w:rFonts w:hint="eastAsia"/>
          <w:color w:val="auto"/>
          <w:highlight w:val="none"/>
        </w:rPr>
        <w:t>项</w:t>
      </w:r>
      <w:r>
        <w:rPr>
          <w:color w:val="auto"/>
          <w:highlight w:val="none"/>
        </w:rPr>
        <w:t>对招标文件所作的澄清和修改，构成招标文件的组成部分。</w:t>
      </w:r>
    </w:p>
    <w:p w14:paraId="005BF93A">
      <w:pPr>
        <w:pStyle w:val="8"/>
        <w:rPr>
          <w:rFonts w:ascii="Times New Roman" w:hAnsi="Times New Roman" w:eastAsia="黑体"/>
          <w:b w:val="0"/>
          <w:bCs w:val="0"/>
          <w:color w:val="auto"/>
          <w:sz w:val="24"/>
          <w:highlight w:val="none"/>
        </w:rPr>
      </w:pPr>
      <w:bookmarkStart w:id="84" w:name="_Toc300678015"/>
      <w:r>
        <w:rPr>
          <w:rFonts w:ascii="Times New Roman" w:hAnsi="Times New Roman" w:eastAsia="黑体"/>
          <w:b w:val="0"/>
          <w:bCs w:val="0"/>
          <w:color w:val="auto"/>
          <w:sz w:val="24"/>
          <w:highlight w:val="none"/>
        </w:rPr>
        <w:t>2.2 招标文件的澄清</w:t>
      </w:r>
      <w:bookmarkEnd w:id="84"/>
      <w:r>
        <w:rPr>
          <w:rFonts w:ascii="Times New Roman" w:hAnsi="Times New Roman" w:eastAsia="黑体"/>
          <w:b w:val="0"/>
          <w:bCs w:val="0"/>
          <w:color w:val="auto"/>
          <w:sz w:val="24"/>
          <w:highlight w:val="none"/>
        </w:rPr>
        <w:t>和修改</w:t>
      </w:r>
    </w:p>
    <w:p w14:paraId="1A6CB003">
      <w:pPr>
        <w:pStyle w:val="75"/>
        <w:widowControl w:val="0"/>
        <w:spacing w:line="360" w:lineRule="auto"/>
        <w:ind w:firstLine="420" w:firstLineChars="200"/>
        <w:rPr>
          <w:rFonts w:hint="eastAsia"/>
          <w:color w:val="auto"/>
          <w:highlight w:val="none"/>
        </w:rPr>
      </w:pPr>
      <w:r>
        <w:rPr>
          <w:color w:val="auto"/>
          <w:highlight w:val="none"/>
        </w:rPr>
        <w:t>2.2.1  投标人应仔细阅读和检查招标文件的全部内容。如有疑问，应当在投标人须知前附表规定的时间之前，按照规定的方式，要求招标人澄清。</w:t>
      </w:r>
    </w:p>
    <w:p w14:paraId="681785CE">
      <w:pPr>
        <w:pStyle w:val="75"/>
        <w:widowControl w:val="0"/>
        <w:spacing w:line="360" w:lineRule="auto"/>
        <w:ind w:firstLine="420" w:firstLineChars="200"/>
        <w:rPr>
          <w:color w:val="auto"/>
          <w:highlight w:val="none"/>
        </w:rPr>
      </w:pPr>
      <w:r>
        <w:rPr>
          <w:color w:val="auto"/>
          <w:highlight w:val="none"/>
        </w:rPr>
        <w:t>2.2.2  招标文件的澄清或者修改的内容可能影响投标文件编制的，由招标人在投标人须知前附表规定的投标截止时间至少15日前，在投标人须知前附表规定的媒介发布；</w:t>
      </w:r>
      <w:r>
        <w:rPr>
          <w:color w:val="auto"/>
          <w:szCs w:val="20"/>
          <w:highlight w:val="none"/>
        </w:rPr>
        <w:t>不足15日</w:t>
      </w:r>
      <w:r>
        <w:rPr>
          <w:color w:val="auto"/>
          <w:highlight w:val="none"/>
        </w:rPr>
        <w:t>，相应</w:t>
      </w:r>
      <w:r>
        <w:rPr>
          <w:color w:val="auto"/>
          <w:szCs w:val="20"/>
          <w:highlight w:val="none"/>
        </w:rPr>
        <w:t>顺延</w:t>
      </w:r>
      <w:r>
        <w:rPr>
          <w:color w:val="auto"/>
          <w:highlight w:val="none"/>
        </w:rPr>
        <w:t>投标截止时间。</w:t>
      </w:r>
    </w:p>
    <w:p w14:paraId="128CBAA9">
      <w:pPr>
        <w:pStyle w:val="75"/>
        <w:widowControl w:val="0"/>
        <w:spacing w:line="360" w:lineRule="auto"/>
        <w:ind w:firstLine="420" w:firstLineChars="200"/>
        <w:rPr>
          <w:color w:val="auto"/>
          <w:highlight w:val="none"/>
        </w:rPr>
      </w:pPr>
      <w:r>
        <w:rPr>
          <w:color w:val="auto"/>
          <w:highlight w:val="none"/>
        </w:rPr>
        <w:t>2.2.3招标文件澄清或者修改的内容由投标人在投标人须知前附表规定的媒介上自行查阅。</w:t>
      </w:r>
    </w:p>
    <w:p w14:paraId="0D8B0760">
      <w:pPr>
        <w:pStyle w:val="6"/>
        <w:spacing w:before="0" w:after="0" w:line="360" w:lineRule="auto"/>
        <w:rPr>
          <w:rFonts w:ascii="Times New Roman" w:hAnsi="Times New Roman" w:eastAsia="黑体"/>
          <w:b w:val="0"/>
          <w:bCs w:val="0"/>
          <w:color w:val="auto"/>
          <w:sz w:val="30"/>
          <w:highlight w:val="none"/>
        </w:rPr>
      </w:pPr>
      <w:bookmarkStart w:id="85" w:name="_Toc300678017"/>
      <w:bookmarkStart w:id="86" w:name="_Toc80006201"/>
      <w:bookmarkStart w:id="87" w:name="_Toc80006091"/>
      <w:bookmarkStart w:id="88" w:name="_Toc9178520"/>
      <w:r>
        <w:rPr>
          <w:rFonts w:ascii="Times New Roman" w:hAnsi="Times New Roman" w:eastAsia="黑体"/>
          <w:b w:val="0"/>
          <w:bCs w:val="0"/>
          <w:color w:val="auto"/>
          <w:sz w:val="30"/>
          <w:highlight w:val="none"/>
        </w:rPr>
        <w:t>3.投标文件</w:t>
      </w:r>
      <w:bookmarkEnd w:id="85"/>
      <w:bookmarkEnd w:id="86"/>
      <w:bookmarkEnd w:id="87"/>
      <w:bookmarkEnd w:id="88"/>
    </w:p>
    <w:p w14:paraId="6F27CAAE">
      <w:pPr>
        <w:pStyle w:val="8"/>
        <w:rPr>
          <w:rFonts w:ascii="Times New Roman" w:hAnsi="Times New Roman" w:eastAsia="黑体"/>
          <w:b w:val="0"/>
          <w:bCs w:val="0"/>
          <w:color w:val="auto"/>
          <w:sz w:val="24"/>
          <w:highlight w:val="none"/>
        </w:rPr>
      </w:pPr>
      <w:bookmarkStart w:id="89" w:name="_Toc300678018"/>
      <w:r>
        <w:rPr>
          <w:rFonts w:ascii="Times New Roman" w:hAnsi="Times New Roman" w:eastAsia="黑体"/>
          <w:b w:val="0"/>
          <w:bCs w:val="0"/>
          <w:color w:val="auto"/>
          <w:sz w:val="24"/>
          <w:highlight w:val="none"/>
        </w:rPr>
        <w:t>3.1 投标文件的组成</w:t>
      </w:r>
      <w:bookmarkEnd w:id="89"/>
    </w:p>
    <w:p w14:paraId="5C43810B">
      <w:pPr>
        <w:pStyle w:val="75"/>
        <w:widowControl w:val="0"/>
        <w:spacing w:line="360" w:lineRule="auto"/>
        <w:ind w:firstLine="420" w:firstLineChars="200"/>
        <w:rPr>
          <w:color w:val="auto"/>
          <w:kern w:val="0"/>
          <w:highlight w:val="none"/>
        </w:rPr>
      </w:pPr>
      <w:r>
        <w:rPr>
          <w:color w:val="auto"/>
          <w:highlight w:val="none"/>
        </w:rPr>
        <w:t>3.1.1  投标文件由投标函</w:t>
      </w:r>
      <w:r>
        <w:rPr>
          <w:rFonts w:hint="eastAsia"/>
          <w:color w:val="auto"/>
          <w:highlight w:val="none"/>
          <w:lang w:val="en-US" w:eastAsia="zh-CN"/>
        </w:rPr>
        <w:t>及附录</w:t>
      </w:r>
      <w:r>
        <w:rPr>
          <w:color w:val="auto"/>
          <w:highlight w:val="none"/>
        </w:rPr>
        <w:t>、投标报价、施工组织设计三部分内容</w:t>
      </w:r>
      <w:r>
        <w:rPr>
          <w:rFonts w:hint="eastAsia"/>
          <w:color w:val="auto"/>
          <w:highlight w:val="none"/>
        </w:rPr>
        <w:t>以及投标人须知前附表规定的其他资料</w:t>
      </w:r>
      <w:r>
        <w:rPr>
          <w:color w:val="auto"/>
          <w:highlight w:val="none"/>
        </w:rPr>
        <w:t>组成，具体内容详见第八章投标文件格式。</w:t>
      </w:r>
    </w:p>
    <w:p w14:paraId="37B4EEF2">
      <w:pPr>
        <w:pStyle w:val="75"/>
        <w:widowControl w:val="0"/>
        <w:spacing w:line="360" w:lineRule="auto"/>
        <w:ind w:firstLine="420" w:firstLineChars="200"/>
        <w:rPr>
          <w:color w:val="auto"/>
          <w:highlight w:val="none"/>
        </w:rPr>
      </w:pPr>
      <w:r>
        <w:rPr>
          <w:color w:val="auto"/>
          <w:highlight w:val="none"/>
        </w:rPr>
        <w:t>3.1.2  投标人须知前附表规定不接受联合体投标的，或投标人没有组成联合体的，投标文件不包括</w:t>
      </w:r>
      <w:r>
        <w:rPr>
          <w:rFonts w:hint="eastAsia"/>
          <w:color w:val="auto"/>
          <w:highlight w:val="none"/>
          <w:lang w:eastAsia="zh-CN"/>
        </w:rPr>
        <w:t>共同投标协议</w:t>
      </w:r>
      <w:r>
        <w:rPr>
          <w:color w:val="auto"/>
          <w:highlight w:val="none"/>
        </w:rPr>
        <w:t>。</w:t>
      </w:r>
    </w:p>
    <w:p w14:paraId="0CAE30DB">
      <w:pPr>
        <w:pStyle w:val="8"/>
        <w:rPr>
          <w:rFonts w:ascii="Times New Roman" w:hAnsi="Times New Roman" w:eastAsia="黑体"/>
          <w:b w:val="0"/>
          <w:bCs w:val="0"/>
          <w:color w:val="auto"/>
          <w:sz w:val="24"/>
          <w:highlight w:val="none"/>
        </w:rPr>
      </w:pPr>
      <w:bookmarkStart w:id="90" w:name="_Toc300678019"/>
      <w:r>
        <w:rPr>
          <w:rFonts w:ascii="Times New Roman" w:hAnsi="Times New Roman" w:eastAsia="黑体"/>
          <w:b w:val="0"/>
          <w:bCs w:val="0"/>
          <w:color w:val="auto"/>
          <w:sz w:val="24"/>
          <w:highlight w:val="none"/>
        </w:rPr>
        <w:t>3.2 投标报价</w:t>
      </w:r>
      <w:bookmarkEnd w:id="90"/>
    </w:p>
    <w:p w14:paraId="2C975879">
      <w:pPr>
        <w:pStyle w:val="75"/>
        <w:widowControl w:val="0"/>
        <w:spacing w:line="360" w:lineRule="auto"/>
        <w:ind w:firstLine="420" w:firstLineChars="200"/>
        <w:rPr>
          <w:color w:val="auto"/>
          <w:highlight w:val="none"/>
        </w:rPr>
      </w:pPr>
      <w:r>
        <w:rPr>
          <w:color w:val="auto"/>
          <w:highlight w:val="none"/>
        </w:rPr>
        <w:t>3.2.1  投标人应按第五章“工程量清单”的要求填写相应表格。</w:t>
      </w:r>
    </w:p>
    <w:p w14:paraId="0420F03A">
      <w:pPr>
        <w:pStyle w:val="75"/>
        <w:widowControl w:val="0"/>
        <w:spacing w:line="360" w:lineRule="auto"/>
        <w:ind w:firstLine="420" w:firstLineChars="200"/>
        <w:rPr>
          <w:color w:val="auto"/>
          <w:highlight w:val="none"/>
        </w:rPr>
      </w:pPr>
      <w:r>
        <w:rPr>
          <w:color w:val="auto"/>
          <w:highlight w:val="none"/>
        </w:rPr>
        <w:t>3.2.2  投标人在投标截止时间前修改投标函中的投标总报价，应同时修改其按第五章“工程量清单”要求填写的相应表格中的报价。此修改应当符合本</w:t>
      </w:r>
      <w:r>
        <w:rPr>
          <w:rFonts w:hint="eastAsia"/>
          <w:color w:val="auto"/>
          <w:highlight w:val="none"/>
        </w:rPr>
        <w:t>须知</w:t>
      </w:r>
      <w:r>
        <w:rPr>
          <w:color w:val="auto"/>
          <w:highlight w:val="none"/>
        </w:rPr>
        <w:t xml:space="preserve">第4.3 </w:t>
      </w:r>
      <w:r>
        <w:rPr>
          <w:rFonts w:hint="eastAsia"/>
          <w:color w:val="auto"/>
          <w:highlight w:val="none"/>
        </w:rPr>
        <w:t>项</w:t>
      </w:r>
      <w:r>
        <w:rPr>
          <w:color w:val="auto"/>
          <w:highlight w:val="none"/>
        </w:rPr>
        <w:t>的有关要求。</w:t>
      </w:r>
    </w:p>
    <w:p w14:paraId="0E1A7292">
      <w:pPr>
        <w:pStyle w:val="8"/>
        <w:rPr>
          <w:rFonts w:ascii="Times New Roman" w:hAnsi="Times New Roman" w:eastAsia="黑体"/>
          <w:b w:val="0"/>
          <w:bCs w:val="0"/>
          <w:color w:val="auto"/>
          <w:sz w:val="24"/>
          <w:highlight w:val="none"/>
        </w:rPr>
      </w:pPr>
      <w:bookmarkStart w:id="91" w:name="_Toc300678020"/>
      <w:r>
        <w:rPr>
          <w:rFonts w:ascii="Times New Roman" w:hAnsi="Times New Roman" w:eastAsia="黑体"/>
          <w:b w:val="0"/>
          <w:bCs w:val="0"/>
          <w:color w:val="auto"/>
          <w:sz w:val="24"/>
          <w:highlight w:val="none"/>
        </w:rPr>
        <w:t>3.3 投标有效期</w:t>
      </w:r>
      <w:bookmarkEnd w:id="91"/>
    </w:p>
    <w:p w14:paraId="1A3E1357">
      <w:pPr>
        <w:pStyle w:val="75"/>
        <w:widowControl w:val="0"/>
        <w:spacing w:line="360" w:lineRule="auto"/>
        <w:ind w:firstLine="420" w:firstLineChars="200"/>
        <w:rPr>
          <w:color w:val="auto"/>
          <w:highlight w:val="none"/>
        </w:rPr>
      </w:pPr>
      <w:r>
        <w:rPr>
          <w:color w:val="auto"/>
          <w:highlight w:val="none"/>
        </w:rPr>
        <w:t>3.3.1  在投标人须知前附表规定的投标有效期内，投标人不得要求撤销或修改其投标文件。</w:t>
      </w:r>
    </w:p>
    <w:p w14:paraId="4A664995">
      <w:pPr>
        <w:pStyle w:val="75"/>
        <w:widowControl w:val="0"/>
        <w:spacing w:line="360" w:lineRule="auto"/>
        <w:ind w:firstLine="420" w:firstLineChars="200"/>
        <w:rPr>
          <w:color w:val="auto"/>
          <w:highlight w:val="none"/>
        </w:rPr>
      </w:pPr>
      <w:r>
        <w:rPr>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14:paraId="38608DA5">
      <w:pPr>
        <w:pStyle w:val="8"/>
        <w:ind w:firstLine="480" w:firstLineChars="200"/>
        <w:rPr>
          <w:rFonts w:ascii="Times New Roman" w:hAnsi="Times New Roman" w:eastAsia="黑体"/>
          <w:b w:val="0"/>
          <w:bCs w:val="0"/>
          <w:color w:val="auto"/>
          <w:sz w:val="24"/>
          <w:highlight w:val="none"/>
        </w:rPr>
      </w:pPr>
      <w:bookmarkStart w:id="92" w:name="_Toc300678021"/>
      <w:r>
        <w:rPr>
          <w:rFonts w:ascii="Times New Roman" w:hAnsi="Times New Roman" w:eastAsia="黑体"/>
          <w:b w:val="0"/>
          <w:bCs w:val="0"/>
          <w:color w:val="auto"/>
          <w:sz w:val="24"/>
          <w:highlight w:val="none"/>
        </w:rPr>
        <w:t>3.4 投标保证</w:t>
      </w:r>
      <w:bookmarkEnd w:id="92"/>
    </w:p>
    <w:p w14:paraId="7329B69A">
      <w:pPr>
        <w:spacing w:line="360" w:lineRule="auto"/>
        <w:ind w:firstLine="420" w:firstLineChars="200"/>
        <w:rPr>
          <w:color w:val="auto"/>
          <w:szCs w:val="21"/>
          <w:highlight w:val="none"/>
        </w:rPr>
      </w:pPr>
      <w:r>
        <w:rPr>
          <w:color w:val="auto"/>
          <w:highlight w:val="none"/>
        </w:rPr>
        <w:t xml:space="preserve">3.4.1 </w:t>
      </w:r>
      <w:r>
        <w:rPr>
          <w:rFonts w:hint="eastAsia"/>
          <w:color w:val="auto"/>
          <w:highlight w:val="none"/>
        </w:rPr>
        <w:t>投标人在递交投标文件的同时，</w:t>
      </w:r>
      <w:r>
        <w:rPr>
          <w:color w:val="auto"/>
          <w:highlight w:val="none"/>
        </w:rPr>
        <w:t>应当按照投标人须知前附表的规定递交投标担保</w:t>
      </w:r>
      <w:r>
        <w:rPr>
          <w:rFonts w:hint="eastAsia"/>
          <w:color w:val="auto"/>
          <w:highlight w:val="none"/>
        </w:rPr>
        <w:t>，并作为投标文件的组成部分</w:t>
      </w:r>
      <w:r>
        <w:rPr>
          <w:color w:val="auto"/>
          <w:highlight w:val="none"/>
        </w:rPr>
        <w:t>。</w:t>
      </w:r>
    </w:p>
    <w:p w14:paraId="4FC891A2">
      <w:pPr>
        <w:pStyle w:val="75"/>
        <w:widowControl w:val="0"/>
        <w:spacing w:line="360" w:lineRule="auto"/>
        <w:ind w:firstLine="420" w:firstLineChars="200"/>
        <w:rPr>
          <w:color w:val="auto"/>
          <w:highlight w:val="none"/>
        </w:rPr>
      </w:pPr>
      <w:r>
        <w:rPr>
          <w:color w:val="auto"/>
          <w:highlight w:val="none"/>
        </w:rPr>
        <w:t>3.4.2  投标人不按本</w:t>
      </w:r>
      <w:r>
        <w:rPr>
          <w:rFonts w:hint="eastAsia"/>
          <w:color w:val="auto"/>
          <w:highlight w:val="none"/>
        </w:rPr>
        <w:t>须知</w:t>
      </w:r>
      <w:r>
        <w:rPr>
          <w:color w:val="auto"/>
          <w:highlight w:val="none"/>
        </w:rPr>
        <w:t>第3.4.1 项要求提交投标担保的，应当否决其投标。</w:t>
      </w:r>
    </w:p>
    <w:p w14:paraId="3E8FD988">
      <w:pPr>
        <w:pStyle w:val="75"/>
        <w:widowControl w:val="0"/>
        <w:spacing w:line="360" w:lineRule="auto"/>
        <w:ind w:firstLine="420" w:firstLineChars="200"/>
        <w:rPr>
          <w:color w:val="auto"/>
          <w:highlight w:val="none"/>
        </w:rPr>
      </w:pPr>
      <w:r>
        <w:rPr>
          <w:color w:val="auto"/>
          <w:highlight w:val="none"/>
        </w:rPr>
        <w:t xml:space="preserve">3.4.3 </w:t>
      </w:r>
      <w:r>
        <w:rPr>
          <w:color w:val="auto"/>
          <w:szCs w:val="32"/>
          <w:highlight w:val="none"/>
          <w:shd w:val="clear" w:color="auto" w:fill="FFFFFF"/>
        </w:rPr>
        <w:t>未中标的投标人的投标担保</w:t>
      </w:r>
      <w:r>
        <w:rPr>
          <w:color w:val="auto"/>
          <w:highlight w:val="none"/>
        </w:rPr>
        <w:t>于中标通知书发出之日起5个工作日内退还。</w:t>
      </w:r>
    </w:p>
    <w:p w14:paraId="61405093">
      <w:pPr>
        <w:pStyle w:val="75"/>
        <w:widowControl w:val="0"/>
        <w:spacing w:line="360" w:lineRule="auto"/>
        <w:ind w:firstLine="420" w:firstLineChars="200"/>
        <w:rPr>
          <w:color w:val="auto"/>
          <w:highlight w:val="none"/>
        </w:rPr>
      </w:pPr>
      <w:r>
        <w:rPr>
          <w:color w:val="auto"/>
          <w:highlight w:val="none"/>
        </w:rPr>
        <w:t>3.4.4 中标人的投标担保在招标人与中标人签订合同后5 个工作日内退还。</w:t>
      </w:r>
    </w:p>
    <w:p w14:paraId="48773516">
      <w:pPr>
        <w:pStyle w:val="75"/>
        <w:widowControl w:val="0"/>
        <w:spacing w:line="360" w:lineRule="auto"/>
        <w:ind w:firstLine="420" w:firstLineChars="200"/>
        <w:rPr>
          <w:color w:val="auto"/>
          <w:szCs w:val="32"/>
          <w:highlight w:val="none"/>
          <w:shd w:val="clear" w:color="auto" w:fill="FFFFFF"/>
        </w:rPr>
      </w:pPr>
      <w:r>
        <w:rPr>
          <w:color w:val="auto"/>
          <w:highlight w:val="none"/>
        </w:rPr>
        <w:t>3.4.5</w:t>
      </w:r>
      <w:r>
        <w:rPr>
          <w:color w:val="auto"/>
          <w:szCs w:val="32"/>
          <w:highlight w:val="none"/>
          <w:shd w:val="clear" w:color="auto" w:fill="FFFFFF"/>
        </w:rPr>
        <w:t>在投标截止时间前撤回已提交的投标文件的投标人的投标担保，自收到投标人书面撤回通知之日起5个工作日内退还；</w:t>
      </w:r>
    </w:p>
    <w:p w14:paraId="2A1BCA68">
      <w:pPr>
        <w:spacing w:line="360" w:lineRule="auto"/>
        <w:ind w:firstLine="420" w:firstLineChars="200"/>
        <w:rPr>
          <w:color w:val="auto"/>
          <w:highlight w:val="none"/>
        </w:rPr>
      </w:pPr>
      <w:r>
        <w:rPr>
          <w:color w:val="auto"/>
          <w:szCs w:val="32"/>
          <w:highlight w:val="none"/>
          <w:shd w:val="clear" w:color="auto" w:fill="FFFFFF"/>
        </w:rPr>
        <w:t>3.4.6 不接受招标人延长投标有效期的投标人的投标担保，自收到投标人不予接受延长投标有效期的书面通知之日起5个工作日内退还。</w:t>
      </w:r>
      <w:r>
        <w:rPr>
          <w:color w:val="auto"/>
          <w:highlight w:val="none"/>
        </w:rPr>
        <w:t xml:space="preserve">   </w:t>
      </w:r>
    </w:p>
    <w:p w14:paraId="7FA1C281">
      <w:pPr>
        <w:pStyle w:val="75"/>
        <w:widowControl w:val="0"/>
        <w:spacing w:line="360" w:lineRule="auto"/>
        <w:ind w:firstLine="420" w:firstLineChars="200"/>
        <w:rPr>
          <w:color w:val="auto"/>
          <w:highlight w:val="none"/>
        </w:rPr>
      </w:pPr>
      <w:r>
        <w:rPr>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14:paraId="1E93F610">
      <w:pPr>
        <w:pStyle w:val="75"/>
        <w:widowControl w:val="0"/>
        <w:spacing w:line="360" w:lineRule="auto"/>
        <w:ind w:firstLine="420" w:firstLineChars="200"/>
        <w:rPr>
          <w:color w:val="auto"/>
          <w:highlight w:val="none"/>
        </w:rPr>
      </w:pPr>
      <w:r>
        <w:rPr>
          <w:color w:val="auto"/>
          <w:highlight w:val="none"/>
        </w:rPr>
        <w:t>（1）</w:t>
      </w:r>
      <w:r>
        <w:rPr>
          <w:rFonts w:hint="eastAsia" w:ascii="宋体" w:hAnsi="宋体"/>
          <w:color w:val="auto"/>
          <w:highlight w:val="none"/>
        </w:rPr>
        <w:t>投标人在规定的投标有效期内撤销或修改其投标文件；</w:t>
      </w:r>
    </w:p>
    <w:p w14:paraId="4DAD4AC1">
      <w:pPr>
        <w:pStyle w:val="75"/>
        <w:widowControl w:val="0"/>
        <w:spacing w:line="360" w:lineRule="auto"/>
        <w:ind w:firstLine="420" w:firstLineChars="200"/>
        <w:rPr>
          <w:color w:val="auto"/>
          <w:highlight w:val="none"/>
          <w:u w:val="single"/>
        </w:rPr>
      </w:pPr>
      <w:r>
        <w:rPr>
          <w:color w:val="auto"/>
          <w:highlight w:val="none"/>
        </w:rPr>
        <w:t>（2）投标人被确定为中标人后，无正当理由不与招标人订立合同，或者在签订合同时向招标人提出附加条件，或者不按招标文件要求提交履约担保。</w:t>
      </w:r>
    </w:p>
    <w:p w14:paraId="2424C33D">
      <w:pPr>
        <w:pStyle w:val="8"/>
        <w:rPr>
          <w:rFonts w:ascii="Times New Roman" w:hAnsi="Times New Roman" w:eastAsia="黑体"/>
          <w:b w:val="0"/>
          <w:bCs w:val="0"/>
          <w:color w:val="auto"/>
          <w:sz w:val="24"/>
          <w:highlight w:val="none"/>
        </w:rPr>
      </w:pPr>
      <w:bookmarkStart w:id="93" w:name="_Toc300678022"/>
      <w:r>
        <w:rPr>
          <w:rFonts w:ascii="Times New Roman" w:hAnsi="Times New Roman" w:eastAsia="黑体"/>
          <w:b w:val="0"/>
          <w:bCs w:val="0"/>
          <w:color w:val="auto"/>
          <w:sz w:val="24"/>
          <w:highlight w:val="none"/>
        </w:rPr>
        <w:t>3.5资格审查资料</w:t>
      </w:r>
    </w:p>
    <w:bookmarkEnd w:id="93"/>
    <w:p w14:paraId="47732E62">
      <w:pPr>
        <w:pStyle w:val="8"/>
        <w:ind w:firstLine="420" w:firstLineChars="200"/>
        <w:rPr>
          <w:rFonts w:ascii="Times New Roman" w:hAnsi="Times New Roman"/>
          <w:b w:val="0"/>
          <w:bCs w:val="0"/>
          <w:color w:val="auto"/>
          <w:highlight w:val="none"/>
        </w:rPr>
      </w:pPr>
      <w:bookmarkStart w:id="94" w:name="_Toc300678023"/>
      <w:r>
        <w:rPr>
          <w:rFonts w:ascii="Times New Roman" w:hAnsi="Times New Roman"/>
          <w:b w:val="0"/>
          <w:bCs w:val="0"/>
          <w:color w:val="auto"/>
          <w:szCs w:val="21"/>
          <w:highlight w:val="none"/>
        </w:rPr>
        <w:t>采用资格预审方式的，</w:t>
      </w:r>
      <w:bookmarkEnd w:id="94"/>
      <w:r>
        <w:rPr>
          <w:rFonts w:ascii="Times New Roman" w:hAnsi="Times New Roman" w:eastAsia="黑体"/>
          <w:b w:val="0"/>
          <w:bCs w:val="0"/>
          <w:color w:val="auto"/>
          <w:sz w:val="24"/>
          <w:highlight w:val="none"/>
        </w:rPr>
        <w:t xml:space="preserve"> </w:t>
      </w:r>
      <w:r>
        <w:rPr>
          <w:rFonts w:ascii="Times New Roman" w:hAnsi="Times New Roman"/>
          <w:b w:val="0"/>
          <w:bCs w:val="0"/>
          <w:color w:val="auto"/>
          <w:highlight w:val="none"/>
        </w:rPr>
        <w:t>投标人在编制投标文件时，应</w:t>
      </w:r>
      <w:r>
        <w:rPr>
          <w:rFonts w:hint="eastAsia" w:ascii="Times New Roman" w:hAnsi="Times New Roman"/>
          <w:b w:val="0"/>
          <w:bCs w:val="0"/>
          <w:color w:val="auto"/>
          <w:highlight w:val="none"/>
        </w:rPr>
        <w:t>按新情况</w:t>
      </w:r>
      <w:r>
        <w:rPr>
          <w:rFonts w:ascii="Times New Roman" w:hAnsi="Times New Roman"/>
          <w:b w:val="0"/>
          <w:bCs w:val="0"/>
          <w:color w:val="auto"/>
          <w:highlight w:val="none"/>
        </w:rPr>
        <w:t>更新或补充其在申请资格预审时提供的资料，以证实其</w:t>
      </w:r>
      <w:r>
        <w:rPr>
          <w:rFonts w:hint="eastAsia" w:ascii="Times New Roman" w:hAnsi="Times New Roman"/>
          <w:b w:val="0"/>
          <w:bCs w:val="0"/>
          <w:color w:val="auto"/>
          <w:highlight w:val="none"/>
        </w:rPr>
        <w:t>各项</w:t>
      </w:r>
      <w:r>
        <w:rPr>
          <w:rFonts w:ascii="Times New Roman" w:hAnsi="Times New Roman"/>
          <w:b w:val="0"/>
          <w:bCs w:val="0"/>
          <w:color w:val="auto"/>
          <w:highlight w:val="none"/>
        </w:rPr>
        <w:t>资格条件</w:t>
      </w:r>
      <w:r>
        <w:rPr>
          <w:rFonts w:hint="eastAsia" w:ascii="Times New Roman" w:hAnsi="Times New Roman"/>
          <w:b w:val="0"/>
          <w:bCs w:val="0"/>
          <w:color w:val="auto"/>
          <w:highlight w:val="none"/>
        </w:rPr>
        <w:t>仍能</w:t>
      </w:r>
      <w:r>
        <w:rPr>
          <w:rFonts w:ascii="Times New Roman" w:hAnsi="Times New Roman"/>
          <w:b w:val="0"/>
          <w:bCs w:val="0"/>
          <w:color w:val="auto"/>
          <w:highlight w:val="none"/>
        </w:rPr>
        <w:t>继续满足资格预审文件的要求，具备承担本招标项目的资质条件、能力和信誉。</w:t>
      </w:r>
    </w:p>
    <w:p w14:paraId="54A44DA8">
      <w:pPr>
        <w:pStyle w:val="8"/>
        <w:ind w:firstLine="420" w:firstLineChars="200"/>
        <w:rPr>
          <w:rFonts w:ascii="Times New Roman" w:hAnsi="Times New Roman" w:eastAsia="黑体"/>
          <w:b w:val="0"/>
          <w:bCs w:val="0"/>
          <w:color w:val="auto"/>
          <w:sz w:val="24"/>
          <w:highlight w:val="none"/>
        </w:rPr>
      </w:pPr>
      <w:r>
        <w:rPr>
          <w:rFonts w:ascii="Times New Roman" w:hAnsi="Times New Roman"/>
          <w:b w:val="0"/>
          <w:bCs w:val="0"/>
          <w:color w:val="auto"/>
          <w:szCs w:val="21"/>
          <w:highlight w:val="none"/>
        </w:rPr>
        <w:t>采用资格后审方式的，</w:t>
      </w:r>
      <w:r>
        <w:rPr>
          <w:rFonts w:hint="eastAsia" w:ascii="Times New Roman" w:hAnsi="Times New Roman"/>
          <w:b w:val="0"/>
          <w:bCs w:val="0"/>
          <w:color w:val="auto"/>
          <w:szCs w:val="21"/>
          <w:highlight w:val="none"/>
        </w:rPr>
        <w:t>按照本须知第1</w:t>
      </w:r>
      <w:r>
        <w:rPr>
          <w:rFonts w:ascii="Times New Roman" w:hAnsi="Times New Roman"/>
          <w:b w:val="0"/>
          <w:bCs w:val="0"/>
          <w:color w:val="auto"/>
          <w:szCs w:val="21"/>
          <w:highlight w:val="none"/>
        </w:rPr>
        <w:t>.4.1</w:t>
      </w:r>
      <w:r>
        <w:rPr>
          <w:rFonts w:hint="eastAsia" w:ascii="Times New Roman" w:hAnsi="Times New Roman"/>
          <w:b w:val="0"/>
          <w:bCs w:val="0"/>
          <w:color w:val="auto"/>
          <w:szCs w:val="21"/>
          <w:highlight w:val="none"/>
        </w:rPr>
        <w:t>项的规定提交资格审查资料，</w:t>
      </w:r>
      <w:r>
        <w:rPr>
          <w:rFonts w:ascii="Times New Roman" w:hAnsi="Times New Roman"/>
          <w:b w:val="0"/>
          <w:bCs w:val="0"/>
          <w:color w:val="auto"/>
          <w:highlight w:val="none"/>
        </w:rPr>
        <w:t>具体要求详见第八章“投标文件</w:t>
      </w:r>
      <w:r>
        <w:rPr>
          <w:rFonts w:hint="eastAsia" w:ascii="Times New Roman" w:hAnsi="Times New Roman"/>
          <w:b w:val="0"/>
          <w:bCs w:val="0"/>
          <w:color w:val="auto"/>
          <w:highlight w:val="none"/>
        </w:rPr>
        <w:t>—投标函</w:t>
      </w:r>
      <w:r>
        <w:rPr>
          <w:rFonts w:ascii="Times New Roman" w:hAnsi="Times New Roman"/>
          <w:b w:val="0"/>
          <w:bCs w:val="0"/>
          <w:color w:val="auto"/>
          <w:highlight w:val="none"/>
        </w:rPr>
        <w:t>格式”。</w:t>
      </w:r>
    </w:p>
    <w:p w14:paraId="36134CEC">
      <w:pPr>
        <w:pStyle w:val="8"/>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3.6 备选投标方案</w:t>
      </w:r>
    </w:p>
    <w:p w14:paraId="2337084F">
      <w:pPr>
        <w:pStyle w:val="75"/>
        <w:widowControl w:val="0"/>
        <w:spacing w:line="360" w:lineRule="auto"/>
        <w:ind w:firstLine="420" w:firstLineChars="200"/>
        <w:rPr>
          <w:color w:val="auto"/>
          <w:highlight w:val="none"/>
        </w:rPr>
      </w:pPr>
      <w:r>
        <w:rPr>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44F0273">
      <w:pPr>
        <w:pStyle w:val="8"/>
        <w:rPr>
          <w:rFonts w:ascii="Times New Roman" w:hAnsi="Times New Roman" w:eastAsia="黑体"/>
          <w:b w:val="0"/>
          <w:bCs w:val="0"/>
          <w:color w:val="auto"/>
          <w:sz w:val="24"/>
          <w:highlight w:val="none"/>
        </w:rPr>
      </w:pPr>
      <w:bookmarkStart w:id="95" w:name="_Toc300678025"/>
      <w:r>
        <w:rPr>
          <w:rFonts w:ascii="Times New Roman" w:hAnsi="Times New Roman" w:eastAsia="黑体"/>
          <w:b w:val="0"/>
          <w:bCs w:val="0"/>
          <w:color w:val="auto"/>
          <w:sz w:val="24"/>
          <w:highlight w:val="none"/>
        </w:rPr>
        <w:t>3.7 投标文件的编制</w:t>
      </w:r>
      <w:bookmarkEnd w:id="95"/>
    </w:p>
    <w:p w14:paraId="047A27E1">
      <w:pPr>
        <w:pStyle w:val="75"/>
        <w:widowControl w:val="0"/>
        <w:spacing w:line="360" w:lineRule="auto"/>
        <w:ind w:firstLine="420" w:firstLineChars="200"/>
        <w:rPr>
          <w:color w:val="auto"/>
          <w:highlight w:val="none"/>
        </w:rPr>
      </w:pPr>
      <w:r>
        <w:rPr>
          <w:color w:val="auto"/>
          <w:highlight w:val="none"/>
        </w:rPr>
        <w:t>3.7.1  投标文件应按第八章“投标文件格式”编写。可以增加附页，作为投标文件的组成部分。其中，投标函附录在满足招标文件实质性要求的基础上，可以提出比招标文件要求更有利于招标人的承诺。</w:t>
      </w:r>
    </w:p>
    <w:p w14:paraId="2310B67B">
      <w:pPr>
        <w:pStyle w:val="75"/>
        <w:widowControl w:val="0"/>
        <w:spacing w:line="360" w:lineRule="auto"/>
        <w:ind w:firstLine="420" w:firstLineChars="200"/>
        <w:rPr>
          <w:color w:val="auto"/>
          <w:highlight w:val="none"/>
        </w:rPr>
      </w:pPr>
      <w:r>
        <w:rPr>
          <w:color w:val="auto"/>
          <w:highlight w:val="none"/>
        </w:rPr>
        <w:t>3.7.2  投标文件应当对招标文件有关工期、投标有效期、质量要求、技术标准和要求、招标范围等内容作出实质性响应。</w:t>
      </w:r>
    </w:p>
    <w:p w14:paraId="2A7B013E">
      <w:pPr>
        <w:pStyle w:val="75"/>
        <w:spacing w:line="360" w:lineRule="auto"/>
        <w:ind w:firstLine="420" w:firstLineChars="200"/>
        <w:rPr>
          <w:rFonts w:hint="eastAsia"/>
          <w:color w:val="auto"/>
          <w:highlight w:val="none"/>
        </w:rPr>
      </w:pPr>
      <w:r>
        <w:rPr>
          <w:color w:val="auto"/>
          <w:highlight w:val="none"/>
        </w:rPr>
        <w:t xml:space="preserve">3.7.3  </w:t>
      </w:r>
      <w:r>
        <w:rPr>
          <w:rFonts w:hint="eastAsia"/>
          <w:color w:val="auto"/>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14:paraId="3694C13E">
      <w:pPr>
        <w:pStyle w:val="75"/>
        <w:widowControl w:val="0"/>
        <w:spacing w:line="360" w:lineRule="auto"/>
        <w:ind w:firstLine="420" w:firstLineChars="200"/>
        <w:rPr>
          <w:color w:val="auto"/>
          <w:highlight w:val="none"/>
        </w:rPr>
      </w:pPr>
      <w:r>
        <w:rPr>
          <w:rFonts w:hint="eastAsia"/>
          <w:color w:val="auto"/>
          <w:highlight w:val="none"/>
        </w:rPr>
        <w:t>3.7.4投标文件份数见投标人须知前附表。</w:t>
      </w:r>
    </w:p>
    <w:p w14:paraId="4BF8949C">
      <w:pPr>
        <w:pStyle w:val="6"/>
        <w:spacing w:before="0" w:after="0" w:line="360" w:lineRule="auto"/>
        <w:rPr>
          <w:rFonts w:ascii="Times New Roman" w:hAnsi="Times New Roman" w:eastAsia="黑体"/>
          <w:b w:val="0"/>
          <w:bCs w:val="0"/>
          <w:color w:val="auto"/>
          <w:sz w:val="30"/>
          <w:highlight w:val="none"/>
        </w:rPr>
      </w:pPr>
      <w:bookmarkStart w:id="96" w:name="_Toc80006092"/>
      <w:bookmarkStart w:id="97" w:name="_Toc80006202"/>
      <w:bookmarkStart w:id="98" w:name="_Toc9178521"/>
      <w:bookmarkStart w:id="99" w:name="_Toc300678026"/>
      <w:r>
        <w:rPr>
          <w:rFonts w:ascii="Times New Roman" w:hAnsi="Times New Roman" w:eastAsia="黑体"/>
          <w:b w:val="0"/>
          <w:bCs w:val="0"/>
          <w:color w:val="auto"/>
          <w:sz w:val="30"/>
          <w:highlight w:val="none"/>
        </w:rPr>
        <w:t>4.投标</w:t>
      </w:r>
      <w:bookmarkEnd w:id="96"/>
      <w:bookmarkEnd w:id="97"/>
      <w:bookmarkEnd w:id="98"/>
      <w:bookmarkEnd w:id="99"/>
    </w:p>
    <w:p w14:paraId="5C77D25E">
      <w:pPr>
        <w:pStyle w:val="8"/>
        <w:rPr>
          <w:rFonts w:ascii="Times New Roman" w:hAnsi="Times New Roman" w:eastAsia="黑体"/>
          <w:b w:val="0"/>
          <w:bCs w:val="0"/>
          <w:color w:val="auto"/>
          <w:sz w:val="24"/>
          <w:highlight w:val="none"/>
        </w:rPr>
      </w:pPr>
      <w:bookmarkStart w:id="100" w:name="_Toc300678027"/>
      <w:r>
        <w:rPr>
          <w:rFonts w:ascii="Times New Roman" w:hAnsi="Times New Roman" w:eastAsia="黑体"/>
          <w:b w:val="0"/>
          <w:bCs w:val="0"/>
          <w:color w:val="auto"/>
          <w:sz w:val="24"/>
          <w:highlight w:val="none"/>
        </w:rPr>
        <w:t>4.1 投标文件的密封和标记</w:t>
      </w:r>
      <w:bookmarkEnd w:id="100"/>
    </w:p>
    <w:p w14:paraId="0980DEB4">
      <w:pPr>
        <w:pStyle w:val="75"/>
        <w:widowControl w:val="0"/>
        <w:spacing w:line="360" w:lineRule="auto"/>
        <w:ind w:firstLine="420" w:firstLineChars="200"/>
        <w:rPr>
          <w:color w:val="auto"/>
          <w:highlight w:val="none"/>
        </w:rPr>
      </w:pPr>
      <w:r>
        <w:rPr>
          <w:color w:val="auto"/>
          <w:highlight w:val="none"/>
        </w:rPr>
        <w:t>4.1.1投标人应当按照投标人须知前附表的规定加密投标文件。</w:t>
      </w:r>
    </w:p>
    <w:p w14:paraId="1D7FE723">
      <w:pPr>
        <w:pStyle w:val="75"/>
        <w:widowControl w:val="0"/>
        <w:spacing w:line="360" w:lineRule="auto"/>
        <w:ind w:firstLine="420" w:firstLineChars="200"/>
        <w:rPr>
          <w:rFonts w:hint="eastAsia" w:ascii="宋体" w:hAnsi="宋体"/>
          <w:color w:val="auto"/>
          <w:highlight w:val="none"/>
        </w:rPr>
      </w:pPr>
      <w:r>
        <w:rPr>
          <w:color w:val="auto"/>
          <w:highlight w:val="none"/>
        </w:rPr>
        <w:t>4.1.2未按本</w:t>
      </w:r>
      <w:r>
        <w:rPr>
          <w:rFonts w:hint="eastAsia"/>
          <w:color w:val="auto"/>
          <w:highlight w:val="none"/>
        </w:rPr>
        <w:t>须知</w:t>
      </w:r>
      <w:r>
        <w:rPr>
          <w:color w:val="auto"/>
          <w:highlight w:val="none"/>
        </w:rPr>
        <w:t>第4.1.1 项要求</w:t>
      </w:r>
      <w:r>
        <w:rPr>
          <w:rFonts w:hint="eastAsia"/>
          <w:color w:val="auto"/>
          <w:highlight w:val="none"/>
        </w:rPr>
        <w:t>加密</w:t>
      </w:r>
      <w:r>
        <w:rPr>
          <w:color w:val="auto"/>
          <w:highlight w:val="none"/>
        </w:rPr>
        <w:t>的投标文件，</w:t>
      </w:r>
      <w:r>
        <w:rPr>
          <w:rFonts w:hint="eastAsia"/>
          <w:color w:val="auto"/>
          <w:highlight w:val="none"/>
        </w:rPr>
        <w:t>电子招标投标交易平台</w:t>
      </w:r>
      <w:r>
        <w:rPr>
          <w:color w:val="auto"/>
          <w:highlight w:val="none"/>
        </w:rPr>
        <w:t>予以拒收。</w:t>
      </w:r>
    </w:p>
    <w:p w14:paraId="6BB15002">
      <w:pPr>
        <w:pStyle w:val="8"/>
        <w:rPr>
          <w:rFonts w:ascii="Times New Roman" w:hAnsi="Times New Roman" w:eastAsia="黑体"/>
          <w:b w:val="0"/>
          <w:bCs w:val="0"/>
          <w:color w:val="auto"/>
          <w:sz w:val="24"/>
          <w:highlight w:val="none"/>
        </w:rPr>
      </w:pPr>
      <w:bookmarkStart w:id="101" w:name="_Toc300678028"/>
      <w:r>
        <w:rPr>
          <w:rFonts w:ascii="Times New Roman" w:hAnsi="Times New Roman" w:eastAsia="黑体"/>
          <w:b w:val="0"/>
          <w:bCs w:val="0"/>
          <w:color w:val="auto"/>
          <w:sz w:val="24"/>
          <w:highlight w:val="none"/>
        </w:rPr>
        <w:t>4.2 投标文件的递交</w:t>
      </w:r>
      <w:bookmarkEnd w:id="101"/>
    </w:p>
    <w:p w14:paraId="08F954E3">
      <w:pPr>
        <w:pStyle w:val="75"/>
        <w:widowControl w:val="0"/>
        <w:spacing w:line="360" w:lineRule="auto"/>
        <w:ind w:firstLine="420" w:firstLineChars="200"/>
        <w:rPr>
          <w:color w:val="auto"/>
          <w:highlight w:val="none"/>
        </w:rPr>
      </w:pPr>
      <w:r>
        <w:rPr>
          <w:color w:val="auto"/>
          <w:highlight w:val="none"/>
        </w:rPr>
        <w:t>4.2.1 投标人应当在投标人须知前附表规定的投标截止时间前递交投标文件。</w:t>
      </w:r>
    </w:p>
    <w:p w14:paraId="07BE85CC">
      <w:pPr>
        <w:pStyle w:val="75"/>
        <w:widowControl w:val="0"/>
        <w:spacing w:line="360" w:lineRule="auto"/>
        <w:ind w:firstLine="420" w:firstLineChars="200"/>
        <w:rPr>
          <w:color w:val="auto"/>
          <w:highlight w:val="none"/>
        </w:rPr>
      </w:pPr>
      <w:r>
        <w:rPr>
          <w:color w:val="auto"/>
          <w:highlight w:val="none"/>
        </w:rPr>
        <w:t>4.2.2投标人通过</w:t>
      </w:r>
      <w:r>
        <w:rPr>
          <w:rFonts w:hint="eastAsia"/>
          <w:color w:val="auto"/>
          <w:highlight w:val="none"/>
        </w:rPr>
        <w:t>电子招标投标交易平台</w:t>
      </w:r>
      <w:r>
        <w:rPr>
          <w:color w:val="auto"/>
          <w:highlight w:val="none"/>
        </w:rPr>
        <w:t>递交电子投标文件。</w:t>
      </w:r>
    </w:p>
    <w:p w14:paraId="36A432D8">
      <w:pPr>
        <w:pStyle w:val="75"/>
        <w:widowControl w:val="0"/>
        <w:spacing w:line="360" w:lineRule="auto"/>
        <w:ind w:firstLine="420" w:firstLineChars="200"/>
        <w:rPr>
          <w:color w:val="auto"/>
          <w:highlight w:val="none"/>
        </w:rPr>
      </w:pPr>
      <w:r>
        <w:rPr>
          <w:color w:val="auto"/>
          <w:highlight w:val="none"/>
        </w:rPr>
        <w:t>4.2.3 除投标人须知前附表另有规定外，投标人所递交的投标文件不予退还。</w:t>
      </w:r>
    </w:p>
    <w:p w14:paraId="69ED2730">
      <w:pPr>
        <w:pStyle w:val="75"/>
        <w:widowControl w:val="0"/>
        <w:spacing w:line="360" w:lineRule="auto"/>
        <w:ind w:firstLine="420" w:firstLineChars="200"/>
        <w:rPr>
          <w:color w:val="auto"/>
          <w:highlight w:val="none"/>
        </w:rPr>
      </w:pPr>
      <w:r>
        <w:rPr>
          <w:color w:val="auto"/>
          <w:highlight w:val="none"/>
        </w:rPr>
        <w:t>4.2.4逾期</w:t>
      </w:r>
      <w:r>
        <w:rPr>
          <w:rFonts w:hint="eastAsia"/>
          <w:color w:val="auto"/>
          <w:highlight w:val="none"/>
        </w:rPr>
        <w:t>提交</w:t>
      </w:r>
      <w:r>
        <w:rPr>
          <w:color w:val="auto"/>
          <w:highlight w:val="none"/>
        </w:rPr>
        <w:t>的投标文件，</w:t>
      </w:r>
      <w:r>
        <w:rPr>
          <w:rFonts w:hint="eastAsia"/>
          <w:color w:val="auto"/>
          <w:highlight w:val="none"/>
        </w:rPr>
        <w:t>电子招标投标交易平台</w:t>
      </w:r>
      <w:r>
        <w:rPr>
          <w:color w:val="auto"/>
          <w:highlight w:val="none"/>
        </w:rPr>
        <w:t>将</w:t>
      </w:r>
      <w:r>
        <w:rPr>
          <w:rFonts w:hint="eastAsia"/>
          <w:color w:val="auto"/>
          <w:highlight w:val="none"/>
        </w:rPr>
        <w:t>予以拒收</w:t>
      </w:r>
      <w:r>
        <w:rPr>
          <w:color w:val="auto"/>
          <w:highlight w:val="none"/>
        </w:rPr>
        <w:t>。</w:t>
      </w:r>
    </w:p>
    <w:p w14:paraId="0A1D91E3">
      <w:pPr>
        <w:pStyle w:val="8"/>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4.3 投标文件的修改与撤回</w:t>
      </w:r>
    </w:p>
    <w:p w14:paraId="710DA7B0">
      <w:pPr>
        <w:pStyle w:val="75"/>
        <w:widowControl w:val="0"/>
        <w:spacing w:line="360" w:lineRule="auto"/>
        <w:ind w:firstLine="420" w:firstLineChars="200"/>
        <w:rPr>
          <w:color w:val="auto"/>
          <w:highlight w:val="none"/>
        </w:rPr>
      </w:pPr>
      <w:r>
        <w:rPr>
          <w:color w:val="auto"/>
          <w:highlight w:val="none"/>
        </w:rPr>
        <w:t>在投标人须知前附表规定的投标截止时间前，投标人可以修改或撤回已递交投标文件。</w:t>
      </w:r>
    </w:p>
    <w:p w14:paraId="414AD236">
      <w:pPr>
        <w:pStyle w:val="6"/>
        <w:spacing w:before="0" w:after="0" w:line="360" w:lineRule="auto"/>
        <w:rPr>
          <w:rFonts w:ascii="Times New Roman" w:hAnsi="Times New Roman" w:eastAsia="黑体"/>
          <w:b w:val="0"/>
          <w:bCs w:val="0"/>
          <w:color w:val="auto"/>
          <w:sz w:val="30"/>
          <w:highlight w:val="none"/>
        </w:rPr>
      </w:pPr>
      <w:bookmarkStart w:id="102" w:name="_Toc9178522"/>
      <w:bookmarkStart w:id="103" w:name="_Toc80006203"/>
      <w:bookmarkStart w:id="104" w:name="_Toc300678029"/>
      <w:bookmarkStart w:id="105" w:name="_Toc80006093"/>
      <w:r>
        <w:rPr>
          <w:rFonts w:ascii="Times New Roman" w:hAnsi="Times New Roman" w:eastAsia="黑体"/>
          <w:b w:val="0"/>
          <w:bCs w:val="0"/>
          <w:color w:val="auto"/>
          <w:sz w:val="30"/>
          <w:highlight w:val="none"/>
        </w:rPr>
        <w:t>5.开标</w:t>
      </w:r>
      <w:bookmarkEnd w:id="102"/>
      <w:bookmarkEnd w:id="103"/>
      <w:bookmarkEnd w:id="104"/>
      <w:bookmarkEnd w:id="105"/>
    </w:p>
    <w:p w14:paraId="2FD25FA0">
      <w:pPr>
        <w:pStyle w:val="8"/>
        <w:rPr>
          <w:rFonts w:ascii="Times New Roman" w:hAnsi="Times New Roman" w:eastAsia="黑体"/>
          <w:b w:val="0"/>
          <w:bCs w:val="0"/>
          <w:color w:val="auto"/>
          <w:sz w:val="24"/>
          <w:highlight w:val="none"/>
        </w:rPr>
      </w:pPr>
      <w:bookmarkStart w:id="106" w:name="_Toc300678030"/>
      <w:r>
        <w:rPr>
          <w:rFonts w:ascii="Times New Roman" w:hAnsi="Times New Roman" w:eastAsia="黑体"/>
          <w:b w:val="0"/>
          <w:bCs w:val="0"/>
          <w:color w:val="auto"/>
          <w:sz w:val="24"/>
          <w:highlight w:val="none"/>
        </w:rPr>
        <w:t>5.1 开标时间和地点</w:t>
      </w:r>
      <w:bookmarkEnd w:id="106"/>
    </w:p>
    <w:p w14:paraId="4938A14F">
      <w:pPr>
        <w:pStyle w:val="75"/>
        <w:widowControl w:val="0"/>
        <w:spacing w:line="360" w:lineRule="auto"/>
        <w:ind w:firstLine="420" w:firstLineChars="200"/>
        <w:rPr>
          <w:strike/>
          <w:color w:val="auto"/>
          <w:highlight w:val="none"/>
        </w:rPr>
      </w:pPr>
      <w:r>
        <w:rPr>
          <w:color w:val="auto"/>
          <w:highlight w:val="none"/>
        </w:rPr>
        <w:t>招标人在投标人须知前附表规定的</w:t>
      </w:r>
      <w:r>
        <w:rPr>
          <w:rFonts w:hint="eastAsia"/>
          <w:color w:val="auto"/>
          <w:highlight w:val="none"/>
        </w:rPr>
        <w:t>投标截止时间（开标</w:t>
      </w:r>
      <w:r>
        <w:rPr>
          <w:color w:val="auto"/>
          <w:highlight w:val="none"/>
        </w:rPr>
        <w:t>时间</w:t>
      </w:r>
      <w:r>
        <w:rPr>
          <w:rFonts w:hint="eastAsia"/>
          <w:color w:val="auto"/>
          <w:highlight w:val="none"/>
        </w:rPr>
        <w:t>），通过电子招标投标交易平台公开开标，所有投标人的法定代表人或其委托代理人应当准时在线参加。</w:t>
      </w:r>
    </w:p>
    <w:p w14:paraId="58F4B16B">
      <w:pPr>
        <w:pStyle w:val="8"/>
        <w:rPr>
          <w:rFonts w:ascii="Times New Roman" w:hAnsi="Times New Roman" w:eastAsia="黑体"/>
          <w:b w:val="0"/>
          <w:bCs w:val="0"/>
          <w:color w:val="auto"/>
          <w:sz w:val="24"/>
          <w:highlight w:val="none"/>
        </w:rPr>
      </w:pPr>
      <w:bookmarkStart w:id="107" w:name="_Toc300678031"/>
      <w:r>
        <w:rPr>
          <w:rFonts w:ascii="Times New Roman" w:hAnsi="Times New Roman" w:eastAsia="黑体"/>
          <w:b w:val="0"/>
          <w:bCs w:val="0"/>
          <w:color w:val="auto"/>
          <w:sz w:val="24"/>
          <w:highlight w:val="none"/>
        </w:rPr>
        <w:t>5.2 开标程序</w:t>
      </w:r>
      <w:bookmarkEnd w:id="107"/>
    </w:p>
    <w:p w14:paraId="4C570A25">
      <w:pPr>
        <w:pStyle w:val="75"/>
        <w:widowControl w:val="0"/>
        <w:spacing w:line="360" w:lineRule="auto"/>
        <w:ind w:firstLine="420" w:firstLineChars="200"/>
        <w:rPr>
          <w:color w:val="auto"/>
          <w:highlight w:val="none"/>
        </w:rPr>
      </w:pPr>
      <w:r>
        <w:rPr>
          <w:rFonts w:hint="eastAsia"/>
          <w:color w:val="auto"/>
          <w:highlight w:val="none"/>
        </w:rPr>
        <w:t>5</w:t>
      </w:r>
      <w:r>
        <w:rPr>
          <w:color w:val="auto"/>
          <w:highlight w:val="none"/>
        </w:rPr>
        <w:t>.2.1</w:t>
      </w:r>
      <w:r>
        <w:rPr>
          <w:rFonts w:hint="eastAsia"/>
          <w:color w:val="auto"/>
          <w:highlight w:val="none"/>
        </w:rPr>
        <w:t>招标</w:t>
      </w:r>
      <w:r>
        <w:rPr>
          <w:color w:val="auto"/>
          <w:highlight w:val="none"/>
        </w:rPr>
        <w:t>人按下列程序进行开标：</w:t>
      </w:r>
    </w:p>
    <w:p w14:paraId="17A61979">
      <w:pPr>
        <w:pStyle w:val="75"/>
        <w:widowControl w:val="0"/>
        <w:spacing w:line="360" w:lineRule="auto"/>
        <w:ind w:firstLine="420" w:firstLineChars="200"/>
        <w:rPr>
          <w:color w:val="auto"/>
          <w:highlight w:val="none"/>
        </w:rPr>
      </w:pPr>
      <w:r>
        <w:rPr>
          <w:color w:val="auto"/>
          <w:highlight w:val="none"/>
        </w:rPr>
        <w:t>（l）宣布开标纪律；</w:t>
      </w:r>
    </w:p>
    <w:p w14:paraId="7346539A">
      <w:pPr>
        <w:pStyle w:val="75"/>
        <w:widowControl w:val="0"/>
        <w:spacing w:line="360" w:lineRule="auto"/>
        <w:ind w:firstLine="420" w:firstLineChars="200"/>
        <w:rPr>
          <w:color w:val="auto"/>
          <w:highlight w:val="none"/>
        </w:rPr>
      </w:pPr>
      <w:r>
        <w:rPr>
          <w:color w:val="auto"/>
          <w:highlight w:val="none"/>
        </w:rPr>
        <w:t>（2）公布在投标截止时间前递交投标文件的投标人名称；</w:t>
      </w:r>
    </w:p>
    <w:p w14:paraId="4653693D">
      <w:pPr>
        <w:pStyle w:val="75"/>
        <w:widowControl w:val="0"/>
        <w:spacing w:line="360" w:lineRule="auto"/>
        <w:ind w:firstLine="420" w:firstLineChars="200"/>
        <w:rPr>
          <w:color w:val="auto"/>
          <w:highlight w:val="none"/>
        </w:rPr>
      </w:pPr>
      <w:r>
        <w:rPr>
          <w:color w:val="auto"/>
          <w:highlight w:val="none"/>
        </w:rPr>
        <w:t>（3）宣布开标人、监督人等有关人员姓名；</w:t>
      </w:r>
    </w:p>
    <w:p w14:paraId="1094CEC0">
      <w:pPr>
        <w:pStyle w:val="75"/>
        <w:spacing w:line="360" w:lineRule="auto"/>
        <w:ind w:firstLine="420" w:firstLineChars="200"/>
        <w:rPr>
          <w:color w:val="auto"/>
          <w:highlight w:val="none"/>
        </w:rPr>
      </w:pPr>
      <w:r>
        <w:rPr>
          <w:color w:val="auto"/>
          <w:highlight w:val="none"/>
        </w:rPr>
        <w:t>（4）由招标人在开标现场随</w:t>
      </w:r>
      <w:r>
        <w:rPr>
          <w:rFonts w:hint="eastAsia" w:ascii="Times New Roman" w:hAnsi="Times New Roman" w:eastAsia="宋体" w:cs="Times New Roman"/>
          <w:color w:val="auto"/>
          <w:highlight w:val="none"/>
        </w:rPr>
        <w:t>机抽取α</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β</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P值</w:t>
      </w:r>
      <w:r>
        <w:rPr>
          <w:rFonts w:hint="eastAsia" w:ascii="Times New Roman" w:hAnsi="Times New Roman" w:eastAsia="宋体" w:cs="Times New Roman"/>
          <w:color w:val="auto"/>
          <w:highlight w:val="none"/>
        </w:rPr>
        <w:t>并记</w:t>
      </w:r>
      <w:r>
        <w:rPr>
          <w:rFonts w:hint="eastAsia"/>
          <w:color w:val="auto"/>
          <w:highlight w:val="none"/>
        </w:rPr>
        <w:t>录在案</w:t>
      </w:r>
      <w:r>
        <w:rPr>
          <w:color w:val="auto"/>
          <w:highlight w:val="none"/>
        </w:rPr>
        <w:t>；</w:t>
      </w:r>
    </w:p>
    <w:p w14:paraId="0A4772F5">
      <w:pPr>
        <w:pStyle w:val="75"/>
        <w:widowControl w:val="0"/>
        <w:spacing w:line="360" w:lineRule="auto"/>
        <w:ind w:firstLine="420" w:firstLineChars="200"/>
        <w:rPr>
          <w:color w:val="auto"/>
          <w:highlight w:val="none"/>
        </w:rPr>
      </w:pPr>
      <w:r>
        <w:rPr>
          <w:color w:val="auto"/>
          <w:highlight w:val="none"/>
        </w:rPr>
        <w:t>（5）投标人通过电子招标投标交易平台对已递交的电子投标文件进行解密，当众开标，公布投标人名称、标段名称、投标保证的递交情况、投标报价、质量目标、工期及其他内容，并记录在案；</w:t>
      </w:r>
    </w:p>
    <w:p w14:paraId="090DD40E">
      <w:pPr>
        <w:pStyle w:val="75"/>
        <w:widowControl w:val="0"/>
        <w:spacing w:line="360" w:lineRule="auto"/>
        <w:ind w:firstLine="420" w:firstLineChars="200"/>
        <w:rPr>
          <w:color w:val="auto"/>
          <w:highlight w:val="none"/>
        </w:rPr>
      </w:pPr>
      <w:r>
        <w:rPr>
          <w:color w:val="auto"/>
          <w:highlight w:val="none"/>
        </w:rPr>
        <w:t>（6）投标人</w:t>
      </w:r>
      <w:r>
        <w:rPr>
          <w:rFonts w:hint="eastAsia"/>
          <w:color w:val="auto"/>
          <w:highlight w:val="none"/>
        </w:rPr>
        <w:t>确认开标结果</w:t>
      </w:r>
      <w:r>
        <w:rPr>
          <w:color w:val="auto"/>
          <w:highlight w:val="none"/>
        </w:rPr>
        <w:t>；</w:t>
      </w:r>
    </w:p>
    <w:p w14:paraId="3F2A95BC">
      <w:pPr>
        <w:pStyle w:val="75"/>
        <w:widowControl w:val="0"/>
        <w:spacing w:line="360" w:lineRule="auto"/>
        <w:ind w:firstLine="420" w:firstLineChars="200"/>
        <w:rPr>
          <w:color w:val="auto"/>
          <w:highlight w:val="none"/>
        </w:rPr>
      </w:pPr>
      <w:r>
        <w:rPr>
          <w:color w:val="auto"/>
          <w:highlight w:val="none"/>
        </w:rPr>
        <w:t>（7）招标人在开标记录上确认；</w:t>
      </w:r>
    </w:p>
    <w:p w14:paraId="06DD2787">
      <w:pPr>
        <w:pStyle w:val="75"/>
        <w:widowControl w:val="0"/>
        <w:spacing w:line="360" w:lineRule="auto"/>
        <w:ind w:firstLine="420" w:firstLineChars="200"/>
        <w:rPr>
          <w:color w:val="auto"/>
          <w:highlight w:val="none"/>
        </w:rPr>
      </w:pPr>
      <w:r>
        <w:rPr>
          <w:color w:val="auto"/>
          <w:highlight w:val="none"/>
        </w:rPr>
        <w:t>（8）开标结束。</w:t>
      </w:r>
    </w:p>
    <w:p w14:paraId="5BD1BA4E">
      <w:pPr>
        <w:pStyle w:val="6"/>
        <w:spacing w:before="0" w:after="0" w:line="360" w:lineRule="auto"/>
        <w:rPr>
          <w:rFonts w:ascii="Times New Roman" w:hAnsi="Times New Roman" w:eastAsia="黑体"/>
          <w:b w:val="0"/>
          <w:bCs w:val="0"/>
          <w:color w:val="auto"/>
          <w:sz w:val="30"/>
          <w:highlight w:val="none"/>
        </w:rPr>
      </w:pPr>
      <w:bookmarkStart w:id="108" w:name="_Toc80006204"/>
      <w:bookmarkStart w:id="109" w:name="_Toc9178523"/>
      <w:bookmarkStart w:id="110" w:name="_Toc300678032"/>
      <w:bookmarkStart w:id="111" w:name="_Toc80006094"/>
      <w:r>
        <w:rPr>
          <w:rFonts w:ascii="Times New Roman" w:hAnsi="Times New Roman" w:eastAsia="黑体"/>
          <w:b w:val="0"/>
          <w:bCs w:val="0"/>
          <w:color w:val="auto"/>
          <w:sz w:val="30"/>
          <w:highlight w:val="none"/>
        </w:rPr>
        <w:t>6.评标</w:t>
      </w:r>
      <w:bookmarkEnd w:id="108"/>
      <w:bookmarkEnd w:id="109"/>
      <w:bookmarkEnd w:id="110"/>
      <w:bookmarkEnd w:id="111"/>
    </w:p>
    <w:p w14:paraId="257BF207">
      <w:pPr>
        <w:pStyle w:val="8"/>
        <w:rPr>
          <w:rFonts w:ascii="Times New Roman" w:hAnsi="Times New Roman" w:eastAsia="黑体"/>
          <w:b w:val="0"/>
          <w:bCs w:val="0"/>
          <w:color w:val="auto"/>
          <w:sz w:val="24"/>
          <w:highlight w:val="none"/>
        </w:rPr>
      </w:pPr>
      <w:bookmarkStart w:id="112" w:name="_Toc300678033"/>
      <w:r>
        <w:rPr>
          <w:rFonts w:ascii="Times New Roman" w:hAnsi="Times New Roman" w:eastAsia="黑体"/>
          <w:b w:val="0"/>
          <w:bCs w:val="0"/>
          <w:color w:val="auto"/>
          <w:sz w:val="24"/>
          <w:highlight w:val="none"/>
        </w:rPr>
        <w:t>6.1 评标委员会</w:t>
      </w:r>
      <w:bookmarkEnd w:id="112"/>
    </w:p>
    <w:p w14:paraId="3CD99DF3">
      <w:pPr>
        <w:pStyle w:val="75"/>
        <w:widowControl w:val="0"/>
        <w:spacing w:line="360" w:lineRule="auto"/>
        <w:ind w:firstLine="420" w:firstLineChars="200"/>
        <w:rPr>
          <w:color w:val="auto"/>
          <w:highlight w:val="none"/>
        </w:rPr>
      </w:pPr>
      <w:r>
        <w:rPr>
          <w:color w:val="auto"/>
          <w:highlight w:val="none"/>
        </w:rPr>
        <w:t>6.1.1  评标由招标人依法组建的评标委员会负责。评标委员会成员人数以及技术、经济等方面专家的确定方式见投标人须知前附表。</w:t>
      </w:r>
    </w:p>
    <w:p w14:paraId="1011A080">
      <w:pPr>
        <w:pStyle w:val="75"/>
        <w:widowControl w:val="0"/>
        <w:spacing w:line="360" w:lineRule="auto"/>
        <w:ind w:firstLine="420" w:firstLineChars="200"/>
        <w:rPr>
          <w:color w:val="auto"/>
          <w:highlight w:val="none"/>
        </w:rPr>
      </w:pPr>
      <w:r>
        <w:rPr>
          <w:color w:val="auto"/>
          <w:highlight w:val="none"/>
        </w:rPr>
        <w:t>6.1.2  有下列情形之一的，应当回避：</w:t>
      </w:r>
    </w:p>
    <w:p w14:paraId="6177339E">
      <w:pPr>
        <w:pStyle w:val="75"/>
        <w:widowControl w:val="0"/>
        <w:spacing w:line="360" w:lineRule="auto"/>
        <w:ind w:firstLine="420" w:firstLineChars="200"/>
        <w:rPr>
          <w:color w:val="auto"/>
          <w:highlight w:val="none"/>
        </w:rPr>
      </w:pPr>
      <w:r>
        <w:rPr>
          <w:color w:val="auto"/>
          <w:highlight w:val="none"/>
        </w:rPr>
        <w:t>（1）评标委员会成员是投标人或投标人的主要负责人或拟任项目经理的近亲属；</w:t>
      </w:r>
    </w:p>
    <w:p w14:paraId="0FE007D5">
      <w:pPr>
        <w:pStyle w:val="75"/>
        <w:widowControl w:val="0"/>
        <w:spacing w:line="360" w:lineRule="auto"/>
        <w:ind w:firstLine="420" w:firstLineChars="200"/>
        <w:rPr>
          <w:color w:val="auto"/>
          <w:highlight w:val="none"/>
        </w:rPr>
      </w:pPr>
      <w:r>
        <w:rPr>
          <w:color w:val="auto"/>
          <w:highlight w:val="none"/>
        </w:rPr>
        <w:t>（2）评标委员会成员是本项目招标投标行政监督部门的人员；</w:t>
      </w:r>
    </w:p>
    <w:p w14:paraId="0C10EDBA">
      <w:pPr>
        <w:pStyle w:val="75"/>
        <w:widowControl w:val="0"/>
        <w:spacing w:line="360" w:lineRule="auto"/>
        <w:ind w:firstLine="420" w:firstLineChars="200"/>
        <w:rPr>
          <w:color w:val="auto"/>
          <w:highlight w:val="none"/>
        </w:rPr>
      </w:pPr>
      <w:r>
        <w:rPr>
          <w:color w:val="auto"/>
          <w:highlight w:val="none"/>
        </w:rPr>
        <w:t>（3）评标委员会成员是招标人或者其下属单位或者招标项目上级主管部门的人员，但招标人代表除外；</w:t>
      </w:r>
    </w:p>
    <w:p w14:paraId="35A8710E">
      <w:pPr>
        <w:pStyle w:val="75"/>
        <w:widowControl w:val="0"/>
        <w:spacing w:line="360" w:lineRule="auto"/>
        <w:ind w:firstLine="420" w:firstLineChars="200"/>
        <w:rPr>
          <w:color w:val="auto"/>
          <w:highlight w:val="none"/>
        </w:rPr>
      </w:pPr>
      <w:r>
        <w:rPr>
          <w:color w:val="auto"/>
          <w:highlight w:val="none"/>
        </w:rPr>
        <w:t>（4）评标委员会成员曾参与投标人的投标文件编制或者对投标文件的编制实施指导；</w:t>
      </w:r>
    </w:p>
    <w:p w14:paraId="70F232D5">
      <w:pPr>
        <w:pStyle w:val="75"/>
        <w:widowControl w:val="0"/>
        <w:spacing w:line="360" w:lineRule="auto"/>
        <w:ind w:firstLine="420" w:firstLineChars="200"/>
        <w:rPr>
          <w:color w:val="auto"/>
          <w:highlight w:val="none"/>
        </w:rPr>
      </w:pPr>
      <w:r>
        <w:rPr>
          <w:color w:val="auto"/>
          <w:highlight w:val="none"/>
        </w:rPr>
        <w:t>（5）评标委员会成员与投标人有经济利益关系，可能影响对投标公正评审的。</w:t>
      </w:r>
    </w:p>
    <w:p w14:paraId="3429DFDE">
      <w:pPr>
        <w:pStyle w:val="75"/>
        <w:widowControl w:val="0"/>
        <w:spacing w:line="360" w:lineRule="auto"/>
        <w:ind w:firstLine="420" w:firstLineChars="200"/>
        <w:rPr>
          <w:color w:val="auto"/>
          <w:highlight w:val="none"/>
        </w:rPr>
      </w:pPr>
      <w:r>
        <w:rPr>
          <w:color w:val="auto"/>
          <w:highlight w:val="none"/>
        </w:rPr>
        <w:t>（6）评标委员会成员被主管部门禁止参加本地区依法必须招标项目评标或者取消担任评标委员会成员资格</w:t>
      </w:r>
      <w:r>
        <w:rPr>
          <w:rFonts w:hint="eastAsia"/>
          <w:color w:val="auto"/>
          <w:highlight w:val="none"/>
        </w:rPr>
        <w:t>。</w:t>
      </w:r>
    </w:p>
    <w:p w14:paraId="23F71143">
      <w:pPr>
        <w:pStyle w:val="8"/>
        <w:rPr>
          <w:rFonts w:ascii="Times New Roman" w:hAnsi="Times New Roman" w:eastAsia="黑体"/>
          <w:b w:val="0"/>
          <w:bCs w:val="0"/>
          <w:color w:val="auto"/>
          <w:sz w:val="24"/>
          <w:highlight w:val="none"/>
        </w:rPr>
      </w:pPr>
      <w:bookmarkStart w:id="113" w:name="_Toc300678034"/>
      <w:r>
        <w:rPr>
          <w:rFonts w:ascii="Times New Roman" w:hAnsi="Times New Roman" w:eastAsia="黑体"/>
          <w:b w:val="0"/>
          <w:bCs w:val="0"/>
          <w:color w:val="auto"/>
          <w:sz w:val="24"/>
          <w:highlight w:val="none"/>
        </w:rPr>
        <w:t>6.2 评标原则</w:t>
      </w:r>
      <w:bookmarkEnd w:id="113"/>
    </w:p>
    <w:p w14:paraId="05774DC1">
      <w:pPr>
        <w:pStyle w:val="75"/>
        <w:widowControl w:val="0"/>
        <w:spacing w:line="360" w:lineRule="auto"/>
        <w:ind w:firstLine="420" w:firstLineChars="200"/>
        <w:rPr>
          <w:color w:val="auto"/>
          <w:highlight w:val="none"/>
        </w:rPr>
      </w:pPr>
      <w:r>
        <w:rPr>
          <w:color w:val="auto"/>
          <w:highlight w:val="none"/>
        </w:rPr>
        <w:t>评标活动遵循公平、公正、科学和择优的原则。</w:t>
      </w:r>
    </w:p>
    <w:p w14:paraId="27BA594D">
      <w:pPr>
        <w:pStyle w:val="8"/>
        <w:rPr>
          <w:rFonts w:ascii="Times New Roman" w:hAnsi="Times New Roman" w:eastAsia="黑体"/>
          <w:b w:val="0"/>
          <w:bCs w:val="0"/>
          <w:color w:val="auto"/>
          <w:sz w:val="24"/>
          <w:highlight w:val="none"/>
        </w:rPr>
      </w:pPr>
      <w:bookmarkStart w:id="114" w:name="_Toc300678035"/>
      <w:r>
        <w:rPr>
          <w:rFonts w:ascii="Times New Roman" w:hAnsi="Times New Roman" w:eastAsia="黑体"/>
          <w:b w:val="0"/>
          <w:bCs w:val="0"/>
          <w:color w:val="auto"/>
          <w:sz w:val="24"/>
          <w:highlight w:val="none"/>
        </w:rPr>
        <w:t>6.3 评标</w:t>
      </w:r>
      <w:bookmarkEnd w:id="114"/>
    </w:p>
    <w:p w14:paraId="2ECE1E1C">
      <w:pPr>
        <w:pStyle w:val="75"/>
        <w:widowControl w:val="0"/>
        <w:spacing w:line="360" w:lineRule="auto"/>
        <w:ind w:firstLine="420" w:firstLineChars="200"/>
        <w:rPr>
          <w:color w:val="auto"/>
          <w:highlight w:val="none"/>
        </w:rPr>
      </w:pPr>
      <w:r>
        <w:rPr>
          <w:color w:val="auto"/>
          <w:highlight w:val="none"/>
        </w:rPr>
        <w:t>评标委员会按照第三章“评标办法”规定的评审标准和</w:t>
      </w:r>
      <w:r>
        <w:rPr>
          <w:rFonts w:hint="eastAsia"/>
          <w:color w:val="auto"/>
          <w:highlight w:val="none"/>
        </w:rPr>
        <w:t>评审</w:t>
      </w:r>
      <w:r>
        <w:rPr>
          <w:color w:val="auto"/>
          <w:highlight w:val="none"/>
        </w:rPr>
        <w:t>程序对投标文件进行评审。</w:t>
      </w:r>
      <w:r>
        <w:rPr>
          <w:rFonts w:hint="eastAsia" w:ascii="宋体" w:hAnsi="宋体"/>
          <w:color w:val="auto"/>
          <w:highlight w:val="none"/>
        </w:rPr>
        <w:t>第三章“评标办法”没有规定的方法、评审因素和标准，不作为评标依据。</w:t>
      </w:r>
    </w:p>
    <w:p w14:paraId="2639626D">
      <w:pPr>
        <w:pStyle w:val="6"/>
        <w:spacing w:before="0" w:after="0" w:line="360" w:lineRule="auto"/>
        <w:rPr>
          <w:rFonts w:ascii="Times New Roman" w:hAnsi="Times New Roman" w:eastAsia="黑体"/>
          <w:b w:val="0"/>
          <w:bCs w:val="0"/>
          <w:color w:val="auto"/>
          <w:sz w:val="30"/>
          <w:highlight w:val="none"/>
        </w:rPr>
      </w:pPr>
      <w:bookmarkStart w:id="115" w:name="_Toc80006095"/>
      <w:bookmarkStart w:id="116" w:name="_Toc9178524"/>
      <w:bookmarkStart w:id="117" w:name="_Toc80006205"/>
      <w:bookmarkStart w:id="118" w:name="_Toc300678036"/>
      <w:r>
        <w:rPr>
          <w:rFonts w:ascii="Times New Roman" w:hAnsi="Times New Roman" w:eastAsia="黑体"/>
          <w:b w:val="0"/>
          <w:bCs w:val="0"/>
          <w:color w:val="auto"/>
          <w:sz w:val="30"/>
          <w:highlight w:val="none"/>
        </w:rPr>
        <w:t>7.合同授予</w:t>
      </w:r>
      <w:bookmarkEnd w:id="115"/>
      <w:bookmarkEnd w:id="116"/>
      <w:bookmarkEnd w:id="117"/>
      <w:bookmarkEnd w:id="118"/>
    </w:p>
    <w:p w14:paraId="4C54158A">
      <w:pPr>
        <w:pStyle w:val="8"/>
        <w:rPr>
          <w:rFonts w:ascii="Times New Roman" w:hAnsi="Times New Roman" w:eastAsia="黑体"/>
          <w:b w:val="0"/>
          <w:bCs w:val="0"/>
          <w:color w:val="auto"/>
          <w:sz w:val="24"/>
          <w:highlight w:val="none"/>
        </w:rPr>
      </w:pPr>
      <w:bookmarkStart w:id="119" w:name="_Toc300678037"/>
      <w:r>
        <w:rPr>
          <w:rFonts w:ascii="Times New Roman" w:hAnsi="Times New Roman" w:eastAsia="黑体"/>
          <w:b w:val="0"/>
          <w:bCs w:val="0"/>
          <w:color w:val="auto"/>
          <w:sz w:val="24"/>
          <w:highlight w:val="none"/>
        </w:rPr>
        <w:t>7.1 定标方式</w:t>
      </w:r>
      <w:bookmarkEnd w:id="119"/>
    </w:p>
    <w:p w14:paraId="3EBE6343">
      <w:pPr>
        <w:spacing w:line="360" w:lineRule="auto"/>
        <w:ind w:firstLine="420" w:firstLineChars="200"/>
        <w:rPr>
          <w:color w:val="auto"/>
          <w:highlight w:val="none"/>
        </w:rPr>
      </w:pPr>
      <w:r>
        <w:rPr>
          <w:color w:val="auto"/>
          <w:highlight w:val="none"/>
        </w:rPr>
        <w:t>招标人依据评标委员会推荐的中标候选人确定中标人。评标委员会推荐中标候选人的数量以及招标人确定中标人的方式见投标人须知前附表。</w:t>
      </w:r>
    </w:p>
    <w:p w14:paraId="5267CD86">
      <w:pPr>
        <w:spacing w:line="360" w:lineRule="auto"/>
        <w:ind w:firstLine="420" w:firstLineChars="200"/>
        <w:rPr>
          <w:color w:val="auto"/>
          <w:highlight w:val="none"/>
        </w:rPr>
      </w:pPr>
    </w:p>
    <w:p w14:paraId="6A21DA52">
      <w:pPr>
        <w:pStyle w:val="8"/>
        <w:rPr>
          <w:rFonts w:ascii="Times New Roman" w:hAnsi="Times New Roman" w:eastAsia="黑体"/>
          <w:b w:val="0"/>
          <w:bCs w:val="0"/>
          <w:color w:val="auto"/>
          <w:sz w:val="24"/>
          <w:highlight w:val="none"/>
        </w:rPr>
      </w:pPr>
      <w:bookmarkStart w:id="120" w:name="_Toc300678038"/>
      <w:r>
        <w:rPr>
          <w:rFonts w:ascii="Times New Roman" w:hAnsi="Times New Roman" w:eastAsia="黑体"/>
          <w:b w:val="0"/>
          <w:bCs w:val="0"/>
          <w:color w:val="auto"/>
          <w:sz w:val="24"/>
          <w:highlight w:val="none"/>
        </w:rPr>
        <w:t>7.2 中标通知</w:t>
      </w:r>
      <w:bookmarkEnd w:id="120"/>
    </w:p>
    <w:p w14:paraId="244AAD25">
      <w:pPr>
        <w:pStyle w:val="75"/>
        <w:widowControl w:val="0"/>
        <w:spacing w:line="360" w:lineRule="auto"/>
        <w:ind w:firstLine="420" w:firstLineChars="200"/>
        <w:rPr>
          <w:color w:val="auto"/>
          <w:highlight w:val="none"/>
        </w:rPr>
      </w:pPr>
      <w:r>
        <w:rPr>
          <w:color w:val="auto"/>
          <w:highlight w:val="none"/>
        </w:rPr>
        <w:t>在规定的投标有效期内，招标人以书面形式向中标人发出中标通知书，同时将中标结果通知未中标的投标人。</w:t>
      </w:r>
    </w:p>
    <w:p w14:paraId="661A9A8F">
      <w:pPr>
        <w:pStyle w:val="8"/>
        <w:rPr>
          <w:rFonts w:hint="eastAsia" w:ascii="Times New Roman" w:hAnsi="Times New Roman" w:eastAsia="黑体"/>
          <w:b w:val="0"/>
          <w:bCs w:val="0"/>
          <w:color w:val="auto"/>
          <w:sz w:val="24"/>
          <w:highlight w:val="none"/>
        </w:rPr>
      </w:pPr>
      <w:bookmarkStart w:id="121" w:name="_Toc300678039"/>
      <w:r>
        <w:rPr>
          <w:rFonts w:ascii="Times New Roman" w:hAnsi="Times New Roman" w:eastAsia="黑体"/>
          <w:b w:val="0"/>
          <w:bCs w:val="0"/>
          <w:color w:val="auto"/>
          <w:sz w:val="24"/>
          <w:highlight w:val="none"/>
        </w:rPr>
        <w:t>7.3 履约担保</w:t>
      </w:r>
      <w:bookmarkEnd w:id="121"/>
      <w:r>
        <w:rPr>
          <w:rFonts w:hint="eastAsia" w:ascii="Times New Roman" w:hAnsi="Times New Roman" w:eastAsia="黑体"/>
          <w:b w:val="0"/>
          <w:bCs w:val="0"/>
          <w:color w:val="auto"/>
          <w:sz w:val="24"/>
          <w:highlight w:val="none"/>
        </w:rPr>
        <w:t>及工程款支付担保</w:t>
      </w:r>
    </w:p>
    <w:p w14:paraId="326CF5CD">
      <w:pPr>
        <w:pStyle w:val="75"/>
        <w:widowControl w:val="0"/>
        <w:spacing w:line="360" w:lineRule="auto"/>
        <w:ind w:firstLine="420" w:firstLineChars="200"/>
        <w:rPr>
          <w:color w:val="auto"/>
          <w:highlight w:val="none"/>
        </w:rPr>
      </w:pPr>
      <w:r>
        <w:rPr>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14:paraId="56E24B33">
      <w:pPr>
        <w:pStyle w:val="75"/>
        <w:widowControl w:val="0"/>
        <w:spacing w:line="360" w:lineRule="auto"/>
        <w:ind w:firstLine="420" w:firstLineChars="200"/>
        <w:rPr>
          <w:color w:val="auto"/>
          <w:highlight w:val="none"/>
        </w:rPr>
      </w:pPr>
      <w:r>
        <w:rPr>
          <w:rFonts w:hint="eastAsia"/>
          <w:color w:val="auto"/>
          <w:highlight w:val="none"/>
          <w:lang w:eastAsia="zh-CN"/>
        </w:rPr>
        <w:t>☑</w:t>
      </w:r>
      <w:r>
        <w:rPr>
          <w:color w:val="auto"/>
          <w:highlight w:val="none"/>
        </w:rPr>
        <w:t>7.3.1 采用经评审的最低投标价法中标的， 在签订合同前，中标人应按投标人须知前附表规定的金额、担保形式和招标文件第四章规定的履约担保格式向招标人提交履约担保。联合体中标的，履约担保由牵头人递交。</w:t>
      </w:r>
    </w:p>
    <w:p w14:paraId="61B90003">
      <w:pPr>
        <w:pStyle w:val="75"/>
        <w:widowControl w:val="0"/>
        <w:spacing w:line="360" w:lineRule="auto"/>
        <w:ind w:firstLine="420" w:firstLineChars="200"/>
        <w:rPr>
          <w:rFonts w:hint="eastAsia"/>
          <w:color w:val="auto"/>
          <w:highlight w:val="none"/>
        </w:rPr>
      </w:pPr>
      <w:r>
        <w:rPr>
          <w:color w:val="auto"/>
          <w:highlight w:val="none"/>
        </w:rPr>
        <w:t>7.3.2  中标人不能按本</w:t>
      </w:r>
      <w:r>
        <w:rPr>
          <w:rFonts w:hint="eastAsia"/>
          <w:color w:val="auto"/>
          <w:highlight w:val="none"/>
        </w:rPr>
        <w:t>须知</w:t>
      </w:r>
      <w:r>
        <w:rPr>
          <w:color w:val="auto"/>
          <w:highlight w:val="none"/>
        </w:rPr>
        <w:t>第7.3.1 项要求提交履约担保的，视为放弃中标。给招标人造成的损失超过投标保证数额的，中标人应当对超过部分予以赔偿。</w:t>
      </w:r>
    </w:p>
    <w:p w14:paraId="4F994E75">
      <w:pPr>
        <w:pStyle w:val="75"/>
        <w:widowControl w:val="0"/>
        <w:spacing w:line="360" w:lineRule="auto"/>
        <w:ind w:firstLine="420" w:firstLineChars="200"/>
        <w:rPr>
          <w:color w:val="auto"/>
          <w:highlight w:val="none"/>
        </w:rPr>
      </w:pPr>
      <w:r>
        <w:rPr>
          <w:rFonts w:hint="eastAsia"/>
          <w:color w:val="auto"/>
          <w:highlight w:val="none"/>
        </w:rPr>
        <w:t>7.3.3 招标人应当向中标人提供工程款支付担保。</w:t>
      </w:r>
    </w:p>
    <w:p w14:paraId="2C309334">
      <w:pPr>
        <w:pStyle w:val="8"/>
        <w:rPr>
          <w:rFonts w:ascii="Times New Roman" w:hAnsi="Times New Roman" w:eastAsia="黑体"/>
          <w:b w:val="0"/>
          <w:bCs w:val="0"/>
          <w:color w:val="auto"/>
          <w:sz w:val="24"/>
          <w:highlight w:val="none"/>
        </w:rPr>
      </w:pPr>
      <w:bookmarkStart w:id="122" w:name="_Toc300678040"/>
      <w:r>
        <w:rPr>
          <w:rFonts w:ascii="Times New Roman" w:hAnsi="Times New Roman" w:eastAsia="黑体"/>
          <w:b w:val="0"/>
          <w:bCs w:val="0"/>
          <w:color w:val="auto"/>
          <w:sz w:val="24"/>
          <w:highlight w:val="none"/>
        </w:rPr>
        <w:t>7.4 签订合同</w:t>
      </w:r>
      <w:bookmarkEnd w:id="122"/>
    </w:p>
    <w:p w14:paraId="1E9C0F54">
      <w:pPr>
        <w:pStyle w:val="75"/>
        <w:widowControl w:val="0"/>
        <w:spacing w:line="360" w:lineRule="auto"/>
        <w:ind w:firstLine="420" w:firstLineChars="200"/>
        <w:rPr>
          <w:color w:val="auto"/>
          <w:highlight w:val="none"/>
        </w:rPr>
      </w:pPr>
      <w:r>
        <w:rPr>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14:paraId="4B47F2FD">
      <w:pPr>
        <w:pStyle w:val="75"/>
        <w:widowControl w:val="0"/>
        <w:spacing w:line="360" w:lineRule="auto"/>
        <w:ind w:firstLine="420" w:firstLineChars="200"/>
        <w:rPr>
          <w:color w:val="auto"/>
          <w:highlight w:val="none"/>
        </w:rPr>
      </w:pPr>
      <w:r>
        <w:rPr>
          <w:color w:val="auto"/>
          <w:highlight w:val="none"/>
        </w:rPr>
        <w:t>7.4.2  发出中标通知书后，招标人无正当理由拒签合同的，招标人向中标人退还投标保证；给中标人造成损失的，还应当赔偿损失。</w:t>
      </w:r>
    </w:p>
    <w:p w14:paraId="5F308769">
      <w:pPr>
        <w:pStyle w:val="6"/>
        <w:spacing w:before="0" w:after="0" w:line="360" w:lineRule="auto"/>
        <w:rPr>
          <w:rFonts w:ascii="Times New Roman" w:hAnsi="Times New Roman" w:eastAsia="黑体"/>
          <w:b w:val="0"/>
          <w:bCs w:val="0"/>
          <w:color w:val="auto"/>
          <w:sz w:val="30"/>
          <w:highlight w:val="none"/>
        </w:rPr>
      </w:pPr>
      <w:bookmarkStart w:id="123" w:name="_Toc80006206"/>
      <w:bookmarkStart w:id="124" w:name="_Toc80006096"/>
      <w:bookmarkStart w:id="125" w:name="_Toc300678041"/>
      <w:bookmarkStart w:id="126" w:name="_Toc9178525"/>
      <w:r>
        <w:rPr>
          <w:rFonts w:ascii="Times New Roman" w:hAnsi="Times New Roman" w:eastAsia="黑体"/>
          <w:b w:val="0"/>
          <w:bCs w:val="0"/>
          <w:color w:val="auto"/>
          <w:sz w:val="30"/>
          <w:highlight w:val="none"/>
        </w:rPr>
        <w:t>8.重新招标和不再招标</w:t>
      </w:r>
      <w:bookmarkEnd w:id="123"/>
      <w:bookmarkEnd w:id="124"/>
      <w:bookmarkEnd w:id="125"/>
      <w:bookmarkEnd w:id="126"/>
    </w:p>
    <w:p w14:paraId="1FC6F91B">
      <w:pPr>
        <w:pStyle w:val="8"/>
        <w:rPr>
          <w:rFonts w:ascii="Times New Roman" w:hAnsi="Times New Roman" w:eastAsia="黑体"/>
          <w:b w:val="0"/>
          <w:bCs w:val="0"/>
          <w:color w:val="auto"/>
          <w:sz w:val="24"/>
          <w:highlight w:val="none"/>
        </w:rPr>
      </w:pPr>
      <w:bookmarkStart w:id="127" w:name="_Toc300678042"/>
      <w:r>
        <w:rPr>
          <w:rFonts w:ascii="Times New Roman" w:hAnsi="Times New Roman" w:eastAsia="黑体"/>
          <w:b w:val="0"/>
          <w:bCs w:val="0"/>
          <w:color w:val="auto"/>
          <w:sz w:val="24"/>
          <w:highlight w:val="none"/>
        </w:rPr>
        <w:t>8.1 重新招标</w:t>
      </w:r>
      <w:bookmarkEnd w:id="127"/>
    </w:p>
    <w:p w14:paraId="7BD8CC10">
      <w:pPr>
        <w:pStyle w:val="75"/>
        <w:widowControl w:val="0"/>
        <w:spacing w:line="360" w:lineRule="auto"/>
        <w:ind w:firstLine="420" w:firstLineChars="200"/>
        <w:rPr>
          <w:color w:val="auto"/>
          <w:highlight w:val="none"/>
        </w:rPr>
      </w:pPr>
      <w:r>
        <w:rPr>
          <w:color w:val="auto"/>
          <w:highlight w:val="none"/>
        </w:rPr>
        <w:t>有下列情形之一的，招标人将重新招标：</w:t>
      </w:r>
    </w:p>
    <w:p w14:paraId="2BFE67DE">
      <w:pPr>
        <w:pStyle w:val="75"/>
        <w:widowControl w:val="0"/>
        <w:spacing w:line="360" w:lineRule="auto"/>
        <w:ind w:firstLine="420" w:firstLineChars="200"/>
        <w:rPr>
          <w:color w:val="auto"/>
          <w:highlight w:val="none"/>
        </w:rPr>
      </w:pPr>
      <w:r>
        <w:rPr>
          <w:color w:val="auto"/>
          <w:highlight w:val="none"/>
        </w:rPr>
        <w:t>（l）</w:t>
      </w:r>
      <w:r>
        <w:rPr>
          <w:rFonts w:hint="eastAsia"/>
          <w:color w:val="auto"/>
          <w:highlight w:val="none"/>
        </w:rPr>
        <w:t>获取资格预审文件或者招标文件的潜在投标人少于3个的</w:t>
      </w:r>
      <w:r>
        <w:rPr>
          <w:color w:val="auto"/>
          <w:highlight w:val="none"/>
        </w:rPr>
        <w:t>；</w:t>
      </w:r>
    </w:p>
    <w:p w14:paraId="4252C45D">
      <w:pPr>
        <w:pStyle w:val="75"/>
        <w:widowControl w:val="0"/>
        <w:spacing w:line="360" w:lineRule="auto"/>
        <w:ind w:firstLine="420" w:firstLineChars="200"/>
        <w:rPr>
          <w:color w:val="auto"/>
          <w:highlight w:val="none"/>
        </w:rPr>
      </w:pPr>
      <w:r>
        <w:rPr>
          <w:color w:val="auto"/>
          <w:highlight w:val="none"/>
        </w:rPr>
        <w:t>（2）</w:t>
      </w:r>
      <w:r>
        <w:rPr>
          <w:rFonts w:hint="eastAsia"/>
          <w:color w:val="auto"/>
          <w:highlight w:val="none"/>
        </w:rPr>
        <w:t>在投标截止时间之前提交投标文件的投标人少于3个的；</w:t>
      </w:r>
    </w:p>
    <w:p w14:paraId="78254384">
      <w:pPr>
        <w:pStyle w:val="75"/>
        <w:widowControl w:val="0"/>
        <w:spacing w:line="360" w:lineRule="auto"/>
        <w:ind w:firstLine="420" w:firstLineChars="200"/>
        <w:rPr>
          <w:color w:val="auto"/>
          <w:highlight w:val="none"/>
        </w:rPr>
      </w:pPr>
      <w:r>
        <w:rPr>
          <w:rFonts w:hint="eastAsia"/>
          <w:color w:val="auto"/>
          <w:highlight w:val="none"/>
        </w:rPr>
        <w:t>（3）通过资格预审的申请人少于3个的；</w:t>
      </w:r>
    </w:p>
    <w:p w14:paraId="00032511">
      <w:pPr>
        <w:pStyle w:val="75"/>
        <w:widowControl w:val="0"/>
        <w:spacing w:line="360" w:lineRule="auto"/>
        <w:ind w:firstLine="420" w:firstLineChars="200"/>
        <w:rPr>
          <w:color w:val="auto"/>
          <w:highlight w:val="none"/>
        </w:rPr>
      </w:pPr>
      <w:r>
        <w:rPr>
          <w:rFonts w:hint="eastAsia"/>
          <w:color w:val="auto"/>
          <w:highlight w:val="none"/>
        </w:rPr>
        <w:t>（4）经评标委员会评审，所有投标文件均被否决的；</w:t>
      </w:r>
    </w:p>
    <w:p w14:paraId="77F42947">
      <w:pPr>
        <w:pStyle w:val="75"/>
        <w:widowControl w:val="0"/>
        <w:spacing w:line="360" w:lineRule="auto"/>
        <w:ind w:firstLine="420" w:firstLineChars="200"/>
        <w:rPr>
          <w:color w:val="auto"/>
          <w:highlight w:val="none"/>
        </w:rPr>
      </w:pPr>
      <w:r>
        <w:rPr>
          <w:rFonts w:hint="eastAsia"/>
          <w:color w:val="auto"/>
          <w:highlight w:val="none"/>
        </w:rPr>
        <w:t>（5）有效投标人不足3个，评标委员会认为投标明显缺乏竞争，否决本次招标的；</w:t>
      </w:r>
    </w:p>
    <w:p w14:paraId="4C0B3419">
      <w:pPr>
        <w:pStyle w:val="75"/>
        <w:widowControl w:val="0"/>
        <w:spacing w:line="360" w:lineRule="auto"/>
        <w:ind w:firstLine="420" w:firstLineChars="200"/>
        <w:rPr>
          <w:rFonts w:hint="eastAsia"/>
          <w:color w:val="auto"/>
          <w:highlight w:val="none"/>
        </w:rPr>
      </w:pPr>
      <w:r>
        <w:rPr>
          <w:rFonts w:hint="eastAsia"/>
          <w:color w:val="auto"/>
          <w:highlight w:val="none"/>
        </w:rPr>
        <w:t>（6）所有中标候选人依法均不能确定为中标人的。</w:t>
      </w:r>
    </w:p>
    <w:p w14:paraId="50576F59">
      <w:pPr>
        <w:pStyle w:val="8"/>
        <w:rPr>
          <w:rFonts w:ascii="Times New Roman" w:hAnsi="Times New Roman" w:eastAsia="黑体"/>
          <w:b w:val="0"/>
          <w:bCs w:val="0"/>
          <w:color w:val="auto"/>
          <w:sz w:val="24"/>
          <w:highlight w:val="none"/>
        </w:rPr>
      </w:pPr>
      <w:bookmarkStart w:id="128" w:name="_Toc300678043"/>
      <w:r>
        <w:rPr>
          <w:rFonts w:ascii="Times New Roman" w:hAnsi="Times New Roman" w:eastAsia="黑体"/>
          <w:b w:val="0"/>
          <w:bCs w:val="0"/>
          <w:color w:val="auto"/>
          <w:sz w:val="24"/>
          <w:highlight w:val="none"/>
        </w:rPr>
        <w:t>8.2 不再招标</w:t>
      </w:r>
      <w:bookmarkEnd w:id="128"/>
    </w:p>
    <w:p w14:paraId="3EDD69D8">
      <w:pPr>
        <w:pStyle w:val="75"/>
        <w:widowControl w:val="0"/>
        <w:spacing w:line="360" w:lineRule="auto"/>
        <w:ind w:firstLine="420" w:firstLineChars="200"/>
        <w:rPr>
          <w:color w:val="auto"/>
          <w:highlight w:val="none"/>
        </w:rPr>
      </w:pPr>
      <w:r>
        <w:rPr>
          <w:color w:val="auto"/>
          <w:highlight w:val="none"/>
        </w:rPr>
        <w:t>重新招标后投标人仍少于3 个或者所有投标被否决的，属于必须审批或核准的工程建设项目，经原审批或核准部门批准后不再进行招标。</w:t>
      </w:r>
    </w:p>
    <w:p w14:paraId="6BE6120D">
      <w:pPr>
        <w:pStyle w:val="6"/>
        <w:spacing w:before="0" w:after="0" w:line="360" w:lineRule="auto"/>
        <w:rPr>
          <w:rFonts w:ascii="Times New Roman" w:hAnsi="Times New Roman" w:eastAsia="黑体"/>
          <w:b w:val="0"/>
          <w:bCs w:val="0"/>
          <w:color w:val="auto"/>
          <w:sz w:val="30"/>
          <w:highlight w:val="none"/>
        </w:rPr>
      </w:pPr>
      <w:bookmarkStart w:id="129" w:name="_Toc9178526"/>
      <w:bookmarkStart w:id="130" w:name="_Toc300678044"/>
      <w:bookmarkStart w:id="131" w:name="_Toc80006207"/>
      <w:bookmarkStart w:id="132" w:name="_Toc80006097"/>
      <w:r>
        <w:rPr>
          <w:rFonts w:ascii="Times New Roman" w:hAnsi="Times New Roman" w:eastAsia="黑体"/>
          <w:b w:val="0"/>
          <w:bCs w:val="0"/>
          <w:color w:val="auto"/>
          <w:sz w:val="30"/>
          <w:highlight w:val="none"/>
        </w:rPr>
        <w:t>9.纪律和监督</w:t>
      </w:r>
      <w:bookmarkEnd w:id="129"/>
      <w:bookmarkEnd w:id="130"/>
      <w:bookmarkEnd w:id="131"/>
      <w:bookmarkEnd w:id="132"/>
    </w:p>
    <w:p w14:paraId="3BED2DFE">
      <w:pPr>
        <w:pStyle w:val="8"/>
        <w:rPr>
          <w:rFonts w:ascii="Times New Roman" w:hAnsi="Times New Roman" w:eastAsia="黑体"/>
          <w:b w:val="0"/>
          <w:bCs w:val="0"/>
          <w:color w:val="auto"/>
          <w:sz w:val="24"/>
          <w:highlight w:val="none"/>
        </w:rPr>
      </w:pPr>
      <w:bookmarkStart w:id="133" w:name="_Toc300678046"/>
      <w:r>
        <w:rPr>
          <w:rFonts w:ascii="Times New Roman" w:hAnsi="Times New Roman" w:eastAsia="黑体"/>
          <w:b w:val="0"/>
          <w:bCs w:val="0"/>
          <w:color w:val="auto"/>
          <w:sz w:val="24"/>
          <w:highlight w:val="none"/>
        </w:rPr>
        <w:t>9.1对投标人的纪律要求</w:t>
      </w:r>
      <w:bookmarkEnd w:id="133"/>
    </w:p>
    <w:p w14:paraId="1DE9D855">
      <w:pPr>
        <w:pStyle w:val="75"/>
        <w:widowControl w:val="0"/>
        <w:spacing w:line="360" w:lineRule="auto"/>
        <w:ind w:firstLine="420" w:firstLineChars="200"/>
        <w:rPr>
          <w:color w:val="auto"/>
          <w:highlight w:val="none"/>
        </w:rPr>
      </w:pPr>
      <w:r>
        <w:rPr>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AB47471">
      <w:pPr>
        <w:pStyle w:val="8"/>
        <w:rPr>
          <w:rFonts w:ascii="Times New Roman" w:hAnsi="Times New Roman" w:eastAsia="黑体"/>
          <w:b w:val="0"/>
          <w:bCs w:val="0"/>
          <w:color w:val="auto"/>
          <w:sz w:val="24"/>
          <w:highlight w:val="none"/>
        </w:rPr>
      </w:pPr>
      <w:bookmarkStart w:id="134" w:name="_Toc300678047"/>
      <w:r>
        <w:rPr>
          <w:rFonts w:ascii="Times New Roman" w:hAnsi="Times New Roman" w:eastAsia="黑体"/>
          <w:b w:val="0"/>
          <w:bCs w:val="0"/>
          <w:color w:val="auto"/>
          <w:sz w:val="24"/>
          <w:highlight w:val="none"/>
        </w:rPr>
        <w:t>9.2对评标委员会成员的纪律要求</w:t>
      </w:r>
      <w:bookmarkEnd w:id="134"/>
    </w:p>
    <w:p w14:paraId="689AE28C">
      <w:pPr>
        <w:pStyle w:val="75"/>
        <w:widowControl w:val="0"/>
        <w:spacing w:line="360" w:lineRule="auto"/>
        <w:ind w:firstLine="420" w:firstLineChars="200"/>
        <w:rPr>
          <w:color w:val="auto"/>
          <w:highlight w:val="none"/>
        </w:rPr>
      </w:pPr>
      <w:r>
        <w:rPr>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14:paraId="577BEBDE">
      <w:pPr>
        <w:pStyle w:val="8"/>
        <w:rPr>
          <w:rFonts w:ascii="Times New Roman" w:hAnsi="Times New Roman" w:eastAsia="黑体"/>
          <w:b w:val="0"/>
          <w:bCs w:val="0"/>
          <w:color w:val="auto"/>
          <w:sz w:val="24"/>
          <w:highlight w:val="none"/>
        </w:rPr>
      </w:pPr>
      <w:bookmarkStart w:id="135" w:name="_Toc300678048"/>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 xml:space="preserve"> 对与评标活动有关的工作人员的纪律要求</w:t>
      </w:r>
      <w:bookmarkEnd w:id="135"/>
    </w:p>
    <w:p w14:paraId="27B363E9">
      <w:pPr>
        <w:pStyle w:val="75"/>
        <w:widowControl w:val="0"/>
        <w:spacing w:line="360" w:lineRule="auto"/>
        <w:ind w:firstLine="420" w:firstLineChars="200"/>
        <w:rPr>
          <w:color w:val="auto"/>
          <w:highlight w:val="none"/>
        </w:rPr>
      </w:pPr>
      <w:r>
        <w:rPr>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8B874DD">
      <w:pPr>
        <w:pStyle w:val="8"/>
        <w:rPr>
          <w:rFonts w:hint="eastAsia" w:ascii="Calibri" w:hAnsi="Calibri"/>
          <w:b w:val="0"/>
          <w:color w:val="auto"/>
          <w:kern w:val="0"/>
          <w:szCs w:val="21"/>
          <w:highlight w:val="none"/>
        </w:rPr>
      </w:pPr>
      <w:bookmarkStart w:id="136" w:name="_Toc300678049"/>
      <w:r>
        <w:rPr>
          <w:rFonts w:ascii="Times New Roman" w:hAnsi="Times New Roman" w:eastAsia="黑体"/>
          <w:b w:val="0"/>
          <w:bCs w:val="0"/>
          <w:color w:val="auto"/>
          <w:sz w:val="24"/>
          <w:highlight w:val="none"/>
        </w:rPr>
        <w:t>9.</w:t>
      </w:r>
      <w:r>
        <w:rPr>
          <w:rFonts w:hint="eastAsia" w:ascii="Times New Roman" w:hAnsi="Times New Roman" w:eastAsia="黑体"/>
          <w:b w:val="0"/>
          <w:bCs w:val="0"/>
          <w:color w:val="auto"/>
          <w:sz w:val="24"/>
          <w:highlight w:val="none"/>
        </w:rPr>
        <w:t>4</w:t>
      </w:r>
      <w:r>
        <w:rPr>
          <w:rFonts w:ascii="Times New Roman" w:hAnsi="Times New Roman" w:eastAsia="黑体"/>
          <w:b w:val="0"/>
          <w:bCs w:val="0"/>
          <w:color w:val="auto"/>
          <w:sz w:val="24"/>
          <w:highlight w:val="none"/>
        </w:rPr>
        <w:t xml:space="preserve"> </w:t>
      </w:r>
      <w:r>
        <w:rPr>
          <w:rFonts w:hint="eastAsia" w:ascii="Calibri" w:hAnsi="Calibri"/>
          <w:b w:val="0"/>
          <w:color w:val="auto"/>
          <w:kern w:val="0"/>
          <w:szCs w:val="21"/>
          <w:highlight w:val="none"/>
        </w:rPr>
        <w:t>异议和投诉</w:t>
      </w:r>
      <w:bookmarkEnd w:id="136"/>
    </w:p>
    <w:p w14:paraId="29552970">
      <w:pPr>
        <w:pStyle w:val="7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9.4.1投标人或者其他利害关系人就下列事项投诉的，应当按照相关规定向招标人提出异议：</w:t>
      </w:r>
    </w:p>
    <w:p w14:paraId="25F89227">
      <w:pPr>
        <w:pStyle w:val="7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(1)认为招标文件不符合相关法律法规规范性文件规定，应当在投标截止时间10日前向招标人提出异议；</w:t>
      </w:r>
    </w:p>
    <w:p w14:paraId="00433DF7">
      <w:pPr>
        <w:pStyle w:val="7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(2)认为开标活动不符合相关法律法规规范性文件规定的，应当在开标现场提出异议；</w:t>
      </w:r>
    </w:p>
    <w:p w14:paraId="02A2BAF1">
      <w:pPr>
        <w:pStyle w:val="7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(3)对评标结果有异议的，在中标候选人公示期以书面形式向招标人提出；</w:t>
      </w:r>
    </w:p>
    <w:p w14:paraId="6B8797D5">
      <w:pPr>
        <w:pStyle w:val="7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投标人或利害关系人不满意招标人的答复或者认为招标人处理不当的，可以向本项目的招标投标行政监督部门投诉。</w:t>
      </w:r>
      <w:bookmarkStart w:id="137" w:name="_Toc300678050"/>
    </w:p>
    <w:p w14:paraId="04530CC3">
      <w:pPr>
        <w:pStyle w:val="75"/>
        <w:widowControl w:val="0"/>
        <w:adjustRightInd w:val="0"/>
        <w:snapToGrid w:val="0"/>
        <w:spacing w:line="360" w:lineRule="auto"/>
        <w:ind w:firstLine="420" w:firstLineChars="200"/>
        <w:jc w:val="left"/>
        <w:rPr>
          <w:rFonts w:hint="eastAsia"/>
          <w:bCs/>
          <w:color w:val="auto"/>
          <w:kern w:val="0"/>
          <w:highlight w:val="none"/>
        </w:rPr>
      </w:pPr>
      <w:r>
        <w:rPr>
          <w:rFonts w:hint="eastAsia"/>
          <w:bCs/>
          <w:color w:val="auto"/>
          <w:kern w:val="0"/>
          <w:highlight w:val="none"/>
        </w:rPr>
        <w:t>9.4.2投标人或者其他利害关系人认为本次招标活动违反法律法规规范性文件规定的，可以在知道或者应当知道之日起10日内向本项目的招标投标行政监督部门投诉。</w:t>
      </w:r>
    </w:p>
    <w:p w14:paraId="0D742DB5">
      <w:pPr>
        <w:pStyle w:val="75"/>
        <w:widowControl w:val="0"/>
        <w:adjustRightInd w:val="0"/>
        <w:snapToGrid w:val="0"/>
        <w:spacing w:line="360" w:lineRule="auto"/>
        <w:ind w:firstLine="420" w:firstLineChars="200"/>
        <w:jc w:val="left"/>
        <w:rPr>
          <w:rFonts w:hint="eastAsia"/>
          <w:bCs/>
          <w:color w:val="auto"/>
          <w:kern w:val="0"/>
          <w:highlight w:val="none"/>
          <w:shd w:val="clear" w:color="auto" w:fill="FFFFFF"/>
        </w:rPr>
      </w:pPr>
      <w:r>
        <w:rPr>
          <w:rFonts w:hint="eastAsia"/>
          <w:bCs/>
          <w:color w:val="auto"/>
          <w:kern w:val="0"/>
          <w:highlight w:val="none"/>
          <w:shd w:val="clear" w:color="auto" w:fill="FFFFFF"/>
        </w:rPr>
        <w:t xml:space="preserve">9.4.3有关信用评价信息弄虚作假的异议，按《湖南省房屋建筑和市政基础设施工程施工及监理招标投标信用评价管理暂行办法》处理。经核实后影响到中标结果的，依法取消其中标资格。 </w:t>
      </w:r>
    </w:p>
    <w:p w14:paraId="04D257CB">
      <w:pPr>
        <w:pStyle w:val="6"/>
        <w:spacing w:before="0" w:after="0" w:line="360" w:lineRule="auto"/>
        <w:rPr>
          <w:rFonts w:ascii="Times New Roman" w:hAnsi="Times New Roman" w:eastAsia="黑体"/>
          <w:b w:val="0"/>
          <w:bCs w:val="0"/>
          <w:color w:val="auto"/>
          <w:sz w:val="30"/>
          <w:highlight w:val="none"/>
        </w:rPr>
      </w:pPr>
      <w:bookmarkStart w:id="138" w:name="_Toc9178527"/>
      <w:bookmarkStart w:id="139" w:name="_Toc80006098"/>
      <w:bookmarkStart w:id="140" w:name="_Toc80006208"/>
      <w:r>
        <w:rPr>
          <w:rFonts w:ascii="Times New Roman" w:hAnsi="Times New Roman" w:eastAsia="黑体"/>
          <w:b w:val="0"/>
          <w:bCs w:val="0"/>
          <w:color w:val="auto"/>
          <w:sz w:val="30"/>
          <w:highlight w:val="none"/>
        </w:rPr>
        <w:t>10.需要补充的其他内容</w:t>
      </w:r>
      <w:bookmarkEnd w:id="137"/>
      <w:bookmarkEnd w:id="138"/>
      <w:bookmarkEnd w:id="139"/>
      <w:bookmarkEnd w:id="140"/>
    </w:p>
    <w:p w14:paraId="46E16F08">
      <w:pPr>
        <w:pStyle w:val="75"/>
        <w:widowControl w:val="0"/>
        <w:spacing w:line="360" w:lineRule="auto"/>
        <w:ind w:firstLine="420" w:firstLineChars="200"/>
        <w:rPr>
          <w:color w:val="auto"/>
          <w:highlight w:val="none"/>
        </w:rPr>
      </w:pPr>
      <w:r>
        <w:rPr>
          <w:color w:val="auto"/>
          <w:highlight w:val="none"/>
        </w:rPr>
        <w:t>需要补充的其他内容：见投标人须知前附表。</w:t>
      </w:r>
    </w:p>
    <w:p w14:paraId="22CA3A2D">
      <w:pPr>
        <w:spacing w:line="360" w:lineRule="auto"/>
        <w:ind w:firstLine="420" w:firstLineChars="200"/>
        <w:rPr>
          <w:color w:val="auto"/>
          <w:highlight w:val="none"/>
        </w:rPr>
      </w:pPr>
    </w:p>
    <w:p w14:paraId="181C3A1B">
      <w:pPr>
        <w:spacing w:line="400" w:lineRule="exact"/>
        <w:rPr>
          <w:color w:val="auto"/>
          <w:sz w:val="24"/>
          <w:highlight w:val="none"/>
        </w:rPr>
      </w:pPr>
      <w:bookmarkStart w:id="141" w:name="_Toc300678051"/>
    </w:p>
    <w:p w14:paraId="1B8E9C8C">
      <w:pPr>
        <w:spacing w:line="400" w:lineRule="exact"/>
        <w:rPr>
          <w:rStyle w:val="53"/>
          <w:rFonts w:ascii="Times New Roman" w:hAnsi="Times New Roman" w:eastAsia="黑体"/>
          <w:b w:val="0"/>
          <w:color w:val="auto"/>
          <w:sz w:val="24"/>
          <w:highlight w:val="none"/>
        </w:rPr>
        <w:sectPr>
          <w:pgSz w:w="11907" w:h="16840"/>
          <w:pgMar w:top="1418" w:right="1418" w:bottom="1418" w:left="1418" w:header="851" w:footer="850" w:gutter="0"/>
          <w:cols w:space="720" w:num="1"/>
          <w:docGrid w:linePitch="312" w:charSpace="0"/>
        </w:sectPr>
      </w:pPr>
    </w:p>
    <w:bookmarkEnd w:id="141"/>
    <w:p w14:paraId="717A791A">
      <w:pPr>
        <w:snapToGrid w:val="0"/>
        <w:spacing w:line="360" w:lineRule="auto"/>
        <w:jc w:val="left"/>
        <w:rPr>
          <w:rStyle w:val="53"/>
          <w:rFonts w:ascii="Times New Roman" w:hAnsi="Times New Roman" w:eastAsia="黑体"/>
          <w:b w:val="0"/>
          <w:color w:val="auto"/>
          <w:sz w:val="24"/>
          <w:highlight w:val="none"/>
        </w:rPr>
      </w:pPr>
      <w:bookmarkStart w:id="142" w:name="_Toc300678057"/>
      <w:r>
        <w:rPr>
          <w:rStyle w:val="53"/>
          <w:rFonts w:ascii="Times New Roman" w:hAnsi="Times New Roman" w:eastAsia="黑体"/>
          <w:b w:val="0"/>
          <w:color w:val="auto"/>
          <w:sz w:val="24"/>
          <w:highlight w:val="none"/>
        </w:rPr>
        <w:t>附件2-1：电子投标文件编制及报送要求</w:t>
      </w:r>
      <w:bookmarkEnd w:id="142"/>
    </w:p>
    <w:p w14:paraId="3FDDCE3F">
      <w:pPr>
        <w:spacing w:before="472" w:beforeLines="150" w:after="472" w:afterLines="150" w:line="420" w:lineRule="exact"/>
        <w:jc w:val="center"/>
        <w:rPr>
          <w:rFonts w:eastAsia="黑体"/>
          <w:color w:val="auto"/>
          <w:sz w:val="28"/>
          <w:szCs w:val="28"/>
          <w:highlight w:val="none"/>
        </w:rPr>
      </w:pPr>
      <w:r>
        <w:rPr>
          <w:rFonts w:eastAsia="黑体"/>
          <w:color w:val="auto"/>
          <w:sz w:val="28"/>
          <w:szCs w:val="28"/>
          <w:highlight w:val="none"/>
        </w:rPr>
        <w:t>电子投标文件编制及报送要求</w:t>
      </w:r>
    </w:p>
    <w:p w14:paraId="43402FAA">
      <w:pPr>
        <w:adjustRightInd w:val="0"/>
        <w:snapToGrid w:val="0"/>
        <w:spacing w:line="360" w:lineRule="auto"/>
        <w:ind w:firstLine="420" w:firstLineChars="200"/>
        <w:rPr>
          <w:color w:val="auto"/>
          <w:szCs w:val="21"/>
          <w:highlight w:val="none"/>
        </w:rPr>
      </w:pPr>
      <w:r>
        <w:rPr>
          <w:rFonts w:hint="eastAsia"/>
          <w:color w:val="auto"/>
          <w:szCs w:val="21"/>
          <w:highlight w:val="none"/>
        </w:rPr>
        <w:t>说明</w:t>
      </w:r>
      <w:r>
        <w:rPr>
          <w:color w:val="auto"/>
          <w:szCs w:val="21"/>
          <w:highlight w:val="none"/>
        </w:rPr>
        <w:t>：采用计算机辅助评标，包括采用电子化招标投标的，本附表应当作为“投标人须知”的附件，由招标人根据各地和招标项目的具体情况给予规定。</w:t>
      </w:r>
    </w:p>
    <w:p w14:paraId="25166CBF">
      <w:pPr>
        <w:spacing w:line="312" w:lineRule="auto"/>
        <w:rPr>
          <w:rFonts w:ascii="Times New Roman" w:hAnsi="Times New Roman" w:eastAsia="黑体"/>
          <w:b w:val="0"/>
          <w:bCs w:val="0"/>
          <w:color w:val="auto"/>
          <w:sz w:val="24"/>
          <w:highlight w:val="none"/>
        </w:rPr>
      </w:pPr>
      <w:bookmarkStart w:id="143" w:name="_Toc300678058"/>
    </w:p>
    <w:p w14:paraId="7F3C120C">
      <w:pPr>
        <w:spacing w:line="312" w:lineRule="auto"/>
        <w:rPr>
          <w:rFonts w:ascii="Times New Roman" w:hAnsi="Times New Roman" w:eastAsia="黑体"/>
          <w:b w:val="0"/>
          <w:bCs w:val="0"/>
          <w:color w:val="auto"/>
          <w:sz w:val="24"/>
          <w:highlight w:val="none"/>
        </w:rPr>
      </w:pPr>
    </w:p>
    <w:p w14:paraId="7B44830F">
      <w:pPr>
        <w:spacing w:line="312" w:lineRule="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附件2-2：否决投标</w:t>
      </w:r>
      <w:r>
        <w:rPr>
          <w:rFonts w:hint="eastAsia" w:ascii="Times New Roman" w:hAnsi="Times New Roman" w:eastAsia="黑体"/>
          <w:b w:val="0"/>
          <w:bCs w:val="0"/>
          <w:color w:val="auto"/>
          <w:sz w:val="24"/>
          <w:highlight w:val="none"/>
        </w:rPr>
        <w:t>的</w:t>
      </w:r>
      <w:r>
        <w:rPr>
          <w:rFonts w:ascii="Times New Roman" w:hAnsi="Times New Roman" w:eastAsia="黑体"/>
          <w:b w:val="0"/>
          <w:bCs w:val="0"/>
          <w:color w:val="auto"/>
          <w:sz w:val="24"/>
          <w:highlight w:val="none"/>
        </w:rPr>
        <w:t>情形</w:t>
      </w:r>
    </w:p>
    <w:p w14:paraId="36445ED7">
      <w:pPr>
        <w:pStyle w:val="8"/>
        <w:ind w:firstLine="3609" w:firstLineChars="1289"/>
        <w:rPr>
          <w:rFonts w:ascii="Times New Roman" w:hAnsi="Times New Roman" w:eastAsia="黑体"/>
          <w:b w:val="0"/>
          <w:bCs w:val="0"/>
          <w:color w:val="auto"/>
          <w:sz w:val="24"/>
          <w:highlight w:val="none"/>
        </w:rPr>
      </w:pPr>
      <w:r>
        <w:rPr>
          <w:rFonts w:ascii="Times New Roman" w:hAnsi="Times New Roman" w:eastAsia="黑体"/>
          <w:b w:val="0"/>
          <w:color w:val="auto"/>
          <w:sz w:val="28"/>
          <w:highlight w:val="none"/>
        </w:rPr>
        <w:t>否决投标</w:t>
      </w:r>
      <w:r>
        <w:rPr>
          <w:rFonts w:hint="eastAsia" w:ascii="Times New Roman" w:hAnsi="Times New Roman" w:eastAsia="黑体"/>
          <w:b w:val="0"/>
          <w:color w:val="auto"/>
          <w:sz w:val="28"/>
          <w:highlight w:val="none"/>
        </w:rPr>
        <w:t>的</w:t>
      </w:r>
      <w:r>
        <w:rPr>
          <w:rFonts w:ascii="Times New Roman" w:hAnsi="Times New Roman" w:eastAsia="黑体"/>
          <w:b w:val="0"/>
          <w:color w:val="auto"/>
          <w:sz w:val="28"/>
          <w:highlight w:val="none"/>
        </w:rPr>
        <w:t>情形</w:t>
      </w:r>
    </w:p>
    <w:p w14:paraId="10B57993">
      <w:pPr>
        <w:adjustRightInd w:val="0"/>
        <w:snapToGrid w:val="0"/>
        <w:spacing w:line="360" w:lineRule="auto"/>
        <w:ind w:firstLine="420" w:firstLineChars="200"/>
        <w:rPr>
          <w:color w:val="auto"/>
          <w:szCs w:val="21"/>
          <w:highlight w:val="none"/>
        </w:rPr>
      </w:pPr>
      <w:r>
        <w:rPr>
          <w:color w:val="auto"/>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color w:val="auto"/>
          <w:szCs w:val="21"/>
          <w:highlight w:val="none"/>
        </w:rPr>
        <w:t>的</w:t>
      </w:r>
      <w:r>
        <w:rPr>
          <w:color w:val="auto"/>
          <w:szCs w:val="21"/>
          <w:highlight w:val="none"/>
        </w:rPr>
        <w:t>为准。</w:t>
      </w:r>
      <w:r>
        <w:rPr>
          <w:rFonts w:hint="eastAsia"/>
          <w:color w:val="auto"/>
          <w:szCs w:val="21"/>
          <w:highlight w:val="none"/>
          <w:lang w:val="en-US" w:eastAsia="zh-CN"/>
        </w:rPr>
        <w:t>未列入本附件所列情形的，不得作为否决投标的依据。</w:t>
      </w:r>
    </w:p>
    <w:p w14:paraId="14501E86">
      <w:pPr>
        <w:pStyle w:val="135"/>
        <w:adjustRightInd w:val="0"/>
        <w:snapToGrid w:val="0"/>
        <w:spacing w:line="360" w:lineRule="auto"/>
        <w:ind w:firstLineChars="0"/>
        <w:rPr>
          <w:rFonts w:ascii="Times New Roman" w:hAnsi="Times New Roman"/>
          <w:color w:val="auto"/>
          <w:szCs w:val="21"/>
          <w:highlight w:val="none"/>
        </w:rPr>
      </w:pPr>
      <w:r>
        <w:rPr>
          <w:rFonts w:ascii="Times New Roman" w:hAnsi="Times New Roman"/>
          <w:color w:val="auto"/>
          <w:szCs w:val="21"/>
          <w:highlight w:val="none"/>
        </w:rPr>
        <w:t>投标人或其投标文件有下列情形之一的，其投标应当予以否决：</w:t>
      </w:r>
    </w:p>
    <w:p w14:paraId="5A78F3EF">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 有本章“投标人须知”第1.4.3项规定的任何一种情形的；</w:t>
      </w:r>
    </w:p>
    <w:p w14:paraId="75B8230B">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 投标人以他人名义投标、串通投标、以行贿手段谋取中标的；</w:t>
      </w:r>
    </w:p>
    <w:p w14:paraId="44A5D306">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3</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投标人资格条件不符合国家有关规定或者招标文件要求的，或者拒不按照要求对投标文件</w:t>
      </w:r>
      <w:r>
        <w:rPr>
          <w:rFonts w:ascii="Times New Roman" w:hAnsi="Times New Roman" w:eastAsia="宋体" w:cs="Times New Roman"/>
          <w:color w:val="auto"/>
          <w:szCs w:val="21"/>
          <w:highlight w:val="none"/>
        </w:rPr>
        <w:t>进行澄清、说明或补正</w:t>
      </w:r>
      <w:r>
        <w:rPr>
          <w:rFonts w:hint="eastAsia" w:cs="Times New Roman"/>
          <w:color w:val="auto"/>
          <w:szCs w:val="21"/>
          <w:highlight w:val="none"/>
          <w:lang w:val="en-US" w:eastAsia="zh-CN"/>
        </w:rPr>
        <w:t>的</w:t>
      </w:r>
      <w:r>
        <w:rPr>
          <w:rFonts w:ascii="Times New Roman" w:hAnsi="Times New Roman" w:eastAsia="宋体" w:cs="Times New Roman"/>
          <w:color w:val="auto"/>
          <w:szCs w:val="21"/>
          <w:highlight w:val="none"/>
        </w:rPr>
        <w:t>，或者其说明补正无法证明其为合格投标人的；</w:t>
      </w:r>
    </w:p>
    <w:p w14:paraId="5DC021A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1.4</w:t>
      </w:r>
      <w:r>
        <w:rPr>
          <w:rFonts w:ascii="Times New Roman" w:hAnsi="Times New Roman" w:eastAsia="宋体" w:cs="Times New Roman"/>
          <w:color w:val="auto"/>
          <w:szCs w:val="21"/>
          <w:highlight w:val="none"/>
        </w:rPr>
        <w:t>在形式评审、资格评审、响应性评审中，评标委员会认定投标文件不符合评标办法前附表规定</w:t>
      </w:r>
      <w:r>
        <w:rPr>
          <w:rFonts w:hint="eastAsia" w:ascii="Times New Roman" w:hAnsi="Times New Roman" w:eastAsia="宋体" w:cs="Times New Roman"/>
          <w:color w:val="auto"/>
          <w:szCs w:val="21"/>
          <w:highlight w:val="none"/>
        </w:rPr>
        <w:t>的任何一项</w:t>
      </w:r>
      <w:r>
        <w:rPr>
          <w:rFonts w:ascii="Times New Roman" w:hAnsi="Times New Roman" w:eastAsia="宋体" w:cs="Times New Roman"/>
          <w:color w:val="auto"/>
          <w:szCs w:val="21"/>
          <w:highlight w:val="none"/>
        </w:rPr>
        <w:t>评审标准的</w:t>
      </w:r>
      <w:r>
        <w:rPr>
          <w:rFonts w:hint="eastAsia" w:ascii="Times New Roman" w:hAnsi="Times New Roman" w:eastAsia="宋体" w:cs="Times New Roman"/>
          <w:color w:val="auto"/>
          <w:szCs w:val="21"/>
          <w:highlight w:val="none"/>
          <w:lang w:eastAsia="zh-CN"/>
        </w:rPr>
        <w:t>；</w:t>
      </w:r>
    </w:p>
    <w:p w14:paraId="28F54E2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1.5 已进行资格预审的，当投标人资格申请文件的内容发生重大变化时，其在投标文件中更新的资料，未能通过资格评审的；</w:t>
      </w:r>
    </w:p>
    <w:p w14:paraId="002CAA57">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1"/>
          <w:highlight w:val="none"/>
          <w:lang w:val="en-US" w:eastAsia="zh-CN"/>
        </w:rPr>
        <w:t>6</w:t>
      </w:r>
      <w:r>
        <w:rPr>
          <w:rFonts w:ascii="Times New Roman" w:hAnsi="Times New Roman" w:eastAsia="宋体" w:cs="Times New Roman"/>
          <w:color w:val="auto"/>
          <w:szCs w:val="21"/>
          <w:highlight w:val="none"/>
        </w:rPr>
        <w:t>评标委员会认定投标人以低于成本报价竞标的；</w:t>
      </w:r>
    </w:p>
    <w:p w14:paraId="367574D1">
      <w:pPr>
        <w:adjustRightInd w:val="0"/>
        <w:snapToGrid w:val="0"/>
        <w:spacing w:line="360" w:lineRule="auto"/>
        <w:ind w:firstLine="420" w:firstLineChars="200"/>
        <w:rPr>
          <w:rFonts w:hint="eastAsia" w:ascii="Times New Roman" w:hAnsi="Times New Roman" w:eastAsia="宋体" w:cs="Times New Roman"/>
          <w:bCs/>
          <w:color w:val="auto"/>
          <w:highlight w:val="none"/>
          <w:lang w:val="en-US" w:eastAsia="zh-CN"/>
        </w:rPr>
      </w:pPr>
      <w:r>
        <w:rPr>
          <w:rFonts w:hint="eastAsia" w:ascii="Times New Roman" w:hAnsi="Times New Roman" w:eastAsia="宋体" w:cs="Times New Roman"/>
          <w:bCs/>
          <w:color w:val="auto"/>
          <w:highlight w:val="none"/>
          <w:lang w:val="en-US" w:eastAsia="zh-CN"/>
        </w:rPr>
        <w:t xml:space="preserve">1.7 </w:t>
      </w:r>
      <w:r>
        <w:rPr>
          <w:rFonts w:hint="eastAsia"/>
          <w:bCs/>
          <w:color w:val="auto"/>
          <w:highlight w:val="none"/>
          <w:lang w:val="en-US" w:eastAsia="zh-CN"/>
        </w:rPr>
        <w:t>施工组织设计采用合格性评审，</w:t>
      </w:r>
      <w:r>
        <w:rPr>
          <w:rFonts w:hint="eastAsia" w:ascii="Times New Roman" w:hAnsi="Times New Roman" w:eastAsia="宋体" w:cs="Times New Roman"/>
          <w:bCs/>
          <w:color w:val="auto"/>
          <w:highlight w:val="none"/>
          <w:lang w:val="en-US" w:eastAsia="zh-CN"/>
        </w:rPr>
        <w:t>被评标委员会认定为不合格的；</w:t>
      </w:r>
    </w:p>
    <w:p w14:paraId="70832E1D">
      <w:pPr>
        <w:adjustRightInd w:val="0"/>
        <w:snapToGrid w:val="0"/>
        <w:spacing w:line="360" w:lineRule="auto"/>
        <w:ind w:firstLine="420" w:firstLineChars="200"/>
        <w:rPr>
          <w:color w:val="auto"/>
          <w:szCs w:val="21"/>
          <w:highlight w:val="none"/>
        </w:rPr>
      </w:pPr>
      <w:r>
        <w:rPr>
          <w:color w:val="auto"/>
          <w:highlight w:val="none"/>
        </w:rPr>
        <w:t>1.</w:t>
      </w:r>
      <w:r>
        <w:rPr>
          <w:rFonts w:hint="eastAsia"/>
          <w:color w:val="auto"/>
          <w:highlight w:val="none"/>
          <w:lang w:val="en-US" w:eastAsia="zh-CN"/>
        </w:rPr>
        <w:t>8</w:t>
      </w:r>
      <w:r>
        <w:rPr>
          <w:color w:val="auto"/>
          <w:highlight w:val="none"/>
        </w:rPr>
        <w:t>投标报价有错误的，评标委员会按评标办法</w:t>
      </w:r>
      <w:r>
        <w:rPr>
          <w:rFonts w:hint="eastAsia"/>
          <w:color w:val="auto"/>
          <w:highlight w:val="none"/>
        </w:rPr>
        <w:t>“</w:t>
      </w:r>
      <w:r>
        <w:rPr>
          <w:color w:val="auto"/>
          <w:highlight w:val="none"/>
        </w:rPr>
        <w:t>附件3</w:t>
      </w:r>
      <w:r>
        <w:rPr>
          <w:color w:val="auto"/>
          <w:sz w:val="18"/>
          <w:szCs w:val="21"/>
          <w:highlight w:val="none"/>
        </w:rPr>
        <w:t>-</w:t>
      </w:r>
      <w:r>
        <w:rPr>
          <w:color w:val="auto"/>
          <w:highlight w:val="none"/>
        </w:rPr>
        <w:t>1评标详细程序</w:t>
      </w:r>
      <w:r>
        <w:rPr>
          <w:rFonts w:hint="eastAsia"/>
          <w:color w:val="auto"/>
          <w:highlight w:val="none"/>
        </w:rPr>
        <w:t>”</w:t>
      </w:r>
      <w:r>
        <w:rPr>
          <w:color w:val="auto"/>
          <w:highlight w:val="none"/>
        </w:rPr>
        <w:t>的有关规定对投标报价进行修正，</w:t>
      </w:r>
      <w:r>
        <w:rPr>
          <w:bCs/>
          <w:color w:val="auto"/>
          <w:highlight w:val="none"/>
        </w:rPr>
        <w:t>并要求投标人</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w:t>
      </w:r>
      <w:r>
        <w:rPr>
          <w:rFonts w:hint="eastAsia"/>
          <w:bCs/>
          <w:color w:val="auto"/>
          <w:highlight w:val="none"/>
        </w:rPr>
        <w:t>，</w:t>
      </w:r>
      <w:r>
        <w:rPr>
          <w:bCs/>
          <w:color w:val="auto"/>
          <w:highlight w:val="none"/>
        </w:rPr>
        <w:t>投标人拒不</w:t>
      </w:r>
      <w:r>
        <w:rPr>
          <w:rFonts w:hint="eastAsia"/>
          <w:bCs/>
          <w:color w:val="auto"/>
          <w:highlight w:val="none"/>
        </w:rPr>
        <w:t>作出</w:t>
      </w:r>
      <w:r>
        <w:rPr>
          <w:bCs/>
          <w:color w:val="auto"/>
          <w:highlight w:val="none"/>
        </w:rPr>
        <w:t>澄清</w:t>
      </w:r>
      <w:r>
        <w:rPr>
          <w:rFonts w:hint="eastAsia"/>
          <w:bCs/>
          <w:color w:val="auto"/>
          <w:highlight w:val="none"/>
        </w:rPr>
        <w:t>说明和</w:t>
      </w:r>
      <w:r>
        <w:rPr>
          <w:bCs/>
          <w:color w:val="auto"/>
          <w:highlight w:val="none"/>
        </w:rPr>
        <w:t>确认的</w:t>
      </w:r>
      <w:r>
        <w:rPr>
          <w:color w:val="auto"/>
          <w:highlight w:val="none"/>
        </w:rPr>
        <w:t>；</w:t>
      </w:r>
    </w:p>
    <w:p w14:paraId="12F1F594">
      <w:pPr>
        <w:adjustRightInd w:val="0"/>
        <w:snapToGrid w:val="0"/>
        <w:spacing w:line="360" w:lineRule="auto"/>
        <w:ind w:firstLine="420" w:firstLineChars="200"/>
        <w:rPr>
          <w:rFonts w:hint="eastAsia"/>
          <w:bCs/>
          <w:color w:val="auto"/>
          <w:highlight w:val="none"/>
        </w:rPr>
      </w:pPr>
      <w:r>
        <w:rPr>
          <w:color w:val="auto"/>
          <w:highlight w:val="none"/>
        </w:rPr>
        <w:t>1.</w:t>
      </w:r>
      <w:r>
        <w:rPr>
          <w:rFonts w:hint="eastAsia"/>
          <w:color w:val="auto"/>
          <w:highlight w:val="none"/>
          <w:lang w:val="en-US" w:eastAsia="zh-CN"/>
        </w:rPr>
        <w:t>9</w:t>
      </w:r>
      <w:r>
        <w:rPr>
          <w:color w:val="auto"/>
          <w:highlight w:val="none"/>
        </w:rPr>
        <w:t xml:space="preserve"> </w:t>
      </w:r>
      <w:r>
        <w:rPr>
          <w:rFonts w:hint="eastAsia"/>
          <w:bCs/>
          <w:color w:val="auto"/>
          <w:highlight w:val="none"/>
        </w:rPr>
        <w:t>投标文件存在弄虚作假或者隐瞒事实，或者未按照招标文件要求如实提供有关情况和文件。被列为中标候选人的，应当取消其中标候选人资格。</w:t>
      </w:r>
    </w:p>
    <w:p w14:paraId="601B1E21">
      <w:pPr>
        <w:adjustRightInd w:val="0"/>
        <w:snapToGrid w:val="0"/>
        <w:spacing w:line="360" w:lineRule="auto"/>
        <w:ind w:firstLine="420" w:firstLineChars="200"/>
        <w:rPr>
          <w:rFonts w:hint="eastAsia"/>
          <w:bCs/>
          <w:color w:val="auto"/>
          <w:highlight w:val="none"/>
        </w:rPr>
      </w:pPr>
    </w:p>
    <w:p w14:paraId="7925CDB2">
      <w:pPr>
        <w:spacing w:line="360" w:lineRule="auto"/>
        <w:ind w:firstLine="420" w:firstLineChars="200"/>
        <w:rPr>
          <w:bCs/>
          <w:color w:val="auto"/>
          <w:highlight w:val="none"/>
        </w:rPr>
      </w:pPr>
      <w:r>
        <w:rPr>
          <w:bCs/>
          <w:color w:val="auto"/>
          <w:highlight w:val="none"/>
        </w:rPr>
        <w:t xml:space="preserve"> ……</w:t>
      </w:r>
    </w:p>
    <w:p w14:paraId="5EA0ADC1">
      <w:pPr>
        <w:adjustRightInd w:val="0"/>
        <w:snapToGrid w:val="0"/>
        <w:spacing w:line="440" w:lineRule="exact"/>
        <w:ind w:left="-441" w:leftChars="-210" w:right="-798" w:rightChars="-380" w:firstLine="441" w:firstLineChars="210"/>
        <w:jc w:val="left"/>
        <w:rPr>
          <w:rFonts w:eastAsia="黑体"/>
          <w:bCs/>
          <w:color w:val="auto"/>
          <w:sz w:val="24"/>
          <w:highlight w:val="none"/>
        </w:rPr>
      </w:pPr>
      <w:r>
        <w:rPr>
          <w:rFonts w:eastAsia="楷体_GB2312"/>
          <w:color w:val="auto"/>
          <w:szCs w:val="21"/>
          <w:highlight w:val="none"/>
        </w:rPr>
        <w:br w:type="page"/>
      </w:r>
      <w:bookmarkStart w:id="144" w:name="_Toc300678073"/>
      <w:r>
        <w:rPr>
          <w:rFonts w:eastAsia="黑体"/>
          <w:bCs/>
          <w:color w:val="auto"/>
          <w:sz w:val="24"/>
          <w:highlight w:val="none"/>
        </w:rPr>
        <w:t>附件2-3：投标报价成本评审办法</w:t>
      </w:r>
      <w:bookmarkEnd w:id="144"/>
    </w:p>
    <w:p w14:paraId="4904CD2B">
      <w:pPr>
        <w:spacing w:before="315" w:beforeLines="100" w:after="157" w:afterLines="50" w:line="430" w:lineRule="exact"/>
        <w:jc w:val="center"/>
        <w:rPr>
          <w:rFonts w:eastAsia="黑体"/>
          <w:color w:val="auto"/>
          <w:sz w:val="28"/>
          <w:szCs w:val="28"/>
          <w:highlight w:val="none"/>
        </w:rPr>
      </w:pPr>
      <w:r>
        <w:rPr>
          <w:rFonts w:eastAsia="黑体"/>
          <w:color w:val="auto"/>
          <w:sz w:val="28"/>
          <w:szCs w:val="28"/>
          <w:highlight w:val="none"/>
        </w:rPr>
        <w:t>投标报价成本评审办法</w:t>
      </w:r>
    </w:p>
    <w:p w14:paraId="18FEBB5F">
      <w:pPr>
        <w:spacing w:line="380" w:lineRule="exact"/>
        <w:ind w:firstLine="420" w:firstLineChars="200"/>
        <w:rPr>
          <w:color w:val="auto"/>
          <w:highlight w:val="none"/>
        </w:rPr>
      </w:pPr>
      <w:r>
        <w:rPr>
          <w:color w:val="auto"/>
          <w:highlight w:val="none"/>
        </w:rPr>
        <w:t>本附件是“评标办法”的组成部分，评标委员会对投标人投标报价成本评审比较时，适用本办法。</w:t>
      </w:r>
    </w:p>
    <w:p w14:paraId="667F1CD5">
      <w:pPr>
        <w:tabs>
          <w:tab w:val="left" w:pos="312"/>
        </w:tabs>
        <w:spacing w:line="380" w:lineRule="exact"/>
        <w:ind w:firstLine="420" w:firstLineChars="200"/>
        <w:rPr>
          <w:bCs/>
          <w:color w:val="auto"/>
          <w:highlight w:val="none"/>
        </w:rPr>
      </w:pPr>
      <w:r>
        <w:rPr>
          <w:bCs/>
          <w:color w:val="auto"/>
          <w:highlight w:val="none"/>
        </w:rPr>
        <w:t>1.启动成本评审工作的前提条件</w:t>
      </w:r>
    </w:p>
    <w:p w14:paraId="548A0DC6">
      <w:pPr>
        <w:spacing w:line="380" w:lineRule="exact"/>
        <w:ind w:firstLine="420" w:firstLineChars="200"/>
        <w:rPr>
          <w:color w:val="auto"/>
          <w:highlight w:val="none"/>
        </w:rPr>
      </w:pPr>
      <w:r>
        <w:rPr>
          <w:color w:val="auto"/>
          <w:highlight w:val="none"/>
        </w:rPr>
        <w:t>在满足下列</w:t>
      </w:r>
      <w:r>
        <w:rPr>
          <w:rFonts w:hint="eastAsia"/>
          <w:color w:val="auto"/>
          <w:highlight w:val="none"/>
          <w:lang w:val="en-US" w:eastAsia="zh-CN"/>
        </w:rPr>
        <w:t>三</w:t>
      </w:r>
      <w:r>
        <w:rPr>
          <w:color w:val="auto"/>
          <w:highlight w:val="none"/>
        </w:rPr>
        <w:t>项条件的前提下，评标委员会应当启动成本评审，以判断投标人的投标报价是否低于其成本：</w:t>
      </w:r>
    </w:p>
    <w:p w14:paraId="0989395D">
      <w:pPr>
        <w:spacing w:line="380" w:lineRule="exact"/>
        <w:ind w:firstLine="420" w:firstLineChars="200"/>
        <w:rPr>
          <w:color w:val="auto"/>
          <w:highlight w:val="none"/>
        </w:rPr>
      </w:pPr>
      <w:r>
        <w:rPr>
          <w:color w:val="auto"/>
          <w:highlight w:val="none"/>
        </w:rPr>
        <w:t>1.1 投标人的投标文件已经通过“</w:t>
      </w:r>
      <w:r>
        <w:rPr>
          <w:rFonts w:hint="eastAsia"/>
          <w:color w:val="auto"/>
          <w:highlight w:val="none"/>
          <w:lang w:val="en-US" w:eastAsia="zh-CN"/>
        </w:rPr>
        <w:t>形式、资格、响应性评审</w:t>
      </w:r>
      <w:r>
        <w:rPr>
          <w:color w:val="auto"/>
          <w:highlight w:val="none"/>
        </w:rPr>
        <w:t>”</w:t>
      </w:r>
      <w:r>
        <w:rPr>
          <w:rFonts w:hint="eastAsia"/>
          <w:color w:val="auto"/>
          <w:highlight w:val="none"/>
          <w:lang w:eastAsia="zh-CN"/>
        </w:rPr>
        <w:t>；</w:t>
      </w:r>
    </w:p>
    <w:p w14:paraId="64D4C204">
      <w:pPr>
        <w:spacing w:line="380" w:lineRule="exact"/>
        <w:ind w:firstLine="420" w:firstLineChars="200"/>
        <w:rPr>
          <w:rFonts w:hint="default" w:eastAsia="宋体"/>
          <w:color w:val="auto"/>
          <w:highlight w:val="none"/>
          <w:lang w:val="en-US" w:eastAsia="zh-CN"/>
        </w:rPr>
      </w:pPr>
      <w:r>
        <w:rPr>
          <w:rFonts w:hint="eastAsia"/>
          <w:color w:val="auto"/>
          <w:highlight w:val="none"/>
          <w:lang w:val="en-US" w:eastAsia="zh-CN"/>
        </w:rPr>
        <w:t xml:space="preserve">1.2 </w:t>
      </w:r>
      <w:r>
        <w:rPr>
          <w:color w:val="auto"/>
          <w:highlight w:val="none"/>
        </w:rPr>
        <w:t>投标人的施工组织设计</w:t>
      </w:r>
      <w:r>
        <w:rPr>
          <w:rFonts w:hint="eastAsia"/>
          <w:color w:val="auto"/>
          <w:highlight w:val="none"/>
          <w:lang w:val="en-US" w:eastAsia="zh-CN"/>
        </w:rPr>
        <w:t>通过合格制</w:t>
      </w:r>
      <w:r>
        <w:rPr>
          <w:color w:val="auto"/>
          <w:highlight w:val="none"/>
        </w:rPr>
        <w:t>评审</w:t>
      </w:r>
      <w:r>
        <w:rPr>
          <w:rFonts w:hint="eastAsia"/>
          <w:color w:val="auto"/>
          <w:highlight w:val="none"/>
          <w:lang w:val="en-US" w:eastAsia="zh-CN"/>
        </w:rPr>
        <w:t>的（如有）；</w:t>
      </w:r>
    </w:p>
    <w:p w14:paraId="0D2C5360">
      <w:pPr>
        <w:spacing w:line="380" w:lineRule="exact"/>
        <w:ind w:firstLine="420" w:firstLineChars="200"/>
        <w:rPr>
          <w:rFonts w:hint="eastAsia" w:eastAsia="宋体"/>
          <w:color w:val="auto"/>
          <w:szCs w:val="21"/>
          <w:highlight w:val="none"/>
          <w:lang w:eastAsia="zh-CN"/>
        </w:rPr>
      </w:pPr>
      <w:r>
        <w:rPr>
          <w:color w:val="auto"/>
          <w:highlight w:val="none"/>
        </w:rPr>
        <w:t>1.</w:t>
      </w:r>
      <w:r>
        <w:rPr>
          <w:rFonts w:hint="eastAsia"/>
          <w:color w:val="auto"/>
          <w:highlight w:val="none"/>
          <w:lang w:val="en-US" w:eastAsia="zh-CN"/>
        </w:rPr>
        <w:t>3</w:t>
      </w:r>
      <w:r>
        <w:rPr>
          <w:color w:val="auto"/>
          <w:highlight w:val="none"/>
        </w:rPr>
        <w:t xml:space="preserve"> 投标人的投标报价低于</w:t>
      </w:r>
      <w:r>
        <w:rPr>
          <w:rFonts w:hint="eastAsia"/>
          <w:color w:val="auto"/>
          <w:highlight w:val="none"/>
          <w:lang w:val="en-US" w:eastAsia="zh-CN"/>
        </w:rPr>
        <w:t>报价评审警戒线的，报价评审警戒线为</w:t>
      </w:r>
      <w:r>
        <w:rPr>
          <w:rFonts w:hint="eastAsia"/>
          <w:color w:val="auto"/>
          <w:highlight w:val="none"/>
        </w:rPr>
        <w:t>进入报价评审的合格投标人投标报价算术平均值的95%</w:t>
      </w:r>
      <w:r>
        <w:rPr>
          <w:rFonts w:hint="eastAsia"/>
          <w:color w:val="auto"/>
          <w:kern w:val="0"/>
          <w:highlight w:val="none"/>
          <w:lang w:eastAsia="zh-CN"/>
        </w:rPr>
        <w:t>。</w:t>
      </w:r>
    </w:p>
    <w:p w14:paraId="191FC06A">
      <w:pPr>
        <w:spacing w:line="380" w:lineRule="exact"/>
        <w:ind w:firstLine="420" w:firstLineChars="200"/>
        <w:rPr>
          <w:bCs/>
          <w:color w:val="auto"/>
          <w:highlight w:val="none"/>
        </w:rPr>
      </w:pPr>
      <w:r>
        <w:rPr>
          <w:bCs/>
          <w:color w:val="auto"/>
          <w:highlight w:val="none"/>
        </w:rPr>
        <w:t>2.评审组织工作</w:t>
      </w:r>
    </w:p>
    <w:p w14:paraId="3D532371">
      <w:pPr>
        <w:spacing w:line="380" w:lineRule="exact"/>
        <w:rPr>
          <w:bCs/>
          <w:color w:val="auto"/>
          <w:highlight w:val="none"/>
        </w:rPr>
      </w:pPr>
      <w:r>
        <w:rPr>
          <w:bCs/>
          <w:color w:val="auto"/>
          <w:highlight w:val="none"/>
        </w:rPr>
        <w:t xml:space="preserve"> </w:t>
      </w:r>
      <w:r>
        <w:rPr>
          <w:rFonts w:hint="eastAsia"/>
          <w:bCs/>
          <w:color w:val="auto"/>
          <w:highlight w:val="none"/>
        </w:rPr>
        <w:t xml:space="preserve">  </w:t>
      </w:r>
      <w:r>
        <w:rPr>
          <w:bCs/>
          <w:color w:val="auto"/>
          <w:highlight w:val="none"/>
        </w:rPr>
        <w:t xml:space="preserve"> 由评标委员会经济类专家组织实施</w:t>
      </w:r>
    </w:p>
    <w:p w14:paraId="57F8B578">
      <w:pPr>
        <w:spacing w:line="380" w:lineRule="exact"/>
        <w:ind w:firstLine="420" w:firstLineChars="200"/>
        <w:rPr>
          <w:bCs/>
          <w:color w:val="auto"/>
          <w:highlight w:val="none"/>
        </w:rPr>
      </w:pPr>
      <w:r>
        <w:rPr>
          <w:bCs/>
          <w:color w:val="auto"/>
          <w:highlight w:val="none"/>
        </w:rPr>
        <w:t>3.评审</w:t>
      </w:r>
      <w:r>
        <w:rPr>
          <w:rFonts w:hint="eastAsia"/>
          <w:bCs/>
          <w:color w:val="auto"/>
          <w:highlight w:val="none"/>
        </w:rPr>
        <w:t>方法及</w:t>
      </w:r>
      <w:r>
        <w:rPr>
          <w:bCs/>
          <w:color w:val="auto"/>
          <w:highlight w:val="none"/>
        </w:rPr>
        <w:t>标准</w:t>
      </w:r>
    </w:p>
    <w:p w14:paraId="281AD129">
      <w:pPr>
        <w:adjustRightInd w:val="0"/>
        <w:snapToGrid w:val="0"/>
        <w:spacing w:line="380" w:lineRule="exact"/>
        <w:ind w:firstLine="420" w:firstLineChars="200"/>
        <w:rPr>
          <w:color w:val="auto"/>
          <w:kern w:val="0"/>
          <w:highlight w:val="none"/>
        </w:rPr>
      </w:pPr>
      <w:r>
        <w:rPr>
          <w:rFonts w:hint="eastAsia" w:ascii="宋体" w:hAnsi="宋体"/>
          <w:color w:val="auto"/>
          <w:kern w:val="0"/>
          <w:highlight w:val="none"/>
        </w:rPr>
        <w:t>对低于报价评审警戒线的投标报价按照招标文件规定的</w:t>
      </w:r>
      <w:r>
        <w:rPr>
          <w:rFonts w:hint="eastAsia"/>
          <w:color w:val="auto"/>
          <w:kern w:val="0"/>
          <w:highlight w:val="none"/>
        </w:rPr>
        <w:t>重点评审的工程量清单综合单价（含能计量的措施项目）和材料、设备单价（以下简称“重点评审单价”）的评审标准进行评审。</w:t>
      </w:r>
    </w:p>
    <w:p w14:paraId="55550437">
      <w:pPr>
        <w:adjustRightInd w:val="0"/>
        <w:snapToGrid w:val="0"/>
        <w:spacing w:line="380" w:lineRule="exact"/>
        <w:ind w:firstLine="420" w:firstLineChars="200"/>
        <w:rPr>
          <w:color w:val="auto"/>
          <w:kern w:val="0"/>
          <w:highlight w:val="none"/>
        </w:rPr>
      </w:pPr>
      <w:r>
        <w:rPr>
          <w:color w:val="auto"/>
          <w:kern w:val="0"/>
          <w:highlight w:val="none"/>
        </w:rPr>
        <w:t>重点评审单价评审标准如下：</w:t>
      </w:r>
    </w:p>
    <w:p w14:paraId="69D49E8B">
      <w:pPr>
        <w:adjustRightInd w:val="0"/>
        <w:snapToGrid w:val="0"/>
        <w:spacing w:line="380" w:lineRule="exact"/>
        <w:ind w:firstLine="420" w:firstLineChars="200"/>
        <w:rPr>
          <w:color w:val="auto"/>
          <w:kern w:val="0"/>
          <w:highlight w:val="none"/>
        </w:rPr>
      </w:pPr>
      <w:r>
        <w:rPr>
          <w:color w:val="auto"/>
          <w:kern w:val="0"/>
          <w:highlight w:val="none"/>
        </w:rPr>
        <w:t>（一）房屋建筑总承包工程为最高投标限价的</w:t>
      </w:r>
      <w:r>
        <w:rPr>
          <w:color w:val="auto"/>
          <w:kern w:val="0"/>
          <w:highlight w:val="none"/>
          <w:u w:val="single"/>
        </w:rPr>
        <w:t xml:space="preserve"> </w:t>
      </w:r>
      <w:r>
        <w:rPr>
          <w:rFonts w:hint="eastAsia"/>
          <w:color w:val="auto"/>
          <w:kern w:val="0"/>
          <w:highlight w:val="none"/>
          <w:u w:val="single"/>
          <w:lang w:val="en-US" w:eastAsia="zh-CN"/>
        </w:rPr>
        <w:t>92</w:t>
      </w:r>
      <w:r>
        <w:rPr>
          <w:color w:val="auto"/>
          <w:kern w:val="0"/>
          <w:highlight w:val="none"/>
          <w:u w:val="single"/>
        </w:rPr>
        <w:t xml:space="preserve">  </w:t>
      </w:r>
      <w:r>
        <w:rPr>
          <w:color w:val="auto"/>
          <w:kern w:val="0"/>
          <w:highlight w:val="none"/>
        </w:rPr>
        <w:t>（90%以上92%以下，具体取值由招标人明确，下同）；</w:t>
      </w:r>
    </w:p>
    <w:p w14:paraId="5E9460F4">
      <w:pPr>
        <w:adjustRightInd w:val="0"/>
        <w:snapToGrid w:val="0"/>
        <w:spacing w:line="380" w:lineRule="exact"/>
        <w:ind w:firstLine="630" w:firstLineChars="300"/>
        <w:rPr>
          <w:color w:val="auto"/>
          <w:kern w:val="0"/>
          <w:highlight w:val="none"/>
        </w:rPr>
      </w:pPr>
      <w:r>
        <w:rPr>
          <w:color w:val="auto"/>
          <w:kern w:val="0"/>
          <w:highlight w:val="none"/>
        </w:rPr>
        <w:t>含有装配式建筑的，房屋建筑总承包工程为最高投标限价的</w:t>
      </w:r>
      <w:r>
        <w:rPr>
          <w:color w:val="auto"/>
          <w:kern w:val="0"/>
          <w:highlight w:val="none"/>
          <w:u w:val="single"/>
        </w:rPr>
        <w:t xml:space="preserve">     （</w:t>
      </w:r>
      <w:r>
        <w:rPr>
          <w:color w:val="auto"/>
          <w:kern w:val="0"/>
          <w:highlight w:val="none"/>
        </w:rPr>
        <w:t>92%以上94%以下）；</w:t>
      </w:r>
    </w:p>
    <w:p w14:paraId="3C926AD9">
      <w:pPr>
        <w:adjustRightInd w:val="0"/>
        <w:snapToGrid w:val="0"/>
        <w:spacing w:line="380" w:lineRule="exact"/>
        <w:ind w:firstLine="420" w:firstLineChars="200"/>
        <w:rPr>
          <w:color w:val="auto"/>
          <w:kern w:val="0"/>
          <w:highlight w:val="none"/>
        </w:rPr>
      </w:pPr>
      <w:r>
        <w:rPr>
          <w:color w:val="auto"/>
          <w:kern w:val="0"/>
          <w:highlight w:val="none"/>
        </w:rPr>
        <w:t>（二）市政基础设施总承包工程（轨道交通工程除外）为最高投标限价的</w:t>
      </w:r>
      <w:r>
        <w:rPr>
          <w:color w:val="auto"/>
          <w:kern w:val="0"/>
          <w:highlight w:val="none"/>
          <w:u w:val="single"/>
        </w:rPr>
        <w:t xml:space="preserve">   </w:t>
      </w:r>
      <w:r>
        <w:rPr>
          <w:color w:val="auto"/>
          <w:kern w:val="0"/>
          <w:highlight w:val="none"/>
        </w:rPr>
        <w:t>（85%以上87%以下）；</w:t>
      </w:r>
    </w:p>
    <w:p w14:paraId="2C962C70">
      <w:pPr>
        <w:adjustRightInd w:val="0"/>
        <w:snapToGrid w:val="0"/>
        <w:spacing w:line="380" w:lineRule="exact"/>
        <w:ind w:firstLine="420" w:firstLineChars="200"/>
        <w:rPr>
          <w:color w:val="auto"/>
          <w:kern w:val="0"/>
          <w:highlight w:val="none"/>
        </w:rPr>
      </w:pPr>
      <w:r>
        <w:rPr>
          <w:color w:val="auto"/>
          <w:kern w:val="0"/>
          <w:highlight w:val="none"/>
        </w:rPr>
        <w:t>（三）轨道交通工程为最高投标限价的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（88%以上90%以下）；</w:t>
      </w:r>
    </w:p>
    <w:p w14:paraId="6B8DAA38">
      <w:pPr>
        <w:adjustRightInd w:val="0"/>
        <w:snapToGrid w:val="0"/>
        <w:spacing w:line="380" w:lineRule="exact"/>
        <w:ind w:firstLine="420" w:firstLineChars="200"/>
        <w:rPr>
          <w:color w:val="auto"/>
          <w:kern w:val="0"/>
          <w:highlight w:val="none"/>
        </w:rPr>
      </w:pPr>
      <w:r>
        <w:rPr>
          <w:color w:val="auto"/>
          <w:kern w:val="0"/>
          <w:highlight w:val="none"/>
        </w:rPr>
        <w:t>（四）单独招标的装饰装修工程为最高投标限价的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rPr>
        <w:t>（92%以上94%以下）；</w:t>
      </w:r>
    </w:p>
    <w:p w14:paraId="5B1D5A89">
      <w:pPr>
        <w:adjustRightInd w:val="0"/>
        <w:snapToGrid w:val="0"/>
        <w:spacing w:line="380" w:lineRule="exact"/>
        <w:ind w:firstLine="420" w:firstLineChars="200"/>
        <w:rPr>
          <w:color w:val="auto"/>
          <w:kern w:val="0"/>
          <w:highlight w:val="none"/>
        </w:rPr>
      </w:pPr>
      <w:r>
        <w:rPr>
          <w:color w:val="auto"/>
          <w:kern w:val="0"/>
          <w:highlight w:val="none"/>
        </w:rPr>
        <w:t>（五）单独招标的园林景观绿化工程、仿古建筑工程为最高投标限价的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rPr>
        <w:t>（88%以上90%以下）；</w:t>
      </w:r>
    </w:p>
    <w:p w14:paraId="665F0B13">
      <w:pPr>
        <w:adjustRightInd w:val="0"/>
        <w:snapToGrid w:val="0"/>
        <w:spacing w:line="380" w:lineRule="exact"/>
        <w:ind w:firstLine="420" w:firstLineChars="200"/>
        <w:rPr>
          <w:rFonts w:hint="eastAsia" w:eastAsia="宋体"/>
          <w:color w:val="auto"/>
          <w:kern w:val="0"/>
          <w:highlight w:val="none"/>
          <w:lang w:eastAsia="zh-CN"/>
        </w:rPr>
      </w:pPr>
      <w:r>
        <w:rPr>
          <w:color w:val="auto"/>
          <w:kern w:val="0"/>
          <w:highlight w:val="none"/>
        </w:rPr>
        <w:t>（六）单独招标的安装工程为最高投标限价的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（90%以上92%以下）</w:t>
      </w:r>
      <w:r>
        <w:rPr>
          <w:rFonts w:hint="eastAsia"/>
          <w:color w:val="auto"/>
          <w:kern w:val="0"/>
          <w:highlight w:val="none"/>
          <w:lang w:eastAsia="zh-CN"/>
        </w:rPr>
        <w:t>；</w:t>
      </w:r>
    </w:p>
    <w:p w14:paraId="6F9C6A27">
      <w:pPr>
        <w:adjustRightInd w:val="0"/>
        <w:snapToGrid w:val="0"/>
        <w:spacing w:line="380" w:lineRule="exact"/>
        <w:ind w:firstLine="420" w:firstLineChars="200"/>
        <w:rPr>
          <w:color w:val="auto"/>
          <w:kern w:val="0"/>
          <w:highlight w:val="none"/>
        </w:rPr>
      </w:pPr>
      <w:r>
        <w:rPr>
          <w:color w:val="auto"/>
          <w:kern w:val="0"/>
          <w:highlight w:val="none"/>
        </w:rPr>
        <w:t>（</w:t>
      </w:r>
      <w:r>
        <w:rPr>
          <w:rFonts w:hint="eastAsia"/>
          <w:color w:val="auto"/>
          <w:kern w:val="0"/>
          <w:highlight w:val="none"/>
          <w:lang w:val="en-US" w:eastAsia="zh-CN"/>
        </w:rPr>
        <w:t>七</w:t>
      </w:r>
      <w:r>
        <w:rPr>
          <w:color w:val="auto"/>
          <w:kern w:val="0"/>
          <w:highlight w:val="none"/>
        </w:rPr>
        <w:t>）</w:t>
      </w:r>
      <w:r>
        <w:rPr>
          <w:rFonts w:hint="eastAsia"/>
          <w:color w:val="auto"/>
          <w:kern w:val="0"/>
          <w:highlight w:val="none"/>
          <w:lang w:val="en-US" w:eastAsia="zh-CN"/>
        </w:rPr>
        <w:t>其他工程（未包含在上述工程中的其他工程）为最高投标限价的</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color w:val="auto"/>
          <w:kern w:val="0"/>
          <w:highlight w:val="none"/>
        </w:rPr>
        <w:t>（招标人</w:t>
      </w:r>
      <w:r>
        <w:rPr>
          <w:rFonts w:hint="eastAsia"/>
          <w:color w:val="auto"/>
          <w:kern w:val="0"/>
          <w:highlight w:val="none"/>
          <w:lang w:val="en-US" w:eastAsia="zh-CN"/>
        </w:rPr>
        <w:t>根据项目具体情况</w:t>
      </w:r>
      <w:r>
        <w:rPr>
          <w:color w:val="auto"/>
          <w:kern w:val="0"/>
          <w:highlight w:val="none"/>
        </w:rPr>
        <w:t>明确）。</w:t>
      </w:r>
    </w:p>
    <w:p w14:paraId="7CC8A97E">
      <w:pPr>
        <w:spacing w:line="380" w:lineRule="exact"/>
        <w:ind w:firstLine="420" w:firstLineChars="200"/>
        <w:rPr>
          <w:bCs/>
          <w:color w:val="auto"/>
          <w:highlight w:val="none"/>
        </w:rPr>
      </w:pPr>
      <w:r>
        <w:rPr>
          <w:bCs/>
          <w:color w:val="auto"/>
          <w:highlight w:val="none"/>
        </w:rPr>
        <w:t>4.低于投标成本报价竞争行为的确认</w:t>
      </w:r>
    </w:p>
    <w:p w14:paraId="2515CD49">
      <w:pPr>
        <w:adjustRightInd w:val="0"/>
        <w:snapToGrid w:val="0"/>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（一）重点评审单价中，任意一项低于评审标准（不含本数）的，应当认定该投标人以低于成本报价竞争，否决其投标。</w:t>
      </w:r>
    </w:p>
    <w:p w14:paraId="51BB813E">
      <w:pPr>
        <w:ind w:firstLine="420" w:firstLineChars="200"/>
        <w:rPr>
          <w:color w:val="auto"/>
          <w:szCs w:val="32"/>
          <w:highlight w:val="none"/>
        </w:rPr>
      </w:pPr>
      <w:r>
        <w:rPr>
          <w:rFonts w:hAnsi="仿宋_GB2312"/>
          <w:color w:val="auto"/>
          <w:szCs w:val="32"/>
          <w:highlight w:val="none"/>
        </w:rPr>
        <w:t>（二）有下列情形之一的，应当判定为以低于成本报价竞争</w:t>
      </w:r>
      <w:r>
        <w:rPr>
          <w:rFonts w:hint="eastAsia" w:hAnsi="仿宋_GB2312"/>
          <w:color w:val="auto"/>
          <w:szCs w:val="32"/>
          <w:highlight w:val="none"/>
        </w:rPr>
        <w:t>，否决其投标。</w:t>
      </w:r>
    </w:p>
    <w:p w14:paraId="7421F76C">
      <w:pPr>
        <w:ind w:firstLine="420" w:firstLineChars="200"/>
        <w:rPr>
          <w:rFonts w:hint="eastAsia" w:eastAsia="宋体"/>
          <w:color w:val="auto"/>
          <w:szCs w:val="32"/>
          <w:highlight w:val="none"/>
          <w:lang w:val="en-US" w:eastAsia="zh-CN"/>
        </w:rPr>
      </w:pPr>
      <w:r>
        <w:rPr>
          <w:rFonts w:hint="eastAsia" w:hAnsi="仿宋_GB2312"/>
          <w:color w:val="auto"/>
          <w:szCs w:val="32"/>
          <w:highlight w:val="none"/>
          <w:lang w:val="en-US" w:eastAsia="zh-CN"/>
        </w:rPr>
        <w:t>①</w:t>
      </w:r>
      <w:r>
        <w:rPr>
          <w:rFonts w:hAnsi="仿宋_GB2312"/>
          <w:color w:val="auto"/>
          <w:szCs w:val="32"/>
          <w:highlight w:val="none"/>
        </w:rPr>
        <w:t>经评审论证，认定该投标人的报价低于成本的；</w:t>
      </w:r>
    </w:p>
    <w:p w14:paraId="4504D7AA">
      <w:pPr>
        <w:adjustRightInd w:val="0"/>
        <w:snapToGrid w:val="0"/>
        <w:spacing w:line="380" w:lineRule="exact"/>
        <w:ind w:firstLine="420" w:firstLineChars="200"/>
        <w:rPr>
          <w:rFonts w:hint="eastAsia" w:ascii="宋体" w:hAnsi="宋体"/>
          <w:color w:val="auto"/>
          <w:kern w:val="0"/>
          <w:szCs w:val="21"/>
          <w:highlight w:val="none"/>
        </w:rPr>
      </w:pPr>
      <w:r>
        <w:rPr>
          <w:rFonts w:hint="eastAsia" w:hAnsi="仿宋_GB2312"/>
          <w:color w:val="auto"/>
          <w:szCs w:val="32"/>
          <w:highlight w:val="none"/>
          <w:lang w:val="en-US" w:eastAsia="zh-CN"/>
        </w:rPr>
        <w:t>②</w:t>
      </w:r>
      <w:r>
        <w:rPr>
          <w:rFonts w:hAnsi="仿宋_GB2312"/>
          <w:color w:val="auto"/>
          <w:szCs w:val="32"/>
          <w:highlight w:val="none"/>
        </w:rPr>
        <w:t>投标报价明显低于其他投标报价，有可能低于成本的，应当要求投标人</w:t>
      </w:r>
      <w:r>
        <w:rPr>
          <w:rFonts w:hint="eastAsia"/>
          <w:color w:val="auto"/>
          <w:highlight w:val="none"/>
        </w:rPr>
        <w:t>通过电子交易平台作出</w:t>
      </w:r>
      <w:r>
        <w:rPr>
          <w:rFonts w:hAnsi="仿宋_GB2312"/>
          <w:color w:val="auto"/>
          <w:szCs w:val="32"/>
          <w:highlight w:val="none"/>
        </w:rPr>
        <w:t>说明并提供相关材料。投标人不能合理说明或者不能提供相关证明材料的</w:t>
      </w:r>
      <w:r>
        <w:rPr>
          <w:rFonts w:hint="eastAsia" w:hAnsi="仿宋_GB2312"/>
          <w:color w:val="auto"/>
          <w:szCs w:val="32"/>
          <w:highlight w:val="none"/>
        </w:rPr>
        <w:t>，应当</w:t>
      </w:r>
      <w:r>
        <w:rPr>
          <w:rFonts w:hAnsi="仿宋_GB2312"/>
          <w:color w:val="auto"/>
          <w:szCs w:val="32"/>
          <w:highlight w:val="none"/>
        </w:rPr>
        <w:t>认定该投标人的报价低于成本</w:t>
      </w:r>
      <w:r>
        <w:rPr>
          <w:rFonts w:hint="eastAsia" w:hAnsi="仿宋_GB2312"/>
          <w:color w:val="auto"/>
          <w:szCs w:val="32"/>
          <w:highlight w:val="none"/>
        </w:rPr>
        <w:t>。</w:t>
      </w:r>
    </w:p>
    <w:p w14:paraId="6748B025">
      <w:pPr>
        <w:spacing w:line="380" w:lineRule="exact"/>
        <w:rPr>
          <w:bCs/>
          <w:color w:val="auto"/>
          <w:highlight w:val="none"/>
        </w:rPr>
      </w:pPr>
      <w:r>
        <w:rPr>
          <w:rFonts w:hint="eastAsia"/>
          <w:bCs/>
          <w:color w:val="auto"/>
          <w:highlight w:val="none"/>
        </w:rPr>
        <w:t xml:space="preserve">   </w:t>
      </w:r>
      <w:r>
        <w:rPr>
          <w:bCs/>
          <w:color w:val="auto"/>
          <w:highlight w:val="none"/>
        </w:rPr>
        <w:t>评标委员会将认定投标人以低于成本报价竞争等情况作出详细说明并记录在案。</w:t>
      </w:r>
      <w:bookmarkEnd w:id="143"/>
      <w:bookmarkStart w:id="145" w:name="_Toc300678059"/>
    </w:p>
    <w:p w14:paraId="077DC3E1">
      <w:pPr>
        <w:widowControl/>
        <w:jc w:val="left"/>
        <w:rPr>
          <w:rFonts w:hint="eastAsia" w:ascii="宋体" w:hAnsi="宋体" w:cs="宋体"/>
          <w:color w:val="auto"/>
          <w:szCs w:val="21"/>
          <w:highlight w:val="none"/>
        </w:rPr>
      </w:pPr>
      <w:r>
        <w:rPr>
          <w:rFonts w:hint="eastAsia" w:eastAsia="黑体"/>
          <w:color w:val="auto"/>
          <w:sz w:val="30"/>
          <w:szCs w:val="30"/>
          <w:highlight w:val="none"/>
        </w:rPr>
        <w:t xml:space="preserve"> </w:t>
      </w:r>
      <w:r>
        <w:rPr>
          <w:rFonts w:hint="eastAsia" w:eastAsia="黑体"/>
          <w:color w:val="auto"/>
          <w:szCs w:val="21"/>
          <w:highlight w:val="none"/>
        </w:rPr>
        <w:t xml:space="preserve"> </w:t>
      </w:r>
      <w:r>
        <w:rPr>
          <w:rFonts w:hint="eastAsia" w:ascii="宋体" w:hAnsi="宋体" w:cs="宋体"/>
          <w:color w:val="auto"/>
          <w:szCs w:val="21"/>
          <w:highlight w:val="none"/>
        </w:rPr>
        <w:t xml:space="preserve"> 5.本方法所称的“以下”、“以上”均含本数。</w:t>
      </w:r>
    </w:p>
    <w:p w14:paraId="2830BC88">
      <w:pPr>
        <w:widowControl/>
        <w:jc w:val="left"/>
        <w:rPr>
          <w:rStyle w:val="53"/>
          <w:rFonts w:ascii="Times New Roman" w:hAnsi="Times New Roman" w:eastAsia="黑体"/>
          <w:b w:val="0"/>
          <w:color w:val="auto"/>
          <w:sz w:val="24"/>
          <w:highlight w:val="none"/>
        </w:rPr>
      </w:pPr>
    </w:p>
    <w:p w14:paraId="12C61BCF">
      <w:pPr>
        <w:widowControl/>
        <w:jc w:val="left"/>
        <w:rPr>
          <w:rStyle w:val="53"/>
          <w:rFonts w:ascii="Times New Roman" w:hAnsi="Times New Roman" w:eastAsia="黑体"/>
          <w:b w:val="0"/>
          <w:color w:val="auto"/>
          <w:sz w:val="24"/>
          <w:highlight w:val="none"/>
        </w:rPr>
      </w:pPr>
    </w:p>
    <w:p w14:paraId="3157A9BC">
      <w:pPr>
        <w:widowControl/>
        <w:jc w:val="left"/>
        <w:rPr>
          <w:rStyle w:val="53"/>
          <w:rFonts w:ascii="Times New Roman" w:hAnsi="Times New Roman" w:eastAsia="黑体"/>
          <w:b w:val="0"/>
          <w:color w:val="auto"/>
          <w:sz w:val="24"/>
          <w:highlight w:val="none"/>
        </w:rPr>
      </w:pPr>
      <w:r>
        <w:rPr>
          <w:rStyle w:val="53"/>
          <w:rFonts w:ascii="Times New Roman" w:hAnsi="Times New Roman" w:eastAsia="黑体"/>
          <w:b w:val="0"/>
          <w:color w:val="auto"/>
          <w:sz w:val="24"/>
          <w:highlight w:val="none"/>
        </w:rPr>
        <w:t>附件2-</w:t>
      </w:r>
      <w:r>
        <w:rPr>
          <w:rStyle w:val="53"/>
          <w:rFonts w:hint="eastAsia" w:eastAsia="黑体"/>
          <w:b w:val="0"/>
          <w:color w:val="auto"/>
          <w:sz w:val="24"/>
          <w:highlight w:val="none"/>
        </w:rPr>
        <w:t>4</w:t>
      </w:r>
      <w:r>
        <w:rPr>
          <w:rStyle w:val="53"/>
          <w:rFonts w:ascii="Times New Roman" w:hAnsi="Times New Roman" w:eastAsia="黑体"/>
          <w:b w:val="0"/>
          <w:color w:val="auto"/>
          <w:sz w:val="24"/>
          <w:highlight w:val="none"/>
        </w:rPr>
        <w:t>：</w:t>
      </w:r>
      <w:r>
        <w:rPr>
          <w:rStyle w:val="53"/>
          <w:rFonts w:hint="eastAsia" w:eastAsia="黑体"/>
          <w:b w:val="0"/>
          <w:color w:val="auto"/>
          <w:sz w:val="24"/>
          <w:highlight w:val="none"/>
        </w:rPr>
        <w:t>计算机辅助评标办法</w:t>
      </w:r>
    </w:p>
    <w:p w14:paraId="3947D404">
      <w:pPr>
        <w:widowControl/>
        <w:jc w:val="left"/>
        <w:rPr>
          <w:rFonts w:eastAsia="黑体"/>
          <w:color w:val="auto"/>
          <w:sz w:val="30"/>
          <w:szCs w:val="30"/>
          <w:highlight w:val="none"/>
        </w:rPr>
      </w:pPr>
    </w:p>
    <w:p w14:paraId="7CEC819E">
      <w:pPr>
        <w:widowControl/>
        <w:jc w:val="left"/>
        <w:rPr>
          <w:rFonts w:eastAsia="黑体"/>
          <w:color w:val="auto"/>
          <w:sz w:val="30"/>
          <w:szCs w:val="30"/>
          <w:highlight w:val="none"/>
        </w:rPr>
      </w:pPr>
    </w:p>
    <w:p w14:paraId="7BD5EBB9">
      <w:pPr>
        <w:snapToGrid w:val="0"/>
        <w:spacing w:line="360" w:lineRule="auto"/>
        <w:jc w:val="left"/>
        <w:rPr>
          <w:rStyle w:val="53"/>
          <w:rFonts w:eastAsia="黑体"/>
          <w:b w:val="0"/>
          <w:color w:val="auto"/>
          <w:sz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Style w:val="53"/>
          <w:rFonts w:hint="eastAsia" w:eastAsia="黑体"/>
          <w:b w:val="0"/>
          <w:color w:val="auto"/>
          <w:sz w:val="28"/>
          <w:highlight w:val="none"/>
        </w:rPr>
        <w:t>计算机辅助评标办法</w:t>
      </w:r>
    </w:p>
    <w:p w14:paraId="789E5A70">
      <w:pPr>
        <w:snapToGrid w:val="0"/>
        <w:spacing w:line="360" w:lineRule="auto"/>
        <w:jc w:val="left"/>
        <w:rPr>
          <w:rStyle w:val="53"/>
          <w:rFonts w:eastAsia="黑体"/>
          <w:b w:val="0"/>
          <w:color w:val="auto"/>
          <w:sz w:val="28"/>
          <w:highlight w:val="none"/>
        </w:rPr>
      </w:pPr>
    </w:p>
    <w:p w14:paraId="275A7A66">
      <w:pPr>
        <w:snapToGrid w:val="0"/>
        <w:spacing w:line="360" w:lineRule="auto"/>
        <w:jc w:val="left"/>
        <w:rPr>
          <w:rStyle w:val="53"/>
          <w:rFonts w:eastAsia="黑体"/>
          <w:b w:val="0"/>
          <w:color w:val="auto"/>
          <w:sz w:val="28"/>
          <w:highlight w:val="none"/>
        </w:rPr>
      </w:pPr>
      <w:r>
        <w:rPr>
          <w:rStyle w:val="53"/>
          <w:rFonts w:hint="eastAsia" w:eastAsia="黑体"/>
          <w:b w:val="0"/>
          <w:color w:val="auto"/>
          <w:sz w:val="28"/>
          <w:highlight w:val="none"/>
        </w:rPr>
        <w:t xml:space="preserve"> </w:t>
      </w:r>
      <w:r>
        <w:rPr>
          <w:rStyle w:val="53"/>
          <w:rFonts w:hint="eastAsia" w:eastAsia="黑体"/>
          <w:b w:val="0"/>
          <w:bCs w:val="0"/>
          <w:color w:val="auto"/>
          <w:sz w:val="28"/>
          <w:highlight w:val="none"/>
        </w:rPr>
        <w:t xml:space="preserve"> </w:t>
      </w:r>
      <w:r>
        <w:rPr>
          <w:rStyle w:val="53"/>
          <w:rFonts w:hint="eastAsia" w:ascii="宋体" w:hAnsi="宋体" w:cs="宋体"/>
          <w:b w:val="0"/>
          <w:bCs w:val="0"/>
          <w:color w:val="auto"/>
          <w:szCs w:val="21"/>
          <w:highlight w:val="none"/>
        </w:rPr>
        <w:t>说明：</w:t>
      </w:r>
      <w:r>
        <w:rPr>
          <w:rStyle w:val="53"/>
          <w:rFonts w:hint="eastAsia" w:ascii="宋体" w:hAnsi="宋体" w:cs="宋体"/>
          <w:b w:val="0"/>
          <w:color w:val="auto"/>
          <w:szCs w:val="21"/>
          <w:highlight w:val="none"/>
        </w:rPr>
        <w:t>本附件的具体内容根据招标项目的具体情况自行编写</w:t>
      </w:r>
    </w:p>
    <w:p w14:paraId="2166A876">
      <w:pPr>
        <w:widowControl/>
        <w:jc w:val="left"/>
        <w:rPr>
          <w:rFonts w:eastAsia="黑体"/>
          <w:color w:val="auto"/>
          <w:sz w:val="30"/>
          <w:szCs w:val="30"/>
          <w:highlight w:val="none"/>
        </w:rPr>
      </w:pPr>
    </w:p>
    <w:p w14:paraId="02F57496">
      <w:pPr>
        <w:snapToGrid w:val="0"/>
        <w:spacing w:line="360" w:lineRule="auto"/>
        <w:jc w:val="left"/>
        <w:rPr>
          <w:rStyle w:val="53"/>
          <w:rFonts w:eastAsia="黑体"/>
          <w:b w:val="0"/>
          <w:color w:val="auto"/>
          <w:sz w:val="24"/>
          <w:highlight w:val="none"/>
        </w:rPr>
      </w:pPr>
      <w:r>
        <w:rPr>
          <w:rStyle w:val="53"/>
          <w:rFonts w:eastAsia="黑体"/>
          <w:b w:val="0"/>
          <w:color w:val="auto"/>
          <w:sz w:val="24"/>
          <w:highlight w:val="none"/>
        </w:rPr>
        <w:t>附件2-5：</w:t>
      </w:r>
      <w:r>
        <w:rPr>
          <w:rStyle w:val="53"/>
          <w:rFonts w:hint="eastAsia" w:eastAsia="黑体"/>
          <w:b w:val="0"/>
          <w:color w:val="auto"/>
          <w:sz w:val="24"/>
          <w:highlight w:val="none"/>
        </w:rPr>
        <w:t>评定分离工作方案</w:t>
      </w:r>
    </w:p>
    <w:p w14:paraId="4013B10C">
      <w:pPr>
        <w:widowControl/>
        <w:jc w:val="left"/>
        <w:rPr>
          <w:rFonts w:eastAsia="黑体"/>
          <w:color w:val="auto"/>
          <w:sz w:val="30"/>
          <w:szCs w:val="30"/>
          <w:highlight w:val="none"/>
        </w:rPr>
      </w:pPr>
    </w:p>
    <w:p w14:paraId="030546EB">
      <w:pPr>
        <w:widowControl/>
        <w:jc w:val="left"/>
        <w:rPr>
          <w:rFonts w:eastAsia="黑体"/>
          <w:color w:val="auto"/>
          <w:sz w:val="30"/>
          <w:szCs w:val="30"/>
          <w:highlight w:val="none"/>
        </w:rPr>
      </w:pPr>
    </w:p>
    <w:p w14:paraId="6B157226">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□评定分离工作方案</w:t>
      </w:r>
    </w:p>
    <w:p w14:paraId="76C01889">
      <w:pPr>
        <w:snapToGrid w:val="0"/>
        <w:spacing w:line="360" w:lineRule="auto"/>
        <w:jc w:val="center"/>
        <w:rPr>
          <w:rStyle w:val="53"/>
          <w:rFonts w:eastAsia="黑体"/>
          <w:b w:val="0"/>
          <w:color w:val="auto"/>
          <w:sz w:val="28"/>
          <w:highlight w:val="none"/>
        </w:rPr>
      </w:pPr>
      <w:r>
        <w:rPr>
          <w:rFonts w:hint="eastAsia" w:eastAsia="黑体"/>
          <w:color w:val="auto"/>
          <w:sz w:val="28"/>
          <w:szCs w:val="28"/>
          <w:highlight w:val="none"/>
        </w:rPr>
        <w:t>（适用采用评定分离方式确定中标人的项目）</w:t>
      </w:r>
    </w:p>
    <w:p w14:paraId="2141CDC2">
      <w:pPr>
        <w:snapToGrid w:val="0"/>
        <w:spacing w:line="360" w:lineRule="auto"/>
        <w:jc w:val="left"/>
        <w:rPr>
          <w:rStyle w:val="53"/>
          <w:rFonts w:eastAsia="黑体"/>
          <w:b w:val="0"/>
          <w:color w:val="auto"/>
          <w:sz w:val="28"/>
          <w:highlight w:val="none"/>
        </w:rPr>
      </w:pPr>
    </w:p>
    <w:p w14:paraId="79FEA00E">
      <w:pPr>
        <w:snapToGrid w:val="0"/>
        <w:spacing w:line="360" w:lineRule="auto"/>
        <w:jc w:val="left"/>
        <w:rPr>
          <w:rStyle w:val="53"/>
          <w:rFonts w:eastAsia="黑体"/>
          <w:b w:val="0"/>
          <w:color w:val="auto"/>
          <w:sz w:val="28"/>
          <w:highlight w:val="none"/>
        </w:rPr>
      </w:pPr>
      <w:r>
        <w:rPr>
          <w:rStyle w:val="53"/>
          <w:rFonts w:hint="eastAsia" w:eastAsia="黑体"/>
          <w:b w:val="0"/>
          <w:color w:val="auto"/>
          <w:sz w:val="28"/>
          <w:highlight w:val="none"/>
        </w:rPr>
        <w:t xml:space="preserve"> </w:t>
      </w:r>
      <w:r>
        <w:rPr>
          <w:rStyle w:val="53"/>
          <w:rFonts w:hint="eastAsia" w:eastAsia="黑体"/>
          <w:b w:val="0"/>
          <w:bCs w:val="0"/>
          <w:color w:val="auto"/>
          <w:sz w:val="28"/>
          <w:highlight w:val="none"/>
        </w:rPr>
        <w:t xml:space="preserve"> </w:t>
      </w:r>
      <w:r>
        <w:rPr>
          <w:rStyle w:val="53"/>
          <w:rFonts w:hint="eastAsia" w:ascii="宋体" w:hAnsi="宋体" w:cs="宋体"/>
          <w:b w:val="0"/>
          <w:bCs w:val="0"/>
          <w:color w:val="auto"/>
          <w:szCs w:val="21"/>
          <w:highlight w:val="none"/>
        </w:rPr>
        <w:t>说明：</w:t>
      </w:r>
      <w:r>
        <w:rPr>
          <w:rStyle w:val="53"/>
          <w:rFonts w:hint="eastAsia" w:ascii="宋体" w:hAnsi="宋体" w:cs="宋体"/>
          <w:b w:val="0"/>
          <w:color w:val="auto"/>
          <w:szCs w:val="21"/>
          <w:highlight w:val="none"/>
        </w:rPr>
        <w:t>本附件的具体内容由招标人根据招标项目的具体情况及第三章评标办法规定的“评定分离”工作规则自行编写。</w:t>
      </w:r>
    </w:p>
    <w:p w14:paraId="1453DF9C">
      <w:pPr>
        <w:widowControl/>
        <w:jc w:val="left"/>
        <w:rPr>
          <w:rFonts w:eastAsia="黑体"/>
          <w:color w:val="auto"/>
          <w:sz w:val="30"/>
          <w:szCs w:val="30"/>
          <w:highlight w:val="none"/>
        </w:rPr>
      </w:pPr>
    </w:p>
    <w:p w14:paraId="01CC3C53">
      <w:pPr>
        <w:widowControl/>
        <w:jc w:val="left"/>
        <w:rPr>
          <w:rFonts w:eastAsia="黑体"/>
          <w:color w:val="auto"/>
          <w:sz w:val="30"/>
          <w:szCs w:val="30"/>
          <w:highlight w:val="none"/>
        </w:rPr>
      </w:pPr>
    </w:p>
    <w:p w14:paraId="2D632EB5">
      <w:pPr>
        <w:widowControl/>
        <w:jc w:val="left"/>
        <w:rPr>
          <w:rFonts w:eastAsia="黑体"/>
          <w:color w:val="auto"/>
          <w:sz w:val="30"/>
          <w:szCs w:val="30"/>
          <w:highlight w:val="none"/>
        </w:rPr>
        <w:sectPr>
          <w:footerReference r:id="rId5" w:type="first"/>
          <w:pgSz w:w="11906" w:h="16838"/>
          <w:pgMar w:top="1417" w:right="1440" w:bottom="1417" w:left="1440" w:header="850" w:footer="850" w:gutter="0"/>
          <w:cols w:space="720" w:num="1"/>
          <w:titlePg/>
          <w:docGrid w:type="lines" w:linePitch="315" w:charSpace="0"/>
        </w:sectPr>
      </w:pPr>
    </w:p>
    <w:p w14:paraId="50599F63">
      <w:pPr>
        <w:pStyle w:val="5"/>
        <w:spacing w:before="0" w:after="0"/>
        <w:jc w:val="center"/>
        <w:rPr>
          <w:rFonts w:ascii="Times New Roman" w:hAnsi="Times New Roman" w:eastAsia="黑体"/>
          <w:b w:val="0"/>
          <w:bCs w:val="0"/>
          <w:color w:val="auto"/>
          <w:highlight w:val="none"/>
        </w:rPr>
      </w:pPr>
      <w:bookmarkStart w:id="146" w:name="_Toc80006099"/>
      <w:bookmarkStart w:id="147" w:name="_Toc80006209"/>
      <w:r>
        <w:rPr>
          <w:rFonts w:ascii="Times New Roman" w:hAnsi="Times New Roman" w:eastAsia="黑体"/>
          <w:b w:val="0"/>
          <w:bCs w:val="0"/>
          <w:color w:val="auto"/>
          <w:highlight w:val="none"/>
        </w:rPr>
        <w:t>第三章  评标办法（经评审的最低投标价法）</w:t>
      </w:r>
      <w:bookmarkEnd w:id="146"/>
      <w:bookmarkEnd w:id="147"/>
    </w:p>
    <w:p w14:paraId="10C47E24">
      <w:pPr>
        <w:spacing w:line="312" w:lineRule="auto"/>
        <w:jc w:val="center"/>
        <w:rPr>
          <w:rFonts w:eastAsia="黑体"/>
          <w:bCs/>
          <w:color w:val="auto"/>
          <w:sz w:val="30"/>
          <w:highlight w:val="none"/>
        </w:rPr>
      </w:pPr>
      <w:r>
        <w:rPr>
          <w:rFonts w:eastAsia="黑体"/>
          <w:bCs/>
          <w:color w:val="auto"/>
          <w:sz w:val="30"/>
          <w:highlight w:val="none"/>
        </w:rPr>
        <w:t>评标办法前附表</w:t>
      </w:r>
      <w:bookmarkEnd w:id="145"/>
    </w:p>
    <w:tbl>
      <w:tblPr>
        <w:tblStyle w:val="40"/>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612"/>
        <w:gridCol w:w="5807"/>
      </w:tblGrid>
      <w:tr w14:paraId="1379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03" w:type="dxa"/>
            <w:noWrap w:val="0"/>
            <w:vAlign w:val="center"/>
          </w:tcPr>
          <w:p w14:paraId="16E67502">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612" w:type="dxa"/>
            <w:noWrap w:val="0"/>
            <w:vAlign w:val="center"/>
          </w:tcPr>
          <w:p w14:paraId="0742B029">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5807" w:type="dxa"/>
            <w:noWrap w:val="0"/>
            <w:vAlign w:val="center"/>
          </w:tcPr>
          <w:p w14:paraId="3F23AF4F">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4ED8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noWrap w:val="0"/>
            <w:vAlign w:val="center"/>
          </w:tcPr>
          <w:p w14:paraId="0B7EB42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8419" w:type="dxa"/>
            <w:gridSpan w:val="2"/>
            <w:noWrap w:val="0"/>
            <w:vAlign w:val="center"/>
          </w:tcPr>
          <w:p w14:paraId="362D5A6C">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 xml:space="preserve">形式评审  </w:t>
            </w:r>
          </w:p>
        </w:tc>
      </w:tr>
      <w:tr w14:paraId="1731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203" w:type="dxa"/>
            <w:vMerge w:val="continue"/>
            <w:noWrap w:val="0"/>
            <w:vAlign w:val="center"/>
          </w:tcPr>
          <w:p w14:paraId="03B53E2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7DA2290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807" w:type="dxa"/>
            <w:noWrap w:val="0"/>
            <w:vAlign w:val="center"/>
          </w:tcPr>
          <w:p w14:paraId="4A232F71">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与营业执照、资质证书、安全生产许可证上的名称一致；省外企业名称与在“湖南省住房和城乡建设网”登记的一致</w:t>
            </w:r>
          </w:p>
        </w:tc>
      </w:tr>
      <w:tr w14:paraId="68AE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14:paraId="0BE4B26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25F6CB7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投标文件</w:t>
            </w:r>
          </w:p>
        </w:tc>
        <w:tc>
          <w:tcPr>
            <w:tcW w:w="5807" w:type="dxa"/>
            <w:noWrap w:val="0"/>
            <w:vAlign w:val="center"/>
          </w:tcPr>
          <w:p w14:paraId="1CA16628">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同一投标人未提交两份以上不同内容的投标文件，但招标文件要求提交备选投标的除外</w:t>
            </w:r>
          </w:p>
        </w:tc>
      </w:tr>
      <w:tr w14:paraId="5DB4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14:paraId="15BFFA3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5C4D94C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5807" w:type="dxa"/>
            <w:noWrap w:val="0"/>
            <w:vAlign w:val="center"/>
          </w:tcPr>
          <w:p w14:paraId="45679406">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同一投标人未提交两份以上不同内容的投标报价，但招标文件要求提交备选投标的除外</w:t>
            </w:r>
          </w:p>
        </w:tc>
      </w:tr>
      <w:tr w14:paraId="6A32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14:paraId="740E55F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46A8AC7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法定代表人身份证明</w:t>
            </w:r>
          </w:p>
        </w:tc>
        <w:tc>
          <w:tcPr>
            <w:tcW w:w="5807" w:type="dxa"/>
            <w:noWrap w:val="0"/>
            <w:vAlign w:val="center"/>
          </w:tcPr>
          <w:p w14:paraId="23DE169C">
            <w:pPr>
              <w:keepNext w:val="0"/>
              <w:keepLines w:val="0"/>
              <w:suppressLineNumbers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提交盖投标人单位章的法定代表人身份证明</w:t>
            </w:r>
          </w:p>
        </w:tc>
      </w:tr>
      <w:tr w14:paraId="6140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noWrap w:val="0"/>
            <w:vAlign w:val="center"/>
          </w:tcPr>
          <w:p w14:paraId="7E56C34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2395910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授权委托书（如有）</w:t>
            </w:r>
          </w:p>
        </w:tc>
        <w:tc>
          <w:tcPr>
            <w:tcW w:w="5807" w:type="dxa"/>
            <w:noWrap w:val="0"/>
            <w:vAlign w:val="center"/>
          </w:tcPr>
          <w:p w14:paraId="518538A2">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提交法定代表人签字或盖章的授权委托书</w:t>
            </w:r>
          </w:p>
        </w:tc>
      </w:tr>
      <w:tr w14:paraId="1682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03" w:type="dxa"/>
            <w:vMerge w:val="continue"/>
            <w:noWrap w:val="0"/>
            <w:vAlign w:val="center"/>
          </w:tcPr>
          <w:p w14:paraId="699B933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4E9758A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default" w:ascii="宋体" w:hAnsi="宋体" w:cs="宋体"/>
                <w:color w:val="auto"/>
                <w:szCs w:val="21"/>
                <w:highlight w:val="none"/>
              </w:rPr>
              <w:t>共同投标协议</w:t>
            </w:r>
            <w:r>
              <w:rPr>
                <w:rFonts w:hint="eastAsia" w:ascii="宋体" w:hAnsi="宋体" w:cs="宋体"/>
                <w:color w:val="auto"/>
                <w:szCs w:val="21"/>
                <w:highlight w:val="none"/>
                <w:lang w:val="en-US" w:eastAsia="zh-CN"/>
              </w:rPr>
              <w:t>（如有）</w:t>
            </w:r>
          </w:p>
        </w:tc>
        <w:tc>
          <w:tcPr>
            <w:tcW w:w="5807" w:type="dxa"/>
            <w:noWrap w:val="0"/>
            <w:vAlign w:val="center"/>
          </w:tcPr>
          <w:p w14:paraId="442D8AA2">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default" w:ascii="宋体" w:hAnsi="宋体" w:cs="宋体"/>
                <w:color w:val="auto"/>
                <w:szCs w:val="21"/>
                <w:highlight w:val="none"/>
              </w:rPr>
              <w:t>提交共同投标协议，且明确了牵头人</w:t>
            </w:r>
          </w:p>
        </w:tc>
      </w:tr>
      <w:tr w14:paraId="0ECB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03" w:type="dxa"/>
            <w:vMerge w:val="continue"/>
            <w:noWrap w:val="0"/>
            <w:vAlign w:val="center"/>
          </w:tcPr>
          <w:p w14:paraId="37B8573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16E929D7">
            <w:pPr>
              <w:keepNext w:val="0"/>
              <w:keepLines w:val="0"/>
              <w:suppressLineNumbers w:val="0"/>
              <w:snapToGrid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lang w:val="en-US" w:eastAsia="zh-CN"/>
              </w:rPr>
              <w:t>投标文件</w:t>
            </w:r>
            <w:r>
              <w:rPr>
                <w:rFonts w:hint="default" w:ascii="Calibri" w:hAnsi="Calibri" w:cs="Calibri"/>
                <w:color w:val="auto"/>
                <w:szCs w:val="21"/>
                <w:highlight w:val="none"/>
              </w:rPr>
              <w:t>签字盖章</w:t>
            </w:r>
          </w:p>
        </w:tc>
        <w:tc>
          <w:tcPr>
            <w:tcW w:w="5807" w:type="dxa"/>
            <w:noWrap w:val="0"/>
            <w:vAlign w:val="center"/>
          </w:tcPr>
          <w:p w14:paraId="31655F25">
            <w:pPr>
              <w:keepNext w:val="0"/>
              <w:keepLines w:val="0"/>
              <w:suppressLineNumbers w:val="0"/>
              <w:snapToGrid w:val="0"/>
              <w:spacing w:before="0" w:beforeAutospacing="0" w:after="0" w:afterAutospacing="0"/>
              <w:ind w:left="0" w:right="0"/>
              <w:rPr>
                <w:rFonts w:hint="default" w:ascii="Calibri" w:hAnsi="Calibri" w:eastAsia="宋体" w:cs="Calibri"/>
                <w:bCs/>
                <w:color w:val="auto"/>
                <w:highlight w:val="none"/>
                <w:lang w:val="en-US" w:eastAsia="zh-CN"/>
              </w:rPr>
            </w:pPr>
            <w:r>
              <w:rPr>
                <w:rFonts w:hint="eastAsia" w:ascii="Calibri" w:hAnsi="Calibri" w:cs="Calibri"/>
                <w:bCs/>
                <w:color w:val="auto"/>
                <w:highlight w:val="none"/>
                <w:lang w:val="en-US" w:eastAsia="zh-CN"/>
              </w:rPr>
              <w:t>投标文件中的投标函和共同投标协议（如有）</w:t>
            </w:r>
            <w:r>
              <w:rPr>
                <w:rFonts w:hint="default" w:ascii="Calibri" w:hAnsi="Calibri" w:cs="Calibri"/>
                <w:color w:val="auto"/>
                <w:szCs w:val="21"/>
                <w:highlight w:val="none"/>
              </w:rPr>
              <w:t>签字盖章</w:t>
            </w:r>
            <w:r>
              <w:rPr>
                <w:rFonts w:hint="eastAsia" w:ascii="Calibri" w:hAnsi="Calibri" w:cs="Calibri"/>
                <w:color w:val="auto"/>
                <w:szCs w:val="21"/>
                <w:highlight w:val="none"/>
                <w:lang w:val="en-US" w:eastAsia="zh-CN"/>
              </w:rPr>
              <w:t>应符合以下情形之一：</w:t>
            </w:r>
          </w:p>
          <w:p w14:paraId="2F758741">
            <w:pPr>
              <w:keepNext w:val="0"/>
              <w:keepLines w:val="0"/>
              <w:numPr>
                <w:ilvl w:val="0"/>
                <w:numId w:val="0"/>
              </w:numPr>
              <w:suppressLineNumbers w:val="0"/>
              <w:snapToGrid w:val="0"/>
              <w:spacing w:before="0" w:beforeAutospacing="0" w:after="0" w:afterAutospacing="0"/>
              <w:ind w:left="0" w:right="0"/>
              <w:rPr>
                <w:rFonts w:hint="eastAsia" w:ascii="Calibri" w:hAnsi="Calibri" w:cs="Calibri"/>
                <w:color w:val="auto"/>
                <w:szCs w:val="21"/>
                <w:highlight w:val="none"/>
                <w:lang w:val="en-US" w:eastAsia="zh-CN"/>
              </w:rPr>
            </w:pPr>
            <w:r>
              <w:rPr>
                <w:rFonts w:hint="eastAsia" w:ascii="Calibri" w:hAnsi="Calibri" w:cs="Calibri"/>
                <w:color w:val="auto"/>
                <w:kern w:val="2"/>
                <w:sz w:val="21"/>
                <w:szCs w:val="21"/>
                <w:highlight w:val="none"/>
                <w:lang w:val="en-US" w:eastAsia="zh-CN" w:bidi="ar-SA"/>
              </w:rPr>
              <w:t>（1）</w:t>
            </w:r>
            <w:r>
              <w:rPr>
                <w:rFonts w:hint="eastAsia" w:ascii="Calibri" w:hAnsi="Calibri" w:cs="Calibri"/>
                <w:color w:val="auto"/>
                <w:szCs w:val="21"/>
                <w:highlight w:val="none"/>
                <w:lang w:val="en-US" w:eastAsia="zh-CN"/>
              </w:rPr>
              <w:t>盖投标人单位章</w:t>
            </w:r>
          </w:p>
          <w:p w14:paraId="6F83569A">
            <w:pPr>
              <w:keepNext w:val="0"/>
              <w:keepLines w:val="0"/>
              <w:numPr>
                <w:ilvl w:val="0"/>
                <w:numId w:val="0"/>
              </w:numPr>
              <w:suppressLineNumbers w:val="0"/>
              <w:snapToGrid w:val="0"/>
              <w:spacing w:before="0" w:beforeAutospacing="0" w:after="0" w:afterAutospacing="0"/>
              <w:ind w:left="0" w:right="0"/>
              <w:rPr>
                <w:rFonts w:hint="default" w:ascii="Calibri" w:hAnsi="Calibri" w:cs="Calibri"/>
                <w:color w:val="auto"/>
                <w:szCs w:val="21"/>
                <w:highlight w:val="none"/>
                <w:lang w:val="en-US" w:eastAsia="zh-CN"/>
              </w:rPr>
            </w:pPr>
            <w:r>
              <w:rPr>
                <w:rFonts w:hint="default" w:ascii="Calibri" w:hAnsi="Calibri" w:cs="Calibri"/>
                <w:color w:val="auto"/>
                <w:szCs w:val="21"/>
                <w:highlight w:val="none"/>
                <w:lang w:val="en-US" w:eastAsia="zh-CN"/>
              </w:rPr>
              <w:t>（2）法定代表人或其委托代理人签字或盖章</w:t>
            </w:r>
          </w:p>
        </w:tc>
      </w:tr>
      <w:tr w14:paraId="5221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3" w:type="dxa"/>
            <w:vMerge w:val="continue"/>
            <w:noWrap w:val="0"/>
            <w:vAlign w:val="center"/>
          </w:tcPr>
          <w:p w14:paraId="51C7338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2357504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5807" w:type="dxa"/>
            <w:noWrap w:val="0"/>
            <w:vAlign w:val="center"/>
          </w:tcPr>
          <w:p w14:paraId="3646489A">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w:t>
            </w:r>
          </w:p>
        </w:tc>
      </w:tr>
      <w:tr w14:paraId="0A2B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203" w:type="dxa"/>
            <w:vMerge w:val="restart"/>
            <w:noWrap w:val="0"/>
            <w:vAlign w:val="center"/>
          </w:tcPr>
          <w:p w14:paraId="5D59A6E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2.1.2 </w:t>
            </w:r>
          </w:p>
        </w:tc>
        <w:tc>
          <w:tcPr>
            <w:tcW w:w="8419" w:type="dxa"/>
            <w:gridSpan w:val="2"/>
            <w:noWrap w:val="0"/>
            <w:vAlign w:val="center"/>
          </w:tcPr>
          <w:p w14:paraId="1580860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资格评审</w:t>
            </w:r>
          </w:p>
        </w:tc>
      </w:tr>
      <w:tr w14:paraId="4808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14:paraId="437D887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6937E13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5807" w:type="dxa"/>
            <w:noWrap w:val="0"/>
            <w:vAlign w:val="center"/>
          </w:tcPr>
          <w:p w14:paraId="0861D263">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具备有效的营业执照</w:t>
            </w:r>
          </w:p>
        </w:tc>
      </w:tr>
      <w:tr w14:paraId="4581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14:paraId="2705692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35DF2C0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资质等级</w:t>
            </w:r>
          </w:p>
        </w:tc>
        <w:tc>
          <w:tcPr>
            <w:tcW w:w="5807" w:type="dxa"/>
            <w:noWrap w:val="0"/>
            <w:vAlign w:val="center"/>
          </w:tcPr>
          <w:p w14:paraId="78BC65CA">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14:paraId="6092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3" w:type="dxa"/>
            <w:vMerge w:val="continue"/>
            <w:noWrap w:val="0"/>
            <w:vAlign w:val="center"/>
          </w:tcPr>
          <w:p w14:paraId="5AFB065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1C78647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安全生产许可证</w:t>
            </w:r>
          </w:p>
        </w:tc>
        <w:tc>
          <w:tcPr>
            <w:tcW w:w="5807" w:type="dxa"/>
            <w:noWrap w:val="0"/>
            <w:vAlign w:val="center"/>
          </w:tcPr>
          <w:p w14:paraId="5A533AB5">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具备有效的安全生产许可证</w:t>
            </w:r>
          </w:p>
        </w:tc>
      </w:tr>
      <w:tr w14:paraId="7E9D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03" w:type="dxa"/>
            <w:vMerge w:val="continue"/>
            <w:noWrap w:val="0"/>
            <w:vAlign w:val="center"/>
          </w:tcPr>
          <w:p w14:paraId="6D6FD6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7AE216C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拟任项目经理资格</w:t>
            </w:r>
          </w:p>
        </w:tc>
        <w:tc>
          <w:tcPr>
            <w:tcW w:w="5807" w:type="dxa"/>
            <w:noWrap w:val="0"/>
            <w:vAlign w:val="center"/>
          </w:tcPr>
          <w:p w14:paraId="56201190">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14:paraId="075A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14:paraId="77DD202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45942BB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807" w:type="dxa"/>
            <w:noWrap w:val="0"/>
            <w:vAlign w:val="center"/>
          </w:tcPr>
          <w:p w14:paraId="754ECC72">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符合第二章“投标人须知”的规定</w:t>
            </w:r>
          </w:p>
        </w:tc>
      </w:tr>
      <w:tr w14:paraId="632E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03" w:type="dxa"/>
            <w:vMerge w:val="continue"/>
            <w:noWrap w:val="0"/>
            <w:vAlign w:val="center"/>
          </w:tcPr>
          <w:p w14:paraId="591FFAC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612" w:type="dxa"/>
            <w:noWrap w:val="0"/>
            <w:vAlign w:val="center"/>
          </w:tcPr>
          <w:p w14:paraId="5A739B3C">
            <w:pPr>
              <w:keepNext w:val="0"/>
              <w:keepLines w:val="0"/>
              <w:suppressLineNumbers w:val="0"/>
              <w:spacing w:before="0" w:beforeAutospacing="0" w:after="0" w:afterAutospacing="0"/>
              <w:ind w:left="0" w:right="0"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5807" w:type="dxa"/>
            <w:noWrap w:val="0"/>
            <w:vAlign w:val="center"/>
          </w:tcPr>
          <w:p w14:paraId="093436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18CB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1203" w:type="dxa"/>
            <w:vMerge w:val="continue"/>
            <w:noWrap w:val="0"/>
            <w:vAlign w:val="center"/>
          </w:tcPr>
          <w:p w14:paraId="5909E67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19" w:type="dxa"/>
            <w:gridSpan w:val="2"/>
            <w:noWrap w:val="0"/>
            <w:vAlign w:val="center"/>
          </w:tcPr>
          <w:p w14:paraId="7F1A52B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已进行资格预审的，评标委员会一般不再对投标人资格进行评审。投标人资格预审申请文件的内容发生了重大变化的，由评标委员会依据资格预审文件中规定的标准和方法，对照投标人资格预审申请文件中的资料以及开标前更新的资料，对其更新的资料进行评审，其变化后的资格条件不得低于原有资格条件要求。</w:t>
            </w:r>
          </w:p>
          <w:p w14:paraId="0B96CA87">
            <w:pPr>
              <w:keepNext w:val="0"/>
              <w:keepLines w:val="0"/>
              <w:suppressLineNumbers w:val="0"/>
              <w:spacing w:before="0" w:beforeAutospacing="0" w:after="0" w:afterAutospacing="0"/>
              <w:ind w:left="0" w:right="0"/>
              <w:rPr>
                <w:rFonts w:hint="eastAsia" w:ascii="宋体" w:hAnsi="宋体" w:cs="宋体"/>
                <w:strike/>
                <w:color w:val="auto"/>
                <w:szCs w:val="21"/>
                <w:highlight w:val="none"/>
              </w:rPr>
            </w:pPr>
            <w:r>
              <w:rPr>
                <w:rFonts w:hint="eastAsia" w:ascii="宋体" w:hAnsi="宋体" w:cs="宋体"/>
                <w:color w:val="auto"/>
                <w:szCs w:val="21"/>
                <w:highlight w:val="none"/>
              </w:rPr>
              <w:t>2.未进行资格预审的，由评标委员会根据评审标准，对投标人资格进行评审。</w:t>
            </w:r>
          </w:p>
          <w:p w14:paraId="10222A05">
            <w:pPr>
              <w:keepNext w:val="0"/>
              <w:keepLines w:val="0"/>
              <w:suppressLineNumbers w:val="0"/>
              <w:spacing w:before="0" w:beforeAutospacing="0" w:after="0" w:afterAutospacing="0"/>
              <w:ind w:left="0" w:right="0"/>
              <w:rPr>
                <w:rFonts w:hint="eastAsia" w:ascii="宋体" w:hAnsi="宋体" w:cs="宋体"/>
                <w:bCs/>
                <w:color w:val="auto"/>
                <w:szCs w:val="21"/>
                <w:highlight w:val="none"/>
              </w:rPr>
            </w:pPr>
            <w:r>
              <w:rPr>
                <w:rFonts w:hint="eastAsia" w:ascii="宋体" w:hAnsi="宋体" w:cs="宋体"/>
                <w:color w:val="auto"/>
                <w:szCs w:val="21"/>
                <w:highlight w:val="none"/>
              </w:rPr>
              <w:t xml:space="preserve"> </w:t>
            </w:r>
          </w:p>
        </w:tc>
      </w:tr>
    </w:tbl>
    <w:p w14:paraId="147469D4">
      <w:pPr>
        <w:widowControl/>
        <w:jc w:val="left"/>
        <w:rPr>
          <w:color w:val="auto"/>
          <w:highlight w:val="none"/>
        </w:rPr>
        <w:sectPr>
          <w:footerReference r:id="rId7" w:type="first"/>
          <w:footerReference r:id="rId6" w:type="default"/>
          <w:pgSz w:w="11906" w:h="16838"/>
          <w:pgMar w:top="1417" w:right="1553" w:bottom="1417" w:left="1531" w:header="850" w:footer="850" w:gutter="0"/>
          <w:pgNumType w:fmt="decimal"/>
          <w:cols w:space="720" w:num="1"/>
          <w:titlePg/>
          <w:docGrid w:type="lines" w:linePitch="315" w:charSpace="0"/>
        </w:sectPr>
      </w:pPr>
    </w:p>
    <w:p w14:paraId="2ED4CF91">
      <w:pPr>
        <w:widowControl/>
        <w:jc w:val="left"/>
        <w:rPr>
          <w:color w:val="auto"/>
          <w:highlight w:val="none"/>
        </w:rPr>
      </w:pPr>
      <w:r>
        <w:rPr>
          <w:color w:val="auto"/>
          <w:highlight w:val="none"/>
        </w:rPr>
        <w:t>承前页</w:t>
      </w:r>
    </w:p>
    <w:tbl>
      <w:tblPr>
        <w:tblStyle w:val="40"/>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52"/>
        <w:gridCol w:w="4879"/>
        <w:gridCol w:w="15"/>
        <w:gridCol w:w="1200"/>
      </w:tblGrid>
      <w:tr w14:paraId="2682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noWrap w:val="0"/>
            <w:vAlign w:val="center"/>
          </w:tcPr>
          <w:p w14:paraId="13CCF980">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2.2条款号</w:t>
            </w:r>
          </w:p>
        </w:tc>
        <w:tc>
          <w:tcPr>
            <w:tcW w:w="2552" w:type="dxa"/>
            <w:noWrap w:val="0"/>
            <w:vAlign w:val="center"/>
          </w:tcPr>
          <w:p w14:paraId="43CBCDE6">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6094" w:type="dxa"/>
            <w:gridSpan w:val="3"/>
            <w:noWrap w:val="0"/>
            <w:vAlign w:val="center"/>
          </w:tcPr>
          <w:p w14:paraId="615AFC1F">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r>
      <w:tr w14:paraId="64D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7" w:type="dxa"/>
            <w:vMerge w:val="restart"/>
            <w:noWrap w:val="0"/>
            <w:vAlign w:val="center"/>
          </w:tcPr>
          <w:p w14:paraId="305E24E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8646" w:type="dxa"/>
            <w:gridSpan w:val="4"/>
            <w:noWrap w:val="0"/>
            <w:vAlign w:val="center"/>
          </w:tcPr>
          <w:p w14:paraId="29648802">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响应性评审</w:t>
            </w:r>
          </w:p>
        </w:tc>
      </w:tr>
      <w:tr w14:paraId="7116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14:paraId="64A1EFF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6EA4E49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6094" w:type="dxa"/>
            <w:gridSpan w:val="3"/>
            <w:noWrap w:val="0"/>
            <w:vAlign w:val="center"/>
          </w:tcPr>
          <w:p w14:paraId="370D7E28">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投标文件载明的投标范围不小于招标文件规定的招标范围</w:t>
            </w:r>
          </w:p>
        </w:tc>
      </w:tr>
      <w:tr w14:paraId="5BCF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Merge w:val="continue"/>
            <w:noWrap w:val="0"/>
            <w:vAlign w:val="center"/>
          </w:tcPr>
          <w:p w14:paraId="41F4E9E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2361E1A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094" w:type="dxa"/>
            <w:gridSpan w:val="3"/>
            <w:noWrap w:val="0"/>
            <w:vAlign w:val="center"/>
          </w:tcPr>
          <w:p w14:paraId="50C400A2">
            <w:pPr>
              <w:keepNext w:val="0"/>
              <w:keepLines w:val="0"/>
              <w:suppressLineNumbers w:val="0"/>
              <w:adjustRightInd/>
              <w:snapToGrid/>
              <w:spacing w:before="0" w:beforeAutospacing="0" w:after="0" w:afterAutospacing="0" w:line="240" w:lineRule="auto"/>
              <w:ind w:left="0" w:right="0" w:firstLine="0" w:firstLineChars="0"/>
              <w:rPr>
                <w:rFonts w:hint="eastAsia" w:ascii="Calibri" w:hAnsi="Calibri" w:cs="Calibri"/>
                <w:color w:val="auto"/>
                <w:szCs w:val="21"/>
                <w:highlight w:val="none"/>
                <w:lang w:eastAsia="zh-CN"/>
              </w:rPr>
            </w:pPr>
            <w:r>
              <w:rPr>
                <w:rFonts w:hint="default" w:ascii="Calibri" w:hAnsi="Calibri" w:cs="Calibri"/>
                <w:color w:val="auto"/>
                <w:szCs w:val="21"/>
                <w:highlight w:val="none"/>
              </w:rPr>
              <w:t>投标报价未超过招标文件规定的最高投标限价</w:t>
            </w:r>
            <w:r>
              <w:rPr>
                <w:rFonts w:hint="eastAsia" w:ascii="Calibri" w:hAnsi="Calibri" w:cs="Calibri"/>
                <w:color w:val="auto"/>
                <w:szCs w:val="21"/>
                <w:highlight w:val="none"/>
                <w:lang w:eastAsia="zh-CN"/>
              </w:rPr>
              <w:t>；</w:t>
            </w:r>
          </w:p>
          <w:p w14:paraId="3F2C8CA1">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bCs w:val="0"/>
                <w:color w:val="auto"/>
                <w:highlight w:val="none"/>
                <w:lang w:eastAsia="zh-CN"/>
              </w:rPr>
            </w:pPr>
            <w:r>
              <w:rPr>
                <w:rFonts w:hint="eastAsia" w:ascii="Times New Roman" w:hAnsi="Times New Roman" w:eastAsia="宋体" w:cs="Times New Roman"/>
                <w:bCs w:val="0"/>
                <w:color w:val="auto"/>
                <w:highlight w:val="none"/>
              </w:rPr>
              <w:t>投标报价中的绿色施工安全防护措施项目费按照省住房城乡建设主管部门的规定计算</w:t>
            </w:r>
            <w:r>
              <w:rPr>
                <w:rFonts w:hint="eastAsia" w:ascii="Times New Roman" w:hAnsi="Times New Roman" w:eastAsia="宋体" w:cs="Times New Roman"/>
                <w:bCs w:val="0"/>
                <w:color w:val="auto"/>
                <w:highlight w:val="none"/>
                <w:lang w:eastAsia="zh-CN"/>
              </w:rPr>
              <w:t>；</w:t>
            </w:r>
          </w:p>
          <w:p w14:paraId="4062E38D">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bCs w:val="0"/>
                <w:color w:val="auto"/>
                <w:highlight w:val="none"/>
                <w:lang w:eastAsia="zh-CN"/>
              </w:rPr>
            </w:pPr>
            <w:r>
              <w:rPr>
                <w:rFonts w:hint="eastAsia" w:ascii="Times New Roman" w:hAnsi="Times New Roman" w:eastAsia="宋体" w:cs="Times New Roman"/>
                <w:bCs w:val="0"/>
                <w:color w:val="auto"/>
                <w:highlight w:val="none"/>
              </w:rPr>
              <w:t>投标报价中的安全责任险按照省住房城乡建设主管部门的规定计算</w:t>
            </w:r>
            <w:r>
              <w:rPr>
                <w:rFonts w:hint="eastAsia" w:ascii="Times New Roman" w:hAnsi="Times New Roman" w:eastAsia="宋体" w:cs="Times New Roman"/>
                <w:bCs w:val="0"/>
                <w:color w:val="auto"/>
                <w:highlight w:val="none"/>
                <w:lang w:eastAsia="zh-CN"/>
              </w:rPr>
              <w:t>；</w:t>
            </w:r>
          </w:p>
          <w:p w14:paraId="30008BBC">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Cs w:val="0"/>
                <w:color w:val="auto"/>
                <w:highlight w:val="none"/>
              </w:rPr>
              <w:t>投标报价中的环境保护税按照省住房城乡建设主管部门的规定计算</w:t>
            </w:r>
            <w:r>
              <w:rPr>
                <w:rFonts w:hint="eastAsia" w:ascii="Times New Roman" w:hAnsi="Times New Roman" w:eastAsia="宋体" w:cs="Times New Roman"/>
                <w:bCs w:val="0"/>
                <w:color w:val="auto"/>
                <w:highlight w:val="none"/>
                <w:lang w:eastAsia="zh-CN"/>
              </w:rPr>
              <w:t>；</w:t>
            </w:r>
          </w:p>
          <w:p w14:paraId="04A70075">
            <w:pPr>
              <w:keepNext w:val="0"/>
              <w:keepLines w:val="0"/>
              <w:suppressLineNumbers w:val="0"/>
              <w:adjustRightInd/>
              <w:snapToGrid/>
              <w:spacing w:before="0" w:beforeAutospacing="0" w:after="0" w:afterAutospacing="0" w:line="240" w:lineRule="auto"/>
              <w:ind w:left="0" w:right="0" w:firstLine="0" w:firstLineChars="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bCs w:val="0"/>
                <w:color w:val="auto"/>
                <w:highlight w:val="none"/>
              </w:rPr>
              <w:t>投标报价中的增值税按照政府有关主管部门的规定计算费用</w:t>
            </w:r>
            <w:r>
              <w:rPr>
                <w:rFonts w:hint="eastAsia" w:ascii="Times New Roman" w:hAnsi="Times New Roman" w:eastAsia="宋体" w:cs="Times New Roman"/>
                <w:bCs w:val="0"/>
                <w:color w:val="auto"/>
                <w:highlight w:val="none"/>
                <w:lang w:eastAsia="zh-CN"/>
              </w:rPr>
              <w:t>；</w:t>
            </w:r>
          </w:p>
          <w:p w14:paraId="240F9784">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Times New Roman" w:hAnsi="Times New Roman" w:eastAsia="宋体" w:cs="Times New Roman"/>
                <w:bCs w:val="0"/>
                <w:color w:val="auto"/>
                <w:highlight w:val="none"/>
              </w:rPr>
              <w:t>投标报价中的暂估价或暂列金额与招标人公布的暂估价或暂列金额保持一致的。</w:t>
            </w:r>
          </w:p>
        </w:tc>
      </w:tr>
      <w:tr w14:paraId="328D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14:paraId="19DBE26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04838D9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6094" w:type="dxa"/>
            <w:gridSpan w:val="3"/>
            <w:noWrap w:val="0"/>
            <w:vAlign w:val="center"/>
          </w:tcPr>
          <w:p w14:paraId="575095AC">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投标文件载明的招标项目完成期限未超过招标文件要求的期限</w:t>
            </w:r>
          </w:p>
        </w:tc>
      </w:tr>
      <w:tr w14:paraId="0725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14:paraId="40C062B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2705BA1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工程质量和保修</w:t>
            </w:r>
          </w:p>
        </w:tc>
        <w:tc>
          <w:tcPr>
            <w:tcW w:w="6094" w:type="dxa"/>
            <w:gridSpan w:val="3"/>
            <w:noWrap w:val="0"/>
            <w:vAlign w:val="center"/>
          </w:tcPr>
          <w:p w14:paraId="38B7F6D2">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kern w:val="0"/>
                <w:szCs w:val="21"/>
                <w:highlight w:val="none"/>
              </w:rPr>
              <w:t>投标文件载明的质量标准</w:t>
            </w:r>
            <w:r>
              <w:rPr>
                <w:rFonts w:hint="eastAsia" w:ascii="宋体" w:hAnsi="宋体" w:cs="宋体"/>
                <w:color w:val="auto"/>
                <w:kern w:val="0"/>
                <w:szCs w:val="21"/>
                <w:highlight w:val="none"/>
                <w:lang w:val="en-US" w:eastAsia="zh-CN"/>
              </w:rPr>
              <w:t>和</w:t>
            </w:r>
            <w:r>
              <w:rPr>
                <w:rFonts w:hint="eastAsia" w:ascii="宋体" w:hAnsi="宋体" w:cs="宋体"/>
                <w:color w:val="auto"/>
                <w:kern w:val="0"/>
                <w:szCs w:val="21"/>
                <w:highlight w:val="none"/>
              </w:rPr>
              <w:t>保修承诺不低于招标文件的要求</w:t>
            </w:r>
          </w:p>
        </w:tc>
      </w:tr>
      <w:tr w14:paraId="282D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14:paraId="3B2E978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55BAB6E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Calibri" w:hAnsi="Calibri" w:cs="Calibri"/>
                <w:color w:val="auto"/>
                <w:szCs w:val="21"/>
                <w:highlight w:val="none"/>
              </w:rPr>
              <w:t>省外入湘企业基本信息登记</w:t>
            </w:r>
          </w:p>
        </w:tc>
        <w:tc>
          <w:tcPr>
            <w:tcW w:w="6094" w:type="dxa"/>
            <w:gridSpan w:val="3"/>
            <w:noWrap w:val="0"/>
            <w:vAlign w:val="center"/>
          </w:tcPr>
          <w:p w14:paraId="23BC6C59">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Calibri" w:hAnsi="Calibri" w:cs="Calibri"/>
                <w:color w:val="auto"/>
                <w:szCs w:val="21"/>
                <w:highlight w:val="none"/>
              </w:rPr>
              <w:t>符合第二章“投标人须知”的规定</w:t>
            </w:r>
          </w:p>
        </w:tc>
      </w:tr>
      <w:tr w14:paraId="3A7A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87" w:type="dxa"/>
            <w:vMerge w:val="continue"/>
            <w:noWrap w:val="0"/>
            <w:vAlign w:val="center"/>
          </w:tcPr>
          <w:p w14:paraId="7B7CC1F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2D874A89">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Times New Roman" w:hAnsi="Times New Roman" w:eastAsia="宋体" w:cs="Times New Roman"/>
                <w:bCs/>
                <w:color w:val="auto"/>
                <w:szCs w:val="21"/>
                <w:highlight w:val="none"/>
              </w:rPr>
              <w:t>拟任</w:t>
            </w:r>
            <w:r>
              <w:rPr>
                <w:rFonts w:hint="eastAsia" w:ascii="Times New Roman" w:hAnsi="Times New Roman" w:eastAsia="宋体" w:cs="Times New Roman"/>
                <w:bCs/>
                <w:color w:val="auto"/>
                <w:szCs w:val="21"/>
                <w:highlight w:val="none"/>
                <w:lang w:val="en-US" w:eastAsia="zh-CN"/>
              </w:rPr>
              <w:t>项目经理</w:t>
            </w:r>
            <w:r>
              <w:rPr>
                <w:rFonts w:hint="eastAsia" w:ascii="Times New Roman" w:hAnsi="Times New Roman" w:eastAsia="宋体" w:cs="Times New Roman"/>
                <w:bCs/>
                <w:color w:val="auto"/>
                <w:szCs w:val="21"/>
                <w:highlight w:val="none"/>
              </w:rPr>
              <w:t>在建情况</w:t>
            </w:r>
          </w:p>
        </w:tc>
        <w:tc>
          <w:tcPr>
            <w:tcW w:w="6094" w:type="dxa"/>
            <w:gridSpan w:val="3"/>
            <w:noWrap w:val="0"/>
            <w:vAlign w:val="center"/>
          </w:tcPr>
          <w:p w14:paraId="75A250CD">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符合第二章“投标人须知”的规定</w:t>
            </w:r>
          </w:p>
        </w:tc>
      </w:tr>
      <w:tr w14:paraId="7397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087" w:type="dxa"/>
            <w:vMerge w:val="continue"/>
            <w:noWrap w:val="0"/>
            <w:vAlign w:val="center"/>
          </w:tcPr>
          <w:p w14:paraId="6E53ECC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79C50BBB">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投标保证</w:t>
            </w:r>
          </w:p>
        </w:tc>
        <w:tc>
          <w:tcPr>
            <w:tcW w:w="6094" w:type="dxa"/>
            <w:gridSpan w:val="3"/>
            <w:noWrap w:val="0"/>
            <w:vAlign w:val="center"/>
          </w:tcPr>
          <w:p w14:paraId="41A1DA20">
            <w:pPr>
              <w:keepNext w:val="0"/>
              <w:keepLines w:val="0"/>
              <w:suppressLineNumbers w:val="0"/>
              <w:spacing w:before="0" w:beforeAutospacing="0" w:after="0" w:afterAutospacing="0"/>
              <w:ind w:left="0" w:right="0"/>
              <w:rPr>
                <w:rFonts w:hint="eastAsia" w:ascii="Calibri" w:hAnsi="Calibri" w:cs="Calibri"/>
                <w:color w:val="auto"/>
                <w:szCs w:val="21"/>
                <w:highlight w:val="none"/>
              </w:rPr>
            </w:pPr>
            <w:r>
              <w:rPr>
                <w:rFonts w:hint="eastAsia" w:ascii="Calibri" w:hAnsi="Calibri" w:cs="Calibri"/>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14:paraId="7428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14:paraId="53ED14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73F9777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094" w:type="dxa"/>
            <w:gridSpan w:val="3"/>
            <w:noWrap w:val="0"/>
            <w:vAlign w:val="center"/>
          </w:tcPr>
          <w:p w14:paraId="5472557C">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投标有效期不短于投标人须知前附表的</w:t>
            </w:r>
            <w:r>
              <w:rPr>
                <w:rFonts w:hint="eastAsia" w:ascii="宋体" w:hAnsi="宋体" w:cs="宋体"/>
                <w:color w:val="auto"/>
                <w:kern w:val="0"/>
                <w:szCs w:val="21"/>
                <w:highlight w:val="none"/>
              </w:rPr>
              <w:t>规定</w:t>
            </w:r>
          </w:p>
        </w:tc>
      </w:tr>
      <w:tr w14:paraId="3F56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vMerge w:val="continue"/>
            <w:noWrap w:val="0"/>
            <w:vAlign w:val="center"/>
          </w:tcPr>
          <w:p w14:paraId="70173D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2974F8F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权利义务</w:t>
            </w:r>
          </w:p>
        </w:tc>
        <w:tc>
          <w:tcPr>
            <w:tcW w:w="6094" w:type="dxa"/>
            <w:gridSpan w:val="3"/>
            <w:noWrap w:val="0"/>
            <w:vAlign w:val="center"/>
          </w:tcPr>
          <w:p w14:paraId="506D891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符合第四章“合同条款及格式”规定</w:t>
            </w:r>
          </w:p>
        </w:tc>
      </w:tr>
      <w:tr w14:paraId="1730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87" w:type="dxa"/>
            <w:vMerge w:val="continue"/>
            <w:noWrap w:val="0"/>
            <w:vAlign w:val="center"/>
          </w:tcPr>
          <w:p w14:paraId="63D6F1D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noWrap w:val="0"/>
            <w:vAlign w:val="center"/>
          </w:tcPr>
          <w:p w14:paraId="4F83302F">
            <w:pPr>
              <w:keepNext w:val="0"/>
              <w:keepLines w:val="0"/>
              <w:suppressLineNumbers w:val="0"/>
              <w:spacing w:before="0" w:beforeAutospacing="0" w:after="0" w:afterAutospacing="0"/>
              <w:ind w:left="0" w:right="0" w:firstLine="1260" w:firstLineChars="600"/>
              <w:rPr>
                <w:rFonts w:hint="eastAsia" w:ascii="宋体" w:hAnsi="宋体" w:cs="宋体"/>
                <w:color w:val="auto"/>
                <w:szCs w:val="21"/>
                <w:highlight w:val="none"/>
              </w:rPr>
            </w:pPr>
            <w:r>
              <w:rPr>
                <w:rFonts w:hint="eastAsia" w:ascii="宋体" w:hAnsi="宋体" w:cs="宋体"/>
                <w:color w:val="auto"/>
                <w:szCs w:val="21"/>
                <w:highlight w:val="none"/>
              </w:rPr>
              <w:t>……</w:t>
            </w:r>
          </w:p>
        </w:tc>
        <w:tc>
          <w:tcPr>
            <w:tcW w:w="6094" w:type="dxa"/>
            <w:gridSpan w:val="3"/>
            <w:noWrap w:val="0"/>
            <w:vAlign w:val="center"/>
          </w:tcPr>
          <w:p w14:paraId="3B7775B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4683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87" w:type="dxa"/>
            <w:noWrap w:val="0"/>
            <w:vAlign w:val="center"/>
          </w:tcPr>
          <w:p w14:paraId="11604A6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552" w:type="dxa"/>
            <w:noWrap w:val="0"/>
            <w:vAlign w:val="center"/>
          </w:tcPr>
          <w:p w14:paraId="4DEC9CBC">
            <w:pPr>
              <w:keepNext w:val="0"/>
              <w:keepLines w:val="0"/>
              <w:suppressLineNumbers w:val="0"/>
              <w:spacing w:before="0" w:beforeAutospacing="0" w:after="0" w:afterAutospacing="0"/>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6094" w:type="dxa"/>
            <w:gridSpan w:val="3"/>
            <w:noWrap w:val="0"/>
            <w:vAlign w:val="center"/>
          </w:tcPr>
          <w:p w14:paraId="40125C2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14:paraId="580E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87" w:type="dxa"/>
            <w:noWrap w:val="0"/>
            <w:vAlign w:val="center"/>
          </w:tcPr>
          <w:p w14:paraId="6F35F93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552" w:type="dxa"/>
            <w:noWrap w:val="0"/>
            <w:vAlign w:val="center"/>
          </w:tcPr>
          <w:p w14:paraId="0CC0E0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权值构成</w:t>
            </w:r>
          </w:p>
          <w:p w14:paraId="1B46948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（总权值1）</w:t>
            </w:r>
          </w:p>
        </w:tc>
        <w:tc>
          <w:tcPr>
            <w:tcW w:w="6094" w:type="dxa"/>
            <w:gridSpan w:val="3"/>
            <w:noWrap w:val="0"/>
            <w:vAlign w:val="center"/>
          </w:tcPr>
          <w:p w14:paraId="5CBA2706">
            <w:pPr>
              <w:keepNext w:val="0"/>
              <w:keepLines w:val="0"/>
              <w:suppressLineNumbers w:val="0"/>
              <w:spacing w:before="0" w:beforeAutospacing="0" w:after="0" w:afterAutospacing="0"/>
              <w:ind w:left="0" w:right="0"/>
              <w:rPr>
                <w:rFonts w:hint="eastAsia" w:ascii="Calibri" w:hAnsi="Calibri" w:cs="Calibri"/>
                <w:color w:val="auto"/>
                <w:highlight w:val="none"/>
              </w:rPr>
            </w:pPr>
            <w:r>
              <w:rPr>
                <w:rFonts w:hint="eastAsia" w:ascii="Calibri" w:hAnsi="Calibri" w:cs="Calibri"/>
                <w:color w:val="auto"/>
                <w:highlight w:val="none"/>
              </w:rPr>
              <w:t>业绩及信用评价权重（取值范围：0.</w:t>
            </w:r>
            <w:r>
              <w:rPr>
                <w:rFonts w:hint="eastAsia" w:ascii="Calibri" w:hAnsi="Calibri" w:cs="Calibri"/>
                <w:color w:val="auto"/>
                <w:highlight w:val="none"/>
                <w:lang w:val="en-US" w:eastAsia="zh-CN"/>
              </w:rPr>
              <w:t>1</w:t>
            </w:r>
            <w:r>
              <w:rPr>
                <w:rFonts w:hint="eastAsia" w:ascii="Calibri" w:hAnsi="Calibri" w:cs="Calibri"/>
                <w:color w:val="auto"/>
                <w:highlight w:val="none"/>
              </w:rPr>
              <w:t>5-0.</w:t>
            </w:r>
            <w:r>
              <w:rPr>
                <w:rFonts w:hint="eastAsia" w:ascii="Calibri" w:hAnsi="Calibri" w:cs="Calibri"/>
                <w:color w:val="auto"/>
                <w:highlight w:val="none"/>
                <w:lang w:val="en-US" w:eastAsia="zh-CN"/>
              </w:rPr>
              <w:t>3</w:t>
            </w:r>
            <w:r>
              <w:rPr>
                <w:rFonts w:hint="eastAsia" w:ascii="Calibri" w:hAnsi="Calibri" w:cs="Calibri"/>
                <w:color w:val="auto"/>
                <w:highlight w:val="none"/>
              </w:rPr>
              <w:t>0）：</w:t>
            </w:r>
            <w:r>
              <w:rPr>
                <w:rFonts w:hint="eastAsia" w:ascii="仿宋" w:hAnsi="仿宋" w:eastAsia="仿宋" w:cs="仿宋"/>
                <w:b w:val="0"/>
                <w:bCs w:val="0"/>
                <w:sz w:val="24"/>
                <w:szCs w:val="24"/>
                <w:u w:val="single"/>
                <w:lang w:val="en-US" w:eastAsia="zh-CN"/>
              </w:rPr>
              <w:t xml:space="preserve"> 0.3  </w:t>
            </w:r>
          </w:p>
          <w:p w14:paraId="611062F5">
            <w:pPr>
              <w:keepNext w:val="0"/>
              <w:keepLines w:val="0"/>
              <w:suppressLineNumbers w:val="0"/>
              <w:spacing w:before="0" w:beforeAutospacing="0" w:after="0" w:afterAutospacing="0"/>
              <w:ind w:left="0" w:right="0"/>
              <w:rPr>
                <w:rFonts w:hint="default" w:ascii="Calibri" w:hAnsi="Calibri" w:eastAsia="宋体" w:cs="Calibri"/>
                <w:color w:val="auto"/>
                <w:highlight w:val="none"/>
                <w:lang w:val="en-US" w:eastAsia="zh-CN"/>
              </w:rPr>
            </w:pPr>
            <w:r>
              <w:rPr>
                <w:rFonts w:hint="eastAsia" w:ascii="Calibri" w:hAnsi="Calibri" w:cs="Calibri"/>
                <w:color w:val="auto"/>
                <w:highlight w:val="none"/>
              </w:rPr>
              <w:t>投标报价权重（取值范围：0.</w:t>
            </w:r>
            <w:r>
              <w:rPr>
                <w:rFonts w:hint="eastAsia" w:ascii="Calibri" w:hAnsi="Calibri" w:cs="Calibri"/>
                <w:color w:val="auto"/>
                <w:highlight w:val="none"/>
                <w:lang w:val="en-US" w:eastAsia="zh-CN"/>
              </w:rPr>
              <w:t>7</w:t>
            </w:r>
            <w:r>
              <w:rPr>
                <w:rFonts w:hint="eastAsia" w:ascii="Calibri" w:hAnsi="Calibri" w:cs="Calibri"/>
                <w:color w:val="auto"/>
                <w:highlight w:val="none"/>
              </w:rPr>
              <w:t>0-0.</w:t>
            </w:r>
            <w:r>
              <w:rPr>
                <w:rFonts w:hint="eastAsia" w:ascii="Calibri" w:hAnsi="Calibri" w:cs="Calibri"/>
                <w:color w:val="auto"/>
                <w:highlight w:val="none"/>
                <w:lang w:val="en-US" w:eastAsia="zh-CN"/>
              </w:rPr>
              <w:t>8</w:t>
            </w:r>
            <w:r>
              <w:rPr>
                <w:rFonts w:hint="eastAsia" w:ascii="Calibri" w:hAnsi="Calibri" w:cs="Calibri"/>
                <w:color w:val="auto"/>
                <w:highlight w:val="none"/>
              </w:rPr>
              <w:t>5）：</w:t>
            </w:r>
            <w:r>
              <w:rPr>
                <w:rFonts w:hint="eastAsia" w:ascii="仿宋" w:hAnsi="仿宋" w:eastAsia="仿宋" w:cs="仿宋"/>
                <w:b w:val="0"/>
                <w:bCs w:val="0"/>
                <w:sz w:val="24"/>
                <w:szCs w:val="24"/>
                <w:u w:val="single"/>
                <w:lang w:val="en-US" w:eastAsia="zh-CN"/>
              </w:rPr>
              <w:t xml:space="preserve">  0.7  </w:t>
            </w:r>
          </w:p>
        </w:tc>
      </w:tr>
      <w:tr w14:paraId="343E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noWrap w:val="0"/>
            <w:vAlign w:val="center"/>
          </w:tcPr>
          <w:p w14:paraId="2119B0CC">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552" w:type="dxa"/>
            <w:noWrap w:val="0"/>
            <w:vAlign w:val="center"/>
          </w:tcPr>
          <w:p w14:paraId="1EFD9C7F">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4879" w:type="dxa"/>
            <w:noWrap w:val="0"/>
            <w:vAlign w:val="center"/>
          </w:tcPr>
          <w:p w14:paraId="59DB4B86">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1215" w:type="dxa"/>
            <w:gridSpan w:val="2"/>
            <w:noWrap w:val="0"/>
            <w:vAlign w:val="center"/>
          </w:tcPr>
          <w:p w14:paraId="1DCB7AB6">
            <w:pPr>
              <w:keepNext w:val="0"/>
              <w:keepLines w:val="0"/>
              <w:suppressLineNumbers w:val="0"/>
              <w:spacing w:before="0" w:beforeAutospacing="0" w:after="0" w:afterAutospacing="0"/>
              <w:ind w:left="0" w:right="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评审结果</w:t>
            </w:r>
          </w:p>
        </w:tc>
      </w:tr>
      <w:tr w14:paraId="5726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87" w:type="dxa"/>
            <w:vMerge w:val="restart"/>
            <w:noWrap w:val="0"/>
            <w:vAlign w:val="center"/>
          </w:tcPr>
          <w:p w14:paraId="302243B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209A6BE8">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（1）</w:t>
            </w:r>
          </w:p>
        </w:tc>
        <w:tc>
          <w:tcPr>
            <w:tcW w:w="8646" w:type="dxa"/>
            <w:gridSpan w:val="4"/>
            <w:noWrap w:val="0"/>
            <w:vAlign w:val="center"/>
          </w:tcPr>
          <w:p w14:paraId="7F7C8A42">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color w:val="auto"/>
                <w:szCs w:val="21"/>
                <w:highlight w:val="none"/>
              </w:rPr>
              <w:t>施工组织设计（采用合格性评审方式）</w:t>
            </w:r>
          </w:p>
        </w:tc>
      </w:tr>
      <w:tr w14:paraId="52E1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14:paraId="1495B57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14:paraId="2F56D56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施工方案与技术措施</w:t>
            </w:r>
          </w:p>
        </w:tc>
        <w:tc>
          <w:tcPr>
            <w:tcW w:w="4894" w:type="dxa"/>
            <w:gridSpan w:val="2"/>
            <w:noWrap w:val="0"/>
            <w:vAlign w:val="center"/>
          </w:tcPr>
          <w:p w14:paraId="3B562565">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1.施工方案不完整，且缺少关键项目施工技术方案；或者市政项目缺少交通措施（除招标文件明确不需要外）；缺少建筑垃圾现场减量、分类处置、扬尘污染防治等相关内容；</w:t>
            </w:r>
          </w:p>
          <w:p w14:paraId="041B6F8B">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14:paraId="7BFA057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14:paraId="11C7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87" w:type="dxa"/>
            <w:vMerge w:val="continue"/>
            <w:noWrap w:val="0"/>
            <w:vAlign w:val="center"/>
          </w:tcPr>
          <w:p w14:paraId="090B68B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14:paraId="58FA6EE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14:paraId="492CADD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14:paraId="63B9F9F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14:paraId="43EB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14:paraId="1BB0B3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14:paraId="0BC2B98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质量管理体系与措施</w:t>
            </w:r>
          </w:p>
        </w:tc>
        <w:tc>
          <w:tcPr>
            <w:tcW w:w="4894" w:type="dxa"/>
            <w:gridSpan w:val="2"/>
            <w:noWrap w:val="0"/>
            <w:vAlign w:val="center"/>
          </w:tcPr>
          <w:p w14:paraId="5207C864">
            <w:pPr>
              <w:keepNext w:val="0"/>
              <w:keepLines w:val="0"/>
              <w:suppressLineNumbers w:val="0"/>
              <w:tabs>
                <w:tab w:val="left" w:pos="312"/>
              </w:tabs>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1.质量目标不满足招标文件要求，缺少质量保证措施</w:t>
            </w:r>
          </w:p>
          <w:p w14:paraId="5ACEAD2A">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14:paraId="2B8EEE1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14:paraId="746C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87" w:type="dxa"/>
            <w:vMerge w:val="continue"/>
            <w:noWrap w:val="0"/>
            <w:vAlign w:val="center"/>
          </w:tcPr>
          <w:p w14:paraId="1D7CDA4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14:paraId="330E572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14:paraId="2D57F74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14:paraId="40FD65B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14:paraId="098C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7" w:type="dxa"/>
            <w:vMerge w:val="continue"/>
            <w:noWrap w:val="0"/>
            <w:vAlign w:val="center"/>
          </w:tcPr>
          <w:p w14:paraId="2053560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restart"/>
            <w:noWrap w:val="0"/>
            <w:vAlign w:val="center"/>
          </w:tcPr>
          <w:p w14:paraId="730216F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安全管理体系与措施</w:t>
            </w:r>
          </w:p>
        </w:tc>
        <w:tc>
          <w:tcPr>
            <w:tcW w:w="4894" w:type="dxa"/>
            <w:gridSpan w:val="2"/>
            <w:noWrap w:val="0"/>
            <w:vAlign w:val="center"/>
          </w:tcPr>
          <w:p w14:paraId="303CEF58">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1.安全目标不满足招标文件要求，缺少重大危险源识别和控制，缺少施工安全措施；</w:t>
            </w:r>
          </w:p>
          <w:p w14:paraId="1B7E2915">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2.引用强制性技术标准错误，或明显违反国家和省有关规定</w:t>
            </w:r>
          </w:p>
        </w:tc>
        <w:tc>
          <w:tcPr>
            <w:tcW w:w="1200" w:type="dxa"/>
            <w:noWrap w:val="0"/>
            <w:vAlign w:val="center"/>
          </w:tcPr>
          <w:p w14:paraId="28FAC2E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不合格</w:t>
            </w:r>
          </w:p>
        </w:tc>
      </w:tr>
      <w:tr w14:paraId="02D1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87" w:type="dxa"/>
            <w:vMerge w:val="continue"/>
            <w:noWrap w:val="0"/>
            <w:vAlign w:val="center"/>
          </w:tcPr>
          <w:p w14:paraId="0755FEE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552" w:type="dxa"/>
            <w:vMerge w:val="continue"/>
            <w:noWrap w:val="0"/>
            <w:vAlign w:val="center"/>
          </w:tcPr>
          <w:p w14:paraId="4CCD3FC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94" w:type="dxa"/>
            <w:gridSpan w:val="2"/>
            <w:noWrap w:val="0"/>
            <w:vAlign w:val="center"/>
          </w:tcPr>
          <w:p w14:paraId="7F7BA7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无不合格内容</w:t>
            </w:r>
          </w:p>
        </w:tc>
        <w:tc>
          <w:tcPr>
            <w:tcW w:w="1200" w:type="dxa"/>
            <w:noWrap w:val="0"/>
            <w:vAlign w:val="center"/>
          </w:tcPr>
          <w:p w14:paraId="0F205B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  格</w:t>
            </w:r>
          </w:p>
        </w:tc>
      </w:tr>
      <w:tr w14:paraId="0893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087" w:type="dxa"/>
            <w:vMerge w:val="continue"/>
            <w:noWrap w:val="0"/>
            <w:vAlign w:val="center"/>
          </w:tcPr>
          <w:p w14:paraId="05C8210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646" w:type="dxa"/>
            <w:gridSpan w:val="4"/>
            <w:noWrap w:val="0"/>
            <w:vAlign w:val="center"/>
          </w:tcPr>
          <w:p w14:paraId="738A454D">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适用于施工组织设计采用合格性评审项目；</w:t>
            </w:r>
          </w:p>
          <w:p w14:paraId="6C0096DA">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合格性评审采用明标的方式由评标委员会集体评审</w:t>
            </w:r>
            <w:r>
              <w:rPr>
                <w:rFonts w:hint="eastAsia" w:ascii="宋体" w:hAnsi="宋体" w:cs="宋体"/>
                <w:bCs/>
                <w:color w:val="auto"/>
                <w:szCs w:val="21"/>
                <w:highlight w:val="none"/>
                <w:lang w:eastAsia="zh-CN"/>
              </w:rPr>
              <w:t>；</w:t>
            </w:r>
          </w:p>
          <w:p w14:paraId="50EB0C6C">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因施工组织设计缺项或者</w:t>
            </w:r>
            <w:r>
              <w:rPr>
                <w:rFonts w:hint="eastAsia" w:ascii="宋体" w:hAnsi="宋体" w:eastAsia="宋体" w:cs="宋体"/>
                <w:bCs/>
                <w:color w:val="auto"/>
                <w:szCs w:val="21"/>
                <w:highlight w:val="none"/>
                <w:lang w:val="en-US" w:eastAsia="zh-CN"/>
              </w:rPr>
              <w:t>同</w:t>
            </w:r>
            <w:r>
              <w:rPr>
                <w:rFonts w:hint="eastAsia" w:ascii="宋体" w:hAnsi="宋体" w:eastAsia="宋体" w:cs="宋体"/>
                <w:bCs/>
                <w:color w:val="auto"/>
                <w:szCs w:val="21"/>
                <w:highlight w:val="none"/>
              </w:rPr>
              <w:t>一项评审内容被</w:t>
            </w:r>
            <w:r>
              <w:rPr>
                <w:rFonts w:hint="eastAsia" w:ascii="宋体" w:hAnsi="宋体" w:eastAsia="宋体" w:cs="宋体"/>
                <w:bCs/>
                <w:color w:val="auto"/>
                <w:szCs w:val="21"/>
                <w:highlight w:val="none"/>
                <w:lang w:val="en-US" w:eastAsia="zh-CN"/>
              </w:rPr>
              <w:t>超过一半</w:t>
            </w:r>
            <w:r>
              <w:rPr>
                <w:rFonts w:hint="eastAsia" w:ascii="宋体" w:hAnsi="宋体" w:eastAsia="宋体" w:cs="宋体"/>
                <w:bCs/>
                <w:color w:val="auto"/>
                <w:szCs w:val="21"/>
                <w:highlight w:val="none"/>
              </w:rPr>
              <w:t>评标委员会</w:t>
            </w:r>
            <w:r>
              <w:rPr>
                <w:rFonts w:hint="eastAsia" w:ascii="宋体" w:hAnsi="宋体" w:eastAsia="宋体" w:cs="宋体"/>
                <w:bCs/>
                <w:color w:val="auto"/>
                <w:szCs w:val="21"/>
                <w:highlight w:val="none"/>
                <w:lang w:val="en-US" w:eastAsia="zh-CN"/>
              </w:rPr>
              <w:t>成员</w:t>
            </w:r>
            <w:r>
              <w:rPr>
                <w:rFonts w:hint="eastAsia" w:ascii="宋体" w:hAnsi="宋体" w:eastAsia="宋体" w:cs="宋体"/>
                <w:bCs/>
                <w:color w:val="auto"/>
                <w:szCs w:val="21"/>
                <w:highlight w:val="none"/>
              </w:rPr>
              <w:t>判定为不合格的，施工组织设计不合格，应当否决其投标</w:t>
            </w:r>
            <w:r>
              <w:rPr>
                <w:rFonts w:hint="eastAsia" w:ascii="宋体" w:hAnsi="宋体" w:cs="宋体"/>
                <w:bCs/>
                <w:color w:val="auto"/>
                <w:szCs w:val="21"/>
                <w:highlight w:val="none"/>
                <w:lang w:eastAsia="zh-CN"/>
              </w:rPr>
              <w:t>；</w:t>
            </w:r>
          </w:p>
          <w:p w14:paraId="2EE90E7C">
            <w:pPr>
              <w:keepNext w:val="0"/>
              <w:keepLines w:val="0"/>
              <w:widowControl/>
              <w:suppressLineNumbers w:val="0"/>
              <w:shd w:val="clear" w:color="auto" w:fill="FFFFFF"/>
              <w:spacing w:before="0" w:beforeAutospacing="0" w:after="0" w:afterAutospacing="0"/>
              <w:ind w:left="0" w:right="0"/>
              <w:rPr>
                <w:rFonts w:hint="eastAsia" w:ascii="宋体" w:hAnsi="宋体" w:cs="宋体"/>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施工组织设计</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不合格的，评标委员会应当注明理由和依据。</w:t>
            </w:r>
          </w:p>
        </w:tc>
      </w:tr>
    </w:tbl>
    <w:p w14:paraId="4DEDB5AC">
      <w:pPr>
        <w:widowControl/>
        <w:jc w:val="left"/>
        <w:rPr>
          <w:color w:val="auto"/>
          <w:highlight w:val="none"/>
        </w:rPr>
      </w:pPr>
      <w:r>
        <w:rPr>
          <w:color w:val="auto"/>
          <w:highlight w:val="none"/>
        </w:rPr>
        <w:br w:type="page"/>
      </w:r>
      <w:r>
        <w:rPr>
          <w:color w:val="auto"/>
          <w:highlight w:val="none"/>
        </w:rPr>
        <w:t xml:space="preserve"> </w:t>
      </w:r>
    </w:p>
    <w:tbl>
      <w:tblPr>
        <w:tblStyle w:val="40"/>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65"/>
        <w:gridCol w:w="1033"/>
        <w:gridCol w:w="101"/>
        <w:gridCol w:w="1275"/>
        <w:gridCol w:w="2552"/>
        <w:gridCol w:w="847"/>
        <w:gridCol w:w="848"/>
        <w:gridCol w:w="848"/>
      </w:tblGrid>
      <w:tr w14:paraId="22EE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8" w:type="dxa"/>
            <w:noWrap w:val="0"/>
            <w:vAlign w:val="center"/>
          </w:tcPr>
          <w:p w14:paraId="0A872251">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条款号</w:t>
            </w:r>
          </w:p>
        </w:tc>
        <w:tc>
          <w:tcPr>
            <w:tcW w:w="2099" w:type="dxa"/>
            <w:gridSpan w:val="3"/>
            <w:noWrap w:val="0"/>
            <w:vAlign w:val="center"/>
          </w:tcPr>
          <w:p w14:paraId="4EAC342E">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c>
          <w:tcPr>
            <w:tcW w:w="3827" w:type="dxa"/>
            <w:gridSpan w:val="2"/>
            <w:noWrap w:val="0"/>
            <w:vAlign w:val="center"/>
          </w:tcPr>
          <w:p w14:paraId="2A004939">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评审标准</w:t>
            </w:r>
          </w:p>
        </w:tc>
        <w:tc>
          <w:tcPr>
            <w:tcW w:w="2543" w:type="dxa"/>
            <w:gridSpan w:val="3"/>
            <w:noWrap w:val="0"/>
            <w:vAlign w:val="center"/>
          </w:tcPr>
          <w:p w14:paraId="3A1B0590">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计分方式</w:t>
            </w:r>
          </w:p>
        </w:tc>
      </w:tr>
      <w:tr w14:paraId="5DF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38" w:type="dxa"/>
            <w:vMerge w:val="restart"/>
            <w:noWrap w:val="0"/>
            <w:vAlign w:val="center"/>
          </w:tcPr>
          <w:p w14:paraId="7AB708A4">
            <w:pPr>
              <w:keepNext w:val="0"/>
              <w:keepLines w:val="0"/>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2.2.4</w:t>
            </w:r>
          </w:p>
          <w:p w14:paraId="61798148">
            <w:pPr>
              <w:keepNext w:val="0"/>
              <w:keepLines w:val="0"/>
              <w:suppressLineNumbers w:val="0"/>
              <w:spacing w:before="0" w:beforeAutospacing="0" w:after="0" w:afterAutospacing="0"/>
              <w:ind w:left="0" w:right="0"/>
              <w:jc w:val="center"/>
              <w:rPr>
                <w:rFonts w:hint="eastAsia" w:ascii="宋体" w:hAnsi="宋体" w:cs="宋体"/>
                <w:strike/>
                <w:color w:val="auto"/>
                <w:kern w:val="0"/>
                <w:szCs w:val="21"/>
                <w:highlight w:val="none"/>
              </w:rPr>
            </w:pPr>
            <w:r>
              <w:rPr>
                <w:rFonts w:hint="eastAsia" w:ascii="宋体" w:hAnsi="宋体" w:cs="宋体"/>
                <w:color w:val="auto"/>
                <w:kern w:val="0"/>
                <w:szCs w:val="21"/>
                <w:highlight w:val="none"/>
              </w:rPr>
              <w:t>（4）</w:t>
            </w:r>
          </w:p>
        </w:tc>
        <w:tc>
          <w:tcPr>
            <w:tcW w:w="8469" w:type="dxa"/>
            <w:gridSpan w:val="8"/>
            <w:noWrap w:val="0"/>
            <w:vAlign w:val="center"/>
          </w:tcPr>
          <w:p w14:paraId="2BFAC6B0">
            <w:pPr>
              <w:keepNext w:val="0"/>
              <w:keepLines w:val="0"/>
              <w:suppressLineNumbers w:val="0"/>
              <w:spacing w:before="0" w:beforeAutospacing="0" w:after="0" w:afterAutospacing="0"/>
              <w:ind w:left="0" w:right="0"/>
              <w:jc w:val="center"/>
              <w:rPr>
                <w:rFonts w:hint="eastAsia" w:ascii="宋体" w:hAnsi="宋体" w:cs="宋体"/>
                <w:bCs/>
                <w:color w:val="auto"/>
                <w:szCs w:val="21"/>
                <w:highlight w:val="none"/>
              </w:rPr>
            </w:pPr>
            <w:r>
              <w:rPr>
                <w:rFonts w:hint="eastAsia" w:ascii="宋体" w:hAnsi="宋体" w:cs="宋体"/>
                <w:bCs/>
                <w:color w:val="auto"/>
                <w:szCs w:val="21"/>
                <w:highlight w:val="none"/>
              </w:rPr>
              <w:t>业绩及信用评审</w:t>
            </w:r>
          </w:p>
        </w:tc>
      </w:tr>
      <w:tr w14:paraId="718C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8" w:type="dxa"/>
            <w:vMerge w:val="continue"/>
            <w:noWrap w:val="0"/>
            <w:vAlign w:val="center"/>
          </w:tcPr>
          <w:p w14:paraId="0EA5FF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099" w:type="dxa"/>
            <w:gridSpan w:val="3"/>
            <w:noWrap w:val="0"/>
            <w:vAlign w:val="center"/>
          </w:tcPr>
          <w:p w14:paraId="530CFB30">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1275" w:type="dxa"/>
            <w:noWrap w:val="0"/>
            <w:vAlign w:val="center"/>
          </w:tcPr>
          <w:p w14:paraId="3B021D0A">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类别</w:t>
            </w:r>
          </w:p>
        </w:tc>
        <w:tc>
          <w:tcPr>
            <w:tcW w:w="2552" w:type="dxa"/>
            <w:noWrap w:val="0"/>
            <w:vAlign w:val="center"/>
          </w:tcPr>
          <w:p w14:paraId="66610259">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数量和分值</w:t>
            </w:r>
          </w:p>
        </w:tc>
        <w:tc>
          <w:tcPr>
            <w:tcW w:w="847" w:type="dxa"/>
            <w:noWrap w:val="0"/>
            <w:vAlign w:val="center"/>
          </w:tcPr>
          <w:p w14:paraId="2ED27FFF">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计分制</w:t>
            </w:r>
          </w:p>
        </w:tc>
        <w:tc>
          <w:tcPr>
            <w:tcW w:w="848" w:type="dxa"/>
            <w:noWrap w:val="0"/>
            <w:vAlign w:val="center"/>
          </w:tcPr>
          <w:p w14:paraId="3196EDB7">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最低分</w:t>
            </w:r>
          </w:p>
        </w:tc>
        <w:tc>
          <w:tcPr>
            <w:tcW w:w="848" w:type="dxa"/>
            <w:noWrap w:val="0"/>
            <w:vAlign w:val="center"/>
          </w:tcPr>
          <w:p w14:paraId="70029023">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最高分</w:t>
            </w:r>
          </w:p>
        </w:tc>
      </w:tr>
      <w:tr w14:paraId="6ABF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38" w:type="dxa"/>
            <w:vMerge w:val="continue"/>
            <w:noWrap w:val="0"/>
            <w:vAlign w:val="center"/>
          </w:tcPr>
          <w:p w14:paraId="0B6F43E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restart"/>
            <w:noWrap w:val="0"/>
            <w:vAlign w:val="center"/>
          </w:tcPr>
          <w:p w14:paraId="7B6EC0CA">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人</w:t>
            </w:r>
          </w:p>
        </w:tc>
        <w:tc>
          <w:tcPr>
            <w:tcW w:w="1134" w:type="dxa"/>
            <w:gridSpan w:val="2"/>
            <w:noWrap w:val="0"/>
            <w:vAlign w:val="center"/>
          </w:tcPr>
          <w:p w14:paraId="480FFFAA">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类似工</w:t>
            </w:r>
          </w:p>
          <w:p w14:paraId="008CCEE3">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程业绩</w:t>
            </w:r>
          </w:p>
        </w:tc>
        <w:tc>
          <w:tcPr>
            <w:tcW w:w="1275" w:type="dxa"/>
            <w:noWrap w:val="0"/>
            <w:vAlign w:val="center"/>
          </w:tcPr>
          <w:p w14:paraId="19E1D789">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业绩</w:t>
            </w:r>
          </w:p>
        </w:tc>
        <w:tc>
          <w:tcPr>
            <w:tcW w:w="2552" w:type="dxa"/>
            <w:noWrap w:val="0"/>
            <w:vAlign w:val="center"/>
          </w:tcPr>
          <w:p w14:paraId="7358661D">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rPr>
              <w:t>施工业绩，每个</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分</w:t>
            </w:r>
          </w:p>
        </w:tc>
        <w:tc>
          <w:tcPr>
            <w:tcW w:w="847" w:type="dxa"/>
            <w:noWrap w:val="0"/>
            <w:vAlign w:val="center"/>
          </w:tcPr>
          <w:p w14:paraId="593344D2">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加分制</w:t>
            </w:r>
          </w:p>
        </w:tc>
        <w:tc>
          <w:tcPr>
            <w:tcW w:w="848" w:type="dxa"/>
            <w:noWrap w:val="0"/>
            <w:vAlign w:val="center"/>
          </w:tcPr>
          <w:p w14:paraId="002799CD">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848" w:type="dxa"/>
            <w:noWrap w:val="0"/>
            <w:vAlign w:val="center"/>
          </w:tcPr>
          <w:p w14:paraId="42016B3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2605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38" w:type="dxa"/>
            <w:vMerge w:val="continue"/>
            <w:noWrap w:val="0"/>
            <w:vAlign w:val="center"/>
          </w:tcPr>
          <w:p w14:paraId="1954BDB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continue"/>
            <w:noWrap w:val="0"/>
            <w:vAlign w:val="center"/>
          </w:tcPr>
          <w:p w14:paraId="766B2BF4">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134" w:type="dxa"/>
            <w:gridSpan w:val="2"/>
            <w:vMerge w:val="restart"/>
            <w:noWrap w:val="0"/>
            <w:vAlign w:val="center"/>
          </w:tcPr>
          <w:p w14:paraId="16A46B74">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优良信息</w:t>
            </w:r>
          </w:p>
        </w:tc>
        <w:tc>
          <w:tcPr>
            <w:tcW w:w="1275" w:type="dxa"/>
            <w:noWrap w:val="0"/>
            <w:vAlign w:val="center"/>
          </w:tcPr>
          <w:p w14:paraId="55DE917E">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施工招投标信用评价</w:t>
            </w:r>
          </w:p>
        </w:tc>
        <w:tc>
          <w:tcPr>
            <w:tcW w:w="2552" w:type="dxa"/>
            <w:noWrap w:val="0"/>
            <w:vAlign w:val="center"/>
          </w:tcPr>
          <w:p w14:paraId="2C270B68">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kern w:val="0"/>
                <w:szCs w:val="21"/>
                <w:highlight w:val="none"/>
              </w:rPr>
              <w:t>施工招标投标信用评价得分×</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w:t>
            </w:r>
          </w:p>
        </w:tc>
        <w:tc>
          <w:tcPr>
            <w:tcW w:w="847" w:type="dxa"/>
            <w:noWrap w:val="0"/>
            <w:vAlign w:val="center"/>
          </w:tcPr>
          <w:p w14:paraId="05A900CD">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加分制</w:t>
            </w:r>
          </w:p>
        </w:tc>
        <w:tc>
          <w:tcPr>
            <w:tcW w:w="848" w:type="dxa"/>
            <w:noWrap w:val="0"/>
            <w:vAlign w:val="center"/>
          </w:tcPr>
          <w:p w14:paraId="61A38576">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848" w:type="dxa"/>
            <w:noWrap w:val="0"/>
            <w:vAlign w:val="center"/>
          </w:tcPr>
          <w:p w14:paraId="19DD9E88">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r>
      <w:tr w14:paraId="07C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8" w:type="dxa"/>
            <w:vMerge w:val="continue"/>
            <w:noWrap w:val="0"/>
            <w:vAlign w:val="center"/>
          </w:tcPr>
          <w:p w14:paraId="0BDA029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vMerge w:val="continue"/>
            <w:noWrap w:val="0"/>
            <w:vAlign w:val="center"/>
          </w:tcPr>
          <w:p w14:paraId="5C79A72A">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134" w:type="dxa"/>
            <w:gridSpan w:val="2"/>
            <w:vMerge w:val="continue"/>
            <w:noWrap w:val="0"/>
            <w:vAlign w:val="center"/>
          </w:tcPr>
          <w:p w14:paraId="17EE72EE">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p>
        </w:tc>
        <w:tc>
          <w:tcPr>
            <w:tcW w:w="1275" w:type="dxa"/>
            <w:noWrap w:val="0"/>
            <w:vAlign w:val="center"/>
          </w:tcPr>
          <w:p w14:paraId="0D67E9AE">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施工项目季度考评综合优良率</w:t>
            </w:r>
          </w:p>
        </w:tc>
        <w:tc>
          <w:tcPr>
            <w:tcW w:w="2552" w:type="dxa"/>
            <w:noWrap w:val="0"/>
            <w:vAlign w:val="center"/>
          </w:tcPr>
          <w:p w14:paraId="38A00C29">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施工项目季度考评综合优良率得分</w:t>
            </w:r>
          </w:p>
        </w:tc>
        <w:tc>
          <w:tcPr>
            <w:tcW w:w="847" w:type="dxa"/>
            <w:noWrap w:val="0"/>
            <w:vAlign w:val="center"/>
          </w:tcPr>
          <w:p w14:paraId="2929531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加分制</w:t>
            </w:r>
          </w:p>
        </w:tc>
        <w:tc>
          <w:tcPr>
            <w:tcW w:w="848" w:type="dxa"/>
            <w:noWrap w:val="0"/>
            <w:vAlign w:val="center"/>
          </w:tcPr>
          <w:p w14:paraId="56E1B36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w:t>
            </w:r>
          </w:p>
        </w:tc>
        <w:tc>
          <w:tcPr>
            <w:tcW w:w="848" w:type="dxa"/>
            <w:noWrap w:val="0"/>
            <w:vAlign w:val="center"/>
          </w:tcPr>
          <w:p w14:paraId="182357FE">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0503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838" w:type="dxa"/>
            <w:vMerge w:val="continue"/>
            <w:noWrap w:val="0"/>
            <w:vAlign w:val="center"/>
          </w:tcPr>
          <w:p w14:paraId="25C0265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65" w:type="dxa"/>
            <w:noWrap w:val="0"/>
            <w:vAlign w:val="center"/>
          </w:tcPr>
          <w:p w14:paraId="59B50EBA">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1134" w:type="dxa"/>
            <w:gridSpan w:val="2"/>
            <w:noWrap w:val="0"/>
            <w:vAlign w:val="center"/>
          </w:tcPr>
          <w:p w14:paraId="3CFB392C">
            <w:pPr>
              <w:keepNext w:val="0"/>
              <w:keepLines w:val="0"/>
              <w:widowControl/>
              <w:suppressLineNumbers w:val="0"/>
              <w:adjustRightInd w:val="0"/>
              <w:snapToGrid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275" w:type="dxa"/>
            <w:noWrap w:val="0"/>
            <w:vAlign w:val="center"/>
          </w:tcPr>
          <w:p w14:paraId="6A490047">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不良信用信息</w:t>
            </w:r>
          </w:p>
        </w:tc>
        <w:tc>
          <w:tcPr>
            <w:tcW w:w="2552" w:type="dxa"/>
            <w:noWrap w:val="0"/>
            <w:vAlign w:val="center"/>
          </w:tcPr>
          <w:p w14:paraId="192EF998">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项目经理存在信用评价不良信用信息的，根据不良信用信息类型，按照表后注解对应的分值进行扣除。</w:t>
            </w:r>
          </w:p>
        </w:tc>
        <w:tc>
          <w:tcPr>
            <w:tcW w:w="847" w:type="dxa"/>
            <w:noWrap w:val="0"/>
            <w:vAlign w:val="center"/>
          </w:tcPr>
          <w:p w14:paraId="5C5C9AF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扣分制</w:t>
            </w:r>
          </w:p>
        </w:tc>
        <w:tc>
          <w:tcPr>
            <w:tcW w:w="848" w:type="dxa"/>
            <w:noWrap w:val="0"/>
            <w:vAlign w:val="center"/>
          </w:tcPr>
          <w:p w14:paraId="1E4AEC3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w:t>
            </w:r>
          </w:p>
        </w:tc>
        <w:tc>
          <w:tcPr>
            <w:tcW w:w="848" w:type="dxa"/>
            <w:noWrap w:val="0"/>
            <w:vAlign w:val="center"/>
          </w:tcPr>
          <w:p w14:paraId="2F54F462">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064D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jc w:val="center"/>
        </w:trPr>
        <w:tc>
          <w:tcPr>
            <w:tcW w:w="838" w:type="dxa"/>
            <w:vMerge w:val="continue"/>
            <w:noWrap w:val="0"/>
            <w:vAlign w:val="center"/>
          </w:tcPr>
          <w:p w14:paraId="4AA004A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69" w:type="dxa"/>
            <w:gridSpan w:val="8"/>
            <w:noWrap w:val="0"/>
            <w:vAlign w:val="center"/>
          </w:tcPr>
          <w:p w14:paraId="2099F411">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1.类似工程业绩</w:t>
            </w:r>
          </w:p>
          <w:p w14:paraId="35659C0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招标人可以根据项目实际情况选取0-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个类似工程业绩纳入评审。</w:t>
            </w:r>
          </w:p>
          <w:p w14:paraId="6D497903">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.2 评审依据：以投标文件中提供的中标通知书（招标工程提交）、 合同和竣工验收资料以及本项目答疑文件明确可以作为评审依据的资料的复印件为准，并提供“湖南省智慧住建云—湖南省建筑市场监管公共服务平台”或者“全国建筑市场监管公共服务平台”上体现其作为相应承包人的项目网页截图。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p>
          <w:p w14:paraId="40E53E57">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投标人提供的类似工程业绩同时包含多个工程类别（专业）的，其工程类别（专业）所对应的工程量应当依次按照中标通知书、合同、竣工验收资料、项目答疑文件明确可以作为评审依据的资料进行认定。</w:t>
            </w:r>
          </w:p>
          <w:p w14:paraId="41FEE4BD">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以上资料均不能明确区分的，由评标委员会进行认定。</w:t>
            </w:r>
          </w:p>
          <w:p w14:paraId="24B61085">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.3 评审期限：3年，自工程竣工验收文件中建设单位签字或盖章之日起计算。类似工程业绩评审依据中竣工验收备案表未体现建设单位签字或盖章之日的，以竣工验收备案表“竣工验收日期”栏中注明的时间为准。</w:t>
            </w:r>
          </w:p>
          <w:p w14:paraId="0899F06B">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不良</w:t>
            </w:r>
            <w:r>
              <w:rPr>
                <w:rFonts w:hint="eastAsia" w:ascii="宋体" w:hAnsi="宋体" w:cs="宋体"/>
                <w:color w:val="auto"/>
                <w:szCs w:val="21"/>
                <w:highlight w:val="none"/>
                <w:lang w:val="en-US" w:eastAsia="zh-CN"/>
              </w:rPr>
              <w:t>信用信息</w:t>
            </w:r>
            <w:r>
              <w:rPr>
                <w:rFonts w:hint="eastAsia" w:ascii="宋体" w:hAnsi="宋体" w:cs="宋体"/>
                <w:color w:val="auto"/>
                <w:szCs w:val="21"/>
                <w:highlight w:val="none"/>
              </w:rPr>
              <w:t>：</w:t>
            </w:r>
          </w:p>
          <w:p w14:paraId="429EC1E3">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按照</w:t>
            </w:r>
            <w:r>
              <w:rPr>
                <w:rFonts w:hint="eastAsia" w:ascii="宋体" w:hAnsi="宋体" w:eastAsia="宋体" w:cs="宋体"/>
                <w:color w:val="auto"/>
                <w:szCs w:val="21"/>
                <w:highlight w:val="none"/>
              </w:rPr>
              <w:t>以下不良信用信息</w:t>
            </w:r>
            <w:r>
              <w:rPr>
                <w:rFonts w:hint="eastAsia" w:ascii="宋体" w:hAnsi="宋体" w:eastAsia="宋体" w:cs="宋体"/>
                <w:color w:val="auto"/>
                <w:szCs w:val="21"/>
                <w:highlight w:val="none"/>
                <w:lang w:val="en-US" w:eastAsia="zh-CN"/>
              </w:rPr>
              <w:t>扣分标准</w:t>
            </w:r>
            <w:r>
              <w:rPr>
                <w:rFonts w:hint="eastAsia" w:ascii="宋体" w:hAnsi="宋体" w:eastAsia="宋体" w:cs="宋体"/>
                <w:color w:val="auto"/>
                <w:szCs w:val="21"/>
                <w:highlight w:val="none"/>
              </w:rPr>
              <w:t>扣分，</w:t>
            </w:r>
            <w:r>
              <w:rPr>
                <w:rFonts w:hint="eastAsia" w:ascii="宋体" w:hAnsi="宋体" w:eastAsia="宋体" w:cs="宋体"/>
                <w:color w:val="auto"/>
                <w:szCs w:val="21"/>
                <w:highlight w:val="none"/>
                <w:lang w:eastAsia="zh-CN"/>
              </w:rPr>
              <w:t>严重失信行为名单（含失信黑名单，下同）</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扣8分、刑事处罚</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扣2分、失信被执行人</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扣1分、行政处罚</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扣0.5分、严重不良行为记录</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扣0.5分、一般不良行为记录</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扣0.3分。湖南省行政区域内的不良行为记录以湖南省住房和城乡建设厅发布的结果为准；湖南省行政区域外的不良行为记录以全国建筑市场监管公共服务平台发布的信息为准，按严重不良行为记录扣分。</w:t>
            </w:r>
          </w:p>
          <w:p w14:paraId="79DED7CA">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不良信用信息扣分有效期同</w:t>
            </w:r>
            <w:r>
              <w:rPr>
                <w:rFonts w:hint="eastAsia" w:ascii="宋体" w:hAnsi="宋体" w:eastAsia="宋体" w:cs="宋体"/>
                <w:color w:val="auto"/>
                <w:kern w:val="0"/>
                <w:szCs w:val="21"/>
                <w:highlight w:val="none"/>
                <w:lang w:val="en-US" w:eastAsia="zh-CN"/>
              </w:rPr>
              <w:t>综合评估法后备注。</w:t>
            </w:r>
          </w:p>
          <w:p w14:paraId="25DF42DF">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园林绿化工程定义</w:t>
            </w:r>
          </w:p>
          <w:p w14:paraId="319210C0">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办法所称园林绿化工程的定义按照住房城乡建设部《园林绿化工程建设管理规定》（建城〔2017〕251号）相关条款执行。园林绿化工程施工招标时，应在招标文件载明其属于园林绿化工程，招标人不得将具备原城市园林绿化企业资质、市政公用工程施工总承包资质、建筑工程施工总承包资质等其他企业资质作为园林绿化工程投标人资格条件。</w:t>
            </w:r>
          </w:p>
          <w:p w14:paraId="56773093">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kern w:val="0"/>
                <w:szCs w:val="21"/>
                <w:highlight w:val="none"/>
              </w:rPr>
              <w:t>施工</w:t>
            </w:r>
            <w:r>
              <w:rPr>
                <w:rFonts w:hint="eastAsia" w:ascii="宋体" w:hAnsi="宋体" w:eastAsia="宋体" w:cs="宋体"/>
                <w:color w:val="auto"/>
                <w:kern w:val="0"/>
                <w:szCs w:val="21"/>
                <w:highlight w:val="none"/>
                <w:lang w:val="en-US" w:eastAsia="zh-CN"/>
              </w:rPr>
              <w:t>信用评价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kern w:val="0"/>
                <w:szCs w:val="21"/>
                <w:highlight w:val="none"/>
                <w:lang w:val="en-US" w:eastAsia="zh-CN"/>
              </w:rPr>
              <w:t>计分要求同综合评估法后备注。</w:t>
            </w:r>
          </w:p>
        </w:tc>
      </w:tr>
      <w:tr w14:paraId="2AB2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38" w:type="dxa"/>
            <w:vMerge w:val="restart"/>
            <w:noWrap w:val="0"/>
            <w:vAlign w:val="center"/>
          </w:tcPr>
          <w:p w14:paraId="752627C7">
            <w:pPr>
              <w:keepNext w:val="0"/>
              <w:keepLines w:val="0"/>
              <w:suppressLineNumbers w:val="0"/>
              <w:spacing w:before="0" w:beforeAutospacing="0" w:after="0" w:afterAutospacing="0"/>
              <w:ind w:left="0" w:right="0"/>
              <w:jc w:val="center"/>
              <w:rPr>
                <w:rFonts w:hint="eastAsia" w:ascii="宋体" w:hAnsi="宋体" w:cs="宋体"/>
                <w:strike/>
                <w:color w:val="auto"/>
                <w:szCs w:val="21"/>
                <w:highlight w:val="none"/>
              </w:rPr>
            </w:pPr>
            <w:r>
              <w:rPr>
                <w:rFonts w:hint="eastAsia" w:ascii="宋体" w:hAnsi="宋体" w:cs="宋体"/>
                <w:color w:val="auto"/>
                <w:szCs w:val="21"/>
                <w:highlight w:val="none"/>
              </w:rPr>
              <w:t>2.2.4   （5）</w:t>
            </w:r>
          </w:p>
        </w:tc>
        <w:tc>
          <w:tcPr>
            <w:tcW w:w="8469" w:type="dxa"/>
            <w:gridSpan w:val="8"/>
            <w:noWrap w:val="0"/>
            <w:vAlign w:val="center"/>
          </w:tcPr>
          <w:p w14:paraId="650CC1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投标报价评审 </w:t>
            </w:r>
          </w:p>
        </w:tc>
      </w:tr>
      <w:tr w14:paraId="2609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838" w:type="dxa"/>
            <w:vMerge w:val="continue"/>
            <w:noWrap w:val="0"/>
            <w:vAlign w:val="center"/>
          </w:tcPr>
          <w:p w14:paraId="54EA8F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469" w:type="dxa"/>
            <w:gridSpan w:val="8"/>
            <w:noWrap w:val="0"/>
            <w:vAlign w:val="center"/>
          </w:tcPr>
          <w:p w14:paraId="29FD1F4C">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1．适用于经评审的最低投标</w:t>
            </w:r>
            <w:r>
              <w:rPr>
                <w:rFonts w:hint="eastAsia" w:ascii="Times New Roman" w:hAnsi="Times New Roman" w:eastAsia="宋体" w:cs="Times New Roman"/>
                <w:color w:val="auto"/>
                <w:sz w:val="21"/>
                <w:highlight w:val="none"/>
                <w:lang w:val="en-US" w:eastAsia="zh-CN"/>
              </w:rPr>
              <w:t>价</w:t>
            </w:r>
            <w:r>
              <w:rPr>
                <w:rFonts w:hint="eastAsia" w:ascii="Times New Roman" w:hAnsi="Times New Roman" w:eastAsia="宋体" w:cs="Times New Roman"/>
                <w:color w:val="auto"/>
                <w:sz w:val="21"/>
                <w:highlight w:val="none"/>
              </w:rPr>
              <w:t>法</w:t>
            </w:r>
            <w:r>
              <w:rPr>
                <w:rFonts w:hint="eastAsia" w:ascii="Times New Roman" w:hAnsi="Times New Roman" w:eastAsia="宋体" w:cs="Times New Roman"/>
                <w:color w:val="auto"/>
                <w:sz w:val="21"/>
                <w:highlight w:val="none"/>
                <w:lang w:eastAsia="zh-CN"/>
              </w:rPr>
              <w:t>；</w:t>
            </w:r>
            <w:r>
              <w:rPr>
                <w:rFonts w:hint="eastAsia" w:ascii="Times New Roman" w:hAnsi="Times New Roman" w:eastAsia="宋体" w:cs="Times New Roman"/>
                <w:color w:val="auto"/>
                <w:sz w:val="21"/>
                <w:highlight w:val="none"/>
              </w:rPr>
              <w:t xml:space="preserve"> </w:t>
            </w:r>
          </w:p>
          <w:p w14:paraId="09596598">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2．基准价：Y= A×（1-P）+B×(1-β)×P</w:t>
            </w:r>
          </w:p>
          <w:p w14:paraId="47ADEE8F">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rPr>
              <w:t>A——进入报价评审环节</w:t>
            </w:r>
            <w:r>
              <w:rPr>
                <w:rFonts w:hint="eastAsia" w:ascii="Times New Roman" w:hAnsi="Times New Roman" w:eastAsia="宋体" w:cs="Times New Roman"/>
                <w:color w:val="auto"/>
                <w:sz w:val="21"/>
                <w:highlight w:val="none"/>
                <w:lang w:val="en-US" w:eastAsia="zh-CN"/>
              </w:rPr>
              <w:t>且不低于成本的</w:t>
            </w:r>
            <w:r>
              <w:rPr>
                <w:rFonts w:hint="eastAsia" w:ascii="Times New Roman" w:hAnsi="Times New Roman" w:eastAsia="宋体" w:cs="Times New Roman"/>
                <w:color w:val="auto"/>
                <w:sz w:val="21"/>
                <w:highlight w:val="none"/>
              </w:rPr>
              <w:t>最低报价</w:t>
            </w:r>
            <w:r>
              <w:rPr>
                <w:rFonts w:hint="eastAsia" w:ascii="Times New Roman" w:hAnsi="Times New Roman" w:eastAsia="宋体" w:cs="Times New Roman"/>
                <w:color w:val="auto"/>
                <w:sz w:val="21"/>
                <w:highlight w:val="none"/>
                <w:lang w:eastAsia="zh-CN"/>
              </w:rPr>
              <w:t>；</w:t>
            </w:r>
          </w:p>
          <w:p w14:paraId="2F06C989">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B——最高投标限价；</w:t>
            </w:r>
          </w:p>
          <w:p w14:paraId="41647568">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kern w:val="2"/>
                <w:sz w:val="21"/>
                <w:highlight w:val="none"/>
              </w:rPr>
            </w:pPr>
            <w:r>
              <w:rPr>
                <w:rFonts w:hint="eastAsia" w:ascii="Times New Roman" w:hAnsi="Times New Roman" w:eastAsia="宋体" w:cs="Times New Roman"/>
                <w:color w:val="auto"/>
                <w:sz w:val="21"/>
                <w:highlight w:val="none"/>
              </w:rPr>
              <w:t>P——招标人根据项目实际设定抽取区间后随机抽取，抽取区间(间隔0.5%)：60%～62.5%、62.5%～65%、65%～67.5%、67.5%～70%；</w:t>
            </w:r>
            <w:r>
              <w:rPr>
                <w:rFonts w:hint="eastAsia" w:ascii="Times New Roman" w:hAnsi="Times New Roman" w:eastAsia="宋体" w:cs="Times New Roman"/>
                <w:color w:val="auto"/>
                <w:sz w:val="21"/>
                <w:highlight w:val="none"/>
                <w:lang w:val="en-US" w:eastAsia="zh-CN"/>
              </w:rPr>
              <w:t>本项目的抽取区间为</w:t>
            </w:r>
            <w:r>
              <w:rPr>
                <w:rFonts w:hint="eastAsia" w:ascii="Times New Roman" w:hAnsi="Times New Roman" w:eastAsia="宋体" w:cs="Times New Roman"/>
                <w:color w:val="auto"/>
                <w:sz w:val="21"/>
                <w:highlight w:val="none"/>
                <w:u w:val="single"/>
              </w:rPr>
              <w:t>65%～67.5%</w:t>
            </w:r>
            <w:r>
              <w:rPr>
                <w:rFonts w:hint="eastAsia" w:ascii="Times New Roman" w:hAnsi="Times New Roman" w:eastAsia="宋体" w:cs="Times New Roman"/>
                <w:color w:val="auto"/>
                <w:sz w:val="21"/>
                <w:highlight w:val="none"/>
                <w:u w:val="none"/>
                <w:lang w:val="en-US" w:eastAsia="zh-CN"/>
              </w:rPr>
              <w:t>。</w:t>
            </w:r>
          </w:p>
          <w:p w14:paraId="24CA5738">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bCs w:val="0"/>
                <w:color w:val="auto"/>
                <w:sz w:val="21"/>
                <w:highlight w:val="none"/>
                <w:lang w:eastAsia="zh-CN"/>
              </w:rPr>
            </w:pPr>
            <w:r>
              <w:rPr>
                <w:rFonts w:hint="eastAsia" w:ascii="Times New Roman" w:hAnsi="Times New Roman" w:eastAsia="宋体" w:cs="Times New Roman"/>
                <w:color w:val="auto"/>
                <w:kern w:val="2"/>
                <w:sz w:val="21"/>
                <w:highlight w:val="none"/>
              </w:rPr>
              <w:t>β—— 4%、5%、6%、7%、8%</w:t>
            </w:r>
            <w:r>
              <w:rPr>
                <w:rFonts w:hint="eastAsia" w:ascii="Times New Roman" w:hAnsi="Times New Roman" w:eastAsia="宋体" w:cs="Times New Roman"/>
                <w:color w:val="auto"/>
                <w:sz w:val="21"/>
                <w:highlight w:val="none"/>
              </w:rPr>
              <w:t xml:space="preserve"> ，</w:t>
            </w:r>
            <w:r>
              <w:rPr>
                <w:rFonts w:hint="eastAsia" w:ascii="Times New Roman" w:hAnsi="Times New Roman" w:eastAsia="宋体" w:cs="Times New Roman"/>
                <w:color w:val="auto"/>
                <w:kern w:val="2"/>
                <w:sz w:val="21"/>
                <w:highlight w:val="none"/>
              </w:rPr>
              <w:t>开标时随机抽取确定</w:t>
            </w:r>
            <w:r>
              <w:rPr>
                <w:rFonts w:hint="eastAsia" w:ascii="Times New Roman" w:hAnsi="Times New Roman" w:eastAsia="宋体" w:cs="Times New Roman"/>
                <w:color w:val="auto"/>
                <w:kern w:val="2"/>
                <w:sz w:val="21"/>
                <w:highlight w:val="none"/>
                <w:lang w:eastAsia="zh-CN"/>
              </w:rPr>
              <w:t>；</w:t>
            </w:r>
          </w:p>
          <w:p w14:paraId="13806AB2">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bCs w:val="0"/>
                <w:color w:val="auto"/>
                <w:sz w:val="21"/>
                <w:highlight w:val="none"/>
                <w:lang w:val="en-US" w:eastAsia="zh-CN"/>
              </w:rPr>
              <w:t>3</w:t>
            </w:r>
            <w:r>
              <w:rPr>
                <w:rFonts w:hint="eastAsia" w:ascii="Times New Roman" w:hAnsi="Times New Roman" w:eastAsia="宋体" w:cs="Times New Roman"/>
                <w:color w:val="auto"/>
                <w:sz w:val="21"/>
                <w:highlight w:val="none"/>
              </w:rPr>
              <w:t>．经评审的最低投标价，为进入报价评审环节的有效投标报价中大于或者等于</w:t>
            </w:r>
            <w:r>
              <w:rPr>
                <w:rFonts w:hint="eastAsia" w:ascii="Times New Roman" w:hAnsi="Times New Roman" w:eastAsia="宋体" w:cs="Times New Roman"/>
                <w:color w:val="auto"/>
                <w:sz w:val="21"/>
                <w:highlight w:val="none"/>
                <w:lang w:val="en-US" w:eastAsia="zh-CN"/>
              </w:rPr>
              <w:t>基准价</w:t>
            </w:r>
            <w:r>
              <w:rPr>
                <w:rFonts w:hint="eastAsia" w:ascii="Times New Roman" w:hAnsi="Times New Roman" w:eastAsia="宋体" w:cs="Times New Roman"/>
                <w:color w:val="auto"/>
                <w:sz w:val="21"/>
                <w:highlight w:val="none"/>
              </w:rPr>
              <w:t>的投标报价中的最低报价。</w:t>
            </w:r>
          </w:p>
          <w:p w14:paraId="760F0D9E">
            <w:pPr>
              <w:keepNext w:val="0"/>
              <w:keepLines w:val="0"/>
              <w:suppressLineNumbers w:val="0"/>
              <w:spacing w:before="0" w:beforeAutospacing="0" w:after="0" w:afterAutospacing="0"/>
              <w:ind w:left="0" w:right="0"/>
              <w:jc w:val="left"/>
              <w:rPr>
                <w:rFonts w:hint="default" w:ascii="Calibri" w:hAnsi="Calibri" w:eastAsia="宋体" w:cs="Calibri"/>
                <w:color w:val="auto"/>
                <w:highlight w:val="none"/>
                <w:lang w:val="en-US" w:eastAsia="zh-CN"/>
              </w:rPr>
            </w:pPr>
            <w:r>
              <w:rPr>
                <w:rFonts w:hint="eastAsia" w:ascii="宋体" w:hAnsi="宋体" w:eastAsia="宋体" w:cs="仿宋_GB2312"/>
                <w:color w:val="auto"/>
                <w:sz w:val="24"/>
                <w:highlight w:val="none"/>
                <w:lang w:val="en-US" w:eastAsia="zh-CN"/>
              </w:rPr>
              <w:t>4.如</w:t>
            </w:r>
            <w:r>
              <w:rPr>
                <w:rFonts w:hint="eastAsia" w:ascii="Times New Roman" w:hAnsi="Times New Roman" w:eastAsia="宋体" w:cs="Times New Roman"/>
                <w:color w:val="auto"/>
                <w:sz w:val="21"/>
                <w:highlight w:val="none"/>
              </w:rPr>
              <w:t>进入投标报价评审的所有投标人投标报价得分均为0分的，重新招标。</w:t>
            </w:r>
          </w:p>
        </w:tc>
      </w:tr>
      <w:tr w14:paraId="7C42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8" w:type="dxa"/>
            <w:vMerge w:val="continue"/>
            <w:noWrap w:val="0"/>
            <w:vAlign w:val="center"/>
          </w:tcPr>
          <w:p w14:paraId="259720B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14:paraId="0C64F5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c>
          <w:tcPr>
            <w:tcW w:w="1376" w:type="dxa"/>
            <w:gridSpan w:val="2"/>
            <w:noWrap w:val="0"/>
            <w:vAlign w:val="center"/>
          </w:tcPr>
          <w:p w14:paraId="1281B9D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计分方式</w:t>
            </w:r>
          </w:p>
        </w:tc>
        <w:tc>
          <w:tcPr>
            <w:tcW w:w="5095" w:type="dxa"/>
            <w:gridSpan w:val="4"/>
            <w:noWrap w:val="0"/>
            <w:vAlign w:val="center"/>
          </w:tcPr>
          <w:p w14:paraId="075E219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381A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38" w:type="dxa"/>
            <w:vMerge w:val="continue"/>
            <w:noWrap w:val="0"/>
            <w:vAlign w:val="center"/>
          </w:tcPr>
          <w:p w14:paraId="739DF71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14:paraId="73EAD9C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投标报价＞基准价</w:t>
            </w:r>
          </w:p>
        </w:tc>
        <w:tc>
          <w:tcPr>
            <w:tcW w:w="1376" w:type="dxa"/>
            <w:gridSpan w:val="2"/>
            <w:noWrap w:val="0"/>
            <w:vAlign w:val="center"/>
          </w:tcPr>
          <w:p w14:paraId="0192F9C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100-0.5L</w:t>
            </w:r>
          </w:p>
        </w:tc>
        <w:tc>
          <w:tcPr>
            <w:tcW w:w="5095" w:type="dxa"/>
            <w:gridSpan w:val="4"/>
            <w:vMerge w:val="restart"/>
            <w:noWrap w:val="0"/>
            <w:vAlign w:val="center"/>
          </w:tcPr>
          <w:p w14:paraId="115B513E">
            <w:pPr>
              <w:keepNext w:val="0"/>
              <w:keepLines w:val="0"/>
              <w:suppressLineNumbers w:val="0"/>
              <w:spacing w:before="0" w:beforeAutospacing="0" w:after="0" w:afterAutospacing="0" w:line="320" w:lineRule="exact"/>
              <w:ind w:left="0" w:leftChars="0" w:right="0" w:firstLine="840" w:firstLineChars="350"/>
              <w:rPr>
                <w:rFonts w:hint="default" w:ascii="宋体" w:hAnsi="宋体" w:eastAsia="宋体" w:cs="仿宋_GB2312"/>
                <w:color w:val="auto"/>
                <w:sz w:val="24"/>
                <w:highlight w:val="none"/>
              </w:rPr>
            </w:pPr>
            <w:r>
              <w:rPr>
                <w:rFonts w:hint="eastAsia" w:ascii="宋体" w:hAnsi="宋体" w:eastAsia="宋体" w:cs="仿宋_GB2312"/>
                <w:color w:val="auto"/>
                <w:sz w:val="24"/>
                <w:highlight w:val="none"/>
              </w:rPr>
              <w:t xml:space="preserve">投标报价 </w:t>
            </w:r>
            <w:r>
              <w:rPr>
                <w:rFonts w:hint="eastAsia" w:ascii="宋体" w:hAnsi="宋体" w:eastAsia="宋体" w:cs="仿宋_GB2312"/>
                <w:b/>
                <w:bCs/>
                <w:color w:val="auto"/>
                <w:sz w:val="24"/>
                <w:highlight w:val="none"/>
              </w:rPr>
              <w:t>-</w:t>
            </w:r>
            <w:r>
              <w:rPr>
                <w:rFonts w:hint="eastAsia" w:ascii="宋体" w:hAnsi="宋体" w:eastAsia="宋体" w:cs="仿宋_GB2312"/>
                <w:color w:val="auto"/>
                <w:sz w:val="24"/>
                <w:highlight w:val="none"/>
              </w:rPr>
              <w:t xml:space="preserve"> 经评审的最低投标价</w:t>
            </w:r>
          </w:p>
          <w:p w14:paraId="094C5667">
            <w:pPr>
              <w:keepNext w:val="0"/>
              <w:keepLines w:val="0"/>
              <w:suppressLineNumbers w:val="0"/>
              <w:spacing w:before="0" w:beforeAutospacing="0" w:after="0" w:afterAutospacing="0" w:line="320" w:lineRule="exact"/>
              <w:ind w:left="0" w:right="0" w:firstLine="480" w:firstLineChars="200"/>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 xml:space="preserve">L=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rPr>
              <w:t xml:space="preserve">  ×</w:t>
            </w:r>
            <w:r>
              <w:rPr>
                <w:rFonts w:hint="eastAsia" w:ascii="宋体" w:hAnsi="宋体" w:eastAsia="宋体" w:cs="仿宋_GB2312"/>
                <w:color w:val="auto"/>
                <w:sz w:val="24"/>
                <w:highlight w:val="none"/>
                <w:lang w:val="en-US" w:eastAsia="zh-CN"/>
              </w:rPr>
              <w:t>100</w:t>
            </w:r>
          </w:p>
          <w:p w14:paraId="5CB0E81B">
            <w:pPr>
              <w:keepNext w:val="0"/>
              <w:keepLines w:val="0"/>
              <w:suppressLineNumbers w:val="0"/>
              <w:spacing w:before="0" w:beforeAutospacing="0" w:after="0" w:afterAutospacing="0"/>
              <w:ind w:left="0" w:right="0" w:firstLine="960" w:firstLineChars="400"/>
              <w:rPr>
                <w:rFonts w:hint="eastAsia" w:ascii="宋体" w:hAnsi="宋体" w:cs="宋体"/>
                <w:color w:val="auto"/>
                <w:szCs w:val="21"/>
                <w:highlight w:val="none"/>
              </w:rPr>
            </w:pPr>
            <w:r>
              <w:rPr>
                <w:rFonts w:hint="eastAsia" w:ascii="宋体" w:hAnsi="宋体" w:eastAsia="宋体" w:cs="仿宋_GB2312"/>
                <w:color w:val="auto"/>
                <w:sz w:val="24"/>
                <w:highlight w:val="none"/>
              </w:rPr>
              <w:t>经评审的最低投标价</w:t>
            </w:r>
          </w:p>
        </w:tc>
      </w:tr>
      <w:tr w14:paraId="2C5D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vMerge w:val="continue"/>
            <w:noWrap w:val="0"/>
            <w:vAlign w:val="center"/>
          </w:tcPr>
          <w:p w14:paraId="12BC5AF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14:paraId="382DEE6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投标报价＝经评审的最低投标价</w:t>
            </w:r>
          </w:p>
        </w:tc>
        <w:tc>
          <w:tcPr>
            <w:tcW w:w="1376" w:type="dxa"/>
            <w:gridSpan w:val="2"/>
            <w:noWrap w:val="0"/>
            <w:vAlign w:val="center"/>
          </w:tcPr>
          <w:p w14:paraId="0E8DD33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5095" w:type="dxa"/>
            <w:gridSpan w:val="4"/>
            <w:noWrap w:val="0"/>
            <w:vAlign w:val="center"/>
          </w:tcPr>
          <w:p w14:paraId="0FB8A2F3">
            <w:pPr>
              <w:keepNext w:val="0"/>
              <w:keepLines w:val="0"/>
              <w:suppressLineNumbers w:val="0"/>
              <w:spacing w:before="0" w:beforeAutospacing="0" w:after="0" w:afterAutospacing="0"/>
              <w:ind w:left="0" w:right="0" w:firstLine="840" w:firstLineChars="400"/>
              <w:rPr>
                <w:rFonts w:hint="eastAsia" w:ascii="宋体" w:hAnsi="宋体" w:cs="宋体"/>
                <w:color w:val="auto"/>
                <w:szCs w:val="21"/>
                <w:highlight w:val="none"/>
              </w:rPr>
            </w:pPr>
          </w:p>
        </w:tc>
      </w:tr>
      <w:tr w14:paraId="7A23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vMerge w:val="continue"/>
            <w:noWrap w:val="0"/>
            <w:vAlign w:val="center"/>
          </w:tcPr>
          <w:p w14:paraId="2033EFC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98" w:type="dxa"/>
            <w:gridSpan w:val="2"/>
            <w:noWrap w:val="0"/>
            <w:vAlign w:val="center"/>
          </w:tcPr>
          <w:p w14:paraId="2451B42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投标报价＜经评审的最低投标价</w:t>
            </w:r>
          </w:p>
        </w:tc>
        <w:tc>
          <w:tcPr>
            <w:tcW w:w="1376" w:type="dxa"/>
            <w:gridSpan w:val="2"/>
            <w:noWrap w:val="0"/>
            <w:vAlign w:val="center"/>
          </w:tcPr>
          <w:p w14:paraId="3F9889F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0</w:t>
            </w:r>
          </w:p>
        </w:tc>
        <w:tc>
          <w:tcPr>
            <w:tcW w:w="5095" w:type="dxa"/>
            <w:gridSpan w:val="4"/>
            <w:noWrap w:val="0"/>
            <w:vAlign w:val="center"/>
          </w:tcPr>
          <w:p w14:paraId="492841B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53CC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14:paraId="4CAF2B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8469" w:type="dxa"/>
            <w:gridSpan w:val="8"/>
            <w:noWrap w:val="0"/>
            <w:vAlign w:val="center"/>
          </w:tcPr>
          <w:p w14:paraId="67BF6C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4" w:firstLineChars="2"/>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rPr>
              <w:t>编列内容</w:t>
            </w:r>
          </w:p>
        </w:tc>
      </w:tr>
      <w:tr w14:paraId="64D1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14:paraId="33E576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2099" w:type="dxa"/>
            <w:gridSpan w:val="3"/>
            <w:noWrap w:val="0"/>
            <w:vAlign w:val="center"/>
          </w:tcPr>
          <w:p w14:paraId="2D9349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bCs/>
                <w:color w:val="auto"/>
                <w:szCs w:val="21"/>
                <w:highlight w:val="none"/>
              </w:rPr>
            </w:pPr>
            <w:r>
              <w:rPr>
                <w:rFonts w:hint="eastAsia" w:ascii="宋体" w:hAnsi="宋体" w:cs="宋体"/>
                <w:color w:val="auto"/>
                <w:szCs w:val="21"/>
                <w:highlight w:val="none"/>
              </w:rPr>
              <w:t>评标详细程序</w:t>
            </w:r>
          </w:p>
        </w:tc>
        <w:tc>
          <w:tcPr>
            <w:tcW w:w="6370" w:type="dxa"/>
            <w:gridSpan w:val="5"/>
            <w:noWrap w:val="0"/>
            <w:vAlign w:val="center"/>
          </w:tcPr>
          <w:p w14:paraId="36F2D2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bCs/>
                <w:color w:val="auto"/>
                <w:szCs w:val="21"/>
                <w:highlight w:val="none"/>
              </w:rPr>
            </w:pPr>
            <w:r>
              <w:rPr>
                <w:rFonts w:hint="eastAsia" w:ascii="宋体" w:hAnsi="宋体" w:cs="宋体"/>
                <w:color w:val="auto"/>
                <w:szCs w:val="21"/>
                <w:highlight w:val="none"/>
              </w:rPr>
              <w:t>详见本章附件3-1</w:t>
            </w:r>
          </w:p>
        </w:tc>
      </w:tr>
      <w:tr w14:paraId="6A4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14:paraId="34AB17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3.1.2</w:t>
            </w:r>
          </w:p>
        </w:tc>
        <w:tc>
          <w:tcPr>
            <w:tcW w:w="2099" w:type="dxa"/>
            <w:gridSpan w:val="3"/>
            <w:noWrap w:val="0"/>
            <w:vAlign w:val="center"/>
          </w:tcPr>
          <w:p w14:paraId="414268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否决投标情形</w:t>
            </w:r>
          </w:p>
        </w:tc>
        <w:tc>
          <w:tcPr>
            <w:tcW w:w="6370" w:type="dxa"/>
            <w:gridSpan w:val="5"/>
            <w:noWrap w:val="0"/>
            <w:vAlign w:val="center"/>
          </w:tcPr>
          <w:p w14:paraId="6D2AC6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详见第二章附件2-2</w:t>
            </w:r>
          </w:p>
        </w:tc>
      </w:tr>
      <w:tr w14:paraId="2C14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14:paraId="6940E85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3.2.2</w:t>
            </w:r>
          </w:p>
        </w:tc>
        <w:tc>
          <w:tcPr>
            <w:tcW w:w="2099" w:type="dxa"/>
            <w:gridSpan w:val="3"/>
            <w:noWrap w:val="0"/>
            <w:vAlign w:val="center"/>
          </w:tcPr>
          <w:p w14:paraId="128A7B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判断投标人是否低于成本报价</w:t>
            </w:r>
          </w:p>
        </w:tc>
        <w:tc>
          <w:tcPr>
            <w:tcW w:w="6370" w:type="dxa"/>
            <w:gridSpan w:val="5"/>
            <w:noWrap w:val="0"/>
            <w:vAlign w:val="center"/>
          </w:tcPr>
          <w:p w14:paraId="1C08BF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详见第二章附件2-3投标报价成本评审办法</w:t>
            </w:r>
          </w:p>
        </w:tc>
      </w:tr>
      <w:tr w14:paraId="3B8C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 w:type="dxa"/>
            <w:noWrap w:val="0"/>
            <w:vAlign w:val="center"/>
          </w:tcPr>
          <w:p w14:paraId="3C6D78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3.3.2</w:t>
            </w:r>
          </w:p>
        </w:tc>
        <w:tc>
          <w:tcPr>
            <w:tcW w:w="2099" w:type="dxa"/>
            <w:gridSpan w:val="3"/>
            <w:noWrap w:val="0"/>
            <w:vAlign w:val="center"/>
          </w:tcPr>
          <w:p w14:paraId="47980C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进入</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评审阶段投标人数量的确定方式</w:t>
            </w:r>
          </w:p>
        </w:tc>
        <w:tc>
          <w:tcPr>
            <w:tcW w:w="6370" w:type="dxa"/>
            <w:gridSpan w:val="5"/>
            <w:noWrap w:val="0"/>
            <w:vAlign w:val="center"/>
          </w:tcPr>
          <w:p w14:paraId="3347F0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详见投标人须知前附表</w:t>
            </w:r>
          </w:p>
        </w:tc>
      </w:tr>
    </w:tbl>
    <w:p w14:paraId="40784E4C">
      <w:pPr>
        <w:widowControl/>
        <w:jc w:val="left"/>
        <w:rPr>
          <w:rFonts w:hint="eastAsia"/>
          <w:color w:val="auto"/>
          <w:highlight w:val="none"/>
        </w:rPr>
      </w:pPr>
    </w:p>
    <w:p w14:paraId="025D1160">
      <w:pPr>
        <w:spacing w:line="312" w:lineRule="auto"/>
        <w:jc w:val="center"/>
        <w:rPr>
          <w:rFonts w:eastAsia="黑体"/>
          <w:bCs/>
          <w:color w:val="auto"/>
          <w:sz w:val="30"/>
          <w:highlight w:val="none"/>
        </w:rPr>
      </w:pPr>
      <w:r>
        <w:rPr>
          <w:color w:val="auto"/>
          <w:highlight w:val="none"/>
        </w:rPr>
        <w:br w:type="page"/>
      </w:r>
      <w:r>
        <w:rPr>
          <w:rFonts w:eastAsia="黑体"/>
          <w:bCs/>
          <w:color w:val="auto"/>
          <w:sz w:val="30"/>
          <w:highlight w:val="none"/>
        </w:rPr>
        <w:t>评标办法（经评审的最低投标价法）</w:t>
      </w:r>
    </w:p>
    <w:p w14:paraId="6109D7C8">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color w:val="auto"/>
          <w:szCs w:val="21"/>
          <w:highlight w:val="none"/>
        </w:rPr>
        <w:t>本次评标采用</w:t>
      </w:r>
      <w:r>
        <w:rPr>
          <w:color w:val="auto"/>
          <w:highlight w:val="none"/>
        </w:rPr>
        <w:t>经评审的最低投标价法。评标委员会对满足招标文件实质要求的投标文件，根据规定的评分标准进行评审计分，</w:t>
      </w:r>
      <w:r>
        <w:rPr>
          <w:color w:val="auto"/>
          <w:szCs w:val="21"/>
          <w:highlight w:val="none"/>
        </w:rPr>
        <w:t>并按评标总得分由高到低顺序推荐中标候选人。</w:t>
      </w:r>
    </w:p>
    <w:p w14:paraId="48DD0A30">
      <w:pPr>
        <w:pStyle w:val="6"/>
        <w:pageBreakBefore w:val="0"/>
        <w:widowControl w:val="0"/>
        <w:kinsoku/>
        <w:wordWrap/>
        <w:overflowPunct/>
        <w:topLinePunct w:val="0"/>
        <w:autoSpaceDE/>
        <w:autoSpaceDN/>
        <w:bidi w:val="0"/>
        <w:adjustRightInd/>
        <w:snapToGrid w:val="0"/>
        <w:spacing w:before="0" w:after="0" w:line="400" w:lineRule="exact"/>
        <w:textAlignment w:val="auto"/>
        <w:rPr>
          <w:rFonts w:ascii="Times New Roman" w:hAnsi="Times New Roman" w:eastAsia="黑体"/>
          <w:b w:val="0"/>
          <w:bCs w:val="0"/>
          <w:color w:val="auto"/>
          <w:sz w:val="30"/>
          <w:highlight w:val="none"/>
        </w:rPr>
      </w:pPr>
      <w:bookmarkStart w:id="148" w:name="_Toc80006210"/>
      <w:bookmarkStart w:id="149" w:name="_Toc9178332"/>
      <w:bookmarkStart w:id="150" w:name="_Toc80006100"/>
      <w:bookmarkStart w:id="151" w:name="_Toc9178190"/>
      <w:bookmarkStart w:id="152" w:name="_Toc9178529"/>
      <w:r>
        <w:rPr>
          <w:rFonts w:ascii="Times New Roman" w:hAnsi="Times New Roman" w:eastAsia="黑体"/>
          <w:b w:val="0"/>
          <w:bCs w:val="0"/>
          <w:color w:val="auto"/>
          <w:sz w:val="30"/>
          <w:highlight w:val="none"/>
        </w:rPr>
        <w:t>1.评审标准</w:t>
      </w:r>
      <w:bookmarkEnd w:id="148"/>
      <w:bookmarkEnd w:id="149"/>
      <w:bookmarkEnd w:id="150"/>
      <w:bookmarkEnd w:id="151"/>
      <w:bookmarkEnd w:id="152"/>
    </w:p>
    <w:p w14:paraId="2B06E844">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rFonts w:hint="eastAsia"/>
          <w:color w:val="auto"/>
          <w:highlight w:val="none"/>
        </w:rPr>
        <w:t>1</w:t>
      </w:r>
      <w:r>
        <w:rPr>
          <w:color w:val="auto"/>
          <w:highlight w:val="none"/>
        </w:rPr>
        <w:t>.1 形式评审标准：见评标办法前附表。</w:t>
      </w:r>
    </w:p>
    <w:p w14:paraId="36999FB1">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color w:val="auto"/>
          <w:highlight w:val="none"/>
        </w:rPr>
        <w:t>1.2 资格评审标准：见评标办法前附表</w:t>
      </w:r>
    </w:p>
    <w:p w14:paraId="3BDDD983">
      <w:pPr>
        <w:pageBreakBefore w:val="0"/>
        <w:widowControl w:val="0"/>
        <w:kinsoku/>
        <w:wordWrap/>
        <w:overflowPunct/>
        <w:topLinePunct w:val="0"/>
        <w:autoSpaceDE/>
        <w:autoSpaceDN/>
        <w:bidi w:val="0"/>
        <w:adjustRightInd/>
        <w:snapToGrid w:val="0"/>
        <w:spacing w:line="400" w:lineRule="exact"/>
        <w:ind w:firstLine="840" w:firstLineChars="400"/>
        <w:textAlignment w:val="auto"/>
        <w:rPr>
          <w:color w:val="auto"/>
          <w:highlight w:val="none"/>
        </w:rPr>
      </w:pPr>
      <w:r>
        <w:rPr>
          <w:color w:val="auto"/>
          <w:highlight w:val="none"/>
        </w:rPr>
        <w:t>已进行资格预审的，见本招标项目资格预审文件第三章“资格审查办法”详细审查标准</w:t>
      </w:r>
    </w:p>
    <w:p w14:paraId="3E323F9F">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highlight w:val="none"/>
        </w:rPr>
      </w:pPr>
      <w:r>
        <w:rPr>
          <w:color w:val="auto"/>
          <w:highlight w:val="none"/>
        </w:rPr>
        <w:t>1.3 响应性评审标准：见评标办法前附表。</w:t>
      </w:r>
    </w:p>
    <w:p w14:paraId="4838C9BB">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1.4</w:t>
      </w:r>
      <w:r>
        <w:rPr>
          <w:color w:val="auto"/>
          <w:szCs w:val="21"/>
          <w:highlight w:val="none"/>
        </w:rPr>
        <w:t>施工组织设计</w:t>
      </w:r>
      <w:r>
        <w:rPr>
          <w:rFonts w:hint="eastAsia"/>
          <w:color w:val="auto"/>
          <w:szCs w:val="21"/>
          <w:highlight w:val="none"/>
        </w:rPr>
        <w:t>评审标准</w:t>
      </w:r>
      <w:r>
        <w:rPr>
          <w:color w:val="auto"/>
          <w:szCs w:val="21"/>
          <w:highlight w:val="none"/>
        </w:rPr>
        <w:t>：见评标办法前附表；</w:t>
      </w:r>
    </w:p>
    <w:p w14:paraId="04D79549">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1.5</w:t>
      </w:r>
      <w:r>
        <w:rPr>
          <w:rFonts w:hint="eastAsia"/>
          <w:color w:val="auto"/>
          <w:szCs w:val="21"/>
          <w:highlight w:val="none"/>
        </w:rPr>
        <w:t>业绩及</w:t>
      </w:r>
      <w:r>
        <w:rPr>
          <w:color w:val="auto"/>
          <w:szCs w:val="21"/>
          <w:highlight w:val="none"/>
        </w:rPr>
        <w:t>信用评</w:t>
      </w:r>
      <w:r>
        <w:rPr>
          <w:rFonts w:hint="eastAsia"/>
          <w:color w:val="auto"/>
          <w:szCs w:val="21"/>
          <w:highlight w:val="none"/>
        </w:rPr>
        <w:t>审评审标准</w:t>
      </w:r>
      <w:r>
        <w:rPr>
          <w:color w:val="auto"/>
          <w:szCs w:val="21"/>
          <w:highlight w:val="none"/>
        </w:rPr>
        <w:t>：见评标办法前附表；</w:t>
      </w:r>
    </w:p>
    <w:p w14:paraId="2AE5A111">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lang w:val="en-US" w:eastAsia="zh-CN"/>
        </w:rPr>
        <w:t>1.6</w:t>
      </w:r>
      <w:r>
        <w:rPr>
          <w:color w:val="auto"/>
          <w:szCs w:val="21"/>
          <w:highlight w:val="none"/>
        </w:rPr>
        <w:t>投标报价</w:t>
      </w:r>
      <w:r>
        <w:rPr>
          <w:rFonts w:hint="eastAsia"/>
          <w:color w:val="auto"/>
          <w:szCs w:val="21"/>
          <w:highlight w:val="none"/>
        </w:rPr>
        <w:t>评审标准</w:t>
      </w:r>
      <w:r>
        <w:rPr>
          <w:color w:val="auto"/>
          <w:szCs w:val="21"/>
          <w:highlight w:val="none"/>
        </w:rPr>
        <w:t>：见评标办法前附表。</w:t>
      </w:r>
    </w:p>
    <w:p w14:paraId="34E8B6BA">
      <w:pPr>
        <w:pStyle w:val="6"/>
        <w:pageBreakBefore w:val="0"/>
        <w:widowControl w:val="0"/>
        <w:kinsoku/>
        <w:wordWrap/>
        <w:overflowPunct/>
        <w:topLinePunct w:val="0"/>
        <w:autoSpaceDE/>
        <w:autoSpaceDN/>
        <w:bidi w:val="0"/>
        <w:adjustRightInd/>
        <w:snapToGrid w:val="0"/>
        <w:spacing w:before="0" w:after="0" w:line="400" w:lineRule="exact"/>
        <w:textAlignment w:val="auto"/>
        <w:rPr>
          <w:rFonts w:hint="default" w:ascii="Times New Roman" w:hAnsi="Times New Roman" w:eastAsia="黑体"/>
          <w:b w:val="0"/>
          <w:bCs w:val="0"/>
          <w:color w:val="auto"/>
          <w:sz w:val="30"/>
          <w:highlight w:val="none"/>
          <w:lang w:val="en-US" w:eastAsia="zh-CN"/>
        </w:rPr>
      </w:pPr>
      <w:bookmarkStart w:id="153" w:name="_Toc9178333"/>
      <w:bookmarkStart w:id="154" w:name="_Toc9178530"/>
      <w:bookmarkStart w:id="155" w:name="_Toc9178191"/>
      <w:bookmarkStart w:id="156" w:name="_Toc80006211"/>
      <w:bookmarkStart w:id="157" w:name="_Toc80006101"/>
      <w:r>
        <w:rPr>
          <w:rFonts w:ascii="Times New Roman" w:hAnsi="Times New Roman" w:eastAsia="黑体"/>
          <w:b w:val="0"/>
          <w:bCs w:val="0"/>
          <w:color w:val="auto"/>
          <w:sz w:val="30"/>
          <w:highlight w:val="none"/>
        </w:rPr>
        <w:t>2.评审程序</w:t>
      </w:r>
      <w:bookmarkEnd w:id="153"/>
      <w:bookmarkEnd w:id="154"/>
      <w:bookmarkEnd w:id="155"/>
      <w:bookmarkEnd w:id="156"/>
      <w:bookmarkEnd w:id="157"/>
      <w:r>
        <w:rPr>
          <w:rFonts w:hint="eastAsia" w:ascii="Times New Roman" w:hAnsi="Times New Roman" w:eastAsia="黑体"/>
          <w:b w:val="0"/>
          <w:bCs w:val="0"/>
          <w:color w:val="auto"/>
          <w:sz w:val="30"/>
          <w:highlight w:val="none"/>
          <w:lang w:val="en-US" w:eastAsia="zh-CN"/>
        </w:rPr>
        <w:t>及澄清</w:t>
      </w:r>
    </w:p>
    <w:p w14:paraId="3447CF70">
      <w:pPr>
        <w:pStyle w:val="8"/>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黑体"/>
          <w:b w:val="0"/>
          <w:bCs w:val="0"/>
          <w:color w:val="auto"/>
          <w:sz w:val="24"/>
          <w:highlight w:val="none"/>
          <w:lang w:val="en-US" w:eastAsia="zh-CN"/>
        </w:rPr>
      </w:pPr>
      <w:r>
        <w:rPr>
          <w:rFonts w:ascii="Times New Roman" w:hAnsi="Times New Roman" w:eastAsia="黑体"/>
          <w:b w:val="0"/>
          <w:bCs w:val="0"/>
          <w:color w:val="auto"/>
          <w:sz w:val="24"/>
          <w:highlight w:val="none"/>
        </w:rPr>
        <w:t>2.1 评审</w:t>
      </w:r>
      <w:r>
        <w:rPr>
          <w:rFonts w:hint="eastAsia" w:ascii="Times New Roman" w:hAnsi="Times New Roman" w:eastAsia="黑体"/>
          <w:b w:val="0"/>
          <w:bCs w:val="0"/>
          <w:color w:val="auto"/>
          <w:sz w:val="24"/>
          <w:highlight w:val="none"/>
          <w:lang w:val="en-US" w:eastAsia="zh-CN"/>
        </w:rPr>
        <w:t>程序</w:t>
      </w:r>
    </w:p>
    <w:p w14:paraId="660E3CB5">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1．</w:t>
      </w:r>
      <w:r>
        <w:rPr>
          <w:rFonts w:hint="eastAsia" w:ascii="Times New Roman" w:hAnsi="Times New Roman" w:eastAsia="宋体" w:cs="Times New Roman"/>
          <w:color w:val="auto"/>
          <w:kern w:val="0"/>
          <w:szCs w:val="32"/>
          <w:highlight w:val="none"/>
          <w:lang w:val="en-US" w:eastAsia="zh-CN"/>
        </w:rPr>
        <w:t>施工组织设计</w:t>
      </w:r>
      <w:r>
        <w:rPr>
          <w:rFonts w:ascii="Times New Roman" w:hAnsi="Times New Roman" w:eastAsia="宋体" w:cs="Times New Roman"/>
          <w:color w:val="auto"/>
          <w:kern w:val="0"/>
          <w:szCs w:val="32"/>
          <w:highlight w:val="none"/>
        </w:rPr>
        <w:t>评审。</w:t>
      </w:r>
    </w:p>
    <w:p w14:paraId="47F58C38">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2．</w:t>
      </w:r>
      <w:r>
        <w:rPr>
          <w:rFonts w:hint="eastAsia" w:ascii="Times New Roman" w:hAnsi="Times New Roman" w:eastAsia="宋体" w:cs="Times New Roman"/>
          <w:color w:val="auto"/>
          <w:kern w:val="0"/>
          <w:szCs w:val="32"/>
          <w:highlight w:val="none"/>
          <w:lang w:val="en-US" w:eastAsia="zh-CN"/>
        </w:rPr>
        <w:t>形式、资格、响应性评审</w:t>
      </w:r>
      <w:r>
        <w:rPr>
          <w:rFonts w:ascii="Times New Roman" w:hAnsi="Times New Roman" w:eastAsia="宋体" w:cs="Times New Roman"/>
          <w:color w:val="auto"/>
          <w:kern w:val="0"/>
          <w:szCs w:val="32"/>
          <w:highlight w:val="none"/>
        </w:rPr>
        <w:t>。</w:t>
      </w:r>
    </w:p>
    <w:p w14:paraId="11F09D16">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hint="eastAsia" w:ascii="Times New Roman" w:hAnsi="Times New Roman" w:eastAsia="宋体" w:cs="Times New Roman"/>
          <w:color w:val="auto"/>
          <w:kern w:val="0"/>
          <w:szCs w:val="32"/>
          <w:highlight w:val="none"/>
        </w:rPr>
        <w:t>3.</w:t>
      </w:r>
      <w:r>
        <w:rPr>
          <w:rFonts w:hint="eastAsia" w:ascii="Times New Roman" w:hAnsi="Times New Roman" w:eastAsia="宋体" w:cs="Times New Roman"/>
          <w:color w:val="auto"/>
          <w:kern w:val="0"/>
          <w:szCs w:val="32"/>
          <w:highlight w:val="none"/>
          <w:lang w:val="en-US" w:eastAsia="zh-CN"/>
        </w:rPr>
        <w:t xml:space="preserve"> 业绩及信用</w:t>
      </w:r>
      <w:r>
        <w:rPr>
          <w:rFonts w:ascii="Times New Roman" w:hAnsi="Times New Roman" w:eastAsia="宋体" w:cs="Times New Roman"/>
          <w:color w:val="auto"/>
          <w:kern w:val="0"/>
          <w:szCs w:val="32"/>
          <w:highlight w:val="none"/>
        </w:rPr>
        <w:t>评审。</w:t>
      </w:r>
    </w:p>
    <w:p w14:paraId="67D6AB14">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4</w:t>
      </w:r>
      <w:r>
        <w:rPr>
          <w:rFonts w:hint="eastAsia" w:ascii="Times New Roman" w:hAnsi="Times New Roman" w:eastAsia="宋体" w:cs="Times New Roman"/>
          <w:color w:val="auto"/>
          <w:kern w:val="0"/>
          <w:szCs w:val="32"/>
          <w:highlight w:val="none"/>
        </w:rPr>
        <w:t>．确定</w:t>
      </w:r>
      <w:r>
        <w:rPr>
          <w:rFonts w:hint="eastAsia" w:ascii="Times New Roman" w:hAnsi="Times New Roman" w:eastAsia="宋体" w:cs="Times New Roman"/>
          <w:color w:val="auto"/>
          <w:kern w:val="0"/>
          <w:szCs w:val="32"/>
          <w:highlight w:val="none"/>
          <w:lang w:val="en-US" w:eastAsia="zh-CN"/>
        </w:rPr>
        <w:t>进入报价评审的</w:t>
      </w:r>
      <w:r>
        <w:rPr>
          <w:rFonts w:ascii="Times New Roman" w:hAnsi="Times New Roman" w:eastAsia="宋体" w:cs="Times New Roman"/>
          <w:color w:val="auto"/>
          <w:kern w:val="0"/>
          <w:szCs w:val="32"/>
          <w:highlight w:val="none"/>
        </w:rPr>
        <w:t>投标人。</w:t>
      </w:r>
    </w:p>
    <w:p w14:paraId="7E97AC58">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5</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报价评审。</w:t>
      </w:r>
    </w:p>
    <w:p w14:paraId="3FF68B6E">
      <w:pPr>
        <w:pageBreakBefore w:val="0"/>
        <w:widowControl w:val="0"/>
        <w:shd w:val="clear" w:color="auto" w:fill="FFFFFF"/>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kern w:val="0"/>
          <w:szCs w:val="32"/>
          <w:highlight w:val="none"/>
        </w:rPr>
      </w:pPr>
      <w:r>
        <w:rPr>
          <w:rFonts w:ascii="Times New Roman" w:hAnsi="Times New Roman" w:eastAsia="宋体" w:cs="Times New Roman"/>
          <w:color w:val="auto"/>
          <w:kern w:val="0"/>
          <w:szCs w:val="32"/>
          <w:highlight w:val="none"/>
        </w:rPr>
        <w:t>6</w:t>
      </w:r>
      <w:r>
        <w:rPr>
          <w:rFonts w:hint="eastAsia" w:ascii="Times New Roman" w:hAnsi="Times New Roman" w:eastAsia="宋体" w:cs="Times New Roman"/>
          <w:color w:val="auto"/>
          <w:kern w:val="0"/>
          <w:szCs w:val="32"/>
          <w:highlight w:val="none"/>
        </w:rPr>
        <w:t>．</w:t>
      </w:r>
      <w:r>
        <w:rPr>
          <w:rFonts w:ascii="Times New Roman" w:hAnsi="Times New Roman" w:eastAsia="宋体" w:cs="Times New Roman"/>
          <w:color w:val="auto"/>
          <w:kern w:val="0"/>
          <w:szCs w:val="32"/>
          <w:highlight w:val="none"/>
        </w:rPr>
        <w:t>汇总评分结果。</w:t>
      </w:r>
    </w:p>
    <w:p w14:paraId="7E136518">
      <w:pPr>
        <w:pStyle w:val="8"/>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2.2 投标文件的澄清和补正</w:t>
      </w:r>
    </w:p>
    <w:p w14:paraId="2834F82E">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en-US" w:eastAsia="zh-CN"/>
        </w:rPr>
        <w:t xml:space="preserve"> </w:t>
      </w:r>
      <w:r>
        <w:rPr>
          <w:rFonts w:ascii="Times New Roman" w:hAnsi="Times New Roman" w:eastAsia="宋体" w:cs="Times New Roman"/>
          <w:color w:val="auto"/>
          <w:highlight w:val="none"/>
        </w:rPr>
        <w:t>评标委员会可以书面形式要求投标人对所提交的投标文件中不明确的内容进行书面澄清</w:t>
      </w:r>
      <w:r>
        <w:rPr>
          <w:rFonts w:hint="eastAsia" w:ascii="Times New Roman" w:hAnsi="Times New Roman" w:eastAsia="宋体" w:cs="Times New Roman"/>
          <w:color w:val="auto"/>
          <w:highlight w:val="none"/>
          <w:lang w:eastAsia="zh-CN"/>
        </w:rPr>
        <w:t>、</w:t>
      </w:r>
      <w:r>
        <w:rPr>
          <w:rFonts w:ascii="Times New Roman" w:hAnsi="Times New Roman" w:eastAsia="宋体" w:cs="Times New Roman"/>
          <w:color w:val="auto"/>
          <w:highlight w:val="none"/>
        </w:rPr>
        <w:t>说明或者补正。评标委员会不接受投标人主动提出的澄清、说明或补正。</w:t>
      </w:r>
    </w:p>
    <w:p w14:paraId="07A8D0D6">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.2 澄清、说明和补正不得改变投标文件的实质性内容。投标人的书面澄清、说明和补正属于投标文件的组成部分。</w:t>
      </w:r>
    </w:p>
    <w:p w14:paraId="2309B5DB">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w:t>
      </w:r>
      <w:r>
        <w:rPr>
          <w:rFonts w:hint="eastAsia"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.3 评标委员会对投标人提交的澄清、说明或补正有疑问的，可以要求投标人进一步澄清、说明或补正</w:t>
      </w:r>
      <w:r>
        <w:rPr>
          <w:rFonts w:hint="eastAsia" w:ascii="Times New Roman" w:hAnsi="Times New Roman" w:eastAsia="宋体" w:cs="Times New Roman"/>
          <w:color w:val="auto"/>
          <w:highlight w:val="none"/>
          <w:lang w:eastAsia="zh-CN"/>
        </w:rPr>
        <w:t>。</w:t>
      </w:r>
    </w:p>
    <w:p w14:paraId="5AD06E4B">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color w:val="auto"/>
          <w:highlight w:val="none"/>
        </w:rPr>
      </w:pPr>
      <w:r>
        <w:rPr>
          <w:rFonts w:hint="eastAsia" w:ascii="Times New Roman" w:hAnsi="Times New Roman" w:eastAsia="宋体" w:cs="Times New Roman"/>
          <w:bCs/>
          <w:color w:val="auto"/>
          <w:szCs w:val="21"/>
          <w:highlight w:val="none"/>
          <w:lang w:val="en-US" w:eastAsia="zh-CN"/>
        </w:rPr>
        <w:t xml:space="preserve">2.2.4 </w:t>
      </w:r>
      <w:r>
        <w:rPr>
          <w:rFonts w:hint="eastAsia" w:ascii="Times New Roman" w:hAnsi="Times New Roman" w:eastAsia="宋体" w:cs="Times New Roman"/>
          <w:bCs/>
          <w:color w:val="auto"/>
          <w:szCs w:val="21"/>
          <w:highlight w:val="none"/>
        </w:rPr>
        <w:t>评审过程中，评标委员会</w:t>
      </w:r>
      <w:r>
        <w:rPr>
          <w:rFonts w:hint="eastAsia" w:ascii="Times New Roman" w:hAnsi="Times New Roman" w:eastAsia="宋体" w:cs="Times New Roman"/>
          <w:bCs/>
          <w:color w:val="auto"/>
          <w:szCs w:val="21"/>
          <w:highlight w:val="none"/>
          <w:lang w:val="en-US" w:eastAsia="zh-CN"/>
        </w:rPr>
        <w:t>拟作出否决投标决定的</w:t>
      </w:r>
      <w:r>
        <w:rPr>
          <w:rFonts w:hint="eastAsia" w:ascii="Times New Roman" w:hAnsi="Times New Roman" w:eastAsia="宋体" w:cs="Times New Roman"/>
          <w:bCs/>
          <w:color w:val="auto"/>
          <w:szCs w:val="21"/>
          <w:highlight w:val="none"/>
        </w:rPr>
        <w:t>，应</w:t>
      </w:r>
      <w:r>
        <w:rPr>
          <w:rFonts w:hint="eastAsia" w:ascii="Times New Roman" w:hAnsi="Times New Roman" w:eastAsia="宋体" w:cs="Times New Roman"/>
          <w:bCs/>
          <w:color w:val="auto"/>
          <w:szCs w:val="21"/>
          <w:highlight w:val="none"/>
          <w:lang w:val="en-US" w:eastAsia="zh-CN"/>
        </w:rPr>
        <w:t>要求投标人进行书面澄清、说明或补正，未进行该程序的，不得作出否决投标决定，投标人未按要求进行回复的除外。</w:t>
      </w:r>
    </w:p>
    <w:p w14:paraId="0766AEA2">
      <w:pPr>
        <w:pageBreakBefore w:val="0"/>
        <w:widowControl w:val="0"/>
        <w:kinsoku/>
        <w:wordWrap/>
        <w:overflowPunct/>
        <w:topLinePunct w:val="0"/>
        <w:autoSpaceDE/>
        <w:autoSpaceDN/>
        <w:bidi w:val="0"/>
        <w:adjustRightInd/>
        <w:snapToGrid w:val="0"/>
        <w:spacing w:line="400" w:lineRule="exact"/>
        <w:ind w:firstLine="562" w:firstLineChars="200"/>
        <w:textAlignment w:val="auto"/>
        <w:rPr>
          <w:rFonts w:eastAsia="黑体"/>
          <w:b/>
          <w:bCs/>
          <w:color w:val="auto"/>
          <w:sz w:val="28"/>
          <w:szCs w:val="28"/>
          <w:highlight w:val="none"/>
        </w:rPr>
      </w:pPr>
      <w:bookmarkStart w:id="158" w:name="_Toc80006212"/>
      <w:bookmarkStart w:id="159" w:name="_Toc80006102"/>
      <w:r>
        <w:rPr>
          <w:rFonts w:hint="eastAsia" w:eastAsia="黑体"/>
          <w:b/>
          <w:bCs/>
          <w:color w:val="auto"/>
          <w:sz w:val="28"/>
          <w:szCs w:val="28"/>
          <w:highlight w:val="none"/>
        </w:rPr>
        <w:t>3.</w:t>
      </w:r>
      <w:r>
        <w:rPr>
          <w:rFonts w:eastAsia="黑体"/>
          <w:b/>
          <w:bCs/>
          <w:color w:val="auto"/>
          <w:sz w:val="28"/>
          <w:szCs w:val="28"/>
          <w:highlight w:val="none"/>
        </w:rPr>
        <w:t>评标结果</w:t>
      </w:r>
      <w:bookmarkEnd w:id="158"/>
      <w:bookmarkEnd w:id="159"/>
    </w:p>
    <w:p w14:paraId="0D076905">
      <w:pPr>
        <w:pageBreakBefore w:val="0"/>
        <w:widowControl w:val="0"/>
        <w:kinsoku/>
        <w:wordWrap/>
        <w:overflowPunct/>
        <w:topLinePunct w:val="0"/>
        <w:autoSpaceDE/>
        <w:autoSpaceDN/>
        <w:bidi w:val="0"/>
        <w:adjustRightInd/>
        <w:snapToGrid w:val="0"/>
        <w:spacing w:line="400" w:lineRule="exact"/>
        <w:ind w:firstLine="420" w:firstLineChars="200"/>
        <w:textAlignment w:val="auto"/>
        <w:rPr>
          <w:color w:val="auto"/>
          <w:szCs w:val="21"/>
          <w:highlight w:val="none"/>
        </w:rPr>
      </w:pPr>
      <w:r>
        <w:rPr>
          <w:rFonts w:hint="eastAsia"/>
          <w:color w:val="auto"/>
          <w:szCs w:val="21"/>
          <w:highlight w:val="none"/>
        </w:rPr>
        <w:t>3</w:t>
      </w:r>
      <w:r>
        <w:rPr>
          <w:color w:val="auto"/>
          <w:szCs w:val="21"/>
          <w:highlight w:val="none"/>
        </w:rPr>
        <w:t>.1 评标委员会按照评标总得分由高到低的顺序推荐中标候选人</w:t>
      </w:r>
      <w:r>
        <w:rPr>
          <w:rFonts w:hint="eastAsia"/>
          <w:color w:val="auto"/>
          <w:szCs w:val="21"/>
          <w:highlight w:val="none"/>
        </w:rPr>
        <w:t>。</w:t>
      </w:r>
      <w:r>
        <w:rPr>
          <w:color w:val="auto"/>
          <w:szCs w:val="21"/>
          <w:highlight w:val="none"/>
        </w:rPr>
        <w:t>投标人评标总得分相同时，按照其投标报价由低至高排序</w:t>
      </w:r>
      <w:r>
        <w:rPr>
          <w:rFonts w:hint="eastAsia"/>
          <w:color w:val="auto"/>
          <w:szCs w:val="21"/>
          <w:highlight w:val="none"/>
        </w:rPr>
        <w:t>。投标报价也相同时，按照业绩及信用评审得分由高到低确定排序。以上都相同时，由评标委员会投票确定排序。</w:t>
      </w:r>
    </w:p>
    <w:p w14:paraId="23FAC7D5">
      <w:pPr>
        <w:pageBreakBefore w:val="0"/>
        <w:widowControl w:val="0"/>
        <w:kinsoku/>
        <w:wordWrap/>
        <w:overflowPunct/>
        <w:topLinePunct w:val="0"/>
        <w:autoSpaceDE/>
        <w:autoSpaceDN/>
        <w:bidi w:val="0"/>
        <w:adjustRightInd/>
        <w:snapToGrid w:val="0"/>
        <w:spacing w:line="400" w:lineRule="exact"/>
        <w:textAlignment w:val="auto"/>
        <w:rPr>
          <w:rFonts w:eastAsia="黑体"/>
          <w:bCs/>
          <w:color w:val="auto"/>
          <w:sz w:val="30"/>
          <w:highlight w:val="none"/>
        </w:rPr>
      </w:pP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highlight w:val="none"/>
        </w:rPr>
        <w:t>3</w:t>
      </w:r>
      <w:r>
        <w:rPr>
          <w:color w:val="auto"/>
          <w:highlight w:val="none"/>
        </w:rPr>
        <w:t>.2 评标委员会完成评标后，向招标人提交书面评标报告。</w:t>
      </w:r>
    </w:p>
    <w:p w14:paraId="25D89662">
      <w:pPr>
        <w:widowControl/>
        <w:jc w:val="left"/>
        <w:rPr>
          <w:rFonts w:eastAsia="黑体"/>
          <w:bCs/>
          <w:color w:val="auto"/>
          <w:sz w:val="24"/>
          <w:highlight w:val="none"/>
        </w:rPr>
      </w:pPr>
      <w:r>
        <w:rPr>
          <w:rFonts w:eastAsia="黑体"/>
          <w:bCs/>
          <w:color w:val="auto"/>
          <w:sz w:val="30"/>
          <w:highlight w:val="none"/>
        </w:rPr>
        <w:br w:type="page"/>
      </w:r>
      <w:bookmarkEnd w:id="0"/>
      <w:bookmarkStart w:id="160" w:name="_Toc300678090"/>
      <w:r>
        <w:rPr>
          <w:rFonts w:eastAsia="黑体"/>
          <w:bCs/>
          <w:color w:val="auto"/>
          <w:sz w:val="24"/>
          <w:highlight w:val="none"/>
        </w:rPr>
        <w:t>附件3-</w:t>
      </w:r>
      <w:r>
        <w:rPr>
          <w:rFonts w:hint="eastAsia" w:eastAsia="黑体"/>
          <w:bCs/>
          <w:color w:val="auto"/>
          <w:sz w:val="24"/>
          <w:highlight w:val="none"/>
        </w:rPr>
        <w:t>1</w:t>
      </w:r>
      <w:r>
        <w:rPr>
          <w:rFonts w:eastAsia="黑体"/>
          <w:bCs/>
          <w:color w:val="auto"/>
          <w:sz w:val="24"/>
          <w:highlight w:val="none"/>
        </w:rPr>
        <w:t>：评标详细程序</w:t>
      </w:r>
    </w:p>
    <w:p w14:paraId="5454E407">
      <w:pPr>
        <w:spacing w:after="157" w:afterLines="50" w:line="420" w:lineRule="exact"/>
        <w:jc w:val="center"/>
        <w:rPr>
          <w:rFonts w:eastAsia="黑体"/>
          <w:color w:val="auto"/>
          <w:sz w:val="28"/>
          <w:szCs w:val="28"/>
          <w:highlight w:val="none"/>
        </w:rPr>
      </w:pPr>
      <w:r>
        <w:rPr>
          <w:rFonts w:eastAsia="黑体"/>
          <w:color w:val="auto"/>
          <w:sz w:val="28"/>
          <w:szCs w:val="28"/>
          <w:highlight w:val="none"/>
        </w:rPr>
        <w:t>评标详细程序</w:t>
      </w:r>
    </w:p>
    <w:p w14:paraId="74326F30">
      <w:pPr>
        <w:spacing w:line="360" w:lineRule="auto"/>
        <w:ind w:firstLine="420" w:firstLineChars="200"/>
        <w:rPr>
          <w:color w:val="auto"/>
          <w:highlight w:val="none"/>
        </w:rPr>
      </w:pPr>
      <w:r>
        <w:rPr>
          <w:color w:val="auto"/>
          <w:highlight w:val="none"/>
        </w:rPr>
        <w:t>本附件是评标办法的组成部分，是对本评标办法规定的评审程序的进一步细化，评标委员会应当按照本附件规定开展评标工作。</w:t>
      </w:r>
    </w:p>
    <w:p w14:paraId="3BC171D6">
      <w:pPr>
        <w:spacing w:line="360" w:lineRule="auto"/>
        <w:ind w:firstLine="240" w:firstLineChars="100"/>
        <w:rPr>
          <w:rFonts w:eastAsia="黑体"/>
          <w:color w:val="auto"/>
          <w:sz w:val="24"/>
          <w:highlight w:val="none"/>
        </w:rPr>
      </w:pPr>
      <w:r>
        <w:rPr>
          <w:rFonts w:eastAsia="黑体"/>
          <w:color w:val="auto"/>
          <w:sz w:val="24"/>
          <w:highlight w:val="none"/>
        </w:rPr>
        <w:t>1.基本程序</w:t>
      </w:r>
    </w:p>
    <w:p w14:paraId="756196D2">
      <w:pPr>
        <w:spacing w:line="360" w:lineRule="auto"/>
        <w:ind w:firstLine="420" w:firstLineChars="200"/>
        <w:rPr>
          <w:color w:val="auto"/>
          <w:highlight w:val="none"/>
        </w:rPr>
      </w:pPr>
      <w:r>
        <w:rPr>
          <w:color w:val="auto"/>
          <w:highlight w:val="none"/>
        </w:rPr>
        <w:t>评标活动将按以下</w:t>
      </w:r>
      <w:r>
        <w:rPr>
          <w:rFonts w:hint="eastAsia"/>
          <w:color w:val="auto"/>
          <w:highlight w:val="none"/>
          <w:lang w:val="en-US" w:eastAsia="zh-CN"/>
        </w:rPr>
        <w:t>六</w:t>
      </w:r>
      <w:r>
        <w:rPr>
          <w:color w:val="auto"/>
          <w:highlight w:val="none"/>
        </w:rPr>
        <w:t>个步骤进行：</w:t>
      </w:r>
    </w:p>
    <w:p w14:paraId="614353E7">
      <w:pPr>
        <w:numPr>
          <w:ilvl w:val="0"/>
          <w:numId w:val="2"/>
        </w:num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评标准备；</w:t>
      </w:r>
    </w:p>
    <w:p w14:paraId="3899414A">
      <w:pPr>
        <w:numPr>
          <w:ilvl w:val="0"/>
          <w:numId w:val="2"/>
        </w:num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施工组织设计评审；</w:t>
      </w:r>
    </w:p>
    <w:p w14:paraId="2092F8BE">
      <w:pPr>
        <w:spacing w:line="360" w:lineRule="auto"/>
        <w:ind w:firstLine="42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ascii="Times New Roman" w:hAnsi="Times New Roman" w:eastAsia="宋体" w:cs="Times New Roman"/>
          <w:color w:val="auto"/>
          <w:highlight w:val="none"/>
        </w:rPr>
        <w:t>）</w:t>
      </w:r>
      <w:r>
        <w:rPr>
          <w:rFonts w:hint="eastAsia" w:ascii="Times New Roman" w:hAnsi="Times New Roman" w:eastAsia="宋体" w:cs="Times New Roman"/>
          <w:color w:val="auto"/>
          <w:kern w:val="0"/>
          <w:szCs w:val="32"/>
          <w:highlight w:val="none"/>
          <w:lang w:val="en-US" w:eastAsia="zh-CN"/>
        </w:rPr>
        <w:t>形式、资格、响应性评审</w:t>
      </w:r>
      <w:r>
        <w:rPr>
          <w:rFonts w:hint="eastAsia" w:ascii="Times New Roman" w:hAnsi="Times New Roman" w:eastAsia="宋体" w:cs="Times New Roman"/>
          <w:color w:val="auto"/>
          <w:kern w:val="0"/>
          <w:szCs w:val="32"/>
          <w:highlight w:val="none"/>
          <w:lang w:eastAsia="zh-CN"/>
        </w:rPr>
        <w:t>；</w:t>
      </w:r>
    </w:p>
    <w:p w14:paraId="7942B1CA">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4）业绩及信用评审；</w:t>
      </w:r>
    </w:p>
    <w:p w14:paraId="34DD7A49">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（5）投标报价</w:t>
      </w:r>
      <w:r>
        <w:rPr>
          <w:rFonts w:ascii="Times New Roman" w:hAnsi="Times New Roman" w:eastAsia="宋体" w:cs="Times New Roman"/>
          <w:color w:val="auto"/>
          <w:highlight w:val="none"/>
        </w:rPr>
        <w:t>评审</w:t>
      </w:r>
      <w:r>
        <w:rPr>
          <w:rFonts w:hint="eastAsia" w:ascii="Times New Roman" w:hAnsi="Times New Roman" w:eastAsia="宋体" w:cs="Times New Roman"/>
          <w:color w:val="auto"/>
          <w:highlight w:val="none"/>
          <w:lang w:val="en-US" w:eastAsia="zh-CN"/>
        </w:rPr>
        <w:t>；</w:t>
      </w:r>
    </w:p>
    <w:p w14:paraId="0089AC57">
      <w:pPr>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6</w:t>
      </w:r>
      <w:r>
        <w:rPr>
          <w:rFonts w:ascii="Times New Roman" w:hAnsi="Times New Roman" w:eastAsia="宋体" w:cs="Times New Roman"/>
          <w:color w:val="auto"/>
          <w:highlight w:val="none"/>
        </w:rPr>
        <w:t>）推荐中标候选人及提交评标报告。</w:t>
      </w:r>
    </w:p>
    <w:p w14:paraId="68CF0EF3">
      <w:pPr>
        <w:spacing w:line="360" w:lineRule="auto"/>
        <w:ind w:firstLine="240" w:firstLineChars="100"/>
        <w:rPr>
          <w:rFonts w:eastAsia="黑体"/>
          <w:color w:val="auto"/>
          <w:sz w:val="24"/>
          <w:highlight w:val="none"/>
        </w:rPr>
      </w:pPr>
      <w:r>
        <w:rPr>
          <w:rFonts w:eastAsia="黑体"/>
          <w:color w:val="auto"/>
          <w:sz w:val="24"/>
          <w:highlight w:val="none"/>
        </w:rPr>
        <w:t>2.评标准备</w:t>
      </w:r>
    </w:p>
    <w:p w14:paraId="4B6F3052">
      <w:pPr>
        <w:spacing w:line="360" w:lineRule="auto"/>
        <w:ind w:firstLine="420" w:firstLineChars="200"/>
        <w:rPr>
          <w:color w:val="auto"/>
          <w:szCs w:val="21"/>
          <w:highlight w:val="none"/>
        </w:rPr>
      </w:pPr>
      <w:r>
        <w:rPr>
          <w:color w:val="auto"/>
          <w:szCs w:val="21"/>
          <w:highlight w:val="none"/>
        </w:rPr>
        <w:t>2.1 评标委员会成员签到</w:t>
      </w:r>
    </w:p>
    <w:p w14:paraId="290157D8">
      <w:pPr>
        <w:spacing w:line="360" w:lineRule="auto"/>
        <w:ind w:firstLine="420" w:firstLineChars="200"/>
        <w:rPr>
          <w:color w:val="auto"/>
          <w:highlight w:val="none"/>
        </w:rPr>
      </w:pPr>
      <w:r>
        <w:rPr>
          <w:color w:val="auto"/>
          <w:highlight w:val="none"/>
        </w:rPr>
        <w:t>评标委员会成员到达评标现场时应在签到表上签到以证明其出席。</w:t>
      </w:r>
    </w:p>
    <w:p w14:paraId="7FA579A2">
      <w:pPr>
        <w:spacing w:line="360" w:lineRule="auto"/>
        <w:ind w:firstLine="420" w:firstLineChars="200"/>
        <w:rPr>
          <w:color w:val="auto"/>
          <w:szCs w:val="21"/>
          <w:highlight w:val="none"/>
        </w:rPr>
      </w:pPr>
      <w:r>
        <w:rPr>
          <w:color w:val="auto"/>
          <w:szCs w:val="21"/>
          <w:highlight w:val="none"/>
        </w:rPr>
        <w:t>2.2 评标委员会的分工</w:t>
      </w:r>
    </w:p>
    <w:p w14:paraId="0E27C6D4">
      <w:pPr>
        <w:spacing w:line="360" w:lineRule="auto"/>
        <w:ind w:firstLine="420" w:firstLineChars="200"/>
        <w:rPr>
          <w:color w:val="auto"/>
          <w:highlight w:val="none"/>
        </w:rPr>
      </w:pPr>
      <w:r>
        <w:rPr>
          <w:color w:val="auto"/>
          <w:highlight w:val="none"/>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14:paraId="19AD4A12">
      <w:pPr>
        <w:spacing w:line="360" w:lineRule="auto"/>
        <w:ind w:firstLine="420" w:firstLineChars="200"/>
        <w:rPr>
          <w:color w:val="auto"/>
          <w:szCs w:val="21"/>
          <w:highlight w:val="none"/>
        </w:rPr>
      </w:pPr>
      <w:r>
        <w:rPr>
          <w:color w:val="auto"/>
          <w:szCs w:val="21"/>
          <w:highlight w:val="none"/>
        </w:rPr>
        <w:t>2.3 熟悉文件资料</w:t>
      </w:r>
    </w:p>
    <w:p w14:paraId="0CD8D216">
      <w:pPr>
        <w:spacing w:line="360" w:lineRule="auto"/>
        <w:ind w:firstLine="420" w:firstLineChars="200"/>
        <w:rPr>
          <w:color w:val="auto"/>
          <w:highlight w:val="none"/>
        </w:rPr>
      </w:pPr>
      <w:r>
        <w:rPr>
          <w:color w:val="auto"/>
          <w:highlight w:val="none"/>
        </w:rP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14:paraId="3DF81EB8">
      <w:pPr>
        <w:spacing w:line="360" w:lineRule="auto"/>
        <w:ind w:firstLine="420" w:firstLineChars="200"/>
        <w:rPr>
          <w:color w:val="auto"/>
          <w:highlight w:val="none"/>
        </w:rPr>
      </w:pPr>
      <w:r>
        <w:rPr>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14:paraId="708623E0">
      <w:pPr>
        <w:spacing w:line="360" w:lineRule="auto"/>
        <w:ind w:firstLine="420" w:firstLineChars="200"/>
        <w:rPr>
          <w:color w:val="auto"/>
          <w:szCs w:val="21"/>
          <w:highlight w:val="none"/>
        </w:rPr>
      </w:pPr>
      <w:r>
        <w:rPr>
          <w:color w:val="auto"/>
          <w:szCs w:val="21"/>
          <w:highlight w:val="none"/>
        </w:rPr>
        <w:t>2.4 对投标文件进行基础性数据分析和整理工作（以下简称：清标）</w:t>
      </w:r>
    </w:p>
    <w:p w14:paraId="0760DAB5">
      <w:pPr>
        <w:spacing w:line="360" w:lineRule="auto"/>
        <w:ind w:firstLine="420" w:firstLineChars="200"/>
        <w:rPr>
          <w:color w:val="auto"/>
          <w:highlight w:val="none"/>
        </w:rPr>
      </w:pPr>
      <w:r>
        <w:rPr>
          <w:color w:val="auto"/>
          <w:highlight w:val="none"/>
        </w:rPr>
        <w:t>2.4.1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14:paraId="76B22F14">
      <w:pPr>
        <w:spacing w:line="360" w:lineRule="auto"/>
        <w:ind w:firstLine="420" w:firstLineChars="200"/>
        <w:rPr>
          <w:color w:val="auto"/>
          <w:highlight w:val="none"/>
        </w:rPr>
      </w:pPr>
      <w:r>
        <w:rPr>
          <w:color w:val="auto"/>
          <w:highlight w:val="none"/>
        </w:rPr>
        <w:t>2.4.2 投标人应当按照评标委员会的要求，</w:t>
      </w:r>
      <w:bookmarkStart w:id="161" w:name="_Hlk80002807"/>
      <w:r>
        <w:rPr>
          <w:rFonts w:hint="eastAsia"/>
          <w:color w:val="auto"/>
          <w:highlight w:val="none"/>
        </w:rPr>
        <w:t>在规定的时间内通过电子交易平台提供加盖公章或法定代表人（或其委托代理人）签署的澄清、说明或者补正资料。</w:t>
      </w:r>
      <w:bookmarkEnd w:id="161"/>
    </w:p>
    <w:p w14:paraId="4D493748">
      <w:pPr>
        <w:spacing w:line="360" w:lineRule="auto"/>
        <w:ind w:firstLine="0" w:firstLineChars="0"/>
        <w:rPr>
          <w:rFonts w:ascii="Times New Roman" w:hAnsi="Times New Roman" w:eastAsia="黑体" w:cs="Times New Roman"/>
          <w:color w:val="auto"/>
          <w:sz w:val="24"/>
          <w:szCs w:val="24"/>
          <w:highlight w:val="none"/>
        </w:rPr>
      </w:pPr>
      <w:r>
        <w:rPr>
          <w:rFonts w:eastAsia="黑体"/>
          <w:color w:val="auto"/>
          <w:sz w:val="24"/>
          <w:highlight w:val="none"/>
        </w:rPr>
        <w:t>3.</w:t>
      </w:r>
      <w:r>
        <w:rPr>
          <w:rFonts w:hint="eastAsia" w:ascii="Times New Roman" w:hAnsi="Times New Roman" w:eastAsia="黑体" w:cs="Times New Roman"/>
          <w:color w:val="auto"/>
          <w:sz w:val="24"/>
          <w:szCs w:val="24"/>
          <w:highlight w:val="none"/>
          <w:lang w:val="en-US" w:eastAsia="zh-CN"/>
        </w:rPr>
        <w:t>施工组织设计</w:t>
      </w:r>
      <w:r>
        <w:rPr>
          <w:rFonts w:ascii="Times New Roman" w:hAnsi="Times New Roman" w:eastAsia="黑体" w:cs="Times New Roman"/>
          <w:color w:val="auto"/>
          <w:sz w:val="24"/>
          <w:szCs w:val="24"/>
          <w:highlight w:val="none"/>
        </w:rPr>
        <w:t>评审</w:t>
      </w:r>
    </w:p>
    <w:p w14:paraId="2C1656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评标委员会对所有投标人提交的施工组织设计进行评审。</w:t>
      </w:r>
    </w:p>
    <w:p w14:paraId="5D0C8F35">
      <w:pPr>
        <w:spacing w:line="360" w:lineRule="auto"/>
        <w:rPr>
          <w:rFonts w:eastAsia="黑体"/>
          <w:color w:val="auto"/>
          <w:sz w:val="24"/>
          <w:highlight w:val="none"/>
        </w:rPr>
      </w:pPr>
      <w:r>
        <w:rPr>
          <w:rFonts w:hint="eastAsia" w:eastAsia="黑体"/>
          <w:color w:val="auto"/>
          <w:sz w:val="24"/>
          <w:highlight w:val="none"/>
          <w:lang w:val="en-US" w:eastAsia="zh-CN"/>
        </w:rPr>
        <w:t>4.</w:t>
      </w:r>
      <w:r>
        <w:rPr>
          <w:rFonts w:hint="eastAsia" w:eastAsia="黑体"/>
          <w:color w:val="auto"/>
          <w:sz w:val="24"/>
          <w:highlight w:val="none"/>
        </w:rPr>
        <w:t>形式、资格、响应性评审。</w:t>
      </w:r>
    </w:p>
    <w:p w14:paraId="3B6D77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评标委员会依据评标办法的规定对投标文件进行评审。有一项不符合评审标准的，应当予以否决。</w:t>
      </w:r>
    </w:p>
    <w:p w14:paraId="26BDCE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.1 形式评审</w:t>
      </w:r>
    </w:p>
    <w:p w14:paraId="14FEB6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评标委员会根据评标办法前附表中规定的评审因素和评审标准，对投标人的投标文件进行形式评审。</w:t>
      </w:r>
    </w:p>
    <w:p w14:paraId="064403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val="en-US" w:eastAsia="zh-CN"/>
        </w:rPr>
        <w:t>4</w:t>
      </w:r>
      <w:r>
        <w:rPr>
          <w:color w:val="auto"/>
          <w:szCs w:val="21"/>
          <w:highlight w:val="none"/>
        </w:rPr>
        <w:t>.2 资格评审</w:t>
      </w:r>
    </w:p>
    <w:p w14:paraId="79D267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4</w:t>
      </w:r>
      <w:r>
        <w:rPr>
          <w:color w:val="auto"/>
          <w:highlight w:val="none"/>
        </w:rPr>
        <w:t>.2.1未进行资格预审的，由评标委员会根据评标办法前附表规定的评审因素和评审标准，对投标人的投标文件进行资格评审。</w:t>
      </w:r>
    </w:p>
    <w:p w14:paraId="2DF47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4</w:t>
      </w:r>
      <w:r>
        <w:rPr>
          <w:color w:val="auto"/>
          <w:highlight w:val="none"/>
        </w:rPr>
        <w:t>.2.1已进行资格预审的，评标委员会一般不再对</w:t>
      </w:r>
      <w:r>
        <w:rPr>
          <w:rFonts w:hint="eastAsia"/>
          <w:color w:val="auto"/>
          <w:highlight w:val="none"/>
        </w:rPr>
        <w:t>投标人</w:t>
      </w:r>
      <w:r>
        <w:rPr>
          <w:color w:val="auto"/>
          <w:highlight w:val="none"/>
        </w:rPr>
        <w:t>资格进行评审。投标人资格预审申请文件的内容发生重大变化</w:t>
      </w:r>
      <w:r>
        <w:rPr>
          <w:rFonts w:hint="eastAsia"/>
          <w:color w:val="auto"/>
          <w:highlight w:val="none"/>
        </w:rPr>
        <w:t>的</w:t>
      </w:r>
      <w:r>
        <w:rPr>
          <w:color w:val="auto"/>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14:paraId="4FFED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 xml:space="preserve">.2.2  资格评审过程中，评标委员会发现投标人提交的资格审查资料不全时，应当听取该投标人的说明。  </w:t>
      </w:r>
    </w:p>
    <w:p w14:paraId="6D7CE4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4.3 响应性评审</w:t>
      </w:r>
    </w:p>
    <w:p w14:paraId="40B362BD">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.3.1 评标委员会根据评标办法前附表中规定的评审因素和评审标准，对投标人的投标文件进行响应性评审。</w:t>
      </w:r>
    </w:p>
    <w:p w14:paraId="5C14F485">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.3.2 招标文件设定了最高投标限价的，投标人投标价格不得超出（不含等于）“投标人须知”前附表载明的最高投标限价。</w:t>
      </w:r>
    </w:p>
    <w:p w14:paraId="07C4E34D">
      <w:pPr>
        <w:spacing w:line="360" w:lineRule="auto"/>
        <w:ind w:firstLine="0" w:firstLineChars="0"/>
        <w:rPr>
          <w:color w:val="auto"/>
          <w:szCs w:val="21"/>
          <w:highlight w:val="none"/>
        </w:rPr>
      </w:pPr>
      <w:r>
        <w:rPr>
          <w:rFonts w:hint="eastAsia"/>
          <w:color w:val="auto"/>
          <w:szCs w:val="21"/>
          <w:highlight w:val="none"/>
          <w:lang w:val="en-US" w:eastAsia="zh-CN"/>
        </w:rPr>
        <w:t>4</w:t>
      </w:r>
      <w:r>
        <w:rPr>
          <w:color w:val="auto"/>
          <w:szCs w:val="21"/>
          <w:highlight w:val="none"/>
        </w:rPr>
        <w:t>.4 算术错误修正</w:t>
      </w:r>
    </w:p>
    <w:p w14:paraId="71C0B66C">
      <w:pPr>
        <w:spacing w:line="348" w:lineRule="auto"/>
        <w:ind w:firstLine="420" w:firstLineChars="200"/>
        <w:rPr>
          <w:color w:val="auto"/>
          <w:highlight w:val="none"/>
        </w:rPr>
      </w:pPr>
      <w:r>
        <w:rPr>
          <w:color w:val="auto"/>
          <w:highlight w:val="none"/>
        </w:rPr>
        <w:t>评标委员会检查投标人投标报价是否有算术错误，</w:t>
      </w:r>
      <w:r>
        <w:rPr>
          <w:color w:val="auto"/>
          <w:szCs w:val="21"/>
          <w:highlight w:val="none"/>
        </w:rPr>
        <w:t>算术性错误分析和修正</w:t>
      </w:r>
      <w:r>
        <w:rPr>
          <w:color w:val="auto"/>
          <w:highlight w:val="none"/>
        </w:rPr>
        <w:t>按以下原则进行，修正的价格经投标人</w:t>
      </w:r>
      <w:r>
        <w:rPr>
          <w:rFonts w:hint="eastAsia"/>
          <w:color w:val="auto"/>
          <w:highlight w:val="none"/>
        </w:rPr>
        <w:t>通过电子交易平台</w:t>
      </w:r>
      <w:r>
        <w:rPr>
          <w:color w:val="auto"/>
          <w:highlight w:val="none"/>
        </w:rPr>
        <w:t>确认后具有约束力。投标人不接受修正价格的，应当否决其投标。</w:t>
      </w:r>
    </w:p>
    <w:p w14:paraId="6C927AEF">
      <w:pPr>
        <w:spacing w:line="348" w:lineRule="auto"/>
        <w:ind w:firstLine="420" w:firstLineChars="200"/>
        <w:rPr>
          <w:color w:val="auto"/>
          <w:highlight w:val="none"/>
        </w:rPr>
      </w:pPr>
      <w:r>
        <w:rPr>
          <w:color w:val="auto"/>
          <w:highlight w:val="none"/>
        </w:rPr>
        <w:t>（1）投标文件中的大写金额与小写金额不一致的，以大写金额为准；</w:t>
      </w:r>
    </w:p>
    <w:p w14:paraId="4EB22D01">
      <w:pPr>
        <w:spacing w:line="348" w:lineRule="auto"/>
        <w:ind w:firstLine="420" w:firstLineChars="200"/>
        <w:rPr>
          <w:color w:val="auto"/>
          <w:highlight w:val="none"/>
        </w:rPr>
      </w:pPr>
      <w:r>
        <w:rPr>
          <w:color w:val="auto"/>
          <w:highlight w:val="none"/>
        </w:rPr>
        <w:t>（2）总价金额与依据单价计算出的结果不一致的，以单价金额为准修正总价，但单价金额小数点有明显错误的除外。</w:t>
      </w:r>
    </w:p>
    <w:p w14:paraId="2AF38C7B">
      <w:pPr>
        <w:spacing w:line="360" w:lineRule="auto"/>
        <w:ind w:firstLine="420" w:firstLineChars="200"/>
        <w:rPr>
          <w:color w:val="auto"/>
          <w:highlight w:val="none"/>
        </w:rPr>
      </w:pPr>
      <w:r>
        <w:rPr>
          <w:color w:val="auto"/>
          <w:highlight w:val="none"/>
        </w:rPr>
        <w:t>评标委员会根据算术错误修正结果计算评标价。评标委员会对算术错误的修正应向投标人作澄清。投标人对修正结果应</w:t>
      </w:r>
      <w:r>
        <w:rPr>
          <w:rFonts w:hint="eastAsia"/>
          <w:color w:val="auto"/>
          <w:highlight w:val="none"/>
        </w:rPr>
        <w:t>通过电子交易平台进行</w:t>
      </w:r>
      <w:r>
        <w:rPr>
          <w:color w:val="auto"/>
          <w:highlight w:val="none"/>
        </w:rPr>
        <w:t>确认。投标人对修正结果有不同意见或未</w:t>
      </w:r>
      <w:r>
        <w:rPr>
          <w:rFonts w:hint="eastAsia"/>
          <w:color w:val="auto"/>
          <w:highlight w:val="none"/>
        </w:rPr>
        <w:t>通过电子交易平台进行</w:t>
      </w:r>
      <w:r>
        <w:rPr>
          <w:color w:val="auto"/>
          <w:highlight w:val="none"/>
        </w:rPr>
        <w:t>确认的，评标委员会应重新复核修正结果，再次按上述程序分别进行确认、复核。</w:t>
      </w:r>
    </w:p>
    <w:p w14:paraId="194278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4.5是否予以否决投标</w:t>
      </w:r>
    </w:p>
    <w:p w14:paraId="26504585">
      <w:pPr>
        <w:spacing w:line="360" w:lineRule="auto"/>
        <w:ind w:firstLine="420" w:firstLineChars="200"/>
        <w:rPr>
          <w:color w:val="auto"/>
          <w:highlight w:val="none"/>
        </w:rPr>
      </w:pPr>
      <w:r>
        <w:rPr>
          <w:rFonts w:hint="eastAsia"/>
          <w:color w:val="auto"/>
          <w:highlight w:val="none"/>
          <w:lang w:val="en-US" w:eastAsia="zh-CN"/>
        </w:rPr>
        <w:t>4</w:t>
      </w:r>
      <w:r>
        <w:rPr>
          <w:color w:val="auto"/>
          <w:highlight w:val="none"/>
        </w:rPr>
        <w:t>.6.1评标委员会在评标过程中，依据第二章附件2-2中规定的</w:t>
      </w:r>
      <w:r>
        <w:rPr>
          <w:color w:val="auto"/>
          <w:szCs w:val="21"/>
          <w:highlight w:val="none"/>
        </w:rPr>
        <w:t>否决投标情形，</w:t>
      </w:r>
      <w:r>
        <w:rPr>
          <w:color w:val="auto"/>
          <w:highlight w:val="none"/>
        </w:rPr>
        <w:t>判断是否对投标人的投标</w:t>
      </w:r>
      <w:r>
        <w:rPr>
          <w:color w:val="auto"/>
          <w:szCs w:val="21"/>
          <w:highlight w:val="none"/>
        </w:rPr>
        <w:t>予以否决</w:t>
      </w:r>
      <w:r>
        <w:rPr>
          <w:color w:val="auto"/>
          <w:highlight w:val="none"/>
        </w:rPr>
        <w:t>。</w:t>
      </w:r>
    </w:p>
    <w:p w14:paraId="15134A32">
      <w:pPr>
        <w:spacing w:line="360" w:lineRule="auto"/>
        <w:ind w:firstLine="420" w:firstLineChars="200"/>
        <w:rPr>
          <w:color w:val="auto"/>
          <w:highlight w:val="none"/>
        </w:rPr>
      </w:pPr>
      <w:r>
        <w:rPr>
          <w:rFonts w:hint="eastAsia"/>
          <w:color w:val="auto"/>
          <w:highlight w:val="none"/>
          <w:lang w:val="en-US" w:eastAsia="zh-CN"/>
        </w:rPr>
        <w:t>4.5</w:t>
      </w:r>
      <w:r>
        <w:rPr>
          <w:color w:val="auto"/>
          <w:highlight w:val="none"/>
        </w:rPr>
        <w:t>.2 第二章附件2-2集中列示的</w:t>
      </w:r>
      <w:r>
        <w:rPr>
          <w:color w:val="auto"/>
          <w:szCs w:val="21"/>
          <w:highlight w:val="none"/>
        </w:rPr>
        <w:t>否决投标</w:t>
      </w:r>
      <w:r>
        <w:rPr>
          <w:color w:val="auto"/>
          <w:highlight w:val="none"/>
        </w:rPr>
        <w:t>情形如果与第二章“投标人须知”和</w:t>
      </w:r>
      <w:r>
        <w:rPr>
          <w:rFonts w:hint="eastAsia"/>
          <w:color w:val="auto"/>
          <w:highlight w:val="none"/>
        </w:rPr>
        <w:t>本章</w:t>
      </w:r>
      <w:r>
        <w:rPr>
          <w:color w:val="auto"/>
          <w:highlight w:val="none"/>
        </w:rPr>
        <w:t>列示的</w:t>
      </w:r>
      <w:r>
        <w:rPr>
          <w:color w:val="auto"/>
          <w:szCs w:val="21"/>
          <w:highlight w:val="none"/>
        </w:rPr>
        <w:t>否决投标</w:t>
      </w:r>
      <w:r>
        <w:rPr>
          <w:color w:val="auto"/>
          <w:highlight w:val="none"/>
        </w:rPr>
        <w:t>条款相互抵触和矛盾时，以附件2-2集中列示的为准。</w:t>
      </w:r>
    </w:p>
    <w:p w14:paraId="5C28841D">
      <w:pPr>
        <w:spacing w:line="360" w:lineRule="auto"/>
        <w:rPr>
          <w:color w:val="auto"/>
          <w:highlight w:val="none"/>
        </w:rPr>
      </w:pPr>
      <w:r>
        <w:rPr>
          <w:rFonts w:hint="eastAsia" w:eastAsia="黑体"/>
          <w:color w:val="auto"/>
          <w:sz w:val="24"/>
          <w:highlight w:val="none"/>
          <w:lang w:val="en-US" w:eastAsia="zh-CN"/>
        </w:rPr>
        <w:t>5</w:t>
      </w:r>
      <w:r>
        <w:rPr>
          <w:rFonts w:eastAsia="黑体"/>
          <w:color w:val="auto"/>
          <w:sz w:val="24"/>
          <w:highlight w:val="none"/>
        </w:rPr>
        <w:t>.</w:t>
      </w:r>
      <w:r>
        <w:rPr>
          <w:rFonts w:hint="eastAsia" w:eastAsia="黑体"/>
          <w:color w:val="auto"/>
          <w:sz w:val="24"/>
          <w:highlight w:val="none"/>
          <w:lang w:val="en-US" w:eastAsia="zh-CN"/>
        </w:rPr>
        <w:t>业绩及信用</w:t>
      </w:r>
      <w:r>
        <w:rPr>
          <w:rFonts w:hint="eastAsia" w:eastAsia="黑体"/>
          <w:color w:val="auto"/>
          <w:sz w:val="24"/>
          <w:highlight w:val="none"/>
        </w:rPr>
        <w:t>评审</w:t>
      </w:r>
      <w:r>
        <w:rPr>
          <w:rFonts w:hint="eastAsia" w:eastAsia="黑体"/>
          <w:color w:val="auto"/>
          <w:sz w:val="24"/>
          <w:highlight w:val="none"/>
          <w:lang w:eastAsia="zh-CN"/>
        </w:rPr>
        <w:t>、</w:t>
      </w:r>
      <w:r>
        <w:rPr>
          <w:rFonts w:hint="eastAsia" w:eastAsia="黑体"/>
          <w:color w:val="auto"/>
          <w:sz w:val="24"/>
          <w:highlight w:val="none"/>
        </w:rPr>
        <w:t>投标报价评审</w:t>
      </w:r>
    </w:p>
    <w:p w14:paraId="24B3FD81">
      <w:pPr>
        <w:spacing w:line="360" w:lineRule="auto"/>
        <w:ind w:firstLine="420" w:firstLineChars="200"/>
        <w:rPr>
          <w:color w:val="auto"/>
          <w:highlight w:val="none"/>
        </w:rPr>
      </w:pPr>
      <w:r>
        <w:rPr>
          <w:color w:val="auto"/>
          <w:szCs w:val="21"/>
          <w:highlight w:val="none"/>
        </w:rPr>
        <w:t>评标委员会按照规定的评审因素和标准进行评审计分。</w:t>
      </w:r>
    </w:p>
    <w:p w14:paraId="6D08EAB4">
      <w:pPr>
        <w:adjustRightInd w:val="0"/>
        <w:snapToGrid w:val="0"/>
        <w:spacing w:before="63" w:beforeLines="20" w:after="63" w:afterLines="20" w:line="360" w:lineRule="auto"/>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 xml:space="preserve">.1 </w:t>
      </w:r>
      <w:r>
        <w:rPr>
          <w:rFonts w:hint="eastAsia"/>
          <w:color w:val="auto"/>
          <w:szCs w:val="21"/>
          <w:highlight w:val="none"/>
        </w:rPr>
        <w:t>业绩及</w:t>
      </w:r>
      <w:r>
        <w:rPr>
          <w:color w:val="auto"/>
          <w:szCs w:val="21"/>
          <w:highlight w:val="none"/>
        </w:rPr>
        <w:t>信用</w:t>
      </w:r>
      <w:r>
        <w:rPr>
          <w:rFonts w:hint="eastAsia"/>
          <w:color w:val="auto"/>
          <w:szCs w:val="21"/>
          <w:highlight w:val="none"/>
        </w:rPr>
        <w:t>评审</w:t>
      </w:r>
      <w:r>
        <w:rPr>
          <w:color w:val="auto"/>
          <w:szCs w:val="21"/>
          <w:highlight w:val="none"/>
        </w:rPr>
        <w:t>计分</w:t>
      </w:r>
    </w:p>
    <w:p w14:paraId="31660450">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5.2</w:t>
      </w:r>
      <w:r>
        <w:rPr>
          <w:color w:val="auto"/>
          <w:szCs w:val="21"/>
          <w:highlight w:val="none"/>
        </w:rPr>
        <w:t>投标报价评审</w:t>
      </w:r>
      <w:r>
        <w:rPr>
          <w:rFonts w:hint="eastAsia"/>
          <w:color w:val="auto"/>
          <w:szCs w:val="21"/>
          <w:highlight w:val="none"/>
        </w:rPr>
        <w:t>按下列程序进行：</w:t>
      </w:r>
    </w:p>
    <w:p w14:paraId="1AF9E1E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5.2.1</w:t>
      </w:r>
      <w:r>
        <w:rPr>
          <w:rFonts w:hint="eastAsia" w:ascii="宋体" w:hAnsi="宋体" w:cs="宋体"/>
          <w:color w:val="auto"/>
          <w:szCs w:val="21"/>
          <w:highlight w:val="none"/>
        </w:rPr>
        <w:t>是否以低于成本报价竞争</w:t>
      </w:r>
    </w:p>
    <w:p w14:paraId="4B276735">
      <w:pPr>
        <w:adjustRightInd w:val="0"/>
        <w:snapToGrid w:val="0"/>
        <w:spacing w:line="360" w:lineRule="auto"/>
        <w:ind w:firstLine="420" w:firstLineChars="200"/>
        <w:rPr>
          <w:color w:val="auto"/>
          <w:highlight w:val="none"/>
        </w:rPr>
      </w:pPr>
      <w:r>
        <w:rPr>
          <w:color w:val="auto"/>
          <w:szCs w:val="21"/>
          <w:highlight w:val="none"/>
        </w:rPr>
        <w:t>评标委员会</w:t>
      </w:r>
      <w:r>
        <w:rPr>
          <w:rFonts w:hint="eastAsia"/>
          <w:color w:val="auto"/>
          <w:szCs w:val="21"/>
          <w:highlight w:val="none"/>
        </w:rPr>
        <w:t>应当对低于报价评审警戒线的投标人的</w:t>
      </w:r>
      <w:r>
        <w:rPr>
          <w:color w:val="auto"/>
          <w:szCs w:val="21"/>
          <w:highlight w:val="none"/>
        </w:rPr>
        <w:t>报价进行评审，</w:t>
      </w:r>
      <w:r>
        <w:rPr>
          <w:color w:val="auto"/>
          <w:highlight w:val="none"/>
        </w:rPr>
        <w:t>以判断投标报价是否低于成本</w:t>
      </w:r>
      <w:r>
        <w:rPr>
          <w:rFonts w:hint="eastAsia"/>
          <w:color w:val="auto"/>
          <w:highlight w:val="none"/>
        </w:rPr>
        <w:t>。</w:t>
      </w:r>
      <w:r>
        <w:rPr>
          <w:color w:val="auto"/>
          <w:highlight w:val="none"/>
        </w:rPr>
        <w:t>投标报价成本评审按照第二章附件2-3中的规定进行，对低于成本竞标的投标人</w:t>
      </w:r>
      <w:r>
        <w:rPr>
          <w:color w:val="auto"/>
          <w:szCs w:val="21"/>
          <w:highlight w:val="none"/>
        </w:rPr>
        <w:t>予以否决</w:t>
      </w:r>
      <w:r>
        <w:rPr>
          <w:color w:val="auto"/>
          <w:highlight w:val="none"/>
        </w:rPr>
        <w:t>。</w:t>
      </w:r>
    </w:p>
    <w:p w14:paraId="0528F088">
      <w:pPr>
        <w:spacing w:line="360" w:lineRule="auto"/>
        <w:ind w:firstLine="420" w:firstLineChars="200"/>
        <w:rPr>
          <w:color w:val="auto"/>
          <w:szCs w:val="21"/>
          <w:highlight w:val="none"/>
        </w:rPr>
      </w:pPr>
      <w:r>
        <w:rPr>
          <w:rFonts w:hint="eastAsia" w:ascii="宋体" w:hAnsi="宋体" w:cs="宋体"/>
          <w:color w:val="auto"/>
          <w:highlight w:val="none"/>
          <w:lang w:val="en-US" w:eastAsia="zh-CN"/>
        </w:rPr>
        <w:t>5.2.2</w:t>
      </w:r>
      <w:r>
        <w:rPr>
          <w:color w:val="auto"/>
          <w:highlight w:val="none"/>
        </w:rPr>
        <w:t>对</w:t>
      </w:r>
      <w:r>
        <w:rPr>
          <w:color w:val="auto"/>
          <w:szCs w:val="21"/>
          <w:highlight w:val="none"/>
        </w:rPr>
        <w:t>投标总报价进行评审。</w:t>
      </w:r>
    </w:p>
    <w:p w14:paraId="4B34CC72">
      <w:pPr>
        <w:adjustRightInd w:val="0"/>
        <w:snapToGrid w:val="0"/>
        <w:spacing w:line="360" w:lineRule="auto"/>
        <w:ind w:firstLine="420" w:firstLineChars="200"/>
        <w:rPr>
          <w:color w:val="auto"/>
          <w:szCs w:val="21"/>
          <w:highlight w:val="none"/>
        </w:rPr>
      </w:pPr>
      <w:r>
        <w:rPr>
          <w:color w:val="auto"/>
          <w:szCs w:val="21"/>
          <w:highlight w:val="none"/>
        </w:rPr>
        <w:t>&lt;1&gt;按照评标办法前附表的规定计算“基准价”。</w:t>
      </w:r>
    </w:p>
    <w:p w14:paraId="3C18141D">
      <w:pPr>
        <w:adjustRightInd w:val="0"/>
        <w:snapToGrid w:val="0"/>
        <w:spacing w:line="360" w:lineRule="auto"/>
        <w:ind w:firstLine="420" w:firstLineChars="200"/>
        <w:rPr>
          <w:color w:val="auto"/>
          <w:szCs w:val="21"/>
          <w:highlight w:val="none"/>
        </w:rPr>
      </w:pPr>
      <w:r>
        <w:rPr>
          <w:color w:val="auto"/>
          <w:szCs w:val="21"/>
          <w:highlight w:val="none"/>
        </w:rPr>
        <w:t>&lt;2&gt;计算报价得分</w:t>
      </w:r>
    </w:p>
    <w:p w14:paraId="4D432295">
      <w:pPr>
        <w:adjustRightInd w:val="0"/>
        <w:snapToGrid w:val="0"/>
        <w:spacing w:line="360" w:lineRule="auto"/>
        <w:ind w:firstLine="420" w:firstLineChars="200"/>
        <w:rPr>
          <w:color w:val="auto"/>
          <w:szCs w:val="21"/>
          <w:highlight w:val="none"/>
        </w:rPr>
      </w:pPr>
      <w:r>
        <w:rPr>
          <w:color w:val="auto"/>
          <w:szCs w:val="21"/>
          <w:highlight w:val="none"/>
        </w:rPr>
        <w:t>按照评标办法前附表的规定计算通过了</w:t>
      </w:r>
      <w:r>
        <w:rPr>
          <w:rFonts w:hint="eastAsia"/>
          <w:color w:val="auto"/>
          <w:szCs w:val="21"/>
          <w:highlight w:val="none"/>
          <w:lang w:val="en-US" w:eastAsia="zh-CN"/>
        </w:rPr>
        <w:t>形式、资格、响应性</w:t>
      </w:r>
      <w:r>
        <w:rPr>
          <w:color w:val="auto"/>
          <w:szCs w:val="21"/>
          <w:highlight w:val="none"/>
        </w:rPr>
        <w:t>评审、施工组织设计评审，并且未被认定为低于成本竞争的投标人投标报价的“偏差率”。</w:t>
      </w:r>
    </w:p>
    <w:p w14:paraId="3A4F009E">
      <w:pPr>
        <w:spacing w:line="360" w:lineRule="auto"/>
        <w:ind w:firstLine="420" w:firstLineChars="200"/>
        <w:rPr>
          <w:color w:val="auto"/>
          <w:highlight w:val="none"/>
        </w:rPr>
      </w:pPr>
      <w:r>
        <w:rPr>
          <w:color w:val="auto"/>
          <w:szCs w:val="21"/>
          <w:highlight w:val="none"/>
        </w:rPr>
        <w:t>按照评标办法前附表中规定的评分标准，对照投标报价的偏差率，分别对投标报价进行计分。</w:t>
      </w:r>
    </w:p>
    <w:p w14:paraId="60D95923">
      <w:pPr>
        <w:spacing w:line="360" w:lineRule="auto"/>
        <w:ind w:firstLine="420" w:firstLineChars="200"/>
        <w:rPr>
          <w:color w:val="auto"/>
          <w:szCs w:val="21"/>
          <w:highlight w:val="none"/>
        </w:rPr>
      </w:pPr>
      <w:r>
        <w:rPr>
          <w:rFonts w:hint="eastAsia"/>
          <w:color w:val="auto"/>
          <w:szCs w:val="21"/>
          <w:highlight w:val="none"/>
          <w:lang w:val="en-US" w:eastAsia="zh-CN"/>
        </w:rPr>
        <w:t>5.3</w:t>
      </w:r>
      <w:r>
        <w:rPr>
          <w:color w:val="auto"/>
          <w:szCs w:val="21"/>
          <w:highlight w:val="none"/>
        </w:rPr>
        <w:t>澄清、说明或补正</w:t>
      </w:r>
    </w:p>
    <w:p w14:paraId="3504937C">
      <w:pPr>
        <w:adjustRightInd w:val="0"/>
        <w:snapToGrid w:val="0"/>
        <w:spacing w:line="360" w:lineRule="auto"/>
        <w:ind w:firstLine="420" w:firstLineChars="200"/>
        <w:rPr>
          <w:color w:val="auto"/>
          <w:szCs w:val="21"/>
          <w:highlight w:val="none"/>
        </w:rPr>
      </w:pPr>
      <w:r>
        <w:rPr>
          <w:color w:val="auto"/>
          <w:szCs w:val="21"/>
          <w:highlight w:val="none"/>
        </w:rPr>
        <w:t>在评审过程中，评标委员会应当就投标文件中不明确的内容要求投标人进行澄清、说明或者补正。投标人应当</w:t>
      </w:r>
      <w:r>
        <w:rPr>
          <w:rFonts w:hint="eastAsia"/>
          <w:color w:val="auto"/>
          <w:szCs w:val="21"/>
          <w:highlight w:val="none"/>
        </w:rPr>
        <w:t>在规定的时间内通过电子交易平台提供加盖公章或法定代表人（或其委托代理人）签署的澄清、说明或者补正资料。</w:t>
      </w:r>
      <w:r>
        <w:rPr>
          <w:color w:val="auto"/>
          <w:szCs w:val="21"/>
          <w:highlight w:val="none"/>
        </w:rPr>
        <w:t>澄清、说明或补正</w:t>
      </w:r>
      <w:r>
        <w:rPr>
          <w:rFonts w:hint="eastAsia"/>
          <w:color w:val="auto"/>
          <w:szCs w:val="21"/>
          <w:highlight w:val="none"/>
        </w:rPr>
        <w:t>按照</w:t>
      </w:r>
      <w:r>
        <w:rPr>
          <w:color w:val="auto"/>
          <w:szCs w:val="21"/>
          <w:highlight w:val="none"/>
        </w:rPr>
        <w:t>评标办法</w:t>
      </w:r>
      <w:r>
        <w:rPr>
          <w:rFonts w:hint="eastAsia"/>
          <w:color w:val="auto"/>
          <w:szCs w:val="21"/>
          <w:highlight w:val="none"/>
        </w:rPr>
        <w:t>正文第2.3项</w:t>
      </w:r>
      <w:r>
        <w:rPr>
          <w:color w:val="auto"/>
          <w:szCs w:val="21"/>
          <w:highlight w:val="none"/>
        </w:rPr>
        <w:t>执行。</w:t>
      </w:r>
    </w:p>
    <w:p w14:paraId="347D07D3">
      <w:pPr>
        <w:spacing w:line="360" w:lineRule="auto"/>
        <w:ind w:firstLine="420" w:firstLineChars="200"/>
        <w:rPr>
          <w:color w:val="auto"/>
          <w:szCs w:val="21"/>
          <w:highlight w:val="none"/>
        </w:rPr>
      </w:pPr>
      <w:r>
        <w:rPr>
          <w:rFonts w:hint="eastAsia"/>
          <w:color w:val="auto"/>
          <w:szCs w:val="21"/>
          <w:highlight w:val="none"/>
          <w:lang w:val="en-US" w:eastAsia="zh-CN"/>
        </w:rPr>
        <w:t>5.4</w:t>
      </w:r>
      <w:r>
        <w:rPr>
          <w:color w:val="auto"/>
          <w:szCs w:val="21"/>
          <w:highlight w:val="none"/>
        </w:rPr>
        <w:t>汇总评分结果</w:t>
      </w:r>
    </w:p>
    <w:p w14:paraId="0639CC65">
      <w:pPr>
        <w:adjustRightInd w:val="0"/>
        <w:snapToGrid w:val="0"/>
        <w:spacing w:line="360" w:lineRule="auto"/>
        <w:ind w:firstLine="420" w:firstLineChars="200"/>
        <w:rPr>
          <w:color w:val="auto"/>
          <w:szCs w:val="21"/>
          <w:highlight w:val="none"/>
        </w:rPr>
      </w:pPr>
      <w:r>
        <w:rPr>
          <w:color w:val="auto"/>
          <w:szCs w:val="21"/>
          <w:highlight w:val="none"/>
        </w:rPr>
        <w:t>评审工作全部结束后，</w:t>
      </w:r>
      <w:r>
        <w:rPr>
          <w:bCs/>
          <w:color w:val="auto"/>
          <w:szCs w:val="21"/>
          <w:highlight w:val="none"/>
        </w:rPr>
        <w:t>汇总评审计分结果，</w:t>
      </w:r>
      <w:r>
        <w:rPr>
          <w:color w:val="auto"/>
          <w:szCs w:val="21"/>
          <w:highlight w:val="none"/>
        </w:rPr>
        <w:t>并按照</w:t>
      </w:r>
      <w:r>
        <w:rPr>
          <w:rFonts w:hint="eastAsia"/>
          <w:color w:val="auto"/>
          <w:szCs w:val="21"/>
          <w:highlight w:val="none"/>
        </w:rPr>
        <w:t>评标总得分</w:t>
      </w:r>
      <w:r>
        <w:rPr>
          <w:color w:val="auto"/>
          <w:szCs w:val="21"/>
          <w:highlight w:val="none"/>
        </w:rPr>
        <w:t>由高至低的次序对投标人进行排序。</w:t>
      </w:r>
    </w:p>
    <w:p w14:paraId="3F07BE45">
      <w:pPr>
        <w:adjustRightInd w:val="0"/>
        <w:snapToGrid w:val="0"/>
        <w:spacing w:line="360" w:lineRule="auto"/>
        <w:ind w:firstLine="420" w:firstLineChars="200"/>
        <w:rPr>
          <w:color w:val="auto"/>
          <w:szCs w:val="21"/>
          <w:highlight w:val="none"/>
        </w:rPr>
      </w:pPr>
      <w:r>
        <w:rPr>
          <w:color w:val="auto"/>
          <w:szCs w:val="21"/>
          <w:highlight w:val="none"/>
        </w:rPr>
        <w:t>C= J1×G+J2×H</w:t>
      </w:r>
    </w:p>
    <w:p w14:paraId="22BCAFE8">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其中：C——评标总得分</w:t>
      </w:r>
    </w:p>
    <w:p w14:paraId="1A3D26F1">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G——业绩及信用</w:t>
      </w:r>
    </w:p>
    <w:p w14:paraId="42416FA0">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H——</w:t>
      </w:r>
      <w:r>
        <w:rPr>
          <w:rFonts w:hint="eastAsia"/>
          <w:color w:val="auto"/>
          <w:szCs w:val="21"/>
          <w:highlight w:val="none"/>
          <w:lang w:eastAsia="zh-CN"/>
        </w:rPr>
        <w:t>投标</w:t>
      </w:r>
      <w:r>
        <w:rPr>
          <w:rFonts w:hint="eastAsia"/>
          <w:color w:val="auto"/>
          <w:szCs w:val="21"/>
          <w:highlight w:val="none"/>
        </w:rPr>
        <w:t>报价评审得分</w:t>
      </w:r>
    </w:p>
    <w:p w14:paraId="59E76B81">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J1、J2——各项评审因素的权重</w:t>
      </w:r>
    </w:p>
    <w:p w14:paraId="21F051A0">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5.5</w:t>
      </w:r>
      <w:r>
        <w:rPr>
          <w:color w:val="auto"/>
          <w:szCs w:val="21"/>
          <w:highlight w:val="none"/>
        </w:rPr>
        <w:t>评分分值计算保留小数点后两位，小数点后第三位“四舍五入”。</w:t>
      </w:r>
    </w:p>
    <w:p w14:paraId="7AB3634C">
      <w:pPr>
        <w:adjustRightInd w:val="0"/>
        <w:snapToGrid w:val="0"/>
        <w:spacing w:before="63" w:beforeLines="20" w:line="360" w:lineRule="auto"/>
        <w:ind w:firstLine="240" w:firstLineChars="100"/>
        <w:rPr>
          <w:rFonts w:eastAsia="黑体"/>
          <w:bCs/>
          <w:color w:val="auto"/>
          <w:sz w:val="24"/>
          <w:szCs w:val="21"/>
          <w:highlight w:val="none"/>
        </w:rPr>
      </w:pPr>
      <w:bookmarkStart w:id="162" w:name="_Toc300678071"/>
      <w:r>
        <w:rPr>
          <w:rFonts w:hint="eastAsia" w:eastAsia="黑体"/>
          <w:bCs/>
          <w:color w:val="auto"/>
          <w:sz w:val="24"/>
          <w:szCs w:val="21"/>
          <w:highlight w:val="none"/>
          <w:lang w:val="en-US" w:eastAsia="zh-CN"/>
        </w:rPr>
        <w:t>6</w:t>
      </w:r>
      <w:r>
        <w:rPr>
          <w:rFonts w:eastAsia="黑体"/>
          <w:bCs/>
          <w:color w:val="auto"/>
          <w:sz w:val="24"/>
          <w:szCs w:val="21"/>
          <w:highlight w:val="none"/>
        </w:rPr>
        <w:t>.中标人</w:t>
      </w:r>
      <w:r>
        <w:rPr>
          <w:rFonts w:hint="eastAsia" w:eastAsia="黑体"/>
          <w:bCs/>
          <w:color w:val="auto"/>
          <w:sz w:val="24"/>
          <w:szCs w:val="21"/>
          <w:highlight w:val="none"/>
        </w:rPr>
        <w:t>的确定</w:t>
      </w:r>
    </w:p>
    <w:p w14:paraId="169A60DC">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 推荐中标候选人</w:t>
      </w:r>
    </w:p>
    <w:p w14:paraId="61AB9257">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.1.1</w:t>
      </w:r>
      <w:r>
        <w:rPr>
          <w:rFonts w:hint="eastAsia"/>
          <w:color w:val="auto"/>
          <w:szCs w:val="21"/>
          <w:highlight w:val="none"/>
        </w:rPr>
        <w:t>评标委员会</w:t>
      </w:r>
      <w:r>
        <w:rPr>
          <w:color w:val="auto"/>
          <w:szCs w:val="21"/>
          <w:highlight w:val="none"/>
        </w:rPr>
        <w:t>在推荐中标候选人时，应遵照以下原则:</w:t>
      </w:r>
    </w:p>
    <w:p w14:paraId="784CA44E">
      <w:pPr>
        <w:adjustRightInd w:val="0"/>
        <w:snapToGrid w:val="0"/>
        <w:spacing w:line="360" w:lineRule="auto"/>
        <w:ind w:firstLine="420" w:firstLineChars="200"/>
        <w:rPr>
          <w:color w:val="auto"/>
          <w:szCs w:val="21"/>
          <w:highlight w:val="none"/>
        </w:rPr>
      </w:pPr>
      <w:r>
        <w:rPr>
          <w:color w:val="auto"/>
          <w:szCs w:val="21"/>
          <w:highlight w:val="none"/>
        </w:rPr>
        <w:t>（1） 评标委员会按照</w:t>
      </w:r>
      <w:r>
        <w:rPr>
          <w:rFonts w:hint="eastAsia"/>
          <w:color w:val="auto"/>
          <w:szCs w:val="21"/>
          <w:highlight w:val="none"/>
        </w:rPr>
        <w:t>评标总得分</w:t>
      </w:r>
      <w:r>
        <w:rPr>
          <w:color w:val="auto"/>
          <w:szCs w:val="21"/>
          <w:highlight w:val="none"/>
        </w:rPr>
        <w:t>由高至低的次序排列，并根据第二章“投标人须知”前规定的中标候选人数量，将排序在前的投标人推荐为中标候选人。</w:t>
      </w:r>
    </w:p>
    <w:p w14:paraId="1C02AAD8">
      <w:pPr>
        <w:adjustRightInd w:val="0"/>
        <w:snapToGrid w:val="0"/>
        <w:spacing w:line="360" w:lineRule="auto"/>
        <w:ind w:firstLine="420" w:firstLineChars="200"/>
        <w:rPr>
          <w:color w:val="auto"/>
          <w:szCs w:val="21"/>
          <w:highlight w:val="none"/>
        </w:rPr>
      </w:pPr>
      <w:r>
        <w:rPr>
          <w:color w:val="auto"/>
          <w:szCs w:val="21"/>
          <w:highlight w:val="none"/>
        </w:rPr>
        <w:t>（2） 评标委员会根据规定</w:t>
      </w:r>
      <w:r>
        <w:rPr>
          <w:color w:val="auto"/>
          <w:highlight w:val="none"/>
        </w:rPr>
        <w:t>予以否决投标</w:t>
      </w:r>
      <w:r>
        <w:rPr>
          <w:color w:val="auto"/>
          <w:szCs w:val="21"/>
          <w:highlight w:val="none"/>
        </w:rPr>
        <w:t>后，如果因有效投标不足</w:t>
      </w:r>
      <w:r>
        <w:rPr>
          <w:rFonts w:hint="eastAsia"/>
          <w:color w:val="auto"/>
          <w:szCs w:val="21"/>
          <w:highlight w:val="none"/>
        </w:rPr>
        <w:t>3</w:t>
      </w:r>
      <w:r>
        <w:rPr>
          <w:color w:val="auto"/>
          <w:szCs w:val="21"/>
          <w:highlight w:val="none"/>
        </w:rPr>
        <w:t>个使得投标明显缺乏竞争的，评标委员会可以建议招标人重新招标。</w:t>
      </w:r>
    </w:p>
    <w:p w14:paraId="2BD2718E">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.1.2 投标人数量少于</w:t>
      </w:r>
      <w:r>
        <w:rPr>
          <w:rFonts w:hint="eastAsia"/>
          <w:color w:val="auto"/>
          <w:szCs w:val="21"/>
          <w:highlight w:val="none"/>
        </w:rPr>
        <w:t>3</w:t>
      </w:r>
      <w:r>
        <w:rPr>
          <w:color w:val="auto"/>
          <w:szCs w:val="21"/>
          <w:highlight w:val="none"/>
        </w:rPr>
        <w:t>个或者所有投标被否决的，招标人应当依法重新招标。</w:t>
      </w:r>
    </w:p>
    <w:p w14:paraId="47CBB2E4">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.2 确定中标人</w:t>
      </w:r>
    </w:p>
    <w:p w14:paraId="61EE4467">
      <w:pPr>
        <w:adjustRightInd w:val="0"/>
        <w:snapToGrid w:val="0"/>
        <w:spacing w:line="360" w:lineRule="auto"/>
        <w:ind w:firstLine="420" w:firstLineChars="200"/>
        <w:rPr>
          <w:color w:val="auto"/>
          <w:szCs w:val="21"/>
          <w:highlight w:val="none"/>
        </w:rPr>
      </w:pPr>
      <w:r>
        <w:rPr>
          <w:rFonts w:hint="eastAsia"/>
          <w:color w:val="auto"/>
          <w:szCs w:val="21"/>
          <w:highlight w:val="none"/>
        </w:rPr>
        <w:t>招标人对</w:t>
      </w:r>
      <w:r>
        <w:rPr>
          <w:color w:val="auto"/>
          <w:szCs w:val="21"/>
          <w:highlight w:val="none"/>
        </w:rPr>
        <w:t>评标委员会</w:t>
      </w:r>
      <w:r>
        <w:rPr>
          <w:rFonts w:hint="eastAsia"/>
          <w:color w:val="auto"/>
          <w:szCs w:val="21"/>
          <w:highlight w:val="none"/>
        </w:rPr>
        <w:t>推荐的中标候选人进行公示。公示期满，按照相关规定确定</w:t>
      </w:r>
      <w:r>
        <w:rPr>
          <w:color w:val="auto"/>
          <w:szCs w:val="21"/>
          <w:highlight w:val="none"/>
        </w:rPr>
        <w:t>中标人。</w:t>
      </w:r>
    </w:p>
    <w:p w14:paraId="497C9C82">
      <w:pPr>
        <w:spacing w:line="360" w:lineRule="auto"/>
        <w:ind w:firstLine="420" w:firstLineChars="200"/>
        <w:rPr>
          <w:color w:val="auto"/>
          <w:szCs w:val="21"/>
          <w:highlight w:val="none"/>
        </w:rPr>
      </w:pPr>
      <w:r>
        <w:rPr>
          <w:rFonts w:hint="eastAsia"/>
          <w:color w:val="auto"/>
          <w:szCs w:val="21"/>
          <w:highlight w:val="none"/>
          <w:lang w:val="en-US" w:eastAsia="zh-CN"/>
        </w:rPr>
        <w:t>6</w:t>
      </w:r>
      <w:r>
        <w:rPr>
          <w:color w:val="auto"/>
          <w:szCs w:val="21"/>
          <w:highlight w:val="none"/>
        </w:rPr>
        <w:t>.3 编制评标报告</w:t>
      </w:r>
    </w:p>
    <w:p w14:paraId="7F9A556B">
      <w:pPr>
        <w:adjustRightInd w:val="0"/>
        <w:snapToGrid w:val="0"/>
        <w:spacing w:line="360" w:lineRule="auto"/>
        <w:ind w:firstLine="420" w:firstLineChars="200"/>
        <w:rPr>
          <w:color w:val="auto"/>
          <w:szCs w:val="21"/>
          <w:highlight w:val="none"/>
        </w:rPr>
      </w:pPr>
      <w:r>
        <w:rPr>
          <w:color w:val="auto"/>
          <w:szCs w:val="21"/>
          <w:highlight w:val="none"/>
        </w:rPr>
        <w:t>评标委员会根据评标办法的规定向招标人提交评标报告。评标报告应当由全体评标委员会成员签字。评标报告应当包括以下内容：</w:t>
      </w:r>
    </w:p>
    <w:p w14:paraId="50589B70">
      <w:pPr>
        <w:adjustRightInd w:val="0"/>
        <w:snapToGrid w:val="0"/>
        <w:spacing w:before="94" w:beforeLines="30" w:line="300" w:lineRule="auto"/>
        <w:ind w:firstLine="420" w:firstLineChars="200"/>
        <w:rPr>
          <w:color w:val="auto"/>
          <w:szCs w:val="21"/>
          <w:highlight w:val="none"/>
        </w:rPr>
      </w:pPr>
      <w:r>
        <w:rPr>
          <w:color w:val="auto"/>
          <w:szCs w:val="21"/>
          <w:highlight w:val="none"/>
        </w:rPr>
        <w:t>（1）基本情况和数据表；</w:t>
      </w:r>
    </w:p>
    <w:p w14:paraId="2501581F">
      <w:pPr>
        <w:adjustRightInd w:val="0"/>
        <w:snapToGrid w:val="0"/>
        <w:spacing w:before="94" w:beforeLines="30" w:line="300" w:lineRule="auto"/>
        <w:ind w:firstLine="420" w:firstLineChars="200"/>
        <w:rPr>
          <w:color w:val="auto"/>
          <w:szCs w:val="21"/>
          <w:highlight w:val="none"/>
        </w:rPr>
      </w:pPr>
      <w:r>
        <w:rPr>
          <w:color w:val="auto"/>
          <w:szCs w:val="21"/>
          <w:highlight w:val="none"/>
        </w:rPr>
        <w:t>（2）评标委员会成员名单；</w:t>
      </w:r>
    </w:p>
    <w:p w14:paraId="1E7FA348">
      <w:pPr>
        <w:adjustRightInd w:val="0"/>
        <w:snapToGrid w:val="0"/>
        <w:spacing w:before="94" w:beforeLines="30" w:line="300" w:lineRule="auto"/>
        <w:ind w:firstLine="420" w:firstLineChars="200"/>
        <w:rPr>
          <w:color w:val="auto"/>
          <w:szCs w:val="21"/>
          <w:highlight w:val="none"/>
        </w:rPr>
      </w:pPr>
      <w:r>
        <w:rPr>
          <w:color w:val="auto"/>
          <w:szCs w:val="21"/>
          <w:highlight w:val="none"/>
        </w:rPr>
        <w:t>（3）开标记录；</w:t>
      </w:r>
    </w:p>
    <w:p w14:paraId="7FD1671A">
      <w:pPr>
        <w:adjustRightInd w:val="0"/>
        <w:snapToGrid w:val="0"/>
        <w:spacing w:before="94" w:beforeLines="30" w:line="300" w:lineRule="auto"/>
        <w:ind w:firstLine="420" w:firstLineChars="200"/>
        <w:rPr>
          <w:color w:val="auto"/>
          <w:szCs w:val="21"/>
          <w:highlight w:val="none"/>
        </w:rPr>
      </w:pPr>
      <w:r>
        <w:rPr>
          <w:color w:val="auto"/>
          <w:szCs w:val="21"/>
          <w:highlight w:val="none"/>
        </w:rPr>
        <w:t>（4）符合要求的投标一览表；</w:t>
      </w:r>
    </w:p>
    <w:p w14:paraId="5464FB32">
      <w:pPr>
        <w:adjustRightInd w:val="0"/>
        <w:snapToGrid w:val="0"/>
        <w:spacing w:before="94" w:beforeLines="30" w:line="300" w:lineRule="auto"/>
        <w:ind w:firstLine="420" w:firstLineChars="200"/>
        <w:rPr>
          <w:color w:val="auto"/>
          <w:szCs w:val="21"/>
          <w:highlight w:val="none"/>
        </w:rPr>
      </w:pPr>
      <w:r>
        <w:rPr>
          <w:color w:val="auto"/>
          <w:szCs w:val="21"/>
          <w:highlight w:val="none"/>
        </w:rPr>
        <w:t>（5）否决投标情况说明；</w:t>
      </w:r>
    </w:p>
    <w:p w14:paraId="65388F5D">
      <w:pPr>
        <w:adjustRightInd w:val="0"/>
        <w:snapToGrid w:val="0"/>
        <w:spacing w:before="94" w:beforeLines="30" w:line="300" w:lineRule="auto"/>
        <w:ind w:firstLine="420" w:firstLineChars="200"/>
        <w:rPr>
          <w:color w:val="auto"/>
          <w:szCs w:val="21"/>
          <w:highlight w:val="none"/>
        </w:rPr>
      </w:pPr>
      <w:r>
        <w:rPr>
          <w:color w:val="auto"/>
          <w:szCs w:val="21"/>
          <w:highlight w:val="none"/>
        </w:rPr>
        <w:t>（6）评标标准、评标方法或者评标因素一览表；</w:t>
      </w:r>
    </w:p>
    <w:p w14:paraId="1A3BE8CE">
      <w:pPr>
        <w:adjustRightInd w:val="0"/>
        <w:snapToGrid w:val="0"/>
        <w:spacing w:before="94" w:beforeLines="30" w:line="300" w:lineRule="auto"/>
        <w:ind w:firstLine="420" w:firstLineChars="200"/>
        <w:rPr>
          <w:color w:val="auto"/>
          <w:szCs w:val="21"/>
          <w:highlight w:val="none"/>
        </w:rPr>
      </w:pPr>
      <w:r>
        <w:rPr>
          <w:color w:val="auto"/>
          <w:szCs w:val="21"/>
          <w:highlight w:val="none"/>
        </w:rPr>
        <w:t>（7）经评审的价格一览表（包括评标委员会在评标过程中所形成的所有记载评标结果、结论的表格、说明、记录等文件）；</w:t>
      </w:r>
    </w:p>
    <w:p w14:paraId="710DD59B">
      <w:pPr>
        <w:adjustRightInd w:val="0"/>
        <w:snapToGrid w:val="0"/>
        <w:spacing w:before="94" w:beforeLines="30" w:line="300" w:lineRule="auto"/>
        <w:ind w:firstLine="420" w:firstLineChars="200"/>
        <w:rPr>
          <w:color w:val="auto"/>
          <w:szCs w:val="21"/>
          <w:highlight w:val="none"/>
        </w:rPr>
      </w:pPr>
      <w:r>
        <w:rPr>
          <w:color w:val="auto"/>
          <w:szCs w:val="21"/>
          <w:highlight w:val="none"/>
        </w:rPr>
        <w:t>（8）经评审的投标人排序；</w:t>
      </w:r>
    </w:p>
    <w:p w14:paraId="1AD10DE4">
      <w:pPr>
        <w:adjustRightInd w:val="0"/>
        <w:snapToGrid w:val="0"/>
        <w:spacing w:before="94" w:beforeLines="30" w:line="300" w:lineRule="auto"/>
        <w:ind w:firstLine="420" w:firstLineChars="200"/>
        <w:rPr>
          <w:color w:val="auto"/>
          <w:szCs w:val="21"/>
          <w:highlight w:val="none"/>
        </w:rPr>
      </w:pPr>
      <w:r>
        <w:rPr>
          <w:color w:val="auto"/>
          <w:szCs w:val="21"/>
          <w:highlight w:val="none"/>
        </w:rPr>
        <w:t>（9）推荐的中标候选人名单与签订合同前要处理的事宜；</w:t>
      </w:r>
    </w:p>
    <w:p w14:paraId="04746369">
      <w:pPr>
        <w:adjustRightInd w:val="0"/>
        <w:snapToGrid w:val="0"/>
        <w:spacing w:before="94" w:beforeLines="30" w:line="300" w:lineRule="auto"/>
        <w:ind w:firstLine="420" w:firstLineChars="200"/>
        <w:rPr>
          <w:color w:val="auto"/>
          <w:szCs w:val="21"/>
          <w:highlight w:val="none"/>
        </w:rPr>
      </w:pPr>
      <w:r>
        <w:rPr>
          <w:color w:val="auto"/>
          <w:szCs w:val="21"/>
          <w:highlight w:val="none"/>
        </w:rPr>
        <w:t>（10）澄清、说明、补正事项纪要。</w:t>
      </w:r>
    </w:p>
    <w:p w14:paraId="34AE452E">
      <w:pPr>
        <w:adjustRightInd w:val="0"/>
        <w:snapToGrid w:val="0"/>
        <w:spacing w:before="63" w:beforeLines="20" w:after="63" w:afterLines="20" w:line="360" w:lineRule="auto"/>
        <w:rPr>
          <w:rFonts w:eastAsia="黑体"/>
          <w:bCs/>
          <w:color w:val="auto"/>
          <w:sz w:val="24"/>
          <w:szCs w:val="21"/>
          <w:highlight w:val="none"/>
        </w:rPr>
      </w:pPr>
      <w:r>
        <w:rPr>
          <w:rFonts w:hint="eastAsia" w:eastAsia="黑体"/>
          <w:bCs/>
          <w:color w:val="auto"/>
          <w:sz w:val="24"/>
          <w:szCs w:val="21"/>
          <w:highlight w:val="none"/>
          <w:lang w:val="en-US" w:eastAsia="zh-CN"/>
        </w:rPr>
        <w:t>7</w:t>
      </w:r>
      <w:r>
        <w:rPr>
          <w:rFonts w:eastAsia="黑体"/>
          <w:bCs/>
          <w:color w:val="auto"/>
          <w:sz w:val="24"/>
          <w:szCs w:val="21"/>
          <w:highlight w:val="none"/>
        </w:rPr>
        <w:t>．特殊情况的处置程序</w:t>
      </w:r>
    </w:p>
    <w:p w14:paraId="07739748">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 关于评标活动暂停</w:t>
      </w:r>
    </w:p>
    <w:p w14:paraId="7FD06467">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.1.1 评标委员会应当执行连续评标的原则，按评标办法中规定的程序、内容、方法、标准完成全部评标工作。除特殊情况外，评标活动不得暂停。</w:t>
      </w:r>
    </w:p>
    <w:p w14:paraId="67E5736F">
      <w:pPr>
        <w:adjustRightInd w:val="0"/>
        <w:snapToGrid w:val="0"/>
        <w:spacing w:before="63" w:beforeLines="20"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.1.2 发生评标暂停情况时，评标委员会应当封存全部投标文件和评标记录，待特殊情况的影响结束且具备继续评标的条件时，由原评标委员会继续评标。</w:t>
      </w:r>
    </w:p>
    <w:p w14:paraId="716B4B42">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 关于评标中途更换评委</w:t>
      </w:r>
    </w:p>
    <w:p w14:paraId="3E15DE37">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.2.1 除非发生下列情况之一，不得在评标中途更换评标委员会成员：</w:t>
      </w:r>
    </w:p>
    <w:p w14:paraId="78380EC3">
      <w:pPr>
        <w:adjustRightInd w:val="0"/>
        <w:snapToGrid w:val="0"/>
        <w:spacing w:line="360" w:lineRule="auto"/>
        <w:ind w:firstLine="210" w:firstLineChars="100"/>
        <w:rPr>
          <w:color w:val="auto"/>
          <w:szCs w:val="21"/>
          <w:highlight w:val="none"/>
        </w:rPr>
      </w:pPr>
      <w:r>
        <w:rPr>
          <w:color w:val="auto"/>
          <w:szCs w:val="21"/>
          <w:highlight w:val="none"/>
        </w:rPr>
        <w:t>（1）因不可抗拒的原因，评标委员会成员不能到场或需在评标中途退出评标活动。</w:t>
      </w:r>
    </w:p>
    <w:p w14:paraId="3C4E52CD">
      <w:pPr>
        <w:adjustRightInd w:val="0"/>
        <w:snapToGrid w:val="0"/>
        <w:spacing w:line="360" w:lineRule="auto"/>
        <w:ind w:firstLine="210" w:firstLineChars="100"/>
        <w:rPr>
          <w:color w:val="auto"/>
          <w:szCs w:val="21"/>
          <w:highlight w:val="none"/>
        </w:rPr>
      </w:pPr>
      <w:r>
        <w:rPr>
          <w:color w:val="auto"/>
          <w:szCs w:val="21"/>
          <w:highlight w:val="none"/>
        </w:rPr>
        <w:t>（2）根据法律法规规定，某个或某几个评标委员会成员需要回避。</w:t>
      </w:r>
    </w:p>
    <w:p w14:paraId="056D5CFE">
      <w:pPr>
        <w:adjustRightInd w:val="0"/>
        <w:snapToGrid w:val="0"/>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.2.2 退出评标的评标委员会成员，其完成的评标行为无效。由招标人根据</w:t>
      </w:r>
      <w:r>
        <w:rPr>
          <w:rFonts w:hint="eastAsia"/>
          <w:color w:val="auto"/>
          <w:szCs w:val="21"/>
          <w:highlight w:val="none"/>
        </w:rPr>
        <w:t>有关规定</w:t>
      </w:r>
      <w:r>
        <w:rPr>
          <w:color w:val="auto"/>
          <w:szCs w:val="21"/>
          <w:highlight w:val="none"/>
        </w:rPr>
        <w:t>另行确定替代者进行评标。</w:t>
      </w:r>
    </w:p>
    <w:p w14:paraId="137A6EBC">
      <w:pPr>
        <w:spacing w:line="360" w:lineRule="auto"/>
        <w:ind w:firstLine="420" w:firstLineChars="200"/>
        <w:rPr>
          <w:color w:val="auto"/>
          <w:szCs w:val="21"/>
          <w:highlight w:val="none"/>
        </w:rPr>
      </w:pPr>
      <w:r>
        <w:rPr>
          <w:rFonts w:hint="eastAsia"/>
          <w:color w:val="auto"/>
          <w:szCs w:val="21"/>
          <w:highlight w:val="none"/>
          <w:lang w:val="en-US" w:eastAsia="zh-CN"/>
        </w:rPr>
        <w:t>7</w:t>
      </w:r>
      <w:r>
        <w:rPr>
          <w:color w:val="auto"/>
          <w:szCs w:val="21"/>
          <w:highlight w:val="none"/>
        </w:rPr>
        <w:t>.3 记名投票</w:t>
      </w:r>
    </w:p>
    <w:p w14:paraId="4A9854CF">
      <w:pPr>
        <w:adjustRightInd w:val="0"/>
        <w:snapToGrid w:val="0"/>
        <w:spacing w:line="360" w:lineRule="auto"/>
        <w:ind w:firstLine="420" w:firstLineChars="200"/>
        <w:rPr>
          <w:color w:val="auto"/>
          <w:szCs w:val="21"/>
          <w:highlight w:val="none"/>
        </w:rPr>
      </w:pPr>
      <w:r>
        <w:rPr>
          <w:color w:val="auto"/>
          <w:szCs w:val="21"/>
          <w:highlight w:val="none"/>
        </w:rPr>
        <w:t>在任何评标环节中，需评标委员会就某项定性的评审结论做出表决的，由评标委员会全体成员按照少数服从多数的原则，以记名投票方式表决。</w:t>
      </w:r>
    </w:p>
    <w:p w14:paraId="21E7668C">
      <w:pPr>
        <w:spacing w:line="360" w:lineRule="auto"/>
        <w:rPr>
          <w:rFonts w:eastAsia="黑体"/>
          <w:color w:val="auto"/>
          <w:sz w:val="24"/>
          <w:highlight w:val="none"/>
        </w:rPr>
      </w:pPr>
      <w:r>
        <w:rPr>
          <w:rFonts w:hint="eastAsia" w:eastAsia="黑体"/>
          <w:color w:val="auto"/>
          <w:sz w:val="24"/>
          <w:highlight w:val="none"/>
          <w:lang w:val="en-US" w:eastAsia="zh-CN"/>
        </w:rPr>
        <w:t>8</w:t>
      </w:r>
      <w:r>
        <w:rPr>
          <w:rFonts w:eastAsia="黑体"/>
          <w:color w:val="auto"/>
          <w:sz w:val="24"/>
          <w:highlight w:val="none"/>
        </w:rPr>
        <w:t>.补充条款</w:t>
      </w:r>
    </w:p>
    <w:bookmarkEnd w:id="160"/>
    <w:bookmarkEnd w:id="162"/>
    <w:p w14:paraId="763C7045">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.1</w:t>
      </w:r>
      <w:r>
        <w:rPr>
          <w:rFonts w:hint="eastAsia"/>
          <w:color w:val="auto"/>
          <w:szCs w:val="21"/>
          <w:highlight w:val="none"/>
        </w:rPr>
        <w:t>评标过程中，评标委员会成员对法律法规及相关政策文件理解不一致或者不熟悉的问题，应当在现场提请行政监管部门解释。对招标文件中存在的其他问题应当提请招标人澄清。</w:t>
      </w:r>
    </w:p>
    <w:p w14:paraId="1BE3DAD5">
      <w:pPr>
        <w:adjustRightInd w:val="0"/>
        <w:snapToGrid w:val="0"/>
        <w:spacing w:line="360" w:lineRule="auto"/>
        <w:ind w:firstLine="420" w:firstLineChars="200"/>
        <w:rPr>
          <w:color w:val="auto"/>
          <w:szCs w:val="21"/>
          <w:highlight w:val="none"/>
        </w:rPr>
      </w:pPr>
      <w:r>
        <w:rPr>
          <w:rFonts w:hint="eastAsia"/>
          <w:color w:val="auto"/>
          <w:szCs w:val="21"/>
          <w:highlight w:val="none"/>
        </w:rPr>
        <w:t>对上述情形以外的问题，由评标委员会集体讨论决定。无法形成一致意见时，应当按照少数服从多数原则进行表决并予记录。</w:t>
      </w:r>
    </w:p>
    <w:p w14:paraId="342171BF">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lang w:val="en-US" w:eastAsia="zh-CN"/>
        </w:rPr>
        <w:t>8</w:t>
      </w:r>
      <w:r>
        <w:rPr>
          <w:color w:val="auto"/>
          <w:szCs w:val="21"/>
          <w:highlight w:val="none"/>
        </w:rPr>
        <w:t>.2</w:t>
      </w:r>
      <w:r>
        <w:rPr>
          <w:rFonts w:hint="eastAsia"/>
          <w:color w:val="auto"/>
          <w:szCs w:val="21"/>
          <w:highlight w:val="none"/>
        </w:rPr>
        <w:t>评标专家签署评标报告前，评标委员会主任评委应当组织评标专家并邀请招标人、招标代理机构进行复核。</w:t>
      </w:r>
    </w:p>
    <w:p w14:paraId="6AEA3F3D">
      <w:pPr>
        <w:adjustRightInd w:val="0"/>
        <w:snapToGrid w:val="0"/>
        <w:spacing w:line="360" w:lineRule="auto"/>
        <w:ind w:firstLine="420" w:firstLineChars="200"/>
        <w:rPr>
          <w:color w:val="auto"/>
          <w:highlight w:val="none"/>
          <w:lang w:val="zh-CN"/>
        </w:rPr>
      </w:pPr>
      <w:r>
        <w:rPr>
          <w:rFonts w:hint="eastAsia"/>
          <w:color w:val="auto"/>
          <w:szCs w:val="21"/>
          <w:highlight w:val="none"/>
        </w:rPr>
        <w:t>.......</w:t>
      </w:r>
      <w:r>
        <w:rPr>
          <w:bCs/>
          <w:color w:val="auto"/>
          <w:highlight w:val="none"/>
        </w:rPr>
        <w:br w:type="page"/>
      </w:r>
    </w:p>
    <w:p w14:paraId="1A2F34A9">
      <w:pPr>
        <w:pStyle w:val="5"/>
        <w:spacing w:before="0" w:after="0"/>
        <w:jc w:val="center"/>
        <w:rPr>
          <w:rFonts w:ascii="Times New Roman" w:hAnsi="Times New Roman"/>
          <w:b w:val="0"/>
          <w:color w:val="auto"/>
          <w:highlight w:val="none"/>
        </w:rPr>
      </w:pPr>
      <w:bookmarkStart w:id="163" w:name="_Toc80006109"/>
      <w:bookmarkStart w:id="164" w:name="_Toc80006219"/>
      <w:r>
        <w:rPr>
          <w:rFonts w:ascii="Times New Roman" w:hAnsi="Times New Roman" w:eastAsia="黑体"/>
          <w:b w:val="0"/>
          <w:bCs w:val="0"/>
          <w:color w:val="auto"/>
          <w:highlight w:val="none"/>
        </w:rPr>
        <w:t>第四章  合同条款及格式</w:t>
      </w:r>
      <w:bookmarkEnd w:id="163"/>
      <w:bookmarkEnd w:id="164"/>
      <w:bookmarkStart w:id="165" w:name="_Toc337558727"/>
      <w:r>
        <w:rPr>
          <w:rFonts w:ascii="Times New Roman" w:hAnsi="Times New Roman"/>
          <w:b w:val="0"/>
          <w:color w:val="auto"/>
          <w:highlight w:val="none"/>
        </w:rPr>
        <w:t xml:space="preserve"> </w:t>
      </w:r>
    </w:p>
    <w:p w14:paraId="6F269525">
      <w:pPr>
        <w:spacing w:line="480" w:lineRule="exact"/>
        <w:ind w:firstLine="420" w:firstLineChars="150"/>
        <w:rPr>
          <w:color w:val="auto"/>
          <w:sz w:val="28"/>
          <w:szCs w:val="28"/>
          <w:highlight w:val="none"/>
          <w:lang w:val="zh-CN"/>
        </w:rPr>
      </w:pPr>
    </w:p>
    <w:p w14:paraId="02C1674C">
      <w:pPr>
        <w:spacing w:line="480" w:lineRule="exact"/>
        <w:ind w:firstLine="315" w:firstLineChars="150"/>
        <w:rPr>
          <w:color w:val="auto"/>
          <w:szCs w:val="21"/>
          <w:highlight w:val="none"/>
        </w:rPr>
      </w:pPr>
      <w:r>
        <w:rPr>
          <w:rFonts w:hint="eastAsia"/>
          <w:color w:val="auto"/>
          <w:szCs w:val="21"/>
          <w:highlight w:val="none"/>
        </w:rPr>
        <w:t>说明：</w:t>
      </w:r>
      <w:r>
        <w:rPr>
          <w:color w:val="auto"/>
          <w:szCs w:val="21"/>
          <w:highlight w:val="none"/>
        </w:rPr>
        <w:t>合同条款及格式</w:t>
      </w:r>
      <w:r>
        <w:rPr>
          <w:rFonts w:hint="eastAsia"/>
          <w:color w:val="auto"/>
          <w:szCs w:val="21"/>
          <w:highlight w:val="none"/>
        </w:rPr>
        <w:t>应当作为</w:t>
      </w:r>
      <w:r>
        <w:rPr>
          <w:color w:val="auto"/>
          <w:szCs w:val="21"/>
          <w:highlight w:val="none"/>
        </w:rPr>
        <w:t>招标文件的组成部分，</w:t>
      </w:r>
      <w:r>
        <w:rPr>
          <w:rFonts w:hint="eastAsia" w:ascii="宋体" w:hAnsi="宋体" w:cs="宋体"/>
          <w:color w:val="auto"/>
          <w:szCs w:val="21"/>
          <w:highlight w:val="none"/>
        </w:rPr>
        <w:t>合同条款及格式推荐采用</w:t>
      </w:r>
      <w:r>
        <w:rPr>
          <w:color w:val="auto"/>
          <w:szCs w:val="21"/>
          <w:highlight w:val="none"/>
        </w:rPr>
        <w:t>《建设工程施工合同（示范文本）》（GF-2017-0201）。</w:t>
      </w:r>
    </w:p>
    <w:p w14:paraId="235CC623">
      <w:pPr>
        <w:spacing w:line="480" w:lineRule="exact"/>
        <w:jc w:val="center"/>
        <w:rPr>
          <w:color w:val="auto"/>
          <w:sz w:val="24"/>
          <w:highlight w:val="none"/>
        </w:rPr>
      </w:pPr>
    </w:p>
    <w:bookmarkEnd w:id="165"/>
    <w:p w14:paraId="293E1415">
      <w:pPr>
        <w:spacing w:line="480" w:lineRule="exact"/>
        <w:jc w:val="center"/>
        <w:rPr>
          <w:color w:val="auto"/>
          <w:sz w:val="32"/>
          <w:szCs w:val="32"/>
          <w:highlight w:val="none"/>
        </w:rPr>
      </w:pPr>
      <w:bookmarkStart w:id="166" w:name="_Toc351203632"/>
    </w:p>
    <w:p w14:paraId="2AC00A0B">
      <w:pPr>
        <w:spacing w:line="480" w:lineRule="exact"/>
        <w:jc w:val="center"/>
        <w:rPr>
          <w:color w:val="auto"/>
          <w:sz w:val="32"/>
          <w:szCs w:val="32"/>
          <w:highlight w:val="none"/>
        </w:rPr>
      </w:pPr>
    </w:p>
    <w:p w14:paraId="118C9F98">
      <w:pPr>
        <w:pStyle w:val="6"/>
        <w:spacing w:line="360" w:lineRule="auto"/>
        <w:jc w:val="center"/>
        <w:rPr>
          <w:rFonts w:ascii="Times New Roman" w:hAnsi="Times New Roman" w:eastAsia="黑体"/>
          <w:b w:val="0"/>
          <w:bCs w:val="0"/>
          <w:color w:val="auto"/>
          <w:sz w:val="30"/>
          <w:highlight w:val="none"/>
        </w:rPr>
      </w:pPr>
      <w:bookmarkStart w:id="167" w:name="_Toc351203480"/>
      <w:bookmarkStart w:id="168" w:name="_Toc80006220"/>
      <w:bookmarkStart w:id="169" w:name="_Toc80006110"/>
      <w:bookmarkStart w:id="170" w:name="_Toc296890982"/>
      <w:bookmarkStart w:id="171" w:name="_Toc296503025"/>
      <w:r>
        <w:rPr>
          <w:rFonts w:ascii="Times New Roman" w:hAnsi="Times New Roman" w:eastAsia="黑体"/>
          <w:b w:val="0"/>
          <w:bCs w:val="0"/>
          <w:color w:val="auto"/>
          <w:sz w:val="30"/>
          <w:highlight w:val="none"/>
        </w:rPr>
        <w:t>第一</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合同协议书</w:t>
      </w:r>
      <w:bookmarkEnd w:id="167"/>
      <w:bookmarkEnd w:id="168"/>
      <w:bookmarkEnd w:id="169"/>
      <w:bookmarkEnd w:id="170"/>
      <w:bookmarkEnd w:id="171"/>
    </w:p>
    <w:p w14:paraId="5BF2272B">
      <w:pPr>
        <w:spacing w:line="480" w:lineRule="exact"/>
        <w:rPr>
          <w:rFonts w:hint="eastAsia" w:ascii="宋体" w:hAnsi="宋体"/>
          <w:color w:val="auto"/>
          <w:sz w:val="24"/>
          <w:highlight w:val="none"/>
        </w:rPr>
      </w:pPr>
    </w:p>
    <w:p w14:paraId="4C8257A8">
      <w:pPr>
        <w:spacing w:line="480" w:lineRule="exact"/>
        <w:rPr>
          <w:rFonts w:hint="eastAsia" w:ascii="宋体" w:hAnsi="宋体" w:eastAsia="宋体"/>
          <w:color w:val="auto"/>
          <w:szCs w:val="21"/>
          <w:highlight w:val="none"/>
          <w:u w:val="single"/>
          <w:lang w:eastAsia="zh-CN"/>
        </w:rPr>
      </w:pPr>
      <w:r>
        <w:rPr>
          <w:rFonts w:ascii="宋体" w:hAnsi="宋体"/>
          <w:color w:val="auto"/>
          <w:szCs w:val="21"/>
          <w:highlight w:val="none"/>
        </w:rPr>
        <w:t>发包人（全称）：</w:t>
      </w:r>
      <w:r>
        <w:rPr>
          <w:rFonts w:hint="eastAsia"/>
          <w:color w:val="auto"/>
          <w:highlight w:val="none"/>
          <w:u w:val="single"/>
          <w:lang w:eastAsia="zh-CN"/>
        </w:rPr>
        <w:t>湖南省岳阳水文水资源勘测中心</w:t>
      </w:r>
    </w:p>
    <w:p w14:paraId="7767E228">
      <w:pPr>
        <w:spacing w:line="480" w:lineRule="exact"/>
        <w:rPr>
          <w:rFonts w:ascii="宋体" w:hAnsi="宋体"/>
          <w:color w:val="auto"/>
          <w:szCs w:val="21"/>
          <w:highlight w:val="none"/>
          <w:u w:val="single"/>
        </w:rPr>
      </w:pPr>
      <w:r>
        <w:rPr>
          <w:rFonts w:ascii="宋体" w:hAnsi="宋体"/>
          <w:color w:val="auto"/>
          <w:szCs w:val="21"/>
          <w:highlight w:val="none"/>
        </w:rPr>
        <w:t>承包人（全称）：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14:paraId="474C0697">
      <w:pPr>
        <w:spacing w:line="480" w:lineRule="exact"/>
        <w:ind w:firstLine="420" w:firstLineChars="200"/>
        <w:rPr>
          <w:rFonts w:ascii="宋体" w:hAnsi="宋体"/>
          <w:color w:val="auto"/>
          <w:szCs w:val="21"/>
          <w:highlight w:val="none"/>
        </w:rPr>
      </w:pPr>
      <w:r>
        <w:rPr>
          <w:rFonts w:ascii="宋体" w:hAnsi="宋体"/>
          <w:color w:val="auto"/>
          <w:szCs w:val="21"/>
          <w:highlight w:val="none"/>
        </w:rPr>
        <w:t>根据《中华人民共和国</w:t>
      </w:r>
      <w:r>
        <w:rPr>
          <w:rFonts w:hint="eastAsia" w:ascii="宋体" w:hAnsi="宋体"/>
          <w:color w:val="auto"/>
          <w:szCs w:val="21"/>
          <w:highlight w:val="none"/>
        </w:rPr>
        <w:t>民法典</w:t>
      </w:r>
      <w:r>
        <w:rPr>
          <w:rFonts w:ascii="宋体" w:hAnsi="宋体"/>
          <w:color w:val="auto"/>
          <w:szCs w:val="21"/>
          <w:highlight w:val="none"/>
        </w:rPr>
        <w:t>》、《中华人民共和国建筑法》及有关法律规定，遵循平等、自愿、公平和诚实信用的原则，双方就</w:t>
      </w:r>
      <w:r>
        <w:rPr>
          <w:rFonts w:ascii="宋体" w:hAnsi="宋体"/>
          <w:color w:val="auto"/>
          <w:szCs w:val="21"/>
          <w:highlight w:val="none"/>
          <w:u w:val="single"/>
        </w:rPr>
        <w:t xml:space="preserve">  </w:t>
      </w:r>
      <w:r>
        <w:rPr>
          <w:color w:val="auto"/>
          <w:highlight w:val="none"/>
          <w:u w:val="single"/>
        </w:rPr>
        <w:t>岳阳水文水情会商分中心项目</w:t>
      </w:r>
      <w:r>
        <w:rPr>
          <w:rFonts w:ascii="宋体" w:hAnsi="宋体"/>
          <w:color w:val="auto"/>
          <w:szCs w:val="21"/>
          <w:highlight w:val="none"/>
          <w:u w:val="single"/>
        </w:rPr>
        <w:t xml:space="preserve"> </w:t>
      </w:r>
      <w:r>
        <w:rPr>
          <w:rFonts w:ascii="宋体" w:hAnsi="宋体"/>
          <w:color w:val="auto"/>
          <w:szCs w:val="21"/>
          <w:highlight w:val="none"/>
        </w:rPr>
        <w:t>工程施工及有关事项协商一致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005D8599">
      <w:pPr>
        <w:spacing w:line="480" w:lineRule="exact"/>
        <w:ind w:firstLine="420" w:firstLineChars="200"/>
        <w:rPr>
          <w:rFonts w:ascii="宋体" w:hAnsi="宋体"/>
          <w:color w:val="auto"/>
          <w:szCs w:val="21"/>
          <w:highlight w:val="none"/>
        </w:rPr>
      </w:pPr>
      <w:bookmarkStart w:id="172" w:name="_Toc351203481"/>
      <w:r>
        <w:rPr>
          <w:rFonts w:ascii="宋体" w:hAnsi="宋体"/>
          <w:color w:val="auto"/>
          <w:szCs w:val="21"/>
          <w:highlight w:val="none"/>
        </w:rPr>
        <w:t>一、工程概况</w:t>
      </w:r>
      <w:bookmarkEnd w:id="172"/>
    </w:p>
    <w:p w14:paraId="1FAF29C7">
      <w:pPr>
        <w:spacing w:line="480" w:lineRule="exact"/>
        <w:ind w:firstLine="411" w:firstLineChars="196"/>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ascii="宋体" w:hAnsi="宋体"/>
          <w:color w:val="auto"/>
          <w:szCs w:val="21"/>
          <w:highlight w:val="none"/>
          <w:u w:val="single"/>
        </w:rPr>
        <w:t></w:t>
      </w:r>
      <w:r>
        <w:rPr>
          <w:color w:val="auto"/>
          <w:highlight w:val="none"/>
          <w:u w:val="single"/>
        </w:rPr>
        <w:t>岳阳水文水情会商分中心项目</w:t>
      </w:r>
      <w:r>
        <w:rPr>
          <w:rFonts w:ascii="宋体" w:hAnsi="宋体"/>
          <w:color w:val="auto"/>
          <w:szCs w:val="21"/>
          <w:highlight w:val="none"/>
          <w:u w:val="single"/>
        </w:rPr>
        <w:t xml:space="preserve"> </w:t>
      </w:r>
      <w:r>
        <w:rPr>
          <w:rFonts w:ascii="宋体" w:hAnsi="宋体"/>
          <w:color w:val="auto"/>
          <w:szCs w:val="21"/>
          <w:highlight w:val="none"/>
        </w:rPr>
        <w:t>。</w:t>
      </w:r>
    </w:p>
    <w:p w14:paraId="67A55803">
      <w:pPr>
        <w:spacing w:line="480" w:lineRule="exact"/>
        <w:ind w:firstLine="411" w:firstLineChars="196"/>
        <w:rPr>
          <w:rFonts w:ascii="宋体" w:hAnsi="宋体"/>
          <w:bCs/>
          <w:color w:val="auto"/>
          <w:szCs w:val="21"/>
          <w:highlight w:val="none"/>
        </w:rPr>
      </w:pPr>
      <w:r>
        <w:rPr>
          <w:rFonts w:ascii="宋体" w:hAnsi="宋体"/>
          <w:bCs/>
          <w:color w:val="auto"/>
          <w:szCs w:val="21"/>
          <w:highlight w:val="none"/>
        </w:rPr>
        <w:t>2.工程地点：</w:t>
      </w:r>
      <w:r>
        <w:rPr>
          <w:color w:val="auto"/>
          <w:highlight w:val="none"/>
          <w:u w:val="single"/>
        </w:rPr>
        <w:t>岳阳水文测报中心大楼东侧</w:t>
      </w:r>
      <w:r>
        <w:rPr>
          <w:rFonts w:ascii="宋体" w:hAnsi="宋体"/>
          <w:color w:val="auto"/>
          <w:szCs w:val="21"/>
          <w:highlight w:val="none"/>
          <w:u w:val="single"/>
        </w:rPr>
        <w:t xml:space="preserve"> </w:t>
      </w:r>
      <w:r>
        <w:rPr>
          <w:rFonts w:ascii="宋体" w:hAnsi="宋体"/>
          <w:color w:val="auto"/>
          <w:szCs w:val="21"/>
          <w:highlight w:val="none"/>
        </w:rPr>
        <w:t>。</w:t>
      </w:r>
    </w:p>
    <w:p w14:paraId="3307C450">
      <w:pPr>
        <w:spacing w:line="480" w:lineRule="exact"/>
        <w:ind w:firstLine="411" w:firstLineChars="196"/>
        <w:rPr>
          <w:rFonts w:ascii="宋体" w:hAnsi="宋体"/>
          <w:bCs/>
          <w:color w:val="auto"/>
          <w:szCs w:val="21"/>
          <w:highlight w:val="none"/>
        </w:rPr>
      </w:pPr>
      <w:r>
        <w:rPr>
          <w:rFonts w:ascii="宋体" w:hAnsi="宋体"/>
          <w:bCs/>
          <w:color w:val="auto"/>
          <w:szCs w:val="21"/>
          <w:highlight w:val="none"/>
        </w:rPr>
        <w:t>3.工程立项批准文号：</w:t>
      </w:r>
      <w:r>
        <w:rPr>
          <w:color w:val="auto"/>
          <w:highlight w:val="none"/>
          <w:u w:val="single"/>
        </w:rPr>
        <w:t>岳发改审〔2024〕163号</w:t>
      </w:r>
      <w:r>
        <w:rPr>
          <w:rFonts w:ascii="宋体" w:hAnsi="宋体"/>
          <w:bCs/>
          <w:color w:val="auto"/>
          <w:szCs w:val="21"/>
          <w:highlight w:val="none"/>
        </w:rPr>
        <w:t>。</w:t>
      </w:r>
    </w:p>
    <w:p w14:paraId="76176E95">
      <w:pPr>
        <w:spacing w:line="480" w:lineRule="exact"/>
        <w:ind w:firstLine="411" w:firstLineChars="196"/>
        <w:rPr>
          <w:rFonts w:hint="eastAsia" w:ascii="宋体" w:hAnsi="宋体"/>
          <w:bCs/>
          <w:color w:val="auto"/>
          <w:szCs w:val="21"/>
          <w:highlight w:val="none"/>
        </w:rPr>
      </w:pPr>
      <w:r>
        <w:rPr>
          <w:rFonts w:ascii="宋体" w:hAnsi="宋体"/>
          <w:bCs/>
          <w:color w:val="auto"/>
          <w:szCs w:val="21"/>
          <w:highlight w:val="none"/>
        </w:rPr>
        <w:t>4.资金来源：</w:t>
      </w:r>
      <w:r>
        <w:rPr>
          <w:rFonts w:hint="eastAsia"/>
          <w:color w:val="auto"/>
          <w:highlight w:val="none"/>
          <w:u w:val="single"/>
          <w:lang w:val="en-US" w:eastAsia="zh-CN"/>
        </w:rPr>
        <w:t>自筹及省水文中心支持、已落实</w:t>
      </w:r>
      <w:r>
        <w:rPr>
          <w:rFonts w:ascii="宋体" w:hAnsi="宋体"/>
          <w:color w:val="auto"/>
          <w:szCs w:val="21"/>
          <w:highlight w:val="none"/>
          <w:u w:val="single"/>
        </w:rPr>
        <w:t xml:space="preserve"> </w:t>
      </w:r>
      <w:r>
        <w:rPr>
          <w:rFonts w:ascii="宋体" w:hAnsi="宋体"/>
          <w:bCs/>
          <w:color w:val="auto"/>
          <w:szCs w:val="21"/>
          <w:highlight w:val="none"/>
        </w:rPr>
        <w:t>。</w:t>
      </w:r>
    </w:p>
    <w:p w14:paraId="3D282AB8">
      <w:pPr>
        <w:spacing w:line="480" w:lineRule="exact"/>
        <w:ind w:firstLine="411" w:firstLineChars="196"/>
        <w:rPr>
          <w:rFonts w:hint="eastAsia" w:ascii="宋体" w:hAnsi="宋体"/>
          <w:bCs/>
          <w:color w:val="auto"/>
          <w:szCs w:val="21"/>
          <w:highlight w:val="none"/>
        </w:rPr>
      </w:pPr>
      <w:r>
        <w:rPr>
          <w:rFonts w:hint="eastAsia" w:ascii="宋体" w:hAnsi="宋体"/>
          <w:bCs/>
          <w:color w:val="auto"/>
          <w:szCs w:val="21"/>
          <w:highlight w:val="none"/>
        </w:rPr>
        <w:t>5.工程内容：</w:t>
      </w:r>
      <w:r>
        <w:rPr>
          <w:rFonts w:ascii="Times New Roman" w:hAnsi="Times New Roman" w:eastAsia="宋体" w:cs="Times New Roman"/>
          <w:color w:val="auto"/>
          <w:kern w:val="2"/>
          <w:sz w:val="21"/>
          <w:szCs w:val="24"/>
          <w:highlight w:val="none"/>
          <w:u w:val="single"/>
          <w:lang w:val="en-US" w:eastAsia="zh-CN" w:bidi="ar-SA"/>
        </w:rPr>
        <w:t>主要建设3层水情会商分中心。项目规划净用地面积2894.30平方米，总建筑面积2051.16平方米，建筑占地面 积683.72平方米，并配套建设供电、给排水等设施</w:t>
      </w:r>
      <w:r>
        <w:rPr>
          <w:rFonts w:ascii="宋体" w:hAnsi="宋体"/>
          <w:bCs/>
          <w:color w:val="auto"/>
          <w:szCs w:val="21"/>
          <w:highlight w:val="none"/>
        </w:rPr>
        <w:t>。</w:t>
      </w:r>
    </w:p>
    <w:p w14:paraId="6A92A31E">
      <w:pPr>
        <w:spacing w:line="480" w:lineRule="exact"/>
        <w:ind w:firstLine="411" w:firstLineChars="196"/>
        <w:rPr>
          <w:rFonts w:ascii="宋体" w:hAnsi="宋体"/>
          <w:bCs/>
          <w:color w:val="auto"/>
          <w:szCs w:val="21"/>
          <w:highlight w:val="none"/>
        </w:rPr>
      </w:pPr>
      <w:r>
        <w:rPr>
          <w:rFonts w:hint="eastAsia" w:ascii="宋体" w:hAnsi="宋体"/>
          <w:color w:val="auto"/>
          <w:szCs w:val="21"/>
          <w:highlight w:val="none"/>
        </w:rPr>
        <w:t>群体工程应附《</w:t>
      </w:r>
      <w:r>
        <w:rPr>
          <w:rFonts w:ascii="宋体" w:hAnsi="宋体"/>
          <w:color w:val="auto"/>
          <w:szCs w:val="21"/>
          <w:highlight w:val="none"/>
        </w:rPr>
        <w:t>承包人承揽工程项目一览表</w:t>
      </w:r>
      <w:r>
        <w:rPr>
          <w:rFonts w:hint="eastAsia" w:ascii="宋体" w:hAnsi="宋体"/>
          <w:color w:val="auto"/>
          <w:szCs w:val="21"/>
          <w:highlight w:val="none"/>
        </w:rPr>
        <w:t>》（附件1）。</w:t>
      </w:r>
    </w:p>
    <w:p w14:paraId="5F1C0522">
      <w:pPr>
        <w:spacing w:line="480" w:lineRule="exact"/>
        <w:ind w:firstLine="411" w:firstLineChars="196"/>
        <w:rPr>
          <w:rFonts w:ascii="宋体" w:hAnsi="宋体"/>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.工程承包范围：</w:t>
      </w:r>
      <w:r>
        <w:rPr>
          <w:rFonts w:hint="eastAsia" w:ascii="宋体" w:hAnsi="宋体" w:eastAsia="宋体" w:cs="宋体"/>
          <w:i w:val="0"/>
          <w:iCs w:val="0"/>
          <w:caps w:val="0"/>
          <w:color w:val="555555"/>
          <w:spacing w:val="0"/>
          <w:sz w:val="21"/>
          <w:szCs w:val="21"/>
          <w:u w:val="single"/>
          <w:shd w:val="clear" w:fill="FFFFFF"/>
        </w:rPr>
        <w:t>完成经审核后施工图上的全部施工工作内容及保修服务。施工范围最终以招标人和建设行政主管部门审查核准的施工图和工程量清单为准</w:t>
      </w:r>
      <w:r>
        <w:rPr>
          <w:rFonts w:ascii="宋体" w:hAnsi="宋体"/>
          <w:color w:val="auto"/>
          <w:szCs w:val="21"/>
          <w:highlight w:val="none"/>
        </w:rPr>
        <w:t>。</w:t>
      </w:r>
    </w:p>
    <w:p w14:paraId="15AAD09D">
      <w:pPr>
        <w:spacing w:line="480" w:lineRule="exact"/>
        <w:rPr>
          <w:rFonts w:ascii="宋体" w:hAnsi="宋体"/>
          <w:color w:val="auto"/>
          <w:szCs w:val="21"/>
          <w:highlight w:val="none"/>
        </w:rPr>
      </w:pPr>
      <w:r>
        <w:rPr>
          <w:rFonts w:ascii="宋体" w:hAnsi="宋体"/>
          <w:color w:val="auto"/>
          <w:szCs w:val="21"/>
          <w:highlight w:val="none"/>
        </w:rPr>
        <w:t xml:space="preserve">   </w:t>
      </w:r>
      <w:bookmarkStart w:id="173" w:name="_Toc351203482"/>
      <w:r>
        <w:rPr>
          <w:rFonts w:ascii="宋体" w:hAnsi="宋体"/>
          <w:color w:val="auto"/>
          <w:szCs w:val="21"/>
          <w:highlight w:val="none"/>
        </w:rPr>
        <w:t>二、合同工期</w:t>
      </w:r>
      <w:bookmarkEnd w:id="173"/>
    </w:p>
    <w:p w14:paraId="40508E02">
      <w:pPr>
        <w:spacing w:line="480" w:lineRule="exact"/>
        <w:ind w:firstLine="459"/>
        <w:rPr>
          <w:rFonts w:ascii="宋体" w:hAnsi="宋体"/>
          <w:color w:val="auto"/>
          <w:szCs w:val="21"/>
          <w:highlight w:val="none"/>
        </w:rPr>
      </w:pPr>
      <w:r>
        <w:rPr>
          <w:rFonts w:ascii="宋体" w:hAnsi="宋体"/>
          <w:color w:val="auto"/>
          <w:szCs w:val="21"/>
          <w:highlight w:val="none"/>
        </w:rPr>
        <w:t>计划开工日期：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14:paraId="7C29C137">
      <w:pPr>
        <w:spacing w:line="480" w:lineRule="exact"/>
        <w:ind w:firstLine="459"/>
        <w:rPr>
          <w:rFonts w:ascii="宋体" w:hAnsi="宋体"/>
          <w:color w:val="auto"/>
          <w:szCs w:val="21"/>
          <w:highlight w:val="none"/>
        </w:rPr>
      </w:pPr>
      <w:r>
        <w:rPr>
          <w:rFonts w:ascii="宋体" w:hAnsi="宋体"/>
          <w:color w:val="auto"/>
          <w:szCs w:val="21"/>
          <w:highlight w:val="none"/>
        </w:rPr>
        <w:t>计划竣工日期：</w:t>
      </w:r>
      <w:r>
        <w:rPr>
          <w:rFonts w:ascii="宋体" w:hAnsi="宋体"/>
          <w:color w:val="auto"/>
          <w:szCs w:val="21"/>
          <w:highlight w:val="none"/>
          <w:u w:val="single"/>
        </w:rPr>
        <w:t></w:t>
      </w:r>
      <w:r>
        <w:rPr>
          <w:rFonts w:ascii="宋体" w:hAnsi="宋体"/>
          <w:color w:val="auto"/>
          <w:szCs w:val="21"/>
          <w:highlight w:val="none"/>
        </w:rPr>
        <w:t>年</w:t>
      </w:r>
      <w:r>
        <w:rPr>
          <w:rFonts w:ascii="宋体" w:hAnsi="宋体"/>
          <w:color w:val="auto"/>
          <w:szCs w:val="21"/>
          <w:highlight w:val="none"/>
          <w:u w:val="single"/>
        </w:rPr>
        <w:t></w:t>
      </w:r>
      <w:r>
        <w:rPr>
          <w:rFonts w:ascii="宋体" w:hAnsi="宋体"/>
          <w:color w:val="auto"/>
          <w:szCs w:val="21"/>
          <w:highlight w:val="none"/>
        </w:rPr>
        <w:t>月</w:t>
      </w:r>
      <w:r>
        <w:rPr>
          <w:rFonts w:ascii="宋体" w:hAnsi="宋体"/>
          <w:color w:val="auto"/>
          <w:szCs w:val="21"/>
          <w:highlight w:val="none"/>
          <w:u w:val="single"/>
        </w:rPr>
        <w:t></w:t>
      </w:r>
      <w:r>
        <w:rPr>
          <w:rFonts w:ascii="宋体" w:hAnsi="宋体"/>
          <w:color w:val="auto"/>
          <w:szCs w:val="21"/>
          <w:highlight w:val="none"/>
        </w:rPr>
        <w:t>日。</w:t>
      </w:r>
    </w:p>
    <w:p w14:paraId="576ED2D5">
      <w:pPr>
        <w:spacing w:line="480" w:lineRule="exact"/>
        <w:ind w:firstLine="459"/>
        <w:rPr>
          <w:rFonts w:ascii="宋体" w:hAnsi="宋体"/>
          <w:color w:val="auto"/>
          <w:szCs w:val="21"/>
          <w:highlight w:val="none"/>
        </w:rPr>
      </w:pPr>
      <w:r>
        <w:rPr>
          <w:rFonts w:ascii="宋体" w:hAnsi="宋体"/>
          <w:color w:val="auto"/>
          <w:szCs w:val="21"/>
          <w:highlight w:val="none"/>
        </w:rPr>
        <w:t>工期总日历天数：</w:t>
      </w:r>
      <w:r>
        <w:rPr>
          <w:rFonts w:ascii="宋体" w:hAnsi="宋体"/>
          <w:color w:val="auto"/>
          <w:szCs w:val="21"/>
          <w:highlight w:val="none"/>
          <w:u w:val="single"/>
        </w:rPr>
        <w:t></w:t>
      </w:r>
      <w:r>
        <w:rPr>
          <w:rFonts w:hint="eastAsia" w:ascii="宋体" w:hAnsi="宋体"/>
          <w:color w:val="auto"/>
          <w:szCs w:val="21"/>
          <w:highlight w:val="none"/>
          <w:u w:val="single"/>
          <w:lang w:val="en-US" w:eastAsia="zh-CN"/>
        </w:rPr>
        <w:t>90</w:t>
      </w:r>
      <w:r>
        <w:rPr>
          <w:rFonts w:ascii="宋体" w:hAnsi="宋体"/>
          <w:color w:val="auto"/>
          <w:szCs w:val="21"/>
          <w:highlight w:val="none"/>
        </w:rPr>
        <w:t>天。工期总日历天数与根据前述计划开竣工日期计算的工期天数不一致的，以工期总日历天数为准。</w:t>
      </w:r>
    </w:p>
    <w:p w14:paraId="0979FCDF">
      <w:pPr>
        <w:spacing w:line="480" w:lineRule="exact"/>
        <w:rPr>
          <w:rFonts w:ascii="宋体" w:hAnsi="宋体"/>
          <w:color w:val="auto"/>
          <w:szCs w:val="21"/>
          <w:highlight w:val="none"/>
        </w:rPr>
      </w:pPr>
      <w:r>
        <w:rPr>
          <w:rFonts w:ascii="宋体" w:hAnsi="宋体"/>
          <w:color w:val="auto"/>
          <w:szCs w:val="21"/>
          <w:highlight w:val="none"/>
        </w:rPr>
        <w:t xml:space="preserve">    </w:t>
      </w:r>
      <w:bookmarkStart w:id="174" w:name="_Toc351203483"/>
      <w:r>
        <w:rPr>
          <w:rFonts w:ascii="宋体" w:hAnsi="宋体"/>
          <w:color w:val="auto"/>
          <w:szCs w:val="21"/>
          <w:highlight w:val="none"/>
        </w:rPr>
        <w:t>三、质量标准</w:t>
      </w:r>
      <w:bookmarkEnd w:id="174"/>
    </w:p>
    <w:p w14:paraId="0F8CE978">
      <w:pPr>
        <w:spacing w:line="480" w:lineRule="exact"/>
        <w:ind w:firstLine="459"/>
        <w:rPr>
          <w:rFonts w:ascii="宋体" w:hAnsi="宋体"/>
          <w:color w:val="auto"/>
          <w:szCs w:val="21"/>
          <w:highlight w:val="none"/>
        </w:rPr>
      </w:pPr>
      <w:r>
        <w:rPr>
          <w:rFonts w:ascii="宋体" w:hAnsi="宋体"/>
          <w:color w:val="auto"/>
          <w:szCs w:val="21"/>
          <w:highlight w:val="none"/>
        </w:rPr>
        <w:t>工程质量符合</w:t>
      </w:r>
      <w:r>
        <w:rPr>
          <w:rFonts w:hint="eastAsia" w:ascii="宋体" w:hAnsi="宋体"/>
          <w:color w:val="auto"/>
          <w:szCs w:val="21"/>
          <w:highlight w:val="none"/>
          <w:u w:val="single"/>
          <w:lang w:val="en-US" w:eastAsia="zh-CN"/>
        </w:rPr>
        <w:t>合格</w:t>
      </w:r>
      <w:r>
        <w:rPr>
          <w:rFonts w:ascii="宋体" w:hAnsi="宋体"/>
          <w:color w:val="auto"/>
          <w:szCs w:val="21"/>
          <w:highlight w:val="none"/>
        </w:rPr>
        <w:t>标准。</w:t>
      </w:r>
    </w:p>
    <w:p w14:paraId="7DBB319C">
      <w:pPr>
        <w:spacing w:line="480" w:lineRule="exact"/>
        <w:rPr>
          <w:rFonts w:ascii="宋体" w:hAnsi="宋体"/>
          <w:color w:val="auto"/>
          <w:szCs w:val="21"/>
          <w:highlight w:val="none"/>
        </w:rPr>
      </w:pPr>
      <w:r>
        <w:rPr>
          <w:rFonts w:ascii="宋体" w:hAnsi="宋体"/>
          <w:color w:val="auto"/>
          <w:szCs w:val="21"/>
          <w:highlight w:val="none"/>
        </w:rPr>
        <w:t xml:space="preserve">    </w:t>
      </w:r>
      <w:bookmarkStart w:id="175" w:name="_Toc351203484"/>
      <w:r>
        <w:rPr>
          <w:rFonts w:ascii="宋体" w:hAnsi="宋体"/>
          <w:color w:val="auto"/>
          <w:szCs w:val="21"/>
          <w:highlight w:val="none"/>
        </w:rPr>
        <w:t>四、签约合同价与合同价格形式</w:t>
      </w:r>
      <w:bookmarkEnd w:id="175"/>
      <w:r>
        <w:rPr>
          <w:rFonts w:ascii="宋体" w:hAnsi="宋体"/>
          <w:color w:val="auto"/>
          <w:szCs w:val="21"/>
          <w:highlight w:val="none"/>
        </w:rPr>
        <w:tab/>
      </w:r>
    </w:p>
    <w:p w14:paraId="11D00E91">
      <w:pPr>
        <w:spacing w:line="480" w:lineRule="exact"/>
        <w:ind w:firstLine="420" w:firstLineChars="200"/>
        <w:rPr>
          <w:rFonts w:ascii="宋体" w:hAnsi="宋体"/>
          <w:color w:val="auto"/>
          <w:szCs w:val="21"/>
          <w:highlight w:val="none"/>
        </w:rPr>
      </w:pPr>
      <w:r>
        <w:rPr>
          <w:rFonts w:ascii="宋体" w:hAnsi="宋体"/>
          <w:color w:val="auto"/>
          <w:szCs w:val="21"/>
          <w:highlight w:val="none"/>
        </w:rPr>
        <w:t>1.签约合同价为：</w:t>
      </w:r>
    </w:p>
    <w:p w14:paraId="41873AFE">
      <w:pPr>
        <w:spacing w:line="480" w:lineRule="exact"/>
        <w:ind w:firstLine="525" w:firstLineChars="2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14:paraId="679BAFC5">
      <w:pPr>
        <w:spacing w:line="480" w:lineRule="exact"/>
        <w:ind w:firstLine="420" w:firstLineChars="200"/>
        <w:rPr>
          <w:rFonts w:ascii="宋体" w:hAnsi="宋体"/>
          <w:color w:val="auto"/>
          <w:szCs w:val="21"/>
          <w:highlight w:val="none"/>
        </w:rPr>
      </w:pPr>
      <w:r>
        <w:rPr>
          <w:rFonts w:ascii="宋体" w:hAnsi="宋体"/>
          <w:color w:val="auto"/>
          <w:szCs w:val="21"/>
          <w:highlight w:val="none"/>
        </w:rPr>
        <w:t>其中：</w:t>
      </w:r>
    </w:p>
    <w:p w14:paraId="492F894D">
      <w:pPr>
        <w:spacing w:line="480" w:lineRule="exact"/>
        <w:ind w:firstLine="420" w:firstLineChars="200"/>
        <w:rPr>
          <w:rFonts w:hint="eastAsia" w:ascii="宋体" w:hAnsi="宋体"/>
          <w:color w:val="auto"/>
          <w:kern w:val="0"/>
          <w:highlight w:val="none"/>
        </w:rPr>
      </w:pPr>
      <w:r>
        <w:rPr>
          <w:rFonts w:ascii="宋体" w:hAnsi="宋体"/>
          <w:color w:val="auto"/>
          <w:szCs w:val="21"/>
          <w:highlight w:val="none"/>
        </w:rPr>
        <w:t>（1）</w:t>
      </w:r>
      <w:r>
        <w:rPr>
          <w:rFonts w:hint="eastAsia" w:ascii="宋体" w:hAnsi="宋体"/>
          <w:color w:val="auto"/>
          <w:kern w:val="0"/>
          <w:highlight w:val="none"/>
        </w:rPr>
        <w:t>绿色施工安全防护措施项目费：人民币（大写）</w:t>
      </w:r>
      <w:r>
        <w:rPr>
          <w:rFonts w:hint="eastAsia" w:ascii="宋体" w:hAnsi="宋体"/>
          <w:color w:val="auto"/>
          <w:kern w:val="0"/>
          <w:highlight w:val="none"/>
          <w:u w:val="single"/>
        </w:rPr>
        <w:t xml:space="preserve">              </w:t>
      </w:r>
      <w:r>
        <w:rPr>
          <w:rFonts w:hint="eastAsia" w:ascii="宋体" w:hAnsi="宋体"/>
          <w:color w:val="auto"/>
          <w:kern w:val="0"/>
          <w:highlight w:val="none"/>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元)；</w:t>
      </w:r>
    </w:p>
    <w:p w14:paraId="0C880856">
      <w:pPr>
        <w:spacing w:line="480" w:lineRule="exact"/>
        <w:ind w:firstLine="420" w:firstLineChars="200"/>
        <w:rPr>
          <w:rFonts w:ascii="宋体" w:hAnsi="宋体"/>
          <w:color w:val="auto"/>
          <w:szCs w:val="21"/>
          <w:highlight w:val="none"/>
        </w:rPr>
      </w:pPr>
      <w:r>
        <w:rPr>
          <w:rFonts w:ascii="宋体" w:hAnsi="宋体"/>
          <w:color w:val="auto"/>
          <w:szCs w:val="21"/>
          <w:highlight w:val="none"/>
        </w:rPr>
        <w:t>（2）材料和工程设备暂估价金额：</w:t>
      </w:r>
    </w:p>
    <w:p w14:paraId="271C81B0">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14:paraId="23586145">
      <w:pPr>
        <w:spacing w:line="480" w:lineRule="exact"/>
        <w:ind w:firstLine="420" w:firstLineChars="200"/>
        <w:rPr>
          <w:rFonts w:ascii="宋体" w:hAnsi="宋体"/>
          <w:color w:val="auto"/>
          <w:szCs w:val="21"/>
          <w:highlight w:val="none"/>
        </w:rPr>
      </w:pPr>
      <w:r>
        <w:rPr>
          <w:rFonts w:ascii="宋体" w:hAnsi="宋体"/>
          <w:color w:val="auto"/>
          <w:szCs w:val="21"/>
          <w:highlight w:val="none"/>
        </w:rPr>
        <w:t>（3）专业工程暂估价金额：</w:t>
      </w:r>
    </w:p>
    <w:p w14:paraId="305DD84A">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14:paraId="3A4F5091">
      <w:pPr>
        <w:spacing w:line="480" w:lineRule="exact"/>
        <w:ind w:firstLine="420" w:firstLineChars="200"/>
        <w:rPr>
          <w:rFonts w:ascii="宋体" w:hAnsi="宋体"/>
          <w:color w:val="auto"/>
          <w:szCs w:val="21"/>
          <w:highlight w:val="none"/>
        </w:rPr>
      </w:pPr>
      <w:r>
        <w:rPr>
          <w:rFonts w:ascii="宋体" w:hAnsi="宋体"/>
          <w:color w:val="auto"/>
          <w:szCs w:val="21"/>
          <w:highlight w:val="none"/>
        </w:rPr>
        <w:t>（4）暂列金额：</w:t>
      </w:r>
    </w:p>
    <w:p w14:paraId="7FDBE3E8">
      <w:pPr>
        <w:spacing w:line="480" w:lineRule="exact"/>
        <w:ind w:firstLine="945" w:firstLineChars="450"/>
        <w:rPr>
          <w:rFonts w:ascii="宋体" w:hAnsi="宋体"/>
          <w:color w:val="auto"/>
          <w:szCs w:val="21"/>
          <w:highlight w:val="none"/>
        </w:rPr>
      </w:pPr>
      <w:r>
        <w:rPr>
          <w:rFonts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元)。</w:t>
      </w:r>
    </w:p>
    <w:p w14:paraId="2C42CFC6">
      <w:pPr>
        <w:spacing w:line="48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1F5F769">
      <w:pPr>
        <w:spacing w:line="480" w:lineRule="exact"/>
        <w:rPr>
          <w:rFonts w:ascii="宋体" w:hAnsi="宋体"/>
          <w:color w:val="auto"/>
          <w:szCs w:val="21"/>
          <w:highlight w:val="none"/>
        </w:rPr>
      </w:pPr>
      <w:r>
        <w:rPr>
          <w:rFonts w:ascii="宋体" w:hAnsi="宋体"/>
          <w:color w:val="auto"/>
          <w:szCs w:val="21"/>
          <w:highlight w:val="none"/>
        </w:rPr>
        <w:t xml:space="preserve">    </w:t>
      </w:r>
      <w:bookmarkStart w:id="176" w:name="_Toc351203485"/>
      <w:r>
        <w:rPr>
          <w:rFonts w:ascii="宋体" w:hAnsi="宋体"/>
          <w:color w:val="auto"/>
          <w:szCs w:val="21"/>
          <w:highlight w:val="none"/>
        </w:rPr>
        <w:t>五、</w:t>
      </w:r>
      <w:bookmarkEnd w:id="176"/>
      <w:r>
        <w:rPr>
          <w:rFonts w:ascii="宋体" w:hAnsi="宋体"/>
          <w:color w:val="auto"/>
          <w:szCs w:val="21"/>
          <w:highlight w:val="none"/>
        </w:rPr>
        <w:t>项目经理</w:t>
      </w:r>
    </w:p>
    <w:p w14:paraId="55E5550D">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承包人项目经理：</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6383F76D">
      <w:pPr>
        <w:spacing w:line="480" w:lineRule="exact"/>
        <w:rPr>
          <w:rFonts w:ascii="宋体" w:hAnsi="宋体"/>
          <w:color w:val="auto"/>
          <w:szCs w:val="21"/>
          <w:highlight w:val="none"/>
        </w:rPr>
      </w:pPr>
      <w:r>
        <w:rPr>
          <w:rFonts w:ascii="宋体" w:hAnsi="宋体"/>
          <w:color w:val="auto"/>
          <w:szCs w:val="21"/>
          <w:highlight w:val="none"/>
        </w:rPr>
        <w:t xml:space="preserve">    </w:t>
      </w:r>
      <w:bookmarkStart w:id="177" w:name="_Toc351203486"/>
      <w:r>
        <w:rPr>
          <w:rFonts w:ascii="宋体" w:hAnsi="宋体"/>
          <w:color w:val="auto"/>
          <w:szCs w:val="21"/>
          <w:highlight w:val="none"/>
        </w:rPr>
        <w:t>六、合同文件构成</w:t>
      </w:r>
      <w:bookmarkEnd w:id="177"/>
    </w:p>
    <w:p w14:paraId="63A4F25A">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14:paraId="5740B7B8">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（1）中标通知书（如果有）；</w:t>
      </w:r>
    </w:p>
    <w:p w14:paraId="531F52AC">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（2）投标函及其附录（如果有）； </w:t>
      </w:r>
    </w:p>
    <w:p w14:paraId="3E00839E">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14:paraId="4A246705">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14:paraId="6BFF9D06">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14:paraId="6BD068CD">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（6）图纸；</w:t>
      </w:r>
    </w:p>
    <w:p w14:paraId="6F2FE886">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（7）已标价工程量清单或预算书；</w:t>
      </w:r>
    </w:p>
    <w:p w14:paraId="2AA36668">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（8）其他合同文件。</w:t>
      </w:r>
    </w:p>
    <w:p w14:paraId="7379F264">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0543F3B7">
      <w:pPr>
        <w:autoSpaceDE w:val="0"/>
        <w:autoSpaceDN w:val="0"/>
        <w:adjustRightInd w:val="0"/>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14:paraId="06A4823D">
      <w:pPr>
        <w:spacing w:line="480" w:lineRule="exact"/>
        <w:rPr>
          <w:rFonts w:ascii="宋体" w:hAnsi="宋体"/>
          <w:color w:val="auto"/>
          <w:szCs w:val="21"/>
          <w:highlight w:val="none"/>
        </w:rPr>
      </w:pPr>
      <w:r>
        <w:rPr>
          <w:rFonts w:ascii="宋体" w:hAnsi="宋体"/>
          <w:color w:val="auto"/>
          <w:szCs w:val="21"/>
          <w:highlight w:val="none"/>
        </w:rPr>
        <w:t xml:space="preserve">    </w:t>
      </w:r>
      <w:bookmarkStart w:id="178" w:name="_Toc351203487"/>
      <w:r>
        <w:rPr>
          <w:rFonts w:ascii="宋体" w:hAnsi="宋体"/>
          <w:color w:val="auto"/>
          <w:szCs w:val="21"/>
          <w:highlight w:val="none"/>
        </w:rPr>
        <w:t>七、承诺</w:t>
      </w:r>
      <w:bookmarkEnd w:id="178"/>
    </w:p>
    <w:p w14:paraId="6E939BE6">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14:paraId="06DF82A7">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5F8C41F">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3.发包人和承包人通过招投标形式签订合同的，双方理解并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14:paraId="2A992D03">
      <w:pPr>
        <w:spacing w:line="480" w:lineRule="exact"/>
        <w:rPr>
          <w:rFonts w:ascii="宋体" w:hAnsi="宋体"/>
          <w:color w:val="auto"/>
          <w:szCs w:val="21"/>
          <w:highlight w:val="none"/>
        </w:rPr>
      </w:pPr>
      <w:bookmarkStart w:id="179" w:name="_Toc351203488"/>
      <w:r>
        <w:rPr>
          <w:rFonts w:hint="eastAsia" w:ascii="宋体" w:hAnsi="宋体"/>
          <w:color w:val="auto"/>
          <w:szCs w:val="21"/>
          <w:highlight w:val="none"/>
        </w:rPr>
        <w:t xml:space="preserve">    </w:t>
      </w:r>
      <w:r>
        <w:rPr>
          <w:rFonts w:ascii="宋体" w:hAnsi="宋体"/>
          <w:color w:val="auto"/>
          <w:szCs w:val="21"/>
          <w:highlight w:val="none"/>
        </w:rPr>
        <w:t>八、词语含义</w:t>
      </w:r>
      <w:bookmarkEnd w:id="179"/>
    </w:p>
    <w:p w14:paraId="3D48DFAA">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本协议书中词语含义与第二部分通用合同条款中赋予的含义相同。</w:t>
      </w:r>
    </w:p>
    <w:p w14:paraId="7B8D221C">
      <w:pPr>
        <w:spacing w:line="480" w:lineRule="exact"/>
        <w:rPr>
          <w:rFonts w:ascii="宋体" w:hAnsi="宋体"/>
          <w:color w:val="auto"/>
          <w:szCs w:val="21"/>
          <w:highlight w:val="none"/>
        </w:rPr>
      </w:pPr>
      <w:r>
        <w:rPr>
          <w:rFonts w:ascii="宋体" w:hAnsi="宋体"/>
          <w:color w:val="auto"/>
          <w:szCs w:val="21"/>
          <w:highlight w:val="none"/>
        </w:rPr>
        <w:t xml:space="preserve">    </w:t>
      </w:r>
      <w:bookmarkStart w:id="180" w:name="_Toc351203489"/>
      <w:r>
        <w:rPr>
          <w:rFonts w:ascii="宋体" w:hAnsi="宋体"/>
          <w:color w:val="auto"/>
          <w:szCs w:val="21"/>
          <w:highlight w:val="none"/>
        </w:rPr>
        <w:t>九、签订时间</w:t>
      </w:r>
      <w:bookmarkEnd w:id="180"/>
    </w:p>
    <w:p w14:paraId="13CADD3A">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ascii="宋体" w:hAnsi="宋体"/>
          <w:bCs/>
          <w:color w:val="auto"/>
          <w:szCs w:val="21"/>
          <w:highlight w:val="none"/>
          <w:u w:val="single"/>
        </w:rPr>
        <w:t xml:space="preserve">         </w:t>
      </w:r>
      <w:r>
        <w:rPr>
          <w:rFonts w:ascii="宋体" w:hAnsi="宋体"/>
          <w:bCs/>
          <w:color w:val="auto"/>
          <w:szCs w:val="21"/>
          <w:highlight w:val="none"/>
        </w:rPr>
        <w:t>年</w:t>
      </w:r>
      <w:r>
        <w:rPr>
          <w:rFonts w:ascii="宋体" w:hAnsi="宋体"/>
          <w:bCs/>
          <w:color w:val="auto"/>
          <w:szCs w:val="21"/>
          <w:highlight w:val="none"/>
          <w:u w:val="single"/>
        </w:rPr>
        <w:t xml:space="preserve">    </w:t>
      </w:r>
      <w:r>
        <w:rPr>
          <w:rFonts w:ascii="宋体" w:hAnsi="宋体"/>
          <w:bCs/>
          <w:color w:val="auto"/>
          <w:szCs w:val="21"/>
          <w:highlight w:val="none"/>
        </w:rPr>
        <w:t>月</w:t>
      </w:r>
      <w:r>
        <w:rPr>
          <w:rFonts w:ascii="宋体" w:hAnsi="宋体"/>
          <w:bCs/>
          <w:color w:val="auto"/>
          <w:szCs w:val="21"/>
          <w:highlight w:val="none"/>
          <w:u w:val="single"/>
        </w:rPr>
        <w:t xml:space="preserve">    </w:t>
      </w:r>
      <w:r>
        <w:rPr>
          <w:rFonts w:ascii="宋体" w:hAnsi="宋体"/>
          <w:bCs/>
          <w:color w:val="auto"/>
          <w:szCs w:val="21"/>
          <w:highlight w:val="none"/>
        </w:rPr>
        <w:t>日签订。</w:t>
      </w:r>
    </w:p>
    <w:p w14:paraId="0EB30A96">
      <w:pPr>
        <w:spacing w:line="480" w:lineRule="exact"/>
        <w:rPr>
          <w:rFonts w:ascii="宋体" w:hAnsi="宋体"/>
          <w:color w:val="auto"/>
          <w:szCs w:val="21"/>
          <w:highlight w:val="none"/>
        </w:rPr>
      </w:pPr>
      <w:r>
        <w:rPr>
          <w:rFonts w:ascii="宋体" w:hAnsi="宋体"/>
          <w:color w:val="auto"/>
          <w:szCs w:val="21"/>
          <w:highlight w:val="none"/>
        </w:rPr>
        <w:t xml:space="preserve">    </w:t>
      </w:r>
      <w:bookmarkStart w:id="181" w:name="_Toc351203490"/>
      <w:r>
        <w:rPr>
          <w:rFonts w:ascii="宋体" w:hAnsi="宋体"/>
          <w:color w:val="auto"/>
          <w:szCs w:val="21"/>
          <w:highlight w:val="none"/>
        </w:rPr>
        <w:t>十、签订地点</w:t>
      </w:r>
      <w:bookmarkEnd w:id="181"/>
    </w:p>
    <w:p w14:paraId="09736B27">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ascii="宋体" w:hAnsi="宋体"/>
          <w:bCs/>
          <w:color w:val="auto"/>
          <w:szCs w:val="21"/>
          <w:highlight w:val="none"/>
          <w:u w:val="single"/>
        </w:rPr>
        <w:t xml:space="preserve">                                    </w:t>
      </w:r>
      <w:r>
        <w:rPr>
          <w:rFonts w:ascii="宋体" w:hAnsi="宋体"/>
          <w:bCs/>
          <w:color w:val="auto"/>
          <w:szCs w:val="21"/>
          <w:highlight w:val="none"/>
        </w:rPr>
        <w:t>签订。</w:t>
      </w:r>
    </w:p>
    <w:p w14:paraId="57E43C92">
      <w:pPr>
        <w:spacing w:line="480" w:lineRule="exact"/>
        <w:rPr>
          <w:rFonts w:ascii="宋体" w:hAnsi="宋体"/>
          <w:color w:val="auto"/>
          <w:szCs w:val="21"/>
          <w:highlight w:val="none"/>
        </w:rPr>
      </w:pPr>
      <w:r>
        <w:rPr>
          <w:rFonts w:ascii="宋体" w:hAnsi="宋体"/>
          <w:color w:val="auto"/>
          <w:szCs w:val="21"/>
          <w:highlight w:val="none"/>
        </w:rPr>
        <w:t xml:space="preserve">    </w:t>
      </w:r>
      <w:bookmarkStart w:id="182" w:name="_Toc351203491"/>
      <w:r>
        <w:rPr>
          <w:rFonts w:ascii="宋体" w:hAnsi="宋体"/>
          <w:color w:val="auto"/>
          <w:szCs w:val="21"/>
          <w:highlight w:val="none"/>
        </w:rPr>
        <w:t>十一、补充协议</w:t>
      </w:r>
      <w:bookmarkEnd w:id="182"/>
    </w:p>
    <w:p w14:paraId="7E9CC8D5">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14:paraId="126596D5">
      <w:pPr>
        <w:spacing w:line="480" w:lineRule="exact"/>
        <w:rPr>
          <w:rFonts w:ascii="宋体" w:hAnsi="宋体"/>
          <w:color w:val="auto"/>
          <w:szCs w:val="21"/>
          <w:highlight w:val="none"/>
        </w:rPr>
      </w:pPr>
      <w:r>
        <w:rPr>
          <w:rFonts w:ascii="宋体" w:hAnsi="宋体"/>
          <w:color w:val="auto"/>
          <w:szCs w:val="21"/>
          <w:highlight w:val="none"/>
        </w:rPr>
        <w:t xml:space="preserve">    </w:t>
      </w:r>
      <w:bookmarkStart w:id="183" w:name="_Toc351203492"/>
      <w:r>
        <w:rPr>
          <w:rFonts w:ascii="宋体" w:hAnsi="宋体"/>
          <w:color w:val="auto"/>
          <w:szCs w:val="21"/>
          <w:highlight w:val="none"/>
        </w:rPr>
        <w:t>十二、合同生效</w:t>
      </w:r>
      <w:bookmarkEnd w:id="183"/>
    </w:p>
    <w:p w14:paraId="5F4EA90D">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ascii="宋体" w:hAnsi="宋体"/>
          <w:bCs/>
          <w:color w:val="auto"/>
          <w:szCs w:val="21"/>
          <w:highlight w:val="none"/>
          <w:u w:val="single"/>
        </w:rPr>
        <w:t xml:space="preserve">                                   </w:t>
      </w:r>
      <w:r>
        <w:rPr>
          <w:rFonts w:ascii="宋体" w:hAnsi="宋体"/>
          <w:bCs/>
          <w:color w:val="auto"/>
          <w:szCs w:val="21"/>
          <w:highlight w:val="none"/>
        </w:rPr>
        <w:t>生效。</w:t>
      </w:r>
    </w:p>
    <w:p w14:paraId="2FCD9003">
      <w:pPr>
        <w:spacing w:line="480" w:lineRule="exact"/>
        <w:rPr>
          <w:rFonts w:ascii="宋体" w:hAnsi="宋体"/>
          <w:color w:val="auto"/>
          <w:szCs w:val="21"/>
          <w:highlight w:val="none"/>
        </w:rPr>
      </w:pPr>
      <w:r>
        <w:rPr>
          <w:rFonts w:ascii="宋体" w:hAnsi="宋体"/>
          <w:color w:val="auto"/>
          <w:szCs w:val="21"/>
          <w:highlight w:val="none"/>
        </w:rPr>
        <w:t xml:space="preserve">    </w:t>
      </w:r>
      <w:bookmarkStart w:id="184" w:name="_Toc351203493"/>
      <w:r>
        <w:rPr>
          <w:rFonts w:ascii="宋体" w:hAnsi="宋体"/>
          <w:color w:val="auto"/>
          <w:szCs w:val="21"/>
          <w:highlight w:val="none"/>
        </w:rPr>
        <w:t>十三、合同份数</w:t>
      </w:r>
      <w:bookmarkEnd w:id="184"/>
    </w:p>
    <w:p w14:paraId="51538818">
      <w:pPr>
        <w:spacing w:line="48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份，承包人执</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ascii="宋体" w:hAnsi="宋体"/>
          <w:bCs/>
          <w:color w:val="auto"/>
          <w:szCs w:val="21"/>
          <w:highlight w:val="none"/>
        </w:rPr>
        <w:t>份。</w:t>
      </w:r>
    </w:p>
    <w:p w14:paraId="332BB0A2">
      <w:pPr>
        <w:spacing w:line="480" w:lineRule="exact"/>
        <w:rPr>
          <w:rFonts w:hint="eastAsia" w:ascii="宋体" w:hAnsi="宋体"/>
          <w:bCs/>
          <w:color w:val="auto"/>
          <w:szCs w:val="21"/>
          <w:highlight w:val="none"/>
        </w:rPr>
      </w:pPr>
    </w:p>
    <w:p w14:paraId="0DB62151">
      <w:pPr>
        <w:spacing w:line="480" w:lineRule="exact"/>
        <w:rPr>
          <w:rFonts w:hint="eastAsia" w:ascii="宋体" w:hAnsi="宋体"/>
          <w:color w:val="auto"/>
          <w:szCs w:val="21"/>
          <w:highlight w:val="none"/>
        </w:rPr>
      </w:pPr>
    </w:p>
    <w:p w14:paraId="0551A47D">
      <w:pPr>
        <w:spacing w:line="480" w:lineRule="exact"/>
        <w:rPr>
          <w:rFonts w:hint="eastAsia" w:ascii="宋体" w:hAnsi="宋体"/>
          <w:color w:val="auto"/>
          <w:szCs w:val="21"/>
          <w:highlight w:val="none"/>
          <w:u w:val="single"/>
        </w:rPr>
      </w:pPr>
      <w:r>
        <w:rPr>
          <w:rFonts w:ascii="宋体" w:hAnsi="宋体"/>
          <w:color w:val="auto"/>
          <w:szCs w:val="21"/>
          <w:highlight w:val="none"/>
        </w:rPr>
        <w:t>发包人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r>
        <w:rPr>
          <w:rFonts w:ascii="宋体" w:hAnsi="宋体"/>
          <w:color w:val="auto"/>
          <w:szCs w:val="21"/>
          <w:highlight w:val="none"/>
        </w:rPr>
        <w:t>承包人</w:t>
      </w:r>
      <w:r>
        <w:rPr>
          <w:rFonts w:hint="eastAsia" w:ascii="宋体" w:hAnsi="宋体"/>
          <w:color w:val="auto"/>
          <w:szCs w:val="21"/>
          <w:highlight w:val="none"/>
        </w:rPr>
        <w:t xml:space="preserve">：  </w:t>
      </w:r>
      <w:r>
        <w:rPr>
          <w:rFonts w:ascii="宋体" w:hAnsi="宋体"/>
          <w:color w:val="auto"/>
          <w:szCs w:val="21"/>
          <w:highlight w:val="none"/>
        </w:rPr>
        <w:t>(公章)</w:t>
      </w:r>
      <w:r>
        <w:rPr>
          <w:rFonts w:hint="eastAsia" w:ascii="宋体" w:hAnsi="宋体"/>
          <w:color w:val="auto"/>
          <w:szCs w:val="21"/>
          <w:highlight w:val="none"/>
        </w:rPr>
        <w:t xml:space="preserve"> </w:t>
      </w:r>
    </w:p>
    <w:p w14:paraId="5A571413">
      <w:pPr>
        <w:spacing w:line="480" w:lineRule="exact"/>
        <w:rPr>
          <w:rFonts w:hint="eastAsia"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14:paraId="717BEDEF">
      <w:pPr>
        <w:spacing w:line="480" w:lineRule="exact"/>
        <w:ind w:firstLine="1890" w:firstLineChars="900"/>
        <w:rPr>
          <w:rFonts w:hint="eastAsia" w:ascii="宋体" w:hAnsi="宋体"/>
          <w:color w:val="auto"/>
          <w:szCs w:val="21"/>
          <w:highlight w:val="none"/>
        </w:rPr>
      </w:pPr>
      <w:r>
        <w:rPr>
          <w:rFonts w:hint="eastAsia" w:ascii="宋体" w:hAnsi="宋体"/>
          <w:color w:val="auto"/>
          <w:szCs w:val="21"/>
          <w:highlight w:val="none"/>
        </w:rPr>
        <w:t>（签字）                                （签字）</w:t>
      </w:r>
    </w:p>
    <w:p w14:paraId="77CAAB19">
      <w:pPr>
        <w:tabs>
          <w:tab w:val="left" w:pos="4410"/>
        </w:tabs>
        <w:spacing w:line="480" w:lineRule="exact"/>
        <w:rPr>
          <w:rFonts w:ascii="宋体" w:hAnsi="宋体"/>
          <w:color w:val="auto"/>
          <w:szCs w:val="21"/>
          <w:highlight w:val="none"/>
        </w:rPr>
      </w:pPr>
      <w:r>
        <w:rPr>
          <w:rFonts w:hint="eastAsia" w:ascii="宋体" w:hAnsi="宋体"/>
          <w:color w:val="auto"/>
          <w:szCs w:val="21"/>
          <w:highlight w:val="none"/>
        </w:rPr>
        <w:t>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9EFC2F6">
      <w:pPr>
        <w:spacing w:line="480" w:lineRule="exact"/>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地  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7F19475">
      <w:pPr>
        <w:spacing w:line="480" w:lineRule="exact"/>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p>
    <w:p w14:paraId="65D0E831">
      <w:pPr>
        <w:spacing w:line="480" w:lineRule="exact"/>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7184D0A">
      <w:pPr>
        <w:spacing w:line="480" w:lineRule="exact"/>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AE915E5">
      <w:pPr>
        <w:spacing w:line="480" w:lineRule="exact"/>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DE84635">
      <w:pPr>
        <w:spacing w:line="480" w:lineRule="exact"/>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45F7780">
      <w:pPr>
        <w:spacing w:line="480" w:lineRule="exact"/>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ascii="宋体" w:hAnsi="宋体"/>
          <w:color w:val="auto"/>
          <w:szCs w:val="21"/>
          <w:highlight w:val="none"/>
          <w:u w:val="single"/>
        </w:rPr>
        <w:t xml:space="preserve">   </w:t>
      </w:r>
    </w:p>
    <w:p w14:paraId="4BA4AE6F">
      <w:pPr>
        <w:spacing w:line="480" w:lineRule="exact"/>
        <w:rPr>
          <w:rFonts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ascii="宋体" w:hAnsi="宋体"/>
          <w:color w:val="auto"/>
          <w:szCs w:val="21"/>
          <w:highlight w:val="none"/>
          <w:u w:val="single"/>
        </w:rPr>
        <w:t xml:space="preserve">   </w:t>
      </w:r>
    </w:p>
    <w:p w14:paraId="4A8F1A45">
      <w:pPr>
        <w:spacing w:line="480" w:lineRule="exact"/>
        <w:jc w:val="left"/>
        <w:rPr>
          <w:rFonts w:hint="eastAsia" w:ascii="宋体" w:hAnsi="宋体"/>
          <w:color w:val="auto"/>
          <w:szCs w:val="21"/>
          <w:highlight w:val="none"/>
          <w:u w:val="single"/>
        </w:rPr>
      </w:pPr>
      <w:r>
        <w:rPr>
          <w:rFonts w:ascii="宋体" w:hAnsi="宋体"/>
          <w:color w:val="auto"/>
          <w:szCs w:val="21"/>
          <w:highlight w:val="none"/>
        </w:rPr>
        <w:t>账  号：</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2B23FA17">
      <w:pPr>
        <w:pStyle w:val="6"/>
        <w:spacing w:line="360" w:lineRule="auto"/>
        <w:jc w:val="center"/>
        <w:rPr>
          <w:rFonts w:hint="eastAsia" w:ascii="Times New Roman" w:hAnsi="Times New Roman" w:eastAsia="黑体"/>
          <w:b w:val="0"/>
          <w:bCs w:val="0"/>
          <w:color w:val="auto"/>
          <w:sz w:val="30"/>
          <w:highlight w:val="none"/>
        </w:rPr>
      </w:pPr>
      <w:r>
        <w:rPr>
          <w:rFonts w:ascii="宋体" w:hAnsi="宋体"/>
          <w:b w:val="0"/>
          <w:color w:val="auto"/>
          <w:sz w:val="21"/>
          <w:szCs w:val="21"/>
          <w:highlight w:val="none"/>
        </w:rPr>
        <w:br w:type="page"/>
      </w:r>
      <w:bookmarkStart w:id="185" w:name="_Toc80006221"/>
      <w:bookmarkStart w:id="186" w:name="_Toc351203494"/>
      <w:bookmarkStart w:id="187" w:name="_Toc80006111"/>
      <w:r>
        <w:rPr>
          <w:rFonts w:ascii="Times New Roman" w:hAnsi="Times New Roman" w:eastAsia="黑体"/>
          <w:b w:val="0"/>
          <w:bCs w:val="0"/>
          <w:color w:val="auto"/>
          <w:sz w:val="30"/>
          <w:highlight w:val="none"/>
        </w:rPr>
        <w:t>第二</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通用合同条款</w:t>
      </w:r>
      <w:bookmarkEnd w:id="185"/>
      <w:bookmarkEnd w:id="186"/>
      <w:bookmarkEnd w:id="187"/>
    </w:p>
    <w:p w14:paraId="0E697E87">
      <w:pPr>
        <w:spacing w:line="480" w:lineRule="exact"/>
        <w:ind w:firstLine="560" w:firstLineChars="200"/>
        <w:rPr>
          <w:rFonts w:hint="eastAsia" w:ascii="宋体" w:hAnsi="宋体"/>
          <w:color w:val="auto"/>
          <w:sz w:val="28"/>
          <w:szCs w:val="28"/>
          <w:highlight w:val="none"/>
        </w:rPr>
      </w:pPr>
    </w:p>
    <w:p w14:paraId="2AB52E4E">
      <w:pPr>
        <w:spacing w:line="4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说明：“通用合同条款”采用《建设工程施工合同（示范文本）》（GF-2017-0201）的“通用合同条款”。</w:t>
      </w:r>
    </w:p>
    <w:p w14:paraId="0DE93977">
      <w:pPr>
        <w:spacing w:line="480" w:lineRule="exact"/>
        <w:jc w:val="center"/>
        <w:rPr>
          <w:rFonts w:hint="eastAsia"/>
          <w:color w:val="auto"/>
          <w:sz w:val="32"/>
          <w:szCs w:val="32"/>
          <w:highlight w:val="none"/>
        </w:rPr>
      </w:pPr>
    </w:p>
    <w:p w14:paraId="2592FFB6">
      <w:pPr>
        <w:pStyle w:val="6"/>
        <w:spacing w:line="360" w:lineRule="auto"/>
        <w:jc w:val="center"/>
        <w:rPr>
          <w:rFonts w:ascii="Times New Roman" w:hAnsi="Times New Roman" w:eastAsia="黑体"/>
          <w:b w:val="0"/>
          <w:bCs w:val="0"/>
          <w:color w:val="auto"/>
          <w:sz w:val="30"/>
          <w:highlight w:val="none"/>
        </w:rPr>
      </w:pPr>
      <w:r>
        <w:rPr>
          <w:b w:val="0"/>
          <w:color w:val="auto"/>
          <w:highlight w:val="none"/>
        </w:rPr>
        <w:br w:type="page"/>
      </w:r>
      <w:bookmarkStart w:id="188" w:name="_Toc80006222"/>
      <w:bookmarkStart w:id="189" w:name="_Toc80006112"/>
      <w:r>
        <w:rPr>
          <w:rFonts w:ascii="Times New Roman" w:hAnsi="Times New Roman" w:eastAsia="黑体"/>
          <w:b w:val="0"/>
          <w:bCs w:val="0"/>
          <w:color w:val="auto"/>
          <w:sz w:val="30"/>
          <w:highlight w:val="none"/>
        </w:rPr>
        <w:t>第三</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w:t>
      </w:r>
      <w:r>
        <w:rPr>
          <w:rFonts w:hint="eastAsia" w:ascii="Times New Roman" w:hAnsi="Times New Roman" w:eastAsia="黑体"/>
          <w:b w:val="0"/>
          <w:bCs w:val="0"/>
          <w:color w:val="auto"/>
          <w:sz w:val="30"/>
          <w:highlight w:val="none"/>
        </w:rPr>
        <w:t>专用合同条款</w:t>
      </w:r>
      <w:bookmarkEnd w:id="188"/>
      <w:bookmarkEnd w:id="189"/>
    </w:p>
    <w:p w14:paraId="422E0723">
      <w:pPr>
        <w:spacing w:line="480" w:lineRule="exact"/>
        <w:rPr>
          <w:rFonts w:ascii="宋体" w:hAnsi="宋体"/>
          <w:color w:val="auto"/>
          <w:szCs w:val="21"/>
          <w:highlight w:val="none"/>
        </w:rPr>
      </w:pPr>
      <w:bookmarkStart w:id="190" w:name="_Toc351203633"/>
      <w:r>
        <w:rPr>
          <w:rFonts w:ascii="宋体" w:hAnsi="宋体"/>
          <w:color w:val="auto"/>
          <w:szCs w:val="21"/>
          <w:highlight w:val="none"/>
        </w:rPr>
        <w:t>1</w:t>
      </w:r>
      <w:bookmarkStart w:id="191" w:name="_Toc292559866"/>
      <w:bookmarkStart w:id="192" w:name="_Toc297048342"/>
      <w:bookmarkStart w:id="193" w:name="_Toc296347155"/>
      <w:bookmarkStart w:id="194" w:name="_Toc297120456"/>
      <w:bookmarkStart w:id="195" w:name="_Toc296944495"/>
      <w:bookmarkStart w:id="196" w:name="_Toc296891196"/>
      <w:bookmarkStart w:id="197" w:name="_Toc292559361"/>
      <w:bookmarkStart w:id="198" w:name="_Toc296890984"/>
      <w:bookmarkStart w:id="199" w:name="_Toc296346657"/>
      <w:bookmarkStart w:id="200" w:name="_Toc296503156"/>
      <w:r>
        <w:rPr>
          <w:rFonts w:ascii="宋体" w:hAnsi="宋体"/>
          <w:color w:val="auto"/>
          <w:szCs w:val="21"/>
          <w:highlight w:val="none"/>
        </w:rPr>
        <w:t>. 一般约定</w:t>
      </w:r>
      <w:bookmarkEnd w:id="190"/>
    </w:p>
    <w:bookmarkEnd w:id="191"/>
    <w:bookmarkEnd w:id="192"/>
    <w:bookmarkEnd w:id="193"/>
    <w:bookmarkEnd w:id="194"/>
    <w:bookmarkEnd w:id="195"/>
    <w:bookmarkEnd w:id="196"/>
    <w:bookmarkEnd w:id="197"/>
    <w:bookmarkEnd w:id="198"/>
    <w:bookmarkEnd w:id="199"/>
    <w:bookmarkEnd w:id="200"/>
    <w:p w14:paraId="1D0D1A57">
      <w:pPr>
        <w:spacing w:line="480" w:lineRule="exact"/>
        <w:rPr>
          <w:rFonts w:ascii="宋体" w:hAnsi="宋体"/>
          <w:color w:val="auto"/>
          <w:szCs w:val="21"/>
          <w:highlight w:val="none"/>
        </w:rPr>
      </w:pPr>
      <w:r>
        <w:rPr>
          <w:rFonts w:ascii="宋体" w:hAnsi="宋体"/>
          <w:color w:val="auto"/>
          <w:szCs w:val="21"/>
          <w:highlight w:val="none"/>
        </w:rPr>
        <w:t>1.1 词语定义</w:t>
      </w:r>
    </w:p>
    <w:p w14:paraId="219EAB48">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1.1.1合同</w:t>
      </w:r>
    </w:p>
    <w:p w14:paraId="1D7FB3FC">
      <w:pPr>
        <w:snapToGrid w:val="0"/>
        <w:spacing w:line="360" w:lineRule="auto"/>
        <w:ind w:firstLine="420"/>
        <w:rPr>
          <w:rFonts w:hint="eastAsia"/>
          <w:color w:val="auto"/>
          <w:szCs w:val="21"/>
          <w:u w:val="single"/>
        </w:rPr>
      </w:pPr>
      <w:r>
        <w:rPr>
          <w:rFonts w:ascii="宋体" w:hAnsi="宋体"/>
          <w:color w:val="auto"/>
          <w:kern w:val="0"/>
          <w:szCs w:val="21"/>
          <w:highlight w:val="none"/>
        </w:rPr>
        <w:t>1.1.1.10其他合同文件包括：</w:t>
      </w:r>
      <w:r>
        <w:rPr>
          <w:rFonts w:hint="eastAsia"/>
          <w:color w:val="auto"/>
          <w:szCs w:val="21"/>
          <w:u w:val="single"/>
          <w:lang w:val="en-US" w:eastAsia="zh-CN"/>
        </w:rPr>
        <w:t xml:space="preserve">包括但不限于政府及管理部门对项目批复文件、可研报告、 </w:t>
      </w:r>
    </w:p>
    <w:p w14:paraId="674585D6">
      <w:pPr>
        <w:snapToGrid w:val="0"/>
        <w:spacing w:line="360" w:lineRule="auto"/>
        <w:ind w:firstLine="420"/>
        <w:rPr>
          <w:rFonts w:ascii="宋体" w:hAnsi="宋体"/>
          <w:color w:val="auto"/>
          <w:kern w:val="0"/>
          <w:szCs w:val="21"/>
          <w:highlight w:val="none"/>
        </w:rPr>
      </w:pPr>
      <w:r>
        <w:rPr>
          <w:rFonts w:hint="eastAsia"/>
          <w:color w:val="auto"/>
          <w:szCs w:val="21"/>
          <w:u w:val="single"/>
          <w:lang w:val="en-US" w:eastAsia="zh-CN"/>
        </w:rPr>
        <w:t>施工图纸、施工合同、补充协议、传真及构成部分的招标文件、招标答疑、中标通知书、投标函及投标函附录、已标价工量清单、合同履行过程中经有效签署确认的相关会议纪要、签证、洽商变更等书面协议或文件属于其他合同文件</w:t>
      </w:r>
      <w:r>
        <w:rPr>
          <w:rFonts w:hint="eastAsia"/>
          <w:color w:val="auto"/>
          <w:szCs w:val="21"/>
          <w:u w:val="single"/>
        </w:rPr>
        <w:t>。</w:t>
      </w:r>
    </w:p>
    <w:p w14:paraId="182B1327">
      <w:pPr>
        <w:spacing w:line="480" w:lineRule="exact"/>
        <w:ind w:firstLine="420" w:firstLineChars="200"/>
        <w:rPr>
          <w:rFonts w:ascii="宋体" w:hAnsi="宋体"/>
          <w:color w:val="auto"/>
          <w:szCs w:val="21"/>
          <w:highlight w:val="none"/>
        </w:rPr>
      </w:pPr>
      <w:r>
        <w:rPr>
          <w:rFonts w:ascii="宋体" w:hAnsi="宋体"/>
          <w:color w:val="auto"/>
          <w:szCs w:val="21"/>
          <w:highlight w:val="none"/>
        </w:rPr>
        <w:t>1.1.3 工程和设备</w:t>
      </w:r>
    </w:p>
    <w:p w14:paraId="7FCEB630">
      <w:pPr>
        <w:snapToGrid w:val="0"/>
        <w:spacing w:line="360" w:lineRule="auto"/>
        <w:ind w:firstLine="420"/>
        <w:rPr>
          <w:rFonts w:hint="eastAsia"/>
          <w:color w:val="auto"/>
          <w:szCs w:val="21"/>
          <w:u w:val="single"/>
          <w:lang w:val="en-US" w:eastAsia="zh-CN"/>
        </w:rPr>
      </w:pPr>
      <w:r>
        <w:rPr>
          <w:rFonts w:ascii="宋体" w:hAnsi="宋体"/>
          <w:color w:val="auto"/>
          <w:szCs w:val="21"/>
          <w:highlight w:val="none"/>
        </w:rPr>
        <w:t>1.1.3.7 作为施工现场组成部分的其他场所包括：</w:t>
      </w:r>
      <w:r>
        <w:rPr>
          <w:rFonts w:hint="eastAsia"/>
          <w:color w:val="auto"/>
          <w:szCs w:val="21"/>
          <w:u w:val="single"/>
          <w:lang w:val="en-US" w:eastAsia="zh-CN"/>
        </w:rPr>
        <w:t>现场临时办公、职工生活区、施工作</w:t>
      </w:r>
    </w:p>
    <w:p w14:paraId="5CF0D790">
      <w:pPr>
        <w:snapToGrid w:val="0"/>
        <w:spacing w:line="360" w:lineRule="auto"/>
        <w:rPr>
          <w:rFonts w:ascii="宋体" w:hAnsi="宋体"/>
          <w:color w:val="auto"/>
          <w:szCs w:val="21"/>
          <w:highlight w:val="none"/>
        </w:rPr>
      </w:pPr>
      <w:r>
        <w:rPr>
          <w:rFonts w:hint="eastAsia"/>
          <w:color w:val="auto"/>
          <w:szCs w:val="21"/>
          <w:u w:val="single"/>
          <w:lang w:val="en-US" w:eastAsia="zh-CN"/>
        </w:rPr>
        <w:t>业场地、施工道路。</w:t>
      </w:r>
    </w:p>
    <w:p w14:paraId="3D96A93A">
      <w:pPr>
        <w:spacing w:line="480" w:lineRule="exact"/>
        <w:ind w:firstLine="420" w:firstLineChars="200"/>
        <w:jc w:val="left"/>
        <w:rPr>
          <w:rFonts w:hint="default" w:ascii="宋体" w:hAnsi="宋体"/>
          <w:color w:val="auto"/>
          <w:kern w:val="0"/>
          <w:szCs w:val="21"/>
          <w:highlight w:val="none"/>
          <w:lang w:val="en-US"/>
        </w:rPr>
      </w:pPr>
      <w:r>
        <w:rPr>
          <w:rFonts w:ascii="宋体" w:hAnsi="宋体"/>
          <w:color w:val="auto"/>
          <w:kern w:val="0"/>
          <w:szCs w:val="21"/>
          <w:highlight w:val="none"/>
        </w:rPr>
        <w:t>1.1.3.9 永久占地包括：</w:t>
      </w:r>
      <w:r>
        <w:rPr>
          <w:rFonts w:ascii="宋体" w:hAnsi="宋体"/>
          <w:color w:val="auto"/>
          <w:szCs w:val="21"/>
          <w:highlight w:val="none"/>
          <w:u w:val="single"/>
        </w:rPr>
        <w:t xml:space="preserve"> </w:t>
      </w:r>
      <w:r>
        <w:rPr>
          <w:rFonts w:hint="eastAsia"/>
          <w:color w:val="auto"/>
          <w:szCs w:val="21"/>
          <w:u w:val="single"/>
          <w:lang w:val="en-US" w:eastAsia="zh-CN"/>
        </w:rPr>
        <w:t>项目用地。</w:t>
      </w:r>
    </w:p>
    <w:p w14:paraId="1058AD3A">
      <w:pPr>
        <w:spacing w:line="480" w:lineRule="exact"/>
        <w:ind w:firstLine="420" w:firstLineChars="200"/>
        <w:jc w:val="left"/>
        <w:rPr>
          <w:rFonts w:ascii="宋体" w:hAnsi="宋体"/>
          <w:color w:val="auto"/>
          <w:szCs w:val="21"/>
          <w:highlight w:val="none"/>
        </w:rPr>
      </w:pPr>
      <w:r>
        <w:rPr>
          <w:rFonts w:ascii="宋体" w:hAnsi="宋体"/>
          <w:color w:val="auto"/>
          <w:kern w:val="0"/>
          <w:szCs w:val="21"/>
          <w:highlight w:val="none"/>
        </w:rPr>
        <w:t>1.1.3.10 临时占地包括：</w:t>
      </w:r>
      <w:r>
        <w:rPr>
          <w:rFonts w:ascii="宋体" w:hAnsi="宋体"/>
          <w:color w:val="auto"/>
          <w:szCs w:val="21"/>
          <w:highlight w:val="none"/>
          <w:u w:val="single"/>
        </w:rPr>
        <w:t xml:space="preserve"> </w:t>
      </w:r>
      <w:r>
        <w:rPr>
          <w:color w:val="auto"/>
          <w:szCs w:val="21"/>
          <w:u w:val="single"/>
        </w:rPr>
        <w:t xml:space="preserve"> </w:t>
      </w:r>
      <w:r>
        <w:rPr>
          <w:rFonts w:hint="eastAsia"/>
          <w:color w:val="auto"/>
          <w:szCs w:val="21"/>
          <w:u w:val="single"/>
          <w:lang w:val="en-US" w:eastAsia="zh-CN"/>
        </w:rPr>
        <w:t>临时办公及材料用地临时道路</w:t>
      </w:r>
      <w:r>
        <w:rPr>
          <w:rFonts w:ascii="宋体" w:hAnsi="宋体"/>
          <w:color w:val="auto"/>
          <w:kern w:val="0"/>
          <w:szCs w:val="21"/>
          <w:highlight w:val="none"/>
        </w:rPr>
        <w:t>。</w:t>
      </w:r>
    </w:p>
    <w:p w14:paraId="3359F53A">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 xml:space="preserve">1.3法律 </w:t>
      </w:r>
    </w:p>
    <w:p w14:paraId="0D3799B0">
      <w:pPr>
        <w:autoSpaceDE w:val="0"/>
        <w:autoSpaceDN w:val="0"/>
        <w:adjustRightInd w:val="0"/>
        <w:spacing w:line="480" w:lineRule="exact"/>
        <w:ind w:left="596" w:leftChars="284"/>
        <w:jc w:val="left"/>
        <w:rPr>
          <w:rFonts w:ascii="宋体" w:hAnsi="宋体"/>
          <w:color w:val="auto"/>
          <w:szCs w:val="21"/>
          <w:highlight w:val="none"/>
        </w:rPr>
      </w:pPr>
      <w:r>
        <w:rPr>
          <w:rFonts w:ascii="宋体" w:hAnsi="宋体"/>
          <w:color w:val="auto"/>
          <w:szCs w:val="21"/>
          <w:highlight w:val="none"/>
        </w:rPr>
        <w:t>适用于合同的其他规范性文件：</w:t>
      </w:r>
      <w:r>
        <w:rPr>
          <w:color w:val="auto"/>
          <w:szCs w:val="21"/>
          <w:u w:val="single"/>
        </w:rPr>
        <w:t xml:space="preserve"> </w:t>
      </w:r>
      <w:r>
        <w:rPr>
          <w:rFonts w:hint="eastAsia"/>
          <w:color w:val="auto"/>
          <w:szCs w:val="21"/>
          <w:u w:val="single"/>
          <w:lang w:val="en-US" w:eastAsia="zh-CN"/>
        </w:rPr>
        <w:t>《中华人民共和国民法典》、《中华人民共和国建筑法》及其它有关的国家法律、国家和地方行政法规和规章、EPC 工程所在地省级和市级相关行政主管机关制定的规范性文件 。</w:t>
      </w:r>
      <w:r>
        <w:rPr>
          <w:rFonts w:ascii="宋体" w:hAnsi="宋体"/>
          <w:color w:val="auto"/>
          <w:szCs w:val="21"/>
          <w:highlight w:val="none"/>
          <w:u w:val="single"/>
        </w:rPr>
        <w:t xml:space="preserve"> </w:t>
      </w:r>
      <w:r>
        <w:rPr>
          <w:rFonts w:ascii="宋体" w:hAnsi="宋体"/>
          <w:color w:val="auto"/>
          <w:szCs w:val="21"/>
          <w:highlight w:val="none"/>
        </w:rPr>
        <w:t>。</w:t>
      </w:r>
    </w:p>
    <w:p w14:paraId="04053F4D">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1.4 标准和规范</w:t>
      </w:r>
    </w:p>
    <w:p w14:paraId="3DE4EF52">
      <w:pPr>
        <w:snapToGrid w:val="0"/>
        <w:spacing w:line="360" w:lineRule="auto"/>
        <w:ind w:firstLine="420"/>
        <w:rPr>
          <w:rFonts w:hint="eastAsia"/>
          <w:color w:val="auto"/>
          <w:szCs w:val="21"/>
          <w:u w:val="single"/>
        </w:rPr>
      </w:pPr>
      <w:r>
        <w:rPr>
          <w:color w:val="auto"/>
          <w:szCs w:val="21"/>
        </w:rPr>
        <w:t xml:space="preserve">1.4.1 </w:t>
      </w:r>
      <w:r>
        <w:rPr>
          <w:rFonts w:hint="eastAsia"/>
          <w:color w:val="auto"/>
          <w:szCs w:val="21"/>
        </w:rPr>
        <w:t>适用于本合同的标准、规范（名称）包括：</w:t>
      </w:r>
      <w:r>
        <w:rPr>
          <w:rFonts w:hint="eastAsia"/>
          <w:color w:val="auto"/>
          <w:szCs w:val="21"/>
          <w:u w:val="single"/>
          <w:lang w:val="en-US" w:eastAsia="zh-CN"/>
        </w:rPr>
        <w:t xml:space="preserve">国家现行设计、采购、施工有关的标 </w:t>
      </w:r>
    </w:p>
    <w:p w14:paraId="0DC87E42">
      <w:pPr>
        <w:snapToGrid w:val="0"/>
        <w:spacing w:line="360" w:lineRule="auto"/>
        <w:ind w:firstLine="420"/>
        <w:rPr>
          <w:color w:val="auto"/>
          <w:szCs w:val="21"/>
          <w:u w:val="single"/>
        </w:rPr>
      </w:pPr>
      <w:r>
        <w:rPr>
          <w:rFonts w:hint="eastAsia"/>
          <w:color w:val="auto"/>
          <w:szCs w:val="21"/>
          <w:u w:val="single"/>
          <w:lang w:val="en-US" w:eastAsia="zh-CN"/>
        </w:rPr>
        <w:t>准、规范、规程；当没有国家标准、规范、规程时，采用国内现行的行业标准、规范；当没有国家和行业标准、规范时，采用所在地现行地方标准、规范。</w:t>
      </w:r>
    </w:p>
    <w:p w14:paraId="2E94C7DF">
      <w:pPr>
        <w:snapToGrid w:val="0"/>
        <w:spacing w:line="360" w:lineRule="auto"/>
        <w:ind w:firstLine="420"/>
        <w:rPr>
          <w:color w:val="auto"/>
          <w:szCs w:val="21"/>
        </w:rPr>
      </w:pPr>
      <w:r>
        <w:rPr>
          <w:color w:val="auto"/>
          <w:szCs w:val="21"/>
        </w:rPr>
        <w:t xml:space="preserve">1.4.2 </w:t>
      </w:r>
      <w:r>
        <w:rPr>
          <w:rFonts w:hint="eastAsia"/>
          <w:color w:val="auto"/>
          <w:szCs w:val="21"/>
        </w:rPr>
        <w:t>发包人提供的国外标准、规范的名称：</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rFonts w:hint="eastAsia"/>
          <w:color w:val="auto"/>
          <w:szCs w:val="21"/>
        </w:rPr>
        <w:t>；发包人提供的国外标准、规范的份数：</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rFonts w:hint="eastAsia"/>
          <w:color w:val="auto"/>
          <w:szCs w:val="21"/>
        </w:rPr>
        <w:t>；发包人提供的国外标准、规范的时间：</w:t>
      </w:r>
      <w:r>
        <w:rPr>
          <w:color w:val="auto"/>
          <w:szCs w:val="21"/>
          <w:u w:val="single"/>
        </w:rPr>
        <w:t xml:space="preserve">       </w:t>
      </w:r>
      <w:r>
        <w:rPr>
          <w:rFonts w:hint="eastAsia"/>
          <w:color w:val="auto"/>
          <w:szCs w:val="21"/>
          <w:u w:val="single"/>
          <w:lang w:val="en-US" w:eastAsia="zh-CN"/>
        </w:rPr>
        <w:t>/</w:t>
      </w:r>
      <w:r>
        <w:rPr>
          <w:color w:val="auto"/>
          <w:szCs w:val="21"/>
          <w:u w:val="single"/>
        </w:rPr>
        <w:t xml:space="preserve">      </w:t>
      </w:r>
      <w:r>
        <w:rPr>
          <w:rFonts w:hint="eastAsia"/>
          <w:color w:val="auto"/>
          <w:szCs w:val="21"/>
        </w:rPr>
        <w:t>。</w:t>
      </w:r>
    </w:p>
    <w:p w14:paraId="3F1E3CD9">
      <w:pPr>
        <w:snapToGrid w:val="0"/>
        <w:spacing w:line="360" w:lineRule="auto"/>
        <w:ind w:firstLine="420"/>
        <w:rPr>
          <w:rFonts w:ascii="宋体" w:hAnsi="宋体"/>
          <w:color w:val="auto"/>
          <w:szCs w:val="21"/>
          <w:highlight w:val="none"/>
        </w:rPr>
      </w:pPr>
      <w:r>
        <w:rPr>
          <w:color w:val="auto"/>
          <w:szCs w:val="21"/>
        </w:rPr>
        <w:t xml:space="preserve">1.4.3 </w:t>
      </w:r>
      <w:r>
        <w:rPr>
          <w:rFonts w:hint="eastAsia"/>
          <w:color w:val="auto"/>
          <w:szCs w:val="21"/>
        </w:rPr>
        <w:t>发包人对于工程的技术标准、功能要求：</w:t>
      </w:r>
      <w:r>
        <w:rPr>
          <w:color w:val="auto"/>
          <w:szCs w:val="21"/>
          <w:u w:val="single"/>
        </w:rPr>
        <w:t xml:space="preserve">  </w:t>
      </w:r>
      <w:r>
        <w:rPr>
          <w:rFonts w:hint="eastAsia"/>
          <w:color w:val="auto"/>
          <w:szCs w:val="21"/>
          <w:u w:val="single"/>
          <w:lang w:val="en-US" w:eastAsia="zh-CN"/>
        </w:rPr>
        <w:t>符合相关法律法规及规范要求，竣工验收达到合同要求</w:t>
      </w:r>
      <w:r>
        <w:rPr>
          <w:color w:val="auto"/>
          <w:szCs w:val="21"/>
          <w:u w:val="single"/>
        </w:rPr>
        <w:t xml:space="preserve">  </w:t>
      </w:r>
      <w:r>
        <w:rPr>
          <w:rFonts w:hint="eastAsia"/>
          <w:color w:val="auto"/>
          <w:szCs w:val="21"/>
        </w:rPr>
        <w:t>。</w:t>
      </w:r>
    </w:p>
    <w:p w14:paraId="3D9335BD">
      <w:pPr>
        <w:spacing w:line="480" w:lineRule="exact"/>
        <w:rPr>
          <w:rFonts w:ascii="宋体" w:hAnsi="宋体"/>
          <w:color w:val="auto"/>
          <w:szCs w:val="21"/>
          <w:highlight w:val="none"/>
        </w:rPr>
      </w:pPr>
      <w:r>
        <w:rPr>
          <w:rFonts w:ascii="宋体" w:hAnsi="宋体"/>
          <w:color w:val="auto"/>
          <w:szCs w:val="21"/>
          <w:highlight w:val="none"/>
        </w:rPr>
        <w:t>1.5 合同文件的优先顺序</w:t>
      </w:r>
    </w:p>
    <w:p w14:paraId="50757423">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合同文件组成及优先顺序为：</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（1）施工合同协议书（含补充协议)（2）中标通知书（3） 投标函及附录（4）专用合同条款及附件、（5）通用合同条款（6）技术标准和要求（7）施 工图纸（8）已标工程量清单及预算书（9）其它合同文件。</w:t>
      </w:r>
    </w:p>
    <w:p w14:paraId="47362D95">
      <w:pPr>
        <w:spacing w:line="480" w:lineRule="exact"/>
        <w:rPr>
          <w:rFonts w:ascii="宋体" w:hAnsi="宋体"/>
          <w:color w:val="auto"/>
          <w:szCs w:val="21"/>
          <w:highlight w:val="none"/>
        </w:rPr>
      </w:pPr>
      <w:r>
        <w:rPr>
          <w:rFonts w:ascii="宋体" w:hAnsi="宋体"/>
          <w:color w:val="auto"/>
          <w:szCs w:val="21"/>
          <w:highlight w:val="none"/>
        </w:rPr>
        <w:t>1.6 图纸和承包人文件</w:t>
      </w:r>
    </w:p>
    <w:p w14:paraId="682B6AD5">
      <w:pPr>
        <w:spacing w:line="480" w:lineRule="exact"/>
        <w:ind w:firstLine="420" w:firstLineChars="200"/>
        <w:rPr>
          <w:rFonts w:ascii="宋体" w:hAnsi="宋体"/>
          <w:color w:val="auto"/>
          <w:szCs w:val="21"/>
          <w:highlight w:val="none"/>
        </w:rPr>
      </w:pPr>
      <w:r>
        <w:rPr>
          <w:rFonts w:ascii="宋体" w:hAnsi="宋体"/>
          <w:color w:val="auto"/>
          <w:szCs w:val="21"/>
          <w:highlight w:val="none"/>
        </w:rPr>
        <w:t>1.6.1 图纸的提供</w:t>
      </w:r>
    </w:p>
    <w:p w14:paraId="426B0AF8">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发包人向承包人提供图纸的期限：</w:t>
      </w:r>
      <w:r>
        <w:rPr>
          <w:rFonts w:ascii="宋体" w:hAnsi="宋体"/>
          <w:color w:val="auto"/>
          <w:szCs w:val="21"/>
          <w:highlight w:val="none"/>
          <w:u w:val="single"/>
        </w:rPr>
        <w:t></w:t>
      </w:r>
      <w:r>
        <w:rPr>
          <w:rFonts w:hint="eastAsia" w:ascii="宋体" w:hAnsi="宋体"/>
          <w:color w:val="auto"/>
          <w:szCs w:val="21"/>
          <w:highlight w:val="none"/>
          <w:u w:val="single"/>
        </w:rPr>
        <w:t xml:space="preserve">按合同约定 </w:t>
      </w:r>
      <w:r>
        <w:rPr>
          <w:rFonts w:ascii="宋体" w:hAnsi="宋体"/>
          <w:color w:val="auto"/>
          <w:szCs w:val="21"/>
          <w:highlight w:val="none"/>
          <w:u w:val="single"/>
        </w:rPr>
        <w:t></w:t>
      </w:r>
      <w:r>
        <w:rPr>
          <w:rFonts w:ascii="宋体" w:hAnsi="宋体"/>
          <w:color w:val="auto"/>
          <w:szCs w:val="21"/>
          <w:highlight w:val="none"/>
        </w:rPr>
        <w:t>；</w:t>
      </w:r>
    </w:p>
    <w:p w14:paraId="320039D9">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发包人向承包人提供图纸的数量：</w:t>
      </w:r>
      <w:r>
        <w:rPr>
          <w:rFonts w:ascii="宋体" w:hAnsi="宋体"/>
          <w:color w:val="auto"/>
          <w:szCs w:val="21"/>
          <w:highlight w:val="none"/>
          <w:u w:val="single"/>
        </w:rPr>
        <w:t></w:t>
      </w:r>
      <w:r>
        <w:rPr>
          <w:rFonts w:hint="eastAsia" w:ascii="宋体" w:hAnsi="宋体"/>
          <w:color w:val="auto"/>
          <w:szCs w:val="21"/>
          <w:highlight w:val="none"/>
          <w:u w:val="single"/>
          <w:lang w:val="en-US" w:eastAsia="zh-CN"/>
        </w:rPr>
        <w:t>1套</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4F33C63B">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发包人向承包人提供图纸的内容：</w:t>
      </w:r>
      <w:r>
        <w:rPr>
          <w:rFonts w:hint="eastAsia" w:ascii="宋体" w:hAnsi="宋体"/>
          <w:color w:val="auto"/>
          <w:szCs w:val="21"/>
          <w:highlight w:val="none"/>
          <w:u w:val="single"/>
          <w:lang w:val="en-US" w:eastAsia="zh-CN"/>
        </w:rPr>
        <w:t>主要为可行性研究报告、概算清单资料等。</w:t>
      </w:r>
    </w:p>
    <w:p w14:paraId="622AC21D">
      <w:pPr>
        <w:spacing w:line="480" w:lineRule="exact"/>
        <w:ind w:firstLine="420" w:firstLineChars="200"/>
        <w:rPr>
          <w:rFonts w:ascii="宋体" w:hAnsi="宋体"/>
          <w:color w:val="auto"/>
          <w:szCs w:val="21"/>
          <w:highlight w:val="none"/>
        </w:rPr>
      </w:pPr>
      <w:r>
        <w:rPr>
          <w:rFonts w:ascii="宋体" w:hAnsi="宋体"/>
          <w:color w:val="auto"/>
          <w:szCs w:val="21"/>
          <w:highlight w:val="none"/>
        </w:rPr>
        <w:t>1.6.4 承包人文件</w:t>
      </w:r>
    </w:p>
    <w:p w14:paraId="78CD0438">
      <w:pPr>
        <w:spacing w:line="480" w:lineRule="exact"/>
        <w:ind w:left="596" w:leftChars="284"/>
        <w:jc w:val="left"/>
        <w:rPr>
          <w:rFonts w:ascii="宋体" w:hAnsi="宋体"/>
          <w:color w:val="auto"/>
          <w:szCs w:val="21"/>
          <w:highlight w:val="none"/>
        </w:rPr>
      </w:pPr>
      <w:r>
        <w:rPr>
          <w:rFonts w:ascii="宋体" w:hAnsi="宋体"/>
          <w:color w:val="auto"/>
          <w:szCs w:val="21"/>
          <w:highlight w:val="none"/>
        </w:rPr>
        <w:t>需要由承包人提供的文件，包括：</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14:paraId="533BE2EA">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承包人提供的文件的期限为：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29CE72C8">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承包人提供的文件的数量为：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0F4D82EF">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承包人提供的文件的形式为：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4883979C">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承包人文件的期限：</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386BF1B5">
      <w:pPr>
        <w:spacing w:line="480" w:lineRule="exact"/>
        <w:ind w:firstLine="420" w:firstLineChars="200"/>
        <w:rPr>
          <w:rFonts w:ascii="宋体" w:hAnsi="宋体"/>
          <w:color w:val="auto"/>
          <w:szCs w:val="21"/>
          <w:highlight w:val="none"/>
        </w:rPr>
      </w:pPr>
      <w:r>
        <w:rPr>
          <w:rFonts w:ascii="宋体" w:hAnsi="宋体"/>
          <w:color w:val="auto"/>
          <w:szCs w:val="21"/>
          <w:highlight w:val="none"/>
        </w:rPr>
        <w:t>1.6.5 现场图纸准备</w:t>
      </w:r>
    </w:p>
    <w:p w14:paraId="475A8A29">
      <w:pPr>
        <w:spacing w:line="480" w:lineRule="exact"/>
        <w:ind w:firstLine="420" w:firstLineChars="200"/>
        <w:rPr>
          <w:rFonts w:ascii="宋体" w:hAnsi="宋体"/>
          <w:color w:val="auto"/>
          <w:szCs w:val="21"/>
          <w:highlight w:val="none"/>
        </w:rPr>
      </w:pPr>
      <w:r>
        <w:rPr>
          <w:rFonts w:ascii="宋体" w:hAnsi="宋体"/>
          <w:color w:val="auto"/>
          <w:szCs w:val="21"/>
          <w:highlight w:val="none"/>
        </w:rPr>
        <w:t>关于现场图纸准备的约定：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354ECAEA">
      <w:pPr>
        <w:spacing w:line="480" w:lineRule="exact"/>
        <w:rPr>
          <w:rFonts w:ascii="宋体" w:hAnsi="宋体"/>
          <w:color w:val="auto"/>
          <w:szCs w:val="21"/>
          <w:highlight w:val="none"/>
        </w:rPr>
      </w:pPr>
      <w:r>
        <w:rPr>
          <w:rFonts w:ascii="宋体" w:hAnsi="宋体"/>
          <w:color w:val="auto"/>
          <w:szCs w:val="21"/>
          <w:highlight w:val="none"/>
        </w:rPr>
        <w:t>1.7 联络</w:t>
      </w:r>
    </w:p>
    <w:p w14:paraId="7674C09E">
      <w:pPr>
        <w:spacing w:line="480" w:lineRule="exact"/>
        <w:ind w:firstLine="420" w:firstLineChars="200"/>
        <w:rPr>
          <w:rFonts w:hint="eastAsia" w:ascii="宋体" w:hAnsi="宋体"/>
          <w:color w:val="auto"/>
          <w:kern w:val="0"/>
          <w:szCs w:val="21"/>
          <w:highlight w:val="none"/>
        </w:rPr>
      </w:pPr>
      <w:r>
        <w:rPr>
          <w:rFonts w:ascii="宋体" w:hAnsi="宋体"/>
          <w:color w:val="auto"/>
          <w:kern w:val="0"/>
          <w:szCs w:val="21"/>
          <w:highlight w:val="none"/>
        </w:rPr>
        <w:t>1.7.1发包人和承包人应当在</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天内将与合同有关的通知、批准、证明、证书、指示、指令、要求、请求、同意、意见、确定和决定等书面函件送达对方当事人</w:t>
      </w:r>
      <w:r>
        <w:rPr>
          <w:rFonts w:hint="eastAsia" w:ascii="宋体" w:hAnsi="宋体"/>
          <w:color w:val="auto"/>
          <w:kern w:val="0"/>
          <w:szCs w:val="21"/>
          <w:highlight w:val="none"/>
        </w:rPr>
        <w:t>。</w:t>
      </w:r>
    </w:p>
    <w:p w14:paraId="650C1D83">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1.7.2 发包人接收文件的地点：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18FC14EE">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发包人指定的接收人为：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00B5CEDA">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承包人接收文件的地点：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3F72776B">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2B640640">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监理人接收文件的地点：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1C355226">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监理人指定的接收人为：</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kern w:val="0"/>
          <w:szCs w:val="21"/>
          <w:highlight w:val="none"/>
        </w:rPr>
        <w:t>。</w:t>
      </w:r>
    </w:p>
    <w:p w14:paraId="2EA736B4">
      <w:pPr>
        <w:spacing w:line="480" w:lineRule="exact"/>
        <w:rPr>
          <w:rFonts w:ascii="宋体" w:hAnsi="宋体"/>
          <w:color w:val="auto"/>
          <w:szCs w:val="21"/>
          <w:highlight w:val="none"/>
        </w:rPr>
      </w:pPr>
      <w:r>
        <w:rPr>
          <w:rFonts w:ascii="宋体" w:hAnsi="宋体"/>
          <w:color w:val="auto"/>
          <w:szCs w:val="21"/>
          <w:highlight w:val="none"/>
        </w:rPr>
        <w:t>1.10 交通运输</w:t>
      </w:r>
    </w:p>
    <w:p w14:paraId="75704462">
      <w:pPr>
        <w:spacing w:line="480" w:lineRule="exact"/>
        <w:rPr>
          <w:rFonts w:ascii="宋体" w:hAnsi="宋体"/>
          <w:color w:val="auto"/>
          <w:szCs w:val="21"/>
          <w:highlight w:val="none"/>
        </w:rPr>
      </w:pPr>
      <w:r>
        <w:rPr>
          <w:rFonts w:ascii="宋体" w:hAnsi="宋体"/>
          <w:color w:val="auto"/>
          <w:szCs w:val="21"/>
          <w:highlight w:val="none"/>
        </w:rPr>
        <w:t>1</w:t>
      </w:r>
      <w:bookmarkStart w:id="201" w:name="_Toc304295521"/>
      <w:bookmarkStart w:id="202" w:name="_Toc318581155"/>
      <w:bookmarkStart w:id="203" w:name="_Toc300934943"/>
      <w:bookmarkStart w:id="204" w:name="_Toc303539100"/>
      <w:bookmarkStart w:id="205" w:name="_Toc312677986"/>
      <w:r>
        <w:rPr>
          <w:rFonts w:ascii="宋体" w:hAnsi="宋体"/>
          <w:color w:val="auto"/>
          <w:szCs w:val="21"/>
          <w:highlight w:val="none"/>
        </w:rPr>
        <w:t>.10.1 出入现场的权利</w:t>
      </w:r>
    </w:p>
    <w:p w14:paraId="4A6D3BCF">
      <w:pPr>
        <w:spacing w:line="480" w:lineRule="exact"/>
        <w:ind w:left="596" w:leftChars="284"/>
        <w:rPr>
          <w:rFonts w:ascii="宋体" w:hAnsi="宋体"/>
          <w:color w:val="auto"/>
          <w:szCs w:val="21"/>
          <w:highlight w:val="none"/>
        </w:rPr>
      </w:pPr>
      <w:r>
        <w:rPr>
          <w:rFonts w:ascii="宋体" w:hAnsi="宋体"/>
          <w:color w:val="auto"/>
          <w:szCs w:val="21"/>
          <w:highlight w:val="none"/>
        </w:rPr>
        <w:t>关于出入现场的权利的约定：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bookmarkEnd w:id="201"/>
    <w:bookmarkEnd w:id="202"/>
    <w:bookmarkEnd w:id="203"/>
    <w:bookmarkEnd w:id="204"/>
    <w:bookmarkEnd w:id="205"/>
    <w:p w14:paraId="2208890D">
      <w:pPr>
        <w:spacing w:line="480" w:lineRule="exact"/>
        <w:rPr>
          <w:rFonts w:ascii="宋体" w:hAnsi="宋体"/>
          <w:color w:val="auto"/>
          <w:szCs w:val="21"/>
          <w:highlight w:val="none"/>
        </w:rPr>
      </w:pPr>
      <w:r>
        <w:rPr>
          <w:rFonts w:ascii="宋体" w:hAnsi="宋体"/>
          <w:color w:val="auto"/>
          <w:szCs w:val="21"/>
          <w:highlight w:val="none"/>
        </w:rPr>
        <w:t>1</w:t>
      </w:r>
      <w:bookmarkStart w:id="206" w:name="_Toc304295522"/>
      <w:bookmarkStart w:id="207" w:name="_Toc318581156"/>
      <w:bookmarkStart w:id="208" w:name="_Toc300934944"/>
      <w:bookmarkStart w:id="209" w:name="_Toc312677987"/>
      <w:bookmarkStart w:id="210" w:name="_Toc303539101"/>
      <w:r>
        <w:rPr>
          <w:rFonts w:ascii="宋体" w:hAnsi="宋体"/>
          <w:color w:val="auto"/>
          <w:szCs w:val="21"/>
          <w:highlight w:val="none"/>
        </w:rPr>
        <w:t>.10.3 场内交通</w:t>
      </w:r>
    </w:p>
    <w:p w14:paraId="48BB1AF8">
      <w:pPr>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关于场外交通和场内交通的边界的约定：</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755C5BE7">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关于发包人向承包人免费提供满足工程施工需要的场内道路和交通设施的约定：</w:t>
      </w:r>
      <w:r>
        <w:rPr>
          <w:rFonts w:ascii="宋体" w:hAnsi="宋体"/>
          <w:color w:val="auto"/>
          <w:szCs w:val="21"/>
          <w:highlight w:val="none"/>
          <w:u w:val="single"/>
        </w:rPr>
        <w:t>  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206"/>
      <w:bookmarkEnd w:id="207"/>
      <w:bookmarkEnd w:id="208"/>
      <w:bookmarkEnd w:id="209"/>
      <w:bookmarkEnd w:id="210"/>
      <w:r>
        <w:rPr>
          <w:rFonts w:ascii="宋体" w:hAnsi="宋体"/>
          <w:color w:val="auto"/>
          <w:szCs w:val="21"/>
          <w:highlight w:val="none"/>
        </w:rPr>
        <w:t xml:space="preserve">  </w:t>
      </w:r>
      <w:bookmarkStart w:id="211" w:name="_Toc318581157"/>
    </w:p>
    <w:p w14:paraId="1F5DF2D9">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1.10.4超大件和超重件的运输</w:t>
      </w:r>
    </w:p>
    <w:p w14:paraId="282D78BC">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运输超大件或超重件所需的道路和桥梁临时加固改造费用和其他有关费用由</w:t>
      </w:r>
    </w:p>
    <w:p w14:paraId="7EDE8B99">
      <w:pPr>
        <w:spacing w:line="480" w:lineRule="exact"/>
        <w:jc w:val="lef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承担。</w:t>
      </w:r>
    </w:p>
    <w:bookmarkEnd w:id="211"/>
    <w:p w14:paraId="634FA2F1">
      <w:pPr>
        <w:spacing w:line="480" w:lineRule="exact"/>
        <w:rPr>
          <w:rFonts w:ascii="宋体" w:hAnsi="宋体"/>
          <w:color w:val="auto"/>
          <w:szCs w:val="21"/>
          <w:highlight w:val="none"/>
        </w:rPr>
      </w:pPr>
      <w:r>
        <w:rPr>
          <w:rFonts w:ascii="宋体" w:hAnsi="宋体"/>
          <w:color w:val="auto"/>
          <w:szCs w:val="21"/>
          <w:highlight w:val="none"/>
        </w:rPr>
        <w:t>1.11 知识产权</w:t>
      </w:r>
    </w:p>
    <w:p w14:paraId="14FCF0D1">
      <w:pPr>
        <w:spacing w:line="480" w:lineRule="exact"/>
        <w:ind w:firstLine="420" w:firstLineChars="200"/>
        <w:rPr>
          <w:rFonts w:ascii="宋体" w:hAnsi="宋体"/>
          <w:color w:val="auto"/>
          <w:szCs w:val="21"/>
          <w:highlight w:val="none"/>
        </w:rPr>
      </w:pPr>
      <w:r>
        <w:rPr>
          <w:rFonts w:ascii="宋体" w:hAnsi="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D8FB60">
      <w:pPr>
        <w:spacing w:line="480" w:lineRule="exact"/>
        <w:ind w:left="596" w:leftChars="284"/>
        <w:rPr>
          <w:rFonts w:ascii="宋体" w:hAnsi="宋体"/>
          <w:color w:val="auto"/>
          <w:szCs w:val="21"/>
          <w:highlight w:val="none"/>
        </w:rPr>
      </w:pPr>
      <w:r>
        <w:rPr>
          <w:rFonts w:ascii="宋体" w:hAnsi="宋体"/>
          <w:color w:val="auto"/>
          <w:szCs w:val="21"/>
          <w:highlight w:val="none"/>
        </w:rPr>
        <w:t>关于发包人提供的上述文件的使用限制的要求：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3FE5594">
      <w:pPr>
        <w:spacing w:line="480" w:lineRule="exact"/>
        <w:rPr>
          <w:rFonts w:ascii="宋体" w:hAnsi="宋体"/>
          <w:color w:val="auto"/>
          <w:szCs w:val="21"/>
          <w:highlight w:val="none"/>
        </w:rPr>
      </w:pPr>
      <w:r>
        <w:rPr>
          <w:rFonts w:ascii="宋体" w:hAnsi="宋体"/>
          <w:color w:val="auto"/>
          <w:szCs w:val="21"/>
          <w:highlight w:val="none"/>
        </w:rPr>
        <w:t>1.11.2 关于承包人为实施工程所编制文件的著作权的归属：</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0FDB3F0">
      <w:pPr>
        <w:spacing w:line="480" w:lineRule="exact"/>
        <w:ind w:firstLine="420" w:firstLineChars="200"/>
        <w:rPr>
          <w:rFonts w:ascii="宋体" w:hAnsi="宋体"/>
          <w:color w:val="auto"/>
          <w:szCs w:val="21"/>
          <w:highlight w:val="none"/>
        </w:rPr>
      </w:pPr>
      <w:r>
        <w:rPr>
          <w:rFonts w:ascii="宋体" w:hAnsi="宋体"/>
          <w:color w:val="auto"/>
          <w:szCs w:val="21"/>
          <w:highlight w:val="none"/>
        </w:rPr>
        <w:t>关于承包人提供的上述文件的使用限制的要求：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B7E1F10">
      <w:pPr>
        <w:spacing w:line="480" w:lineRule="exact"/>
        <w:rPr>
          <w:rFonts w:ascii="宋体" w:hAnsi="宋体"/>
          <w:color w:val="auto"/>
          <w:kern w:val="0"/>
          <w:szCs w:val="21"/>
          <w:highlight w:val="none"/>
        </w:rPr>
      </w:pPr>
      <w:r>
        <w:rPr>
          <w:rFonts w:ascii="宋体" w:hAnsi="宋体"/>
          <w:color w:val="auto"/>
          <w:szCs w:val="21"/>
          <w:highlight w:val="none"/>
        </w:rPr>
        <w:t>1.11.4 承包人在施工过程中所采用的专利、专有技术、技术秘密的使用费的承担方式：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712E675C">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1.13工程量清单错误的修正</w:t>
      </w:r>
    </w:p>
    <w:p w14:paraId="59B7619B">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14:paraId="354F527A">
      <w:pPr>
        <w:spacing w:line="480" w:lineRule="exact"/>
        <w:ind w:firstLine="420" w:firstLineChars="200"/>
        <w:rPr>
          <w:rFonts w:ascii="宋体" w:hAnsi="宋体"/>
          <w:color w:val="auto"/>
          <w:szCs w:val="21"/>
          <w:highlight w:val="none"/>
        </w:rPr>
      </w:pPr>
      <w:r>
        <w:rPr>
          <w:rFonts w:ascii="宋体" w:hAnsi="宋体"/>
          <w:color w:val="auto"/>
          <w:szCs w:val="21"/>
          <w:highlight w:val="none"/>
        </w:rPr>
        <w:t>允许调整合同价格的工程量偏差范围：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kern w:val="0"/>
          <w:szCs w:val="21"/>
          <w:highlight w:val="none"/>
        </w:rPr>
        <w:t>。</w:t>
      </w:r>
    </w:p>
    <w:p w14:paraId="6468DCC1">
      <w:pPr>
        <w:spacing w:line="480" w:lineRule="exact"/>
        <w:rPr>
          <w:rFonts w:ascii="宋体" w:hAnsi="宋体"/>
          <w:color w:val="auto"/>
          <w:szCs w:val="21"/>
          <w:highlight w:val="none"/>
        </w:rPr>
      </w:pPr>
      <w:bookmarkStart w:id="212" w:name="_Toc351203634"/>
      <w:r>
        <w:rPr>
          <w:rFonts w:ascii="宋体" w:hAnsi="宋体"/>
          <w:color w:val="auto"/>
          <w:szCs w:val="21"/>
          <w:highlight w:val="none"/>
        </w:rPr>
        <w:t>2</w:t>
      </w:r>
      <w:bookmarkStart w:id="213" w:name="_Toc296503157"/>
      <w:bookmarkStart w:id="214" w:name="_Toc296346658"/>
      <w:bookmarkStart w:id="215" w:name="_Toc292559867"/>
      <w:bookmarkStart w:id="216" w:name="_Toc296890985"/>
      <w:bookmarkStart w:id="217" w:name="_Toc297048343"/>
      <w:bookmarkStart w:id="218" w:name="_Toc296944496"/>
      <w:bookmarkStart w:id="219" w:name="_Toc292559362"/>
      <w:bookmarkStart w:id="220" w:name="_Toc297120457"/>
      <w:bookmarkStart w:id="221" w:name="_Toc296347156"/>
      <w:bookmarkStart w:id="222" w:name="_Toc296891197"/>
      <w:r>
        <w:rPr>
          <w:rFonts w:ascii="宋体" w:hAnsi="宋体"/>
          <w:color w:val="auto"/>
          <w:szCs w:val="21"/>
          <w:highlight w:val="none"/>
        </w:rPr>
        <w:t>. 发包人</w:t>
      </w:r>
      <w:bookmarkEnd w:id="212"/>
    </w:p>
    <w:bookmarkEnd w:id="213"/>
    <w:bookmarkEnd w:id="214"/>
    <w:bookmarkEnd w:id="215"/>
    <w:bookmarkEnd w:id="216"/>
    <w:bookmarkEnd w:id="217"/>
    <w:bookmarkEnd w:id="218"/>
    <w:bookmarkEnd w:id="219"/>
    <w:bookmarkEnd w:id="220"/>
    <w:bookmarkEnd w:id="221"/>
    <w:bookmarkEnd w:id="222"/>
    <w:p w14:paraId="11BC17DE">
      <w:pPr>
        <w:spacing w:line="480" w:lineRule="exact"/>
        <w:rPr>
          <w:rFonts w:ascii="宋体" w:hAnsi="宋体"/>
          <w:color w:val="auto"/>
          <w:szCs w:val="21"/>
          <w:highlight w:val="none"/>
        </w:rPr>
      </w:pPr>
      <w:r>
        <w:rPr>
          <w:rFonts w:ascii="宋体" w:hAnsi="宋体"/>
          <w:color w:val="auto"/>
          <w:szCs w:val="21"/>
          <w:highlight w:val="none"/>
        </w:rPr>
        <w:t>2.2 发包人代表</w:t>
      </w:r>
    </w:p>
    <w:p w14:paraId="1484FC71">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发包人代表：</w:t>
      </w:r>
    </w:p>
    <w:p w14:paraId="191A51D3">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0C036062">
      <w:pPr>
        <w:spacing w:line="4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A1B1C30">
      <w:pPr>
        <w:spacing w:line="4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0D9BEE98">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18A396DF">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0E0DFCBC">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14:paraId="65D3E556">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发包人对发包人代表的授权范围如下：</w:t>
      </w:r>
      <w:r>
        <w:rPr>
          <w:rFonts w:hint="eastAsia"/>
          <w:color w:val="auto"/>
          <w:szCs w:val="21"/>
          <w:u w:val="single"/>
          <w:lang w:val="en-US" w:eastAsia="zh-CN"/>
        </w:rPr>
        <w:t>做好项目实施直至竣工验收合格阶段监督管理工作</w:t>
      </w:r>
      <w:r>
        <w:rPr>
          <w:rFonts w:hint="eastAsia" w:ascii="宋体" w:hAnsi="宋体"/>
          <w:color w:val="auto"/>
          <w:szCs w:val="21"/>
          <w:highlight w:val="none"/>
          <w:u w:val="single"/>
        </w:rPr>
        <w:t xml:space="preserve">  </w:t>
      </w:r>
      <w:r>
        <w:rPr>
          <w:rFonts w:ascii="宋体" w:hAnsi="宋体"/>
          <w:color w:val="auto"/>
          <w:szCs w:val="21"/>
          <w:highlight w:val="none"/>
        </w:rPr>
        <w:t>。</w:t>
      </w:r>
    </w:p>
    <w:p w14:paraId="034BD210">
      <w:pPr>
        <w:spacing w:line="480" w:lineRule="exact"/>
        <w:rPr>
          <w:rFonts w:ascii="宋体" w:hAnsi="宋体"/>
          <w:color w:val="auto"/>
          <w:szCs w:val="21"/>
          <w:highlight w:val="none"/>
        </w:rPr>
      </w:pPr>
      <w:r>
        <w:rPr>
          <w:rFonts w:ascii="宋体" w:hAnsi="宋体"/>
          <w:color w:val="auto"/>
          <w:szCs w:val="21"/>
          <w:highlight w:val="none"/>
        </w:rPr>
        <w:t>2.4 施工现场、施工条件和基础资料的提供</w:t>
      </w:r>
    </w:p>
    <w:p w14:paraId="6D7B1008">
      <w:pPr>
        <w:spacing w:line="480" w:lineRule="exact"/>
        <w:ind w:firstLine="420" w:firstLineChars="200"/>
        <w:rPr>
          <w:rFonts w:ascii="宋体" w:hAnsi="宋体"/>
          <w:color w:val="auto"/>
          <w:szCs w:val="21"/>
          <w:highlight w:val="none"/>
        </w:rPr>
      </w:pPr>
      <w:r>
        <w:rPr>
          <w:rFonts w:ascii="宋体" w:hAnsi="宋体"/>
          <w:color w:val="auto"/>
          <w:szCs w:val="21"/>
          <w:highlight w:val="none"/>
        </w:rPr>
        <w:t>2.4.1 提供施工现场</w:t>
      </w:r>
    </w:p>
    <w:p w14:paraId="37E2A52A">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关于发包人移交施工现场的期限要求：</w:t>
      </w:r>
      <w:r>
        <w:rPr>
          <w:rFonts w:ascii="宋体" w:hAnsi="宋体"/>
          <w:color w:val="auto"/>
          <w:szCs w:val="21"/>
          <w:highlight w:val="none"/>
          <w:u w:val="single"/>
        </w:rPr>
        <w:t xml:space="preserve">            </w:t>
      </w:r>
      <w:r>
        <w:rPr>
          <w:rFonts w:ascii="宋体" w:hAnsi="宋体"/>
          <w:color w:val="auto"/>
          <w:szCs w:val="21"/>
          <w:highlight w:val="none"/>
        </w:rPr>
        <w:t>。</w:t>
      </w:r>
    </w:p>
    <w:p w14:paraId="3379509E">
      <w:pPr>
        <w:spacing w:line="480" w:lineRule="exact"/>
        <w:ind w:firstLine="420" w:firstLineChars="200"/>
        <w:rPr>
          <w:rFonts w:ascii="宋体" w:hAnsi="宋体"/>
          <w:color w:val="auto"/>
          <w:szCs w:val="21"/>
          <w:highlight w:val="none"/>
        </w:rPr>
      </w:pPr>
      <w:r>
        <w:rPr>
          <w:rFonts w:ascii="宋体" w:hAnsi="宋体"/>
          <w:color w:val="auto"/>
          <w:szCs w:val="21"/>
          <w:highlight w:val="none"/>
        </w:rPr>
        <w:t>2.4.2 提供施工条件</w:t>
      </w:r>
    </w:p>
    <w:p w14:paraId="54F89351">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关于发包人应负责提供施工</w:t>
      </w:r>
      <w:r>
        <w:rPr>
          <w:rFonts w:hint="eastAsia" w:ascii="宋体" w:hAnsi="宋体"/>
          <w:color w:val="auto"/>
          <w:szCs w:val="21"/>
          <w:highlight w:val="none"/>
        </w:rPr>
        <w:t>所需要的条件，</w:t>
      </w:r>
      <w:r>
        <w:rPr>
          <w:rFonts w:ascii="宋体" w:hAnsi="宋体"/>
          <w:color w:val="auto"/>
          <w:szCs w:val="21"/>
          <w:highlight w:val="none"/>
        </w:rPr>
        <w:t>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1862665">
      <w:pPr>
        <w:spacing w:line="480" w:lineRule="exact"/>
        <w:rPr>
          <w:rFonts w:ascii="宋体" w:hAnsi="宋体"/>
          <w:color w:val="auto"/>
          <w:szCs w:val="21"/>
          <w:highlight w:val="none"/>
        </w:rPr>
      </w:pPr>
      <w:r>
        <w:rPr>
          <w:rFonts w:ascii="宋体" w:hAnsi="宋体"/>
          <w:color w:val="auto"/>
          <w:szCs w:val="21"/>
          <w:highlight w:val="none"/>
        </w:rPr>
        <w:t>2.5 资金来源证明及支付担保</w:t>
      </w:r>
    </w:p>
    <w:p w14:paraId="053870D2">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发包人提供资金来源证明的期限要求：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6B97FE9">
      <w:pPr>
        <w:spacing w:line="480" w:lineRule="exact"/>
        <w:ind w:firstLine="420" w:firstLineChars="200"/>
        <w:rPr>
          <w:rFonts w:ascii="宋体" w:hAnsi="宋体"/>
          <w:color w:val="auto"/>
          <w:szCs w:val="21"/>
          <w:highlight w:val="none"/>
        </w:rPr>
      </w:pPr>
      <w:r>
        <w:rPr>
          <w:rFonts w:ascii="宋体" w:hAnsi="宋体"/>
          <w:color w:val="auto"/>
          <w:szCs w:val="21"/>
          <w:highlight w:val="none"/>
        </w:rPr>
        <w:t>发包人是否提供支付担保：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14:paraId="1F7BE872">
      <w:pPr>
        <w:spacing w:line="480" w:lineRule="exact"/>
        <w:ind w:firstLine="420" w:firstLineChars="200"/>
        <w:rPr>
          <w:rFonts w:hint="eastAsia" w:ascii="宋体" w:hAnsi="宋体" w:eastAsia="宋体"/>
          <w:color w:val="auto"/>
          <w:szCs w:val="21"/>
          <w:highlight w:val="none"/>
          <w:u w:val="single"/>
          <w:lang w:eastAsia="zh-CN"/>
        </w:rPr>
      </w:pPr>
      <w:r>
        <w:rPr>
          <w:rFonts w:ascii="宋体" w:hAnsi="宋体"/>
          <w:color w:val="auto"/>
          <w:szCs w:val="21"/>
          <w:highlight w:val="none"/>
        </w:rPr>
        <w:t>发包人提供支付担保的形式：</w:t>
      </w:r>
      <w:r>
        <w:rPr>
          <w:rFonts w:ascii="宋体" w:hAnsi="宋体"/>
          <w:color w:val="auto"/>
          <w:szCs w:val="21"/>
          <w:highlight w:val="none"/>
          <w:u w:val="single"/>
        </w:rPr>
        <w:t></w:t>
      </w:r>
      <w:r>
        <w:rPr>
          <w:rFonts w:hint="default" w:ascii="宋体" w:hAnsi="宋体"/>
          <w:color w:val="auto"/>
          <w:szCs w:val="21"/>
          <w:highlight w:val="none"/>
          <w:u w:val="single"/>
          <w:lang w:val="en-US" w:eastAsia="zh-CN"/>
        </w:rPr>
        <w:t>承包人提供履约担保的</w:t>
      </w:r>
      <w:r>
        <w:rPr>
          <w:rFonts w:hint="eastAsia" w:ascii="宋体" w:hAnsi="宋体"/>
          <w:color w:val="auto"/>
          <w:szCs w:val="21"/>
          <w:highlight w:val="none"/>
          <w:u w:val="single"/>
          <w:lang w:val="en-US" w:eastAsia="zh-CN"/>
        </w:rPr>
        <w:t>同时</w:t>
      </w:r>
      <w:r>
        <w:rPr>
          <w:rFonts w:hint="default" w:ascii="宋体" w:hAnsi="宋体"/>
          <w:color w:val="auto"/>
          <w:szCs w:val="21"/>
          <w:highlight w:val="none"/>
          <w:u w:val="single"/>
          <w:lang w:val="en-US" w:eastAsia="zh-CN"/>
        </w:rPr>
        <w:t>，招标人提供工程款支付担保</w:t>
      </w:r>
      <w:r>
        <w:rPr>
          <w:rFonts w:hint="eastAsia" w:ascii="宋体" w:hAnsi="宋体"/>
          <w:color w:val="auto"/>
          <w:szCs w:val="21"/>
          <w:highlight w:val="none"/>
          <w:u w:val="single"/>
          <w:lang w:val="en-US" w:eastAsia="zh-CN"/>
        </w:rPr>
        <w:t>10%</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w:t>
      </w:r>
    </w:p>
    <w:p w14:paraId="025EDFB6">
      <w:pPr>
        <w:spacing w:line="480" w:lineRule="exact"/>
        <w:rPr>
          <w:rFonts w:ascii="宋体" w:hAnsi="宋体"/>
          <w:color w:val="auto"/>
          <w:szCs w:val="21"/>
          <w:highlight w:val="none"/>
        </w:rPr>
      </w:pPr>
      <w:bookmarkStart w:id="223" w:name="_Toc351203635"/>
      <w:r>
        <w:rPr>
          <w:rFonts w:ascii="宋体" w:hAnsi="宋体"/>
          <w:color w:val="auto"/>
          <w:szCs w:val="21"/>
          <w:highlight w:val="none"/>
        </w:rPr>
        <w:t>3</w:t>
      </w:r>
      <w:bookmarkStart w:id="224" w:name="_Toc292559363"/>
      <w:bookmarkStart w:id="225" w:name="_Toc296890986"/>
      <w:bookmarkStart w:id="226" w:name="_Toc296503158"/>
      <w:bookmarkStart w:id="227" w:name="_Toc296347157"/>
      <w:bookmarkStart w:id="228" w:name="_Toc296346659"/>
      <w:bookmarkStart w:id="229" w:name="_Toc296891198"/>
      <w:bookmarkStart w:id="230" w:name="_Toc297048344"/>
      <w:bookmarkStart w:id="231" w:name="_Toc297120458"/>
      <w:bookmarkStart w:id="232" w:name="_Toc296944497"/>
      <w:bookmarkStart w:id="233" w:name="_Toc292559868"/>
      <w:r>
        <w:rPr>
          <w:rFonts w:ascii="宋体" w:hAnsi="宋体"/>
          <w:color w:val="auto"/>
          <w:szCs w:val="21"/>
          <w:highlight w:val="none"/>
        </w:rPr>
        <w:t>. 承包人</w:t>
      </w:r>
      <w:bookmarkEnd w:id="223"/>
    </w:p>
    <w:bookmarkEnd w:id="224"/>
    <w:bookmarkEnd w:id="225"/>
    <w:bookmarkEnd w:id="226"/>
    <w:bookmarkEnd w:id="227"/>
    <w:bookmarkEnd w:id="228"/>
    <w:bookmarkEnd w:id="229"/>
    <w:bookmarkEnd w:id="230"/>
    <w:bookmarkEnd w:id="231"/>
    <w:bookmarkEnd w:id="232"/>
    <w:bookmarkEnd w:id="233"/>
    <w:p w14:paraId="390C0065">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3.1 承包人的一般义务</w:t>
      </w:r>
    </w:p>
    <w:p w14:paraId="126266A2">
      <w:pPr>
        <w:spacing w:line="480" w:lineRule="exact"/>
        <w:ind w:firstLine="420" w:firstLineChars="200"/>
        <w:jc w:val="left"/>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9</w:t>
      </w:r>
      <w:r>
        <w:rPr>
          <w:rFonts w:ascii="宋体" w:hAnsi="宋体"/>
          <w:color w:val="auto"/>
          <w:kern w:val="0"/>
          <w:szCs w:val="21"/>
          <w:highlight w:val="none"/>
        </w:rPr>
        <w:t>）</w:t>
      </w:r>
      <w:r>
        <w:rPr>
          <w:rFonts w:ascii="宋体" w:hAnsi="宋体"/>
          <w:color w:val="auto"/>
          <w:szCs w:val="21"/>
          <w:highlight w:val="none"/>
        </w:rPr>
        <w:t>承包人提交的竣工资料的内容：</w:t>
      </w:r>
      <w:r>
        <w:rPr>
          <w:rFonts w:ascii="宋体" w:hAnsi="宋体"/>
          <w:color w:val="auto"/>
          <w:szCs w:val="21"/>
          <w:highlight w:val="none"/>
          <w:u w:val="single"/>
        </w:rPr>
        <w:t xml:space="preserve">                    </w:t>
      </w:r>
      <w:r>
        <w:rPr>
          <w:rFonts w:ascii="宋体" w:hAnsi="宋体"/>
          <w:color w:val="auto"/>
          <w:szCs w:val="21"/>
          <w:highlight w:val="none"/>
        </w:rPr>
        <w:t>。</w:t>
      </w:r>
    </w:p>
    <w:p w14:paraId="61D854E8">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承包人需要提交的竣工资料套数：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CBD8E57">
      <w:pPr>
        <w:spacing w:line="480" w:lineRule="exact"/>
        <w:ind w:left="638" w:leftChars="304"/>
        <w:jc w:val="left"/>
        <w:rPr>
          <w:rFonts w:ascii="宋体" w:hAnsi="宋体"/>
          <w:color w:val="auto"/>
          <w:szCs w:val="21"/>
          <w:highlight w:val="none"/>
        </w:rPr>
      </w:pPr>
      <w:r>
        <w:rPr>
          <w:rFonts w:ascii="宋体" w:hAnsi="宋体"/>
          <w:color w:val="auto"/>
          <w:szCs w:val="21"/>
          <w:highlight w:val="none"/>
        </w:rPr>
        <w:t>承包人提交的竣工资料的费用承担：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88FEB19">
      <w:pPr>
        <w:spacing w:line="480" w:lineRule="exact"/>
        <w:ind w:left="638" w:leftChars="304"/>
        <w:jc w:val="left"/>
        <w:rPr>
          <w:rFonts w:ascii="宋体" w:hAnsi="宋体"/>
          <w:color w:val="auto"/>
          <w:szCs w:val="21"/>
          <w:highlight w:val="none"/>
        </w:rPr>
      </w:pPr>
      <w:r>
        <w:rPr>
          <w:rFonts w:ascii="宋体" w:hAnsi="宋体"/>
          <w:color w:val="auto"/>
          <w:szCs w:val="21"/>
          <w:highlight w:val="none"/>
        </w:rPr>
        <w:t>承包人提交的竣工资料移交时间：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4BFD09E">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承包人提交的竣工资料形式要求：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5118CF9">
      <w:pPr>
        <w:spacing w:line="480" w:lineRule="exact"/>
        <w:ind w:firstLine="420" w:firstLineChars="200"/>
        <w:rPr>
          <w:rFonts w:ascii="宋体" w:hAnsi="宋体"/>
          <w:color w:val="auto"/>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10</w:t>
      </w:r>
      <w:r>
        <w:rPr>
          <w:rFonts w:ascii="宋体" w:hAnsi="宋体"/>
          <w:color w:val="auto"/>
          <w:kern w:val="0"/>
          <w:szCs w:val="21"/>
          <w:highlight w:val="none"/>
        </w:rPr>
        <w:t>）承包人应履行的其他义务：</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1D9ABFA">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3.2 项目经理</w:t>
      </w:r>
    </w:p>
    <w:p w14:paraId="2E5ADDF3">
      <w:pPr>
        <w:spacing w:line="480" w:lineRule="exact"/>
        <w:ind w:firstLine="420" w:firstLineChars="200"/>
        <w:rPr>
          <w:rFonts w:ascii="宋体" w:hAnsi="宋体"/>
          <w:color w:val="auto"/>
          <w:szCs w:val="21"/>
          <w:highlight w:val="none"/>
        </w:rPr>
      </w:pPr>
      <w:r>
        <w:rPr>
          <w:rFonts w:ascii="宋体" w:hAnsi="宋体"/>
          <w:color w:val="auto"/>
          <w:kern w:val="0"/>
          <w:szCs w:val="21"/>
          <w:highlight w:val="none"/>
        </w:rPr>
        <w:t xml:space="preserve">3.2.1 </w:t>
      </w:r>
      <w:r>
        <w:rPr>
          <w:rFonts w:ascii="宋体" w:hAnsi="宋体"/>
          <w:color w:val="auto"/>
          <w:szCs w:val="21"/>
          <w:highlight w:val="none"/>
        </w:rPr>
        <w:t>项目经理：</w:t>
      </w:r>
    </w:p>
    <w:p w14:paraId="36F09130">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5EBCD820">
      <w:pPr>
        <w:spacing w:line="480" w:lineRule="exact"/>
        <w:ind w:firstLine="420" w:firstLineChars="200"/>
        <w:rPr>
          <w:rFonts w:ascii="宋体" w:hAnsi="宋体"/>
          <w:color w:val="auto"/>
          <w:szCs w:val="21"/>
          <w:highlight w:val="none"/>
        </w:rPr>
      </w:pPr>
      <w:r>
        <w:rPr>
          <w:rFonts w:ascii="宋体" w:hAnsi="宋体"/>
          <w:color w:val="auto"/>
          <w:szCs w:val="21"/>
          <w:highlight w:val="none"/>
        </w:rPr>
        <w:t>身份证号：</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5183D96E">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建造师执业资格等级：</w:t>
      </w:r>
      <w:r>
        <w:rPr>
          <w:rFonts w:ascii="宋体" w:hAnsi="宋体"/>
          <w:color w:val="auto"/>
          <w:szCs w:val="21"/>
          <w:highlight w:val="none"/>
          <w:u w:val="single"/>
        </w:rPr>
        <w:t>   </w:t>
      </w:r>
      <w:r>
        <w:rPr>
          <w:rFonts w:ascii="宋体" w:hAnsi="宋体"/>
          <w:color w:val="auto"/>
          <w:szCs w:val="21"/>
          <w:highlight w:val="none"/>
        </w:rPr>
        <w:t>；</w:t>
      </w:r>
    </w:p>
    <w:p w14:paraId="0C42CAC0">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建造师注册证书号：</w:t>
      </w:r>
      <w:r>
        <w:rPr>
          <w:rFonts w:ascii="宋体" w:hAnsi="宋体"/>
          <w:color w:val="auto"/>
          <w:szCs w:val="21"/>
          <w:highlight w:val="none"/>
          <w:u w:val="single"/>
        </w:rPr>
        <w:t> </w:t>
      </w:r>
      <w:r>
        <w:rPr>
          <w:rFonts w:ascii="宋体" w:hAnsi="宋体"/>
          <w:color w:val="auto"/>
          <w:szCs w:val="21"/>
          <w:highlight w:val="none"/>
        </w:rPr>
        <w:t>；</w:t>
      </w:r>
    </w:p>
    <w:p w14:paraId="42420DAA">
      <w:pPr>
        <w:spacing w:line="480" w:lineRule="exact"/>
        <w:ind w:firstLine="420" w:firstLineChars="200"/>
        <w:rPr>
          <w:rFonts w:ascii="宋体" w:hAnsi="宋体"/>
          <w:color w:val="auto"/>
          <w:szCs w:val="21"/>
          <w:highlight w:val="none"/>
        </w:rPr>
      </w:pPr>
      <w:r>
        <w:rPr>
          <w:rFonts w:ascii="宋体" w:hAnsi="宋体"/>
          <w:color w:val="auto"/>
          <w:szCs w:val="21"/>
          <w:highlight w:val="none"/>
        </w:rPr>
        <w:t>建造师执业印章号：</w:t>
      </w:r>
      <w:r>
        <w:rPr>
          <w:rFonts w:ascii="宋体" w:hAnsi="宋体"/>
          <w:color w:val="auto"/>
          <w:szCs w:val="21"/>
          <w:highlight w:val="none"/>
          <w:u w:val="single"/>
        </w:rPr>
        <w:t> </w:t>
      </w:r>
      <w:r>
        <w:rPr>
          <w:rFonts w:ascii="宋体" w:hAnsi="宋体"/>
          <w:color w:val="auto"/>
          <w:szCs w:val="21"/>
          <w:highlight w:val="none"/>
        </w:rPr>
        <w:t>；</w:t>
      </w:r>
    </w:p>
    <w:p w14:paraId="7DA0EDB6">
      <w:pPr>
        <w:spacing w:line="480" w:lineRule="exact"/>
        <w:ind w:firstLine="420" w:firstLineChars="200"/>
        <w:rPr>
          <w:rFonts w:ascii="宋体" w:hAnsi="宋体"/>
          <w:color w:val="auto"/>
          <w:szCs w:val="21"/>
          <w:highlight w:val="none"/>
        </w:rPr>
      </w:pPr>
      <w:r>
        <w:rPr>
          <w:rFonts w:ascii="宋体" w:hAnsi="宋体"/>
          <w:color w:val="auto"/>
          <w:szCs w:val="21"/>
          <w:highlight w:val="none"/>
        </w:rPr>
        <w:t>安全生产考核合格证书号：</w:t>
      </w:r>
      <w:r>
        <w:rPr>
          <w:rFonts w:ascii="宋体" w:hAnsi="宋体"/>
          <w:color w:val="auto"/>
          <w:szCs w:val="21"/>
          <w:highlight w:val="none"/>
          <w:u w:val="single"/>
        </w:rPr>
        <w:t> </w:t>
      </w:r>
      <w:r>
        <w:rPr>
          <w:rFonts w:ascii="宋体" w:hAnsi="宋体"/>
          <w:color w:val="auto"/>
          <w:szCs w:val="21"/>
          <w:highlight w:val="none"/>
        </w:rPr>
        <w:t>；</w:t>
      </w:r>
    </w:p>
    <w:p w14:paraId="3C3D7688">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76E6FF45">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2AE6E2AB">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w:t>
      </w:r>
      <w:r>
        <w:rPr>
          <w:rFonts w:ascii="宋体" w:hAnsi="宋体"/>
          <w:color w:val="auto"/>
          <w:szCs w:val="21"/>
          <w:highlight w:val="none"/>
        </w:rPr>
        <w:t>；</w:t>
      </w:r>
    </w:p>
    <w:p w14:paraId="62153F69">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承包人对项目经理的授权范围如下：</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rPr>
        <w:t>。</w:t>
      </w:r>
    </w:p>
    <w:p w14:paraId="0A042A53">
      <w:pPr>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关于项目经理每月在施工现场的时间要求：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27FE10B9">
      <w:pPr>
        <w:spacing w:line="480" w:lineRule="exact"/>
        <w:ind w:firstLine="420" w:firstLineChars="200"/>
        <w:rPr>
          <w:rFonts w:ascii="宋体" w:hAnsi="宋体"/>
          <w:color w:val="auto"/>
          <w:kern w:val="0"/>
          <w:szCs w:val="21"/>
          <w:highlight w:val="none"/>
        </w:rPr>
      </w:pPr>
      <w:r>
        <w:rPr>
          <w:rFonts w:ascii="宋体" w:hAnsi="宋体"/>
          <w:color w:val="auto"/>
          <w:kern w:val="0"/>
          <w:szCs w:val="21"/>
          <w:highlight w:val="none"/>
        </w:rPr>
        <w:t>承包人未提交劳动合同，以及没有为项目经理缴纳社会保险证明的违约责任：</w:t>
      </w:r>
      <w:r>
        <w:rPr>
          <w:rFonts w:ascii="宋体" w:hAnsi="宋体"/>
          <w:color w:val="auto"/>
          <w:szCs w:val="21"/>
          <w:highlight w:val="none"/>
          <w:u w:val="single"/>
        </w:rPr>
        <w:t></w:t>
      </w:r>
      <w:r>
        <w:rPr>
          <w:rFonts w:ascii="宋体" w:hAnsi="宋体"/>
          <w:color w:val="auto"/>
          <w:szCs w:val="21"/>
          <w:highlight w:val="none"/>
        </w:rPr>
        <w:t>。</w:t>
      </w:r>
    </w:p>
    <w:p w14:paraId="163C0FB5">
      <w:pPr>
        <w:spacing w:line="480" w:lineRule="exact"/>
        <w:ind w:firstLine="420" w:firstLineChars="200"/>
        <w:rPr>
          <w:rFonts w:ascii="宋体" w:hAnsi="宋体"/>
          <w:color w:val="auto"/>
          <w:szCs w:val="21"/>
          <w:highlight w:val="none"/>
          <w:u w:val="single"/>
        </w:rPr>
      </w:pPr>
      <w:r>
        <w:rPr>
          <w:rFonts w:ascii="宋体" w:hAnsi="宋体"/>
          <w:color w:val="auto"/>
          <w:kern w:val="0"/>
          <w:szCs w:val="21"/>
          <w:highlight w:val="none"/>
        </w:rPr>
        <w:t>项目经理未经批准，擅自离开施工现场的违约责任：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7B4AD23E">
      <w:pPr>
        <w:spacing w:line="480" w:lineRule="exact"/>
        <w:ind w:firstLine="420" w:firstLineChars="200"/>
        <w:rPr>
          <w:rFonts w:ascii="宋体" w:hAnsi="宋体"/>
          <w:color w:val="auto"/>
          <w:szCs w:val="21"/>
          <w:highlight w:val="none"/>
        </w:rPr>
      </w:pPr>
      <w:r>
        <w:rPr>
          <w:rFonts w:ascii="宋体" w:hAnsi="宋体"/>
          <w:color w:val="auto"/>
          <w:szCs w:val="21"/>
          <w:highlight w:val="none"/>
        </w:rPr>
        <w:t>3.2.3 承包人擅自更换项目经理的违约责任：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F22938A">
      <w:pPr>
        <w:spacing w:line="480" w:lineRule="exact"/>
        <w:rPr>
          <w:rFonts w:ascii="宋体" w:hAnsi="宋体"/>
          <w:color w:val="auto"/>
          <w:szCs w:val="21"/>
          <w:highlight w:val="none"/>
        </w:rPr>
      </w:pPr>
      <w:r>
        <w:rPr>
          <w:rFonts w:ascii="宋体" w:hAnsi="宋体"/>
          <w:color w:val="auto"/>
          <w:szCs w:val="21"/>
          <w:highlight w:val="none"/>
        </w:rPr>
        <w:t>3.2.4 承包人无正当理由拒绝更换项目经理的违约责任：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3D76670">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3.3 承包人人员</w:t>
      </w:r>
    </w:p>
    <w:p w14:paraId="16E303B9">
      <w:pPr>
        <w:spacing w:line="480" w:lineRule="exact"/>
        <w:ind w:firstLine="420" w:firstLineChars="200"/>
        <w:rPr>
          <w:rFonts w:ascii="宋体" w:hAnsi="宋体"/>
          <w:color w:val="auto"/>
          <w:szCs w:val="21"/>
          <w:highlight w:val="none"/>
        </w:rPr>
      </w:pPr>
      <w:r>
        <w:rPr>
          <w:rFonts w:ascii="宋体" w:hAnsi="宋体"/>
          <w:color w:val="auto"/>
          <w:szCs w:val="21"/>
          <w:highlight w:val="none"/>
        </w:rPr>
        <w:t>3.3.1 承包人提交项目管理机构及施工现场管理人员安排报告的期限：</w:t>
      </w:r>
      <w:r>
        <w:rPr>
          <w:rFonts w:ascii="宋体" w:hAnsi="宋体"/>
          <w:color w:val="auto"/>
          <w:szCs w:val="21"/>
          <w:highlight w:val="none"/>
          <w:u w:val="single"/>
        </w:rPr>
        <w:t xml:space="preserve">     </w:t>
      </w:r>
      <w:r>
        <w:rPr>
          <w:rFonts w:ascii="宋体" w:hAnsi="宋体"/>
          <w:color w:val="auto"/>
          <w:szCs w:val="21"/>
          <w:highlight w:val="none"/>
        </w:rPr>
        <w:t>。</w:t>
      </w:r>
    </w:p>
    <w:p w14:paraId="557AD0B0">
      <w:pPr>
        <w:spacing w:line="480" w:lineRule="exact"/>
        <w:ind w:firstLine="420" w:firstLineChars="200"/>
        <w:rPr>
          <w:rFonts w:ascii="宋体" w:hAnsi="宋体"/>
          <w:color w:val="auto"/>
          <w:szCs w:val="21"/>
          <w:highlight w:val="none"/>
        </w:rPr>
      </w:pPr>
      <w:r>
        <w:rPr>
          <w:rFonts w:ascii="宋体" w:hAnsi="宋体"/>
          <w:color w:val="auto"/>
          <w:szCs w:val="21"/>
          <w:highlight w:val="none"/>
        </w:rPr>
        <w:t>3.3.3 承包人无正当理由拒绝撤换主要施工管理人员的违约责任：</w:t>
      </w:r>
      <w:r>
        <w:rPr>
          <w:rFonts w:ascii="宋体" w:hAnsi="宋体"/>
          <w:color w:val="auto"/>
          <w:szCs w:val="21"/>
          <w:highlight w:val="none"/>
          <w:u w:val="single"/>
        </w:rPr>
        <w:t xml:space="preserve">     </w:t>
      </w:r>
      <w:r>
        <w:rPr>
          <w:rFonts w:ascii="宋体" w:hAnsi="宋体"/>
          <w:color w:val="auto"/>
          <w:szCs w:val="21"/>
          <w:highlight w:val="none"/>
        </w:rPr>
        <w:t>。</w:t>
      </w:r>
    </w:p>
    <w:p w14:paraId="0FCB3971">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3.3.4 承包人主要施工管理人员离开施工现场的批准要求：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F7C77B5">
      <w:pPr>
        <w:spacing w:line="480" w:lineRule="exact"/>
        <w:ind w:firstLine="420" w:firstLineChars="200"/>
        <w:rPr>
          <w:rFonts w:ascii="宋体" w:hAnsi="宋体"/>
          <w:color w:val="auto"/>
          <w:szCs w:val="21"/>
          <w:highlight w:val="none"/>
        </w:rPr>
      </w:pPr>
      <w:r>
        <w:rPr>
          <w:rFonts w:ascii="宋体" w:hAnsi="宋体"/>
          <w:color w:val="auto"/>
          <w:szCs w:val="21"/>
          <w:highlight w:val="none"/>
        </w:rPr>
        <w:t>3.3.5承包人擅自更换主要施工管理人员的违约责任：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77A7FCF">
      <w:pPr>
        <w:spacing w:line="480" w:lineRule="exact"/>
        <w:ind w:firstLine="420" w:firstLineChars="200"/>
        <w:rPr>
          <w:rFonts w:ascii="宋体" w:hAnsi="宋体"/>
          <w:color w:val="auto"/>
          <w:szCs w:val="21"/>
          <w:highlight w:val="none"/>
        </w:rPr>
      </w:pPr>
      <w:r>
        <w:rPr>
          <w:rFonts w:ascii="宋体" w:hAnsi="宋体"/>
          <w:color w:val="auto"/>
          <w:szCs w:val="21"/>
          <w:highlight w:val="none"/>
        </w:rPr>
        <w:t>承包人主要施工管理人员擅自离开施工现场的违约责任：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7CBE44A">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w:t>
      </w:r>
      <w:bookmarkStart w:id="234" w:name="_Toc292559869"/>
      <w:bookmarkStart w:id="235" w:name="_Toc296503159"/>
      <w:bookmarkStart w:id="236" w:name="_Toc296890987"/>
      <w:bookmarkStart w:id="237" w:name="_Toc296347158"/>
      <w:bookmarkStart w:id="238" w:name="_Toc312677988"/>
      <w:bookmarkStart w:id="239" w:name="_Toc292559364"/>
      <w:bookmarkStart w:id="240" w:name="_Toc297216151"/>
      <w:bookmarkStart w:id="241" w:name="_Toc296944498"/>
      <w:bookmarkStart w:id="242" w:name="_Toc297123492"/>
      <w:bookmarkStart w:id="243" w:name="_Toc300934945"/>
      <w:bookmarkStart w:id="244" w:name="_Toc297120459"/>
      <w:bookmarkStart w:id="245" w:name="_Toc304295523"/>
      <w:bookmarkStart w:id="246" w:name="_Toc296346660"/>
      <w:bookmarkStart w:id="247" w:name="_Toc296891199"/>
      <w:bookmarkStart w:id="248" w:name="_Toc303539102"/>
      <w:bookmarkStart w:id="249" w:name="_Toc297048345"/>
      <w:r>
        <w:rPr>
          <w:rFonts w:ascii="宋体" w:hAnsi="宋体"/>
          <w:color w:val="auto"/>
          <w:szCs w:val="21"/>
          <w:highlight w:val="none"/>
        </w:rPr>
        <w:t>.5 分包</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3D0591ED">
      <w:pPr>
        <w:spacing w:line="480" w:lineRule="exact"/>
        <w:ind w:firstLine="420" w:firstLineChars="200"/>
        <w:rPr>
          <w:rFonts w:ascii="宋体" w:hAnsi="宋体"/>
          <w:color w:val="auto"/>
          <w:szCs w:val="21"/>
          <w:highlight w:val="none"/>
        </w:rPr>
      </w:pPr>
      <w:r>
        <w:rPr>
          <w:rFonts w:ascii="宋体" w:hAnsi="宋体"/>
          <w:color w:val="auto"/>
          <w:szCs w:val="21"/>
          <w:highlight w:val="none"/>
        </w:rPr>
        <w:t>3</w:t>
      </w:r>
      <w:bookmarkStart w:id="250" w:name="_Toc296503160"/>
      <w:bookmarkStart w:id="251" w:name="_Toc297216152"/>
      <w:bookmarkStart w:id="252" w:name="_Toc303539103"/>
      <w:bookmarkStart w:id="253" w:name="_Toc296890988"/>
      <w:bookmarkStart w:id="254" w:name="_Toc297120460"/>
      <w:bookmarkStart w:id="255" w:name="_Toc296347159"/>
      <w:bookmarkStart w:id="256" w:name="_Toc297048346"/>
      <w:bookmarkStart w:id="257" w:name="_Toc296346661"/>
      <w:bookmarkStart w:id="258" w:name="_Toc296944499"/>
      <w:bookmarkStart w:id="259" w:name="_Toc304295524"/>
      <w:bookmarkStart w:id="260" w:name="_Toc292559870"/>
      <w:bookmarkStart w:id="261" w:name="_Toc297123493"/>
      <w:bookmarkStart w:id="262" w:name="_Toc296891200"/>
      <w:bookmarkStart w:id="263" w:name="_Toc292559365"/>
      <w:bookmarkStart w:id="264" w:name="_Toc300934946"/>
      <w:bookmarkStart w:id="265" w:name="_Toc318581158"/>
      <w:bookmarkStart w:id="266" w:name="_Toc312677989"/>
      <w:r>
        <w:rPr>
          <w:rFonts w:ascii="宋体" w:hAnsi="宋体"/>
          <w:color w:val="auto"/>
          <w:szCs w:val="21"/>
          <w:highlight w:val="none"/>
        </w:rPr>
        <w:t>.5.1 分包的一般约定</w:t>
      </w:r>
    </w:p>
    <w:p w14:paraId="628F0893">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禁止分包的工程包括：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6FC9E86">
      <w:pPr>
        <w:spacing w:line="480" w:lineRule="exact"/>
        <w:ind w:firstLine="420" w:firstLineChars="200"/>
        <w:jc w:val="left"/>
        <w:rPr>
          <w:rFonts w:ascii="宋体" w:hAnsi="宋体"/>
          <w:color w:val="auto"/>
          <w:szCs w:val="21"/>
          <w:highlight w:val="none"/>
          <w:u w:val="single"/>
        </w:rPr>
      </w:pPr>
      <w:r>
        <w:rPr>
          <w:rFonts w:ascii="宋体" w:hAnsi="宋体"/>
          <w:color w:val="auto"/>
          <w:szCs w:val="21"/>
          <w:highlight w:val="none"/>
        </w:rPr>
        <w:t>主体结构、关键性工作的范围：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Start w:id="267" w:name="_Toc297216153"/>
      <w:bookmarkStart w:id="268" w:name="_Toc296347160"/>
      <w:bookmarkStart w:id="269" w:name="_Toc297048347"/>
      <w:bookmarkStart w:id="270" w:name="_Toc297120461"/>
      <w:bookmarkStart w:id="271" w:name="_Toc297123494"/>
      <w:bookmarkStart w:id="272" w:name="_Toc296944500"/>
      <w:bookmarkStart w:id="273" w:name="_Toc300934947"/>
      <w:bookmarkStart w:id="274" w:name="_Toc303539104"/>
      <w:bookmarkStart w:id="275" w:name="_Toc296503161"/>
      <w:bookmarkStart w:id="276" w:name="_Toc296346662"/>
      <w:bookmarkStart w:id="277" w:name="_Toc304295525"/>
      <w:bookmarkStart w:id="278" w:name="_Toc296890989"/>
      <w:bookmarkStart w:id="279" w:name="_Toc296891201"/>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14:paraId="33298480">
      <w:pPr>
        <w:spacing w:line="480" w:lineRule="exact"/>
        <w:rPr>
          <w:rFonts w:ascii="宋体" w:hAnsi="宋体"/>
          <w:color w:val="auto"/>
          <w:szCs w:val="21"/>
          <w:highlight w:val="none"/>
        </w:rPr>
      </w:pPr>
      <w:r>
        <w:rPr>
          <w:rFonts w:ascii="宋体" w:hAnsi="宋体"/>
          <w:color w:val="auto"/>
          <w:szCs w:val="21"/>
          <w:highlight w:val="none"/>
        </w:rPr>
        <w:t xml:space="preserve">    3</w:t>
      </w:r>
      <w:bookmarkStart w:id="280" w:name="_Toc312677990"/>
      <w:bookmarkStart w:id="281" w:name="_Toc318581159"/>
      <w:r>
        <w:rPr>
          <w:rFonts w:ascii="宋体" w:hAnsi="宋体"/>
          <w:color w:val="auto"/>
          <w:szCs w:val="21"/>
          <w:highlight w:val="none"/>
        </w:rPr>
        <w:t>.5.2分包的确定</w:t>
      </w:r>
    </w:p>
    <w:p w14:paraId="1E9194A9">
      <w:pPr>
        <w:spacing w:line="480" w:lineRule="exact"/>
        <w:ind w:firstLine="420" w:firstLineChars="200"/>
        <w:rPr>
          <w:rFonts w:ascii="宋体" w:hAnsi="宋体"/>
          <w:color w:val="auto"/>
          <w:szCs w:val="21"/>
          <w:highlight w:val="none"/>
          <w:u w:val="single"/>
        </w:rPr>
      </w:pPr>
      <w:r>
        <w:rPr>
          <w:rFonts w:ascii="宋体" w:hAnsi="宋体"/>
          <w:color w:val="auto"/>
          <w:szCs w:val="21"/>
          <w:highlight w:val="none"/>
        </w:rPr>
        <w:t>允许分包的专业工程包括：</w:t>
      </w:r>
      <w:r>
        <w:rPr>
          <w:rFonts w:ascii="宋体" w:hAnsi="宋体"/>
          <w:color w:val="auto"/>
          <w:szCs w:val="21"/>
          <w:highlight w:val="none"/>
          <w:u w:val="single"/>
        </w:rPr>
        <w:t xml:space="preserve">                         </w:t>
      </w:r>
      <w:r>
        <w:rPr>
          <w:rFonts w:ascii="宋体" w:hAnsi="宋体"/>
          <w:color w:val="auto"/>
          <w:szCs w:val="21"/>
          <w:highlight w:val="none"/>
        </w:rPr>
        <w:t>。</w:t>
      </w:r>
    </w:p>
    <w:p w14:paraId="37E42484">
      <w:pPr>
        <w:spacing w:line="480" w:lineRule="exact"/>
        <w:ind w:firstLine="420" w:firstLineChars="200"/>
        <w:rPr>
          <w:rFonts w:ascii="宋体" w:hAnsi="宋体"/>
          <w:color w:val="auto"/>
          <w:szCs w:val="21"/>
          <w:highlight w:val="none"/>
        </w:rPr>
      </w:pPr>
      <w:r>
        <w:rPr>
          <w:rFonts w:ascii="宋体" w:hAnsi="宋体"/>
          <w:color w:val="auto"/>
          <w:szCs w:val="21"/>
          <w:highlight w:val="none"/>
        </w:rPr>
        <w:t>其他关于分包的约定：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13D146C">
      <w:pPr>
        <w:spacing w:line="480" w:lineRule="exact"/>
        <w:ind w:firstLine="420" w:firstLineChars="200"/>
        <w:rPr>
          <w:rFonts w:ascii="宋体" w:hAnsi="宋体"/>
          <w:color w:val="auto"/>
          <w:szCs w:val="21"/>
          <w:highlight w:val="none"/>
        </w:rPr>
      </w:pPr>
      <w:r>
        <w:rPr>
          <w:rFonts w:ascii="宋体" w:hAnsi="宋体"/>
          <w:color w:val="auto"/>
          <w:szCs w:val="21"/>
          <w:highlight w:val="none"/>
        </w:rPr>
        <w:t>3.5.4 分包合同价款</w:t>
      </w:r>
    </w:p>
    <w:p w14:paraId="53B456A2">
      <w:pPr>
        <w:spacing w:line="480" w:lineRule="exact"/>
        <w:ind w:firstLine="420" w:firstLineChars="200"/>
        <w:rPr>
          <w:rFonts w:ascii="宋体" w:hAnsi="宋体"/>
          <w:color w:val="auto"/>
          <w:szCs w:val="21"/>
          <w:highlight w:val="none"/>
        </w:rPr>
      </w:pPr>
      <w:r>
        <w:rPr>
          <w:rFonts w:ascii="宋体" w:hAnsi="宋体"/>
          <w:color w:val="auto"/>
          <w:szCs w:val="21"/>
          <w:highlight w:val="none"/>
        </w:rPr>
        <w:t>关于分包合同价款支付的约定：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280"/>
    <w:bookmarkEnd w:id="281"/>
    <w:p w14:paraId="1F3AD39E">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3.6 工程照管与成品、半成品保护</w:t>
      </w:r>
    </w:p>
    <w:p w14:paraId="7C0CF222">
      <w:pPr>
        <w:spacing w:before="120" w:after="120" w:line="480" w:lineRule="exact"/>
        <w:ind w:firstLine="420" w:firstLineChars="200"/>
        <w:rPr>
          <w:rFonts w:ascii="宋体" w:hAnsi="宋体"/>
          <w:color w:val="auto"/>
          <w:kern w:val="0"/>
          <w:szCs w:val="21"/>
          <w:highlight w:val="none"/>
          <w:u w:val="single"/>
        </w:rPr>
      </w:pPr>
      <w:r>
        <w:rPr>
          <w:rFonts w:ascii="宋体" w:hAnsi="宋体"/>
          <w:color w:val="auto"/>
          <w:kern w:val="0"/>
          <w:szCs w:val="21"/>
          <w:highlight w:val="none"/>
        </w:rPr>
        <w:t>承包人负责照管工程及工程相关的材料、工程设备的起始时间：</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A1B487A">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3.7 履约担保</w:t>
      </w:r>
    </w:p>
    <w:p w14:paraId="6332A9E6">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承包人是否提供履约担保：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3F4CFB6">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承包人提供履约担保的形式</w:t>
      </w:r>
      <w:r>
        <w:rPr>
          <w:rFonts w:hint="eastAsia" w:ascii="宋体" w:hAnsi="宋体"/>
          <w:color w:val="auto"/>
          <w:szCs w:val="21"/>
          <w:highlight w:val="none"/>
        </w:rPr>
        <w:t>、金额及期限</w:t>
      </w:r>
      <w:r>
        <w:rPr>
          <w:rFonts w:ascii="宋体" w:hAnsi="宋体"/>
          <w:color w:val="auto"/>
          <w:szCs w:val="21"/>
          <w:highlight w:val="none"/>
        </w:rPr>
        <w:t>：</w:t>
      </w:r>
      <w:r>
        <w:rPr>
          <w:rFonts w:hint="eastAsia" w:ascii="宋体" w:hAnsi="宋体"/>
          <w:color w:val="auto"/>
          <w:szCs w:val="21"/>
          <w:highlight w:val="none"/>
          <w:u w:val="single"/>
        </w:rPr>
        <w:t xml:space="preserve">  中标金额低于最高投标限价10%以内的，不超过中标合同金额的10%。中标金额低于最高投标限价10%以上的，为最高投标限价减去中标合同金额后的差额。</w:t>
      </w:r>
    </w:p>
    <w:p w14:paraId="0FC37ACF">
      <w:pPr>
        <w:spacing w:line="480" w:lineRule="exact"/>
        <w:rPr>
          <w:rFonts w:ascii="宋体" w:hAnsi="宋体"/>
          <w:color w:val="auto"/>
          <w:szCs w:val="21"/>
          <w:highlight w:val="none"/>
        </w:rPr>
      </w:pPr>
      <w:bookmarkStart w:id="282" w:name="_Toc351203636"/>
      <w:r>
        <w:rPr>
          <w:rFonts w:ascii="宋体" w:hAnsi="宋体"/>
          <w:color w:val="auto"/>
          <w:szCs w:val="21"/>
          <w:highlight w:val="none"/>
        </w:rPr>
        <w:t>4</w:t>
      </w:r>
      <w:bookmarkStart w:id="283" w:name="_Toc296891202"/>
      <w:bookmarkStart w:id="284" w:name="_Toc297120462"/>
      <w:bookmarkStart w:id="285" w:name="_Toc296346663"/>
      <w:bookmarkStart w:id="286" w:name="_Toc296890990"/>
      <w:bookmarkStart w:id="287" w:name="_Toc292559366"/>
      <w:bookmarkStart w:id="288" w:name="_Toc296503162"/>
      <w:bookmarkStart w:id="289" w:name="_Toc292559871"/>
      <w:bookmarkStart w:id="290" w:name="_Toc296944501"/>
      <w:bookmarkStart w:id="291" w:name="_Toc297048348"/>
      <w:bookmarkStart w:id="292" w:name="_Toc267251413"/>
      <w:bookmarkStart w:id="293" w:name="_Toc296347161"/>
      <w:r>
        <w:rPr>
          <w:rFonts w:ascii="宋体" w:hAnsi="宋体"/>
          <w:color w:val="auto"/>
          <w:szCs w:val="21"/>
          <w:highlight w:val="none"/>
        </w:rPr>
        <w:t>. 监</w:t>
      </w:r>
      <w:bookmarkEnd w:id="283"/>
      <w:bookmarkEnd w:id="284"/>
      <w:bookmarkEnd w:id="285"/>
      <w:bookmarkEnd w:id="286"/>
      <w:bookmarkEnd w:id="287"/>
      <w:bookmarkEnd w:id="288"/>
      <w:bookmarkEnd w:id="289"/>
      <w:bookmarkEnd w:id="290"/>
      <w:bookmarkEnd w:id="291"/>
      <w:bookmarkEnd w:id="292"/>
      <w:bookmarkEnd w:id="293"/>
      <w:r>
        <w:rPr>
          <w:rFonts w:ascii="宋体" w:hAnsi="宋体"/>
          <w:color w:val="auto"/>
          <w:szCs w:val="21"/>
          <w:highlight w:val="none"/>
        </w:rPr>
        <w:t>理人</w:t>
      </w:r>
      <w:bookmarkEnd w:id="282"/>
    </w:p>
    <w:p w14:paraId="3C0CC5F5">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4.1监理人的一般规定</w:t>
      </w:r>
    </w:p>
    <w:p w14:paraId="312181A9">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93E3500">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关于监理人的监理权限：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CC09AA4">
      <w:pPr>
        <w:spacing w:line="480" w:lineRule="exact"/>
        <w:ind w:firstLine="420" w:firstLineChars="200"/>
        <w:rPr>
          <w:rFonts w:hint="eastAsia" w:ascii="宋体" w:hAnsi="宋体"/>
          <w:color w:val="auto"/>
          <w:szCs w:val="21"/>
          <w:highlight w:val="none"/>
        </w:rPr>
      </w:pPr>
      <w:r>
        <w:rPr>
          <w:rFonts w:ascii="宋体" w:hAnsi="宋体"/>
          <w:color w:val="auto"/>
          <w:szCs w:val="21"/>
          <w:highlight w:val="none"/>
        </w:rPr>
        <w:t>关于监理人在施工现场的办公场所、生活场所的提供和费用承担的约定：</w:t>
      </w:r>
      <w:r>
        <w:rPr>
          <w:rFonts w:ascii="宋体" w:hAnsi="宋体"/>
          <w:color w:val="auto"/>
          <w:szCs w:val="21"/>
          <w:highlight w:val="none"/>
          <w:u w:val="single"/>
        </w:rPr>
        <w:t xml:space="preserve">     </w:t>
      </w:r>
      <w:r>
        <w:rPr>
          <w:rFonts w:ascii="宋体" w:hAnsi="宋体"/>
          <w:color w:val="auto"/>
          <w:szCs w:val="21"/>
          <w:highlight w:val="none"/>
        </w:rPr>
        <w:t>。</w:t>
      </w:r>
    </w:p>
    <w:p w14:paraId="73039899">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4.2 监理人员</w:t>
      </w:r>
    </w:p>
    <w:p w14:paraId="46B46104">
      <w:pPr>
        <w:spacing w:line="480" w:lineRule="exact"/>
        <w:ind w:firstLine="420" w:firstLineChars="200"/>
        <w:rPr>
          <w:rFonts w:ascii="宋体" w:hAnsi="宋体"/>
          <w:color w:val="auto"/>
          <w:szCs w:val="21"/>
          <w:highlight w:val="none"/>
        </w:rPr>
      </w:pPr>
      <w:r>
        <w:rPr>
          <w:rFonts w:ascii="宋体" w:hAnsi="宋体"/>
          <w:color w:val="auto"/>
          <w:szCs w:val="21"/>
          <w:highlight w:val="none"/>
        </w:rPr>
        <w:t>总监理工程师：</w:t>
      </w:r>
    </w:p>
    <w:p w14:paraId="44D2DD13">
      <w:pPr>
        <w:spacing w:line="480" w:lineRule="exact"/>
        <w:ind w:firstLine="420" w:firstLineChars="200"/>
        <w:rPr>
          <w:rFonts w:ascii="宋体" w:hAnsi="宋体"/>
          <w:color w:val="auto"/>
          <w:szCs w:val="21"/>
          <w:highlight w:val="none"/>
        </w:rPr>
      </w:pPr>
      <w:r>
        <w:rPr>
          <w:rFonts w:ascii="宋体" w:hAnsi="宋体"/>
          <w:color w:val="auto"/>
          <w:szCs w:val="21"/>
          <w:highlight w:val="none"/>
        </w:rPr>
        <w:t>姓    名：</w:t>
      </w:r>
      <w:r>
        <w:rPr>
          <w:rFonts w:ascii="宋体" w:hAnsi="宋体"/>
          <w:color w:val="auto"/>
          <w:szCs w:val="21"/>
          <w:highlight w:val="none"/>
          <w:u w:val="single"/>
        </w:rPr>
        <w:t>   </w:t>
      </w:r>
      <w:r>
        <w:rPr>
          <w:rFonts w:ascii="宋体" w:hAnsi="宋体"/>
          <w:color w:val="auto"/>
          <w:szCs w:val="21"/>
          <w:highlight w:val="none"/>
        </w:rPr>
        <w:t>；</w:t>
      </w:r>
    </w:p>
    <w:p w14:paraId="3856D1F4">
      <w:pPr>
        <w:spacing w:line="480" w:lineRule="exact"/>
        <w:ind w:firstLine="420" w:firstLineChars="200"/>
        <w:rPr>
          <w:rFonts w:ascii="宋体" w:hAnsi="宋体"/>
          <w:color w:val="auto"/>
          <w:szCs w:val="21"/>
          <w:highlight w:val="none"/>
        </w:rPr>
      </w:pPr>
      <w:r>
        <w:rPr>
          <w:rFonts w:ascii="宋体" w:hAnsi="宋体"/>
          <w:color w:val="auto"/>
          <w:szCs w:val="21"/>
          <w:highlight w:val="none"/>
        </w:rPr>
        <w:t>职    务：</w:t>
      </w:r>
      <w:r>
        <w:rPr>
          <w:rFonts w:ascii="宋体" w:hAnsi="宋体"/>
          <w:color w:val="auto"/>
          <w:szCs w:val="21"/>
          <w:highlight w:val="none"/>
          <w:u w:val="single"/>
        </w:rPr>
        <w:t>   </w:t>
      </w:r>
      <w:r>
        <w:rPr>
          <w:rFonts w:ascii="宋体" w:hAnsi="宋体"/>
          <w:color w:val="auto"/>
          <w:szCs w:val="21"/>
          <w:highlight w:val="none"/>
        </w:rPr>
        <w:t>；</w:t>
      </w:r>
    </w:p>
    <w:p w14:paraId="138E44B4">
      <w:pPr>
        <w:spacing w:line="480" w:lineRule="exact"/>
        <w:ind w:firstLine="420" w:firstLineChars="200"/>
        <w:rPr>
          <w:rFonts w:ascii="宋体" w:hAnsi="宋体"/>
          <w:color w:val="auto"/>
          <w:szCs w:val="21"/>
          <w:highlight w:val="none"/>
        </w:rPr>
      </w:pPr>
      <w:r>
        <w:rPr>
          <w:rFonts w:ascii="宋体" w:hAnsi="宋体"/>
          <w:color w:val="auto"/>
          <w:szCs w:val="21"/>
          <w:highlight w:val="none"/>
        </w:rPr>
        <w:t>监理工程师执业资格证书号：</w:t>
      </w:r>
      <w:r>
        <w:rPr>
          <w:rFonts w:ascii="宋体" w:hAnsi="宋体"/>
          <w:color w:val="auto"/>
          <w:szCs w:val="21"/>
          <w:highlight w:val="none"/>
          <w:u w:val="single"/>
        </w:rPr>
        <w:t> </w:t>
      </w:r>
      <w:r>
        <w:rPr>
          <w:rFonts w:ascii="宋体" w:hAnsi="宋体"/>
          <w:color w:val="auto"/>
          <w:szCs w:val="21"/>
          <w:highlight w:val="none"/>
        </w:rPr>
        <w:t>；</w:t>
      </w:r>
    </w:p>
    <w:p w14:paraId="597DA2E4">
      <w:pPr>
        <w:spacing w:line="480" w:lineRule="exact"/>
        <w:ind w:firstLine="420" w:firstLineChars="200"/>
        <w:rPr>
          <w:rFonts w:ascii="宋体" w:hAnsi="宋体"/>
          <w:color w:val="auto"/>
          <w:szCs w:val="21"/>
          <w:highlight w:val="none"/>
        </w:rPr>
      </w:pPr>
      <w:r>
        <w:rPr>
          <w:rFonts w:ascii="宋体" w:hAnsi="宋体"/>
          <w:color w:val="auto"/>
          <w:szCs w:val="21"/>
          <w:highlight w:val="none"/>
        </w:rPr>
        <w:t>联系电话：</w:t>
      </w:r>
      <w:r>
        <w:rPr>
          <w:rFonts w:ascii="宋体" w:hAnsi="宋体"/>
          <w:color w:val="auto"/>
          <w:szCs w:val="21"/>
          <w:highlight w:val="none"/>
          <w:u w:val="single"/>
        </w:rPr>
        <w:t>   </w:t>
      </w:r>
      <w:r>
        <w:rPr>
          <w:rFonts w:ascii="宋体" w:hAnsi="宋体"/>
          <w:color w:val="auto"/>
          <w:szCs w:val="21"/>
          <w:highlight w:val="none"/>
        </w:rPr>
        <w:t>；</w:t>
      </w:r>
    </w:p>
    <w:p w14:paraId="53CDC693">
      <w:pPr>
        <w:spacing w:line="480" w:lineRule="exact"/>
        <w:ind w:firstLine="420" w:firstLineChars="200"/>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 </w:t>
      </w:r>
      <w:r>
        <w:rPr>
          <w:rFonts w:ascii="宋体" w:hAnsi="宋体"/>
          <w:color w:val="auto"/>
          <w:szCs w:val="21"/>
          <w:highlight w:val="none"/>
        </w:rPr>
        <w:t>；</w:t>
      </w:r>
    </w:p>
    <w:p w14:paraId="2B937149">
      <w:pPr>
        <w:spacing w:line="480" w:lineRule="exact"/>
        <w:ind w:firstLine="420" w:firstLineChars="200"/>
        <w:rPr>
          <w:rFonts w:ascii="宋体" w:hAnsi="宋体"/>
          <w:color w:val="auto"/>
          <w:szCs w:val="21"/>
          <w:highlight w:val="none"/>
        </w:rPr>
      </w:pPr>
      <w:r>
        <w:rPr>
          <w:rFonts w:ascii="宋体" w:hAnsi="宋体"/>
          <w:color w:val="auto"/>
          <w:szCs w:val="21"/>
          <w:highlight w:val="none"/>
        </w:rPr>
        <w:t>通信地址：</w:t>
      </w:r>
      <w:r>
        <w:rPr>
          <w:rFonts w:ascii="宋体" w:hAnsi="宋体"/>
          <w:color w:val="auto"/>
          <w:szCs w:val="21"/>
          <w:highlight w:val="none"/>
          <w:u w:val="single"/>
        </w:rPr>
        <w:t>   </w:t>
      </w:r>
      <w:r>
        <w:rPr>
          <w:rFonts w:ascii="宋体" w:hAnsi="宋体"/>
          <w:color w:val="auto"/>
          <w:szCs w:val="21"/>
          <w:highlight w:val="none"/>
        </w:rPr>
        <w:t>；</w:t>
      </w:r>
    </w:p>
    <w:p w14:paraId="0A8B3895">
      <w:pPr>
        <w:spacing w:line="480" w:lineRule="exact"/>
        <w:ind w:firstLine="420" w:firstLineChars="200"/>
        <w:rPr>
          <w:rFonts w:ascii="宋体" w:hAnsi="宋体"/>
          <w:color w:val="auto"/>
          <w:szCs w:val="21"/>
          <w:highlight w:val="none"/>
        </w:rPr>
      </w:pPr>
      <w:r>
        <w:rPr>
          <w:rFonts w:ascii="宋体" w:hAnsi="宋体"/>
          <w:color w:val="auto"/>
          <w:szCs w:val="21"/>
          <w:highlight w:val="none"/>
        </w:rPr>
        <w:t>关于监理人的其他约定：</w:t>
      </w:r>
      <w:r>
        <w:rPr>
          <w:rFonts w:ascii="宋体" w:hAnsi="宋体"/>
          <w:color w:val="auto"/>
          <w:szCs w:val="21"/>
          <w:highlight w:val="none"/>
          <w:u w:val="single"/>
        </w:rPr>
        <w:t>   </w:t>
      </w:r>
      <w:r>
        <w:rPr>
          <w:rFonts w:ascii="宋体" w:hAnsi="宋体"/>
          <w:color w:val="auto"/>
          <w:szCs w:val="21"/>
          <w:highlight w:val="none"/>
        </w:rPr>
        <w:t>。</w:t>
      </w:r>
    </w:p>
    <w:p w14:paraId="4A5E5639">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4.4 商定或确定</w:t>
      </w:r>
    </w:p>
    <w:p w14:paraId="5BB6C5D0">
      <w:pPr>
        <w:spacing w:line="480" w:lineRule="exact"/>
        <w:ind w:firstLine="420" w:firstLineChars="200"/>
        <w:rPr>
          <w:rFonts w:ascii="宋体" w:hAnsi="宋体"/>
          <w:color w:val="auto"/>
          <w:szCs w:val="21"/>
          <w:highlight w:val="none"/>
        </w:rPr>
      </w:pPr>
      <w:bookmarkStart w:id="294" w:name="_Toc267251418"/>
      <w:r>
        <w:rPr>
          <w:rFonts w:ascii="宋体" w:hAnsi="宋体"/>
          <w:color w:val="auto"/>
          <w:szCs w:val="21"/>
          <w:highlight w:val="none"/>
        </w:rPr>
        <w:t>在发包人和承包人不能通过协商达成一致意见时，发包人授权监理人对以下事项进行确定：</w:t>
      </w:r>
    </w:p>
    <w:p w14:paraId="6CE39C67">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（1）</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4D51F42">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6321C45">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B3AF7E2">
      <w:pPr>
        <w:spacing w:line="480" w:lineRule="exact"/>
        <w:rPr>
          <w:rFonts w:ascii="宋体" w:hAnsi="宋体"/>
          <w:color w:val="auto"/>
          <w:szCs w:val="21"/>
          <w:highlight w:val="none"/>
        </w:rPr>
      </w:pPr>
      <w:bookmarkStart w:id="295" w:name="_Toc351203637"/>
      <w:r>
        <w:rPr>
          <w:rFonts w:ascii="宋体" w:hAnsi="宋体"/>
          <w:color w:val="auto"/>
          <w:szCs w:val="21"/>
          <w:highlight w:val="none"/>
        </w:rPr>
        <w:t>5</w:t>
      </w:r>
      <w:bookmarkEnd w:id="294"/>
      <w:bookmarkStart w:id="296" w:name="_Toc292559367"/>
      <w:bookmarkStart w:id="297" w:name="_Toc296346664"/>
      <w:bookmarkStart w:id="298" w:name="_Toc296891203"/>
      <w:bookmarkStart w:id="299" w:name="_Toc297120463"/>
      <w:bookmarkStart w:id="300" w:name="_Toc296347162"/>
      <w:bookmarkStart w:id="301" w:name="_Toc296944502"/>
      <w:bookmarkStart w:id="302" w:name="_Toc296890991"/>
      <w:bookmarkStart w:id="303" w:name="_Toc296503163"/>
      <w:bookmarkStart w:id="304" w:name="_Toc297048349"/>
      <w:bookmarkStart w:id="305" w:name="_Toc292559872"/>
      <w:r>
        <w:rPr>
          <w:rFonts w:ascii="宋体" w:hAnsi="宋体"/>
          <w:color w:val="auto"/>
          <w:szCs w:val="21"/>
          <w:highlight w:val="none"/>
        </w:rPr>
        <w:t>. 工程质量</w:t>
      </w:r>
      <w:bookmarkEnd w:id="295"/>
    </w:p>
    <w:p w14:paraId="741E5084">
      <w:pPr>
        <w:spacing w:line="480" w:lineRule="exact"/>
        <w:rPr>
          <w:rFonts w:ascii="宋体" w:hAnsi="宋体"/>
          <w:color w:val="auto"/>
          <w:szCs w:val="21"/>
          <w:highlight w:val="none"/>
        </w:rPr>
      </w:pPr>
      <w:r>
        <w:rPr>
          <w:rFonts w:ascii="宋体" w:hAnsi="宋体"/>
          <w:color w:val="auto"/>
          <w:szCs w:val="21"/>
          <w:highlight w:val="none"/>
        </w:rPr>
        <w:t>5.1 质量要求</w:t>
      </w:r>
    </w:p>
    <w:p w14:paraId="572A784A">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w:t>
      </w:r>
      <w:bookmarkStart w:id="306" w:name="_Toc318581164"/>
      <w:bookmarkStart w:id="307" w:name="_Toc303539106"/>
      <w:bookmarkStart w:id="308" w:name="_Toc300934949"/>
      <w:bookmarkStart w:id="309" w:name="_Toc297123496"/>
      <w:bookmarkStart w:id="310" w:name="_Toc304295527"/>
      <w:bookmarkStart w:id="311" w:name="_Toc312677997"/>
      <w:bookmarkStart w:id="312" w:name="_Toc297216155"/>
      <w:r>
        <w:rPr>
          <w:rFonts w:ascii="宋体" w:hAnsi="宋体"/>
          <w:color w:val="auto"/>
          <w:szCs w:val="21"/>
          <w:highlight w:val="none"/>
        </w:rPr>
        <w:t>.1.1 特殊质量标准和要求：</w:t>
      </w:r>
      <w:r>
        <w:rPr>
          <w:rFonts w:ascii="宋体" w:hAnsi="宋体"/>
          <w:color w:val="auto"/>
          <w:szCs w:val="21"/>
          <w:highlight w:val="none"/>
          <w:u w:val="single"/>
        </w:rPr>
        <w:t xml:space="preserve"> </w:t>
      </w:r>
      <w:r>
        <w:rPr>
          <w:rFonts w:hint="eastAsia"/>
          <w:color w:val="auto"/>
          <w:szCs w:val="21"/>
          <w:u w:val="single"/>
          <w:lang w:val="en-US" w:eastAsia="zh-CN"/>
        </w:rPr>
        <w:t>施工部分质量标准：满足设计要求，达到《建设工程施工质量验收统一标准》及国家颁布的施工验收规范和质量检验标准，全部工程达到合格标准；设备及材料采购部分质量标准</w:t>
      </w:r>
      <w:r>
        <w:rPr>
          <w:rFonts w:ascii="宋体" w:hAnsi="宋体"/>
          <w:color w:val="auto"/>
          <w:szCs w:val="21"/>
          <w:highlight w:val="none"/>
          <w:u w:val="single"/>
        </w:rPr>
        <w:t xml:space="preserve"> </w:t>
      </w:r>
      <w:r>
        <w:rPr>
          <w:rFonts w:ascii="宋体" w:hAnsi="宋体"/>
          <w:color w:val="auto"/>
          <w:szCs w:val="21"/>
          <w:highlight w:val="none"/>
        </w:rPr>
        <w:t>。</w:t>
      </w:r>
    </w:p>
    <w:p w14:paraId="40692F2F">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关于工程奖项的约定：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DBC3EB8">
      <w:pPr>
        <w:spacing w:line="480" w:lineRule="exact"/>
        <w:rPr>
          <w:rFonts w:ascii="宋体" w:hAnsi="宋体"/>
          <w:color w:val="auto"/>
          <w:szCs w:val="21"/>
          <w:highlight w:val="none"/>
        </w:rPr>
      </w:pPr>
      <w:r>
        <w:rPr>
          <w:rFonts w:ascii="宋体" w:hAnsi="宋体"/>
          <w:color w:val="auto"/>
          <w:szCs w:val="21"/>
          <w:highlight w:val="none"/>
        </w:rPr>
        <w:t>5.3 隐蔽工程检查</w:t>
      </w:r>
    </w:p>
    <w:p w14:paraId="195F19D0">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5.3.2承包人提前通知监理人隐蔽工程检查的期限的约定：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741CC29">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监理人不能按时进行检查时，应提前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12EE0FC3">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04B4205F">
      <w:pPr>
        <w:spacing w:line="480" w:lineRule="exact"/>
        <w:rPr>
          <w:rFonts w:ascii="宋体" w:hAnsi="宋体"/>
          <w:color w:val="auto"/>
          <w:szCs w:val="21"/>
          <w:highlight w:val="none"/>
        </w:rPr>
      </w:pPr>
      <w:bookmarkStart w:id="313" w:name="_Toc351203638"/>
      <w:r>
        <w:rPr>
          <w:rFonts w:ascii="宋体" w:hAnsi="宋体"/>
          <w:color w:val="auto"/>
          <w:szCs w:val="21"/>
          <w:highlight w:val="none"/>
        </w:rPr>
        <w:t>6. 安全文明施工与环境保护</w:t>
      </w:r>
      <w:bookmarkEnd w:id="313"/>
    </w:p>
    <w:p w14:paraId="54C55CA3">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6.1安全文明施工</w:t>
      </w:r>
    </w:p>
    <w:p w14:paraId="427415F6">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6.1.1 项目安全生产的达标目标及相应事项的约定：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5904DEE">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6.1.4 关于治安保卫的特别约定：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47D0F74">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关于编制施工场地治安管理计划的约定：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BA9FDB1">
      <w:pPr>
        <w:spacing w:line="4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6.1.5 文明施工</w:t>
      </w:r>
    </w:p>
    <w:p w14:paraId="194F4FBB">
      <w:pPr>
        <w:spacing w:line="48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合同当事人对文明施工的要求：</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E1F67AF">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6.1.6 关于安全文明施工费支付比例和支付期限的约定：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06"/>
    <w:bookmarkEnd w:id="307"/>
    <w:bookmarkEnd w:id="308"/>
    <w:bookmarkEnd w:id="309"/>
    <w:bookmarkEnd w:id="310"/>
    <w:bookmarkEnd w:id="311"/>
    <w:bookmarkEnd w:id="312"/>
    <w:p w14:paraId="54462395">
      <w:pPr>
        <w:spacing w:line="480" w:lineRule="exact"/>
        <w:rPr>
          <w:rFonts w:ascii="宋体" w:hAnsi="宋体"/>
          <w:color w:val="auto"/>
          <w:szCs w:val="21"/>
          <w:highlight w:val="none"/>
        </w:rPr>
      </w:pPr>
      <w:bookmarkStart w:id="314" w:name="_Toc351203639"/>
      <w:r>
        <w:rPr>
          <w:rFonts w:ascii="宋体" w:hAnsi="宋体"/>
          <w:color w:val="auto"/>
          <w:szCs w:val="21"/>
          <w:highlight w:val="none"/>
        </w:rPr>
        <w:t>7. 工期和进度</w:t>
      </w:r>
      <w:bookmarkEnd w:id="314"/>
    </w:p>
    <w:p w14:paraId="43786505">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7.1 施工组织设计</w:t>
      </w:r>
    </w:p>
    <w:p w14:paraId="6FD91908">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szCs w:val="21"/>
          <w:highlight w:val="none"/>
        </w:rPr>
        <w:t>7.1.</w:t>
      </w:r>
      <w:r>
        <w:rPr>
          <w:rFonts w:hint="eastAsia" w:ascii="宋体" w:hAnsi="宋体"/>
          <w:color w:val="auto"/>
          <w:szCs w:val="21"/>
          <w:highlight w:val="none"/>
        </w:rPr>
        <w:t>1 合</w:t>
      </w:r>
      <w:r>
        <w:rPr>
          <w:rFonts w:hint="eastAsia" w:ascii="宋体" w:hAnsi="宋体"/>
          <w:color w:val="auto"/>
          <w:kern w:val="0"/>
          <w:szCs w:val="21"/>
          <w:highlight w:val="none"/>
        </w:rPr>
        <w:t>同当事人约定的</w:t>
      </w:r>
      <w:r>
        <w:rPr>
          <w:rFonts w:ascii="宋体" w:hAnsi="宋体"/>
          <w:color w:val="auto"/>
          <w:kern w:val="0"/>
          <w:szCs w:val="21"/>
          <w:highlight w:val="none"/>
        </w:rPr>
        <w:t>施工组织设计</w:t>
      </w:r>
      <w:r>
        <w:rPr>
          <w:rFonts w:hint="eastAsia" w:ascii="宋体" w:hAnsi="宋体"/>
          <w:color w:val="auto"/>
          <w:kern w:val="0"/>
          <w:szCs w:val="21"/>
          <w:highlight w:val="none"/>
        </w:rPr>
        <w:t>应包括的其他内容</w:t>
      </w:r>
      <w:r>
        <w:rPr>
          <w:rFonts w:ascii="宋体" w:hAnsi="宋体"/>
          <w:color w:val="auto"/>
          <w:kern w:val="0"/>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1D0ABCB">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szCs w:val="21"/>
          <w:highlight w:val="none"/>
        </w:rPr>
        <w:t xml:space="preserve">7.1.2 </w:t>
      </w:r>
      <w:r>
        <w:rPr>
          <w:rFonts w:ascii="宋体" w:hAnsi="宋体"/>
          <w:color w:val="auto"/>
          <w:kern w:val="0"/>
          <w:szCs w:val="21"/>
          <w:highlight w:val="none"/>
        </w:rPr>
        <w:t>施工组织设计的提交和修改</w:t>
      </w:r>
    </w:p>
    <w:p w14:paraId="76612425">
      <w:pPr>
        <w:autoSpaceDE w:val="0"/>
        <w:autoSpaceDN w:val="0"/>
        <w:adjustRightInd w:val="0"/>
        <w:spacing w:line="480" w:lineRule="exact"/>
        <w:ind w:firstLine="420" w:firstLineChars="200"/>
        <w:jc w:val="left"/>
        <w:rPr>
          <w:rFonts w:hint="eastAsia" w:ascii="宋体" w:hAnsi="宋体"/>
          <w:color w:val="auto"/>
          <w:szCs w:val="21"/>
          <w:highlight w:val="none"/>
        </w:rPr>
      </w:pPr>
      <w:r>
        <w:rPr>
          <w:rFonts w:ascii="宋体" w:hAnsi="宋体"/>
          <w:color w:val="auto"/>
          <w:kern w:val="0"/>
          <w:szCs w:val="21"/>
          <w:highlight w:val="none"/>
        </w:rPr>
        <w:t>承包人提交详细施工组织设计的期限的约定：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14CF22D">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w:t>
      </w:r>
      <w:r>
        <w:rPr>
          <w:rFonts w:hint="eastAsia" w:ascii="宋体" w:hAnsi="宋体"/>
          <w:color w:val="auto"/>
          <w:szCs w:val="21"/>
          <w:highlight w:val="none"/>
        </w:rPr>
        <w:t>详细的施工组织设计</w:t>
      </w:r>
      <w:r>
        <w:rPr>
          <w:rFonts w:ascii="宋体" w:hAnsi="宋体"/>
          <w:color w:val="auto"/>
          <w:szCs w:val="21"/>
          <w:highlight w:val="none"/>
        </w:rPr>
        <w:t>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14:paraId="56631B9C">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315" w:name="_Toc312677479"/>
      <w:bookmarkStart w:id="316" w:name="_Toc304295541"/>
      <w:bookmarkStart w:id="317" w:name="_Toc297123514"/>
      <w:bookmarkStart w:id="318" w:name="_Toc297216173"/>
      <w:bookmarkStart w:id="319" w:name="_Toc303539123"/>
      <w:bookmarkStart w:id="320" w:name="_Toc300934966"/>
      <w:bookmarkStart w:id="321" w:name="_Toc312678005"/>
      <w:r>
        <w:rPr>
          <w:rFonts w:ascii="宋体" w:hAnsi="宋体"/>
          <w:color w:val="auto"/>
          <w:szCs w:val="21"/>
          <w:highlight w:val="none"/>
        </w:rPr>
        <w:t>.2 施工进度计划</w:t>
      </w:r>
    </w:p>
    <w:p w14:paraId="5A225D06">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7.2.2 施工进度计划的修订</w:t>
      </w:r>
    </w:p>
    <w:p w14:paraId="56215C58">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发包人和监理人在收到修订的施工进度计划后确认或提出修改意见的期限：</w:t>
      </w:r>
      <w:r>
        <w:rPr>
          <w:rFonts w:ascii="宋体" w:hAnsi="宋体"/>
          <w:color w:val="auto"/>
          <w:szCs w:val="21"/>
          <w:highlight w:val="none"/>
          <w:u w:val="single"/>
        </w:rPr>
        <w:t xml:space="preserve">   </w:t>
      </w:r>
      <w:r>
        <w:rPr>
          <w:rFonts w:ascii="宋体" w:hAnsi="宋体"/>
          <w:color w:val="auto"/>
          <w:szCs w:val="21"/>
          <w:highlight w:val="none"/>
        </w:rPr>
        <w:t>。</w:t>
      </w:r>
    </w:p>
    <w:p w14:paraId="4DC8A13E">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7.3 开工</w:t>
      </w:r>
    </w:p>
    <w:p w14:paraId="6ECD21CC">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7.3.1 开工准备</w:t>
      </w:r>
    </w:p>
    <w:p w14:paraId="2DD09F7A">
      <w:pPr>
        <w:spacing w:line="480" w:lineRule="exact"/>
        <w:ind w:firstLine="645"/>
        <w:jc w:val="left"/>
        <w:rPr>
          <w:rFonts w:ascii="宋体" w:hAnsi="宋体"/>
          <w:color w:val="auto"/>
          <w:szCs w:val="21"/>
          <w:highlight w:val="none"/>
          <w:u w:val="single"/>
        </w:rPr>
      </w:pPr>
      <w:r>
        <w:rPr>
          <w:rFonts w:ascii="宋体" w:hAnsi="宋体"/>
          <w:color w:val="auto"/>
          <w:szCs w:val="21"/>
          <w:highlight w:val="none"/>
        </w:rPr>
        <w:t>关于承包人提交</w:t>
      </w:r>
      <w:r>
        <w:rPr>
          <w:rFonts w:ascii="宋体" w:hAnsi="宋体"/>
          <w:color w:val="auto"/>
          <w:kern w:val="0"/>
          <w:szCs w:val="21"/>
          <w:highlight w:val="none"/>
        </w:rPr>
        <w:t>工程开工报审表的期限：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B1FE889">
      <w:pPr>
        <w:spacing w:line="480" w:lineRule="exact"/>
        <w:ind w:firstLine="645"/>
        <w:jc w:val="left"/>
        <w:rPr>
          <w:rFonts w:ascii="宋体" w:hAnsi="宋体"/>
          <w:color w:val="auto"/>
          <w:szCs w:val="21"/>
          <w:highlight w:val="none"/>
        </w:rPr>
      </w:pPr>
      <w:r>
        <w:rPr>
          <w:rFonts w:ascii="宋体" w:hAnsi="宋体"/>
          <w:color w:val="auto"/>
          <w:szCs w:val="21"/>
          <w:highlight w:val="none"/>
        </w:rPr>
        <w:t>关于发包人应完成的其他开工准备工作及期限：</w:t>
      </w:r>
      <w:r>
        <w:rPr>
          <w:rFonts w:ascii="宋体" w:hAnsi="宋体"/>
          <w:color w:val="auto"/>
          <w:szCs w:val="21"/>
          <w:highlight w:val="none"/>
          <w:u w:val="single"/>
        </w:rPr>
        <w:t xml:space="preserve">            </w:t>
      </w:r>
      <w:r>
        <w:rPr>
          <w:rFonts w:ascii="宋体" w:hAnsi="宋体"/>
          <w:color w:val="auto"/>
          <w:szCs w:val="21"/>
          <w:highlight w:val="none"/>
        </w:rPr>
        <w:t>。</w:t>
      </w:r>
    </w:p>
    <w:p w14:paraId="29658A86">
      <w:pPr>
        <w:spacing w:line="480" w:lineRule="exact"/>
        <w:ind w:firstLine="525" w:firstLineChars="250"/>
        <w:jc w:val="left"/>
        <w:rPr>
          <w:rFonts w:ascii="宋体" w:hAnsi="宋体"/>
          <w:color w:val="auto"/>
          <w:szCs w:val="21"/>
          <w:highlight w:val="none"/>
        </w:rPr>
      </w:pPr>
      <w:r>
        <w:rPr>
          <w:rFonts w:ascii="宋体" w:hAnsi="宋体"/>
          <w:color w:val="auto"/>
          <w:szCs w:val="21"/>
          <w:highlight w:val="none"/>
        </w:rPr>
        <w:t>关于承包人应完成的其他开工准备工作及期限：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79553515">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7.3.2开工通知</w:t>
      </w:r>
    </w:p>
    <w:p w14:paraId="32049BD8">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因发包人原因造成监理人未能在计划开工日期之日起</w:t>
      </w:r>
      <w:r>
        <w:rPr>
          <w:rFonts w:ascii="宋体" w:hAnsi="宋体"/>
          <w:color w:val="auto"/>
          <w:szCs w:val="21"/>
          <w:highlight w:val="none"/>
          <w:u w:val="single"/>
        </w:rPr>
        <w:t xml:space="preserve">     </w:t>
      </w:r>
      <w:r>
        <w:rPr>
          <w:rFonts w:ascii="宋体" w:hAnsi="宋体"/>
          <w:color w:val="auto"/>
          <w:szCs w:val="21"/>
          <w:highlight w:val="none"/>
        </w:rPr>
        <w:t>天内发出开工通知的，承包人有权提出价格调整要求，或者解除合同。</w:t>
      </w:r>
    </w:p>
    <w:bookmarkEnd w:id="315"/>
    <w:bookmarkEnd w:id="316"/>
    <w:bookmarkEnd w:id="317"/>
    <w:bookmarkEnd w:id="318"/>
    <w:bookmarkEnd w:id="319"/>
    <w:bookmarkEnd w:id="320"/>
    <w:bookmarkEnd w:id="321"/>
    <w:p w14:paraId="188E121C">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7.4 测量放线</w:t>
      </w:r>
    </w:p>
    <w:p w14:paraId="74593F86">
      <w:pPr>
        <w:spacing w:line="480" w:lineRule="exact"/>
        <w:ind w:firstLine="420" w:firstLineChars="200"/>
        <w:jc w:val="left"/>
        <w:rPr>
          <w:rFonts w:hint="eastAsia" w:ascii="宋体" w:hAnsi="宋体"/>
          <w:color w:val="auto"/>
          <w:szCs w:val="21"/>
          <w:highlight w:val="none"/>
          <w:u w:val="single"/>
        </w:rPr>
      </w:pPr>
      <w:r>
        <w:rPr>
          <w:rFonts w:ascii="宋体" w:hAnsi="宋体"/>
          <w:color w:val="auto"/>
          <w:szCs w:val="21"/>
          <w:highlight w:val="none"/>
        </w:rPr>
        <w:t>7.4.1发包人通过监理人向承包人提供测量基准点、基准线和水准点及其书面资料的期限：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50E80896">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322" w:name="_Toc312677484"/>
      <w:bookmarkStart w:id="323" w:name="_Toc312678010"/>
      <w:bookmarkStart w:id="324" w:name="_Toc303539125"/>
      <w:bookmarkStart w:id="325" w:name="_Toc300934968"/>
      <w:bookmarkStart w:id="326" w:name="_Toc304295546"/>
      <w:bookmarkStart w:id="327" w:name="_Toc297123516"/>
      <w:bookmarkStart w:id="328" w:name="_Toc297216175"/>
      <w:r>
        <w:rPr>
          <w:rFonts w:ascii="宋体" w:hAnsi="宋体"/>
          <w:color w:val="auto"/>
          <w:szCs w:val="21"/>
          <w:highlight w:val="none"/>
        </w:rPr>
        <w:t>.5 工期延误</w:t>
      </w:r>
    </w:p>
    <w:bookmarkEnd w:id="322"/>
    <w:bookmarkEnd w:id="323"/>
    <w:bookmarkEnd w:id="324"/>
    <w:bookmarkEnd w:id="325"/>
    <w:bookmarkEnd w:id="326"/>
    <w:bookmarkEnd w:id="327"/>
    <w:bookmarkEnd w:id="328"/>
    <w:p w14:paraId="034CBD77">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7.5.1 因发包人原因导致工期延误</w:t>
      </w:r>
    </w:p>
    <w:p w14:paraId="02F5DB57">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（7）因发包人原因导致工期延误的其他情形：</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733E3AE">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7</w:t>
      </w:r>
      <w:bookmarkStart w:id="329" w:name="_Toc318581169"/>
      <w:bookmarkStart w:id="330" w:name="_Toc312677486"/>
      <w:bookmarkStart w:id="331" w:name="_Toc312678012"/>
      <w:bookmarkStart w:id="332" w:name="_Toc303539127"/>
      <w:bookmarkStart w:id="333" w:name="_Toc297123518"/>
      <w:bookmarkStart w:id="334" w:name="_Toc297216177"/>
      <w:bookmarkStart w:id="335" w:name="_Toc304295548"/>
      <w:bookmarkStart w:id="336" w:name="_Toc300934970"/>
      <w:r>
        <w:rPr>
          <w:rFonts w:ascii="宋体" w:hAnsi="宋体"/>
          <w:color w:val="auto"/>
          <w:szCs w:val="21"/>
          <w:highlight w:val="none"/>
        </w:rPr>
        <w:t>.5.2 因承包人原因导致工期延误</w:t>
      </w:r>
    </w:p>
    <w:bookmarkEnd w:id="329"/>
    <w:bookmarkEnd w:id="330"/>
    <w:bookmarkEnd w:id="331"/>
    <w:p w14:paraId="1B1C39B9">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w:t>
      </w:r>
      <w:bookmarkStart w:id="337" w:name="_Toc312678013"/>
      <w:bookmarkStart w:id="338" w:name="_Toc312677487"/>
      <w:bookmarkStart w:id="339" w:name="_Toc318581170"/>
      <w:r>
        <w:rPr>
          <w:rFonts w:ascii="宋体" w:hAnsi="宋体"/>
          <w:color w:val="auto"/>
          <w:szCs w:val="21"/>
          <w:highlight w:val="none"/>
        </w:rPr>
        <w:t>承包人原因造成工期延误，逾期竣工违约金的计算方法为：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332"/>
      <w:bookmarkEnd w:id="333"/>
      <w:bookmarkEnd w:id="334"/>
      <w:bookmarkEnd w:id="335"/>
      <w:bookmarkEnd w:id="336"/>
      <w:bookmarkEnd w:id="337"/>
      <w:bookmarkEnd w:id="338"/>
    </w:p>
    <w:bookmarkEnd w:id="339"/>
    <w:p w14:paraId="753985BA">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因承包人原因造成工期延误，逾</w:t>
      </w:r>
      <w:bookmarkStart w:id="340" w:name="_Toc318581171"/>
      <w:bookmarkStart w:id="341" w:name="_Toc312678014"/>
      <w:r>
        <w:rPr>
          <w:rFonts w:ascii="宋体" w:hAnsi="宋体"/>
          <w:color w:val="auto"/>
          <w:szCs w:val="21"/>
          <w:highlight w:val="none"/>
        </w:rPr>
        <w:t>期竣工违约金的上限：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40"/>
    <w:bookmarkEnd w:id="341"/>
    <w:p w14:paraId="08B4FFCC">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342" w:name="_Toc300934971"/>
      <w:bookmarkStart w:id="343" w:name="_Toc297216178"/>
      <w:bookmarkStart w:id="344" w:name="_Toc304295549"/>
      <w:bookmarkStart w:id="345" w:name="_Toc303539128"/>
      <w:bookmarkStart w:id="346" w:name="_Toc297123519"/>
      <w:bookmarkStart w:id="347" w:name="_Toc312678015"/>
      <w:r>
        <w:rPr>
          <w:rFonts w:ascii="宋体" w:hAnsi="宋体"/>
          <w:color w:val="auto"/>
          <w:szCs w:val="21"/>
          <w:highlight w:val="none"/>
        </w:rPr>
        <w:t>.6 不</w:t>
      </w:r>
      <w:bookmarkEnd w:id="342"/>
      <w:bookmarkEnd w:id="343"/>
      <w:bookmarkEnd w:id="344"/>
      <w:bookmarkEnd w:id="345"/>
      <w:bookmarkEnd w:id="346"/>
      <w:bookmarkEnd w:id="347"/>
      <w:r>
        <w:rPr>
          <w:rFonts w:ascii="宋体" w:hAnsi="宋体"/>
          <w:color w:val="auto"/>
          <w:szCs w:val="21"/>
          <w:highlight w:val="none"/>
        </w:rPr>
        <w:t>利物质条件</w:t>
      </w:r>
    </w:p>
    <w:p w14:paraId="72A6A763">
      <w:pPr>
        <w:spacing w:line="480" w:lineRule="exact"/>
        <w:ind w:firstLine="420" w:firstLineChars="200"/>
        <w:jc w:val="left"/>
        <w:rPr>
          <w:rFonts w:ascii="宋体" w:hAnsi="宋体"/>
          <w:color w:val="auto"/>
          <w:szCs w:val="21"/>
          <w:highlight w:val="none"/>
        </w:rPr>
      </w:pPr>
      <w:bookmarkStart w:id="348" w:name="_Toc303539129"/>
      <w:bookmarkStart w:id="349" w:name="_Toc300934972"/>
      <w:bookmarkStart w:id="350" w:name="_Toc318581172"/>
      <w:bookmarkStart w:id="351" w:name="_Toc297216179"/>
      <w:bookmarkStart w:id="352" w:name="_Toc312678016"/>
      <w:bookmarkStart w:id="353" w:name="_Toc304295550"/>
      <w:bookmarkStart w:id="354" w:name="_Toc297123520"/>
      <w:r>
        <w:rPr>
          <w:rFonts w:ascii="宋体" w:hAnsi="宋体"/>
          <w:color w:val="auto"/>
          <w:szCs w:val="21"/>
          <w:highlight w:val="none"/>
        </w:rPr>
        <w:t>不利物质条件的其他情形和有关约定：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48"/>
    <w:bookmarkEnd w:id="349"/>
    <w:bookmarkEnd w:id="350"/>
    <w:bookmarkEnd w:id="351"/>
    <w:bookmarkEnd w:id="352"/>
    <w:bookmarkEnd w:id="353"/>
    <w:bookmarkEnd w:id="354"/>
    <w:p w14:paraId="62BBA8C4">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7</w:t>
      </w:r>
      <w:bookmarkStart w:id="355" w:name="_Toc303539130"/>
      <w:bookmarkStart w:id="356" w:name="_Toc304295551"/>
      <w:bookmarkStart w:id="357" w:name="_Toc297123521"/>
      <w:bookmarkStart w:id="358" w:name="_Toc312678017"/>
      <w:bookmarkStart w:id="359" w:name="_Toc300934973"/>
      <w:bookmarkStart w:id="360" w:name="_Toc297216180"/>
      <w:r>
        <w:rPr>
          <w:rFonts w:ascii="宋体" w:hAnsi="宋体"/>
          <w:color w:val="auto"/>
          <w:szCs w:val="21"/>
          <w:highlight w:val="none"/>
        </w:rPr>
        <w:t>.7异常恶劣的气候条件</w:t>
      </w:r>
    </w:p>
    <w:bookmarkEnd w:id="355"/>
    <w:bookmarkEnd w:id="356"/>
    <w:bookmarkEnd w:id="357"/>
    <w:bookmarkEnd w:id="358"/>
    <w:bookmarkEnd w:id="359"/>
    <w:bookmarkEnd w:id="360"/>
    <w:p w14:paraId="37CC609D">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发包人和承包人同意以下情形视为异常恶劣的气候条件：</w:t>
      </w:r>
    </w:p>
    <w:p w14:paraId="6BA06B01">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ascii="宋体" w:hAnsi="宋体"/>
          <w:color w:val="auto"/>
          <w:szCs w:val="21"/>
          <w:highlight w:val="none"/>
          <w:u w:val="single"/>
        </w:rPr>
        <w:t xml:space="preserve">                                           </w:t>
      </w:r>
      <w:r>
        <w:rPr>
          <w:rFonts w:ascii="宋体" w:hAnsi="宋体"/>
          <w:color w:val="auto"/>
          <w:szCs w:val="21"/>
          <w:highlight w:val="none"/>
        </w:rPr>
        <w:t>；</w:t>
      </w:r>
    </w:p>
    <w:p w14:paraId="1615222D">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ascii="宋体" w:hAnsi="宋体"/>
          <w:color w:val="auto"/>
          <w:szCs w:val="21"/>
          <w:highlight w:val="none"/>
          <w:u w:val="single"/>
        </w:rPr>
        <w:t xml:space="preserve">                                           </w:t>
      </w:r>
      <w:r>
        <w:rPr>
          <w:rFonts w:ascii="宋体" w:hAnsi="宋体"/>
          <w:color w:val="auto"/>
          <w:szCs w:val="21"/>
          <w:highlight w:val="none"/>
        </w:rPr>
        <w:t>；</w:t>
      </w:r>
    </w:p>
    <w:p w14:paraId="6A52F09A">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ascii="宋体" w:hAnsi="宋体"/>
          <w:color w:val="auto"/>
          <w:szCs w:val="21"/>
          <w:highlight w:val="none"/>
          <w:u w:val="single"/>
        </w:rPr>
        <w:t xml:space="preserve">                                           </w:t>
      </w:r>
      <w:r>
        <w:rPr>
          <w:rFonts w:ascii="宋体" w:hAnsi="宋体"/>
          <w:color w:val="auto"/>
          <w:szCs w:val="21"/>
          <w:highlight w:val="none"/>
        </w:rPr>
        <w:t>。</w:t>
      </w:r>
    </w:p>
    <w:p w14:paraId="03784609">
      <w:pPr>
        <w:spacing w:line="480" w:lineRule="exact"/>
        <w:rPr>
          <w:rFonts w:ascii="宋体" w:hAnsi="宋体"/>
          <w:color w:val="auto"/>
          <w:szCs w:val="21"/>
          <w:highlight w:val="none"/>
        </w:rPr>
      </w:pPr>
      <w:r>
        <w:rPr>
          <w:rFonts w:ascii="宋体" w:hAnsi="宋体"/>
          <w:color w:val="auto"/>
          <w:szCs w:val="21"/>
          <w:highlight w:val="none"/>
        </w:rPr>
        <w:t>7.9 提前竣工的奖励</w:t>
      </w:r>
    </w:p>
    <w:p w14:paraId="77D50934">
      <w:pPr>
        <w:spacing w:line="480" w:lineRule="exact"/>
        <w:ind w:firstLine="420" w:firstLineChars="200"/>
        <w:jc w:val="left"/>
        <w:rPr>
          <w:rFonts w:hint="eastAsia" w:ascii="宋体" w:hAnsi="宋体"/>
          <w:color w:val="auto"/>
          <w:szCs w:val="21"/>
          <w:highlight w:val="none"/>
        </w:rPr>
      </w:pPr>
      <w:r>
        <w:rPr>
          <w:rFonts w:ascii="宋体" w:hAnsi="宋体"/>
          <w:color w:val="auto"/>
          <w:szCs w:val="21"/>
          <w:highlight w:val="none"/>
        </w:rPr>
        <w:t>7.9.2提前竣工的奖励：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05BF408">
      <w:pPr>
        <w:spacing w:line="480" w:lineRule="exact"/>
        <w:rPr>
          <w:rFonts w:ascii="宋体" w:hAnsi="宋体"/>
          <w:color w:val="auto"/>
          <w:szCs w:val="21"/>
          <w:highlight w:val="none"/>
        </w:rPr>
      </w:pPr>
      <w:bookmarkStart w:id="361" w:name="_Toc351203640"/>
      <w:r>
        <w:rPr>
          <w:rFonts w:ascii="宋体" w:hAnsi="宋体"/>
          <w:color w:val="auto"/>
          <w:szCs w:val="21"/>
          <w:highlight w:val="none"/>
        </w:rPr>
        <w:t>8. 材料与设备</w:t>
      </w:r>
      <w:bookmarkEnd w:id="361"/>
    </w:p>
    <w:bookmarkEnd w:id="296"/>
    <w:bookmarkEnd w:id="297"/>
    <w:bookmarkEnd w:id="298"/>
    <w:bookmarkEnd w:id="299"/>
    <w:bookmarkEnd w:id="300"/>
    <w:bookmarkEnd w:id="301"/>
    <w:bookmarkEnd w:id="302"/>
    <w:bookmarkEnd w:id="303"/>
    <w:bookmarkEnd w:id="304"/>
    <w:bookmarkEnd w:id="305"/>
    <w:p w14:paraId="3094B9B1">
      <w:pPr>
        <w:spacing w:after="120" w:line="480" w:lineRule="exact"/>
        <w:ind w:firstLine="420" w:firstLineChars="200"/>
        <w:rPr>
          <w:rFonts w:ascii="宋体" w:hAnsi="宋体"/>
          <w:color w:val="auto"/>
          <w:szCs w:val="21"/>
          <w:highlight w:val="none"/>
        </w:rPr>
      </w:pPr>
      <w:r>
        <w:rPr>
          <w:rFonts w:ascii="宋体" w:hAnsi="宋体"/>
          <w:color w:val="auto"/>
          <w:szCs w:val="21"/>
          <w:highlight w:val="none"/>
        </w:rPr>
        <w:t>8</w:t>
      </w:r>
      <w:bookmarkStart w:id="362" w:name="_Toc303539136"/>
      <w:bookmarkStart w:id="363" w:name="_Toc297123527"/>
      <w:bookmarkStart w:id="364" w:name="_Toc292559372"/>
      <w:bookmarkStart w:id="365" w:name="_Toc300934979"/>
      <w:bookmarkStart w:id="366" w:name="_Toc296347166"/>
      <w:bookmarkStart w:id="367" w:name="_Toc296891207"/>
      <w:bookmarkStart w:id="368" w:name="_Toc312677493"/>
      <w:bookmarkStart w:id="369" w:name="_Toc304295556"/>
      <w:bookmarkStart w:id="370" w:name="_Toc297216186"/>
      <w:bookmarkStart w:id="371" w:name="_Toc296346668"/>
      <w:bookmarkStart w:id="372" w:name="_Toc280868654"/>
      <w:bookmarkStart w:id="373" w:name="_Toc297048353"/>
      <w:bookmarkStart w:id="374" w:name="_Toc296503167"/>
      <w:bookmarkStart w:id="375" w:name="_Toc297120467"/>
      <w:bookmarkStart w:id="376" w:name="_Toc312678019"/>
      <w:bookmarkStart w:id="377" w:name="_Toc296944506"/>
      <w:bookmarkStart w:id="378" w:name="_Toc296890995"/>
      <w:bookmarkStart w:id="379" w:name="_Toc292559877"/>
      <w:bookmarkStart w:id="380" w:name="_Toc267251424"/>
      <w:bookmarkStart w:id="381" w:name="_Toc280868656"/>
      <w:bookmarkStart w:id="382" w:name="_Toc280868655"/>
      <w:r>
        <w:rPr>
          <w:rFonts w:ascii="宋体" w:hAnsi="宋体"/>
          <w:color w:val="auto"/>
          <w:szCs w:val="21"/>
          <w:highlight w:val="none"/>
        </w:rPr>
        <w:t>.4材料与工程设备的保管与使用</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14:paraId="101D8AEC">
      <w:pPr>
        <w:spacing w:line="480" w:lineRule="exact"/>
        <w:ind w:firstLine="420" w:firstLineChars="200"/>
        <w:jc w:val="left"/>
        <w:rPr>
          <w:rFonts w:ascii="宋体" w:hAnsi="宋体"/>
          <w:color w:val="auto"/>
          <w:szCs w:val="21"/>
          <w:highlight w:val="none"/>
        </w:rPr>
      </w:pPr>
      <w:r>
        <w:rPr>
          <w:rFonts w:ascii="宋体" w:hAnsi="宋体"/>
          <w:color w:val="auto"/>
          <w:szCs w:val="21"/>
          <w:highlight w:val="none"/>
        </w:rPr>
        <w:t>8</w:t>
      </w:r>
      <w:bookmarkStart w:id="383" w:name="_Toc292559373"/>
      <w:bookmarkStart w:id="384" w:name="_Toc292559878"/>
      <w:bookmarkStart w:id="385" w:name="_Toc318581173"/>
      <w:bookmarkStart w:id="386" w:name="_Toc312678020"/>
      <w:bookmarkStart w:id="387" w:name="_Toc296890996"/>
      <w:bookmarkStart w:id="388" w:name="_Toc296944507"/>
      <w:bookmarkStart w:id="389" w:name="_Toc297048354"/>
      <w:bookmarkStart w:id="390" w:name="_Toc304295557"/>
      <w:bookmarkStart w:id="391" w:name="_Toc312677494"/>
      <w:bookmarkStart w:id="392" w:name="_Toc296503168"/>
      <w:bookmarkStart w:id="393" w:name="_Toc300934980"/>
      <w:bookmarkStart w:id="394" w:name="_Toc297216187"/>
      <w:bookmarkStart w:id="395" w:name="_Toc303539137"/>
      <w:bookmarkStart w:id="396" w:name="_Toc296891208"/>
      <w:bookmarkStart w:id="397" w:name="_Toc296346669"/>
      <w:bookmarkStart w:id="398" w:name="_Toc297123528"/>
      <w:bookmarkStart w:id="399" w:name="_Toc297120468"/>
      <w:bookmarkStart w:id="400" w:name="_Toc296347167"/>
      <w:r>
        <w:rPr>
          <w:rFonts w:ascii="宋体" w:hAnsi="宋体"/>
          <w:color w:val="auto"/>
          <w:szCs w:val="21"/>
          <w:highlight w:val="none"/>
        </w:rPr>
        <w:t>.4.1发包人供应的材料设备的保管费用的承担：</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bookmarkEnd w:id="383"/>
      <w:bookmarkEnd w:id="384"/>
    </w:p>
    <w:p w14:paraId="0C00BBE2">
      <w:pPr>
        <w:spacing w:line="480" w:lineRule="exact"/>
        <w:rPr>
          <w:rFonts w:ascii="宋体" w:hAnsi="宋体"/>
          <w:color w:val="auto"/>
          <w:szCs w:val="21"/>
          <w:highlight w:val="none"/>
        </w:rPr>
      </w:pPr>
      <w:r>
        <w:rPr>
          <w:rFonts w:ascii="宋体" w:hAnsi="宋体"/>
          <w:color w:val="auto"/>
          <w:szCs w:val="21"/>
          <w:highlight w:val="none"/>
        </w:rPr>
        <w:t>8.6 样品</w:t>
      </w:r>
    </w:p>
    <w:p w14:paraId="37954E6A">
      <w:pPr>
        <w:autoSpaceDE w:val="0"/>
        <w:autoSpaceDN w:val="0"/>
        <w:adjustRightInd w:val="0"/>
        <w:spacing w:line="4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8.6.1</w:t>
      </w:r>
      <w:r>
        <w:rPr>
          <w:rFonts w:ascii="宋体" w:hAnsi="宋体"/>
          <w:color w:val="auto"/>
          <w:kern w:val="0"/>
          <w:szCs w:val="21"/>
          <w:highlight w:val="none"/>
        </w:rPr>
        <w:tab/>
      </w:r>
      <w:r>
        <w:rPr>
          <w:rFonts w:ascii="宋体" w:hAnsi="宋体"/>
          <w:color w:val="auto"/>
          <w:kern w:val="0"/>
          <w:szCs w:val="21"/>
          <w:highlight w:val="none"/>
        </w:rPr>
        <w:t>样品的报送</w:t>
      </w:r>
      <w:r>
        <w:rPr>
          <w:rFonts w:hint="eastAsia" w:ascii="宋体" w:hAnsi="宋体"/>
          <w:color w:val="auto"/>
          <w:kern w:val="0"/>
          <w:szCs w:val="21"/>
          <w:highlight w:val="none"/>
        </w:rPr>
        <w:t>与封存</w:t>
      </w:r>
    </w:p>
    <w:p w14:paraId="02CFD8E6">
      <w:pPr>
        <w:autoSpaceDE w:val="0"/>
        <w:autoSpaceDN w:val="0"/>
        <w:adjustRightInd w:val="0"/>
        <w:spacing w:line="480" w:lineRule="exact"/>
        <w:ind w:firstLine="420" w:firstLineChars="200"/>
        <w:jc w:val="left"/>
        <w:rPr>
          <w:rFonts w:ascii="宋体" w:hAnsi="宋体"/>
          <w:color w:val="auto"/>
          <w:szCs w:val="21"/>
          <w:highlight w:val="none"/>
          <w:u w:val="single"/>
        </w:rPr>
      </w:pPr>
      <w:r>
        <w:rPr>
          <w:rFonts w:ascii="宋体" w:hAnsi="宋体"/>
          <w:color w:val="auto"/>
          <w:kern w:val="0"/>
          <w:szCs w:val="21"/>
          <w:highlight w:val="none"/>
        </w:rPr>
        <w:t>需要承包人报送样品的材料或工程设备，样品的种类、名称、规格、数量要求：</w:t>
      </w:r>
      <w:r>
        <w:rPr>
          <w:rFonts w:ascii="宋体" w:hAnsi="宋体"/>
          <w:color w:val="auto"/>
          <w:szCs w:val="21"/>
          <w:highlight w:val="none"/>
          <w:u w:val="single"/>
        </w:rPr>
        <w:t xml:space="preserve"> </w:t>
      </w:r>
    </w:p>
    <w:p w14:paraId="6E5F813C">
      <w:pPr>
        <w:autoSpaceDE w:val="0"/>
        <w:autoSpaceDN w:val="0"/>
        <w:adjustRightInd w:val="0"/>
        <w:spacing w:line="480" w:lineRule="exact"/>
        <w:jc w:val="left"/>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F467B29">
      <w:pPr>
        <w:spacing w:line="480" w:lineRule="exact"/>
        <w:rPr>
          <w:rFonts w:ascii="宋体" w:hAnsi="宋体"/>
          <w:color w:val="auto"/>
          <w:szCs w:val="21"/>
          <w:highlight w:val="none"/>
        </w:rPr>
      </w:pPr>
      <w:r>
        <w:rPr>
          <w:rFonts w:ascii="宋体" w:hAnsi="宋体"/>
          <w:color w:val="auto"/>
          <w:szCs w:val="21"/>
          <w:highlight w:val="none"/>
        </w:rPr>
        <w:t>8.8 施工设备和临时设施</w:t>
      </w:r>
    </w:p>
    <w:p w14:paraId="33A8D16E">
      <w:pPr>
        <w:spacing w:line="480" w:lineRule="exact"/>
        <w:rPr>
          <w:rFonts w:ascii="宋体" w:hAnsi="宋体"/>
          <w:color w:val="auto"/>
          <w:szCs w:val="21"/>
          <w:highlight w:val="none"/>
        </w:rPr>
      </w:pPr>
      <w:r>
        <w:rPr>
          <w:rFonts w:ascii="宋体" w:hAnsi="宋体"/>
          <w:color w:val="auto"/>
          <w:szCs w:val="21"/>
          <w:highlight w:val="none"/>
        </w:rPr>
        <w:t>8.8.1 承包人提供的施工设备和临时设施</w:t>
      </w:r>
    </w:p>
    <w:p w14:paraId="5450C95B">
      <w:pPr>
        <w:spacing w:line="480" w:lineRule="exact"/>
        <w:rPr>
          <w:rFonts w:ascii="宋体" w:hAnsi="宋体"/>
          <w:color w:val="auto"/>
          <w:szCs w:val="21"/>
          <w:highlight w:val="none"/>
        </w:rPr>
      </w:pPr>
      <w:r>
        <w:rPr>
          <w:rFonts w:ascii="宋体" w:hAnsi="宋体"/>
          <w:color w:val="auto"/>
          <w:szCs w:val="21"/>
          <w:highlight w:val="none"/>
        </w:rPr>
        <w:t>关于修建临时设施费用承担的约定：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14:paraId="12F0ABA9">
      <w:pPr>
        <w:spacing w:line="480" w:lineRule="exact"/>
        <w:rPr>
          <w:rFonts w:ascii="宋体" w:hAnsi="宋体"/>
          <w:color w:val="auto"/>
          <w:szCs w:val="21"/>
          <w:highlight w:val="none"/>
        </w:rPr>
      </w:pPr>
      <w:bookmarkStart w:id="401" w:name="_Toc351203641"/>
      <w:r>
        <w:rPr>
          <w:rFonts w:ascii="宋体" w:hAnsi="宋体"/>
          <w:color w:val="auto"/>
          <w:szCs w:val="21"/>
          <w:highlight w:val="none"/>
        </w:rPr>
        <w:t>9</w:t>
      </w:r>
      <w:bookmarkEnd w:id="380"/>
      <w:bookmarkEnd w:id="381"/>
      <w:bookmarkEnd w:id="382"/>
      <w:bookmarkStart w:id="402" w:name="_Toc312677495"/>
      <w:bookmarkStart w:id="403" w:name="_Toc304295559"/>
      <w:bookmarkStart w:id="404" w:name="_Toc303539139"/>
      <w:bookmarkStart w:id="405" w:name="_Toc300934982"/>
      <w:bookmarkStart w:id="406" w:name="_Toc297123533"/>
      <w:bookmarkStart w:id="407" w:name="_Toc297216192"/>
      <w:bookmarkStart w:id="408" w:name="_Toc312678021"/>
      <w:bookmarkStart w:id="409" w:name="_Toc297048359"/>
      <w:bookmarkStart w:id="410" w:name="_Toc267251427"/>
      <w:bookmarkStart w:id="411" w:name="_Toc292559378"/>
      <w:bookmarkStart w:id="412" w:name="_Toc292559883"/>
      <w:bookmarkStart w:id="413" w:name="_Toc296346674"/>
      <w:bookmarkStart w:id="414" w:name="_Toc296347172"/>
      <w:bookmarkStart w:id="415" w:name="_Toc296891001"/>
      <w:bookmarkStart w:id="416" w:name="_Toc297120473"/>
      <w:bookmarkStart w:id="417" w:name="_Toc267251428"/>
      <w:bookmarkStart w:id="418" w:name="_Toc296891213"/>
      <w:bookmarkStart w:id="419" w:name="_Toc296503173"/>
      <w:bookmarkStart w:id="420" w:name="_Toc296944512"/>
      <w:r>
        <w:rPr>
          <w:rFonts w:ascii="宋体" w:hAnsi="宋体"/>
          <w:color w:val="auto"/>
          <w:szCs w:val="21"/>
          <w:highlight w:val="none"/>
        </w:rPr>
        <w:t>. 试验与检验</w:t>
      </w:r>
      <w:bookmarkEnd w:id="401"/>
    </w:p>
    <w:bookmarkEnd w:id="402"/>
    <w:bookmarkEnd w:id="403"/>
    <w:bookmarkEnd w:id="404"/>
    <w:bookmarkEnd w:id="405"/>
    <w:bookmarkEnd w:id="406"/>
    <w:bookmarkEnd w:id="407"/>
    <w:bookmarkEnd w:id="408"/>
    <w:p w14:paraId="361A0D30">
      <w:pPr>
        <w:spacing w:line="480" w:lineRule="exact"/>
        <w:rPr>
          <w:rFonts w:ascii="宋体" w:hAnsi="宋体"/>
          <w:color w:val="auto"/>
          <w:szCs w:val="21"/>
          <w:highlight w:val="none"/>
        </w:rPr>
      </w:pPr>
      <w:r>
        <w:rPr>
          <w:rFonts w:ascii="宋体" w:hAnsi="宋体"/>
          <w:color w:val="auto"/>
          <w:szCs w:val="21"/>
          <w:highlight w:val="none"/>
        </w:rPr>
        <w:t>9</w:t>
      </w:r>
      <w:bookmarkStart w:id="421" w:name="_Toc297123534"/>
      <w:bookmarkStart w:id="422" w:name="_Toc297216193"/>
      <w:bookmarkStart w:id="423" w:name="_Toc312677496"/>
      <w:bookmarkStart w:id="424" w:name="_Toc300934983"/>
      <w:bookmarkStart w:id="425" w:name="_Toc303539140"/>
      <w:bookmarkStart w:id="426" w:name="_Toc304295560"/>
      <w:bookmarkStart w:id="427" w:name="_Toc312678022"/>
      <w:r>
        <w:rPr>
          <w:rFonts w:ascii="宋体" w:hAnsi="宋体"/>
          <w:color w:val="auto"/>
          <w:szCs w:val="21"/>
          <w:highlight w:val="none"/>
        </w:rPr>
        <w:t>.1试验设备与试验人员</w:t>
      </w:r>
    </w:p>
    <w:bookmarkEnd w:id="421"/>
    <w:bookmarkEnd w:id="422"/>
    <w:bookmarkEnd w:id="423"/>
    <w:bookmarkEnd w:id="424"/>
    <w:bookmarkEnd w:id="425"/>
    <w:bookmarkEnd w:id="426"/>
    <w:bookmarkEnd w:id="427"/>
    <w:p w14:paraId="7C14341F">
      <w:pPr>
        <w:spacing w:line="480" w:lineRule="exact"/>
        <w:rPr>
          <w:rFonts w:ascii="宋体" w:hAnsi="宋体"/>
          <w:color w:val="auto"/>
          <w:szCs w:val="21"/>
          <w:highlight w:val="none"/>
        </w:rPr>
      </w:pPr>
      <w:r>
        <w:rPr>
          <w:rFonts w:ascii="宋体" w:hAnsi="宋体"/>
          <w:color w:val="auto"/>
          <w:szCs w:val="21"/>
          <w:highlight w:val="none"/>
        </w:rPr>
        <w:t>9</w:t>
      </w:r>
      <w:bookmarkStart w:id="428" w:name="_Toc312678023"/>
      <w:bookmarkStart w:id="429" w:name="_Toc304295561"/>
      <w:bookmarkStart w:id="430" w:name="_Toc297216194"/>
      <w:bookmarkStart w:id="431" w:name="_Toc303539141"/>
      <w:bookmarkStart w:id="432" w:name="_Toc297123535"/>
      <w:bookmarkStart w:id="433" w:name="_Toc300934984"/>
      <w:bookmarkStart w:id="434" w:name="_Toc312677497"/>
      <w:bookmarkStart w:id="435" w:name="_Toc318581174"/>
      <w:r>
        <w:rPr>
          <w:rFonts w:ascii="宋体" w:hAnsi="宋体"/>
          <w:color w:val="auto"/>
          <w:szCs w:val="21"/>
          <w:highlight w:val="none"/>
        </w:rPr>
        <w:t>.1.2 试验设备</w:t>
      </w:r>
    </w:p>
    <w:p w14:paraId="7B4FA657">
      <w:pPr>
        <w:spacing w:line="480" w:lineRule="exact"/>
        <w:rPr>
          <w:rFonts w:ascii="宋体" w:hAnsi="宋体"/>
          <w:color w:val="auto"/>
          <w:szCs w:val="21"/>
          <w:highlight w:val="none"/>
        </w:rPr>
      </w:pPr>
      <w:r>
        <w:rPr>
          <w:rFonts w:ascii="宋体" w:hAnsi="宋体"/>
          <w:color w:val="auto"/>
          <w:szCs w:val="21"/>
          <w:highlight w:val="none"/>
        </w:rPr>
        <w:t>施工现场需要配置的试验场所：</w:t>
      </w:r>
      <w:bookmarkEnd w:id="428"/>
      <w:bookmarkEnd w:id="429"/>
      <w:bookmarkEnd w:id="430"/>
      <w:bookmarkEnd w:id="431"/>
      <w:bookmarkEnd w:id="432"/>
      <w:bookmarkEnd w:id="433"/>
      <w:bookmarkEnd w:id="434"/>
      <w:bookmarkStart w:id="436" w:name="_Toc297216195"/>
      <w:bookmarkStart w:id="437" w:name="_Toc312678024"/>
      <w:bookmarkStart w:id="438" w:name="_Toc312677498"/>
      <w:bookmarkStart w:id="439" w:name="_Toc297123536"/>
      <w:bookmarkStart w:id="440" w:name="_Toc303539142"/>
      <w:bookmarkStart w:id="441" w:name="_Toc304295562"/>
      <w:bookmarkStart w:id="442" w:name="_Toc300934985"/>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 xml:space="preserve"> </w:t>
      </w:r>
    </w:p>
    <w:p w14:paraId="308D74FA">
      <w:pPr>
        <w:spacing w:line="480" w:lineRule="exact"/>
        <w:rPr>
          <w:rFonts w:ascii="宋体" w:hAnsi="宋体"/>
          <w:color w:val="auto"/>
          <w:szCs w:val="21"/>
          <w:highlight w:val="none"/>
        </w:rPr>
      </w:pPr>
      <w:r>
        <w:rPr>
          <w:rFonts w:ascii="宋体" w:hAnsi="宋体"/>
          <w:color w:val="auto"/>
          <w:szCs w:val="21"/>
          <w:highlight w:val="none"/>
        </w:rPr>
        <w:t>施工现场需要配备的试验设备：</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3388051">
      <w:pPr>
        <w:spacing w:line="480" w:lineRule="exact"/>
        <w:rPr>
          <w:rFonts w:ascii="宋体" w:hAnsi="宋体"/>
          <w:color w:val="auto"/>
          <w:szCs w:val="21"/>
          <w:highlight w:val="none"/>
        </w:rPr>
      </w:pPr>
      <w:r>
        <w:rPr>
          <w:rFonts w:ascii="宋体" w:hAnsi="宋体"/>
          <w:color w:val="auto"/>
          <w:szCs w:val="21"/>
          <w:highlight w:val="none"/>
        </w:rPr>
        <w:t>施工现场需要具备的其他试验条件：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0D98105">
      <w:pPr>
        <w:spacing w:line="480" w:lineRule="exact"/>
        <w:rPr>
          <w:rFonts w:ascii="宋体" w:hAnsi="宋体"/>
          <w:color w:val="auto"/>
          <w:szCs w:val="21"/>
          <w:highlight w:val="none"/>
        </w:rPr>
      </w:pPr>
      <w:r>
        <w:rPr>
          <w:rFonts w:ascii="宋体" w:hAnsi="宋体"/>
          <w:color w:val="auto"/>
          <w:szCs w:val="21"/>
          <w:highlight w:val="none"/>
        </w:rPr>
        <w:t>9.4 现场工艺试验</w:t>
      </w:r>
      <w:r>
        <w:rPr>
          <w:rFonts w:hint="eastAsia" w:ascii="宋体" w:hAnsi="宋体"/>
          <w:color w:val="auto"/>
          <w:szCs w:val="21"/>
          <w:highlight w:val="none"/>
        </w:rPr>
        <w:t xml:space="preserve"> </w:t>
      </w:r>
    </w:p>
    <w:p w14:paraId="480A69F2">
      <w:pPr>
        <w:spacing w:line="480" w:lineRule="exact"/>
        <w:rPr>
          <w:rFonts w:hint="eastAsia" w:ascii="宋体" w:hAnsi="宋体"/>
          <w:color w:val="auto"/>
          <w:szCs w:val="21"/>
          <w:highlight w:val="none"/>
        </w:rPr>
      </w:pPr>
      <w:r>
        <w:rPr>
          <w:rFonts w:ascii="宋体" w:hAnsi="宋体"/>
          <w:color w:val="auto"/>
          <w:szCs w:val="21"/>
          <w:highlight w:val="none"/>
        </w:rPr>
        <w:t>现场工艺试验的有关约定：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35"/>
    <w:bookmarkEnd w:id="436"/>
    <w:bookmarkEnd w:id="437"/>
    <w:bookmarkEnd w:id="438"/>
    <w:bookmarkEnd w:id="439"/>
    <w:bookmarkEnd w:id="440"/>
    <w:bookmarkEnd w:id="441"/>
    <w:bookmarkEnd w:id="442"/>
    <w:p w14:paraId="06F063DC">
      <w:pPr>
        <w:spacing w:line="480" w:lineRule="exact"/>
        <w:rPr>
          <w:rFonts w:ascii="宋体" w:hAnsi="宋体"/>
          <w:color w:val="auto"/>
          <w:szCs w:val="21"/>
          <w:highlight w:val="none"/>
        </w:rPr>
      </w:pPr>
      <w:bookmarkStart w:id="443" w:name="_Toc351203642"/>
      <w:r>
        <w:rPr>
          <w:rFonts w:ascii="宋体" w:hAnsi="宋体"/>
          <w:color w:val="auto"/>
          <w:szCs w:val="21"/>
          <w:highlight w:val="none"/>
        </w:rPr>
        <w:t>1</w:t>
      </w:r>
      <w:bookmarkEnd w:id="409"/>
      <w:bookmarkEnd w:id="410"/>
      <w:bookmarkEnd w:id="411"/>
      <w:bookmarkEnd w:id="412"/>
      <w:bookmarkEnd w:id="413"/>
      <w:bookmarkEnd w:id="414"/>
      <w:bookmarkEnd w:id="415"/>
      <w:bookmarkEnd w:id="416"/>
      <w:bookmarkEnd w:id="417"/>
      <w:bookmarkEnd w:id="418"/>
      <w:bookmarkEnd w:id="419"/>
      <w:bookmarkEnd w:id="420"/>
      <w:bookmarkStart w:id="444" w:name="_Toc296347192"/>
      <w:bookmarkStart w:id="445" w:name="_Toc296503193"/>
      <w:bookmarkStart w:id="446" w:name="_Toc297048379"/>
      <w:bookmarkStart w:id="447" w:name="_Toc296346694"/>
      <w:bookmarkStart w:id="448" w:name="_Toc296944532"/>
      <w:bookmarkStart w:id="449" w:name="_Toc292559398"/>
      <w:bookmarkStart w:id="450" w:name="_Toc292559903"/>
      <w:bookmarkStart w:id="451" w:name="_Toc297216199"/>
      <w:bookmarkStart w:id="452" w:name="_Toc297120493"/>
      <w:bookmarkStart w:id="453" w:name="_Toc304295566"/>
      <w:bookmarkStart w:id="454" w:name="_Toc296891233"/>
      <w:bookmarkStart w:id="455" w:name="_Toc300934989"/>
      <w:bookmarkStart w:id="456" w:name="_Toc297123540"/>
      <w:bookmarkStart w:id="457" w:name="_Toc303539146"/>
      <w:bookmarkStart w:id="458" w:name="_Toc296891021"/>
      <w:bookmarkStart w:id="459" w:name="_Toc312677499"/>
      <w:bookmarkStart w:id="460" w:name="_Toc312678025"/>
      <w:bookmarkStart w:id="461" w:name="_Toc267251437"/>
      <w:bookmarkStart w:id="462" w:name="_Toc267251435"/>
      <w:bookmarkStart w:id="463" w:name="_Toc267251433"/>
      <w:bookmarkStart w:id="464" w:name="_Toc267251440"/>
      <w:bookmarkStart w:id="465" w:name="_Toc267251441"/>
      <w:bookmarkStart w:id="466" w:name="_Toc267251439"/>
      <w:bookmarkStart w:id="467" w:name="_Toc267251442"/>
      <w:r>
        <w:rPr>
          <w:rFonts w:ascii="宋体" w:hAnsi="宋体"/>
          <w:color w:val="auto"/>
          <w:szCs w:val="21"/>
          <w:highlight w:val="none"/>
        </w:rPr>
        <w:t>0. 变更</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bookmarkEnd w:id="459"/>
    <w:bookmarkEnd w:id="460"/>
    <w:p w14:paraId="7CEDE573">
      <w:pPr>
        <w:spacing w:line="480" w:lineRule="exact"/>
        <w:rPr>
          <w:rFonts w:ascii="宋体" w:hAnsi="宋体"/>
          <w:color w:val="auto"/>
          <w:szCs w:val="21"/>
          <w:highlight w:val="none"/>
        </w:rPr>
      </w:pPr>
      <w:r>
        <w:rPr>
          <w:rFonts w:ascii="宋体" w:hAnsi="宋体"/>
          <w:color w:val="auto"/>
          <w:szCs w:val="21"/>
          <w:highlight w:val="none"/>
        </w:rPr>
        <w:t>1</w:t>
      </w:r>
      <w:bookmarkStart w:id="468" w:name="_Toc312678026"/>
      <w:bookmarkStart w:id="469" w:name="_Toc296891234"/>
      <w:bookmarkStart w:id="470" w:name="_Toc292559399"/>
      <w:bookmarkStart w:id="471" w:name="_Toc297216200"/>
      <w:bookmarkStart w:id="472" w:name="_Toc292559904"/>
      <w:bookmarkStart w:id="473" w:name="_Toc304295567"/>
      <w:bookmarkStart w:id="474" w:name="_Toc296891022"/>
      <w:bookmarkStart w:id="475" w:name="_Toc312677500"/>
      <w:bookmarkStart w:id="476" w:name="_Toc300934990"/>
      <w:bookmarkStart w:id="477" w:name="_Toc297048380"/>
      <w:bookmarkStart w:id="478" w:name="_Toc296944533"/>
      <w:bookmarkStart w:id="479" w:name="_Toc296346695"/>
      <w:bookmarkStart w:id="480" w:name="_Toc303539147"/>
      <w:bookmarkStart w:id="481" w:name="_Toc297120494"/>
      <w:bookmarkStart w:id="482" w:name="_Toc297123541"/>
      <w:bookmarkStart w:id="483" w:name="_Toc296347193"/>
      <w:bookmarkStart w:id="484" w:name="_Toc296503194"/>
      <w:r>
        <w:rPr>
          <w:rFonts w:ascii="宋体" w:hAnsi="宋体"/>
          <w:color w:val="auto"/>
          <w:szCs w:val="21"/>
          <w:highlight w:val="none"/>
        </w:rPr>
        <w:t>0.1变更的范围</w:t>
      </w:r>
    </w:p>
    <w:p w14:paraId="0E157BDC">
      <w:pPr>
        <w:spacing w:line="480" w:lineRule="exact"/>
        <w:rPr>
          <w:rFonts w:ascii="宋体" w:hAnsi="宋体"/>
          <w:color w:val="auto"/>
          <w:szCs w:val="21"/>
          <w:highlight w:val="none"/>
        </w:rPr>
      </w:pPr>
      <w:r>
        <w:rPr>
          <w:rFonts w:ascii="宋体" w:hAnsi="宋体"/>
          <w:color w:val="auto"/>
          <w:szCs w:val="21"/>
          <w:highlight w:val="none"/>
        </w:rPr>
        <w:t>关于变更的范围的约定：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5FA4ACF5">
      <w:pPr>
        <w:spacing w:line="480" w:lineRule="exact"/>
        <w:rPr>
          <w:rFonts w:ascii="宋体" w:hAnsi="宋体"/>
          <w:color w:val="auto"/>
          <w:szCs w:val="21"/>
          <w:highlight w:val="none"/>
        </w:rPr>
      </w:pPr>
      <w:r>
        <w:rPr>
          <w:rFonts w:ascii="宋体" w:hAnsi="宋体"/>
          <w:color w:val="auto"/>
          <w:szCs w:val="21"/>
          <w:highlight w:val="none"/>
        </w:rPr>
        <w:t>10.4 变更估价</w:t>
      </w:r>
    </w:p>
    <w:p w14:paraId="06026276">
      <w:pPr>
        <w:spacing w:line="480" w:lineRule="exact"/>
        <w:rPr>
          <w:rFonts w:hint="eastAsia" w:ascii="宋体" w:hAnsi="宋体"/>
          <w:color w:val="auto"/>
          <w:szCs w:val="21"/>
          <w:highlight w:val="none"/>
        </w:rPr>
      </w:pPr>
      <w:r>
        <w:rPr>
          <w:rFonts w:hint="eastAsia" w:ascii="宋体" w:hAnsi="宋体"/>
          <w:color w:val="auto"/>
          <w:szCs w:val="21"/>
          <w:highlight w:val="none"/>
        </w:rPr>
        <w:t>10.4.1 变更估价原则</w:t>
      </w:r>
    </w:p>
    <w:p w14:paraId="2B7D7A86">
      <w:pPr>
        <w:spacing w:line="480" w:lineRule="exact"/>
        <w:rPr>
          <w:rFonts w:ascii="宋体" w:hAnsi="宋体"/>
          <w:color w:val="auto"/>
          <w:szCs w:val="21"/>
          <w:highlight w:val="none"/>
          <w:u w:val="single"/>
        </w:rPr>
      </w:pPr>
      <w:r>
        <w:rPr>
          <w:rFonts w:ascii="宋体" w:hAnsi="宋体"/>
          <w:color w:val="auto"/>
          <w:szCs w:val="21"/>
          <w:highlight w:val="none"/>
        </w:rPr>
        <w:t xml:space="preserve">关于变更估价的约定: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EF0AE84">
      <w:pPr>
        <w:spacing w:line="480" w:lineRule="exact"/>
        <w:rPr>
          <w:rFonts w:ascii="宋体" w:hAnsi="宋体"/>
          <w:color w:val="auto"/>
          <w:szCs w:val="21"/>
          <w:highlight w:val="none"/>
        </w:rPr>
      </w:pPr>
      <w:r>
        <w:rPr>
          <w:rFonts w:ascii="宋体" w:hAnsi="宋体"/>
          <w:color w:val="auto"/>
          <w:szCs w:val="21"/>
          <w:highlight w:val="none"/>
        </w:rPr>
        <w:t>1</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Start w:id="485" w:name="_Toc297120497"/>
      <w:bookmarkStart w:id="486" w:name="_Toc296891025"/>
      <w:bookmarkStart w:id="487" w:name="_Toc292559402"/>
      <w:bookmarkStart w:id="488" w:name="_Toc297123544"/>
      <w:bookmarkStart w:id="489" w:name="_Toc296347196"/>
      <w:bookmarkStart w:id="490" w:name="_Toc297048383"/>
      <w:bookmarkStart w:id="491" w:name="_Toc297216203"/>
      <w:bookmarkStart w:id="492" w:name="_Toc303539150"/>
      <w:bookmarkStart w:id="493" w:name="_Toc296944536"/>
      <w:bookmarkStart w:id="494" w:name="_Toc296891237"/>
      <w:bookmarkStart w:id="495" w:name="_Toc296503197"/>
      <w:bookmarkStart w:id="496" w:name="_Toc300934993"/>
      <w:bookmarkStart w:id="497" w:name="_Toc296346698"/>
      <w:bookmarkStart w:id="498" w:name="_Toc292559907"/>
      <w:bookmarkStart w:id="499" w:name="_Toc312678029"/>
      <w:bookmarkStart w:id="500" w:name="_Toc312677503"/>
      <w:bookmarkStart w:id="501" w:name="_Toc304295570"/>
      <w:r>
        <w:rPr>
          <w:rFonts w:ascii="宋体" w:hAnsi="宋体"/>
          <w:color w:val="auto"/>
          <w:szCs w:val="21"/>
          <w:highlight w:val="none"/>
        </w:rPr>
        <w:t>0.5承</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Start w:id="502" w:name="_Toc297216204"/>
      <w:bookmarkStart w:id="503" w:name="_Toc292559913"/>
      <w:bookmarkStart w:id="504" w:name="_Toc296346704"/>
      <w:bookmarkStart w:id="505" w:name="_Toc297120503"/>
      <w:bookmarkStart w:id="506" w:name="_Toc296891243"/>
      <w:bookmarkStart w:id="507" w:name="_Toc296944542"/>
      <w:bookmarkStart w:id="508" w:name="_Toc297048389"/>
      <w:bookmarkStart w:id="509" w:name="_Toc296503203"/>
      <w:bookmarkStart w:id="510" w:name="_Toc297123545"/>
      <w:bookmarkStart w:id="511" w:name="_Toc296891031"/>
      <w:bookmarkStart w:id="512" w:name="_Toc300934994"/>
      <w:bookmarkStart w:id="513" w:name="_Toc296347202"/>
      <w:bookmarkStart w:id="514" w:name="_Toc303539151"/>
      <w:bookmarkStart w:id="515" w:name="_Toc292559408"/>
      <w:r>
        <w:rPr>
          <w:rFonts w:ascii="宋体" w:hAnsi="宋体"/>
          <w:color w:val="auto"/>
          <w:szCs w:val="21"/>
          <w:highlight w:val="none"/>
        </w:rPr>
        <w:t>包人的合理化建议</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14:paraId="3F02D791">
      <w:pPr>
        <w:spacing w:line="480" w:lineRule="exact"/>
        <w:rPr>
          <w:rFonts w:ascii="宋体" w:hAnsi="宋体"/>
          <w:color w:val="auto"/>
          <w:szCs w:val="21"/>
          <w:highlight w:val="none"/>
        </w:rPr>
      </w:pPr>
      <w:r>
        <w:rPr>
          <w:rFonts w:ascii="宋体" w:hAnsi="宋体"/>
          <w:color w:val="auto"/>
          <w:szCs w:val="21"/>
          <w:highlight w:val="none"/>
        </w:rPr>
        <w:t>监理人审查承包人合理化建议的期限：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2DF764F">
      <w:pPr>
        <w:spacing w:line="480" w:lineRule="exact"/>
        <w:rPr>
          <w:rFonts w:ascii="宋体" w:hAnsi="宋体"/>
          <w:color w:val="auto"/>
          <w:szCs w:val="21"/>
          <w:highlight w:val="none"/>
        </w:rPr>
      </w:pPr>
      <w:r>
        <w:rPr>
          <w:rFonts w:ascii="宋体" w:hAnsi="宋体"/>
          <w:color w:val="auto"/>
          <w:szCs w:val="21"/>
          <w:highlight w:val="none"/>
        </w:rPr>
        <w:t>发包人审批承包人合理化建议的期限：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EDFAA95">
      <w:pPr>
        <w:spacing w:line="480" w:lineRule="exact"/>
        <w:rPr>
          <w:rFonts w:ascii="宋体" w:hAnsi="宋体"/>
          <w:color w:val="auto"/>
          <w:szCs w:val="21"/>
          <w:highlight w:val="none"/>
          <w:u w:val="single"/>
        </w:rPr>
      </w:pPr>
      <w:r>
        <w:rPr>
          <w:rFonts w:ascii="宋体" w:hAnsi="宋体"/>
          <w:color w:val="auto"/>
          <w:szCs w:val="21"/>
          <w:highlight w:val="none"/>
        </w:rPr>
        <w:t>承</w:t>
      </w:r>
      <w:bookmarkStart w:id="516" w:name="_Toc296891244"/>
      <w:bookmarkStart w:id="517" w:name="_Toc303539152"/>
      <w:bookmarkStart w:id="518" w:name="_Toc296944543"/>
      <w:bookmarkStart w:id="519" w:name="_Toc296891032"/>
      <w:bookmarkStart w:id="520" w:name="_Toc292559914"/>
      <w:bookmarkStart w:id="521" w:name="_Toc296346705"/>
      <w:bookmarkStart w:id="522" w:name="_Toc312677504"/>
      <w:bookmarkStart w:id="523" w:name="_Toc304295571"/>
      <w:bookmarkStart w:id="524" w:name="_Toc297120504"/>
      <w:bookmarkStart w:id="525" w:name="_Toc296503204"/>
      <w:bookmarkStart w:id="526" w:name="_Toc297048390"/>
      <w:bookmarkStart w:id="527" w:name="_Toc318581175"/>
      <w:bookmarkStart w:id="528" w:name="_Toc300934995"/>
      <w:bookmarkStart w:id="529" w:name="_Toc297216205"/>
      <w:bookmarkStart w:id="530" w:name="_Toc292559409"/>
      <w:bookmarkStart w:id="531" w:name="_Toc312678030"/>
      <w:bookmarkStart w:id="532" w:name="_Toc297123546"/>
      <w:bookmarkStart w:id="533" w:name="_Toc296347203"/>
      <w:r>
        <w:rPr>
          <w:rFonts w:ascii="宋体" w:hAnsi="宋体"/>
          <w:color w:val="auto"/>
          <w:szCs w:val="21"/>
          <w:highlight w:val="none"/>
        </w:rPr>
        <w:t>包人提出的合理化建议降低了合同价格或者提高了工程经济效益的奖励的方法和金额为：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14:paraId="16A4C797">
      <w:pPr>
        <w:spacing w:line="480" w:lineRule="exact"/>
        <w:rPr>
          <w:rFonts w:ascii="宋体" w:hAnsi="宋体"/>
          <w:color w:val="auto"/>
          <w:szCs w:val="21"/>
          <w:highlight w:val="none"/>
        </w:rPr>
      </w:pPr>
      <w:r>
        <w:rPr>
          <w:rFonts w:ascii="宋体" w:hAnsi="宋体"/>
          <w:color w:val="auto"/>
          <w:szCs w:val="21"/>
          <w:highlight w:val="none"/>
        </w:rPr>
        <w:t>1</w:t>
      </w:r>
      <w:bookmarkStart w:id="534" w:name="_Toc296944538"/>
      <w:bookmarkStart w:id="535" w:name="_Toc297216207"/>
      <w:bookmarkStart w:id="536" w:name="_Toc303539154"/>
      <w:bookmarkStart w:id="537" w:name="_Toc297123548"/>
      <w:bookmarkStart w:id="538" w:name="_Toc297048385"/>
      <w:bookmarkStart w:id="539" w:name="_Toc292559909"/>
      <w:bookmarkStart w:id="540" w:name="_Toc296346700"/>
      <w:bookmarkStart w:id="541" w:name="_Toc296503199"/>
      <w:bookmarkStart w:id="542" w:name="_Toc304295574"/>
      <w:bookmarkStart w:id="543" w:name="_Toc300934997"/>
      <w:bookmarkStart w:id="544" w:name="_Toc312677507"/>
      <w:bookmarkStart w:id="545" w:name="_Toc292559404"/>
      <w:bookmarkStart w:id="546" w:name="_Toc296891239"/>
      <w:bookmarkStart w:id="547" w:name="_Toc296891027"/>
      <w:bookmarkStart w:id="548" w:name="_Toc312678033"/>
      <w:bookmarkStart w:id="549" w:name="_Toc296347198"/>
      <w:bookmarkStart w:id="550" w:name="_Toc297120499"/>
      <w:r>
        <w:rPr>
          <w:rFonts w:ascii="宋体" w:hAnsi="宋体"/>
          <w:color w:val="auto"/>
          <w:szCs w:val="21"/>
          <w:highlight w:val="none"/>
        </w:rPr>
        <w:t>0.7 暂估价</w:t>
      </w:r>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63923AD8">
      <w:pPr>
        <w:spacing w:line="480" w:lineRule="exact"/>
        <w:rPr>
          <w:rFonts w:ascii="宋体" w:hAnsi="宋体"/>
          <w:color w:val="auto"/>
          <w:szCs w:val="21"/>
          <w:highlight w:val="none"/>
        </w:rPr>
      </w:pPr>
      <w:r>
        <w:rPr>
          <w:rFonts w:ascii="宋体" w:hAnsi="宋体"/>
          <w:color w:val="auto"/>
          <w:kern w:val="0"/>
          <w:szCs w:val="21"/>
          <w:highlight w:val="none"/>
        </w:rPr>
        <w:t>暂</w:t>
      </w:r>
      <w:bookmarkStart w:id="551" w:name="_Toc318581176"/>
      <w:bookmarkStart w:id="552" w:name="_Toc312677508"/>
      <w:bookmarkStart w:id="553" w:name="_Toc312678034"/>
      <w:r>
        <w:rPr>
          <w:rFonts w:ascii="宋体" w:hAnsi="宋体"/>
          <w:color w:val="auto"/>
          <w:kern w:val="0"/>
          <w:szCs w:val="21"/>
          <w:highlight w:val="none"/>
        </w:rPr>
        <w:t>估价材料和工程设备的明细详见附件</w:t>
      </w:r>
      <w:r>
        <w:rPr>
          <w:rFonts w:hint="eastAsia" w:ascii="宋体" w:hAnsi="宋体"/>
          <w:color w:val="auto"/>
          <w:kern w:val="0"/>
          <w:szCs w:val="21"/>
          <w:highlight w:val="none"/>
        </w:rPr>
        <w:t>11：《</w:t>
      </w:r>
      <w:r>
        <w:rPr>
          <w:rFonts w:ascii="宋体" w:hAnsi="宋体"/>
          <w:color w:val="auto"/>
          <w:szCs w:val="21"/>
          <w:highlight w:val="none"/>
        </w:rPr>
        <w:t>暂估价一览表</w:t>
      </w:r>
      <w:r>
        <w:rPr>
          <w:rFonts w:hint="eastAsia" w:ascii="宋体" w:hAnsi="宋体"/>
          <w:color w:val="auto"/>
          <w:szCs w:val="21"/>
          <w:highlight w:val="none"/>
        </w:rPr>
        <w:t>》</w:t>
      </w:r>
      <w:r>
        <w:rPr>
          <w:rFonts w:hint="eastAsia" w:ascii="宋体" w:hAnsi="宋体"/>
          <w:color w:val="auto"/>
          <w:kern w:val="0"/>
          <w:szCs w:val="21"/>
          <w:highlight w:val="none"/>
        </w:rPr>
        <w:t>。</w:t>
      </w:r>
    </w:p>
    <w:bookmarkEnd w:id="551"/>
    <w:bookmarkEnd w:id="552"/>
    <w:bookmarkEnd w:id="553"/>
    <w:p w14:paraId="4579BF44">
      <w:pPr>
        <w:spacing w:line="480" w:lineRule="exact"/>
        <w:rPr>
          <w:rFonts w:ascii="宋体" w:hAnsi="宋体"/>
          <w:color w:val="auto"/>
          <w:szCs w:val="21"/>
          <w:highlight w:val="none"/>
        </w:rPr>
      </w:pPr>
      <w:r>
        <w:rPr>
          <w:rFonts w:ascii="宋体" w:hAnsi="宋体"/>
          <w:color w:val="auto"/>
          <w:szCs w:val="21"/>
          <w:highlight w:val="none"/>
        </w:rPr>
        <w:t>1</w:t>
      </w:r>
      <w:bookmarkStart w:id="554" w:name="_Toc312678035"/>
      <w:bookmarkStart w:id="555" w:name="_Toc312677509"/>
      <w:bookmarkStart w:id="556" w:name="_Toc318581177"/>
      <w:r>
        <w:rPr>
          <w:rFonts w:ascii="宋体" w:hAnsi="宋体"/>
          <w:color w:val="auto"/>
          <w:szCs w:val="21"/>
          <w:highlight w:val="none"/>
        </w:rPr>
        <w:t>0.7.1 依法必须招标的暂估价项目</w:t>
      </w:r>
    </w:p>
    <w:bookmarkEnd w:id="554"/>
    <w:bookmarkEnd w:id="555"/>
    <w:bookmarkEnd w:id="556"/>
    <w:p w14:paraId="7E60B873">
      <w:pPr>
        <w:spacing w:line="480" w:lineRule="exact"/>
        <w:rPr>
          <w:rFonts w:ascii="宋体" w:hAnsi="宋体"/>
          <w:color w:val="auto"/>
          <w:szCs w:val="21"/>
          <w:highlight w:val="none"/>
        </w:rPr>
      </w:pPr>
      <w:r>
        <w:rPr>
          <w:rFonts w:ascii="宋体" w:hAnsi="宋体"/>
          <w:color w:val="auto"/>
          <w:szCs w:val="21"/>
          <w:highlight w:val="none"/>
        </w:rPr>
        <w:t>对于依法必须招标的暂估价项目的确认和批准采取第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种方式确定。</w:t>
      </w:r>
    </w:p>
    <w:p w14:paraId="6CF0B15A">
      <w:pPr>
        <w:spacing w:line="480" w:lineRule="exact"/>
        <w:rPr>
          <w:rFonts w:ascii="宋体" w:hAnsi="宋体"/>
          <w:color w:val="auto"/>
          <w:szCs w:val="21"/>
          <w:highlight w:val="none"/>
        </w:rPr>
      </w:pPr>
      <w:r>
        <w:rPr>
          <w:rFonts w:ascii="宋体" w:hAnsi="宋体"/>
          <w:color w:val="auto"/>
          <w:szCs w:val="21"/>
          <w:highlight w:val="none"/>
        </w:rPr>
        <w:t>10.7.2 不属于依法必须招标的暂估价项目</w:t>
      </w:r>
    </w:p>
    <w:p w14:paraId="2AD1AABD">
      <w:pPr>
        <w:spacing w:line="480" w:lineRule="exact"/>
        <w:rPr>
          <w:rFonts w:hint="eastAsia" w:ascii="宋体" w:hAnsi="宋体"/>
          <w:color w:val="auto"/>
          <w:szCs w:val="21"/>
          <w:highlight w:val="none"/>
        </w:rPr>
      </w:pPr>
      <w:r>
        <w:rPr>
          <w:rFonts w:ascii="宋体" w:hAnsi="宋体"/>
          <w:color w:val="auto"/>
          <w:szCs w:val="21"/>
          <w:highlight w:val="none"/>
        </w:rPr>
        <w:t>对于不属于依法必须招标的暂估价项目的确认和批准采取第</w:t>
      </w:r>
      <w:r>
        <w:rPr>
          <w:rFonts w:ascii="宋体" w:hAnsi="宋体"/>
          <w:color w:val="auto"/>
          <w:szCs w:val="21"/>
          <w:highlight w:val="none"/>
          <w:u w:val="single"/>
        </w:rPr>
        <w:t xml:space="preserve">   </w:t>
      </w:r>
      <w:r>
        <w:rPr>
          <w:rFonts w:ascii="宋体" w:hAnsi="宋体"/>
          <w:color w:val="auto"/>
          <w:szCs w:val="21"/>
          <w:highlight w:val="none"/>
        </w:rPr>
        <w:t xml:space="preserve"> 种方式确定。</w:t>
      </w:r>
    </w:p>
    <w:p w14:paraId="06335622">
      <w:pPr>
        <w:spacing w:line="480" w:lineRule="exact"/>
        <w:rPr>
          <w:rFonts w:ascii="宋体" w:hAnsi="宋体"/>
          <w:color w:val="auto"/>
          <w:kern w:val="0"/>
          <w:szCs w:val="21"/>
          <w:highlight w:val="none"/>
        </w:rPr>
      </w:pPr>
      <w:r>
        <w:rPr>
          <w:rFonts w:ascii="宋体" w:hAnsi="宋体"/>
          <w:color w:val="auto"/>
          <w:szCs w:val="21"/>
          <w:highlight w:val="none"/>
        </w:rPr>
        <w:t>第3种方式：</w:t>
      </w:r>
      <w:r>
        <w:rPr>
          <w:rFonts w:ascii="宋体" w:hAnsi="宋体"/>
          <w:color w:val="auto"/>
          <w:kern w:val="0"/>
          <w:szCs w:val="21"/>
          <w:highlight w:val="none"/>
        </w:rPr>
        <w:t>承包人直接实施的暂估价项目</w:t>
      </w:r>
    </w:p>
    <w:p w14:paraId="504898B3">
      <w:pPr>
        <w:spacing w:line="480" w:lineRule="exact"/>
        <w:rPr>
          <w:rFonts w:hint="eastAsia" w:ascii="宋体" w:hAnsi="宋体"/>
          <w:color w:val="auto"/>
          <w:szCs w:val="21"/>
          <w:highlight w:val="none"/>
        </w:rPr>
      </w:pPr>
      <w:r>
        <w:rPr>
          <w:rFonts w:ascii="宋体" w:hAnsi="宋体"/>
          <w:color w:val="auto"/>
          <w:szCs w:val="21"/>
          <w:highlight w:val="none"/>
        </w:rPr>
        <w:t>承包人直接实施的暂估价项目的约定：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26AE0A2">
      <w:pPr>
        <w:spacing w:line="480" w:lineRule="exact"/>
        <w:rPr>
          <w:rFonts w:ascii="宋体" w:hAnsi="宋体"/>
          <w:color w:val="auto"/>
          <w:szCs w:val="21"/>
          <w:highlight w:val="none"/>
        </w:rPr>
      </w:pPr>
      <w:r>
        <w:rPr>
          <w:rFonts w:ascii="宋体" w:hAnsi="宋体"/>
          <w:color w:val="auto"/>
          <w:szCs w:val="21"/>
          <w:highlight w:val="none"/>
        </w:rPr>
        <w:t>10.8 暂列金额</w:t>
      </w:r>
    </w:p>
    <w:p w14:paraId="78F83366">
      <w:pPr>
        <w:spacing w:line="480" w:lineRule="exact"/>
        <w:rPr>
          <w:rFonts w:ascii="宋体" w:hAnsi="宋体"/>
          <w:color w:val="auto"/>
          <w:kern w:val="0"/>
          <w:szCs w:val="21"/>
          <w:highlight w:val="none"/>
        </w:rPr>
      </w:pPr>
      <w:r>
        <w:rPr>
          <w:rFonts w:hint="eastAsia" w:ascii="宋体" w:hAnsi="宋体"/>
          <w:color w:val="auto"/>
          <w:kern w:val="0"/>
          <w:szCs w:val="21"/>
          <w:highlight w:val="none"/>
        </w:rPr>
        <w:t>合同当事人关于暂列金额使用的约定：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kern w:val="0"/>
          <w:szCs w:val="21"/>
          <w:highlight w:val="none"/>
        </w:rPr>
        <w:t>。</w:t>
      </w:r>
    </w:p>
    <w:p w14:paraId="588827BA">
      <w:pPr>
        <w:spacing w:line="480" w:lineRule="exact"/>
        <w:rPr>
          <w:rFonts w:ascii="宋体" w:hAnsi="宋体"/>
          <w:color w:val="auto"/>
          <w:szCs w:val="21"/>
          <w:highlight w:val="none"/>
        </w:rPr>
      </w:pPr>
      <w:bookmarkStart w:id="557" w:name="_Toc351203643"/>
      <w:r>
        <w:rPr>
          <w:rFonts w:ascii="宋体" w:hAnsi="宋体"/>
          <w:color w:val="auto"/>
          <w:szCs w:val="21"/>
          <w:highlight w:val="none"/>
        </w:rPr>
        <w:t>11. 价格调整</w:t>
      </w:r>
      <w:bookmarkEnd w:id="557"/>
    </w:p>
    <w:p w14:paraId="44AD1C53">
      <w:pPr>
        <w:spacing w:line="480" w:lineRule="exact"/>
        <w:rPr>
          <w:rFonts w:ascii="宋体" w:hAnsi="宋体"/>
          <w:color w:val="auto"/>
          <w:szCs w:val="21"/>
          <w:highlight w:val="none"/>
        </w:rPr>
      </w:pPr>
      <w:bookmarkStart w:id="558" w:name="_Toc304295577"/>
      <w:bookmarkStart w:id="559" w:name="_Toc292559911"/>
      <w:bookmarkStart w:id="560" w:name="_Toc296891029"/>
      <w:bookmarkStart w:id="561" w:name="_Toc297216209"/>
      <w:bookmarkStart w:id="562" w:name="_Toc296346702"/>
      <w:bookmarkStart w:id="563" w:name="_Toc297120501"/>
      <w:bookmarkStart w:id="564" w:name="_Toc296503201"/>
      <w:bookmarkStart w:id="565" w:name="_Toc297123550"/>
      <w:bookmarkStart w:id="566" w:name="_Toc292559406"/>
      <w:bookmarkStart w:id="567" w:name="_Toc297048387"/>
      <w:bookmarkStart w:id="568" w:name="_Toc303539157"/>
      <w:bookmarkStart w:id="569" w:name="_Toc296944540"/>
      <w:bookmarkStart w:id="570" w:name="_Toc300935000"/>
      <w:bookmarkStart w:id="571" w:name="_Toc296347200"/>
      <w:bookmarkStart w:id="572" w:name="_Toc296891241"/>
      <w:bookmarkStart w:id="573" w:name="_Toc312678039"/>
      <w:r>
        <w:rPr>
          <w:rFonts w:ascii="宋体" w:hAnsi="宋体"/>
          <w:color w:val="auto"/>
          <w:szCs w:val="21"/>
          <w:highlight w:val="none"/>
        </w:rPr>
        <w:t>11.1 市场价格波动引起的调整</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14:paraId="7AA0BFEB">
      <w:pPr>
        <w:spacing w:line="480" w:lineRule="exact"/>
        <w:rPr>
          <w:rFonts w:ascii="宋体" w:hAnsi="宋体"/>
          <w:color w:val="auto"/>
          <w:szCs w:val="21"/>
          <w:highlight w:val="none"/>
        </w:rPr>
      </w:pPr>
      <w:r>
        <w:rPr>
          <w:rFonts w:ascii="宋体" w:hAnsi="宋体"/>
          <w:color w:val="auto"/>
          <w:kern w:val="0"/>
          <w:szCs w:val="21"/>
          <w:highlight w:val="none"/>
        </w:rPr>
        <w:t>市场价格波动是否调整合同价格的约定：</w:t>
      </w:r>
      <w:r>
        <w:rPr>
          <w:rFonts w:ascii="宋体" w:hAnsi="宋体"/>
          <w:color w:val="auto"/>
          <w:szCs w:val="21"/>
          <w:highlight w:val="none"/>
          <w:u w:val="single"/>
        </w:rPr>
        <w:t xml:space="preserve">                 </w:t>
      </w:r>
      <w:r>
        <w:rPr>
          <w:rFonts w:ascii="宋体" w:hAnsi="宋体"/>
          <w:color w:val="auto"/>
          <w:szCs w:val="21"/>
          <w:highlight w:val="none"/>
        </w:rPr>
        <w:t>。</w:t>
      </w:r>
    </w:p>
    <w:p w14:paraId="41F669BF">
      <w:pPr>
        <w:spacing w:line="480" w:lineRule="exact"/>
        <w:rPr>
          <w:rFonts w:ascii="宋体" w:hAnsi="宋体"/>
          <w:color w:val="auto"/>
          <w:szCs w:val="21"/>
          <w:highlight w:val="none"/>
        </w:rPr>
      </w:pPr>
      <w:r>
        <w:rPr>
          <w:rFonts w:ascii="宋体" w:hAnsi="宋体"/>
          <w:color w:val="auto"/>
          <w:szCs w:val="21"/>
          <w:highlight w:val="none"/>
        </w:rPr>
        <w:t>因市场价格波动调整合同价格，采用以下第</w:t>
      </w:r>
      <w:r>
        <w:rPr>
          <w:rFonts w:ascii="宋体" w:hAnsi="宋体"/>
          <w:color w:val="auto"/>
          <w:szCs w:val="21"/>
          <w:highlight w:val="none"/>
          <w:u w:val="single"/>
        </w:rPr>
        <w:t xml:space="preserve">    </w:t>
      </w:r>
      <w:r>
        <w:rPr>
          <w:rFonts w:ascii="宋体" w:hAnsi="宋体"/>
          <w:color w:val="auto"/>
          <w:szCs w:val="21"/>
          <w:highlight w:val="none"/>
        </w:rPr>
        <w:t>种方式对合同价格进行调整：</w:t>
      </w:r>
    </w:p>
    <w:p w14:paraId="2E7A0072">
      <w:pPr>
        <w:spacing w:line="480" w:lineRule="exact"/>
        <w:rPr>
          <w:rFonts w:ascii="宋体" w:hAnsi="宋体"/>
          <w:color w:val="auto"/>
          <w:szCs w:val="21"/>
          <w:highlight w:val="none"/>
        </w:rPr>
      </w:pPr>
      <w:r>
        <w:rPr>
          <w:rFonts w:ascii="宋体" w:hAnsi="宋体"/>
          <w:color w:val="auto"/>
          <w:szCs w:val="21"/>
          <w:highlight w:val="none"/>
        </w:rPr>
        <w:t>第1种方式：采用价格指数</w:t>
      </w:r>
      <w:r>
        <w:rPr>
          <w:rFonts w:hint="eastAsia" w:ascii="宋体" w:hAnsi="宋体"/>
          <w:color w:val="auto"/>
          <w:szCs w:val="21"/>
          <w:highlight w:val="none"/>
        </w:rPr>
        <w:t>进行价格</w:t>
      </w:r>
      <w:r>
        <w:rPr>
          <w:rFonts w:ascii="宋体" w:hAnsi="宋体"/>
          <w:color w:val="auto"/>
          <w:szCs w:val="21"/>
          <w:highlight w:val="none"/>
        </w:rPr>
        <w:t>调整。</w:t>
      </w:r>
    </w:p>
    <w:p w14:paraId="6B85CA1A">
      <w:pPr>
        <w:spacing w:line="480" w:lineRule="exact"/>
        <w:rPr>
          <w:rFonts w:ascii="宋体" w:hAnsi="宋体"/>
          <w:color w:val="auto"/>
          <w:szCs w:val="21"/>
          <w:highlight w:val="none"/>
          <w:u w:val="single"/>
        </w:rPr>
      </w:pPr>
      <w:r>
        <w:rPr>
          <w:rFonts w:ascii="宋体" w:hAnsi="宋体"/>
          <w:color w:val="auto"/>
          <w:szCs w:val="21"/>
          <w:highlight w:val="none"/>
        </w:rPr>
        <w:t>关于各可调因子、定值和变值权重，以及基本价格指数及其来源的约定：</w:t>
      </w:r>
      <w:r>
        <w:rPr>
          <w:rFonts w:ascii="宋体" w:hAnsi="宋体"/>
          <w:color w:val="auto"/>
          <w:szCs w:val="21"/>
          <w:highlight w:val="none"/>
          <w:u w:val="single"/>
        </w:rPr>
        <w:t xml:space="preserve">       </w:t>
      </w:r>
      <w:r>
        <w:rPr>
          <w:rFonts w:ascii="宋体" w:hAnsi="宋体"/>
          <w:color w:val="auto"/>
          <w:szCs w:val="21"/>
          <w:highlight w:val="none"/>
        </w:rPr>
        <w:t>；</w:t>
      </w:r>
    </w:p>
    <w:p w14:paraId="75C8160E">
      <w:pPr>
        <w:spacing w:line="480" w:lineRule="exact"/>
        <w:rPr>
          <w:rFonts w:ascii="宋体" w:hAnsi="宋体"/>
          <w:color w:val="auto"/>
          <w:szCs w:val="21"/>
          <w:highlight w:val="none"/>
        </w:rPr>
      </w:pPr>
      <w:r>
        <w:rPr>
          <w:rFonts w:ascii="宋体" w:hAnsi="宋体"/>
          <w:color w:val="auto"/>
          <w:szCs w:val="21"/>
          <w:highlight w:val="none"/>
        </w:rPr>
        <w:t>第2种方式：采用造价信息</w:t>
      </w:r>
      <w:r>
        <w:rPr>
          <w:rFonts w:hint="eastAsia" w:ascii="宋体" w:hAnsi="宋体"/>
          <w:color w:val="auto"/>
          <w:szCs w:val="21"/>
          <w:highlight w:val="none"/>
        </w:rPr>
        <w:t>进行价格</w:t>
      </w:r>
      <w:r>
        <w:rPr>
          <w:rFonts w:ascii="宋体" w:hAnsi="宋体"/>
          <w:color w:val="auto"/>
          <w:szCs w:val="21"/>
          <w:highlight w:val="none"/>
        </w:rPr>
        <w:t>调整。</w:t>
      </w:r>
    </w:p>
    <w:p w14:paraId="769010C8">
      <w:pPr>
        <w:spacing w:line="480" w:lineRule="exact"/>
        <w:rPr>
          <w:rFonts w:ascii="宋体" w:hAnsi="宋体"/>
          <w:color w:val="auto"/>
          <w:szCs w:val="21"/>
          <w:highlight w:val="none"/>
        </w:rPr>
      </w:pPr>
      <w:r>
        <w:rPr>
          <w:rFonts w:ascii="宋体" w:hAnsi="宋体"/>
          <w:color w:val="auto"/>
          <w:szCs w:val="21"/>
          <w:highlight w:val="none"/>
        </w:rPr>
        <w:t>（2）关于基准价格的约定：</w:t>
      </w:r>
      <w:r>
        <w:rPr>
          <w:rFonts w:ascii="宋体" w:hAnsi="宋体"/>
          <w:color w:val="auto"/>
          <w:szCs w:val="21"/>
          <w:highlight w:val="none"/>
          <w:u w:val="single"/>
        </w:rPr>
        <w:t xml:space="preserve">                         </w:t>
      </w:r>
      <w:r>
        <w:rPr>
          <w:rFonts w:ascii="宋体" w:hAnsi="宋体"/>
          <w:color w:val="auto"/>
          <w:szCs w:val="21"/>
          <w:highlight w:val="none"/>
        </w:rPr>
        <w:t>。</w:t>
      </w:r>
    </w:p>
    <w:p w14:paraId="4B6926F8">
      <w:pPr>
        <w:spacing w:line="480" w:lineRule="exact"/>
        <w:rPr>
          <w:rFonts w:ascii="宋体" w:hAnsi="宋体"/>
          <w:color w:val="auto"/>
          <w:szCs w:val="21"/>
          <w:highlight w:val="none"/>
        </w:rPr>
      </w:pPr>
      <w:r>
        <w:rPr>
          <w:rFonts w:ascii="宋体" w:hAnsi="宋体"/>
          <w:color w:val="auto"/>
          <w:szCs w:val="21"/>
          <w:highlight w:val="none"/>
        </w:rPr>
        <w:t>专用合同条款</w:t>
      </w:r>
      <w:r>
        <w:rPr>
          <w:rFonts w:hint="eastAsia" w:ascii="宋体" w:hAnsi="宋体" w:cs="宋体"/>
          <w:color w:val="auto"/>
          <w:szCs w:val="21"/>
          <w:highlight w:val="none"/>
        </w:rPr>
        <w:t>①</w:t>
      </w:r>
      <w:r>
        <w:rPr>
          <w:rFonts w:ascii="宋体" w:hAnsi="宋体"/>
          <w:color w:val="auto"/>
          <w:szCs w:val="21"/>
          <w:highlight w:val="none"/>
        </w:rPr>
        <w:t>承包人在已标价工程量清单或预算书中载明的材料单价低于基准价格的：专用合同条款合同履行期间材料单价涨幅以基准价格为基础超过</w:t>
      </w:r>
      <w:r>
        <w:rPr>
          <w:rFonts w:ascii="宋体" w:hAnsi="宋体"/>
          <w:color w:val="auto"/>
          <w:szCs w:val="21"/>
          <w:highlight w:val="none"/>
          <w:u w:val="single"/>
        </w:rPr>
        <w:t xml:space="preserve">   </w:t>
      </w:r>
      <w:r>
        <w:rPr>
          <w:rFonts w:ascii="宋体" w:hAnsi="宋体"/>
          <w:color w:val="auto"/>
          <w:szCs w:val="21"/>
          <w:highlight w:val="none"/>
        </w:rPr>
        <w:t>%时，或材料单价跌幅以已标价工程量清单或预算书中载明材料单价为基础超过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14:paraId="1F25D71A">
      <w:pPr>
        <w:spacing w:line="480" w:lineRule="exact"/>
        <w:rPr>
          <w:rFonts w:ascii="宋体" w:hAnsi="宋体"/>
          <w:color w:val="auto"/>
          <w:szCs w:val="21"/>
          <w:highlight w:val="none"/>
        </w:rPr>
      </w:pPr>
      <w:r>
        <w:rPr>
          <w:rFonts w:hint="eastAsia" w:ascii="宋体" w:hAnsi="宋体" w:cs="宋体"/>
          <w:color w:val="auto"/>
          <w:szCs w:val="21"/>
          <w:highlight w:val="none"/>
        </w:rPr>
        <w:t>②</w:t>
      </w:r>
      <w:r>
        <w:rPr>
          <w:rFonts w:ascii="宋体" w:hAnsi="宋体"/>
          <w:color w:val="auto"/>
          <w:szCs w:val="21"/>
          <w:highlight w:val="none"/>
        </w:rPr>
        <w:t>承包人在已标价工程量清单或预算书中载明的材料单价高于基准价格的：专用合同条款合同履行期间材料单价跌幅以基准价格为基础超过</w:t>
      </w:r>
      <w:r>
        <w:rPr>
          <w:rFonts w:ascii="宋体" w:hAnsi="宋体"/>
          <w:color w:val="auto"/>
          <w:szCs w:val="21"/>
          <w:highlight w:val="none"/>
          <w:u w:val="single"/>
        </w:rPr>
        <w:t xml:space="preserve">   </w:t>
      </w:r>
      <w:r>
        <w:rPr>
          <w:rFonts w:ascii="宋体" w:hAnsi="宋体"/>
          <w:color w:val="auto"/>
          <w:szCs w:val="21"/>
          <w:highlight w:val="none"/>
        </w:rPr>
        <w:t>%时，材料单价涨幅以已标价工程量清单或预算书中载明材料单价为基础超过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14:paraId="7ABDDF72">
      <w:pPr>
        <w:spacing w:line="480" w:lineRule="exact"/>
        <w:rPr>
          <w:rFonts w:ascii="宋体" w:hAnsi="宋体"/>
          <w:color w:val="auto"/>
          <w:szCs w:val="21"/>
          <w:highlight w:val="none"/>
        </w:rPr>
      </w:pPr>
      <w:r>
        <w:rPr>
          <w:rFonts w:hint="eastAsia" w:ascii="宋体" w:hAnsi="宋体" w:cs="宋体"/>
          <w:color w:val="auto"/>
          <w:szCs w:val="21"/>
          <w:highlight w:val="none"/>
        </w:rPr>
        <w:t>③</w:t>
      </w:r>
      <w:r>
        <w:rPr>
          <w:rFonts w:ascii="宋体" w:hAnsi="宋体"/>
          <w:color w:val="auto"/>
          <w:szCs w:val="21"/>
          <w:highlight w:val="none"/>
        </w:rPr>
        <w:t>承包人在已标价工程量清单或预算书中载明的材料单价等于基准单价的：专用合同条款合同履行期间材料单价涨跌幅以基准单价为基础超过±</w:t>
      </w:r>
      <w:r>
        <w:rPr>
          <w:rFonts w:ascii="宋体" w:hAnsi="宋体"/>
          <w:color w:val="auto"/>
          <w:szCs w:val="21"/>
          <w:highlight w:val="none"/>
          <w:u w:val="single"/>
        </w:rPr>
        <w:t xml:space="preserve">   </w:t>
      </w:r>
      <w:r>
        <w:rPr>
          <w:rFonts w:ascii="宋体" w:hAnsi="宋体"/>
          <w:color w:val="auto"/>
          <w:szCs w:val="21"/>
          <w:highlight w:val="none"/>
        </w:rPr>
        <w:t>%时，其超过部分据实调整。</w:t>
      </w:r>
    </w:p>
    <w:p w14:paraId="6330C1B6">
      <w:pPr>
        <w:spacing w:line="480" w:lineRule="exact"/>
        <w:rPr>
          <w:rFonts w:ascii="宋体" w:hAnsi="宋体"/>
          <w:color w:val="auto"/>
          <w:szCs w:val="21"/>
          <w:highlight w:val="none"/>
        </w:rPr>
      </w:pPr>
      <w:r>
        <w:rPr>
          <w:rFonts w:ascii="宋体" w:hAnsi="宋体"/>
          <w:color w:val="auto"/>
          <w:szCs w:val="21"/>
          <w:highlight w:val="none"/>
        </w:rPr>
        <w:t>第3种方式：其他价格调整方式：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461"/>
    <w:bookmarkEnd w:id="462"/>
    <w:bookmarkEnd w:id="463"/>
    <w:bookmarkEnd w:id="464"/>
    <w:bookmarkEnd w:id="465"/>
    <w:bookmarkEnd w:id="466"/>
    <w:p w14:paraId="58F8F0B0">
      <w:pPr>
        <w:spacing w:line="480" w:lineRule="exact"/>
        <w:rPr>
          <w:rFonts w:ascii="宋体" w:hAnsi="宋体"/>
          <w:color w:val="auto"/>
          <w:szCs w:val="21"/>
          <w:highlight w:val="none"/>
        </w:rPr>
      </w:pPr>
      <w:bookmarkStart w:id="574" w:name="_Toc292559410"/>
      <w:bookmarkStart w:id="575" w:name="_Toc292559915"/>
      <w:bookmarkStart w:id="576" w:name="_Toc296347204"/>
      <w:bookmarkStart w:id="577" w:name="_Toc297048391"/>
      <w:bookmarkStart w:id="578" w:name="_Toc297120505"/>
      <w:bookmarkStart w:id="579" w:name="_Toc296944544"/>
      <w:bookmarkStart w:id="580" w:name="_Toc296503205"/>
      <w:bookmarkStart w:id="581" w:name="_Toc296891033"/>
      <w:bookmarkStart w:id="582" w:name="_Toc296346706"/>
      <w:bookmarkStart w:id="583" w:name="_Toc296891245"/>
      <w:bookmarkStart w:id="584" w:name="_Toc351203644"/>
      <w:bookmarkStart w:id="585" w:name="_Toc312678040"/>
      <w:bookmarkStart w:id="586" w:name="_Toc297216211"/>
      <w:bookmarkStart w:id="587" w:name="_Toc300935002"/>
      <w:bookmarkStart w:id="588" w:name="_Toc303539159"/>
      <w:bookmarkStart w:id="589" w:name="_Toc297123552"/>
      <w:bookmarkStart w:id="590" w:name="_Toc304295579"/>
      <w:r>
        <w:rPr>
          <w:rFonts w:ascii="宋体" w:hAnsi="宋体"/>
          <w:color w:val="auto"/>
          <w:szCs w:val="21"/>
          <w:highlight w:val="none"/>
        </w:rPr>
        <w:t xml:space="preserve">12. </w:t>
      </w:r>
      <w:bookmarkEnd w:id="574"/>
      <w:bookmarkEnd w:id="575"/>
      <w:bookmarkEnd w:id="576"/>
      <w:bookmarkEnd w:id="577"/>
      <w:bookmarkEnd w:id="578"/>
      <w:bookmarkEnd w:id="579"/>
      <w:bookmarkEnd w:id="580"/>
      <w:bookmarkEnd w:id="581"/>
      <w:bookmarkEnd w:id="582"/>
      <w:bookmarkEnd w:id="583"/>
      <w:r>
        <w:rPr>
          <w:rFonts w:ascii="宋体" w:hAnsi="宋体"/>
          <w:color w:val="auto"/>
          <w:szCs w:val="21"/>
          <w:highlight w:val="none"/>
        </w:rPr>
        <w:t>合同价格、计量与支付</w:t>
      </w:r>
      <w:bookmarkEnd w:id="584"/>
    </w:p>
    <w:bookmarkEnd w:id="585"/>
    <w:bookmarkEnd w:id="586"/>
    <w:bookmarkEnd w:id="587"/>
    <w:bookmarkEnd w:id="588"/>
    <w:bookmarkEnd w:id="589"/>
    <w:bookmarkEnd w:id="590"/>
    <w:p w14:paraId="3FFA9AF0">
      <w:pPr>
        <w:spacing w:line="480" w:lineRule="exact"/>
        <w:rPr>
          <w:rFonts w:ascii="宋体" w:hAnsi="宋体"/>
          <w:color w:val="auto"/>
          <w:szCs w:val="21"/>
          <w:highlight w:val="none"/>
        </w:rPr>
      </w:pPr>
      <w:bookmarkStart w:id="591" w:name="_Toc292559411"/>
      <w:bookmarkStart w:id="592" w:name="_Toc267251461"/>
      <w:bookmarkStart w:id="593" w:name="_Toc292559916"/>
      <w:bookmarkStart w:id="594" w:name="_Toc297120506"/>
      <w:bookmarkStart w:id="595" w:name="_Toc296944545"/>
      <w:bookmarkStart w:id="596" w:name="_Toc296891034"/>
      <w:bookmarkStart w:id="597" w:name="_Toc297048392"/>
      <w:bookmarkStart w:id="598" w:name="_Toc296347205"/>
      <w:bookmarkStart w:id="599" w:name="_Toc296346707"/>
      <w:bookmarkStart w:id="600" w:name="_Toc296503206"/>
      <w:bookmarkStart w:id="601" w:name="_Toc296891246"/>
      <w:bookmarkStart w:id="602" w:name="_Toc297123553"/>
      <w:bookmarkStart w:id="603" w:name="_Toc304295580"/>
      <w:bookmarkStart w:id="604" w:name="_Toc312678041"/>
      <w:bookmarkStart w:id="605" w:name="_Toc303539160"/>
      <w:bookmarkStart w:id="606" w:name="_Toc300935003"/>
      <w:bookmarkStart w:id="607" w:name="_Toc297216212"/>
      <w:r>
        <w:rPr>
          <w:rFonts w:ascii="宋体" w:hAnsi="宋体"/>
          <w:color w:val="auto"/>
          <w:szCs w:val="21"/>
          <w:highlight w:val="none"/>
        </w:rPr>
        <w:t>12.1 合</w:t>
      </w:r>
      <w:bookmarkEnd w:id="591"/>
      <w:bookmarkEnd w:id="592"/>
      <w:bookmarkEnd w:id="593"/>
      <w:r>
        <w:rPr>
          <w:rFonts w:ascii="宋体" w:hAnsi="宋体"/>
          <w:color w:val="auto"/>
          <w:szCs w:val="21"/>
          <w:highlight w:val="none"/>
        </w:rPr>
        <w:t>同价</w:t>
      </w:r>
      <w:bookmarkEnd w:id="594"/>
      <w:bookmarkEnd w:id="595"/>
      <w:bookmarkEnd w:id="596"/>
      <w:bookmarkEnd w:id="597"/>
      <w:bookmarkEnd w:id="598"/>
      <w:bookmarkEnd w:id="599"/>
      <w:bookmarkEnd w:id="600"/>
      <w:bookmarkEnd w:id="601"/>
      <w:r>
        <w:rPr>
          <w:rFonts w:ascii="宋体" w:hAnsi="宋体"/>
          <w:color w:val="auto"/>
          <w:szCs w:val="21"/>
          <w:highlight w:val="none"/>
        </w:rPr>
        <w:t>格形式</w:t>
      </w:r>
    </w:p>
    <w:bookmarkEnd w:id="602"/>
    <w:bookmarkEnd w:id="603"/>
    <w:bookmarkEnd w:id="604"/>
    <w:bookmarkEnd w:id="605"/>
    <w:bookmarkEnd w:id="606"/>
    <w:bookmarkEnd w:id="607"/>
    <w:p w14:paraId="5A7D3846">
      <w:pPr>
        <w:spacing w:line="480" w:lineRule="exact"/>
        <w:rPr>
          <w:rFonts w:ascii="宋体" w:hAnsi="宋体"/>
          <w:color w:val="auto"/>
          <w:szCs w:val="21"/>
          <w:highlight w:val="none"/>
        </w:rPr>
      </w:pPr>
      <w:r>
        <w:rPr>
          <w:rFonts w:ascii="宋体" w:hAnsi="宋体"/>
          <w:color w:val="auto"/>
          <w:szCs w:val="21"/>
          <w:highlight w:val="none"/>
        </w:rPr>
        <w:t>1、单价合同。</w:t>
      </w:r>
    </w:p>
    <w:p w14:paraId="111537A1">
      <w:pPr>
        <w:spacing w:line="480" w:lineRule="exact"/>
        <w:rPr>
          <w:rFonts w:ascii="宋体" w:hAnsi="宋体"/>
          <w:color w:val="auto"/>
          <w:szCs w:val="21"/>
          <w:highlight w:val="none"/>
        </w:rPr>
      </w:pPr>
      <w:r>
        <w:rPr>
          <w:rFonts w:ascii="宋体" w:hAnsi="宋体"/>
          <w:color w:val="auto"/>
          <w:szCs w:val="21"/>
          <w:highlight w:val="none"/>
        </w:rPr>
        <w:t>综合单价包含的风险范围：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517ADD9">
      <w:pPr>
        <w:spacing w:line="480" w:lineRule="exact"/>
        <w:rPr>
          <w:rFonts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734E017">
      <w:pPr>
        <w:spacing w:line="480" w:lineRule="exac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9BE15A8">
      <w:pPr>
        <w:spacing w:line="480" w:lineRule="exact"/>
        <w:rPr>
          <w:rFonts w:ascii="宋体" w:hAnsi="宋体"/>
          <w:color w:val="auto"/>
          <w:szCs w:val="21"/>
          <w:highlight w:val="none"/>
        </w:rPr>
      </w:pPr>
      <w:r>
        <w:rPr>
          <w:rFonts w:ascii="宋体" w:hAnsi="宋体"/>
          <w:color w:val="auto"/>
          <w:szCs w:val="21"/>
          <w:highlight w:val="none"/>
        </w:rPr>
        <w:t>2、总价合同。</w:t>
      </w:r>
    </w:p>
    <w:p w14:paraId="74B6D248">
      <w:pPr>
        <w:spacing w:line="480" w:lineRule="exact"/>
        <w:rPr>
          <w:rFonts w:ascii="宋体" w:hAnsi="宋体"/>
          <w:color w:val="auto"/>
          <w:szCs w:val="21"/>
          <w:highlight w:val="none"/>
        </w:rPr>
      </w:pPr>
      <w:r>
        <w:rPr>
          <w:rFonts w:ascii="宋体" w:hAnsi="宋体"/>
          <w:color w:val="auto"/>
          <w:szCs w:val="21"/>
          <w:highlight w:val="none"/>
        </w:rPr>
        <w:t>总价包含的风险范围：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55A2081">
      <w:pPr>
        <w:spacing w:line="480" w:lineRule="exact"/>
        <w:rPr>
          <w:rFonts w:hint="eastAsia" w:ascii="宋体" w:hAnsi="宋体"/>
          <w:color w:val="auto"/>
          <w:szCs w:val="21"/>
          <w:highlight w:val="none"/>
        </w:rPr>
      </w:pPr>
      <w:r>
        <w:rPr>
          <w:rFonts w:ascii="宋体" w:hAnsi="宋体"/>
          <w:color w:val="auto"/>
          <w:szCs w:val="21"/>
          <w:highlight w:val="none"/>
        </w:rPr>
        <w:t>风险费用的计算方法：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0B08916">
      <w:pPr>
        <w:spacing w:line="480" w:lineRule="exact"/>
        <w:rPr>
          <w:rFonts w:ascii="宋体" w:hAnsi="宋体"/>
          <w:color w:val="auto"/>
          <w:szCs w:val="21"/>
          <w:highlight w:val="none"/>
        </w:rPr>
      </w:pPr>
      <w:r>
        <w:rPr>
          <w:rFonts w:ascii="宋体" w:hAnsi="宋体"/>
          <w:color w:val="auto"/>
          <w:szCs w:val="21"/>
          <w:highlight w:val="none"/>
        </w:rPr>
        <w:t>风险范围以外合同价格的调整方法：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95B6724">
      <w:pPr>
        <w:spacing w:line="480" w:lineRule="exact"/>
        <w:rPr>
          <w:rFonts w:ascii="宋体" w:hAnsi="宋体"/>
          <w:color w:val="auto"/>
          <w:szCs w:val="21"/>
          <w:highlight w:val="none"/>
        </w:rPr>
      </w:pPr>
      <w:r>
        <w:rPr>
          <w:rFonts w:ascii="宋体" w:hAnsi="宋体"/>
          <w:color w:val="auto"/>
          <w:szCs w:val="21"/>
          <w:highlight w:val="none"/>
        </w:rPr>
        <w:t>3、其他价格方式：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2331BF6">
      <w:pPr>
        <w:spacing w:line="480" w:lineRule="exact"/>
        <w:rPr>
          <w:rFonts w:ascii="宋体" w:hAnsi="宋体"/>
          <w:color w:val="auto"/>
          <w:szCs w:val="21"/>
          <w:highlight w:val="none"/>
        </w:rPr>
      </w:pPr>
      <w:bookmarkStart w:id="608" w:name="_Toc297216213"/>
      <w:bookmarkStart w:id="609" w:name="_Toc304295581"/>
      <w:bookmarkStart w:id="610" w:name="_Toc297123554"/>
      <w:bookmarkStart w:id="611" w:name="_Toc303539161"/>
      <w:bookmarkStart w:id="612" w:name="_Toc312678042"/>
      <w:bookmarkStart w:id="613" w:name="_Toc300935004"/>
      <w:bookmarkStart w:id="614" w:name="_Toc292559917"/>
      <w:bookmarkStart w:id="615" w:name="_Toc296891247"/>
      <w:bookmarkStart w:id="616" w:name="_Toc296944546"/>
      <w:bookmarkStart w:id="617" w:name="_Toc292559412"/>
      <w:bookmarkStart w:id="618" w:name="_Toc296891035"/>
      <w:bookmarkStart w:id="619" w:name="_Toc296346708"/>
      <w:bookmarkStart w:id="620" w:name="_Toc296347206"/>
      <w:bookmarkStart w:id="621" w:name="_Toc296503207"/>
      <w:bookmarkStart w:id="622" w:name="_Toc297120507"/>
      <w:bookmarkStart w:id="623" w:name="_Toc297048393"/>
      <w:r>
        <w:rPr>
          <w:rFonts w:ascii="宋体" w:hAnsi="宋体"/>
          <w:color w:val="auto"/>
          <w:szCs w:val="21"/>
          <w:highlight w:val="none"/>
        </w:rPr>
        <w:t>12.2 预付款</w:t>
      </w:r>
    </w:p>
    <w:bookmarkEnd w:id="608"/>
    <w:bookmarkEnd w:id="609"/>
    <w:bookmarkEnd w:id="610"/>
    <w:bookmarkEnd w:id="611"/>
    <w:bookmarkEnd w:id="612"/>
    <w:bookmarkEnd w:id="613"/>
    <w:p w14:paraId="6332978B">
      <w:pPr>
        <w:spacing w:line="480" w:lineRule="exact"/>
        <w:rPr>
          <w:rFonts w:ascii="宋体" w:hAnsi="宋体"/>
          <w:color w:val="auto"/>
          <w:szCs w:val="21"/>
          <w:highlight w:val="none"/>
        </w:rPr>
      </w:pPr>
      <w:r>
        <w:rPr>
          <w:rFonts w:ascii="宋体" w:hAnsi="宋体"/>
          <w:color w:val="auto"/>
          <w:szCs w:val="21"/>
          <w:highlight w:val="none"/>
        </w:rPr>
        <w:t>12.2.1 预付款的支付</w:t>
      </w:r>
    </w:p>
    <w:p w14:paraId="45607358">
      <w:pPr>
        <w:spacing w:line="480" w:lineRule="exact"/>
        <w:rPr>
          <w:rFonts w:ascii="宋体" w:hAnsi="宋体"/>
          <w:color w:val="auto"/>
          <w:szCs w:val="21"/>
          <w:highlight w:val="none"/>
        </w:rPr>
      </w:pPr>
      <w:r>
        <w:rPr>
          <w:rFonts w:ascii="宋体" w:hAnsi="宋体"/>
          <w:color w:val="auto"/>
          <w:szCs w:val="21"/>
          <w:highlight w:val="none"/>
        </w:rPr>
        <w:t>预付款支付比例或金额：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3D293DE">
      <w:pPr>
        <w:spacing w:line="480" w:lineRule="exact"/>
        <w:rPr>
          <w:rFonts w:ascii="宋体" w:hAnsi="宋体"/>
          <w:color w:val="auto"/>
          <w:szCs w:val="21"/>
          <w:highlight w:val="none"/>
        </w:rPr>
      </w:pPr>
      <w:r>
        <w:rPr>
          <w:rFonts w:ascii="宋体" w:hAnsi="宋体"/>
          <w:color w:val="auto"/>
          <w:szCs w:val="21"/>
          <w:highlight w:val="none"/>
        </w:rPr>
        <w:t>预付款支付期限：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DF406DB">
      <w:pPr>
        <w:spacing w:line="480" w:lineRule="exact"/>
        <w:rPr>
          <w:rFonts w:ascii="宋体" w:hAnsi="宋体"/>
          <w:color w:val="auto"/>
          <w:szCs w:val="21"/>
          <w:highlight w:val="none"/>
        </w:rPr>
      </w:pPr>
      <w:r>
        <w:rPr>
          <w:rFonts w:ascii="宋体" w:hAnsi="宋体"/>
          <w:color w:val="auto"/>
          <w:szCs w:val="21"/>
          <w:highlight w:val="none"/>
        </w:rPr>
        <w:t>预付款扣回的方式：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D994A91">
      <w:pPr>
        <w:spacing w:line="480" w:lineRule="exact"/>
        <w:rPr>
          <w:rFonts w:ascii="宋体" w:hAnsi="宋体"/>
          <w:color w:val="auto"/>
          <w:szCs w:val="21"/>
          <w:highlight w:val="none"/>
        </w:rPr>
      </w:pPr>
      <w:r>
        <w:rPr>
          <w:rFonts w:ascii="宋体" w:hAnsi="宋体"/>
          <w:color w:val="auto"/>
          <w:szCs w:val="21"/>
          <w:highlight w:val="none"/>
        </w:rPr>
        <w:t>12.2.2 预付款担保</w:t>
      </w:r>
    </w:p>
    <w:p w14:paraId="1CB346A1">
      <w:pPr>
        <w:spacing w:line="480" w:lineRule="exact"/>
        <w:rPr>
          <w:rFonts w:ascii="宋体" w:hAnsi="宋体"/>
          <w:color w:val="auto"/>
          <w:szCs w:val="21"/>
          <w:highlight w:val="none"/>
        </w:rPr>
      </w:pPr>
      <w:r>
        <w:rPr>
          <w:rFonts w:ascii="宋体" w:hAnsi="宋体"/>
          <w:color w:val="auto"/>
          <w:szCs w:val="21"/>
          <w:highlight w:val="none"/>
        </w:rPr>
        <w:t>承包人提交预付款担保的期限：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9907E66">
      <w:pPr>
        <w:spacing w:line="480" w:lineRule="exact"/>
        <w:rPr>
          <w:rFonts w:ascii="宋体" w:hAnsi="宋体"/>
          <w:color w:val="auto"/>
          <w:szCs w:val="21"/>
          <w:highlight w:val="none"/>
        </w:rPr>
      </w:pPr>
      <w:r>
        <w:rPr>
          <w:rFonts w:ascii="宋体" w:hAnsi="宋体"/>
          <w:color w:val="auto"/>
          <w:szCs w:val="21"/>
          <w:highlight w:val="none"/>
        </w:rPr>
        <w:t>预付款担保的形式为：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14"/>
    <w:bookmarkEnd w:id="615"/>
    <w:bookmarkEnd w:id="616"/>
    <w:bookmarkEnd w:id="617"/>
    <w:bookmarkEnd w:id="618"/>
    <w:bookmarkEnd w:id="619"/>
    <w:bookmarkEnd w:id="620"/>
    <w:bookmarkEnd w:id="621"/>
    <w:bookmarkEnd w:id="622"/>
    <w:bookmarkEnd w:id="623"/>
    <w:p w14:paraId="51740820">
      <w:pPr>
        <w:spacing w:line="480" w:lineRule="exact"/>
        <w:rPr>
          <w:rFonts w:ascii="宋体" w:hAnsi="宋体"/>
          <w:color w:val="auto"/>
          <w:szCs w:val="21"/>
          <w:highlight w:val="none"/>
        </w:rPr>
      </w:pPr>
      <w:r>
        <w:rPr>
          <w:rFonts w:ascii="宋体" w:hAnsi="宋体"/>
          <w:color w:val="auto"/>
          <w:szCs w:val="21"/>
          <w:highlight w:val="none"/>
        </w:rPr>
        <w:t>12.3 计量</w:t>
      </w:r>
    </w:p>
    <w:p w14:paraId="654ABCEA">
      <w:pPr>
        <w:spacing w:line="480" w:lineRule="exact"/>
        <w:rPr>
          <w:rFonts w:ascii="宋体" w:hAnsi="宋体"/>
          <w:color w:val="auto"/>
          <w:szCs w:val="21"/>
          <w:highlight w:val="none"/>
        </w:rPr>
      </w:pPr>
      <w:r>
        <w:rPr>
          <w:rFonts w:ascii="宋体" w:hAnsi="宋体"/>
          <w:color w:val="auto"/>
          <w:szCs w:val="21"/>
          <w:highlight w:val="none"/>
        </w:rPr>
        <w:t>12.3.1 计量原则</w:t>
      </w:r>
    </w:p>
    <w:p w14:paraId="75556800">
      <w:pPr>
        <w:spacing w:line="480" w:lineRule="exact"/>
        <w:rPr>
          <w:rFonts w:ascii="宋体" w:hAnsi="宋体"/>
          <w:color w:val="auto"/>
          <w:szCs w:val="21"/>
          <w:highlight w:val="none"/>
        </w:rPr>
      </w:pPr>
      <w:r>
        <w:rPr>
          <w:rFonts w:ascii="宋体" w:hAnsi="宋体"/>
          <w:color w:val="auto"/>
          <w:szCs w:val="21"/>
          <w:highlight w:val="none"/>
        </w:rPr>
        <w:t>工程量计算规则：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0332159">
      <w:pPr>
        <w:spacing w:line="480" w:lineRule="exact"/>
        <w:rPr>
          <w:rFonts w:ascii="宋体" w:hAnsi="宋体"/>
          <w:color w:val="auto"/>
          <w:szCs w:val="21"/>
          <w:highlight w:val="none"/>
        </w:rPr>
      </w:pPr>
      <w:r>
        <w:rPr>
          <w:rFonts w:ascii="宋体" w:hAnsi="宋体"/>
          <w:color w:val="auto"/>
          <w:szCs w:val="21"/>
          <w:highlight w:val="none"/>
        </w:rPr>
        <w:t>12.3.2 计量周期</w:t>
      </w:r>
    </w:p>
    <w:p w14:paraId="36709B29">
      <w:pPr>
        <w:spacing w:line="480" w:lineRule="exact"/>
        <w:rPr>
          <w:rFonts w:ascii="宋体" w:hAnsi="宋体"/>
          <w:color w:val="auto"/>
          <w:szCs w:val="21"/>
          <w:highlight w:val="none"/>
        </w:rPr>
      </w:pPr>
      <w:r>
        <w:rPr>
          <w:rFonts w:ascii="宋体" w:hAnsi="宋体"/>
          <w:color w:val="auto"/>
          <w:szCs w:val="21"/>
          <w:highlight w:val="none"/>
        </w:rPr>
        <w:t>关于计量周期的约定：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8CA002B">
      <w:pPr>
        <w:spacing w:line="480" w:lineRule="exact"/>
        <w:rPr>
          <w:rFonts w:ascii="宋体" w:hAnsi="宋体"/>
          <w:color w:val="auto"/>
          <w:szCs w:val="21"/>
          <w:highlight w:val="none"/>
        </w:rPr>
      </w:pPr>
      <w:r>
        <w:rPr>
          <w:rFonts w:ascii="宋体" w:hAnsi="宋体"/>
          <w:color w:val="auto"/>
          <w:szCs w:val="21"/>
          <w:highlight w:val="none"/>
        </w:rPr>
        <w:t>12.3.3 单价合同的计量</w:t>
      </w:r>
    </w:p>
    <w:p w14:paraId="116DF208">
      <w:pPr>
        <w:spacing w:line="480" w:lineRule="exact"/>
        <w:rPr>
          <w:rFonts w:ascii="宋体" w:hAnsi="宋体"/>
          <w:color w:val="auto"/>
          <w:szCs w:val="21"/>
          <w:highlight w:val="none"/>
        </w:rPr>
      </w:pPr>
      <w:r>
        <w:rPr>
          <w:rFonts w:ascii="宋体" w:hAnsi="宋体"/>
          <w:color w:val="auto"/>
          <w:szCs w:val="21"/>
          <w:highlight w:val="none"/>
        </w:rPr>
        <w:t>关于单价合同计量的约定：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0BEC09F">
      <w:pPr>
        <w:spacing w:line="480" w:lineRule="exact"/>
        <w:rPr>
          <w:rFonts w:ascii="宋体" w:hAnsi="宋体"/>
          <w:color w:val="auto"/>
          <w:szCs w:val="21"/>
          <w:highlight w:val="none"/>
        </w:rPr>
      </w:pPr>
      <w:r>
        <w:rPr>
          <w:rFonts w:ascii="宋体" w:hAnsi="宋体"/>
          <w:color w:val="auto"/>
          <w:szCs w:val="21"/>
          <w:highlight w:val="none"/>
        </w:rPr>
        <w:t>12.3.4 总价合同的计量</w:t>
      </w:r>
    </w:p>
    <w:p w14:paraId="4765CAAE">
      <w:pPr>
        <w:spacing w:line="480" w:lineRule="exact"/>
        <w:rPr>
          <w:rFonts w:hint="eastAsia" w:ascii="宋体" w:hAnsi="宋体"/>
          <w:color w:val="auto"/>
          <w:szCs w:val="21"/>
          <w:highlight w:val="none"/>
        </w:rPr>
      </w:pPr>
      <w:r>
        <w:rPr>
          <w:rFonts w:ascii="宋体" w:hAnsi="宋体"/>
          <w:color w:val="auto"/>
          <w:szCs w:val="21"/>
          <w:highlight w:val="none"/>
        </w:rPr>
        <w:t>关于总价合同计量的约定：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EFCF641">
      <w:pPr>
        <w:spacing w:line="480" w:lineRule="exact"/>
        <w:rPr>
          <w:rFonts w:ascii="宋体" w:hAnsi="宋体"/>
          <w:color w:val="auto"/>
          <w:szCs w:val="21"/>
          <w:highlight w:val="none"/>
        </w:rPr>
      </w:pPr>
      <w:r>
        <w:rPr>
          <w:rFonts w:ascii="宋体" w:hAnsi="宋体"/>
          <w:color w:val="auto"/>
          <w:szCs w:val="21"/>
          <w:highlight w:val="none"/>
        </w:rPr>
        <w:t>12.3.5总价合同采用支付分解表计量支付的，是否适用第</w:t>
      </w:r>
      <w:r>
        <w:rPr>
          <w:rFonts w:ascii="宋体" w:hAnsi="宋体"/>
          <w:color w:val="auto"/>
          <w:kern w:val="0"/>
          <w:szCs w:val="21"/>
          <w:highlight w:val="none"/>
        </w:rPr>
        <w:t xml:space="preserve">12.3.4 </w:t>
      </w:r>
      <w:r>
        <w:rPr>
          <w:rFonts w:ascii="宋体" w:hAnsi="宋体"/>
          <w:color w:val="auto"/>
          <w:szCs w:val="21"/>
          <w:highlight w:val="none"/>
        </w:rPr>
        <w:t>项</w:t>
      </w:r>
      <w:r>
        <w:rPr>
          <w:rFonts w:hint="eastAsia" w:ascii="宋体" w:hAnsi="宋体"/>
          <w:color w:val="auto"/>
          <w:kern w:val="0"/>
          <w:szCs w:val="21"/>
          <w:highlight w:val="none"/>
        </w:rPr>
        <w:t>〔</w:t>
      </w:r>
      <w:r>
        <w:rPr>
          <w:rFonts w:ascii="宋体" w:hAnsi="宋体"/>
          <w:color w:val="auto"/>
          <w:kern w:val="0"/>
          <w:szCs w:val="21"/>
          <w:highlight w:val="none"/>
        </w:rPr>
        <w:t>总价合同的计量</w:t>
      </w:r>
      <w:r>
        <w:rPr>
          <w:rFonts w:hint="eastAsia" w:ascii="宋体" w:hAnsi="宋体"/>
          <w:color w:val="auto"/>
          <w:kern w:val="0"/>
          <w:szCs w:val="21"/>
          <w:highlight w:val="none"/>
        </w:rPr>
        <w:t>〕</w:t>
      </w:r>
      <w:r>
        <w:rPr>
          <w:rFonts w:ascii="宋体" w:hAnsi="宋体"/>
          <w:color w:val="auto"/>
          <w:szCs w:val="21"/>
          <w:highlight w:val="none"/>
        </w:rPr>
        <w:t>约定</w:t>
      </w:r>
      <w:r>
        <w:rPr>
          <w:rFonts w:hint="eastAsia" w:ascii="宋体" w:hAnsi="宋体"/>
          <w:color w:val="auto"/>
          <w:szCs w:val="21"/>
          <w:highlight w:val="none"/>
        </w:rPr>
        <w:t>进行计量：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2B116B58">
      <w:pPr>
        <w:spacing w:line="480" w:lineRule="exact"/>
        <w:rPr>
          <w:rFonts w:ascii="宋体" w:hAnsi="宋体"/>
          <w:color w:val="auto"/>
          <w:szCs w:val="21"/>
          <w:highlight w:val="none"/>
        </w:rPr>
      </w:pPr>
      <w:r>
        <w:rPr>
          <w:rFonts w:ascii="宋体" w:hAnsi="宋体"/>
          <w:color w:val="auto"/>
          <w:szCs w:val="21"/>
          <w:highlight w:val="none"/>
        </w:rPr>
        <w:t>12.3.6 其他价格形式合同的计量</w:t>
      </w:r>
    </w:p>
    <w:p w14:paraId="5CAD0731">
      <w:pPr>
        <w:spacing w:line="480" w:lineRule="exact"/>
        <w:rPr>
          <w:rFonts w:ascii="宋体" w:hAnsi="宋体"/>
          <w:color w:val="auto"/>
          <w:szCs w:val="21"/>
          <w:highlight w:val="none"/>
        </w:rPr>
      </w:pPr>
      <w:r>
        <w:rPr>
          <w:rFonts w:ascii="宋体" w:hAnsi="宋体"/>
          <w:color w:val="auto"/>
          <w:szCs w:val="21"/>
          <w:highlight w:val="none"/>
        </w:rPr>
        <w:t>其他价格形式的计量方式和程序：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1703A78">
      <w:pPr>
        <w:spacing w:line="480" w:lineRule="exact"/>
        <w:rPr>
          <w:rFonts w:ascii="宋体" w:hAnsi="宋体"/>
          <w:color w:val="auto"/>
          <w:szCs w:val="21"/>
          <w:highlight w:val="none"/>
        </w:rPr>
      </w:pPr>
      <w:r>
        <w:rPr>
          <w:rFonts w:ascii="宋体" w:hAnsi="宋体"/>
          <w:color w:val="auto"/>
          <w:szCs w:val="21"/>
          <w:highlight w:val="none"/>
        </w:rPr>
        <w:t>12.4 工程进度款支付</w:t>
      </w:r>
    </w:p>
    <w:p w14:paraId="4601E723">
      <w:pPr>
        <w:spacing w:line="480" w:lineRule="exact"/>
        <w:rPr>
          <w:rFonts w:ascii="宋体" w:hAnsi="宋体"/>
          <w:color w:val="auto"/>
          <w:szCs w:val="21"/>
          <w:highlight w:val="none"/>
        </w:rPr>
      </w:pPr>
      <w:bookmarkStart w:id="624" w:name="_Toc303539163"/>
      <w:bookmarkStart w:id="625" w:name="_Toc296347210"/>
      <w:bookmarkStart w:id="626" w:name="_Toc296891039"/>
      <w:bookmarkStart w:id="627" w:name="_Toc296503211"/>
      <w:bookmarkStart w:id="628" w:name="_Toc297216215"/>
      <w:bookmarkStart w:id="629" w:name="_Toc297048397"/>
      <w:bookmarkStart w:id="630" w:name="_Toc297120511"/>
      <w:bookmarkStart w:id="631" w:name="_Toc300935006"/>
      <w:bookmarkStart w:id="632" w:name="_Toc296346712"/>
      <w:bookmarkStart w:id="633" w:name="_Toc292559416"/>
      <w:bookmarkStart w:id="634" w:name="_Toc297123556"/>
      <w:bookmarkStart w:id="635" w:name="_Toc296944550"/>
      <w:bookmarkStart w:id="636" w:name="_Toc292559921"/>
      <w:bookmarkStart w:id="637" w:name="_Toc296891251"/>
      <w:r>
        <w:rPr>
          <w:rFonts w:ascii="宋体" w:hAnsi="宋体"/>
          <w:color w:val="auto"/>
          <w:szCs w:val="21"/>
          <w:highlight w:val="none"/>
        </w:rPr>
        <w:t>12.4.1 付款周期</w:t>
      </w:r>
    </w:p>
    <w:p w14:paraId="255CB63E">
      <w:pPr>
        <w:spacing w:line="480" w:lineRule="exact"/>
        <w:rPr>
          <w:rFonts w:ascii="宋体" w:hAnsi="宋体"/>
          <w:color w:val="auto"/>
          <w:szCs w:val="21"/>
          <w:highlight w:val="none"/>
        </w:rPr>
      </w:pPr>
      <w:r>
        <w:rPr>
          <w:rFonts w:ascii="宋体" w:hAnsi="宋体"/>
          <w:color w:val="auto"/>
          <w:szCs w:val="21"/>
          <w:highlight w:val="none"/>
        </w:rPr>
        <w:t>关于付款周期的约定：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3525175">
      <w:pPr>
        <w:spacing w:line="480" w:lineRule="exact"/>
        <w:rPr>
          <w:rFonts w:ascii="宋体" w:hAnsi="宋体"/>
          <w:color w:val="auto"/>
          <w:szCs w:val="21"/>
          <w:highlight w:val="none"/>
        </w:rPr>
      </w:pPr>
      <w:r>
        <w:rPr>
          <w:rFonts w:ascii="宋体" w:hAnsi="宋体"/>
          <w:color w:val="auto"/>
          <w:szCs w:val="21"/>
          <w:highlight w:val="none"/>
        </w:rPr>
        <w:t>12.4.2 进度付款申请单的编制</w:t>
      </w:r>
    </w:p>
    <w:p w14:paraId="331606BF">
      <w:pPr>
        <w:spacing w:line="480" w:lineRule="exact"/>
        <w:rPr>
          <w:rFonts w:ascii="宋体" w:hAnsi="宋体"/>
          <w:color w:val="auto"/>
          <w:szCs w:val="21"/>
          <w:highlight w:val="none"/>
        </w:rPr>
      </w:pPr>
      <w:r>
        <w:rPr>
          <w:rFonts w:ascii="宋体" w:hAnsi="宋体"/>
          <w:color w:val="auto"/>
          <w:szCs w:val="21"/>
          <w:highlight w:val="none"/>
        </w:rPr>
        <w:t>关于进度付款申请单编制的约定：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CD90C2C">
      <w:pPr>
        <w:spacing w:line="480" w:lineRule="exact"/>
        <w:rPr>
          <w:rFonts w:ascii="宋体" w:hAnsi="宋体"/>
          <w:color w:val="auto"/>
          <w:szCs w:val="21"/>
          <w:highlight w:val="none"/>
        </w:rPr>
      </w:pPr>
      <w:r>
        <w:rPr>
          <w:rFonts w:ascii="宋体" w:hAnsi="宋体"/>
          <w:color w:val="auto"/>
          <w:szCs w:val="21"/>
          <w:highlight w:val="none"/>
        </w:rPr>
        <w:t>1</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Pr>
          <w:rFonts w:ascii="宋体" w:hAnsi="宋体"/>
          <w:color w:val="auto"/>
          <w:szCs w:val="21"/>
          <w:highlight w:val="none"/>
        </w:rPr>
        <w:t>2.4.3 进度付款申请单的提交</w:t>
      </w:r>
    </w:p>
    <w:p w14:paraId="07856785">
      <w:pPr>
        <w:spacing w:line="480" w:lineRule="exact"/>
        <w:rPr>
          <w:rFonts w:ascii="宋体" w:hAnsi="宋体"/>
          <w:color w:val="auto"/>
          <w:szCs w:val="21"/>
          <w:highlight w:val="none"/>
        </w:rPr>
      </w:pPr>
      <w:r>
        <w:rPr>
          <w:rFonts w:ascii="宋体" w:hAnsi="宋体"/>
          <w:color w:val="auto"/>
          <w:szCs w:val="21"/>
          <w:highlight w:val="none"/>
        </w:rPr>
        <w:t>（1）单价合同进度付款申请单提交的约定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11905CA">
      <w:pPr>
        <w:spacing w:line="480" w:lineRule="exact"/>
        <w:rPr>
          <w:rFonts w:ascii="宋体" w:hAnsi="宋体"/>
          <w:color w:val="auto"/>
          <w:szCs w:val="21"/>
          <w:highlight w:val="none"/>
        </w:rPr>
      </w:pPr>
      <w:r>
        <w:rPr>
          <w:rFonts w:ascii="宋体" w:hAnsi="宋体"/>
          <w:color w:val="auto"/>
          <w:szCs w:val="21"/>
          <w:highlight w:val="none"/>
        </w:rPr>
        <w:t>（2）总价合同进度付款申请单提交的约定</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5572C3C">
      <w:pPr>
        <w:spacing w:line="480" w:lineRule="exact"/>
        <w:rPr>
          <w:rFonts w:ascii="宋体" w:hAnsi="宋体"/>
          <w:color w:val="auto"/>
          <w:szCs w:val="21"/>
          <w:highlight w:val="none"/>
        </w:rPr>
      </w:pPr>
      <w:r>
        <w:rPr>
          <w:rFonts w:ascii="宋体" w:hAnsi="宋体"/>
          <w:color w:val="auto"/>
          <w:szCs w:val="21"/>
          <w:highlight w:val="none"/>
        </w:rPr>
        <w:t>（3）其他价格形式合同进度付款申请单提交的约定：</w:t>
      </w:r>
      <w:r>
        <w:rPr>
          <w:rFonts w:ascii="宋体" w:hAnsi="宋体"/>
          <w:color w:val="auto"/>
          <w:szCs w:val="21"/>
          <w:highlight w:val="none"/>
          <w:u w:val="single"/>
        </w:rPr>
        <w:t xml:space="preserve">       </w:t>
      </w:r>
      <w:r>
        <w:rPr>
          <w:rFonts w:ascii="宋体" w:hAnsi="宋体"/>
          <w:color w:val="auto"/>
          <w:szCs w:val="21"/>
          <w:highlight w:val="none"/>
        </w:rPr>
        <w:t>。</w:t>
      </w:r>
    </w:p>
    <w:p w14:paraId="32015EF8">
      <w:pPr>
        <w:spacing w:line="480" w:lineRule="exact"/>
        <w:rPr>
          <w:rFonts w:ascii="宋体" w:hAnsi="宋体"/>
          <w:color w:val="auto"/>
          <w:szCs w:val="21"/>
          <w:highlight w:val="none"/>
        </w:rPr>
      </w:pPr>
      <w:r>
        <w:rPr>
          <w:rFonts w:ascii="宋体" w:hAnsi="宋体"/>
          <w:color w:val="auto"/>
          <w:szCs w:val="21"/>
          <w:highlight w:val="none"/>
        </w:rPr>
        <w:t>12.4.4 进度款审核和支付</w:t>
      </w:r>
    </w:p>
    <w:p w14:paraId="21AB5D15">
      <w:pPr>
        <w:spacing w:line="480" w:lineRule="exact"/>
        <w:rPr>
          <w:rFonts w:ascii="宋体" w:hAnsi="宋体"/>
          <w:color w:val="auto"/>
          <w:szCs w:val="21"/>
          <w:highlight w:val="none"/>
          <w:u w:val="single"/>
        </w:rPr>
      </w:pPr>
      <w:r>
        <w:rPr>
          <w:rFonts w:ascii="宋体" w:hAnsi="宋体"/>
          <w:color w:val="auto"/>
          <w:szCs w:val="21"/>
          <w:highlight w:val="none"/>
        </w:rPr>
        <w:t>（1）监理人审查并报送发包人的期限：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64627932">
      <w:pPr>
        <w:spacing w:line="480" w:lineRule="exact"/>
        <w:rPr>
          <w:rFonts w:ascii="宋体" w:hAnsi="宋体"/>
          <w:color w:val="auto"/>
          <w:szCs w:val="21"/>
          <w:highlight w:val="none"/>
        </w:rPr>
      </w:pPr>
      <w:r>
        <w:rPr>
          <w:rFonts w:ascii="宋体" w:hAnsi="宋体"/>
          <w:color w:val="auto"/>
          <w:szCs w:val="21"/>
          <w:highlight w:val="none"/>
        </w:rPr>
        <w:t>发包人完成审批并签发进度款支付证书的期限：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14:paraId="390E8778">
      <w:pPr>
        <w:spacing w:line="480" w:lineRule="exact"/>
        <w:rPr>
          <w:rFonts w:ascii="宋体" w:hAnsi="宋体"/>
          <w:color w:val="auto"/>
          <w:szCs w:val="21"/>
          <w:highlight w:val="none"/>
        </w:rPr>
      </w:pPr>
      <w:r>
        <w:rPr>
          <w:rFonts w:ascii="宋体" w:hAnsi="宋体"/>
          <w:color w:val="auto"/>
          <w:szCs w:val="21"/>
          <w:highlight w:val="none"/>
        </w:rPr>
        <w:t>（2）发包人支付进度款的期限：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E38B2F6">
      <w:pPr>
        <w:spacing w:line="480" w:lineRule="exact"/>
        <w:rPr>
          <w:rFonts w:hint="eastAsia" w:ascii="宋体" w:hAnsi="宋体"/>
          <w:color w:val="auto"/>
          <w:szCs w:val="21"/>
          <w:highlight w:val="none"/>
        </w:rPr>
      </w:pPr>
      <w:r>
        <w:rPr>
          <w:rFonts w:ascii="宋体" w:hAnsi="宋体"/>
          <w:color w:val="auto"/>
          <w:szCs w:val="21"/>
          <w:highlight w:val="none"/>
        </w:rPr>
        <w:t>发包人逾期支付进度款的违约金的计算方式：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A78D80A">
      <w:pPr>
        <w:spacing w:line="480" w:lineRule="exact"/>
        <w:rPr>
          <w:rFonts w:hint="eastAsia" w:ascii="宋体" w:hAnsi="宋体"/>
          <w:color w:val="auto"/>
          <w:szCs w:val="21"/>
          <w:highlight w:val="none"/>
        </w:rPr>
      </w:pPr>
      <w:r>
        <w:rPr>
          <w:rFonts w:ascii="宋体" w:hAnsi="宋体"/>
          <w:color w:val="auto"/>
          <w:szCs w:val="21"/>
          <w:highlight w:val="none"/>
        </w:rPr>
        <w:t>12.4.6 支付分解表的编制</w:t>
      </w:r>
    </w:p>
    <w:p w14:paraId="7636F65B">
      <w:pPr>
        <w:spacing w:line="480" w:lineRule="exact"/>
        <w:rPr>
          <w:rFonts w:ascii="宋体" w:hAnsi="宋体"/>
          <w:color w:val="auto"/>
          <w:szCs w:val="21"/>
          <w:highlight w:val="none"/>
        </w:rPr>
      </w:pPr>
      <w:r>
        <w:rPr>
          <w:rFonts w:ascii="宋体" w:hAnsi="宋体"/>
          <w:color w:val="auto"/>
          <w:szCs w:val="21"/>
          <w:highlight w:val="none"/>
        </w:rPr>
        <w:t>2、总价合同支付分解表的编制与审批：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5474C2C">
      <w:pPr>
        <w:spacing w:line="480" w:lineRule="exact"/>
        <w:rPr>
          <w:rFonts w:ascii="宋体" w:hAnsi="宋体"/>
          <w:color w:val="auto"/>
          <w:szCs w:val="21"/>
          <w:highlight w:val="none"/>
        </w:rPr>
      </w:pPr>
      <w:r>
        <w:rPr>
          <w:rFonts w:ascii="宋体" w:hAnsi="宋体"/>
          <w:color w:val="auto"/>
          <w:szCs w:val="21"/>
          <w:highlight w:val="none"/>
        </w:rPr>
        <w:t>3、单价合同的总价项目支付分解表的编制与审批：</w:t>
      </w:r>
      <w:r>
        <w:rPr>
          <w:rFonts w:ascii="宋体" w:hAnsi="宋体"/>
          <w:color w:val="auto"/>
          <w:szCs w:val="21"/>
          <w:highlight w:val="none"/>
          <w:u w:val="single"/>
        </w:rPr>
        <w:t xml:space="preserve">       </w:t>
      </w:r>
      <w:r>
        <w:rPr>
          <w:rFonts w:ascii="宋体" w:hAnsi="宋体"/>
          <w:color w:val="auto"/>
          <w:szCs w:val="21"/>
          <w:highlight w:val="none"/>
        </w:rPr>
        <w:t>。</w:t>
      </w:r>
    </w:p>
    <w:bookmarkEnd w:id="467"/>
    <w:p w14:paraId="5316CD3F">
      <w:pPr>
        <w:spacing w:line="480" w:lineRule="exact"/>
        <w:rPr>
          <w:rFonts w:ascii="宋体" w:hAnsi="宋体"/>
          <w:color w:val="auto"/>
          <w:szCs w:val="21"/>
          <w:highlight w:val="none"/>
        </w:rPr>
      </w:pPr>
      <w:bookmarkStart w:id="638" w:name="_Toc351203645"/>
      <w:bookmarkStart w:id="639" w:name="_Toc296503219"/>
      <w:bookmarkStart w:id="640" w:name="_Toc303539172"/>
      <w:bookmarkStart w:id="641" w:name="_Toc296891259"/>
      <w:bookmarkStart w:id="642" w:name="_Toc312678053"/>
      <w:bookmarkStart w:id="643" w:name="_Toc292559424"/>
      <w:bookmarkStart w:id="644" w:name="_Toc300935015"/>
      <w:bookmarkStart w:id="645" w:name="_Toc297216223"/>
      <w:bookmarkStart w:id="646" w:name="_Toc296944558"/>
      <w:bookmarkStart w:id="647" w:name="_Toc296347218"/>
      <w:bookmarkStart w:id="648" w:name="_Toc292559929"/>
      <w:bookmarkStart w:id="649" w:name="_Toc297123564"/>
      <w:bookmarkStart w:id="650" w:name="_Toc304295593"/>
      <w:bookmarkStart w:id="651" w:name="_Toc296891047"/>
      <w:bookmarkStart w:id="652" w:name="_Toc297120519"/>
      <w:bookmarkStart w:id="653" w:name="_Toc297048405"/>
      <w:bookmarkStart w:id="654" w:name="_Toc296346720"/>
      <w:r>
        <w:rPr>
          <w:rFonts w:ascii="宋体" w:hAnsi="宋体"/>
          <w:color w:val="auto"/>
          <w:szCs w:val="21"/>
          <w:highlight w:val="none"/>
        </w:rPr>
        <w:t>13.</w:t>
      </w:r>
      <w:r>
        <w:rPr>
          <w:rFonts w:hint="eastAsia" w:ascii="宋体" w:hAnsi="宋体"/>
          <w:color w:val="auto"/>
          <w:szCs w:val="21"/>
          <w:highlight w:val="none"/>
        </w:rPr>
        <w:t xml:space="preserve"> </w:t>
      </w:r>
      <w:r>
        <w:rPr>
          <w:rFonts w:ascii="宋体" w:hAnsi="宋体"/>
          <w:color w:val="auto"/>
          <w:szCs w:val="21"/>
          <w:highlight w:val="none"/>
        </w:rPr>
        <w:t>验收和工程试车</w:t>
      </w:r>
      <w:bookmarkEnd w:id="638"/>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14:paraId="114067DA">
      <w:pPr>
        <w:spacing w:line="480" w:lineRule="exact"/>
        <w:rPr>
          <w:rFonts w:ascii="宋体" w:hAnsi="宋体"/>
          <w:color w:val="auto"/>
          <w:szCs w:val="21"/>
          <w:highlight w:val="none"/>
        </w:rPr>
      </w:pPr>
      <w:r>
        <w:rPr>
          <w:rFonts w:ascii="宋体" w:hAnsi="宋体"/>
          <w:color w:val="auto"/>
          <w:szCs w:val="21"/>
          <w:highlight w:val="none"/>
        </w:rPr>
        <w:t>13.1 分部分项工程验收</w:t>
      </w:r>
    </w:p>
    <w:p w14:paraId="1E657038">
      <w:pPr>
        <w:spacing w:line="480" w:lineRule="exact"/>
        <w:rPr>
          <w:rFonts w:ascii="宋体" w:hAnsi="宋体"/>
          <w:color w:val="auto"/>
          <w:szCs w:val="21"/>
          <w:highlight w:val="none"/>
        </w:rPr>
      </w:pPr>
      <w:r>
        <w:rPr>
          <w:rFonts w:ascii="宋体" w:hAnsi="宋体"/>
          <w:color w:val="auto"/>
          <w:szCs w:val="21"/>
          <w:highlight w:val="none"/>
        </w:rPr>
        <w:t>13.1.2监理人不能按时进行验收时，应提前</w:t>
      </w:r>
      <w:r>
        <w:rPr>
          <w:rFonts w:ascii="宋体" w:hAnsi="宋体"/>
          <w:color w:val="auto"/>
          <w:szCs w:val="21"/>
          <w:highlight w:val="none"/>
          <w:u w:val="single"/>
        </w:rPr>
        <w:t xml:space="preserve">       </w:t>
      </w:r>
      <w:r>
        <w:rPr>
          <w:rFonts w:ascii="宋体" w:hAnsi="宋体"/>
          <w:color w:val="auto"/>
          <w:szCs w:val="21"/>
          <w:highlight w:val="none"/>
        </w:rPr>
        <w:t>小时提交书面延期要求。</w:t>
      </w:r>
    </w:p>
    <w:p w14:paraId="5857A705">
      <w:pPr>
        <w:spacing w:line="480" w:lineRule="exact"/>
        <w:rPr>
          <w:rFonts w:ascii="宋体" w:hAnsi="宋体"/>
          <w:color w:val="auto"/>
          <w:szCs w:val="21"/>
          <w:highlight w:val="none"/>
        </w:rPr>
      </w:pPr>
      <w:r>
        <w:rPr>
          <w:rFonts w:ascii="宋体" w:hAnsi="宋体"/>
          <w:color w:val="auto"/>
          <w:szCs w:val="21"/>
          <w:highlight w:val="none"/>
        </w:rPr>
        <w:t>关于延期最长不得超过：</w:t>
      </w:r>
      <w:r>
        <w:rPr>
          <w:rFonts w:ascii="宋体" w:hAnsi="宋体"/>
          <w:color w:val="auto"/>
          <w:szCs w:val="21"/>
          <w:highlight w:val="none"/>
          <w:u w:val="single"/>
        </w:rPr>
        <w:t xml:space="preserve">         </w:t>
      </w:r>
      <w:r>
        <w:rPr>
          <w:rFonts w:ascii="宋体" w:hAnsi="宋体"/>
          <w:color w:val="auto"/>
          <w:szCs w:val="21"/>
          <w:highlight w:val="none"/>
        </w:rPr>
        <w:t>小时。</w:t>
      </w:r>
    </w:p>
    <w:p w14:paraId="2EF891A1">
      <w:pPr>
        <w:spacing w:line="480" w:lineRule="exact"/>
        <w:rPr>
          <w:rFonts w:ascii="宋体" w:hAnsi="宋体"/>
          <w:color w:val="auto"/>
          <w:szCs w:val="21"/>
          <w:highlight w:val="none"/>
        </w:rPr>
      </w:pPr>
      <w:bookmarkStart w:id="655" w:name="_Toc296944562"/>
      <w:bookmarkStart w:id="656" w:name="_Toc292559933"/>
      <w:bookmarkStart w:id="657" w:name="_Toc312678056"/>
      <w:bookmarkStart w:id="658" w:name="_Toc304295596"/>
      <w:bookmarkStart w:id="659" w:name="_Toc296347222"/>
      <w:bookmarkStart w:id="660" w:name="_Toc296891051"/>
      <w:bookmarkStart w:id="661" w:name="_Toc297123565"/>
      <w:bookmarkStart w:id="662" w:name="_Toc296346724"/>
      <w:bookmarkStart w:id="663" w:name="_Toc300935016"/>
      <w:bookmarkStart w:id="664" w:name="_Toc297216224"/>
      <w:bookmarkStart w:id="665" w:name="_Toc296891263"/>
      <w:bookmarkStart w:id="666" w:name="_Toc297048409"/>
      <w:bookmarkStart w:id="667" w:name="_Toc292559428"/>
      <w:bookmarkStart w:id="668" w:name="_Toc297120523"/>
      <w:bookmarkStart w:id="669" w:name="_Toc296503223"/>
      <w:bookmarkStart w:id="670" w:name="_Toc303539173"/>
      <w:bookmarkStart w:id="671" w:name="_Toc267251472"/>
      <w:bookmarkStart w:id="672" w:name="_Toc267251476"/>
      <w:bookmarkStart w:id="673" w:name="_Toc267251471"/>
      <w:bookmarkStart w:id="674" w:name="_Toc267251474"/>
      <w:bookmarkStart w:id="675" w:name="_Toc267251470"/>
      <w:bookmarkStart w:id="676" w:name="_Toc267251473"/>
      <w:bookmarkStart w:id="677" w:name="_Toc267251475"/>
      <w:r>
        <w:rPr>
          <w:rFonts w:ascii="宋体" w:hAnsi="宋体"/>
          <w:color w:val="auto"/>
          <w:szCs w:val="21"/>
          <w:highlight w:val="none"/>
        </w:rPr>
        <w:t>13.2 竣工验收</w:t>
      </w:r>
    </w:p>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14:paraId="7F341BFB">
      <w:pPr>
        <w:spacing w:line="480" w:lineRule="exact"/>
        <w:rPr>
          <w:rFonts w:ascii="宋体" w:hAnsi="宋体"/>
          <w:color w:val="auto"/>
          <w:szCs w:val="21"/>
          <w:highlight w:val="none"/>
        </w:rPr>
      </w:pPr>
      <w:bookmarkStart w:id="678" w:name="_Toc280868704"/>
      <w:bookmarkStart w:id="679" w:name="_Toc280868705"/>
      <w:bookmarkStart w:id="680" w:name="_Toc280868706"/>
      <w:bookmarkStart w:id="681" w:name="_Toc280868707"/>
      <w:bookmarkStart w:id="682" w:name="_Toc280868708"/>
      <w:bookmarkStart w:id="683" w:name="_Toc280868709"/>
      <w:r>
        <w:rPr>
          <w:rFonts w:ascii="宋体" w:hAnsi="宋体"/>
          <w:color w:val="auto"/>
          <w:szCs w:val="21"/>
          <w:highlight w:val="none"/>
        </w:rPr>
        <w:t>13.2.2竣工验收程序</w:t>
      </w:r>
    </w:p>
    <w:bookmarkEnd w:id="678"/>
    <w:p w14:paraId="1051066D">
      <w:pPr>
        <w:spacing w:line="480" w:lineRule="exact"/>
        <w:rPr>
          <w:rFonts w:ascii="宋体" w:hAnsi="宋体"/>
          <w:color w:val="auto"/>
          <w:szCs w:val="21"/>
          <w:highlight w:val="none"/>
        </w:rPr>
      </w:pPr>
      <w:r>
        <w:rPr>
          <w:rFonts w:ascii="宋体" w:hAnsi="宋体"/>
          <w:color w:val="auto"/>
          <w:kern w:val="0"/>
          <w:szCs w:val="21"/>
          <w:highlight w:val="none"/>
        </w:rPr>
        <w:t>关于竣工验收程序的约定：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D574BA1">
      <w:pPr>
        <w:spacing w:line="480" w:lineRule="exact"/>
        <w:rPr>
          <w:rFonts w:hint="eastAsia" w:ascii="宋体" w:hAnsi="宋体"/>
          <w:color w:val="auto"/>
          <w:szCs w:val="21"/>
          <w:highlight w:val="none"/>
          <w:u w:val="single"/>
        </w:rPr>
      </w:pPr>
      <w:r>
        <w:rPr>
          <w:rFonts w:ascii="宋体" w:hAnsi="宋体"/>
          <w:color w:val="auto"/>
          <w:kern w:val="0"/>
          <w:szCs w:val="21"/>
          <w:highlight w:val="none"/>
        </w:rPr>
        <w:t>发包人不按照本项约定组织竣工验收、颁发工程接收证书的违约金的计算方法：</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78CD9A0">
      <w:pPr>
        <w:spacing w:line="480" w:lineRule="exact"/>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79"/>
    <w:p w14:paraId="47E7C04D">
      <w:pPr>
        <w:spacing w:line="480" w:lineRule="exact"/>
        <w:rPr>
          <w:rFonts w:ascii="宋体" w:hAnsi="宋体"/>
          <w:color w:val="auto"/>
          <w:szCs w:val="21"/>
          <w:highlight w:val="none"/>
        </w:rPr>
      </w:pPr>
      <w:r>
        <w:rPr>
          <w:rFonts w:ascii="宋体" w:hAnsi="宋体"/>
          <w:color w:val="auto"/>
          <w:szCs w:val="21"/>
          <w:highlight w:val="none"/>
        </w:rPr>
        <w:t>13.2.5移交、接收全部与部分工程</w:t>
      </w:r>
    </w:p>
    <w:bookmarkEnd w:id="680"/>
    <w:p w14:paraId="4AADA8D6">
      <w:pPr>
        <w:spacing w:line="480" w:lineRule="exact"/>
        <w:rPr>
          <w:rFonts w:hint="eastAsia" w:ascii="宋体" w:hAnsi="宋体"/>
          <w:color w:val="auto"/>
          <w:kern w:val="0"/>
          <w:szCs w:val="21"/>
          <w:highlight w:val="none"/>
        </w:rPr>
      </w:pPr>
      <w:r>
        <w:rPr>
          <w:rFonts w:hint="eastAsia" w:ascii="宋体" w:hAnsi="宋体"/>
          <w:color w:val="auto"/>
          <w:kern w:val="0"/>
          <w:szCs w:val="21"/>
          <w:highlight w:val="none"/>
        </w:rPr>
        <w:t>承包人向发包人移交工程的期限：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CB9AC77">
      <w:pPr>
        <w:spacing w:line="480" w:lineRule="exact"/>
        <w:rPr>
          <w:rFonts w:ascii="宋体" w:hAnsi="宋体"/>
          <w:color w:val="auto"/>
          <w:szCs w:val="21"/>
          <w:highlight w:val="none"/>
          <w:u w:val="single"/>
        </w:rPr>
      </w:pPr>
      <w:r>
        <w:rPr>
          <w:rFonts w:ascii="宋体" w:hAnsi="宋体"/>
          <w:color w:val="auto"/>
          <w:kern w:val="0"/>
          <w:szCs w:val="21"/>
          <w:highlight w:val="none"/>
        </w:rPr>
        <w:t>发包人未按本合同约定接收全部或部分工程的，违约金的计算方法为：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81"/>
    <w:p w14:paraId="3C333119">
      <w:pPr>
        <w:spacing w:line="480" w:lineRule="exact"/>
        <w:rPr>
          <w:rFonts w:ascii="宋体" w:hAnsi="宋体"/>
          <w:color w:val="auto"/>
          <w:szCs w:val="21"/>
          <w:highlight w:val="none"/>
        </w:rPr>
      </w:pPr>
      <w:r>
        <w:rPr>
          <w:rFonts w:ascii="宋体" w:hAnsi="宋体"/>
          <w:color w:val="auto"/>
          <w:szCs w:val="21"/>
          <w:highlight w:val="none"/>
        </w:rPr>
        <w:t>承包人未按时移交工程的，违约金的计算方法为：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C1626B7">
      <w:pPr>
        <w:spacing w:line="480" w:lineRule="exact"/>
        <w:rPr>
          <w:rFonts w:ascii="宋体" w:hAnsi="宋体"/>
          <w:color w:val="auto"/>
          <w:szCs w:val="21"/>
          <w:highlight w:val="none"/>
        </w:rPr>
      </w:pPr>
      <w:r>
        <w:rPr>
          <w:rFonts w:ascii="宋体" w:hAnsi="宋体"/>
          <w:color w:val="auto"/>
          <w:szCs w:val="21"/>
          <w:highlight w:val="none"/>
        </w:rPr>
        <w:t>13.3 工程试车</w:t>
      </w:r>
    </w:p>
    <w:bookmarkEnd w:id="682"/>
    <w:p w14:paraId="516ECCF4">
      <w:pPr>
        <w:spacing w:line="480" w:lineRule="exact"/>
        <w:rPr>
          <w:rFonts w:ascii="宋体" w:hAnsi="宋体"/>
          <w:color w:val="auto"/>
          <w:kern w:val="0"/>
          <w:szCs w:val="21"/>
          <w:highlight w:val="none"/>
        </w:rPr>
      </w:pPr>
      <w:r>
        <w:rPr>
          <w:rFonts w:ascii="宋体" w:hAnsi="宋体"/>
          <w:color w:val="auto"/>
          <w:kern w:val="0"/>
          <w:szCs w:val="21"/>
          <w:highlight w:val="none"/>
        </w:rPr>
        <w:t>13.3.1 试车程序</w:t>
      </w:r>
    </w:p>
    <w:p w14:paraId="65A4858D">
      <w:pPr>
        <w:spacing w:line="480" w:lineRule="exact"/>
        <w:rPr>
          <w:rFonts w:ascii="宋体" w:hAnsi="宋体"/>
          <w:color w:val="auto"/>
          <w:kern w:val="0"/>
          <w:szCs w:val="21"/>
          <w:highlight w:val="none"/>
        </w:rPr>
      </w:pPr>
      <w:r>
        <w:rPr>
          <w:rFonts w:ascii="宋体" w:hAnsi="宋体"/>
          <w:color w:val="auto"/>
          <w:kern w:val="0"/>
          <w:szCs w:val="21"/>
          <w:highlight w:val="none"/>
        </w:rPr>
        <w:t>工程试车内容：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BD30BA0">
      <w:pPr>
        <w:spacing w:line="480" w:lineRule="exact"/>
        <w:rPr>
          <w:rFonts w:ascii="宋体" w:hAnsi="宋体"/>
          <w:color w:val="auto"/>
          <w:kern w:val="0"/>
          <w:szCs w:val="21"/>
          <w:highlight w:val="none"/>
        </w:rPr>
      </w:pPr>
      <w:r>
        <w:rPr>
          <w:rFonts w:ascii="宋体" w:hAnsi="宋体"/>
          <w:color w:val="auto"/>
          <w:kern w:val="0"/>
          <w:szCs w:val="21"/>
          <w:highlight w:val="none"/>
        </w:rPr>
        <w:t>（1）单机无负荷试车费用由</w:t>
      </w:r>
      <w:r>
        <w:rPr>
          <w:rFonts w:ascii="宋体" w:hAnsi="宋体"/>
          <w:color w:val="auto"/>
          <w:szCs w:val="21"/>
          <w:highlight w:val="none"/>
          <w:u w:val="single"/>
        </w:rPr>
        <w:t xml:space="preserve">                     </w:t>
      </w:r>
      <w:r>
        <w:rPr>
          <w:rFonts w:ascii="宋体" w:hAnsi="宋体"/>
          <w:color w:val="auto"/>
          <w:kern w:val="0"/>
          <w:szCs w:val="21"/>
          <w:highlight w:val="none"/>
        </w:rPr>
        <w:t>承担；</w:t>
      </w:r>
    </w:p>
    <w:p w14:paraId="67646078">
      <w:pPr>
        <w:spacing w:line="480" w:lineRule="exact"/>
        <w:rPr>
          <w:rFonts w:hint="eastAsia" w:ascii="宋体" w:hAnsi="宋体"/>
          <w:color w:val="auto"/>
          <w:kern w:val="0"/>
          <w:szCs w:val="21"/>
          <w:highlight w:val="none"/>
        </w:rPr>
      </w:pPr>
      <w:r>
        <w:rPr>
          <w:rFonts w:ascii="宋体" w:hAnsi="宋体"/>
          <w:color w:val="auto"/>
          <w:kern w:val="0"/>
          <w:szCs w:val="21"/>
          <w:highlight w:val="none"/>
        </w:rPr>
        <w:t>（2）无负荷联动试车费用由</w:t>
      </w:r>
      <w:r>
        <w:rPr>
          <w:rFonts w:ascii="宋体" w:hAnsi="宋体"/>
          <w:color w:val="auto"/>
          <w:szCs w:val="21"/>
          <w:highlight w:val="none"/>
          <w:u w:val="single"/>
        </w:rPr>
        <w:t xml:space="preserve">                     </w:t>
      </w:r>
      <w:r>
        <w:rPr>
          <w:rFonts w:ascii="宋体" w:hAnsi="宋体"/>
          <w:color w:val="auto"/>
          <w:kern w:val="0"/>
          <w:szCs w:val="21"/>
          <w:highlight w:val="none"/>
        </w:rPr>
        <w:t>承担。</w:t>
      </w:r>
    </w:p>
    <w:p w14:paraId="6E881932">
      <w:pPr>
        <w:spacing w:line="480" w:lineRule="exact"/>
        <w:rPr>
          <w:rFonts w:ascii="宋体" w:hAnsi="宋体"/>
          <w:color w:val="auto"/>
          <w:kern w:val="0"/>
          <w:szCs w:val="21"/>
          <w:highlight w:val="none"/>
        </w:rPr>
      </w:pPr>
      <w:r>
        <w:rPr>
          <w:rFonts w:ascii="宋体" w:hAnsi="宋体"/>
          <w:color w:val="auto"/>
          <w:kern w:val="0"/>
          <w:szCs w:val="21"/>
          <w:highlight w:val="none"/>
        </w:rPr>
        <w:t>13.3.3 投料试车</w:t>
      </w:r>
    </w:p>
    <w:p w14:paraId="07EFE260">
      <w:pPr>
        <w:spacing w:line="480" w:lineRule="exact"/>
        <w:rPr>
          <w:rFonts w:ascii="宋体" w:hAnsi="宋体"/>
          <w:color w:val="auto"/>
          <w:kern w:val="0"/>
          <w:szCs w:val="21"/>
          <w:highlight w:val="none"/>
        </w:rPr>
      </w:pPr>
      <w:r>
        <w:rPr>
          <w:rFonts w:hint="eastAsia" w:ascii="宋体" w:hAnsi="宋体"/>
          <w:color w:val="auto"/>
          <w:kern w:val="0"/>
          <w:szCs w:val="21"/>
          <w:highlight w:val="none"/>
        </w:rPr>
        <w:t>关于投料试车相关事项的约定：</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7C9E991">
      <w:pPr>
        <w:spacing w:line="480" w:lineRule="exact"/>
        <w:rPr>
          <w:rFonts w:ascii="宋体" w:hAnsi="宋体"/>
          <w:color w:val="auto"/>
          <w:szCs w:val="21"/>
          <w:highlight w:val="none"/>
        </w:rPr>
      </w:pPr>
      <w:r>
        <w:rPr>
          <w:rFonts w:ascii="宋体" w:hAnsi="宋体"/>
          <w:color w:val="auto"/>
          <w:szCs w:val="21"/>
          <w:highlight w:val="none"/>
        </w:rPr>
        <w:t>13.6 竣工退场</w:t>
      </w:r>
    </w:p>
    <w:p w14:paraId="76C4BB6F">
      <w:pPr>
        <w:spacing w:line="480" w:lineRule="exact"/>
        <w:rPr>
          <w:rFonts w:ascii="宋体" w:hAnsi="宋体"/>
          <w:color w:val="auto"/>
          <w:kern w:val="0"/>
          <w:szCs w:val="21"/>
          <w:highlight w:val="none"/>
        </w:rPr>
      </w:pPr>
      <w:r>
        <w:rPr>
          <w:rFonts w:ascii="宋体" w:hAnsi="宋体"/>
          <w:color w:val="auto"/>
          <w:kern w:val="0"/>
          <w:szCs w:val="21"/>
          <w:highlight w:val="none"/>
        </w:rPr>
        <w:t>13.6.1 竣工退场</w:t>
      </w:r>
    </w:p>
    <w:p w14:paraId="4A12AF2F">
      <w:pPr>
        <w:spacing w:line="480" w:lineRule="exact"/>
        <w:rPr>
          <w:rFonts w:ascii="宋体" w:hAnsi="宋体"/>
          <w:color w:val="auto"/>
          <w:kern w:val="0"/>
          <w:szCs w:val="21"/>
          <w:highlight w:val="none"/>
        </w:rPr>
      </w:pPr>
      <w:r>
        <w:rPr>
          <w:rFonts w:ascii="宋体" w:hAnsi="宋体"/>
          <w:color w:val="auto"/>
          <w:kern w:val="0"/>
          <w:szCs w:val="21"/>
          <w:highlight w:val="none"/>
        </w:rPr>
        <w:t>承包人完成竣工退场的期限：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kern w:val="0"/>
          <w:szCs w:val="21"/>
          <w:highlight w:val="none"/>
        </w:rPr>
        <w:t>。</w:t>
      </w:r>
    </w:p>
    <w:p w14:paraId="2130A6FE">
      <w:pPr>
        <w:spacing w:line="480" w:lineRule="exact"/>
        <w:rPr>
          <w:rFonts w:ascii="宋体" w:hAnsi="宋体"/>
          <w:color w:val="auto"/>
          <w:szCs w:val="21"/>
          <w:highlight w:val="none"/>
        </w:rPr>
      </w:pPr>
      <w:bookmarkStart w:id="684" w:name="_Toc351203646"/>
      <w:r>
        <w:rPr>
          <w:rFonts w:ascii="宋体" w:hAnsi="宋体"/>
          <w:color w:val="auto"/>
          <w:szCs w:val="21"/>
          <w:highlight w:val="none"/>
        </w:rPr>
        <w:t>14. 竣工结算</w:t>
      </w:r>
      <w:bookmarkEnd w:id="684"/>
    </w:p>
    <w:p w14:paraId="44CBEB77">
      <w:pPr>
        <w:spacing w:line="480" w:lineRule="exact"/>
        <w:rPr>
          <w:rFonts w:ascii="宋体" w:hAnsi="宋体"/>
          <w:color w:val="auto"/>
          <w:szCs w:val="21"/>
          <w:highlight w:val="none"/>
        </w:rPr>
      </w:pPr>
      <w:r>
        <w:rPr>
          <w:rFonts w:ascii="宋体" w:hAnsi="宋体"/>
          <w:color w:val="auto"/>
          <w:szCs w:val="21"/>
          <w:highlight w:val="none"/>
        </w:rPr>
        <w:t>14.1 竣工</w:t>
      </w:r>
      <w:r>
        <w:rPr>
          <w:rFonts w:hint="eastAsia" w:ascii="宋体" w:hAnsi="宋体"/>
          <w:color w:val="auto"/>
          <w:szCs w:val="21"/>
          <w:highlight w:val="none"/>
        </w:rPr>
        <w:t>结算</w:t>
      </w:r>
      <w:r>
        <w:rPr>
          <w:rFonts w:ascii="宋体" w:hAnsi="宋体"/>
          <w:color w:val="auto"/>
          <w:szCs w:val="21"/>
          <w:highlight w:val="none"/>
        </w:rPr>
        <w:t>申请</w:t>
      </w:r>
    </w:p>
    <w:p w14:paraId="2B0BA4CB">
      <w:pPr>
        <w:spacing w:line="480" w:lineRule="exact"/>
        <w:rPr>
          <w:rFonts w:ascii="宋体" w:hAnsi="宋体"/>
          <w:color w:val="auto"/>
          <w:szCs w:val="21"/>
          <w:highlight w:val="none"/>
        </w:rPr>
      </w:pPr>
      <w:r>
        <w:rPr>
          <w:rFonts w:ascii="宋体" w:hAnsi="宋体"/>
          <w:color w:val="auto"/>
          <w:szCs w:val="21"/>
          <w:highlight w:val="none"/>
        </w:rPr>
        <w:t>承包人提交竣工</w:t>
      </w:r>
      <w:r>
        <w:rPr>
          <w:rFonts w:hint="eastAsia" w:ascii="宋体" w:hAnsi="宋体"/>
          <w:color w:val="auto"/>
          <w:szCs w:val="21"/>
          <w:highlight w:val="none"/>
        </w:rPr>
        <w:t>结算</w:t>
      </w:r>
      <w:r>
        <w:rPr>
          <w:rFonts w:ascii="宋体" w:hAnsi="宋体"/>
          <w:color w:val="auto"/>
          <w:szCs w:val="21"/>
          <w:highlight w:val="none"/>
        </w:rPr>
        <w:t>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8D59359">
      <w:pPr>
        <w:spacing w:line="480" w:lineRule="exact"/>
        <w:rPr>
          <w:rFonts w:ascii="宋体" w:hAnsi="宋体"/>
          <w:color w:val="auto"/>
          <w:szCs w:val="21"/>
          <w:highlight w:val="none"/>
        </w:rPr>
      </w:pPr>
      <w:r>
        <w:rPr>
          <w:rFonts w:ascii="宋体" w:hAnsi="宋体"/>
          <w:color w:val="auto"/>
          <w:szCs w:val="21"/>
          <w:highlight w:val="none"/>
        </w:rPr>
        <w:t>竣工</w:t>
      </w:r>
      <w:r>
        <w:rPr>
          <w:rFonts w:hint="eastAsia" w:ascii="宋体" w:hAnsi="宋体"/>
          <w:color w:val="auto"/>
          <w:szCs w:val="21"/>
          <w:highlight w:val="none"/>
        </w:rPr>
        <w:t>结算</w:t>
      </w:r>
      <w:r>
        <w:rPr>
          <w:rFonts w:ascii="宋体" w:hAnsi="宋体"/>
          <w:color w:val="auto"/>
          <w:szCs w:val="21"/>
          <w:highlight w:val="none"/>
        </w:rPr>
        <w:t>申请单应包括的内容：</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010AE1B">
      <w:pPr>
        <w:spacing w:line="480" w:lineRule="exact"/>
        <w:rPr>
          <w:rFonts w:ascii="宋体" w:hAnsi="宋体"/>
          <w:color w:val="auto"/>
          <w:szCs w:val="21"/>
          <w:highlight w:val="none"/>
        </w:rPr>
      </w:pPr>
      <w:r>
        <w:rPr>
          <w:rFonts w:ascii="宋体" w:hAnsi="宋体"/>
          <w:color w:val="auto"/>
          <w:szCs w:val="21"/>
          <w:highlight w:val="none"/>
        </w:rPr>
        <w:t>14.2 竣工结算审核</w:t>
      </w:r>
    </w:p>
    <w:p w14:paraId="04CE2628">
      <w:pPr>
        <w:spacing w:line="480" w:lineRule="exact"/>
        <w:rPr>
          <w:rFonts w:ascii="宋体" w:hAnsi="宋体"/>
          <w:color w:val="auto"/>
          <w:szCs w:val="21"/>
          <w:highlight w:val="none"/>
        </w:rPr>
      </w:pPr>
      <w:r>
        <w:rPr>
          <w:rFonts w:ascii="宋体" w:hAnsi="宋体"/>
          <w:color w:val="auto"/>
          <w:szCs w:val="21"/>
          <w:highlight w:val="none"/>
        </w:rPr>
        <w:t>发包人</w:t>
      </w:r>
      <w:r>
        <w:rPr>
          <w:rFonts w:hint="eastAsia" w:ascii="宋体" w:hAnsi="宋体"/>
          <w:color w:val="auto"/>
          <w:szCs w:val="21"/>
          <w:highlight w:val="none"/>
        </w:rPr>
        <w:t>审批</w:t>
      </w:r>
      <w:r>
        <w:rPr>
          <w:rFonts w:ascii="宋体" w:hAnsi="宋体"/>
          <w:color w:val="auto"/>
          <w:szCs w:val="21"/>
          <w:highlight w:val="none"/>
        </w:rPr>
        <w:t>竣工付款申请单的期限：</w:t>
      </w:r>
      <w:r>
        <w:rPr>
          <w:rFonts w:ascii="宋体" w:hAnsi="宋体"/>
          <w:color w:val="auto"/>
          <w:szCs w:val="21"/>
          <w:highlight w:val="none"/>
          <w:u w:val="single"/>
        </w:rPr>
        <w:t xml:space="preserve"> </w:t>
      </w:r>
      <w:r>
        <w:rPr>
          <w:rFonts w:hint="eastAsia"/>
          <w:color w:val="auto"/>
          <w:szCs w:val="21"/>
          <w:u w:val="single"/>
          <w:lang w:val="en-US" w:eastAsia="zh-CN"/>
        </w:rPr>
        <w:t>按照通用条款执行</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5D916D89">
      <w:pPr>
        <w:spacing w:line="480" w:lineRule="exact"/>
        <w:rPr>
          <w:rFonts w:hint="eastAsia" w:ascii="宋体" w:hAnsi="宋体"/>
          <w:color w:val="auto"/>
          <w:szCs w:val="21"/>
          <w:highlight w:val="none"/>
        </w:rPr>
      </w:pPr>
      <w:r>
        <w:rPr>
          <w:rFonts w:ascii="宋体" w:hAnsi="宋体"/>
          <w:color w:val="auto"/>
          <w:szCs w:val="21"/>
          <w:highlight w:val="none"/>
        </w:rPr>
        <w:t>发包人完成竣工付款的期限：</w:t>
      </w:r>
      <w:r>
        <w:rPr>
          <w:rFonts w:ascii="宋体" w:hAnsi="宋体"/>
          <w:color w:val="auto"/>
          <w:szCs w:val="21"/>
          <w:highlight w:val="none"/>
          <w:u w:val="single"/>
        </w:rPr>
        <w:t xml:space="preserve">  </w:t>
      </w:r>
      <w:r>
        <w:rPr>
          <w:rFonts w:hint="eastAsia"/>
          <w:color w:val="auto"/>
          <w:szCs w:val="21"/>
          <w:u w:val="single"/>
          <w:lang w:val="en-US" w:eastAsia="zh-CN"/>
        </w:rPr>
        <w:t>按照通用条款执行</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637B267">
      <w:pPr>
        <w:spacing w:line="480" w:lineRule="exact"/>
        <w:rPr>
          <w:rFonts w:ascii="宋体" w:hAnsi="宋体"/>
          <w:color w:val="auto"/>
          <w:szCs w:val="21"/>
          <w:highlight w:val="none"/>
          <w:u w:val="single"/>
        </w:rPr>
      </w:pPr>
      <w:r>
        <w:rPr>
          <w:rFonts w:hint="eastAsia" w:ascii="宋体" w:hAnsi="宋体"/>
          <w:color w:val="auto"/>
          <w:szCs w:val="21"/>
          <w:highlight w:val="none"/>
        </w:rPr>
        <w:t>关于竣工付款证书异议部分复核的方式和程序：</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按《湖南省住房和城乡建设厅关于印发 </w:t>
      </w:r>
      <w:r>
        <w:rPr>
          <w:rFonts w:hint="default" w:ascii="宋体" w:hAnsi="宋体"/>
          <w:color w:val="auto"/>
          <w:szCs w:val="21"/>
          <w:highlight w:val="none"/>
          <w:u w:val="single"/>
          <w:lang w:val="en-US" w:eastAsia="zh-CN"/>
        </w:rPr>
        <w:t>2020&lt;</w:t>
      </w:r>
      <w:r>
        <w:rPr>
          <w:rFonts w:hint="eastAsia" w:ascii="宋体" w:hAnsi="宋体"/>
          <w:color w:val="auto"/>
          <w:szCs w:val="21"/>
          <w:highlight w:val="none"/>
          <w:u w:val="single"/>
          <w:lang w:val="en-US" w:eastAsia="zh-CN"/>
        </w:rPr>
        <w:t>湖南省建设工程计价办法</w:t>
      </w:r>
      <w:r>
        <w:rPr>
          <w:rFonts w:hint="default" w:ascii="宋体" w:hAnsi="宋体"/>
          <w:color w:val="auto"/>
          <w:szCs w:val="21"/>
          <w:highlight w:val="none"/>
          <w:u w:val="single"/>
          <w:lang w:val="en-US" w:eastAsia="zh-CN"/>
        </w:rPr>
        <w:t>&gt;</w:t>
      </w:r>
      <w:r>
        <w:rPr>
          <w:rFonts w:hint="eastAsia" w:ascii="宋体" w:hAnsi="宋体"/>
          <w:color w:val="auto"/>
          <w:szCs w:val="21"/>
          <w:highlight w:val="none"/>
          <w:u w:val="single"/>
          <w:lang w:val="en-US" w:eastAsia="zh-CN"/>
        </w:rPr>
        <w:t>及</w:t>
      </w:r>
      <w:r>
        <w:rPr>
          <w:rFonts w:hint="default" w:ascii="宋体" w:hAnsi="宋体"/>
          <w:color w:val="auto"/>
          <w:szCs w:val="21"/>
          <w:highlight w:val="none"/>
          <w:u w:val="single"/>
          <w:lang w:val="en-US" w:eastAsia="zh-CN"/>
        </w:rPr>
        <w:t>&lt;</w:t>
      </w:r>
      <w:r>
        <w:rPr>
          <w:rFonts w:hint="eastAsia" w:ascii="宋体" w:hAnsi="宋体"/>
          <w:color w:val="auto"/>
          <w:szCs w:val="21"/>
          <w:highlight w:val="none"/>
          <w:u w:val="single"/>
          <w:lang w:val="en-US" w:eastAsia="zh-CN"/>
        </w:rPr>
        <w:t>湖南省建设工程消耗量标准</w:t>
      </w:r>
      <w:r>
        <w:rPr>
          <w:rFonts w:hint="default" w:ascii="宋体" w:hAnsi="宋体"/>
          <w:color w:val="auto"/>
          <w:szCs w:val="21"/>
          <w:highlight w:val="none"/>
          <w:u w:val="single"/>
          <w:lang w:val="en-US" w:eastAsia="zh-CN"/>
        </w:rPr>
        <w:t>&gt;</w:t>
      </w:r>
      <w:r>
        <w:rPr>
          <w:rFonts w:hint="eastAsia" w:ascii="宋体" w:hAnsi="宋体"/>
          <w:color w:val="auto"/>
          <w:szCs w:val="21"/>
          <w:highlight w:val="none"/>
          <w:u w:val="single"/>
          <w:lang w:val="en-US" w:eastAsia="zh-CN"/>
        </w:rPr>
        <w:t>的通知》（湘建价〔</w:t>
      </w:r>
      <w:r>
        <w:rPr>
          <w:rFonts w:hint="default" w:ascii="宋体" w:hAnsi="宋体"/>
          <w:color w:val="auto"/>
          <w:szCs w:val="21"/>
          <w:highlight w:val="none"/>
          <w:u w:val="single"/>
          <w:lang w:val="en-US" w:eastAsia="zh-CN"/>
        </w:rPr>
        <w:t>2020</w:t>
      </w:r>
      <w:r>
        <w:rPr>
          <w:rFonts w:hint="eastAsia" w:ascii="宋体" w:hAnsi="宋体"/>
          <w:color w:val="auto"/>
          <w:szCs w:val="21"/>
          <w:highlight w:val="none"/>
          <w:u w:val="single"/>
          <w:lang w:val="en-US" w:eastAsia="zh-CN"/>
        </w:rPr>
        <w:t>〕</w:t>
      </w:r>
      <w:r>
        <w:rPr>
          <w:rFonts w:hint="default" w:ascii="宋体" w:hAnsi="宋体"/>
          <w:color w:val="auto"/>
          <w:szCs w:val="21"/>
          <w:highlight w:val="none"/>
          <w:u w:val="single"/>
          <w:lang w:val="en-US" w:eastAsia="zh-CN"/>
        </w:rPr>
        <w:t xml:space="preserve">56 </w:t>
      </w:r>
      <w:r>
        <w:rPr>
          <w:rFonts w:hint="eastAsia" w:ascii="宋体" w:hAnsi="宋体"/>
          <w:color w:val="auto"/>
          <w:szCs w:val="21"/>
          <w:highlight w:val="none"/>
          <w:u w:val="single"/>
          <w:lang w:val="en-US" w:eastAsia="zh-CN"/>
        </w:rPr>
        <w:t xml:space="preserve">号）、《湖 </w:t>
      </w:r>
    </w:p>
    <w:p w14:paraId="48A6A3F8">
      <w:pPr>
        <w:spacing w:line="480" w:lineRule="exact"/>
        <w:rPr>
          <w:rFonts w:ascii="宋体" w:hAnsi="宋体"/>
          <w:color w:val="auto"/>
          <w:szCs w:val="21"/>
          <w:highlight w:val="none"/>
        </w:rPr>
      </w:pPr>
      <w:r>
        <w:rPr>
          <w:rFonts w:hint="eastAsia" w:ascii="宋体" w:hAnsi="宋体"/>
          <w:color w:val="auto"/>
          <w:szCs w:val="21"/>
          <w:highlight w:val="none"/>
          <w:u w:val="single"/>
          <w:lang w:val="en-US" w:eastAsia="zh-CN"/>
        </w:rPr>
        <w:t>南省住房和城乡建设厅关于发布《湖南省建设工程计价依据动态调整汇编</w:t>
      </w:r>
      <w:r>
        <w:rPr>
          <w:rFonts w:hint="default" w:ascii="宋体" w:hAnsi="宋体"/>
          <w:color w:val="auto"/>
          <w:szCs w:val="21"/>
          <w:highlight w:val="none"/>
          <w:u w:val="single"/>
          <w:lang w:val="en-US" w:eastAsia="zh-CN"/>
        </w:rPr>
        <w:t xml:space="preserve">&lt;2022 </w:t>
      </w:r>
      <w:r>
        <w:rPr>
          <w:rFonts w:hint="eastAsia" w:ascii="宋体" w:hAnsi="宋体"/>
          <w:color w:val="auto"/>
          <w:szCs w:val="21"/>
          <w:highlight w:val="none"/>
          <w:u w:val="single"/>
          <w:lang w:val="en-US" w:eastAsia="zh-CN"/>
        </w:rPr>
        <w:t>年度第一 期</w:t>
      </w:r>
      <w:r>
        <w:rPr>
          <w:rFonts w:hint="default" w:ascii="宋体" w:hAnsi="宋体"/>
          <w:color w:val="auto"/>
          <w:szCs w:val="21"/>
          <w:highlight w:val="none"/>
          <w:u w:val="single"/>
          <w:lang w:val="en-US" w:eastAsia="zh-CN"/>
        </w:rPr>
        <w:t>&gt;</w:t>
      </w:r>
      <w:r>
        <w:rPr>
          <w:rFonts w:hint="eastAsia" w:ascii="宋体" w:hAnsi="宋体"/>
          <w:color w:val="auto"/>
          <w:szCs w:val="21"/>
          <w:highlight w:val="none"/>
          <w:u w:val="single"/>
          <w:lang w:val="en-US" w:eastAsia="zh-CN"/>
        </w:rPr>
        <w:t>》的通知》（湘建价市〔</w:t>
      </w:r>
      <w:r>
        <w:rPr>
          <w:rFonts w:hint="default" w:ascii="宋体" w:hAnsi="宋体"/>
          <w:color w:val="auto"/>
          <w:szCs w:val="21"/>
          <w:highlight w:val="none"/>
          <w:u w:val="single"/>
          <w:lang w:val="en-US" w:eastAsia="zh-CN"/>
        </w:rPr>
        <w:t>2022</w:t>
      </w:r>
      <w:r>
        <w:rPr>
          <w:rFonts w:hint="eastAsia" w:ascii="宋体" w:hAnsi="宋体"/>
          <w:color w:val="auto"/>
          <w:szCs w:val="21"/>
          <w:highlight w:val="none"/>
          <w:u w:val="single"/>
          <w:lang w:val="en-US" w:eastAsia="zh-CN"/>
        </w:rPr>
        <w:t>〕</w:t>
      </w:r>
      <w:r>
        <w:rPr>
          <w:rFonts w:hint="default" w:ascii="宋体" w:hAnsi="宋体"/>
          <w:color w:val="auto"/>
          <w:szCs w:val="21"/>
          <w:highlight w:val="none"/>
          <w:u w:val="single"/>
          <w:lang w:val="en-US" w:eastAsia="zh-CN"/>
        </w:rPr>
        <w:t xml:space="preserve">146 </w:t>
      </w:r>
      <w:r>
        <w:rPr>
          <w:rFonts w:hint="eastAsia" w:ascii="宋体" w:hAnsi="宋体"/>
          <w:color w:val="auto"/>
          <w:szCs w:val="21"/>
          <w:highlight w:val="none"/>
          <w:u w:val="single"/>
          <w:lang w:val="en-US" w:eastAsia="zh-CN"/>
        </w:rPr>
        <w:t>号）等执行。 注：最终变更及结算金额以财评结论为准。</w:t>
      </w:r>
    </w:p>
    <w:p w14:paraId="6A1E0412">
      <w:pPr>
        <w:spacing w:line="480" w:lineRule="exact"/>
        <w:rPr>
          <w:rFonts w:ascii="宋体" w:hAnsi="宋体"/>
          <w:color w:val="auto"/>
          <w:szCs w:val="21"/>
          <w:highlight w:val="none"/>
        </w:rPr>
      </w:pPr>
      <w:r>
        <w:rPr>
          <w:rFonts w:ascii="宋体" w:hAnsi="宋体"/>
          <w:color w:val="auto"/>
          <w:szCs w:val="21"/>
          <w:highlight w:val="none"/>
        </w:rPr>
        <w:t>14.4 最终结清</w:t>
      </w:r>
    </w:p>
    <w:p w14:paraId="63DF9C49">
      <w:pPr>
        <w:spacing w:line="480" w:lineRule="exact"/>
        <w:rPr>
          <w:rFonts w:ascii="宋体" w:hAnsi="宋体"/>
          <w:color w:val="auto"/>
          <w:kern w:val="0"/>
          <w:szCs w:val="21"/>
          <w:highlight w:val="none"/>
        </w:rPr>
      </w:pPr>
      <w:r>
        <w:rPr>
          <w:rFonts w:ascii="宋体" w:hAnsi="宋体"/>
          <w:color w:val="auto"/>
          <w:kern w:val="0"/>
          <w:szCs w:val="21"/>
          <w:highlight w:val="none"/>
        </w:rPr>
        <w:t>14.4.1 最终结清申请单</w:t>
      </w:r>
    </w:p>
    <w:p w14:paraId="78CB9DC6">
      <w:pPr>
        <w:spacing w:line="480" w:lineRule="exact"/>
        <w:rPr>
          <w:rFonts w:ascii="宋体" w:hAnsi="宋体"/>
          <w:color w:val="auto"/>
          <w:kern w:val="0"/>
          <w:szCs w:val="21"/>
          <w:highlight w:val="none"/>
        </w:rPr>
      </w:pPr>
      <w:r>
        <w:rPr>
          <w:rFonts w:ascii="宋体" w:hAnsi="宋体"/>
          <w:color w:val="auto"/>
          <w:kern w:val="0"/>
          <w:szCs w:val="21"/>
          <w:highlight w:val="none"/>
        </w:rPr>
        <w:t>承包人提交最终结清申请单的份数：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6278DC4C">
      <w:pPr>
        <w:spacing w:line="480" w:lineRule="exact"/>
        <w:rPr>
          <w:rFonts w:ascii="宋体" w:hAnsi="宋体"/>
          <w:color w:val="auto"/>
          <w:szCs w:val="21"/>
          <w:highlight w:val="none"/>
        </w:rPr>
      </w:pPr>
      <w:r>
        <w:rPr>
          <w:rFonts w:ascii="宋体" w:hAnsi="宋体"/>
          <w:color w:val="auto"/>
          <w:kern w:val="0"/>
          <w:szCs w:val="21"/>
          <w:highlight w:val="none"/>
        </w:rPr>
        <w:t>承包人提交最终结算申请单的期限：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19AC8BA">
      <w:pPr>
        <w:spacing w:line="480" w:lineRule="exact"/>
        <w:rPr>
          <w:rFonts w:ascii="宋体" w:hAnsi="宋体"/>
          <w:color w:val="auto"/>
          <w:szCs w:val="21"/>
          <w:highlight w:val="none"/>
        </w:rPr>
      </w:pPr>
      <w:r>
        <w:rPr>
          <w:rFonts w:ascii="宋体" w:hAnsi="宋体"/>
          <w:color w:val="auto"/>
          <w:szCs w:val="21"/>
          <w:highlight w:val="none"/>
        </w:rPr>
        <w:t>14.4.2 最终结清证书和支付</w:t>
      </w:r>
    </w:p>
    <w:p w14:paraId="46E4714C">
      <w:pPr>
        <w:spacing w:line="480" w:lineRule="exact"/>
        <w:rPr>
          <w:rFonts w:ascii="宋体" w:hAnsi="宋体"/>
          <w:color w:val="auto"/>
          <w:szCs w:val="21"/>
          <w:highlight w:val="none"/>
        </w:rPr>
      </w:pPr>
      <w:r>
        <w:rPr>
          <w:rFonts w:ascii="宋体" w:hAnsi="宋体"/>
          <w:color w:val="auto"/>
          <w:szCs w:val="21"/>
          <w:highlight w:val="none"/>
        </w:rPr>
        <w:t>（1）发包人完成最终结清申请单的</w:t>
      </w:r>
      <w:r>
        <w:rPr>
          <w:rFonts w:hint="eastAsia" w:ascii="宋体" w:hAnsi="宋体"/>
          <w:color w:val="auto"/>
          <w:szCs w:val="21"/>
          <w:highlight w:val="none"/>
        </w:rPr>
        <w:t>审批</w:t>
      </w:r>
      <w:r>
        <w:rPr>
          <w:rFonts w:ascii="宋体" w:hAnsi="宋体"/>
          <w:color w:val="auto"/>
          <w:szCs w:val="21"/>
          <w:highlight w:val="none"/>
        </w:rPr>
        <w:t>并颁发最终结清证书的期限：</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E782F86">
      <w:pPr>
        <w:spacing w:line="480" w:lineRule="exact"/>
        <w:rPr>
          <w:rFonts w:ascii="宋体" w:hAnsi="宋体"/>
          <w:color w:val="auto"/>
          <w:szCs w:val="21"/>
          <w:highlight w:val="none"/>
        </w:rPr>
      </w:pPr>
      <w:r>
        <w:rPr>
          <w:rFonts w:ascii="宋体" w:hAnsi="宋体"/>
          <w:color w:val="auto"/>
          <w:szCs w:val="21"/>
          <w:highlight w:val="none"/>
        </w:rPr>
        <w:t>（2）发包人完成支付的期限：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71"/>
    <w:bookmarkEnd w:id="672"/>
    <w:bookmarkEnd w:id="673"/>
    <w:bookmarkEnd w:id="674"/>
    <w:bookmarkEnd w:id="675"/>
    <w:bookmarkEnd w:id="676"/>
    <w:bookmarkEnd w:id="677"/>
    <w:bookmarkEnd w:id="683"/>
    <w:p w14:paraId="4BC70EE6">
      <w:pPr>
        <w:spacing w:line="480" w:lineRule="exact"/>
        <w:rPr>
          <w:rFonts w:ascii="宋体" w:hAnsi="宋体"/>
          <w:color w:val="auto"/>
          <w:szCs w:val="21"/>
          <w:highlight w:val="none"/>
        </w:rPr>
      </w:pPr>
      <w:bookmarkStart w:id="685" w:name="_Toc351203647"/>
      <w:bookmarkStart w:id="686" w:name="_Toc267251483"/>
      <w:bookmarkStart w:id="687" w:name="_Toc267251484"/>
      <w:bookmarkStart w:id="688" w:name="_Toc267251482"/>
      <w:bookmarkStart w:id="689" w:name="_Toc267251485"/>
      <w:bookmarkStart w:id="690" w:name="_Toc267251490"/>
      <w:bookmarkStart w:id="691" w:name="_Toc267251486"/>
      <w:bookmarkStart w:id="692" w:name="_Toc267251489"/>
      <w:bookmarkStart w:id="693" w:name="_Toc267251488"/>
      <w:bookmarkStart w:id="694" w:name="_Toc267251491"/>
      <w:bookmarkStart w:id="695" w:name="_Toc267251498"/>
      <w:bookmarkStart w:id="696" w:name="_Toc267251492"/>
      <w:bookmarkStart w:id="697" w:name="_Toc267251503"/>
      <w:bookmarkStart w:id="698" w:name="_Toc267251499"/>
      <w:bookmarkStart w:id="699" w:name="_Toc267251496"/>
      <w:bookmarkStart w:id="700" w:name="_Toc267251502"/>
      <w:bookmarkStart w:id="701" w:name="_Toc267251494"/>
      <w:bookmarkStart w:id="702" w:name="_Toc267251493"/>
      <w:bookmarkStart w:id="703" w:name="_Toc267251501"/>
      <w:bookmarkStart w:id="704" w:name="_Toc267251495"/>
      <w:bookmarkStart w:id="705" w:name="_Toc267251497"/>
      <w:bookmarkStart w:id="706" w:name="_Toc267251504"/>
      <w:bookmarkStart w:id="707" w:name="_Toc267251506"/>
      <w:bookmarkStart w:id="708" w:name="_Toc267251507"/>
      <w:bookmarkStart w:id="709" w:name="_Toc267251508"/>
      <w:bookmarkStart w:id="710" w:name="_Toc267251511"/>
      <w:bookmarkStart w:id="711" w:name="_Toc267251514"/>
      <w:bookmarkStart w:id="712" w:name="_Toc267251515"/>
      <w:bookmarkStart w:id="713" w:name="_Toc267251510"/>
      <w:bookmarkStart w:id="714" w:name="_Toc267251513"/>
      <w:bookmarkStart w:id="715" w:name="_Toc267251509"/>
      <w:r>
        <w:rPr>
          <w:rFonts w:ascii="宋体" w:hAnsi="宋体"/>
          <w:color w:val="auto"/>
          <w:szCs w:val="21"/>
          <w:highlight w:val="none"/>
        </w:rPr>
        <w:t>15. 缺陷责任期与保修</w:t>
      </w:r>
      <w:bookmarkEnd w:id="685"/>
    </w:p>
    <w:p w14:paraId="0EB68DD8">
      <w:pPr>
        <w:spacing w:line="480" w:lineRule="exact"/>
        <w:rPr>
          <w:rFonts w:ascii="宋体" w:hAnsi="宋体"/>
          <w:color w:val="auto"/>
          <w:szCs w:val="21"/>
          <w:highlight w:val="none"/>
        </w:rPr>
      </w:pPr>
      <w:r>
        <w:rPr>
          <w:rFonts w:ascii="宋体" w:hAnsi="宋体"/>
          <w:color w:val="auto"/>
          <w:szCs w:val="21"/>
          <w:highlight w:val="none"/>
        </w:rPr>
        <w:t>15.2缺陷责任期</w:t>
      </w:r>
      <w:bookmarkEnd w:id="686"/>
    </w:p>
    <w:p w14:paraId="5680A5E2">
      <w:pPr>
        <w:spacing w:line="480" w:lineRule="exact"/>
        <w:rPr>
          <w:rFonts w:ascii="宋体" w:hAnsi="宋体"/>
          <w:color w:val="auto"/>
          <w:szCs w:val="21"/>
          <w:highlight w:val="none"/>
        </w:rPr>
      </w:pPr>
      <w:r>
        <w:rPr>
          <w:rFonts w:ascii="宋体" w:hAnsi="宋体"/>
          <w:color w:val="auto"/>
          <w:szCs w:val="21"/>
          <w:highlight w:val="none"/>
        </w:rPr>
        <w:t>缺陷责任期的具体期限：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1202647E">
      <w:pPr>
        <w:spacing w:line="480" w:lineRule="exact"/>
        <w:rPr>
          <w:rFonts w:ascii="宋体" w:hAnsi="宋体"/>
          <w:color w:val="auto"/>
          <w:szCs w:val="21"/>
          <w:highlight w:val="none"/>
        </w:rPr>
      </w:pPr>
      <w:r>
        <w:rPr>
          <w:rFonts w:ascii="宋体" w:hAnsi="宋体"/>
          <w:color w:val="auto"/>
          <w:szCs w:val="21"/>
          <w:highlight w:val="none"/>
        </w:rPr>
        <w:t>15.3 质量保证金</w:t>
      </w:r>
    </w:p>
    <w:p w14:paraId="2A6DA48B">
      <w:pPr>
        <w:spacing w:line="480" w:lineRule="exact"/>
        <w:rPr>
          <w:rFonts w:ascii="宋体" w:hAnsi="宋体"/>
          <w:color w:val="auto"/>
          <w:szCs w:val="21"/>
          <w:highlight w:val="none"/>
        </w:rPr>
      </w:pPr>
      <w:r>
        <w:rPr>
          <w:rFonts w:hint="eastAsia" w:ascii="宋体" w:hAnsi="宋体"/>
          <w:color w:val="auto"/>
          <w:szCs w:val="21"/>
          <w:highlight w:val="none"/>
        </w:rPr>
        <w:t>关于是否扣留质量保证金的约定：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在工程项目竣工前，承包人按专用合同条款第3.7条提供履约担保的，发包人不得同时预留工程质量保证金。</w:t>
      </w:r>
    </w:p>
    <w:p w14:paraId="5C3ACF6B">
      <w:pPr>
        <w:spacing w:line="480" w:lineRule="exact"/>
        <w:rPr>
          <w:rFonts w:ascii="宋体" w:hAnsi="宋体"/>
          <w:color w:val="auto"/>
          <w:szCs w:val="21"/>
          <w:highlight w:val="none"/>
        </w:rPr>
      </w:pPr>
      <w:r>
        <w:rPr>
          <w:rFonts w:ascii="宋体" w:hAnsi="宋体"/>
          <w:color w:val="auto"/>
          <w:szCs w:val="21"/>
          <w:highlight w:val="none"/>
        </w:rPr>
        <w:t xml:space="preserve">15.3.1 </w:t>
      </w:r>
      <w:r>
        <w:rPr>
          <w:rFonts w:hint="eastAsia" w:ascii="宋体" w:hAnsi="宋体"/>
          <w:color w:val="auto"/>
          <w:szCs w:val="21"/>
          <w:highlight w:val="none"/>
        </w:rPr>
        <w:t>承包人提供</w:t>
      </w:r>
      <w:r>
        <w:rPr>
          <w:rFonts w:ascii="宋体" w:hAnsi="宋体"/>
          <w:color w:val="auto"/>
          <w:szCs w:val="21"/>
          <w:highlight w:val="none"/>
        </w:rPr>
        <w:t>质量保证金的</w:t>
      </w:r>
      <w:r>
        <w:rPr>
          <w:rFonts w:hint="eastAsia" w:ascii="宋体" w:hAnsi="宋体"/>
          <w:color w:val="auto"/>
          <w:szCs w:val="21"/>
          <w:highlight w:val="none"/>
        </w:rPr>
        <w:t>方</w:t>
      </w:r>
      <w:r>
        <w:rPr>
          <w:rFonts w:ascii="宋体" w:hAnsi="宋体"/>
          <w:color w:val="auto"/>
          <w:szCs w:val="21"/>
          <w:highlight w:val="none"/>
        </w:rPr>
        <w:t>式</w:t>
      </w:r>
    </w:p>
    <w:p w14:paraId="67DDC0F5">
      <w:pPr>
        <w:spacing w:line="480" w:lineRule="exact"/>
        <w:rPr>
          <w:rFonts w:ascii="宋体" w:hAnsi="宋体"/>
          <w:color w:val="auto"/>
          <w:szCs w:val="21"/>
          <w:highlight w:val="none"/>
        </w:rPr>
      </w:pPr>
      <w:r>
        <w:rPr>
          <w:rFonts w:ascii="宋体" w:hAnsi="宋体"/>
          <w:color w:val="auto"/>
          <w:szCs w:val="21"/>
          <w:highlight w:val="none"/>
        </w:rPr>
        <w:t>质量保证金采用以下第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14:paraId="0AB3466C">
      <w:pPr>
        <w:spacing w:line="480" w:lineRule="exact"/>
        <w:rPr>
          <w:rFonts w:ascii="宋体" w:hAnsi="宋体"/>
          <w:color w:val="auto"/>
          <w:kern w:val="0"/>
          <w:szCs w:val="21"/>
          <w:highlight w:val="none"/>
        </w:rPr>
      </w:pPr>
      <w:r>
        <w:rPr>
          <w:rFonts w:ascii="宋体" w:hAnsi="宋体"/>
          <w:color w:val="auto"/>
          <w:kern w:val="0"/>
          <w:szCs w:val="21"/>
          <w:highlight w:val="none"/>
        </w:rPr>
        <w:t>（1）质量保证金保函，保证金额为：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304DE86B">
      <w:pPr>
        <w:spacing w:line="480" w:lineRule="exact"/>
        <w:rPr>
          <w:rFonts w:ascii="宋体" w:hAnsi="宋体"/>
          <w:color w:val="auto"/>
          <w:kern w:val="0"/>
          <w:szCs w:val="21"/>
          <w:highlight w:val="none"/>
        </w:rPr>
      </w:pPr>
      <w:r>
        <w:rPr>
          <w:rFonts w:ascii="宋体" w:hAnsi="宋体"/>
          <w:color w:val="auto"/>
          <w:kern w:val="0"/>
          <w:szCs w:val="21"/>
          <w:highlight w:val="none"/>
        </w:rPr>
        <w:t>（2）</w:t>
      </w:r>
      <w:r>
        <w:rPr>
          <w:rFonts w:ascii="宋体" w:hAnsi="宋体"/>
          <w:color w:val="auto"/>
          <w:kern w:val="0"/>
          <w:szCs w:val="21"/>
          <w:highlight w:val="none"/>
          <w:u w:val="single"/>
        </w:rPr>
        <w:t xml:space="preserve">      </w:t>
      </w:r>
      <w:r>
        <w:rPr>
          <w:rFonts w:ascii="宋体" w:hAnsi="宋体"/>
          <w:color w:val="auto"/>
          <w:kern w:val="0"/>
          <w:szCs w:val="21"/>
          <w:highlight w:val="none"/>
        </w:rPr>
        <w:t>%的工程款；</w:t>
      </w:r>
    </w:p>
    <w:p w14:paraId="19326C9E">
      <w:pPr>
        <w:spacing w:line="480" w:lineRule="exact"/>
        <w:rPr>
          <w:rFonts w:hint="eastAsia" w:ascii="宋体" w:hAnsi="宋体"/>
          <w:color w:val="auto"/>
          <w:kern w:val="0"/>
          <w:szCs w:val="21"/>
          <w:highlight w:val="none"/>
        </w:rPr>
      </w:pPr>
      <w:r>
        <w:rPr>
          <w:rFonts w:ascii="宋体" w:hAnsi="宋体"/>
          <w:color w:val="auto"/>
          <w:kern w:val="0"/>
          <w:szCs w:val="21"/>
          <w:highlight w:val="none"/>
        </w:rPr>
        <w:t>（3）其他</w:t>
      </w:r>
      <w:r>
        <w:rPr>
          <w:rFonts w:hint="eastAsia" w:ascii="宋体" w:hAnsi="宋体"/>
          <w:color w:val="auto"/>
          <w:kern w:val="0"/>
          <w:szCs w:val="21"/>
          <w:highlight w:val="none"/>
        </w:rPr>
        <w:t>方</w:t>
      </w:r>
      <w:r>
        <w:rPr>
          <w:rFonts w:ascii="宋体" w:hAnsi="宋体"/>
          <w:color w:val="auto"/>
          <w:kern w:val="0"/>
          <w:szCs w:val="21"/>
          <w:highlight w:val="none"/>
        </w:rPr>
        <w:t>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F44FA02">
      <w:pPr>
        <w:spacing w:line="480" w:lineRule="exact"/>
        <w:rPr>
          <w:rFonts w:ascii="宋体" w:hAnsi="宋体"/>
          <w:color w:val="auto"/>
          <w:szCs w:val="21"/>
          <w:highlight w:val="none"/>
        </w:rPr>
      </w:pPr>
      <w:r>
        <w:rPr>
          <w:rFonts w:ascii="宋体" w:hAnsi="宋体"/>
          <w:color w:val="auto"/>
          <w:szCs w:val="21"/>
          <w:highlight w:val="none"/>
        </w:rPr>
        <w:t xml:space="preserve">15.3.2 质量保证金的扣留 </w:t>
      </w:r>
    </w:p>
    <w:p w14:paraId="022995EB">
      <w:pPr>
        <w:spacing w:line="480" w:lineRule="exact"/>
        <w:rPr>
          <w:rFonts w:ascii="宋体" w:hAnsi="宋体"/>
          <w:color w:val="auto"/>
          <w:szCs w:val="21"/>
          <w:highlight w:val="none"/>
        </w:rPr>
      </w:pPr>
      <w:r>
        <w:rPr>
          <w:rFonts w:ascii="宋体" w:hAnsi="宋体"/>
          <w:color w:val="auto"/>
          <w:szCs w:val="21"/>
          <w:highlight w:val="none"/>
        </w:rPr>
        <w:t>质量保证金的扣留采取以下第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种方式：</w:t>
      </w:r>
    </w:p>
    <w:p w14:paraId="6A03EB6F">
      <w:pPr>
        <w:spacing w:line="480" w:lineRule="exact"/>
        <w:rPr>
          <w:rFonts w:ascii="宋体" w:hAnsi="宋体"/>
          <w:color w:val="auto"/>
          <w:kern w:val="0"/>
          <w:szCs w:val="21"/>
          <w:highlight w:val="none"/>
        </w:rPr>
      </w:pPr>
      <w:r>
        <w:rPr>
          <w:rFonts w:ascii="宋体" w:hAnsi="宋体"/>
          <w:color w:val="auto"/>
          <w:kern w:val="0"/>
          <w:szCs w:val="21"/>
          <w:highlight w:val="none"/>
        </w:rPr>
        <w:t>（1）在支付工程进度款时逐次扣留，在此情形下，质量保证金的计算基数不包括预付款的支付、扣回以及价格调整的金额；</w:t>
      </w:r>
    </w:p>
    <w:p w14:paraId="7991B103">
      <w:pPr>
        <w:spacing w:line="480" w:lineRule="exact"/>
        <w:rPr>
          <w:rFonts w:ascii="宋体" w:hAnsi="宋体"/>
          <w:color w:val="auto"/>
          <w:kern w:val="0"/>
          <w:szCs w:val="21"/>
          <w:highlight w:val="none"/>
        </w:rPr>
      </w:pPr>
      <w:r>
        <w:rPr>
          <w:rFonts w:ascii="宋体" w:hAnsi="宋体"/>
          <w:color w:val="auto"/>
          <w:kern w:val="0"/>
          <w:szCs w:val="21"/>
          <w:highlight w:val="none"/>
        </w:rPr>
        <w:t>（2）工程竣工结算时一次性扣留质量保证金；</w:t>
      </w:r>
    </w:p>
    <w:p w14:paraId="77642340">
      <w:pPr>
        <w:spacing w:line="480" w:lineRule="exact"/>
        <w:rPr>
          <w:rFonts w:ascii="宋体" w:hAnsi="宋体"/>
          <w:color w:val="auto"/>
          <w:kern w:val="0"/>
          <w:szCs w:val="21"/>
          <w:highlight w:val="none"/>
        </w:rPr>
      </w:pPr>
      <w:r>
        <w:rPr>
          <w:rFonts w:ascii="宋体" w:hAnsi="宋体"/>
          <w:color w:val="auto"/>
          <w:kern w:val="0"/>
          <w:szCs w:val="21"/>
          <w:highlight w:val="none"/>
        </w:rPr>
        <w:t>（3）其他扣留方式:</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5362138">
      <w:pPr>
        <w:spacing w:line="480" w:lineRule="exact"/>
        <w:rPr>
          <w:rFonts w:ascii="宋体" w:hAnsi="宋体"/>
          <w:color w:val="auto"/>
          <w:szCs w:val="21"/>
          <w:highlight w:val="none"/>
        </w:rPr>
      </w:pPr>
      <w:r>
        <w:rPr>
          <w:rFonts w:ascii="宋体" w:hAnsi="宋体"/>
          <w:color w:val="auto"/>
          <w:szCs w:val="21"/>
          <w:highlight w:val="none"/>
        </w:rPr>
        <w:t>关于质量保证金的补充约定：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bookmarkEnd w:id="687"/>
    <w:bookmarkEnd w:id="688"/>
    <w:p w14:paraId="29650397">
      <w:pPr>
        <w:spacing w:line="480" w:lineRule="exact"/>
        <w:rPr>
          <w:rFonts w:ascii="宋体" w:hAnsi="宋体"/>
          <w:color w:val="auto"/>
          <w:szCs w:val="21"/>
          <w:highlight w:val="none"/>
        </w:rPr>
      </w:pPr>
      <w:r>
        <w:rPr>
          <w:rFonts w:ascii="宋体" w:hAnsi="宋体"/>
          <w:color w:val="auto"/>
          <w:szCs w:val="21"/>
          <w:highlight w:val="none"/>
        </w:rPr>
        <w:t>15.4保修</w:t>
      </w:r>
    </w:p>
    <w:bookmarkEnd w:id="689"/>
    <w:p w14:paraId="27BC8BE3">
      <w:pPr>
        <w:spacing w:line="480" w:lineRule="exact"/>
        <w:rPr>
          <w:rFonts w:ascii="宋体" w:hAnsi="宋体"/>
          <w:color w:val="auto"/>
          <w:szCs w:val="21"/>
          <w:highlight w:val="none"/>
        </w:rPr>
      </w:pPr>
      <w:r>
        <w:rPr>
          <w:rFonts w:ascii="宋体" w:hAnsi="宋体"/>
          <w:color w:val="auto"/>
          <w:szCs w:val="21"/>
          <w:highlight w:val="none"/>
        </w:rPr>
        <w:t>15.4.1 保修责任</w:t>
      </w:r>
    </w:p>
    <w:p w14:paraId="5A310FB1">
      <w:pPr>
        <w:spacing w:line="480" w:lineRule="exact"/>
        <w:rPr>
          <w:rFonts w:ascii="宋体" w:hAnsi="宋体"/>
          <w:color w:val="auto"/>
          <w:kern w:val="0"/>
          <w:szCs w:val="21"/>
          <w:highlight w:val="none"/>
        </w:rPr>
      </w:pPr>
      <w:r>
        <w:rPr>
          <w:rFonts w:ascii="宋体" w:hAnsi="宋体"/>
          <w:color w:val="auto"/>
          <w:szCs w:val="21"/>
          <w:highlight w:val="none"/>
        </w:rPr>
        <w:t>工程保修期为：</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89877E1">
      <w:pPr>
        <w:spacing w:line="480" w:lineRule="exact"/>
        <w:rPr>
          <w:rFonts w:ascii="宋体" w:hAnsi="宋体"/>
          <w:color w:val="auto"/>
          <w:szCs w:val="21"/>
          <w:highlight w:val="none"/>
        </w:rPr>
      </w:pPr>
      <w:r>
        <w:rPr>
          <w:rFonts w:ascii="宋体" w:hAnsi="宋体"/>
          <w:color w:val="auto"/>
          <w:szCs w:val="21"/>
          <w:highlight w:val="none"/>
        </w:rPr>
        <w:t>15.4.3 修复通知</w:t>
      </w:r>
    </w:p>
    <w:p w14:paraId="2E4A4B77">
      <w:pPr>
        <w:spacing w:line="480" w:lineRule="exact"/>
        <w:rPr>
          <w:rFonts w:ascii="宋体" w:hAnsi="宋体"/>
          <w:color w:val="auto"/>
          <w:kern w:val="0"/>
          <w:szCs w:val="21"/>
          <w:highlight w:val="none"/>
        </w:rPr>
      </w:pPr>
      <w:r>
        <w:rPr>
          <w:rFonts w:ascii="宋体" w:hAnsi="宋体"/>
          <w:color w:val="auto"/>
          <w:kern w:val="0"/>
          <w:szCs w:val="21"/>
          <w:highlight w:val="none"/>
        </w:rPr>
        <w:t>承包人收到保修通知并到达工程现场的合理时间：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bookmarkEnd w:id="690"/>
    <w:bookmarkEnd w:id="691"/>
    <w:bookmarkEnd w:id="692"/>
    <w:bookmarkEnd w:id="693"/>
    <w:p w14:paraId="56DA4725">
      <w:pPr>
        <w:spacing w:line="480" w:lineRule="exact"/>
        <w:rPr>
          <w:rFonts w:ascii="宋体" w:hAnsi="宋体"/>
          <w:color w:val="auto"/>
          <w:szCs w:val="21"/>
          <w:highlight w:val="none"/>
        </w:rPr>
      </w:pPr>
      <w:bookmarkStart w:id="716" w:name="_Toc351203648"/>
      <w:bookmarkStart w:id="717" w:name="_Toc280868717"/>
      <w:bookmarkStart w:id="718" w:name="_Toc280868718"/>
      <w:r>
        <w:rPr>
          <w:rFonts w:ascii="宋体" w:hAnsi="宋体"/>
          <w:color w:val="auto"/>
          <w:szCs w:val="21"/>
          <w:highlight w:val="none"/>
        </w:rPr>
        <w:t>16. 违约</w:t>
      </w:r>
      <w:bookmarkEnd w:id="716"/>
    </w:p>
    <w:p w14:paraId="39F74D0E">
      <w:pPr>
        <w:spacing w:line="480" w:lineRule="exact"/>
        <w:rPr>
          <w:rFonts w:ascii="宋体" w:hAnsi="宋体"/>
          <w:color w:val="auto"/>
          <w:szCs w:val="21"/>
          <w:highlight w:val="none"/>
        </w:rPr>
      </w:pPr>
      <w:r>
        <w:rPr>
          <w:rFonts w:ascii="宋体" w:hAnsi="宋体"/>
          <w:color w:val="auto"/>
          <w:szCs w:val="21"/>
          <w:highlight w:val="none"/>
        </w:rPr>
        <w:t>16.1 发包人违约</w:t>
      </w:r>
    </w:p>
    <w:p w14:paraId="57C7F400">
      <w:pPr>
        <w:spacing w:line="480" w:lineRule="exact"/>
        <w:rPr>
          <w:rFonts w:ascii="宋体" w:hAnsi="宋体"/>
          <w:color w:val="auto"/>
          <w:szCs w:val="21"/>
          <w:highlight w:val="none"/>
        </w:rPr>
      </w:pPr>
      <w:r>
        <w:rPr>
          <w:rFonts w:ascii="宋体" w:hAnsi="宋体"/>
          <w:color w:val="auto"/>
          <w:szCs w:val="21"/>
          <w:highlight w:val="none"/>
        </w:rPr>
        <w:t>16.1.1发包人违约的情形</w:t>
      </w:r>
    </w:p>
    <w:p w14:paraId="10AF6B78">
      <w:pPr>
        <w:spacing w:line="480" w:lineRule="exact"/>
        <w:rPr>
          <w:rFonts w:hint="eastAsia" w:ascii="宋体" w:hAnsi="宋体"/>
          <w:color w:val="auto"/>
          <w:kern w:val="0"/>
          <w:szCs w:val="21"/>
          <w:highlight w:val="none"/>
        </w:rPr>
      </w:pPr>
      <w:r>
        <w:rPr>
          <w:rFonts w:ascii="宋体" w:hAnsi="宋体"/>
          <w:color w:val="auto"/>
          <w:kern w:val="0"/>
          <w:szCs w:val="21"/>
          <w:highlight w:val="none"/>
        </w:rPr>
        <w:t>发包人违约的其他情形：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 xml:space="preserve">如工程逾期竣工，逾期竣工违约金为 3000 元/天，逾期竣工违约金最高限额为工程款的 5%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3D8FE96">
      <w:pPr>
        <w:spacing w:line="480" w:lineRule="exact"/>
        <w:rPr>
          <w:rFonts w:ascii="宋体" w:hAnsi="宋体"/>
          <w:color w:val="auto"/>
          <w:kern w:val="0"/>
          <w:szCs w:val="21"/>
          <w:highlight w:val="none"/>
        </w:rPr>
      </w:pPr>
      <w:r>
        <w:rPr>
          <w:rFonts w:ascii="宋体" w:hAnsi="宋体"/>
          <w:color w:val="auto"/>
          <w:kern w:val="0"/>
          <w:szCs w:val="21"/>
          <w:highlight w:val="none"/>
        </w:rPr>
        <w:t xml:space="preserve">    16.1.2 发包人违约的责任</w:t>
      </w:r>
    </w:p>
    <w:p w14:paraId="798FAF30">
      <w:pPr>
        <w:spacing w:line="480" w:lineRule="exact"/>
        <w:rPr>
          <w:rFonts w:ascii="宋体" w:hAnsi="宋体"/>
          <w:color w:val="auto"/>
          <w:kern w:val="0"/>
          <w:szCs w:val="21"/>
          <w:highlight w:val="none"/>
        </w:rPr>
      </w:pPr>
      <w:r>
        <w:rPr>
          <w:rFonts w:ascii="宋体" w:hAnsi="宋体"/>
          <w:color w:val="auto"/>
          <w:kern w:val="0"/>
          <w:szCs w:val="21"/>
          <w:highlight w:val="none"/>
        </w:rPr>
        <w:t>发包人违约责任的承担方式和计算方法：</w:t>
      </w:r>
    </w:p>
    <w:p w14:paraId="4B43D39D">
      <w:pPr>
        <w:spacing w:line="480" w:lineRule="exact"/>
        <w:rPr>
          <w:rFonts w:ascii="宋体" w:hAnsi="宋体"/>
          <w:color w:val="auto"/>
          <w:kern w:val="0"/>
          <w:szCs w:val="21"/>
          <w:highlight w:val="none"/>
          <w:u w:val="single"/>
        </w:rPr>
      </w:pPr>
      <w:r>
        <w:rPr>
          <w:rFonts w:ascii="宋体" w:hAnsi="宋体"/>
          <w:color w:val="auto"/>
          <w:kern w:val="0"/>
          <w:szCs w:val="21"/>
          <w:highlight w:val="none"/>
        </w:rPr>
        <w:t>（1）因发包人原因未能在计划开工日期前7天内下达开工通知的违约责任：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63D8BB9B">
      <w:pPr>
        <w:spacing w:line="480" w:lineRule="exact"/>
        <w:rPr>
          <w:rFonts w:ascii="宋体" w:hAnsi="宋体"/>
          <w:color w:val="auto"/>
          <w:kern w:val="0"/>
          <w:szCs w:val="21"/>
          <w:highlight w:val="none"/>
        </w:rPr>
      </w:pPr>
      <w:r>
        <w:rPr>
          <w:rFonts w:ascii="宋体" w:hAnsi="宋体"/>
          <w:color w:val="auto"/>
          <w:kern w:val="0"/>
          <w:szCs w:val="21"/>
          <w:highlight w:val="none"/>
        </w:rPr>
        <w:t>（2）因发包人原因未能按合同约定支付合同价款的违约责任：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140B995">
      <w:pPr>
        <w:spacing w:line="480" w:lineRule="exact"/>
        <w:rPr>
          <w:rFonts w:ascii="宋体" w:hAnsi="宋体"/>
          <w:color w:val="auto"/>
          <w:kern w:val="0"/>
          <w:szCs w:val="21"/>
          <w:highlight w:val="none"/>
        </w:rPr>
      </w:pPr>
      <w:r>
        <w:rPr>
          <w:rFonts w:ascii="宋体" w:hAnsi="宋体"/>
          <w:color w:val="auto"/>
          <w:kern w:val="0"/>
          <w:szCs w:val="21"/>
          <w:highlight w:val="none"/>
        </w:rPr>
        <w:t>（3）发包人违反第10.1款</w:t>
      </w:r>
      <w:r>
        <w:rPr>
          <w:rFonts w:hint="eastAsia" w:ascii="宋体" w:hAnsi="宋体"/>
          <w:color w:val="auto"/>
          <w:kern w:val="0"/>
          <w:szCs w:val="21"/>
          <w:highlight w:val="none"/>
        </w:rPr>
        <w:t>〔</w:t>
      </w:r>
      <w:r>
        <w:rPr>
          <w:rFonts w:ascii="宋体" w:hAnsi="宋体"/>
          <w:color w:val="auto"/>
          <w:kern w:val="0"/>
          <w:szCs w:val="21"/>
          <w:highlight w:val="none"/>
        </w:rPr>
        <w:t>变更的范围</w:t>
      </w:r>
      <w:r>
        <w:rPr>
          <w:rFonts w:hint="eastAsia" w:ascii="宋体" w:hAnsi="宋体"/>
          <w:color w:val="auto"/>
          <w:kern w:val="0"/>
          <w:szCs w:val="21"/>
          <w:highlight w:val="none"/>
        </w:rPr>
        <w:t>〕</w:t>
      </w:r>
      <w:r>
        <w:rPr>
          <w:rFonts w:ascii="宋体" w:hAnsi="宋体"/>
          <w:color w:val="auto"/>
          <w:kern w:val="0"/>
          <w:szCs w:val="21"/>
          <w:highlight w:val="none"/>
        </w:rPr>
        <w:t>第（2）项约定，自行实施被取消的工作或转由他人实施的违约责任：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E4BF888">
      <w:pPr>
        <w:spacing w:line="480" w:lineRule="exact"/>
        <w:rPr>
          <w:rFonts w:ascii="宋体" w:hAnsi="宋体"/>
          <w:color w:val="auto"/>
          <w:kern w:val="0"/>
          <w:szCs w:val="21"/>
          <w:highlight w:val="none"/>
        </w:rPr>
      </w:pPr>
      <w:r>
        <w:rPr>
          <w:rFonts w:ascii="宋体" w:hAnsi="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E38BD0C">
      <w:pPr>
        <w:spacing w:line="480" w:lineRule="exact"/>
        <w:rPr>
          <w:rFonts w:ascii="宋体" w:hAnsi="宋体"/>
          <w:color w:val="auto"/>
          <w:kern w:val="0"/>
          <w:szCs w:val="21"/>
          <w:highlight w:val="none"/>
        </w:rPr>
      </w:pPr>
      <w:r>
        <w:rPr>
          <w:rFonts w:ascii="宋体" w:hAnsi="宋体"/>
          <w:color w:val="auto"/>
          <w:kern w:val="0"/>
          <w:szCs w:val="21"/>
          <w:highlight w:val="none"/>
        </w:rPr>
        <w:t>（5）因发包人违反合同约定造成暂停施工的违约责任：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0F484299">
      <w:pPr>
        <w:spacing w:line="480" w:lineRule="exact"/>
        <w:rPr>
          <w:rFonts w:ascii="宋体" w:hAnsi="宋体"/>
          <w:color w:val="auto"/>
          <w:kern w:val="0"/>
          <w:szCs w:val="21"/>
          <w:highlight w:val="none"/>
        </w:rPr>
      </w:pPr>
      <w:r>
        <w:rPr>
          <w:rFonts w:ascii="宋体" w:hAnsi="宋体"/>
          <w:color w:val="auto"/>
          <w:kern w:val="0"/>
          <w:szCs w:val="21"/>
          <w:highlight w:val="none"/>
        </w:rPr>
        <w:t>（6）发包人无正当理由没有在约定期限内发出复工指示，导致承包人无法复工的违约责任：</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4E572854">
      <w:pPr>
        <w:spacing w:line="480" w:lineRule="exact"/>
        <w:rPr>
          <w:rFonts w:ascii="宋体" w:hAnsi="宋体"/>
          <w:color w:val="auto"/>
          <w:kern w:val="0"/>
          <w:szCs w:val="21"/>
          <w:highlight w:val="none"/>
        </w:rPr>
      </w:pPr>
      <w:r>
        <w:rPr>
          <w:rFonts w:ascii="宋体" w:hAnsi="宋体"/>
          <w:color w:val="auto"/>
          <w:kern w:val="0"/>
          <w:szCs w:val="21"/>
          <w:highlight w:val="none"/>
        </w:rPr>
        <w:t>（7）</w:t>
      </w:r>
      <w:r>
        <w:rPr>
          <w:rFonts w:hint="eastAsia" w:ascii="宋体" w:hAnsi="宋体"/>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p>
    <w:p w14:paraId="139A83DB">
      <w:pPr>
        <w:spacing w:line="480" w:lineRule="exact"/>
        <w:rPr>
          <w:rFonts w:ascii="宋体" w:hAnsi="宋体"/>
          <w:color w:val="auto"/>
          <w:szCs w:val="21"/>
          <w:highlight w:val="none"/>
        </w:rPr>
      </w:pPr>
      <w:r>
        <w:rPr>
          <w:rFonts w:ascii="宋体" w:hAnsi="宋体"/>
          <w:color w:val="auto"/>
          <w:szCs w:val="21"/>
          <w:highlight w:val="none"/>
        </w:rPr>
        <w:t>16.1.3 因发包人违约解除合同</w:t>
      </w:r>
    </w:p>
    <w:p w14:paraId="70B556D1">
      <w:pPr>
        <w:spacing w:line="480" w:lineRule="exact"/>
        <w:rPr>
          <w:rFonts w:hint="eastAsia" w:ascii="宋体" w:hAnsi="宋体"/>
          <w:color w:val="auto"/>
          <w:kern w:val="0"/>
          <w:szCs w:val="21"/>
          <w:highlight w:val="none"/>
        </w:rPr>
      </w:pPr>
      <w:r>
        <w:rPr>
          <w:rFonts w:ascii="宋体" w:hAnsi="宋体"/>
          <w:color w:val="auto"/>
          <w:kern w:val="0"/>
          <w:szCs w:val="21"/>
          <w:highlight w:val="none"/>
        </w:rPr>
        <w:t>承包人按16.1.1项</w:t>
      </w:r>
      <w:r>
        <w:rPr>
          <w:rFonts w:hint="eastAsia" w:ascii="宋体" w:hAnsi="宋体"/>
          <w:color w:val="auto"/>
          <w:kern w:val="0"/>
          <w:szCs w:val="21"/>
          <w:highlight w:val="none"/>
        </w:rPr>
        <w:t>〔</w:t>
      </w:r>
      <w:r>
        <w:rPr>
          <w:rFonts w:ascii="宋体" w:hAnsi="宋体"/>
          <w:color w:val="auto"/>
          <w:kern w:val="0"/>
          <w:szCs w:val="21"/>
          <w:highlight w:val="none"/>
        </w:rPr>
        <w:t>发包人违约的情形</w:t>
      </w:r>
      <w:r>
        <w:rPr>
          <w:rFonts w:hint="eastAsia" w:ascii="宋体" w:hAnsi="宋体"/>
          <w:color w:val="auto"/>
          <w:kern w:val="0"/>
          <w:szCs w:val="21"/>
          <w:highlight w:val="none"/>
        </w:rPr>
        <w:t>〕</w:t>
      </w:r>
      <w:r>
        <w:rPr>
          <w:rFonts w:ascii="宋体" w:hAnsi="宋体"/>
          <w:color w:val="auto"/>
          <w:kern w:val="0"/>
          <w:szCs w:val="21"/>
          <w:highlight w:val="none"/>
        </w:rPr>
        <w:t>约定暂停施工满</w:t>
      </w:r>
      <w:r>
        <w:rPr>
          <w:rFonts w:ascii="宋体" w:hAnsi="宋体"/>
          <w:color w:val="auto"/>
          <w:kern w:val="0"/>
          <w:szCs w:val="21"/>
          <w:highlight w:val="none"/>
          <w:u w:val="single"/>
        </w:rPr>
        <w:t xml:space="preserve">    </w:t>
      </w:r>
      <w:r>
        <w:rPr>
          <w:rFonts w:ascii="宋体" w:hAnsi="宋体"/>
          <w:color w:val="auto"/>
          <w:kern w:val="0"/>
          <w:szCs w:val="21"/>
          <w:highlight w:val="none"/>
        </w:rPr>
        <w:t>天后发包人仍不纠正其违约行为并致使合同目的不能实现的，承包人有权解除合同。</w:t>
      </w:r>
    </w:p>
    <w:p w14:paraId="6C24086D">
      <w:pPr>
        <w:spacing w:line="480" w:lineRule="exact"/>
        <w:rPr>
          <w:rFonts w:ascii="宋体" w:hAnsi="宋体"/>
          <w:color w:val="auto"/>
          <w:szCs w:val="21"/>
          <w:highlight w:val="none"/>
        </w:rPr>
      </w:pPr>
      <w:r>
        <w:rPr>
          <w:rFonts w:ascii="宋体" w:hAnsi="宋体"/>
          <w:color w:val="auto"/>
          <w:szCs w:val="21"/>
          <w:highlight w:val="none"/>
        </w:rPr>
        <w:t>16.2 承包人违约</w:t>
      </w:r>
    </w:p>
    <w:p w14:paraId="37A9AF91">
      <w:pPr>
        <w:spacing w:line="480" w:lineRule="exact"/>
        <w:rPr>
          <w:rFonts w:ascii="宋体" w:hAnsi="宋体"/>
          <w:color w:val="auto"/>
          <w:kern w:val="0"/>
          <w:szCs w:val="21"/>
          <w:highlight w:val="none"/>
        </w:rPr>
      </w:pPr>
      <w:r>
        <w:rPr>
          <w:rFonts w:ascii="宋体" w:hAnsi="宋体"/>
          <w:color w:val="auto"/>
          <w:kern w:val="0"/>
          <w:szCs w:val="21"/>
          <w:highlight w:val="none"/>
        </w:rPr>
        <w:t>16.2.1 承包人违约的情形</w:t>
      </w:r>
    </w:p>
    <w:p w14:paraId="4C896AF2">
      <w:pPr>
        <w:spacing w:line="480" w:lineRule="exact"/>
        <w:rPr>
          <w:rFonts w:ascii="宋体" w:hAnsi="宋体"/>
          <w:color w:val="auto"/>
          <w:kern w:val="0"/>
          <w:szCs w:val="21"/>
          <w:highlight w:val="none"/>
        </w:rPr>
      </w:pPr>
      <w:r>
        <w:rPr>
          <w:rFonts w:ascii="宋体" w:hAnsi="宋体"/>
          <w:color w:val="auto"/>
          <w:kern w:val="0"/>
          <w:szCs w:val="21"/>
          <w:highlight w:val="none"/>
        </w:rPr>
        <w:t>承包人违约的其他情形：</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6D86E2F">
      <w:pPr>
        <w:spacing w:line="480" w:lineRule="exact"/>
        <w:rPr>
          <w:rFonts w:ascii="宋体" w:hAnsi="宋体"/>
          <w:color w:val="auto"/>
          <w:kern w:val="0"/>
          <w:szCs w:val="21"/>
          <w:highlight w:val="none"/>
        </w:rPr>
      </w:pPr>
      <w:r>
        <w:rPr>
          <w:rFonts w:ascii="宋体" w:hAnsi="宋体"/>
          <w:color w:val="auto"/>
          <w:kern w:val="0"/>
          <w:szCs w:val="21"/>
          <w:highlight w:val="none"/>
        </w:rPr>
        <w:t>16.2.2承包人违约的责任</w:t>
      </w:r>
    </w:p>
    <w:p w14:paraId="42956CB7">
      <w:pPr>
        <w:spacing w:line="480" w:lineRule="exact"/>
        <w:rPr>
          <w:rFonts w:ascii="宋体" w:hAnsi="宋体"/>
          <w:color w:val="auto"/>
          <w:kern w:val="0"/>
          <w:szCs w:val="21"/>
          <w:highlight w:val="none"/>
          <w:u w:val="single"/>
        </w:rPr>
      </w:pPr>
      <w:r>
        <w:rPr>
          <w:rFonts w:ascii="宋体" w:hAnsi="宋体"/>
          <w:color w:val="auto"/>
          <w:kern w:val="0"/>
          <w:szCs w:val="21"/>
          <w:highlight w:val="none"/>
        </w:rPr>
        <w:t>承包人违约责任的承担方式和计算方法：</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color w:val="auto"/>
          <w:szCs w:val="21"/>
          <w:highlight w:val="none"/>
        </w:rPr>
        <w:t xml:space="preserve">    </w:t>
      </w:r>
    </w:p>
    <w:p w14:paraId="2F6966B1">
      <w:pPr>
        <w:spacing w:line="480" w:lineRule="exact"/>
        <w:rPr>
          <w:rFonts w:ascii="宋体" w:hAnsi="宋体"/>
          <w:color w:val="auto"/>
          <w:szCs w:val="21"/>
          <w:highlight w:val="none"/>
        </w:rPr>
      </w:pPr>
      <w:r>
        <w:rPr>
          <w:rFonts w:ascii="宋体" w:hAnsi="宋体"/>
          <w:color w:val="auto"/>
          <w:szCs w:val="21"/>
          <w:highlight w:val="none"/>
        </w:rPr>
        <w:t>16.2.3 因承包人违约解除合同</w:t>
      </w:r>
    </w:p>
    <w:p w14:paraId="7FFDC3B7">
      <w:pPr>
        <w:spacing w:line="480" w:lineRule="exact"/>
        <w:rPr>
          <w:rFonts w:hint="eastAsia" w:ascii="宋体" w:hAnsi="宋体"/>
          <w:color w:val="auto"/>
          <w:kern w:val="0"/>
          <w:szCs w:val="21"/>
          <w:highlight w:val="none"/>
        </w:rPr>
      </w:pPr>
      <w:r>
        <w:rPr>
          <w:rFonts w:ascii="宋体" w:hAnsi="宋体"/>
          <w:color w:val="auto"/>
          <w:kern w:val="0"/>
          <w:szCs w:val="21"/>
          <w:highlight w:val="none"/>
        </w:rPr>
        <w:t>关于承包人违约解除合同的特别约定：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667FE18F">
      <w:pPr>
        <w:spacing w:line="480" w:lineRule="exact"/>
        <w:rPr>
          <w:rFonts w:ascii="宋体" w:hAnsi="宋体"/>
          <w:color w:val="auto"/>
          <w:kern w:val="0"/>
          <w:szCs w:val="21"/>
          <w:highlight w:val="none"/>
        </w:rPr>
      </w:pPr>
      <w:r>
        <w:rPr>
          <w:rFonts w:ascii="宋体" w:hAnsi="宋体"/>
          <w:color w:val="auto"/>
          <w:kern w:val="0"/>
          <w:szCs w:val="21"/>
          <w:highlight w:val="none"/>
        </w:rPr>
        <w:t>发包人</w:t>
      </w:r>
      <w:r>
        <w:rPr>
          <w:rFonts w:hint="eastAsia" w:ascii="宋体" w:hAnsi="宋体"/>
          <w:color w:val="auto"/>
          <w:kern w:val="0"/>
          <w:szCs w:val="21"/>
          <w:highlight w:val="none"/>
        </w:rPr>
        <w:t>继续</w:t>
      </w:r>
      <w:r>
        <w:rPr>
          <w:rFonts w:ascii="宋体" w:hAnsi="宋体"/>
          <w:color w:val="auto"/>
          <w:kern w:val="0"/>
          <w:szCs w:val="21"/>
          <w:highlight w:val="none"/>
        </w:rPr>
        <w:t>使用承包人在施工现场的材料、设备、临时工程、承包人文件和由承包人或以其名义编制的其他文件</w:t>
      </w:r>
      <w:r>
        <w:rPr>
          <w:rFonts w:hint="eastAsia" w:ascii="宋体" w:hAnsi="宋体"/>
          <w:color w:val="auto"/>
          <w:kern w:val="0"/>
          <w:szCs w:val="21"/>
          <w:highlight w:val="none"/>
        </w:rPr>
        <w:t>的费用承担方式</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3E4FA9D8">
      <w:pPr>
        <w:spacing w:line="480" w:lineRule="exact"/>
        <w:rPr>
          <w:rFonts w:ascii="宋体" w:hAnsi="宋体"/>
          <w:color w:val="auto"/>
          <w:szCs w:val="21"/>
          <w:highlight w:val="none"/>
        </w:rPr>
      </w:pPr>
      <w:bookmarkStart w:id="719" w:name="_Toc351203649"/>
      <w:r>
        <w:rPr>
          <w:rFonts w:ascii="宋体" w:hAnsi="宋体"/>
          <w:color w:val="auto"/>
          <w:szCs w:val="21"/>
          <w:highlight w:val="none"/>
        </w:rPr>
        <w:t>17. 不可抗力</w:t>
      </w:r>
      <w:bookmarkEnd w:id="719"/>
      <w:r>
        <w:rPr>
          <w:rFonts w:ascii="宋体" w:hAnsi="宋体"/>
          <w:color w:val="auto"/>
          <w:szCs w:val="21"/>
          <w:highlight w:val="none"/>
        </w:rPr>
        <w:t xml:space="preserve"> </w:t>
      </w:r>
      <w:bookmarkEnd w:id="717"/>
    </w:p>
    <w:p w14:paraId="24F37AD7">
      <w:pPr>
        <w:spacing w:line="480" w:lineRule="exact"/>
        <w:rPr>
          <w:rFonts w:ascii="宋体" w:hAnsi="宋体"/>
          <w:color w:val="auto"/>
          <w:szCs w:val="21"/>
          <w:highlight w:val="none"/>
        </w:rPr>
      </w:pPr>
      <w:r>
        <w:rPr>
          <w:rFonts w:ascii="宋体" w:hAnsi="宋体"/>
          <w:color w:val="auto"/>
          <w:szCs w:val="21"/>
          <w:highlight w:val="none"/>
        </w:rPr>
        <w:t>17.1 不可抗力的确认</w:t>
      </w:r>
    </w:p>
    <w:p w14:paraId="134375A2">
      <w:pPr>
        <w:spacing w:line="480" w:lineRule="exact"/>
        <w:rPr>
          <w:rFonts w:ascii="宋体" w:hAnsi="宋体"/>
          <w:color w:val="auto"/>
          <w:kern w:val="0"/>
          <w:szCs w:val="21"/>
          <w:highlight w:val="none"/>
          <w:u w:val="single"/>
        </w:rPr>
      </w:pPr>
      <w:r>
        <w:rPr>
          <w:rFonts w:ascii="宋体" w:hAnsi="宋体"/>
          <w:color w:val="auto"/>
          <w:szCs w:val="21"/>
          <w:highlight w:val="none"/>
        </w:rPr>
        <w:t xml:space="preserve">除通用合同条款约定的不可抗力事件之外，视为不可抗力的其他情形：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1D00690F">
      <w:pPr>
        <w:spacing w:line="480" w:lineRule="exact"/>
        <w:rPr>
          <w:rFonts w:ascii="宋体" w:hAnsi="宋体"/>
          <w:color w:val="auto"/>
          <w:szCs w:val="21"/>
          <w:highlight w:val="none"/>
        </w:rPr>
      </w:pPr>
      <w:r>
        <w:rPr>
          <w:rFonts w:ascii="宋体" w:hAnsi="宋体"/>
          <w:color w:val="auto"/>
          <w:szCs w:val="21"/>
          <w:highlight w:val="none"/>
        </w:rPr>
        <w:t>17.4 因不可抗力解除合同</w:t>
      </w:r>
    </w:p>
    <w:p w14:paraId="3EA44099">
      <w:pPr>
        <w:spacing w:line="480" w:lineRule="exact"/>
        <w:rPr>
          <w:rFonts w:hint="eastAsia" w:ascii="宋体" w:hAnsi="宋体"/>
          <w:color w:val="auto"/>
          <w:szCs w:val="21"/>
          <w:highlight w:val="none"/>
        </w:rPr>
      </w:pPr>
      <w:r>
        <w:rPr>
          <w:rFonts w:ascii="宋体" w:hAnsi="宋体"/>
          <w:color w:val="auto"/>
          <w:szCs w:val="21"/>
          <w:highlight w:val="none"/>
        </w:rPr>
        <w:t>合同解除后，发包人应在商定或确定发包人应支付款项后</w:t>
      </w:r>
      <w:r>
        <w:rPr>
          <w:rFonts w:ascii="宋体" w:hAnsi="宋体"/>
          <w:color w:val="auto"/>
          <w:szCs w:val="21"/>
          <w:highlight w:val="none"/>
          <w:u w:val="single"/>
        </w:rPr>
        <w:t xml:space="preserve">    </w:t>
      </w:r>
      <w:r>
        <w:rPr>
          <w:rFonts w:ascii="宋体" w:hAnsi="宋体"/>
          <w:color w:val="auto"/>
          <w:szCs w:val="21"/>
          <w:highlight w:val="none"/>
        </w:rPr>
        <w:t>天内完成款项的支付。</w:t>
      </w:r>
    </w:p>
    <w:p w14:paraId="737917A9">
      <w:pPr>
        <w:spacing w:line="480" w:lineRule="exact"/>
        <w:rPr>
          <w:rFonts w:ascii="宋体" w:hAnsi="宋体"/>
          <w:color w:val="auto"/>
          <w:szCs w:val="21"/>
          <w:highlight w:val="none"/>
        </w:rPr>
      </w:pPr>
      <w:bookmarkStart w:id="720" w:name="_Toc351203650"/>
      <w:r>
        <w:rPr>
          <w:rFonts w:ascii="宋体" w:hAnsi="宋体"/>
          <w:color w:val="auto"/>
          <w:szCs w:val="21"/>
          <w:highlight w:val="none"/>
        </w:rPr>
        <w:t>18. 保险</w:t>
      </w:r>
      <w:bookmarkEnd w:id="720"/>
    </w:p>
    <w:bookmarkEnd w:id="718"/>
    <w:p w14:paraId="2DBF733E">
      <w:pPr>
        <w:spacing w:line="480" w:lineRule="exact"/>
        <w:rPr>
          <w:rFonts w:ascii="宋体" w:hAnsi="宋体"/>
          <w:color w:val="auto"/>
          <w:szCs w:val="21"/>
          <w:highlight w:val="none"/>
        </w:rPr>
      </w:pPr>
      <w:r>
        <w:rPr>
          <w:rFonts w:ascii="宋体" w:hAnsi="宋体"/>
          <w:color w:val="auto"/>
          <w:szCs w:val="21"/>
          <w:highlight w:val="none"/>
        </w:rPr>
        <w:t>18.1 工程保险</w:t>
      </w:r>
    </w:p>
    <w:p w14:paraId="59B7BEA8">
      <w:pPr>
        <w:spacing w:line="480" w:lineRule="exact"/>
        <w:rPr>
          <w:rFonts w:ascii="宋体" w:hAnsi="宋体"/>
          <w:color w:val="auto"/>
          <w:szCs w:val="21"/>
          <w:highlight w:val="none"/>
        </w:rPr>
      </w:pPr>
      <w:r>
        <w:rPr>
          <w:rFonts w:ascii="宋体" w:hAnsi="宋体"/>
          <w:color w:val="auto"/>
          <w:szCs w:val="21"/>
          <w:highlight w:val="none"/>
        </w:rPr>
        <w:t>关于工程保险的特别约定：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2D7319FB">
      <w:pPr>
        <w:spacing w:line="480" w:lineRule="exact"/>
        <w:rPr>
          <w:rFonts w:ascii="宋体" w:hAnsi="宋体"/>
          <w:color w:val="auto"/>
          <w:szCs w:val="21"/>
          <w:highlight w:val="none"/>
        </w:rPr>
      </w:pPr>
      <w:r>
        <w:rPr>
          <w:rFonts w:ascii="宋体" w:hAnsi="宋体"/>
          <w:color w:val="auto"/>
          <w:szCs w:val="21"/>
          <w:highlight w:val="none"/>
        </w:rPr>
        <w:t>18.3 其他保险</w:t>
      </w:r>
    </w:p>
    <w:p w14:paraId="6AB827DE">
      <w:pPr>
        <w:spacing w:line="480" w:lineRule="exact"/>
        <w:rPr>
          <w:rFonts w:ascii="宋体" w:hAnsi="宋体"/>
          <w:color w:val="auto"/>
          <w:kern w:val="0"/>
          <w:szCs w:val="21"/>
          <w:highlight w:val="none"/>
        </w:rPr>
      </w:pPr>
      <w:r>
        <w:rPr>
          <w:rFonts w:ascii="宋体" w:hAnsi="宋体"/>
          <w:color w:val="auto"/>
          <w:szCs w:val="21"/>
          <w:highlight w:val="none"/>
        </w:rPr>
        <w:t>关于其他保险的约定：</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F0655E8">
      <w:pPr>
        <w:spacing w:line="480" w:lineRule="exact"/>
        <w:rPr>
          <w:rFonts w:ascii="宋体" w:hAnsi="宋体"/>
          <w:color w:val="auto"/>
          <w:kern w:val="0"/>
          <w:szCs w:val="21"/>
          <w:highlight w:val="none"/>
        </w:rPr>
      </w:pPr>
      <w:r>
        <w:rPr>
          <w:rFonts w:ascii="宋体" w:hAnsi="宋体"/>
          <w:color w:val="auto"/>
          <w:szCs w:val="21"/>
          <w:highlight w:val="none"/>
        </w:rPr>
        <w:t>承包人是否应为其施工设备等办理财产保险：</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396BBEA4">
      <w:pPr>
        <w:spacing w:line="480" w:lineRule="exact"/>
        <w:rPr>
          <w:rFonts w:ascii="宋体" w:hAnsi="宋体"/>
          <w:color w:val="auto"/>
          <w:szCs w:val="21"/>
          <w:highlight w:val="none"/>
        </w:rPr>
      </w:pPr>
      <w:r>
        <w:rPr>
          <w:rFonts w:ascii="宋体" w:hAnsi="宋体"/>
          <w:color w:val="auto"/>
          <w:szCs w:val="21"/>
          <w:highlight w:val="none"/>
        </w:rPr>
        <w:t>18.7 通知义务</w:t>
      </w:r>
    </w:p>
    <w:p w14:paraId="7529C2EF">
      <w:pPr>
        <w:spacing w:line="480" w:lineRule="exact"/>
        <w:rPr>
          <w:rFonts w:ascii="宋体" w:hAnsi="宋体"/>
          <w:color w:val="auto"/>
          <w:szCs w:val="21"/>
          <w:highlight w:val="none"/>
        </w:rPr>
      </w:pPr>
      <w:r>
        <w:rPr>
          <w:rFonts w:ascii="宋体" w:hAnsi="宋体"/>
          <w:color w:val="auto"/>
          <w:kern w:val="0"/>
          <w:szCs w:val="21"/>
          <w:highlight w:val="none"/>
        </w:rPr>
        <w:t>关于变更保险合同时的通知义务的约定：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bookmarkEnd w:id="694"/>
    <w:bookmarkEnd w:id="695"/>
    <w:bookmarkEnd w:id="696"/>
    <w:bookmarkEnd w:id="697"/>
    <w:bookmarkEnd w:id="698"/>
    <w:bookmarkEnd w:id="699"/>
    <w:bookmarkEnd w:id="700"/>
    <w:bookmarkEnd w:id="701"/>
    <w:bookmarkEnd w:id="702"/>
    <w:bookmarkEnd w:id="703"/>
    <w:bookmarkEnd w:id="704"/>
    <w:bookmarkEnd w:id="705"/>
    <w:p w14:paraId="1B6C2B25">
      <w:pPr>
        <w:spacing w:line="480" w:lineRule="exact"/>
        <w:rPr>
          <w:rFonts w:ascii="宋体" w:hAnsi="宋体"/>
          <w:color w:val="auto"/>
          <w:szCs w:val="21"/>
          <w:highlight w:val="none"/>
        </w:rPr>
      </w:pPr>
      <w:bookmarkStart w:id="721" w:name="_Toc351203651"/>
      <w:r>
        <w:rPr>
          <w:rFonts w:ascii="宋体" w:hAnsi="宋体"/>
          <w:color w:val="auto"/>
          <w:szCs w:val="21"/>
          <w:highlight w:val="none"/>
        </w:rPr>
        <w:t>20. 争议解决</w:t>
      </w:r>
      <w:bookmarkEnd w:id="721"/>
    </w:p>
    <w:bookmarkEnd w:id="706"/>
    <w:bookmarkEnd w:id="707"/>
    <w:p w14:paraId="20DAD586">
      <w:pPr>
        <w:spacing w:line="480" w:lineRule="exact"/>
        <w:rPr>
          <w:rFonts w:ascii="宋体" w:hAnsi="宋体"/>
          <w:color w:val="auto"/>
          <w:szCs w:val="21"/>
          <w:highlight w:val="none"/>
        </w:rPr>
      </w:pPr>
      <w:r>
        <w:rPr>
          <w:rFonts w:ascii="宋体" w:hAnsi="宋体"/>
          <w:color w:val="auto"/>
          <w:szCs w:val="21"/>
          <w:highlight w:val="none"/>
        </w:rPr>
        <w:t>20.3 争</w:t>
      </w:r>
      <w:bookmarkEnd w:id="708"/>
      <w:r>
        <w:rPr>
          <w:rFonts w:ascii="宋体" w:hAnsi="宋体"/>
          <w:color w:val="auto"/>
          <w:szCs w:val="21"/>
          <w:highlight w:val="none"/>
        </w:rPr>
        <w:t>议评审</w:t>
      </w:r>
    </w:p>
    <w:p w14:paraId="2F02E92E">
      <w:pPr>
        <w:spacing w:line="480" w:lineRule="exact"/>
        <w:rPr>
          <w:rFonts w:ascii="宋体" w:hAnsi="宋体"/>
          <w:color w:val="auto"/>
          <w:szCs w:val="21"/>
          <w:highlight w:val="none"/>
        </w:rPr>
      </w:pPr>
      <w:r>
        <w:rPr>
          <w:rFonts w:ascii="宋体" w:hAnsi="宋体"/>
          <w:color w:val="auto"/>
          <w:szCs w:val="21"/>
          <w:highlight w:val="none"/>
        </w:rPr>
        <w:t>合同当事人是否同意将工程争议提交争议评审小组决</w:t>
      </w:r>
      <w:r>
        <w:rPr>
          <w:rFonts w:hint="eastAsia" w:ascii="宋体" w:hAnsi="宋体"/>
          <w:color w:val="auto"/>
          <w:szCs w:val="21"/>
          <w:highlight w:val="none"/>
        </w:rPr>
        <w:t>定：</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5AE2967">
      <w:pPr>
        <w:spacing w:line="480" w:lineRule="exact"/>
        <w:rPr>
          <w:rFonts w:ascii="宋体" w:hAnsi="宋体"/>
          <w:color w:val="auto"/>
          <w:szCs w:val="21"/>
          <w:highlight w:val="none"/>
        </w:rPr>
      </w:pPr>
      <w:r>
        <w:rPr>
          <w:rFonts w:ascii="宋体" w:hAnsi="宋体"/>
          <w:color w:val="auto"/>
          <w:szCs w:val="21"/>
          <w:highlight w:val="none"/>
        </w:rPr>
        <w:t>20.3.1 争议评审小组的确定</w:t>
      </w:r>
    </w:p>
    <w:p w14:paraId="113A01C2">
      <w:pPr>
        <w:spacing w:line="480" w:lineRule="exact"/>
        <w:rPr>
          <w:rFonts w:ascii="宋体" w:hAnsi="宋体"/>
          <w:color w:val="auto"/>
          <w:szCs w:val="21"/>
          <w:highlight w:val="none"/>
          <w:u w:val="single"/>
        </w:rPr>
      </w:pPr>
      <w:r>
        <w:rPr>
          <w:rFonts w:ascii="宋体" w:hAnsi="宋体"/>
          <w:color w:val="auto"/>
          <w:szCs w:val="21"/>
          <w:highlight w:val="none"/>
        </w:rPr>
        <w:t>争议评审小组成员的确定：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CE9D413">
      <w:pPr>
        <w:spacing w:line="480" w:lineRule="exact"/>
        <w:rPr>
          <w:rFonts w:ascii="宋体" w:hAnsi="宋体"/>
          <w:color w:val="auto"/>
          <w:szCs w:val="21"/>
          <w:highlight w:val="none"/>
        </w:rPr>
      </w:pPr>
      <w:r>
        <w:rPr>
          <w:rFonts w:ascii="宋体" w:hAnsi="宋体"/>
          <w:color w:val="auto"/>
          <w:szCs w:val="21"/>
          <w:highlight w:val="none"/>
        </w:rPr>
        <w:t>选定争议评审员的期限：</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7FF81A17">
      <w:pPr>
        <w:spacing w:line="480" w:lineRule="exact"/>
        <w:rPr>
          <w:rFonts w:ascii="宋体" w:hAnsi="宋体"/>
          <w:color w:val="auto"/>
          <w:szCs w:val="21"/>
          <w:highlight w:val="none"/>
        </w:rPr>
      </w:pPr>
      <w:r>
        <w:rPr>
          <w:rFonts w:ascii="宋体" w:hAnsi="宋体"/>
          <w:color w:val="auto"/>
          <w:szCs w:val="21"/>
          <w:highlight w:val="none"/>
        </w:rPr>
        <w:t>争议评审小组成员的报酬承担方式：</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045C1854">
      <w:pPr>
        <w:spacing w:line="480" w:lineRule="exact"/>
        <w:rPr>
          <w:rFonts w:ascii="宋体" w:hAnsi="宋体"/>
          <w:color w:val="auto"/>
          <w:szCs w:val="21"/>
          <w:highlight w:val="none"/>
        </w:rPr>
      </w:pPr>
      <w:r>
        <w:rPr>
          <w:rFonts w:ascii="宋体" w:hAnsi="宋体"/>
          <w:color w:val="auto"/>
          <w:szCs w:val="21"/>
          <w:highlight w:val="none"/>
        </w:rPr>
        <w:t>其他事项的约定：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2BA36C4A">
      <w:pPr>
        <w:spacing w:line="480" w:lineRule="exact"/>
        <w:rPr>
          <w:rFonts w:ascii="宋体" w:hAnsi="宋体"/>
          <w:color w:val="auto"/>
          <w:kern w:val="0"/>
          <w:szCs w:val="21"/>
          <w:highlight w:val="none"/>
        </w:rPr>
      </w:pPr>
      <w:r>
        <w:rPr>
          <w:rFonts w:ascii="宋体" w:hAnsi="宋体"/>
          <w:color w:val="auto"/>
          <w:kern w:val="0"/>
          <w:szCs w:val="21"/>
          <w:highlight w:val="none"/>
        </w:rPr>
        <w:t>20.3.2 争议评审小组的决定</w:t>
      </w:r>
    </w:p>
    <w:p w14:paraId="2CC8B2EB">
      <w:pPr>
        <w:spacing w:line="480" w:lineRule="exact"/>
        <w:rPr>
          <w:rFonts w:ascii="宋体" w:hAnsi="宋体"/>
          <w:color w:val="auto"/>
          <w:szCs w:val="21"/>
          <w:highlight w:val="none"/>
        </w:rPr>
      </w:pPr>
      <w:r>
        <w:rPr>
          <w:rFonts w:ascii="宋体" w:hAnsi="宋体"/>
          <w:color w:val="auto"/>
          <w:szCs w:val="21"/>
          <w:highlight w:val="none"/>
        </w:rPr>
        <w:t>合同当事人关于本项的约定：</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5B79C71">
      <w:pPr>
        <w:spacing w:line="480" w:lineRule="exact"/>
        <w:rPr>
          <w:rFonts w:hint="eastAsia" w:ascii="宋体" w:hAnsi="宋体"/>
          <w:color w:val="auto"/>
          <w:szCs w:val="21"/>
          <w:highlight w:val="none"/>
        </w:rPr>
      </w:pPr>
      <w:r>
        <w:rPr>
          <w:rFonts w:ascii="宋体" w:hAnsi="宋体"/>
          <w:color w:val="auto"/>
          <w:szCs w:val="21"/>
          <w:highlight w:val="none"/>
        </w:rPr>
        <w:t>20.4仲裁或诉讼</w:t>
      </w:r>
      <w:bookmarkEnd w:id="709"/>
    </w:p>
    <w:p w14:paraId="5930751F">
      <w:pPr>
        <w:spacing w:line="480" w:lineRule="exact"/>
        <w:rPr>
          <w:rFonts w:ascii="宋体" w:hAnsi="宋体"/>
          <w:color w:val="auto"/>
          <w:szCs w:val="21"/>
          <w:highlight w:val="none"/>
        </w:rPr>
      </w:pPr>
      <w:r>
        <w:rPr>
          <w:rFonts w:ascii="宋体" w:hAnsi="宋体"/>
          <w:color w:val="auto"/>
          <w:szCs w:val="21"/>
          <w:highlight w:val="none"/>
        </w:rPr>
        <w:t>因合同及合同有关事项发生的争议，按下列第</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ascii="宋体" w:hAnsi="宋体"/>
          <w:color w:val="auto"/>
          <w:szCs w:val="21"/>
          <w:highlight w:val="none"/>
          <w:u w:val="single"/>
        </w:rPr>
        <w:t xml:space="preserve">  </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164BB6CD">
      <w:pPr>
        <w:spacing w:line="480" w:lineRule="exac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329D84BF">
      <w:pPr>
        <w:spacing w:line="480" w:lineRule="exac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color w:val="auto"/>
          <w:szCs w:val="21"/>
          <w:u w:val="single"/>
        </w:rPr>
        <w:t xml:space="preserve"> </w:t>
      </w:r>
      <w:r>
        <w:rPr>
          <w:rFonts w:hint="eastAsia"/>
          <w:color w:val="auto"/>
          <w:szCs w:val="21"/>
          <w:u w:val="single"/>
          <w:lang w:val="en-US" w:eastAsia="zh-CN"/>
        </w:rPr>
        <w:t>项目所在地</w:t>
      </w:r>
      <w:r>
        <w:rPr>
          <w:color w:val="auto"/>
          <w:szCs w:val="21"/>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人民法院起诉。</w:t>
      </w:r>
      <w:bookmarkEnd w:id="710"/>
      <w:bookmarkEnd w:id="711"/>
      <w:bookmarkEnd w:id="712"/>
      <w:bookmarkEnd w:id="713"/>
      <w:bookmarkEnd w:id="714"/>
      <w:bookmarkEnd w:id="715"/>
    </w:p>
    <w:p w14:paraId="7608EA3C">
      <w:pPr>
        <w:spacing w:line="480" w:lineRule="exact"/>
        <w:rPr>
          <w:rFonts w:ascii="宋体" w:hAnsi="宋体"/>
          <w:color w:val="auto"/>
          <w:szCs w:val="21"/>
          <w:highlight w:val="none"/>
        </w:rPr>
      </w:pPr>
      <w:r>
        <w:rPr>
          <w:rFonts w:ascii="宋体" w:hAnsi="宋体"/>
          <w:color w:val="auto"/>
          <w:szCs w:val="21"/>
          <w:highlight w:val="none"/>
        </w:rPr>
        <w:br w:type="page"/>
      </w:r>
      <w:bookmarkStart w:id="722" w:name="_Toc351203652"/>
      <w:r>
        <w:rPr>
          <w:rFonts w:ascii="宋体" w:hAnsi="宋体"/>
          <w:color w:val="auto"/>
          <w:szCs w:val="21"/>
          <w:highlight w:val="none"/>
        </w:rPr>
        <w:t>附件</w:t>
      </w:r>
      <w:bookmarkEnd w:id="722"/>
    </w:p>
    <w:p w14:paraId="7CB3389A">
      <w:pPr>
        <w:spacing w:line="480" w:lineRule="exact"/>
        <w:rPr>
          <w:rFonts w:hint="eastAsia" w:ascii="宋体" w:hAnsi="宋体"/>
          <w:color w:val="auto"/>
          <w:szCs w:val="21"/>
          <w:highlight w:val="none"/>
        </w:rPr>
      </w:pPr>
      <w:r>
        <w:rPr>
          <w:rFonts w:hint="eastAsia" w:ascii="宋体" w:hAnsi="宋体"/>
          <w:color w:val="auto"/>
          <w:szCs w:val="21"/>
          <w:highlight w:val="none"/>
        </w:rPr>
        <w:t>协议书附件：</w:t>
      </w:r>
    </w:p>
    <w:p w14:paraId="5FF06526">
      <w:pPr>
        <w:spacing w:line="480" w:lineRule="exact"/>
        <w:rPr>
          <w:rFonts w:hint="eastAsia" w:ascii="宋体" w:hAnsi="宋体"/>
          <w:color w:val="auto"/>
          <w:szCs w:val="21"/>
          <w:highlight w:val="none"/>
        </w:rPr>
      </w:pPr>
      <w:r>
        <w:rPr>
          <w:rFonts w:ascii="宋体" w:hAnsi="宋体"/>
          <w:color w:val="auto"/>
          <w:szCs w:val="21"/>
          <w:highlight w:val="none"/>
        </w:rPr>
        <w:t>附件1：承包人承揽工程项目一览表</w:t>
      </w:r>
    </w:p>
    <w:p w14:paraId="532A331B">
      <w:pPr>
        <w:spacing w:line="480" w:lineRule="exact"/>
        <w:rPr>
          <w:rFonts w:ascii="宋体" w:hAnsi="宋体"/>
          <w:color w:val="auto"/>
          <w:szCs w:val="21"/>
          <w:highlight w:val="none"/>
        </w:rPr>
      </w:pPr>
      <w:r>
        <w:rPr>
          <w:rFonts w:hint="eastAsia" w:ascii="宋体" w:hAnsi="宋体"/>
          <w:color w:val="auto"/>
          <w:szCs w:val="21"/>
          <w:highlight w:val="none"/>
        </w:rPr>
        <w:t>专用合同条款附件：</w:t>
      </w:r>
    </w:p>
    <w:p w14:paraId="4F243E76">
      <w:pPr>
        <w:spacing w:line="480" w:lineRule="exact"/>
        <w:rPr>
          <w:rFonts w:ascii="宋体" w:hAnsi="宋体"/>
          <w:color w:val="auto"/>
          <w:szCs w:val="21"/>
          <w:highlight w:val="none"/>
        </w:rPr>
      </w:pPr>
      <w:r>
        <w:rPr>
          <w:rFonts w:ascii="宋体" w:hAnsi="宋体"/>
          <w:color w:val="auto"/>
          <w:szCs w:val="21"/>
          <w:highlight w:val="none"/>
        </w:rPr>
        <w:t>附件2：发包人供应材料设备一览表</w:t>
      </w:r>
    </w:p>
    <w:p w14:paraId="5BB59A87">
      <w:pPr>
        <w:spacing w:line="480" w:lineRule="exact"/>
        <w:rPr>
          <w:rFonts w:ascii="宋体" w:hAnsi="宋体"/>
          <w:color w:val="auto"/>
          <w:szCs w:val="21"/>
          <w:highlight w:val="none"/>
        </w:rPr>
      </w:pPr>
      <w:r>
        <w:rPr>
          <w:rFonts w:ascii="宋体" w:hAnsi="宋体"/>
          <w:color w:val="auto"/>
          <w:szCs w:val="21"/>
          <w:highlight w:val="none"/>
        </w:rPr>
        <w:t>附件3：工程质量保修书</w:t>
      </w:r>
    </w:p>
    <w:p w14:paraId="23BEBBD6">
      <w:pPr>
        <w:spacing w:line="480" w:lineRule="exact"/>
        <w:rPr>
          <w:rFonts w:ascii="宋体" w:hAnsi="宋体"/>
          <w:color w:val="auto"/>
          <w:szCs w:val="21"/>
          <w:highlight w:val="none"/>
        </w:rPr>
      </w:pPr>
      <w:r>
        <w:rPr>
          <w:rFonts w:ascii="宋体" w:hAnsi="宋体"/>
          <w:color w:val="auto"/>
          <w:szCs w:val="21"/>
          <w:highlight w:val="none"/>
        </w:rPr>
        <w:t>附件4：主要建设工程文件目录</w:t>
      </w:r>
    </w:p>
    <w:p w14:paraId="742F533A">
      <w:pPr>
        <w:spacing w:line="480" w:lineRule="exact"/>
        <w:rPr>
          <w:rFonts w:ascii="宋体" w:hAnsi="宋体"/>
          <w:color w:val="auto"/>
          <w:szCs w:val="21"/>
          <w:highlight w:val="none"/>
        </w:rPr>
      </w:pPr>
      <w:r>
        <w:rPr>
          <w:rFonts w:ascii="宋体" w:hAnsi="宋体"/>
          <w:color w:val="auto"/>
          <w:szCs w:val="21"/>
          <w:highlight w:val="none"/>
        </w:rPr>
        <w:t>附件5：承包人用于本工程施工的机械设备表</w:t>
      </w:r>
    </w:p>
    <w:p w14:paraId="01264C26">
      <w:pPr>
        <w:spacing w:line="480" w:lineRule="exact"/>
        <w:rPr>
          <w:rFonts w:ascii="宋体" w:hAnsi="宋体"/>
          <w:color w:val="auto"/>
          <w:szCs w:val="21"/>
          <w:highlight w:val="none"/>
        </w:rPr>
      </w:pPr>
      <w:r>
        <w:rPr>
          <w:rFonts w:ascii="宋体" w:hAnsi="宋体"/>
          <w:color w:val="auto"/>
          <w:szCs w:val="21"/>
          <w:highlight w:val="none"/>
        </w:rPr>
        <w:t>附件6：承包人主要施工管理人员表</w:t>
      </w:r>
    </w:p>
    <w:p w14:paraId="540764C2">
      <w:pPr>
        <w:spacing w:line="480" w:lineRule="exact"/>
        <w:rPr>
          <w:rFonts w:ascii="宋体" w:hAnsi="宋体"/>
          <w:color w:val="auto"/>
          <w:szCs w:val="21"/>
          <w:highlight w:val="none"/>
        </w:rPr>
      </w:pPr>
      <w:r>
        <w:rPr>
          <w:rFonts w:ascii="宋体" w:hAnsi="宋体"/>
          <w:color w:val="auto"/>
          <w:szCs w:val="21"/>
          <w:highlight w:val="none"/>
        </w:rPr>
        <w:t>附件7：分包人主要施工管理人员表</w:t>
      </w:r>
    </w:p>
    <w:p w14:paraId="3A78E793">
      <w:pPr>
        <w:spacing w:line="480" w:lineRule="exact"/>
        <w:rPr>
          <w:rFonts w:ascii="宋体" w:hAnsi="宋体"/>
          <w:bCs/>
          <w:color w:val="auto"/>
          <w:szCs w:val="21"/>
          <w:highlight w:val="none"/>
        </w:rPr>
      </w:pPr>
      <w:r>
        <w:rPr>
          <w:rFonts w:ascii="宋体" w:hAnsi="宋体"/>
          <w:color w:val="auto"/>
          <w:szCs w:val="21"/>
          <w:highlight w:val="none"/>
        </w:rPr>
        <w:t>附件8：履约担保格式</w:t>
      </w:r>
      <w:r>
        <w:rPr>
          <w:rFonts w:hint="eastAsia" w:ascii="宋体" w:hAnsi="宋体"/>
          <w:bCs/>
          <w:color w:val="auto"/>
          <w:szCs w:val="21"/>
          <w:highlight w:val="none"/>
        </w:rPr>
        <w:t>（经评审最低投标价法中标履约担保格式见本章附件4-</w:t>
      </w:r>
      <w:r>
        <w:rPr>
          <w:rFonts w:ascii="宋体" w:hAnsi="宋体"/>
          <w:bCs/>
          <w:color w:val="auto"/>
          <w:szCs w:val="21"/>
          <w:highlight w:val="none"/>
        </w:rPr>
        <w:t>1</w:t>
      </w:r>
      <w:r>
        <w:rPr>
          <w:rFonts w:hint="eastAsia" w:ascii="宋体" w:hAnsi="宋体"/>
          <w:bCs/>
          <w:color w:val="auto"/>
          <w:szCs w:val="21"/>
          <w:highlight w:val="none"/>
        </w:rPr>
        <w:t>）</w:t>
      </w:r>
    </w:p>
    <w:p w14:paraId="66001F0A">
      <w:pPr>
        <w:spacing w:line="480" w:lineRule="exact"/>
        <w:rPr>
          <w:rFonts w:ascii="宋体" w:hAnsi="宋体"/>
          <w:color w:val="auto"/>
          <w:szCs w:val="21"/>
          <w:highlight w:val="none"/>
        </w:rPr>
      </w:pPr>
      <w:r>
        <w:rPr>
          <w:rFonts w:ascii="宋体" w:hAnsi="宋体"/>
          <w:color w:val="auto"/>
          <w:szCs w:val="21"/>
          <w:highlight w:val="none"/>
        </w:rPr>
        <w:t>附件9：预付款担保格式</w:t>
      </w:r>
    </w:p>
    <w:p w14:paraId="194CD576">
      <w:pPr>
        <w:spacing w:line="480" w:lineRule="exact"/>
        <w:rPr>
          <w:rFonts w:ascii="宋体" w:hAnsi="宋体"/>
          <w:color w:val="auto"/>
          <w:szCs w:val="21"/>
          <w:highlight w:val="none"/>
        </w:rPr>
      </w:pPr>
      <w:r>
        <w:rPr>
          <w:rFonts w:ascii="宋体" w:hAnsi="宋体"/>
          <w:color w:val="auto"/>
          <w:szCs w:val="21"/>
          <w:highlight w:val="none"/>
        </w:rPr>
        <w:t>附件10：支付担保格式</w:t>
      </w:r>
    </w:p>
    <w:p w14:paraId="0E245592">
      <w:pPr>
        <w:spacing w:line="480" w:lineRule="exact"/>
        <w:rPr>
          <w:rFonts w:ascii="宋体" w:hAnsi="宋体"/>
          <w:color w:val="auto"/>
          <w:szCs w:val="21"/>
          <w:highlight w:val="none"/>
        </w:rPr>
      </w:pPr>
      <w:r>
        <w:rPr>
          <w:rFonts w:ascii="宋体" w:hAnsi="宋体"/>
          <w:color w:val="auto"/>
          <w:szCs w:val="21"/>
          <w:highlight w:val="none"/>
        </w:rPr>
        <w:t>附件11：暂估价一览表</w:t>
      </w:r>
    </w:p>
    <w:p w14:paraId="378C9719">
      <w:pPr>
        <w:spacing w:line="480" w:lineRule="exact"/>
        <w:rPr>
          <w:rFonts w:ascii="宋体" w:hAnsi="宋体"/>
          <w:color w:val="auto"/>
          <w:szCs w:val="21"/>
          <w:highlight w:val="none"/>
        </w:rPr>
      </w:pPr>
    </w:p>
    <w:p w14:paraId="77A4147F">
      <w:pPr>
        <w:spacing w:line="480" w:lineRule="exact"/>
        <w:rPr>
          <w:rFonts w:hint="eastAsia" w:ascii="宋体" w:hAnsi="宋体"/>
          <w:bCs/>
          <w:color w:val="auto"/>
          <w:szCs w:val="21"/>
          <w:highlight w:val="none"/>
          <w:u w:val="single"/>
        </w:rPr>
      </w:pPr>
    </w:p>
    <w:p w14:paraId="28048338">
      <w:pPr>
        <w:spacing w:line="480" w:lineRule="exact"/>
        <w:rPr>
          <w:rFonts w:hint="eastAsia" w:ascii="宋体" w:hAnsi="宋体"/>
          <w:bCs/>
          <w:color w:val="auto"/>
          <w:szCs w:val="21"/>
          <w:highlight w:val="none"/>
          <w:u w:val="single"/>
        </w:rPr>
      </w:pPr>
    </w:p>
    <w:p w14:paraId="6C3B855D">
      <w:pPr>
        <w:spacing w:line="480" w:lineRule="exact"/>
        <w:rPr>
          <w:rFonts w:hint="eastAsia" w:ascii="宋体" w:hAnsi="宋体"/>
          <w:bCs/>
          <w:color w:val="auto"/>
          <w:szCs w:val="21"/>
          <w:highlight w:val="none"/>
          <w:u w:val="single"/>
        </w:rPr>
      </w:pPr>
    </w:p>
    <w:p w14:paraId="68DD4D7A">
      <w:pPr>
        <w:spacing w:line="480" w:lineRule="exact"/>
        <w:rPr>
          <w:rFonts w:hint="eastAsia" w:ascii="宋体" w:hAnsi="宋体"/>
          <w:bCs/>
          <w:color w:val="auto"/>
          <w:szCs w:val="21"/>
          <w:highlight w:val="none"/>
          <w:u w:val="single"/>
        </w:rPr>
      </w:pPr>
    </w:p>
    <w:p w14:paraId="01AFFF16">
      <w:pPr>
        <w:spacing w:line="480" w:lineRule="exact"/>
        <w:rPr>
          <w:rFonts w:hint="eastAsia" w:ascii="宋体" w:hAnsi="宋体"/>
          <w:bCs/>
          <w:color w:val="auto"/>
          <w:szCs w:val="21"/>
          <w:highlight w:val="none"/>
          <w:u w:val="single"/>
        </w:rPr>
      </w:pPr>
    </w:p>
    <w:p w14:paraId="659DE00E">
      <w:pPr>
        <w:spacing w:line="480" w:lineRule="exact"/>
        <w:rPr>
          <w:rFonts w:hint="eastAsia" w:ascii="宋体" w:hAnsi="宋体"/>
          <w:bCs/>
          <w:color w:val="auto"/>
          <w:szCs w:val="21"/>
          <w:highlight w:val="none"/>
          <w:u w:val="single"/>
        </w:rPr>
      </w:pPr>
    </w:p>
    <w:p w14:paraId="259CC817">
      <w:pPr>
        <w:spacing w:line="480" w:lineRule="exact"/>
        <w:rPr>
          <w:rFonts w:hint="eastAsia" w:ascii="宋体" w:hAnsi="宋体"/>
          <w:bCs/>
          <w:color w:val="auto"/>
          <w:szCs w:val="21"/>
          <w:highlight w:val="none"/>
          <w:u w:val="single"/>
        </w:rPr>
      </w:pPr>
    </w:p>
    <w:p w14:paraId="1F609C40">
      <w:pPr>
        <w:spacing w:line="480" w:lineRule="exact"/>
        <w:rPr>
          <w:rFonts w:hint="eastAsia" w:ascii="宋体" w:hAnsi="宋体"/>
          <w:bCs/>
          <w:color w:val="auto"/>
          <w:szCs w:val="21"/>
          <w:highlight w:val="none"/>
          <w:u w:val="single"/>
        </w:rPr>
      </w:pPr>
    </w:p>
    <w:p w14:paraId="67B45C47">
      <w:pPr>
        <w:spacing w:line="480" w:lineRule="exact"/>
        <w:rPr>
          <w:rFonts w:hint="eastAsia" w:ascii="宋体" w:hAnsi="宋体"/>
          <w:bCs/>
          <w:color w:val="auto"/>
          <w:szCs w:val="21"/>
          <w:highlight w:val="none"/>
          <w:u w:val="single"/>
        </w:rPr>
      </w:pPr>
    </w:p>
    <w:p w14:paraId="3E8A2E39">
      <w:pPr>
        <w:spacing w:line="480" w:lineRule="exact"/>
        <w:rPr>
          <w:rFonts w:ascii="宋体" w:hAnsi="宋体"/>
          <w:bCs/>
          <w:color w:val="auto"/>
          <w:szCs w:val="21"/>
          <w:highlight w:val="none"/>
        </w:rPr>
      </w:pPr>
      <w:r>
        <w:rPr>
          <w:rFonts w:hint="eastAsia" w:ascii="宋体" w:hAnsi="宋体"/>
          <w:bCs/>
          <w:color w:val="auto"/>
          <w:szCs w:val="21"/>
          <w:highlight w:val="none"/>
        </w:rPr>
        <w:t>说明：请招标人根据《建设工程施工合同（示范文本）》（GF-2017-0201）的“附件”格式填写相关内容</w:t>
      </w:r>
    </w:p>
    <w:p w14:paraId="31472027">
      <w:pPr>
        <w:spacing w:line="480" w:lineRule="exact"/>
        <w:rPr>
          <w:rFonts w:ascii="宋体" w:hAnsi="宋体"/>
          <w:color w:val="auto"/>
          <w:szCs w:val="21"/>
          <w:highlight w:val="none"/>
        </w:rPr>
        <w:sectPr>
          <w:footerReference r:id="rId9" w:type="first"/>
          <w:footerReference r:id="rId8" w:type="default"/>
          <w:pgSz w:w="11906" w:h="16838"/>
          <w:pgMar w:top="1417" w:right="1440" w:bottom="1417" w:left="1440" w:header="850" w:footer="850" w:gutter="0"/>
          <w:pgNumType w:fmt="decimal"/>
          <w:cols w:space="720" w:num="1"/>
          <w:titlePg/>
          <w:docGrid w:type="lines" w:linePitch="315" w:charSpace="0"/>
        </w:sectPr>
      </w:pPr>
    </w:p>
    <w:bookmarkEnd w:id="166"/>
    <w:p w14:paraId="21C4BF3A">
      <w:pPr>
        <w:rPr>
          <w:color w:val="auto"/>
          <w:szCs w:val="21"/>
          <w:highlight w:val="none"/>
        </w:rPr>
      </w:pPr>
      <w:r>
        <w:rPr>
          <w:rFonts w:hint="eastAsia"/>
          <w:color w:val="auto"/>
          <w:szCs w:val="21"/>
          <w:highlight w:val="none"/>
        </w:rPr>
        <w:t>附件4-1-1：</w:t>
      </w:r>
      <w:r>
        <w:rPr>
          <w:color w:val="auto"/>
          <w:szCs w:val="21"/>
          <w:highlight w:val="none"/>
        </w:rPr>
        <w:t>经评审最低投标价法中标履约担保格式</w:t>
      </w:r>
    </w:p>
    <w:p w14:paraId="1676F165">
      <w:pPr>
        <w:jc w:val="center"/>
        <w:rPr>
          <w:rFonts w:eastAsia="黑体"/>
          <w:color w:val="auto"/>
          <w:sz w:val="30"/>
          <w:szCs w:val="30"/>
          <w:highlight w:val="none"/>
        </w:rPr>
      </w:pPr>
    </w:p>
    <w:p w14:paraId="21BC9830">
      <w:pPr>
        <w:jc w:val="center"/>
        <w:rPr>
          <w:rFonts w:eastAsia="黑体"/>
          <w:color w:val="auto"/>
          <w:sz w:val="30"/>
          <w:szCs w:val="30"/>
          <w:highlight w:val="none"/>
        </w:rPr>
      </w:pPr>
      <w:r>
        <w:rPr>
          <w:rFonts w:eastAsia="黑体"/>
          <w:color w:val="auto"/>
          <w:sz w:val="30"/>
          <w:szCs w:val="30"/>
          <w:highlight w:val="none"/>
        </w:rPr>
        <w:t>履约保函（格式）</w:t>
      </w:r>
    </w:p>
    <w:p w14:paraId="107EAA5A">
      <w:pPr>
        <w:spacing w:line="360" w:lineRule="auto"/>
        <w:rPr>
          <w:color w:val="auto"/>
          <w:szCs w:val="32"/>
          <w:highlight w:val="none"/>
        </w:rPr>
      </w:pPr>
      <w:r>
        <w:rPr>
          <w:color w:val="auto"/>
          <w:szCs w:val="32"/>
          <w:highlight w:val="none"/>
          <w:u w:val="single"/>
        </w:rPr>
        <w:t xml:space="preserve">              </w:t>
      </w:r>
      <w:r>
        <w:rPr>
          <w:color w:val="auto"/>
          <w:szCs w:val="32"/>
          <w:highlight w:val="none"/>
        </w:rPr>
        <w:t>（受益人名称）：</w:t>
      </w:r>
    </w:p>
    <w:p w14:paraId="30C1615B">
      <w:pPr>
        <w:spacing w:line="360" w:lineRule="auto"/>
        <w:ind w:firstLine="420" w:firstLineChars="200"/>
        <w:rPr>
          <w:color w:val="auto"/>
          <w:szCs w:val="32"/>
          <w:highlight w:val="none"/>
        </w:rPr>
      </w:pPr>
      <w:r>
        <w:rPr>
          <w:color w:val="auto"/>
          <w:szCs w:val="32"/>
          <w:highlight w:val="none"/>
        </w:rPr>
        <w:t>鉴于你方作为招标人已经于</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日向</w:t>
      </w:r>
      <w:r>
        <w:rPr>
          <w:color w:val="auto"/>
          <w:szCs w:val="32"/>
          <w:highlight w:val="none"/>
          <w:u w:val="single"/>
        </w:rPr>
        <w:t xml:space="preserve">                              </w:t>
      </w:r>
      <w:r>
        <w:rPr>
          <w:color w:val="auto"/>
          <w:szCs w:val="32"/>
          <w:highlight w:val="none"/>
        </w:rPr>
        <w:t>公司（以下称“中标人”）发出</w:t>
      </w:r>
      <w:r>
        <w:rPr>
          <w:color w:val="auto"/>
          <w:szCs w:val="32"/>
          <w:highlight w:val="none"/>
          <w:u w:val="single"/>
        </w:rPr>
        <w:t xml:space="preserve">  （</w:t>
      </w:r>
      <w:r>
        <w:rPr>
          <w:rFonts w:hint="eastAsia"/>
          <w:color w:val="auto"/>
          <w:szCs w:val="32"/>
          <w:highlight w:val="none"/>
          <w:u w:val="single"/>
        </w:rPr>
        <w:t>招标项目及标段</w:t>
      </w:r>
      <w:r>
        <w:rPr>
          <w:color w:val="auto"/>
          <w:szCs w:val="32"/>
          <w:highlight w:val="none"/>
          <w:u w:val="single"/>
        </w:rPr>
        <w:t>）</w:t>
      </w:r>
      <w:r>
        <w:rPr>
          <w:rFonts w:hint="eastAsia"/>
          <w:color w:val="auto"/>
          <w:szCs w:val="32"/>
          <w:highlight w:val="none"/>
          <w:u w:val="single"/>
        </w:rPr>
        <w:t xml:space="preserve">  </w:t>
      </w:r>
      <w:r>
        <w:rPr>
          <w:color w:val="auto"/>
          <w:szCs w:val="32"/>
          <w:highlight w:val="none"/>
        </w:rPr>
        <w:t>发出中标通知书，我方愿意无条件、不可撤销地就中标人履行与你方签订的工程建设合同义务，向你方出具见索即付保函：</w:t>
      </w:r>
    </w:p>
    <w:p w14:paraId="06528188">
      <w:pPr>
        <w:spacing w:line="360" w:lineRule="auto"/>
        <w:ind w:firstLine="420"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 xml:space="preserve"> 元（¥</w:t>
      </w:r>
      <w:r>
        <w:rPr>
          <w:color w:val="auto"/>
          <w:szCs w:val="32"/>
          <w:highlight w:val="none"/>
          <w:u w:val="single"/>
        </w:rPr>
        <w:t xml:space="preserve">             </w:t>
      </w:r>
      <w:r>
        <w:rPr>
          <w:color w:val="auto"/>
          <w:szCs w:val="32"/>
          <w:highlight w:val="none"/>
        </w:rPr>
        <w:t>）。</w:t>
      </w:r>
    </w:p>
    <w:p w14:paraId="62085C76">
      <w:pPr>
        <w:spacing w:line="360" w:lineRule="auto"/>
        <w:ind w:firstLine="420" w:firstLineChars="200"/>
        <w:rPr>
          <w:color w:val="auto"/>
          <w:szCs w:val="32"/>
          <w:highlight w:val="none"/>
        </w:rPr>
      </w:pPr>
      <w:r>
        <w:rPr>
          <w:color w:val="auto"/>
          <w:szCs w:val="32"/>
          <w:highlight w:val="none"/>
        </w:rPr>
        <w:t>2．本保函有效期自保函签发之日起至合同约定的主要义务履行完毕止，或者至我方收到你方与中标人共同签署的解除工程建设合同的书面通知书，或者建设工程中止施工超过3个月的书面通知书止。但本保函有效期最迟不超过</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30083F75">
      <w:pPr>
        <w:spacing w:line="360" w:lineRule="auto"/>
        <w:ind w:firstLine="420" w:firstLineChars="200"/>
        <w:rPr>
          <w:color w:val="auto"/>
          <w:szCs w:val="32"/>
          <w:highlight w:val="none"/>
        </w:rPr>
      </w:pPr>
      <w:r>
        <w:rPr>
          <w:color w:val="auto"/>
          <w:szCs w:val="32"/>
          <w:highlight w:val="none"/>
        </w:rPr>
        <w:t>3．在本保函有效期内，因中标人未能按照合同约定履行义务时，我方在收到你方提出的书面索赔通知以及本保函原件后，在10个工作日内无条件地向你方支付累计总额不超过本保函第1款约定的经济赔偿金。</w:t>
      </w:r>
    </w:p>
    <w:p w14:paraId="5DF55B8C">
      <w:pPr>
        <w:spacing w:line="360" w:lineRule="auto"/>
        <w:ind w:firstLine="420" w:firstLineChars="200"/>
        <w:rPr>
          <w:color w:val="auto"/>
          <w:szCs w:val="32"/>
          <w:highlight w:val="none"/>
        </w:rPr>
      </w:pPr>
      <w:r>
        <w:rPr>
          <w:color w:val="auto"/>
          <w:szCs w:val="32"/>
          <w:highlight w:val="none"/>
        </w:rPr>
        <w:t>4．你方的索赔通知应当符合下列要求：</w:t>
      </w:r>
    </w:p>
    <w:p w14:paraId="69E667FE">
      <w:pPr>
        <w:spacing w:line="360" w:lineRule="auto"/>
        <w:ind w:firstLine="420" w:firstLineChars="200"/>
        <w:rPr>
          <w:color w:val="auto"/>
          <w:szCs w:val="32"/>
          <w:highlight w:val="none"/>
        </w:rPr>
      </w:pPr>
      <w:r>
        <w:rPr>
          <w:color w:val="auto"/>
          <w:szCs w:val="32"/>
          <w:highlight w:val="none"/>
        </w:rPr>
        <w:t>（1）索赔通知应当列明索赔金额，由你方加盖单位公章和法定代表人印章；</w:t>
      </w:r>
    </w:p>
    <w:p w14:paraId="5D83EDEB">
      <w:pPr>
        <w:spacing w:line="360" w:lineRule="auto"/>
        <w:ind w:firstLine="420"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14:paraId="643FB21D">
      <w:pPr>
        <w:spacing w:line="360" w:lineRule="auto"/>
        <w:rPr>
          <w:color w:val="auto"/>
          <w:szCs w:val="32"/>
          <w:highlight w:val="none"/>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14:paraId="06A0B941">
      <w:pPr>
        <w:spacing w:line="360" w:lineRule="auto"/>
        <w:ind w:firstLine="420" w:firstLineChars="200"/>
        <w:rPr>
          <w:color w:val="auto"/>
          <w:szCs w:val="32"/>
          <w:highlight w:val="none"/>
        </w:rPr>
      </w:pPr>
      <w:r>
        <w:rPr>
          <w:color w:val="auto"/>
          <w:szCs w:val="32"/>
          <w:highlight w:val="none"/>
        </w:rPr>
        <w:t>5．你方和中标人变更合同时，我方承担本保函规定的义务不变。</w:t>
      </w:r>
    </w:p>
    <w:p w14:paraId="791DEFC0">
      <w:pPr>
        <w:spacing w:line="360" w:lineRule="auto"/>
        <w:ind w:firstLine="420" w:firstLineChars="200"/>
        <w:rPr>
          <w:color w:val="auto"/>
          <w:szCs w:val="32"/>
          <w:highlight w:val="none"/>
        </w:rPr>
      </w:pPr>
      <w:r>
        <w:rPr>
          <w:color w:val="auto"/>
          <w:szCs w:val="32"/>
          <w:highlight w:val="none"/>
        </w:rPr>
        <w:t>6．本保函项下的权利不得转让或设定担保。</w:t>
      </w:r>
    </w:p>
    <w:p w14:paraId="13A9930C">
      <w:pPr>
        <w:spacing w:line="360" w:lineRule="auto"/>
        <w:ind w:firstLine="420" w:firstLineChars="200"/>
        <w:rPr>
          <w:color w:val="auto"/>
          <w:szCs w:val="32"/>
          <w:highlight w:val="none"/>
        </w:rPr>
      </w:pPr>
      <w:r>
        <w:rPr>
          <w:color w:val="auto"/>
          <w:szCs w:val="32"/>
          <w:highlight w:val="none"/>
        </w:rPr>
        <w:t>7．本保函有效期届满，或者我方收到你方与中标人共同签署的解除工程建设合同的书面通知书，或者建设工程项目中止施工超过3个月的书面通知书后，无论是否将保函原件退回我方，本保函自行失效。我方在本保函项下的保证责任解除，此后提出的要求我方履行担保责任的主张无效。</w:t>
      </w:r>
    </w:p>
    <w:p w14:paraId="69DB5539">
      <w:pPr>
        <w:spacing w:line="360" w:lineRule="auto"/>
        <w:ind w:firstLine="420" w:firstLineChars="200"/>
        <w:rPr>
          <w:color w:val="auto"/>
          <w:szCs w:val="32"/>
          <w:highlight w:val="none"/>
        </w:rPr>
      </w:pPr>
      <w:r>
        <w:rPr>
          <w:color w:val="auto"/>
          <w:szCs w:val="32"/>
          <w:highlight w:val="none"/>
        </w:rPr>
        <w:t>8．本保函项下所有权利和义务均受中华人民共和国法律管辖和制约。</w:t>
      </w:r>
    </w:p>
    <w:p w14:paraId="6C9DCA30">
      <w:pPr>
        <w:spacing w:line="360" w:lineRule="auto"/>
        <w:ind w:firstLine="420" w:firstLineChars="200"/>
        <w:rPr>
          <w:color w:val="auto"/>
          <w:szCs w:val="32"/>
          <w:highlight w:val="none"/>
        </w:rPr>
      </w:pPr>
    </w:p>
    <w:p w14:paraId="644262BE">
      <w:pPr>
        <w:spacing w:line="360" w:lineRule="auto"/>
        <w:ind w:firstLine="420" w:firstLineChars="200"/>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（盖章）</w:t>
      </w:r>
    </w:p>
    <w:p w14:paraId="774FFC18">
      <w:pPr>
        <w:spacing w:line="360" w:lineRule="auto"/>
        <w:ind w:firstLine="420" w:firstLineChars="200"/>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14:paraId="12239061">
      <w:pPr>
        <w:spacing w:line="360" w:lineRule="auto"/>
        <w:ind w:firstLine="420" w:firstLineChars="200"/>
        <w:rPr>
          <w:color w:val="auto"/>
          <w:szCs w:val="32"/>
          <w:highlight w:val="none"/>
        </w:rPr>
      </w:pPr>
      <w:r>
        <w:rPr>
          <w:color w:val="auto"/>
          <w:szCs w:val="32"/>
          <w:highlight w:val="none"/>
        </w:rPr>
        <w:t>地址：</w:t>
      </w:r>
      <w:r>
        <w:rPr>
          <w:color w:val="auto"/>
          <w:szCs w:val="32"/>
          <w:highlight w:val="none"/>
          <w:u w:val="single"/>
        </w:rPr>
        <w:t xml:space="preserve">                                           </w:t>
      </w:r>
    </w:p>
    <w:p w14:paraId="6708EBD2">
      <w:pPr>
        <w:spacing w:line="360" w:lineRule="auto"/>
        <w:ind w:firstLine="420" w:firstLineChars="200"/>
        <w:rPr>
          <w:color w:val="auto"/>
          <w:szCs w:val="32"/>
          <w:highlight w:val="none"/>
          <w:u w:val="single"/>
        </w:rPr>
      </w:pPr>
      <w:r>
        <w:rPr>
          <w:color w:val="auto"/>
          <w:szCs w:val="32"/>
          <w:highlight w:val="none"/>
        </w:rPr>
        <w:t>邮政编码：</w:t>
      </w:r>
      <w:r>
        <w:rPr>
          <w:color w:val="auto"/>
          <w:szCs w:val="32"/>
          <w:highlight w:val="none"/>
          <w:u w:val="single"/>
        </w:rPr>
        <w:t xml:space="preserve">                                       </w:t>
      </w:r>
    </w:p>
    <w:p w14:paraId="764A3B8C">
      <w:pPr>
        <w:spacing w:line="360" w:lineRule="auto"/>
        <w:ind w:firstLine="420" w:firstLineChars="200"/>
        <w:rPr>
          <w:color w:val="auto"/>
          <w:szCs w:val="32"/>
          <w:highlight w:val="none"/>
        </w:rPr>
      </w:pPr>
      <w:r>
        <w:rPr>
          <w:color w:val="auto"/>
          <w:szCs w:val="32"/>
          <w:highlight w:val="none"/>
        </w:rPr>
        <w:t>电话：</w:t>
      </w:r>
      <w:r>
        <w:rPr>
          <w:color w:val="auto"/>
          <w:szCs w:val="32"/>
          <w:highlight w:val="none"/>
          <w:u w:val="single"/>
        </w:rPr>
        <w:t xml:space="preserve">                                           </w:t>
      </w:r>
    </w:p>
    <w:p w14:paraId="7B73CE69">
      <w:pPr>
        <w:spacing w:line="360" w:lineRule="auto"/>
        <w:ind w:firstLine="420" w:firstLineChars="200"/>
        <w:rPr>
          <w:color w:val="auto"/>
          <w:szCs w:val="32"/>
          <w:highlight w:val="none"/>
          <w:u w:val="single"/>
        </w:rPr>
      </w:pPr>
      <w:r>
        <w:rPr>
          <w:color w:val="auto"/>
          <w:szCs w:val="32"/>
          <w:highlight w:val="none"/>
        </w:rPr>
        <w:t>传真：</w:t>
      </w:r>
      <w:r>
        <w:rPr>
          <w:color w:val="auto"/>
          <w:szCs w:val="32"/>
          <w:highlight w:val="none"/>
          <w:u w:val="single"/>
        </w:rPr>
        <w:t xml:space="preserve">                                           </w:t>
      </w:r>
    </w:p>
    <w:p w14:paraId="4B55DABC">
      <w:pPr>
        <w:spacing w:line="360" w:lineRule="auto"/>
        <w:ind w:firstLine="420" w:firstLineChars="200"/>
        <w:rPr>
          <w:color w:val="auto"/>
          <w:szCs w:val="32"/>
          <w:highlight w:val="none"/>
        </w:rPr>
      </w:pPr>
    </w:p>
    <w:p w14:paraId="123226A3">
      <w:pPr>
        <w:spacing w:line="360" w:lineRule="auto"/>
        <w:ind w:firstLine="420" w:firstLineChars="2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291029B1">
      <w:pPr>
        <w:widowControl/>
        <w:jc w:val="left"/>
        <w:rPr>
          <w:color w:val="auto"/>
          <w:szCs w:val="32"/>
          <w:highlight w:val="none"/>
        </w:rPr>
      </w:pPr>
      <w:r>
        <w:rPr>
          <w:color w:val="auto"/>
          <w:szCs w:val="32"/>
          <w:highlight w:val="none"/>
        </w:rPr>
        <w:br w:type="page"/>
      </w:r>
    </w:p>
    <w:p w14:paraId="7002F771">
      <w:pPr>
        <w:rPr>
          <w:color w:val="auto"/>
          <w:szCs w:val="32"/>
          <w:highlight w:val="none"/>
        </w:rPr>
      </w:pPr>
      <w:r>
        <w:rPr>
          <w:rFonts w:hint="eastAsia"/>
          <w:color w:val="auto"/>
          <w:szCs w:val="21"/>
          <w:highlight w:val="none"/>
        </w:rPr>
        <w:t>附件4-1-2：</w:t>
      </w:r>
      <w:r>
        <w:rPr>
          <w:color w:val="auto"/>
          <w:szCs w:val="21"/>
          <w:highlight w:val="none"/>
        </w:rPr>
        <w:t>经评审最低投标价法中标履约担保格式</w:t>
      </w:r>
    </w:p>
    <w:p w14:paraId="54F8B0DE">
      <w:pPr>
        <w:jc w:val="center"/>
        <w:rPr>
          <w:rFonts w:eastAsia="黑体"/>
          <w:color w:val="auto"/>
          <w:sz w:val="30"/>
          <w:szCs w:val="30"/>
          <w:highlight w:val="none"/>
        </w:rPr>
      </w:pPr>
    </w:p>
    <w:p w14:paraId="077D5A66">
      <w:pPr>
        <w:jc w:val="center"/>
        <w:rPr>
          <w:rFonts w:eastAsia="黑体"/>
          <w:color w:val="auto"/>
          <w:sz w:val="30"/>
          <w:szCs w:val="30"/>
          <w:highlight w:val="none"/>
        </w:rPr>
      </w:pPr>
      <w:r>
        <w:rPr>
          <w:rFonts w:hint="eastAsia" w:eastAsia="黑体"/>
          <w:color w:val="auto"/>
          <w:sz w:val="30"/>
          <w:szCs w:val="30"/>
          <w:highlight w:val="none"/>
        </w:rPr>
        <w:t>建设工程施工履约保证保险</w:t>
      </w:r>
    </w:p>
    <w:p w14:paraId="52B83497">
      <w:pPr>
        <w:jc w:val="center"/>
        <w:rPr>
          <w:rFonts w:eastAsia="黑体"/>
          <w:color w:val="auto"/>
          <w:sz w:val="30"/>
          <w:szCs w:val="30"/>
          <w:highlight w:val="none"/>
        </w:rPr>
      </w:pPr>
    </w:p>
    <w:p w14:paraId="3528387B">
      <w:pPr>
        <w:pStyle w:val="134"/>
        <w:snapToGrid w:val="0"/>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（招标人名称）</w:t>
      </w:r>
      <w:r>
        <w:rPr>
          <w:rFonts w:hint="eastAsia" w:hAnsi="宋体" w:cs="宋体"/>
          <w:color w:val="auto"/>
          <w:sz w:val="21"/>
          <w:szCs w:val="21"/>
          <w:highlight w:val="none"/>
        </w:rPr>
        <w:t xml:space="preserve">： </w:t>
      </w:r>
    </w:p>
    <w:p w14:paraId="33F14DC8">
      <w:pPr>
        <w:pStyle w:val="134"/>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w:t>
      </w:r>
      <w:r>
        <w:rPr>
          <w:rFonts w:hint="eastAsia" w:hAnsi="宋体" w:cs="宋体"/>
          <w:color w:val="auto"/>
          <w:sz w:val="21"/>
          <w:szCs w:val="21"/>
          <w:highlight w:val="none"/>
        </w:rPr>
        <w:t>（以下简称“中标人”）于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w:t>
      </w:r>
      <w:r>
        <w:rPr>
          <w:rFonts w:hint="eastAsia" w:hAnsi="宋体" w:cs="宋体"/>
          <w:bCs/>
          <w:color w:val="auto"/>
          <w:sz w:val="21"/>
          <w:szCs w:val="21"/>
          <w:highlight w:val="none"/>
          <w:u w:val="single"/>
        </w:rPr>
        <w:t>（招标项目及标段）</w:t>
      </w:r>
      <w:r>
        <w:rPr>
          <w:rFonts w:hint="eastAsia" w:hAnsi="宋体" w:cs="宋体"/>
          <w:color w:val="auto"/>
          <w:sz w:val="21"/>
          <w:szCs w:val="21"/>
          <w:highlight w:val="none"/>
        </w:rPr>
        <w:t>施工的招标投标，并收到你方发出的中标通知书。现中标人向我方投保建设工程施工合同履约保证保险（保险单号：              ）。我方愿就中标人履行《建设工程施工合同》约定的义务向贵方提供如下保证保险：</w:t>
      </w:r>
    </w:p>
    <w:p w14:paraId="07B32CC2">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14:paraId="1E211C3B">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我方承担的履约保证保险的保险金额（最高限额）为人民币</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color w:val="auto"/>
          <w:szCs w:val="32"/>
          <w:highlight w:val="none"/>
        </w:rPr>
        <w:t>（¥</w:t>
      </w:r>
      <w:r>
        <w:rPr>
          <w:color w:val="auto"/>
          <w:szCs w:val="32"/>
          <w:highlight w:val="none"/>
          <w:u w:val="single"/>
        </w:rPr>
        <w:t xml:space="preserve">             </w:t>
      </w:r>
      <w:r>
        <w:rPr>
          <w:color w:val="auto"/>
          <w:szCs w:val="32"/>
          <w:highlight w:val="none"/>
        </w:rPr>
        <w:t xml:space="preserve"> ）</w:t>
      </w:r>
      <w:r>
        <w:rPr>
          <w:rFonts w:hint="eastAsia" w:ascii="宋体" w:hAnsi="宋体" w:cs="宋体"/>
          <w:color w:val="auto"/>
          <w:szCs w:val="21"/>
          <w:highlight w:val="none"/>
        </w:rPr>
        <w:t>。</w:t>
      </w:r>
    </w:p>
    <w:p w14:paraId="2B8FB590">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14:paraId="0C873492">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在保险期间内，中标人（投保人）因自身原因未按照与招标人（被保险人）签订的《建设工程施工合同》（合同编号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）履行相关义务，导致工程竣工延误或工程质量不符合建设工程施工合同要求，给被保险人造成直接经济损失的，被保险人可向保险人提出索赔，保险人按照保险合同的约定承担损失赔偿责任。</w:t>
      </w:r>
    </w:p>
    <w:p w14:paraId="7EAE214A">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14:paraId="7133AAE3">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贵方要求我方承担保证保险责任的，应向我方发出书面索赔通知。索赔通知应写明要求索赔的金额，支付款项应到达的帐号，并附有说明中标人违约造成贵方损失情况的证明材料。</w:t>
      </w:r>
    </w:p>
    <w:p w14:paraId="57858662">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个工作日内进行核定后，按照保险合同的约定承诺承担保证保险责任。</w:t>
      </w:r>
    </w:p>
    <w:p w14:paraId="4B063622">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四、保单凭证有效期</w:t>
      </w:r>
    </w:p>
    <w:p w14:paraId="630D33A7">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本保单凭证的有效期自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日零时起至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日二十四时止。</w:t>
      </w:r>
    </w:p>
    <w:p w14:paraId="693BFD90">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（即：保险合同签发之日起至合同到期之日止，具体以保险合同载明为准。）</w:t>
      </w:r>
    </w:p>
    <w:p w14:paraId="2228E4E6">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五、争议解决方式</w:t>
      </w:r>
    </w:p>
    <w:p w14:paraId="526D8298">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本保单凭证（函）发生争议协商解决不成，按以下方式解决：提交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诉讼</w:t>
      </w:r>
    </w:p>
    <w:p w14:paraId="640B6F1E">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九、本保险保单凭证/保函未载明事宜以保险合同约定为准。</w:t>
      </w:r>
    </w:p>
    <w:p w14:paraId="1C366787">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十、本保险保单凭证/保函自保险人或授权代理人签字并加盖公章之日起生效。</w:t>
      </w:r>
    </w:p>
    <w:p w14:paraId="6559D7B0">
      <w:pPr>
        <w:snapToGrid w:val="0"/>
        <w:spacing w:line="380" w:lineRule="exact"/>
        <w:ind w:firstLine="420" w:firstLineChars="200"/>
        <w:jc w:val="left"/>
        <w:rPr>
          <w:rFonts w:hint="eastAsia" w:ascii="宋体" w:hAnsi="宋体" w:cs="宋体"/>
          <w:color w:val="auto"/>
          <w:szCs w:val="21"/>
          <w:highlight w:val="none"/>
        </w:rPr>
      </w:pPr>
    </w:p>
    <w:p w14:paraId="142A5DCC">
      <w:pPr>
        <w:snapToGrid w:val="0"/>
        <w:spacing w:line="380" w:lineRule="exact"/>
        <w:ind w:firstLine="420" w:firstLineChars="200"/>
        <w:jc w:val="left"/>
        <w:rPr>
          <w:rFonts w:hint="eastAsia" w:ascii="宋体" w:hAnsi="宋体" w:cs="宋体"/>
          <w:color w:val="auto"/>
          <w:szCs w:val="21"/>
          <w:highlight w:val="none"/>
        </w:rPr>
      </w:pPr>
    </w:p>
    <w:p w14:paraId="70F1DE55">
      <w:pPr>
        <w:pStyle w:val="183"/>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14:paraId="168C30A9">
      <w:pPr>
        <w:pStyle w:val="183"/>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14:paraId="6AE1FEF9">
      <w:pPr>
        <w:pStyle w:val="183"/>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14:paraId="4D53AAE1">
      <w:pPr>
        <w:rPr>
          <w:rFonts w:eastAsia="黑体"/>
          <w:bCs/>
          <w:color w:val="auto"/>
          <w:highlight w:val="none"/>
        </w:rPr>
      </w:pPr>
    </w:p>
    <w:p w14:paraId="593CBE00">
      <w:pPr>
        <w:rPr>
          <w:rFonts w:eastAsia="黑体"/>
          <w:bCs/>
          <w:color w:val="auto"/>
          <w:highlight w:val="none"/>
        </w:rPr>
      </w:pPr>
    </w:p>
    <w:p w14:paraId="68AC9456">
      <w:pPr>
        <w:rPr>
          <w:rFonts w:eastAsia="黑体"/>
          <w:bCs/>
          <w:color w:val="auto"/>
          <w:highlight w:val="none"/>
        </w:rPr>
      </w:pPr>
    </w:p>
    <w:p w14:paraId="5DE056A1">
      <w:pPr>
        <w:rPr>
          <w:color w:val="auto"/>
          <w:highlight w:val="none"/>
        </w:rPr>
        <w:sectPr>
          <w:headerReference r:id="rId10" w:type="default"/>
          <w:footerReference r:id="rId11" w:type="default"/>
          <w:pgSz w:w="11907" w:h="16840"/>
          <w:pgMar w:top="1440" w:right="1440" w:bottom="1440" w:left="1440" w:header="851" w:footer="850" w:gutter="0"/>
          <w:cols w:space="720" w:num="1"/>
          <w:docGrid w:linePitch="326" w:charSpace="0"/>
        </w:sectPr>
      </w:pPr>
    </w:p>
    <w:p w14:paraId="60381E16">
      <w:pPr>
        <w:pStyle w:val="5"/>
        <w:spacing w:before="0" w:after="0"/>
        <w:jc w:val="center"/>
        <w:rPr>
          <w:rFonts w:ascii="Times New Roman" w:hAnsi="Times New Roman"/>
          <w:b w:val="0"/>
          <w:color w:val="auto"/>
          <w:spacing w:val="-20"/>
          <w:w w:val="80"/>
          <w:sz w:val="21"/>
          <w:szCs w:val="21"/>
          <w:highlight w:val="none"/>
        </w:rPr>
      </w:pPr>
      <w:bookmarkStart w:id="723" w:name="_Toc80006223"/>
      <w:bookmarkStart w:id="724" w:name="_Toc80006113"/>
      <w:r>
        <w:rPr>
          <w:rFonts w:ascii="Times New Roman" w:hAnsi="Times New Roman" w:eastAsia="黑体"/>
          <w:b w:val="0"/>
          <w:bCs w:val="0"/>
          <w:color w:val="auto"/>
          <w:highlight w:val="none"/>
        </w:rPr>
        <w:t>第五章  工程量清单</w:t>
      </w:r>
      <w:bookmarkEnd w:id="723"/>
      <w:bookmarkEnd w:id="724"/>
    </w:p>
    <w:p w14:paraId="4C498741">
      <w:pPr>
        <w:rPr>
          <w:rFonts w:eastAsia="黑体"/>
          <w:color w:val="auto"/>
          <w:szCs w:val="21"/>
          <w:highlight w:val="none"/>
        </w:rPr>
      </w:pPr>
    </w:p>
    <w:p w14:paraId="3A612B93">
      <w:pPr>
        <w:pStyle w:val="6"/>
        <w:spacing w:before="0" w:after="0" w:line="360" w:lineRule="auto"/>
        <w:rPr>
          <w:rFonts w:ascii="Times New Roman" w:hAnsi="Times New Roman" w:eastAsia="黑体"/>
          <w:b w:val="0"/>
          <w:bCs w:val="0"/>
          <w:color w:val="auto"/>
          <w:sz w:val="30"/>
          <w:highlight w:val="none"/>
        </w:rPr>
      </w:pPr>
      <w:bookmarkStart w:id="725" w:name="_Toc80006224"/>
      <w:bookmarkStart w:id="726" w:name="_Toc80006114"/>
      <w:bookmarkStart w:id="727" w:name="_Toc9178540"/>
      <w:r>
        <w:rPr>
          <w:rFonts w:hint="eastAsia" w:ascii="Times New Roman" w:hAnsi="Times New Roman" w:eastAsia="黑体"/>
          <w:b w:val="0"/>
          <w:bCs w:val="0"/>
          <w:color w:val="auto"/>
          <w:sz w:val="30"/>
          <w:highlight w:val="none"/>
        </w:rPr>
        <w:t>1.工程量清单说明</w:t>
      </w:r>
      <w:bookmarkEnd w:id="725"/>
      <w:bookmarkEnd w:id="726"/>
    </w:p>
    <w:p w14:paraId="55EB43F0">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1.1本工程量清单是依据《建设工程工程量清单计价规范》(GB50500-2013,简称“国家计价规范”)、《关于印发2020&lt;湖南省建设工程计价办法&gt;及&lt;湖南省建设工程消耗量标准&gt;的通知》(湘建价〔2020〕56号,以下简称《计价办法》)以及招标文件中包括的图纸等编制。《计价办法》中规定的工程量计算规则中没有的项目,在本章第1.4款及本文件《第四章合同条款及格式》中约定;《计价办法》中规定的工程量计算规则中没有且本章第1.4款及本文件《第四章合同条款及格式》中也未约定的,双方协商确定;协商不成的,可向省级建设工程造价管理机构申请裁定。</w:t>
      </w:r>
    </w:p>
    <w:p w14:paraId="3732E9C2">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1.2本工程量清单应与招标文件中的投标人须知、通用合同条款、专用合同条款、技术标准和要求及图纸等章节内容一起阅读和理解。</w:t>
      </w:r>
    </w:p>
    <w:p w14:paraId="324810AE">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1.3本工程量清单是工程量清单计价的基础,应为编制最高投标限价、投标报价、计算或调整工程量、索赔等的依据之一。合同履行期间,本工程量清单缺陷经发承包双方确认后,应按照承包人实际完成合同工程的应予计量的工程量和实际发生的措施项目调整,合同价格的确定以及价款支付应遵循合同条款(包括通用合同条款和专用合同条款)、技术标准和要求以及本章的有关约定。</w:t>
      </w:r>
    </w:p>
    <w:p w14:paraId="7B9347F5">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1.4补充项目的项目特征、计量单位、工程量计算规则及工作内容说明如下:</w:t>
      </w:r>
      <w:r>
        <w:rPr>
          <w:color w:val="auto"/>
          <w:kern w:val="2"/>
          <w:highlight w:val="none"/>
          <w:u w:val="single"/>
        </w:rPr>
        <w:t xml:space="preserve">                 </w:t>
      </w:r>
      <w:r>
        <w:rPr>
          <w:rFonts w:hint="eastAsia"/>
          <w:color w:val="auto"/>
          <w:kern w:val="2"/>
          <w:highlight w:val="none"/>
        </w:rPr>
        <w:t>。</w:t>
      </w:r>
    </w:p>
    <w:p w14:paraId="374EA8FF">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1.5本条第1.1款中约定的计量和计价规则适用于合同履约过程中工程量计量与价款支付、工程变更、索赔和工程结算。</w:t>
      </w:r>
    </w:p>
    <w:p w14:paraId="2F821BCE">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1.6本条与下述第2条和第3条的说明内容是构成合同文件的已标价工程量清单的组成部分。</w:t>
      </w:r>
    </w:p>
    <w:p w14:paraId="5F36EEFE">
      <w:pPr>
        <w:pStyle w:val="6"/>
        <w:spacing w:before="0" w:after="0" w:line="360" w:lineRule="auto"/>
        <w:rPr>
          <w:rFonts w:hint="eastAsia" w:ascii="Times New Roman" w:hAnsi="Times New Roman" w:eastAsia="黑体"/>
          <w:b w:val="0"/>
          <w:bCs w:val="0"/>
          <w:color w:val="auto"/>
          <w:sz w:val="30"/>
          <w:highlight w:val="none"/>
        </w:rPr>
      </w:pPr>
      <w:bookmarkStart w:id="728" w:name="_Toc80006225"/>
      <w:bookmarkStart w:id="729" w:name="_Toc80006115"/>
      <w:r>
        <w:rPr>
          <w:rFonts w:ascii="Times New Roman" w:hAnsi="Times New Roman" w:eastAsia="黑体"/>
          <w:b w:val="0"/>
          <w:bCs w:val="0"/>
          <w:color w:val="auto"/>
          <w:sz w:val="30"/>
          <w:highlight w:val="none"/>
        </w:rPr>
        <w:t>2.最高投标限价编制说明及公布内容</w:t>
      </w:r>
      <w:bookmarkEnd w:id="728"/>
      <w:bookmarkEnd w:id="729"/>
    </w:p>
    <w:p w14:paraId="4A5A9347">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  2.1最高投标限价编制依据</w:t>
      </w:r>
    </w:p>
    <w:p w14:paraId="0DDF8AF7">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2.1.1本招标文件及补充通知、答疑纪要、招标工程量清单;</w:t>
      </w:r>
    </w:p>
    <w:p w14:paraId="129D6394">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2.1.2《建设工程工程量清单计价规范》;</w:t>
      </w:r>
    </w:p>
    <w:p w14:paraId="1B02CEB1">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2.1.3《关于印发2020&lt;湖南省建设工程计价办法&gt;及&lt;湖南省建设工程消耗量标准&gt;的通知》(湘建价〔2020〕56号);</w:t>
      </w:r>
    </w:p>
    <w:p w14:paraId="73744DDC">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2.1.4湖南省建设行政主管部门颁发的建设工程消耗量标准,取费标准、计费程序、人工费及机械费系数;</w:t>
      </w:r>
    </w:p>
    <w:p w14:paraId="280B2B58">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2.1.5建设工程设计文件及相关资料;</w:t>
      </w:r>
    </w:p>
    <w:p w14:paraId="3234CFC7">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2.1.6与建设项目相关的标准、规范、技术资料;</w:t>
      </w:r>
    </w:p>
    <w:p w14:paraId="0C827CCA">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2.1.7工程造价管理机构发布的工程造价信息,工程造价信息没有发布的参照市场价;</w:t>
      </w:r>
    </w:p>
    <w:p w14:paraId="5E244B0A">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2.1.8施工现场情况、工程特点及常规施工方案;</w:t>
      </w:r>
    </w:p>
    <w:p w14:paraId="28BEBEE9">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2.1.9其他的相关资料(招标人可根据有关规定进行细化);</w:t>
      </w:r>
    </w:p>
    <w:p w14:paraId="325B5DEF">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w:t>
      </w:r>
    </w:p>
    <w:p w14:paraId="5C3FBB9C">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2.2本最高投标限价由具有编制能力的招标人或受其委托并具有相应资质的工程造价咨询机构(招标人根据情况选择)编制和复核。</w:t>
      </w:r>
    </w:p>
    <w:p w14:paraId="63B324F2">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2.3最高投标限价公布内容</w:t>
      </w:r>
    </w:p>
    <w:p w14:paraId="20928850">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2.3.1本项目设最高投标限价,最高投标限价见投标人须知前附表。</w:t>
      </w:r>
    </w:p>
    <w:p w14:paraId="001141C4">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2.3.2投标人对最高投标限价有疑问的,可在投标人须知前附表规定的时间和方式向招标人或招标代理机构提出;招标人对最高投标限价若有调整,则在投标截止时间15日前在</w:t>
      </w:r>
      <w:r>
        <w:rPr>
          <w:rFonts w:hint="eastAsia"/>
          <w:color w:val="auto"/>
          <w:kern w:val="2"/>
          <w:highlight w:val="none"/>
          <w:u w:val="single"/>
        </w:rPr>
        <w:t>(最高投标限价调整文件发布的媒介名称)</w:t>
      </w:r>
      <w:r>
        <w:rPr>
          <w:rFonts w:hint="eastAsia"/>
          <w:color w:val="auto"/>
          <w:kern w:val="2"/>
          <w:highlight w:val="none"/>
        </w:rPr>
        <w:t>上公示。投标人应自行查阅,招标代理机构不另行通知。</w:t>
      </w:r>
    </w:p>
    <w:p w14:paraId="19DB41C1">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2.3.3公布的最高投标限价至少载明下列内容:</w:t>
      </w:r>
    </w:p>
    <w:p w14:paraId="1807C7C0">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(1)最高投标限价的总价;</w:t>
      </w:r>
    </w:p>
    <w:p w14:paraId="32F1B968">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(2)各单位工程的分部分项工程费;</w:t>
      </w:r>
    </w:p>
    <w:p w14:paraId="7A7D661E">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(3)措施项目费（含绿色施工安全防护措施费及费率）;</w:t>
      </w:r>
    </w:p>
    <w:p w14:paraId="0A87CF87">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(4)其他项目费（含安全责任险、环境保护税及费率）;</w:t>
      </w:r>
    </w:p>
    <w:p w14:paraId="0C768498">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(5)销项税额（应纳税额）;</w:t>
      </w:r>
    </w:p>
    <w:p w14:paraId="59537D80">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(6)重点评审的工程量清单综合单价(含能计量的措施项目)和材料、设备单价;</w:t>
      </w:r>
    </w:p>
    <w:p w14:paraId="1530E0B9">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(7)其它重要信息和数据(由招标人根据需要进行补充)。</w:t>
      </w:r>
    </w:p>
    <w:p w14:paraId="36208C9E">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2.4最高投标限价应按本章第2.1款的规定编制,不应上浮或下调。</w:t>
      </w:r>
    </w:p>
    <w:p w14:paraId="7245088E">
      <w:pPr>
        <w:pStyle w:val="6"/>
        <w:spacing w:before="0" w:after="0" w:line="360" w:lineRule="auto"/>
        <w:rPr>
          <w:rFonts w:hint="eastAsia" w:ascii="Times New Roman" w:hAnsi="Times New Roman" w:eastAsia="黑体"/>
          <w:b w:val="0"/>
          <w:bCs w:val="0"/>
          <w:color w:val="auto"/>
          <w:sz w:val="30"/>
          <w:highlight w:val="none"/>
        </w:rPr>
      </w:pPr>
      <w:bookmarkStart w:id="730" w:name="_Toc80006226"/>
      <w:bookmarkStart w:id="731" w:name="_Toc80006116"/>
      <w:r>
        <w:rPr>
          <w:rFonts w:hint="eastAsia" w:ascii="Times New Roman" w:hAnsi="Times New Roman" w:eastAsia="黑体"/>
          <w:b w:val="0"/>
          <w:bCs w:val="0"/>
          <w:color w:val="auto"/>
          <w:sz w:val="30"/>
          <w:highlight w:val="none"/>
        </w:rPr>
        <w:t>3.投标报价说明</w:t>
      </w:r>
      <w:bookmarkEnd w:id="730"/>
      <w:bookmarkEnd w:id="731"/>
    </w:p>
    <w:p w14:paraId="4FB51514">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ascii="微软雅黑" w:hAnsi="微软雅黑" w:eastAsia="微软雅黑"/>
          <w:color w:val="auto"/>
          <w:highlight w:val="none"/>
        </w:rPr>
        <w:t xml:space="preserve">    </w:t>
      </w:r>
      <w:r>
        <w:rPr>
          <w:rFonts w:hint="eastAsia"/>
          <w:color w:val="auto"/>
          <w:kern w:val="2"/>
          <w:highlight w:val="none"/>
        </w:rPr>
        <w:t> 3.1投标报价应根据招标文件中的有关计价要求,并按照下列依据自主报价。</w:t>
      </w:r>
    </w:p>
    <w:p w14:paraId="31B8F9F2">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(1)本招标文件、招标工程量清单;</w:t>
      </w:r>
    </w:p>
    <w:p w14:paraId="63F00709">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(2)《建设工程工程量清单计价规范》;</w:t>
      </w:r>
    </w:p>
    <w:p w14:paraId="192724C8">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(3)《关于印发2020&lt;湖南省建设工程计价办法&gt;及&lt;湖南省建设工程消耗量标准&gt;的通知》(湘建价〔2020〕56号);</w:t>
      </w:r>
    </w:p>
    <w:p w14:paraId="68CC3F92">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(4)企业定额和企业数据,湖南省建设行政主管部门颁发的建设工程消耗量标准,取费标准、计费程序;</w:t>
      </w:r>
    </w:p>
    <w:p w14:paraId="0E88902A">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(5)招标文件(包括工程量清单)的澄清、补充和修改文件;</w:t>
      </w:r>
    </w:p>
    <w:p w14:paraId="6BDBBEA9">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(6)建设工程设计文件及相关资料;</w:t>
      </w:r>
    </w:p>
    <w:p w14:paraId="0D336789">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(7)施工现场情况、工程特点及拟定的投标施工组织设计或施工方案;</w:t>
      </w:r>
    </w:p>
    <w:p w14:paraId="77054D1B">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(8)与建设项目相关的标准、规范等技术资料;</w:t>
      </w:r>
    </w:p>
    <w:p w14:paraId="1E3C679D">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(9)市场价格信息或工程造价管理机构发布的工程造价信息;</w:t>
      </w:r>
    </w:p>
    <w:p w14:paraId="0E5F0CE3">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(10)其他的相关资料(招标人可根据有关规定进行细化);</w:t>
      </w:r>
    </w:p>
    <w:p w14:paraId="0F226392">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w:t>
      </w:r>
    </w:p>
    <w:p w14:paraId="76D9DC68">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3.2工程量清单与计价表中列明的所有需要填写单价和合价的项目,投标人均应填写且只允许有一个报价。未填写单价和合价的项目,可视为此项费用已包括在已标价工程量清单中其他相关项目的单价和合价之中。结算时,此项目不得重新组价与调整。</w:t>
      </w:r>
    </w:p>
    <w:p w14:paraId="51EB6205">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3.3工程量清单中标价的综合单价或金额,应包括所需人工费、材料费、施工机具使用费、企业管理费、利润,以及一定范围和幅度内风险的费用。所谓“一定范围和幅度内风险”是指合同约定的风险。</w:t>
      </w:r>
    </w:p>
    <w:p w14:paraId="5B1C64C3">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3.4“投标总价应当与分部分项工程费、措施项目费、其他项目费、增值税的合计金额一致。</w:t>
      </w:r>
    </w:p>
    <w:p w14:paraId="12B7FF9E">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3.5分部分项工程项目和单价措施项目,应根据工程量清单项目中的特征描述确定综合单价。</w:t>
      </w:r>
    </w:p>
    <w:p w14:paraId="08CD3F5E">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3.6总价措施项目金额应根据招标文件和投标人拟定的施工组织设计计算,并列出其计算公式或计算方法。</w:t>
      </w:r>
    </w:p>
    <w:p w14:paraId="1ABD62C2">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3.7绿色施工安全防护措施项目应按国家或省级建设行政主管部门的规定计算,不得作为竞争性费用。</w:t>
      </w:r>
    </w:p>
    <w:p w14:paraId="64C668AE">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3.8其他项目清单应按照下列要求报价</w:t>
      </w:r>
    </w:p>
    <w:p w14:paraId="6E9C97A8">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(1)暂列金额应按工程量清单中列出的金额填写;</w:t>
      </w:r>
    </w:p>
    <w:p w14:paraId="236250F8">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(2)暂估价项目应按工程量清单中列出的金额填写;</w:t>
      </w:r>
    </w:p>
    <w:p w14:paraId="2DD89ED4">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(3)计日工应按工程量清单中列出的项目和数量,参考国家、省级、行业建设主管部门颁发的计价文件及其计价办法和市场定价方法、类似工程计价方法及企业定额和数据确定综合单价计算计日工金额;</w:t>
      </w:r>
    </w:p>
    <w:p w14:paraId="7C69A229">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(4)总承包服务费应按工程量清单中列出的项目及其项目特征描述和招标文件中相应提出的服务范围、内容与要求自主确定;</w:t>
      </w:r>
    </w:p>
    <w:p w14:paraId="2A3EFF9F">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(5)安全责任险、环境保护税应按工程量清单中列出的项目,和国家或省级、行业建设主管部门的规定计算,不得作为竞争性费用。</w:t>
      </w:r>
    </w:p>
    <w:p w14:paraId="1A70505B">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3.9增值税应按政府有关主管部门的规定计算费用,不得作为竞争性费用。</w:t>
      </w:r>
    </w:p>
    <w:p w14:paraId="5B36BBE9">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3.10除招标文件有强制性规定以及不可竞争部分以外,投标报价由投标人自主确定,但不得低于工程成本。</w:t>
      </w:r>
    </w:p>
    <w:p w14:paraId="3E39E366">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3.11工程量清单计价所涉及的生产资源(包括各类人工、材料、工程设备、施工设备、临时设施、临时用水、临时用电等)的投标价格,应根据自身的信息渠道和采购渠道,分析其市场价格水平,体现投标人自身的管理水平、技术水平和综合实力。</w:t>
      </w:r>
    </w:p>
    <w:p w14:paraId="296078CD">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3.12管理费应由投标人在保证不低于其成本的基础上做竞争性考虑;利润由投标人根据自身情况和综合实力做竞争性考虑。</w:t>
      </w:r>
    </w:p>
    <w:p w14:paraId="5D1DB6E4">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3.13投标总价为投标人在投标文件中提出的各项支付金额的总和,为实施、完成招标工程并修补缺陷以及履行招标文件中约定的风险范围内的所有责任和义务所发生的全部费用。</w:t>
      </w:r>
    </w:p>
    <w:p w14:paraId="6AC44767">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3.14投标报价文件制作时所用的计价软件采用通过湖南省住房和城乡建设厅测评合格的软件。</w:t>
      </w:r>
    </w:p>
    <w:p w14:paraId="7127D5CC">
      <w:pPr>
        <w:pStyle w:val="6"/>
        <w:spacing w:before="0" w:after="0" w:line="360" w:lineRule="auto"/>
        <w:rPr>
          <w:rFonts w:hint="eastAsia" w:ascii="Times New Roman" w:hAnsi="Times New Roman" w:eastAsia="黑体"/>
          <w:b w:val="0"/>
          <w:bCs w:val="0"/>
          <w:color w:val="auto"/>
          <w:sz w:val="30"/>
          <w:highlight w:val="none"/>
        </w:rPr>
      </w:pPr>
      <w:bookmarkStart w:id="732" w:name="_Toc80006227"/>
      <w:bookmarkStart w:id="733" w:name="_Toc80006117"/>
      <w:r>
        <w:rPr>
          <w:rFonts w:hint="eastAsia" w:ascii="Times New Roman" w:hAnsi="Times New Roman" w:eastAsia="黑体"/>
          <w:b w:val="0"/>
          <w:bCs w:val="0"/>
          <w:color w:val="auto"/>
          <w:sz w:val="30"/>
          <w:highlight w:val="none"/>
        </w:rPr>
        <w:t>4.其他说明</w:t>
      </w:r>
      <w:bookmarkEnd w:id="732"/>
      <w:bookmarkEnd w:id="733"/>
    </w:p>
    <w:p w14:paraId="5FE50CBD">
      <w:pPr>
        <w:pStyle w:val="37"/>
        <w:shd w:val="clear" w:color="auto" w:fill="FFFFFF"/>
        <w:spacing w:before="0" w:beforeAutospacing="0" w:after="0" w:afterAutospacing="0" w:line="480" w:lineRule="atLeast"/>
        <w:textAlignment w:val="baseline"/>
        <w:rPr>
          <w:rFonts w:hint="eastAsia" w:ascii="微软雅黑" w:hAnsi="微软雅黑" w:eastAsia="微软雅黑"/>
          <w:color w:val="auto"/>
          <w:highlight w:val="none"/>
        </w:rPr>
      </w:pPr>
      <w:r>
        <w:rPr>
          <w:rFonts w:hint="eastAsia" w:ascii="微软雅黑" w:hAnsi="微软雅黑" w:eastAsia="微软雅黑"/>
          <w:color w:val="auto"/>
          <w:highlight w:val="none"/>
        </w:rPr>
        <w:t>……</w:t>
      </w:r>
    </w:p>
    <w:p w14:paraId="7DE87DFC">
      <w:pPr>
        <w:pStyle w:val="37"/>
        <w:shd w:val="clear" w:color="auto" w:fill="FFFFFF"/>
        <w:spacing w:before="0" w:beforeAutospacing="0" w:after="0" w:afterAutospacing="0" w:line="480" w:lineRule="atLeast"/>
        <w:textAlignment w:val="baseline"/>
        <w:rPr>
          <w:rFonts w:hint="eastAsia"/>
          <w:color w:val="auto"/>
          <w:kern w:val="2"/>
          <w:highlight w:val="none"/>
        </w:rPr>
      </w:pPr>
      <w:r>
        <w:rPr>
          <w:rFonts w:hint="eastAsia"/>
          <w:color w:val="auto"/>
          <w:kern w:val="2"/>
          <w:highlight w:val="none"/>
        </w:rPr>
        <w:t>   </w:t>
      </w:r>
    </w:p>
    <w:bookmarkEnd w:id="727"/>
    <w:p w14:paraId="0467D189">
      <w:pPr>
        <w:pStyle w:val="6"/>
        <w:spacing w:before="0" w:after="0" w:line="360" w:lineRule="auto"/>
        <w:rPr>
          <w:rFonts w:ascii="Times New Roman" w:hAnsi="Times New Roman" w:eastAsia="黑体"/>
          <w:b w:val="0"/>
          <w:bCs w:val="0"/>
          <w:color w:val="auto"/>
          <w:sz w:val="30"/>
          <w:highlight w:val="none"/>
        </w:rPr>
      </w:pPr>
      <w:bookmarkStart w:id="734" w:name="_Toc80006228"/>
      <w:bookmarkStart w:id="735" w:name="_Toc9178544"/>
      <w:bookmarkStart w:id="736" w:name="_Toc80006118"/>
      <w:r>
        <w:rPr>
          <w:rFonts w:ascii="Times New Roman" w:hAnsi="Times New Roman" w:eastAsia="黑体"/>
          <w:b w:val="0"/>
          <w:bCs w:val="0"/>
          <w:color w:val="auto"/>
          <w:sz w:val="30"/>
          <w:highlight w:val="none"/>
        </w:rPr>
        <w:t>5.工程量清单（另册）</w:t>
      </w:r>
      <w:bookmarkEnd w:id="734"/>
      <w:bookmarkEnd w:id="735"/>
      <w:bookmarkEnd w:id="736"/>
    </w:p>
    <w:p w14:paraId="2F5039DF">
      <w:pPr>
        <w:ind w:firstLine="480"/>
        <w:jc w:val="left"/>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 xml:space="preserve"> 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color w:val="auto"/>
          <w:highlight w:val="none"/>
        </w:rPr>
        <w:br w:type="page"/>
      </w:r>
    </w:p>
    <w:p w14:paraId="13CC40F7">
      <w:pPr>
        <w:rPr>
          <w:color w:val="auto"/>
          <w:highlight w:val="none"/>
        </w:rPr>
      </w:pPr>
    </w:p>
    <w:p w14:paraId="1A606AA6">
      <w:pPr>
        <w:rPr>
          <w:color w:val="auto"/>
          <w:highlight w:val="none"/>
        </w:rPr>
      </w:pPr>
    </w:p>
    <w:p w14:paraId="0235479B">
      <w:pPr>
        <w:rPr>
          <w:color w:val="auto"/>
          <w:highlight w:val="none"/>
        </w:rPr>
      </w:pPr>
    </w:p>
    <w:p w14:paraId="35C1FEC6">
      <w:pPr>
        <w:rPr>
          <w:color w:val="auto"/>
          <w:highlight w:val="none"/>
        </w:rPr>
      </w:pPr>
    </w:p>
    <w:p w14:paraId="4A2E9DD9">
      <w:pPr>
        <w:rPr>
          <w:color w:val="auto"/>
          <w:highlight w:val="none"/>
        </w:rPr>
      </w:pPr>
    </w:p>
    <w:p w14:paraId="2A7DA07D">
      <w:pPr>
        <w:rPr>
          <w:color w:val="auto"/>
          <w:highlight w:val="none"/>
        </w:rPr>
      </w:pPr>
    </w:p>
    <w:p w14:paraId="63CD79D6">
      <w:pPr>
        <w:rPr>
          <w:color w:val="auto"/>
          <w:highlight w:val="none"/>
        </w:rPr>
      </w:pPr>
    </w:p>
    <w:p w14:paraId="215DEB17">
      <w:pPr>
        <w:rPr>
          <w:color w:val="auto"/>
          <w:highlight w:val="none"/>
        </w:rPr>
      </w:pPr>
    </w:p>
    <w:p w14:paraId="56BAF9EC">
      <w:pPr>
        <w:rPr>
          <w:color w:val="auto"/>
          <w:highlight w:val="none"/>
        </w:rPr>
      </w:pPr>
    </w:p>
    <w:p w14:paraId="123E6A0D">
      <w:pPr>
        <w:rPr>
          <w:color w:val="auto"/>
          <w:highlight w:val="none"/>
        </w:rPr>
      </w:pPr>
    </w:p>
    <w:p w14:paraId="159F814F">
      <w:pPr>
        <w:rPr>
          <w:color w:val="auto"/>
          <w:highlight w:val="none"/>
        </w:rPr>
      </w:pPr>
    </w:p>
    <w:p w14:paraId="5A206A1B">
      <w:pPr>
        <w:rPr>
          <w:color w:val="auto"/>
          <w:highlight w:val="none"/>
        </w:rPr>
      </w:pPr>
    </w:p>
    <w:p w14:paraId="65A6C1F6">
      <w:pPr>
        <w:rPr>
          <w:color w:val="auto"/>
          <w:highlight w:val="none"/>
        </w:rPr>
      </w:pPr>
    </w:p>
    <w:p w14:paraId="3711021F">
      <w:pPr>
        <w:rPr>
          <w:color w:val="auto"/>
          <w:highlight w:val="none"/>
        </w:rPr>
      </w:pPr>
    </w:p>
    <w:p w14:paraId="67CDFD97">
      <w:pPr>
        <w:rPr>
          <w:color w:val="auto"/>
          <w:highlight w:val="none"/>
        </w:rPr>
      </w:pPr>
    </w:p>
    <w:p w14:paraId="7D596D24">
      <w:pPr>
        <w:rPr>
          <w:color w:val="auto"/>
          <w:highlight w:val="none"/>
        </w:rPr>
      </w:pPr>
    </w:p>
    <w:p w14:paraId="1DD8E756">
      <w:pPr>
        <w:pStyle w:val="5"/>
        <w:jc w:val="center"/>
        <w:rPr>
          <w:rFonts w:ascii="Times New Roman" w:hAnsi="Times New Roman" w:eastAsia="黑体"/>
          <w:b w:val="0"/>
          <w:bCs w:val="0"/>
          <w:color w:val="auto"/>
          <w:sz w:val="44"/>
          <w:szCs w:val="44"/>
          <w:highlight w:val="none"/>
        </w:rPr>
      </w:pPr>
      <w:bookmarkStart w:id="737" w:name="_Toc300678501"/>
      <w:bookmarkStart w:id="738" w:name="_Toc80006119"/>
      <w:bookmarkStart w:id="739" w:name="_Toc80006229"/>
      <w:r>
        <w:rPr>
          <w:rFonts w:ascii="Times New Roman" w:hAnsi="Times New Roman" w:eastAsia="黑体"/>
          <w:b w:val="0"/>
          <w:bCs w:val="0"/>
          <w:color w:val="auto"/>
          <w:sz w:val="44"/>
          <w:szCs w:val="44"/>
          <w:highlight w:val="none"/>
        </w:rPr>
        <w:t>第  二  卷</w:t>
      </w:r>
      <w:bookmarkEnd w:id="737"/>
      <w:bookmarkEnd w:id="738"/>
      <w:bookmarkEnd w:id="739"/>
    </w:p>
    <w:p w14:paraId="1C392D6C">
      <w:pPr>
        <w:rPr>
          <w:color w:val="auto"/>
          <w:highlight w:val="none"/>
          <w:lang w:val="zh-CN"/>
        </w:rPr>
      </w:pPr>
    </w:p>
    <w:p w14:paraId="1D166B73">
      <w:pPr>
        <w:rPr>
          <w:color w:val="auto"/>
          <w:highlight w:val="none"/>
          <w:lang w:val="zh-CN"/>
        </w:rPr>
      </w:pPr>
    </w:p>
    <w:p w14:paraId="5820D87C">
      <w:pPr>
        <w:rPr>
          <w:color w:val="auto"/>
          <w:highlight w:val="none"/>
        </w:rPr>
      </w:pPr>
    </w:p>
    <w:p w14:paraId="26630309">
      <w:pPr>
        <w:pStyle w:val="5"/>
        <w:spacing w:before="0" w:after="0"/>
        <w:jc w:val="center"/>
        <w:rPr>
          <w:rFonts w:ascii="Times New Roman" w:hAnsi="Times New Roman" w:eastAsia="黑体"/>
          <w:b w:val="0"/>
          <w:color w:val="auto"/>
          <w:highlight w:val="none"/>
        </w:rPr>
      </w:pPr>
      <w:bookmarkStart w:id="740" w:name="_Toc300678502"/>
      <w:bookmarkStart w:id="741" w:name="_Toc80006120"/>
      <w:bookmarkStart w:id="742" w:name="_Toc80006230"/>
      <w:r>
        <w:rPr>
          <w:rFonts w:ascii="Times New Roman" w:hAnsi="Times New Roman" w:eastAsia="黑体"/>
          <w:b w:val="0"/>
          <w:bCs w:val="0"/>
          <w:color w:val="auto"/>
          <w:highlight w:val="none"/>
        </w:rPr>
        <w:t>第六章  图  纸</w:t>
      </w:r>
      <w:bookmarkEnd w:id="740"/>
      <w:r>
        <w:rPr>
          <w:rFonts w:ascii="Times New Roman" w:hAnsi="Times New Roman" w:eastAsia="黑体"/>
          <w:b w:val="0"/>
          <w:color w:val="auto"/>
          <w:highlight w:val="none"/>
        </w:rPr>
        <w:t>（另册）</w:t>
      </w:r>
      <w:bookmarkEnd w:id="741"/>
      <w:bookmarkEnd w:id="742"/>
    </w:p>
    <w:p w14:paraId="43528782">
      <w:pPr>
        <w:spacing w:line="420" w:lineRule="exact"/>
        <w:jc w:val="center"/>
        <w:rPr>
          <w:color w:val="auto"/>
          <w:highlight w:val="none"/>
        </w:rPr>
      </w:pPr>
      <w:r>
        <w:rPr>
          <w:color w:val="auto"/>
          <w:highlight w:val="none"/>
        </w:rPr>
        <w:t>请在</w:t>
      </w:r>
      <w:r>
        <w:rPr>
          <w:color w:val="auto"/>
          <w:highlight w:val="none"/>
          <w:u w:val="single"/>
        </w:rPr>
        <w:t xml:space="preserve">   </w:t>
      </w:r>
      <w:r>
        <w:rPr>
          <w:rFonts w:hint="eastAsia"/>
          <w:color w:val="auto"/>
          <w:highlight w:val="none"/>
          <w:u w:val="single"/>
        </w:rPr>
        <w:t>招标投标</w:t>
      </w:r>
      <w:r>
        <w:rPr>
          <w:color w:val="auto"/>
          <w:highlight w:val="none"/>
          <w:u w:val="single"/>
        </w:rPr>
        <w:t>交易平台</w:t>
      </w:r>
      <w:r>
        <w:rPr>
          <w:rFonts w:hint="eastAsia"/>
          <w:color w:val="auto"/>
          <w:highlight w:val="none"/>
          <w:u w:val="single"/>
        </w:rPr>
        <w:t>名称</w:t>
      </w:r>
      <w:r>
        <w:rPr>
          <w:color w:val="auto"/>
          <w:highlight w:val="none"/>
          <w:u w:val="single"/>
        </w:rPr>
        <w:t xml:space="preserve">  </w:t>
      </w:r>
      <w:r>
        <w:rPr>
          <w:color w:val="auto"/>
          <w:highlight w:val="none"/>
        </w:rPr>
        <w:t>下载</w:t>
      </w:r>
    </w:p>
    <w:p w14:paraId="22309A57">
      <w:pPr>
        <w:spacing w:line="420" w:lineRule="exact"/>
        <w:jc w:val="center"/>
        <w:rPr>
          <w:color w:val="auto"/>
          <w:highlight w:val="none"/>
        </w:rPr>
      </w:pPr>
    </w:p>
    <w:p w14:paraId="05E1D7FC">
      <w:pPr>
        <w:spacing w:line="420" w:lineRule="exact"/>
        <w:jc w:val="center"/>
        <w:rPr>
          <w:color w:val="auto"/>
          <w:highlight w:val="none"/>
        </w:rPr>
      </w:pPr>
    </w:p>
    <w:p w14:paraId="19B72819">
      <w:pPr>
        <w:spacing w:line="420" w:lineRule="exact"/>
        <w:jc w:val="center"/>
        <w:rPr>
          <w:color w:val="auto"/>
          <w:highlight w:val="none"/>
        </w:rPr>
      </w:pPr>
    </w:p>
    <w:p w14:paraId="55151655">
      <w:pPr>
        <w:spacing w:line="420" w:lineRule="exact"/>
        <w:jc w:val="center"/>
        <w:rPr>
          <w:color w:val="auto"/>
          <w:highlight w:val="none"/>
        </w:rPr>
      </w:pPr>
    </w:p>
    <w:p w14:paraId="20F5F830">
      <w:pPr>
        <w:spacing w:line="420" w:lineRule="exact"/>
        <w:jc w:val="center"/>
        <w:rPr>
          <w:color w:val="auto"/>
          <w:highlight w:val="none"/>
        </w:rPr>
      </w:pPr>
    </w:p>
    <w:p w14:paraId="02D4B9D8">
      <w:pPr>
        <w:spacing w:line="420" w:lineRule="exact"/>
        <w:jc w:val="center"/>
        <w:rPr>
          <w:color w:val="auto"/>
          <w:highlight w:val="none"/>
        </w:rPr>
      </w:pPr>
    </w:p>
    <w:p w14:paraId="2F339798">
      <w:pPr>
        <w:spacing w:line="420" w:lineRule="exact"/>
        <w:jc w:val="center"/>
        <w:rPr>
          <w:color w:val="auto"/>
          <w:highlight w:val="none"/>
        </w:rPr>
      </w:pPr>
    </w:p>
    <w:p w14:paraId="2CB6291A">
      <w:pPr>
        <w:spacing w:line="420" w:lineRule="exact"/>
        <w:jc w:val="center"/>
        <w:rPr>
          <w:color w:val="auto"/>
          <w:highlight w:val="none"/>
        </w:rPr>
      </w:pPr>
    </w:p>
    <w:p w14:paraId="784DAFA1">
      <w:pPr>
        <w:spacing w:line="420" w:lineRule="exact"/>
        <w:jc w:val="center"/>
        <w:rPr>
          <w:color w:val="auto"/>
          <w:highlight w:val="none"/>
        </w:rPr>
      </w:pPr>
    </w:p>
    <w:p w14:paraId="022A8C2A">
      <w:pPr>
        <w:spacing w:line="420" w:lineRule="exact"/>
        <w:jc w:val="center"/>
        <w:rPr>
          <w:color w:val="auto"/>
          <w:highlight w:val="none"/>
        </w:rPr>
      </w:pPr>
    </w:p>
    <w:p w14:paraId="072AE521">
      <w:pPr>
        <w:spacing w:line="420" w:lineRule="exact"/>
        <w:jc w:val="center"/>
        <w:rPr>
          <w:color w:val="auto"/>
          <w:highlight w:val="none"/>
        </w:rPr>
        <w:sectPr>
          <w:pgSz w:w="11907" w:h="16840"/>
          <w:pgMar w:top="1440" w:right="1440" w:bottom="1440" w:left="1440" w:header="851" w:footer="850" w:gutter="0"/>
          <w:cols w:space="720" w:num="1"/>
          <w:docGrid w:linePitch="326" w:charSpace="0"/>
        </w:sectPr>
      </w:pPr>
    </w:p>
    <w:p w14:paraId="2222E157">
      <w:pPr>
        <w:spacing w:line="420" w:lineRule="exact"/>
        <w:jc w:val="center"/>
        <w:rPr>
          <w:color w:val="auto"/>
          <w:highlight w:val="none"/>
        </w:rPr>
      </w:pPr>
    </w:p>
    <w:p w14:paraId="4CED1CB2">
      <w:pPr>
        <w:pStyle w:val="182"/>
        <w:rPr>
          <w:rFonts w:hint="eastAsia"/>
          <w:color w:val="auto"/>
          <w:highlight w:val="none"/>
        </w:rPr>
      </w:pPr>
      <w:bookmarkStart w:id="743" w:name="_Toc152045783"/>
      <w:bookmarkStart w:id="744" w:name="_Toc179632801"/>
      <w:bookmarkStart w:id="745" w:name="_Toc80006121"/>
      <w:bookmarkStart w:id="746" w:name="_Toc79998407"/>
      <w:bookmarkStart w:id="747" w:name="_Toc80006231"/>
      <w:bookmarkStart w:id="748" w:name="_Toc9178547"/>
      <w:bookmarkStart w:id="749" w:name="_Toc144974852"/>
      <w:bookmarkStart w:id="750" w:name="_Toc152042572"/>
      <w:r>
        <w:rPr>
          <w:rFonts w:hint="eastAsia"/>
          <w:color w:val="auto"/>
          <w:highlight w:val="none"/>
        </w:rPr>
        <w:t>1. 图纸目录</w:t>
      </w:r>
      <w:bookmarkEnd w:id="743"/>
      <w:bookmarkEnd w:id="744"/>
      <w:bookmarkEnd w:id="745"/>
      <w:bookmarkEnd w:id="746"/>
      <w:bookmarkEnd w:id="747"/>
      <w:bookmarkEnd w:id="748"/>
      <w:bookmarkEnd w:id="749"/>
      <w:bookmarkEnd w:id="750"/>
    </w:p>
    <w:p w14:paraId="5697119C">
      <w:pPr>
        <w:spacing w:line="400" w:lineRule="exact"/>
        <w:rPr>
          <w:color w:val="auto"/>
          <w:highlight w:val="none"/>
        </w:rPr>
      </w:pPr>
    </w:p>
    <w:tbl>
      <w:tblPr>
        <w:tblStyle w:val="40"/>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570"/>
        <w:gridCol w:w="1570"/>
        <w:gridCol w:w="1570"/>
        <w:gridCol w:w="1570"/>
        <w:gridCol w:w="2249"/>
      </w:tblGrid>
      <w:tr w14:paraId="7A2C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0879489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70" w:type="dxa"/>
            <w:noWrap w:val="0"/>
            <w:vAlign w:val="center"/>
          </w:tcPr>
          <w:p w14:paraId="7929803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图名</w:t>
            </w:r>
          </w:p>
        </w:tc>
        <w:tc>
          <w:tcPr>
            <w:tcW w:w="1570" w:type="dxa"/>
            <w:noWrap w:val="0"/>
            <w:vAlign w:val="center"/>
          </w:tcPr>
          <w:p w14:paraId="2D31ED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图号</w:t>
            </w:r>
          </w:p>
        </w:tc>
        <w:tc>
          <w:tcPr>
            <w:tcW w:w="1570" w:type="dxa"/>
            <w:noWrap w:val="0"/>
            <w:vAlign w:val="center"/>
          </w:tcPr>
          <w:p w14:paraId="25CD3A5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版本</w:t>
            </w:r>
          </w:p>
        </w:tc>
        <w:tc>
          <w:tcPr>
            <w:tcW w:w="1570" w:type="dxa"/>
            <w:noWrap w:val="0"/>
            <w:vAlign w:val="center"/>
          </w:tcPr>
          <w:p w14:paraId="44084D9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出图日期</w:t>
            </w:r>
          </w:p>
        </w:tc>
        <w:tc>
          <w:tcPr>
            <w:tcW w:w="2249" w:type="dxa"/>
            <w:noWrap w:val="0"/>
            <w:vAlign w:val="center"/>
          </w:tcPr>
          <w:p w14:paraId="0BA3137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7ED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0168AC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716BD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AFBE8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D44380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EFE50C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1E6BA80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1FF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474B8E4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686C324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2881CA8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65F71B0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7F0494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164A4CD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5D9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10B1F90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738C59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319C20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6DD98D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B46D7B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57CA43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E38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149866C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8C0427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4F3F47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0E2E7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0DD067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688987A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8FD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6D07B30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6839DE8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BE5EA9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A6A32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D370AA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47224D4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477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367B51D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958CC2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44B89E9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4DA7D2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C46EC9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7271A9D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110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29D6FF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C5A087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28F0D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62A912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4D45A79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62DB86B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69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742E09A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0DA386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594734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2CF3803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7E8A5A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151AC13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796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3ABD2F4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24709A8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677B587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5DFDC2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2BA1C9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4FCF2AD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1B1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13D1043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C5092F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97D51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2A221EE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450A79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6521370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C07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11227D9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6EAD4BD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4FB209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09A68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38C706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6E0E92F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5BF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trPr>
        <w:tc>
          <w:tcPr>
            <w:tcW w:w="1570" w:type="dxa"/>
            <w:noWrap w:val="0"/>
            <w:vAlign w:val="center"/>
          </w:tcPr>
          <w:p w14:paraId="2CB579D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FAE66B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2018C5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3F96F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E524E8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7C5795C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8B0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2CFC314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68DFD6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F0BBAC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69D3E9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7CB1DE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186B172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38B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252E0DE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B80D5B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1FD431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3B7543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28E2E1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15D02E5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BFD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2A9E41A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19E719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ECA4AA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6CBD769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E185DD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6857D44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FFF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51CBD2A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0CA60F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B0CC29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EC4F96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8A0CDC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041E1C2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311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63BED3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26B8DFA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2E24F32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A6F90C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DBA7FF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7FAB33F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EAB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01095D8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2FD03E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4FBEB9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6C911B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73FAA9F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5448621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BDB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7ACE11F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45C64A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0AAEEDE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1D5F38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B9CFF7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3A5A4FD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DC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70" w:type="dxa"/>
            <w:noWrap w:val="0"/>
            <w:vAlign w:val="center"/>
          </w:tcPr>
          <w:p w14:paraId="22CBBC2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1A1849F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53E463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D5B592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70" w:type="dxa"/>
            <w:noWrap w:val="0"/>
            <w:vAlign w:val="center"/>
          </w:tcPr>
          <w:p w14:paraId="369555E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249" w:type="dxa"/>
            <w:noWrap w:val="0"/>
            <w:vAlign w:val="center"/>
          </w:tcPr>
          <w:p w14:paraId="67AE549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78AC16D4">
      <w:pPr>
        <w:spacing w:line="400" w:lineRule="exact"/>
        <w:rPr>
          <w:rFonts w:hint="eastAsia"/>
          <w:color w:val="auto"/>
          <w:highlight w:val="none"/>
        </w:rPr>
      </w:pPr>
      <w:bookmarkStart w:id="751" w:name="_Toc9178548"/>
      <w:bookmarkStart w:id="752" w:name="_Toc144974853"/>
      <w:bookmarkStart w:id="753" w:name="_Toc152045784"/>
      <w:bookmarkStart w:id="754" w:name="_Toc152042573"/>
      <w:bookmarkStart w:id="755" w:name="_Toc179632802"/>
    </w:p>
    <w:p w14:paraId="0E9E0D9E">
      <w:pPr>
        <w:spacing w:line="400" w:lineRule="exact"/>
        <w:rPr>
          <w:rFonts w:hint="eastAsia"/>
          <w:color w:val="auto"/>
          <w:highlight w:val="none"/>
        </w:rPr>
      </w:pPr>
      <w:r>
        <w:rPr>
          <w:rFonts w:hint="eastAsia"/>
          <w:color w:val="auto"/>
          <w:highlight w:val="none"/>
        </w:rPr>
        <w:t>2. 图纸</w:t>
      </w:r>
      <w:bookmarkEnd w:id="751"/>
      <w:bookmarkEnd w:id="752"/>
      <w:bookmarkEnd w:id="753"/>
      <w:bookmarkEnd w:id="754"/>
      <w:bookmarkEnd w:id="755"/>
    </w:p>
    <w:p w14:paraId="69300DBF">
      <w:pPr>
        <w:spacing w:line="400" w:lineRule="exact"/>
        <w:rPr>
          <w:rFonts w:hint="eastAsia"/>
          <w:color w:val="auto"/>
          <w:highlight w:val="none"/>
        </w:rPr>
      </w:pPr>
    </w:p>
    <w:p w14:paraId="3CB84772">
      <w:pPr>
        <w:spacing w:line="420" w:lineRule="exact"/>
        <w:jc w:val="center"/>
        <w:rPr>
          <w:rFonts w:eastAsia="楷体_GB2312"/>
          <w:color w:val="auto"/>
          <w:highlight w:val="none"/>
        </w:rPr>
      </w:pPr>
      <w:r>
        <w:rPr>
          <w:color w:val="auto"/>
          <w:highlight w:val="none"/>
        </w:rPr>
        <w:br w:type="page"/>
      </w:r>
    </w:p>
    <w:p w14:paraId="5C8BE5CF">
      <w:pPr>
        <w:spacing w:line="420" w:lineRule="exact"/>
        <w:jc w:val="center"/>
        <w:rPr>
          <w:rFonts w:eastAsia="楷体_GB2312"/>
          <w:color w:val="auto"/>
          <w:highlight w:val="none"/>
        </w:rPr>
      </w:pPr>
    </w:p>
    <w:p w14:paraId="09209882">
      <w:pPr>
        <w:spacing w:line="420" w:lineRule="exact"/>
        <w:jc w:val="center"/>
        <w:rPr>
          <w:rFonts w:eastAsia="楷体_GB2312"/>
          <w:color w:val="auto"/>
          <w:highlight w:val="none"/>
        </w:rPr>
      </w:pPr>
    </w:p>
    <w:p w14:paraId="26BC4937">
      <w:pPr>
        <w:spacing w:line="420" w:lineRule="exact"/>
        <w:jc w:val="center"/>
        <w:rPr>
          <w:rFonts w:eastAsia="楷体_GB2312"/>
          <w:color w:val="auto"/>
          <w:highlight w:val="none"/>
        </w:rPr>
      </w:pPr>
    </w:p>
    <w:p w14:paraId="1CF7C1A1">
      <w:pPr>
        <w:spacing w:line="420" w:lineRule="exact"/>
        <w:jc w:val="center"/>
        <w:rPr>
          <w:rFonts w:eastAsia="楷体_GB2312"/>
          <w:color w:val="auto"/>
          <w:highlight w:val="none"/>
        </w:rPr>
      </w:pPr>
    </w:p>
    <w:p w14:paraId="49317573">
      <w:pPr>
        <w:spacing w:line="420" w:lineRule="exact"/>
        <w:jc w:val="center"/>
        <w:rPr>
          <w:rFonts w:eastAsia="楷体_GB2312"/>
          <w:color w:val="auto"/>
          <w:highlight w:val="none"/>
        </w:rPr>
      </w:pPr>
    </w:p>
    <w:p w14:paraId="28EAF683">
      <w:pPr>
        <w:spacing w:line="420" w:lineRule="exact"/>
        <w:jc w:val="center"/>
        <w:rPr>
          <w:rFonts w:eastAsia="楷体_GB2312"/>
          <w:color w:val="auto"/>
          <w:highlight w:val="none"/>
        </w:rPr>
      </w:pPr>
    </w:p>
    <w:p w14:paraId="5358CD6B">
      <w:pPr>
        <w:spacing w:line="420" w:lineRule="exact"/>
        <w:jc w:val="center"/>
        <w:rPr>
          <w:rFonts w:eastAsia="楷体_GB2312"/>
          <w:color w:val="auto"/>
          <w:highlight w:val="none"/>
        </w:rPr>
      </w:pPr>
    </w:p>
    <w:p w14:paraId="16F00B9E">
      <w:pPr>
        <w:spacing w:line="420" w:lineRule="exact"/>
        <w:jc w:val="center"/>
        <w:rPr>
          <w:rFonts w:eastAsia="楷体_GB2312"/>
          <w:color w:val="auto"/>
          <w:highlight w:val="none"/>
        </w:rPr>
      </w:pPr>
    </w:p>
    <w:p w14:paraId="47C5E0FA">
      <w:pPr>
        <w:spacing w:line="420" w:lineRule="exact"/>
        <w:jc w:val="center"/>
        <w:rPr>
          <w:rFonts w:eastAsia="楷体_GB2312"/>
          <w:color w:val="auto"/>
          <w:highlight w:val="none"/>
        </w:rPr>
      </w:pPr>
    </w:p>
    <w:p w14:paraId="7C1D2C6E">
      <w:pPr>
        <w:spacing w:line="420" w:lineRule="exact"/>
        <w:jc w:val="center"/>
        <w:rPr>
          <w:rFonts w:eastAsia="楷体_GB2312"/>
          <w:color w:val="auto"/>
          <w:highlight w:val="none"/>
        </w:rPr>
      </w:pPr>
    </w:p>
    <w:p w14:paraId="1F194DE2">
      <w:pPr>
        <w:pStyle w:val="5"/>
        <w:jc w:val="center"/>
        <w:rPr>
          <w:rFonts w:ascii="Times New Roman" w:hAnsi="Times New Roman" w:eastAsia="黑体"/>
          <w:b w:val="0"/>
          <w:bCs w:val="0"/>
          <w:color w:val="auto"/>
          <w:sz w:val="44"/>
          <w:szCs w:val="44"/>
          <w:highlight w:val="none"/>
        </w:rPr>
      </w:pPr>
      <w:bookmarkStart w:id="756" w:name="_Toc80006232"/>
      <w:bookmarkStart w:id="757" w:name="_Toc300678505"/>
      <w:bookmarkStart w:id="758" w:name="_Toc80006122"/>
      <w:r>
        <w:rPr>
          <w:rFonts w:ascii="Times New Roman" w:hAnsi="Times New Roman" w:eastAsia="黑体"/>
          <w:b w:val="0"/>
          <w:bCs w:val="0"/>
          <w:color w:val="auto"/>
          <w:sz w:val="44"/>
          <w:szCs w:val="44"/>
          <w:highlight w:val="none"/>
        </w:rPr>
        <w:t>第  三  卷</w:t>
      </w:r>
      <w:bookmarkEnd w:id="756"/>
      <w:bookmarkEnd w:id="757"/>
      <w:bookmarkEnd w:id="758"/>
    </w:p>
    <w:p w14:paraId="63C13576">
      <w:pPr>
        <w:spacing w:line="360" w:lineRule="auto"/>
        <w:rPr>
          <w:rFonts w:eastAsia="楷体_GB2312"/>
          <w:color w:val="auto"/>
          <w:highlight w:val="none"/>
        </w:rPr>
      </w:pPr>
      <w:r>
        <w:rPr>
          <w:rFonts w:eastAsia="楷体_GB2312"/>
          <w:color w:val="auto"/>
          <w:highlight w:val="none"/>
        </w:rPr>
        <w:br w:type="page"/>
      </w:r>
    </w:p>
    <w:p w14:paraId="5C63E7E0">
      <w:pPr>
        <w:pStyle w:val="5"/>
        <w:spacing w:before="0" w:after="0" w:line="360" w:lineRule="auto"/>
        <w:jc w:val="center"/>
        <w:rPr>
          <w:rFonts w:ascii="Times New Roman" w:hAnsi="Times New Roman" w:eastAsia="黑体"/>
          <w:b w:val="0"/>
          <w:bCs w:val="0"/>
          <w:color w:val="auto"/>
          <w:highlight w:val="none"/>
        </w:rPr>
      </w:pPr>
      <w:bookmarkStart w:id="759" w:name="_Toc80006123"/>
      <w:bookmarkStart w:id="760" w:name="_Toc300678506"/>
      <w:bookmarkStart w:id="761" w:name="_Toc80006233"/>
      <w:r>
        <w:rPr>
          <w:rFonts w:ascii="Times New Roman" w:hAnsi="Times New Roman" w:eastAsia="黑体"/>
          <w:b w:val="0"/>
          <w:bCs w:val="0"/>
          <w:color w:val="auto"/>
          <w:highlight w:val="none"/>
        </w:rPr>
        <w:t>第七章  技术标准和要求</w:t>
      </w:r>
      <w:bookmarkEnd w:id="759"/>
      <w:bookmarkEnd w:id="760"/>
      <w:bookmarkEnd w:id="761"/>
    </w:p>
    <w:p w14:paraId="31892F46">
      <w:pPr>
        <w:pStyle w:val="6"/>
        <w:spacing w:line="360" w:lineRule="auto"/>
        <w:jc w:val="center"/>
        <w:rPr>
          <w:rFonts w:ascii="Times New Roman" w:hAnsi="Times New Roman" w:eastAsia="黑体"/>
          <w:b w:val="0"/>
          <w:bCs w:val="0"/>
          <w:color w:val="auto"/>
          <w:sz w:val="30"/>
          <w:highlight w:val="none"/>
        </w:rPr>
      </w:pPr>
      <w:bookmarkStart w:id="762" w:name="_Toc80006124"/>
      <w:bookmarkStart w:id="763" w:name="_Toc80006234"/>
      <w:bookmarkStart w:id="764" w:name="_Toc300678507"/>
      <w:r>
        <w:rPr>
          <w:rFonts w:ascii="Times New Roman" w:hAnsi="Times New Roman" w:eastAsia="黑体"/>
          <w:b w:val="0"/>
          <w:bCs w:val="0"/>
          <w:color w:val="auto"/>
          <w:sz w:val="30"/>
          <w:highlight w:val="none"/>
        </w:rPr>
        <w:t>第一节 一般要求</w:t>
      </w:r>
      <w:bookmarkEnd w:id="762"/>
      <w:bookmarkEnd w:id="763"/>
      <w:bookmarkEnd w:id="764"/>
    </w:p>
    <w:p w14:paraId="27197FBD">
      <w:pPr>
        <w:pStyle w:val="7"/>
        <w:keepNext/>
        <w:keepLines/>
        <w:widowControl w:val="0"/>
        <w:jc w:val="left"/>
        <w:rPr>
          <w:rFonts w:eastAsia="黑体"/>
          <w:b w:val="0"/>
          <w:bCs w:val="0"/>
          <w:color w:val="auto"/>
          <w:sz w:val="28"/>
          <w:szCs w:val="28"/>
          <w:highlight w:val="none"/>
        </w:rPr>
      </w:pPr>
      <w:bookmarkStart w:id="765" w:name="_Toc79998855"/>
      <w:bookmarkStart w:id="766" w:name="_Toc80006125"/>
      <w:bookmarkStart w:id="767" w:name="_Toc9178552"/>
      <w:bookmarkStart w:id="768" w:name="_Toc300678508"/>
      <w:bookmarkStart w:id="769" w:name="_Toc79998411"/>
      <w:bookmarkStart w:id="770" w:name="_Toc80006235"/>
      <w:r>
        <w:rPr>
          <w:rFonts w:eastAsia="黑体"/>
          <w:b w:val="0"/>
          <w:bCs w:val="0"/>
          <w:color w:val="auto"/>
          <w:sz w:val="28"/>
          <w:szCs w:val="28"/>
          <w:highlight w:val="none"/>
        </w:rPr>
        <w:t>1.工程说明</w:t>
      </w:r>
      <w:bookmarkEnd w:id="765"/>
      <w:bookmarkEnd w:id="766"/>
      <w:bookmarkEnd w:id="767"/>
      <w:bookmarkEnd w:id="768"/>
      <w:bookmarkEnd w:id="769"/>
      <w:bookmarkEnd w:id="770"/>
    </w:p>
    <w:p w14:paraId="072985B0">
      <w:pPr>
        <w:pStyle w:val="8"/>
        <w:rPr>
          <w:rFonts w:ascii="Times New Roman" w:hAnsi="Times New Roman" w:eastAsia="黑体"/>
          <w:b w:val="0"/>
          <w:bCs w:val="0"/>
          <w:color w:val="auto"/>
          <w:sz w:val="24"/>
          <w:highlight w:val="none"/>
        </w:rPr>
      </w:pPr>
      <w:bookmarkStart w:id="771" w:name="_Toc300678509"/>
      <w:r>
        <w:rPr>
          <w:rFonts w:ascii="Times New Roman" w:hAnsi="Times New Roman" w:eastAsia="黑体"/>
          <w:b w:val="0"/>
          <w:bCs w:val="0"/>
          <w:color w:val="auto"/>
          <w:sz w:val="24"/>
          <w:highlight w:val="none"/>
        </w:rPr>
        <w:t>1.1 工程概况</w:t>
      </w:r>
      <w:bookmarkEnd w:id="771"/>
    </w:p>
    <w:p w14:paraId="1C311A02">
      <w:pPr>
        <w:spacing w:line="360" w:lineRule="auto"/>
        <w:ind w:firstLine="420" w:firstLineChars="200"/>
        <w:rPr>
          <w:color w:val="auto"/>
          <w:szCs w:val="21"/>
          <w:highlight w:val="none"/>
        </w:rPr>
      </w:pPr>
      <w:r>
        <w:rPr>
          <w:color w:val="auto"/>
          <w:szCs w:val="21"/>
          <w:highlight w:val="none"/>
        </w:rPr>
        <w:t>l.1.1 本工程基本情况如下：</w:t>
      </w:r>
      <w:r>
        <w:rPr>
          <w:rFonts w:hint="eastAsia" w:ascii="Times New Roman" w:hAnsi="Times New Roman" w:eastAsia="宋体" w:cs="Times New Roman"/>
          <w:color w:val="auto"/>
          <w:kern w:val="2"/>
          <w:sz w:val="21"/>
          <w:szCs w:val="24"/>
          <w:highlight w:val="none"/>
          <w:u w:val="single"/>
          <w:lang w:val="en-US" w:eastAsia="zh-CN" w:bidi="ar-SA"/>
        </w:rPr>
        <w:t>主要新建钢框架结构水情会商分中心一处，共3层，总高度15.8米，最大跨度</w:t>
      </w:r>
      <w:r>
        <w:rPr>
          <w:rFonts w:hint="eastAsia" w:cs="Times New Roman"/>
          <w:color w:val="auto"/>
          <w:kern w:val="2"/>
          <w:sz w:val="21"/>
          <w:szCs w:val="24"/>
          <w:highlight w:val="none"/>
          <w:u w:val="single"/>
          <w:lang w:val="en-US" w:eastAsia="zh-CN" w:bidi="ar-SA"/>
        </w:rPr>
        <w:t>2</w:t>
      </w:r>
      <w:r>
        <w:rPr>
          <w:rFonts w:hint="eastAsia" w:ascii="Times New Roman" w:hAnsi="Times New Roman" w:eastAsia="宋体" w:cs="Times New Roman"/>
          <w:color w:val="auto"/>
          <w:kern w:val="2"/>
          <w:sz w:val="21"/>
          <w:szCs w:val="24"/>
          <w:highlight w:val="none"/>
          <w:u w:val="single"/>
          <w:lang w:val="en-US" w:eastAsia="zh-CN" w:bidi="ar-SA"/>
        </w:rPr>
        <w:t>0米</w:t>
      </w:r>
      <w:r>
        <w:rPr>
          <w:rFonts w:ascii="Times New Roman" w:hAnsi="Times New Roman" w:eastAsia="宋体" w:cs="Times New Roman"/>
          <w:color w:val="auto"/>
          <w:kern w:val="2"/>
          <w:sz w:val="21"/>
          <w:szCs w:val="24"/>
          <w:highlight w:val="none"/>
          <w:u w:val="single"/>
          <w:lang w:val="en-US" w:eastAsia="zh-CN" w:bidi="ar-SA"/>
        </w:rPr>
        <w:t>。项目规划净用地面积2894.30平方米，总建筑面积2051.16平方米，建筑占地面 积683.72平方米，并配套建设供电、给排水等设施</w:t>
      </w:r>
      <w:r>
        <w:rPr>
          <w:color w:val="auto"/>
          <w:szCs w:val="21"/>
          <w:highlight w:val="none"/>
        </w:rPr>
        <w:t>。</w:t>
      </w:r>
    </w:p>
    <w:p w14:paraId="1FAE0B2C">
      <w:pPr>
        <w:spacing w:line="360" w:lineRule="auto"/>
        <w:ind w:firstLine="420" w:firstLineChars="200"/>
        <w:rPr>
          <w:color w:val="auto"/>
          <w:szCs w:val="21"/>
          <w:highlight w:val="none"/>
        </w:rPr>
      </w:pPr>
      <w:r>
        <w:rPr>
          <w:color w:val="auto"/>
          <w:szCs w:val="21"/>
          <w:highlight w:val="none"/>
        </w:rPr>
        <w:t>1.1.2 本工程施工场地（现场）具体地理位置如下：</w:t>
      </w:r>
      <w:r>
        <w:rPr>
          <w:color w:val="auto"/>
          <w:highlight w:val="none"/>
          <w:u w:val="single"/>
        </w:rPr>
        <w:t>岳阳水文测报中心大楼东侧</w:t>
      </w:r>
      <w:r>
        <w:rPr>
          <w:color w:val="auto"/>
          <w:szCs w:val="21"/>
          <w:highlight w:val="none"/>
        </w:rPr>
        <w:t>。</w:t>
      </w:r>
    </w:p>
    <w:p w14:paraId="2343621D">
      <w:pPr>
        <w:pStyle w:val="8"/>
        <w:rPr>
          <w:rFonts w:ascii="Times New Roman" w:hAnsi="Times New Roman" w:eastAsia="黑体"/>
          <w:b w:val="0"/>
          <w:bCs w:val="0"/>
          <w:color w:val="auto"/>
          <w:sz w:val="24"/>
          <w:highlight w:val="none"/>
        </w:rPr>
      </w:pPr>
      <w:bookmarkStart w:id="772" w:name="_Toc300678510"/>
      <w:r>
        <w:rPr>
          <w:rFonts w:ascii="Times New Roman" w:hAnsi="Times New Roman" w:eastAsia="黑体"/>
          <w:b w:val="0"/>
          <w:bCs w:val="0"/>
          <w:color w:val="auto"/>
          <w:sz w:val="24"/>
          <w:highlight w:val="none"/>
        </w:rPr>
        <w:t>1.2 现场条件和周围环境</w:t>
      </w:r>
      <w:bookmarkEnd w:id="772"/>
    </w:p>
    <w:p w14:paraId="03BE457F">
      <w:pPr>
        <w:spacing w:line="360" w:lineRule="auto"/>
        <w:ind w:firstLine="420" w:firstLineChars="200"/>
        <w:rPr>
          <w:color w:val="auto"/>
          <w:szCs w:val="21"/>
          <w:highlight w:val="none"/>
        </w:rPr>
      </w:pPr>
      <w:r>
        <w:rPr>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0C0F4472">
      <w:pPr>
        <w:spacing w:line="360" w:lineRule="auto"/>
        <w:ind w:firstLine="420" w:firstLineChars="200"/>
        <w:rPr>
          <w:color w:val="auto"/>
          <w:szCs w:val="21"/>
          <w:highlight w:val="none"/>
        </w:rPr>
      </w:pPr>
      <w:r>
        <w:rPr>
          <w:color w:val="auto"/>
          <w:szCs w:val="21"/>
          <w:highlight w:val="none"/>
        </w:rPr>
        <w:t>1.2.2 施工场地（现场）临时供水管径</w:t>
      </w:r>
      <w:r>
        <w:rPr>
          <w:color w:val="auto"/>
          <w:szCs w:val="21"/>
          <w:highlight w:val="none"/>
          <w:u w:val="single"/>
        </w:rPr>
        <w:t xml:space="preserve">      </w:t>
      </w:r>
      <w:r>
        <w:rPr>
          <w:color w:val="auto"/>
          <w:szCs w:val="21"/>
          <w:highlight w:val="none"/>
        </w:rPr>
        <w:t>。</w:t>
      </w:r>
    </w:p>
    <w:p w14:paraId="705435DC">
      <w:pPr>
        <w:spacing w:line="360" w:lineRule="auto"/>
        <w:ind w:firstLine="420" w:firstLineChars="200"/>
        <w:rPr>
          <w:color w:val="auto"/>
          <w:szCs w:val="21"/>
          <w:highlight w:val="none"/>
        </w:rPr>
      </w:pPr>
      <w:r>
        <w:rPr>
          <w:color w:val="auto"/>
          <w:szCs w:val="21"/>
          <w:highlight w:val="none"/>
        </w:rPr>
        <w:t>施工场地（现场）临时排污管径</w:t>
      </w:r>
      <w:r>
        <w:rPr>
          <w:color w:val="auto"/>
          <w:szCs w:val="21"/>
          <w:highlight w:val="none"/>
          <w:u w:val="single"/>
        </w:rPr>
        <w:t xml:space="preserve">     </w:t>
      </w:r>
      <w:r>
        <w:rPr>
          <w:color w:val="auto"/>
          <w:szCs w:val="21"/>
          <w:highlight w:val="none"/>
        </w:rPr>
        <w:t>。</w:t>
      </w:r>
    </w:p>
    <w:p w14:paraId="714D1AD0">
      <w:pPr>
        <w:spacing w:line="360" w:lineRule="auto"/>
        <w:ind w:firstLine="420" w:firstLineChars="200"/>
        <w:rPr>
          <w:color w:val="auto"/>
          <w:szCs w:val="21"/>
          <w:highlight w:val="none"/>
        </w:rPr>
      </w:pPr>
      <w:r>
        <w:rPr>
          <w:color w:val="auto"/>
          <w:szCs w:val="21"/>
          <w:highlight w:val="none"/>
        </w:rPr>
        <w:t>施工场地（现场）临时雨水管径</w:t>
      </w:r>
      <w:r>
        <w:rPr>
          <w:color w:val="auto"/>
          <w:szCs w:val="21"/>
          <w:highlight w:val="none"/>
          <w:u w:val="single"/>
        </w:rPr>
        <w:t xml:space="preserve">     </w:t>
      </w:r>
      <w:r>
        <w:rPr>
          <w:color w:val="auto"/>
          <w:szCs w:val="21"/>
          <w:highlight w:val="none"/>
        </w:rPr>
        <w:t>。</w:t>
      </w:r>
    </w:p>
    <w:p w14:paraId="7F83D17C">
      <w:pPr>
        <w:spacing w:line="360" w:lineRule="auto"/>
        <w:ind w:firstLine="420" w:firstLineChars="200"/>
        <w:rPr>
          <w:color w:val="auto"/>
          <w:szCs w:val="21"/>
          <w:highlight w:val="none"/>
        </w:rPr>
      </w:pPr>
      <w:r>
        <w:rPr>
          <w:color w:val="auto"/>
          <w:szCs w:val="21"/>
          <w:highlight w:val="none"/>
        </w:rPr>
        <w:t>施工现场临时供电容量（变压器输出功率）</w:t>
      </w:r>
      <w:r>
        <w:rPr>
          <w:color w:val="auto"/>
          <w:szCs w:val="21"/>
          <w:highlight w:val="none"/>
          <w:u w:val="single"/>
        </w:rPr>
        <w:t xml:space="preserve">     </w:t>
      </w:r>
      <w:r>
        <w:rPr>
          <w:color w:val="auto"/>
          <w:szCs w:val="21"/>
          <w:highlight w:val="none"/>
        </w:rPr>
        <w:t>。</w:t>
      </w:r>
    </w:p>
    <w:p w14:paraId="303B9F64">
      <w:pPr>
        <w:spacing w:line="360" w:lineRule="auto"/>
        <w:ind w:firstLine="420" w:firstLineChars="200"/>
        <w:rPr>
          <w:color w:val="auto"/>
          <w:szCs w:val="21"/>
          <w:highlight w:val="none"/>
        </w:rPr>
      </w:pPr>
      <w:r>
        <w:rPr>
          <w:color w:val="auto"/>
          <w:szCs w:val="21"/>
          <w:highlight w:val="none"/>
        </w:rPr>
        <w:t>1.2.3 现场条件和周围环境的其他资料和信息数据如下：</w:t>
      </w:r>
      <w:r>
        <w:rPr>
          <w:color w:val="auto"/>
          <w:szCs w:val="21"/>
          <w:highlight w:val="none"/>
          <w:u w:val="single"/>
        </w:rPr>
        <w:t xml:space="preserve">     </w:t>
      </w:r>
      <w:r>
        <w:rPr>
          <w:color w:val="auto"/>
          <w:szCs w:val="21"/>
          <w:highlight w:val="none"/>
        </w:rPr>
        <w:t>。</w:t>
      </w:r>
    </w:p>
    <w:p w14:paraId="69336668">
      <w:pPr>
        <w:spacing w:line="360" w:lineRule="auto"/>
        <w:ind w:firstLine="420" w:firstLineChars="200"/>
        <w:rPr>
          <w:color w:val="auto"/>
          <w:szCs w:val="21"/>
          <w:highlight w:val="none"/>
        </w:rPr>
      </w:pPr>
      <w:r>
        <w:rPr>
          <w:color w:val="auto"/>
          <w:szCs w:val="21"/>
          <w:highlight w:val="none"/>
        </w:rPr>
        <w:t xml:space="preserve">1.2.4 承包人被认为已在本工程投标阶段踏勘现场时充分了解本工程现场条件和周围环境，并已在其投标时就此给予了充分的考虑。 </w:t>
      </w:r>
    </w:p>
    <w:p w14:paraId="2300FD25">
      <w:pPr>
        <w:pStyle w:val="8"/>
        <w:rPr>
          <w:rFonts w:ascii="Times New Roman" w:hAnsi="Times New Roman" w:eastAsia="黑体"/>
          <w:b w:val="0"/>
          <w:bCs w:val="0"/>
          <w:color w:val="auto"/>
          <w:sz w:val="24"/>
          <w:highlight w:val="none"/>
        </w:rPr>
      </w:pPr>
      <w:bookmarkStart w:id="773" w:name="_Toc300678511"/>
      <w:r>
        <w:rPr>
          <w:rFonts w:ascii="Times New Roman" w:hAnsi="Times New Roman" w:eastAsia="黑体"/>
          <w:b w:val="0"/>
          <w:bCs w:val="0"/>
          <w:color w:val="auto"/>
          <w:sz w:val="24"/>
          <w:highlight w:val="none"/>
        </w:rPr>
        <w:t>1.3 地质及水文资料</w:t>
      </w:r>
      <w:bookmarkEnd w:id="773"/>
    </w:p>
    <w:p w14:paraId="2615AC05">
      <w:pPr>
        <w:spacing w:line="360" w:lineRule="auto"/>
        <w:ind w:firstLine="420" w:firstLineChars="200"/>
        <w:rPr>
          <w:color w:val="auto"/>
          <w:szCs w:val="21"/>
          <w:highlight w:val="none"/>
        </w:rPr>
      </w:pPr>
      <w:r>
        <w:rPr>
          <w:color w:val="auto"/>
          <w:szCs w:val="21"/>
          <w:highlight w:val="none"/>
        </w:rPr>
        <w:t>1.3.1 现场地质及水文资料和信息数据如下：</w:t>
      </w:r>
      <w:r>
        <w:rPr>
          <w:color w:val="auto"/>
          <w:szCs w:val="21"/>
          <w:highlight w:val="none"/>
          <w:u w:val="single"/>
        </w:rPr>
        <w:t xml:space="preserve">     </w:t>
      </w:r>
      <w:r>
        <w:rPr>
          <w:color w:val="auto"/>
          <w:szCs w:val="21"/>
          <w:highlight w:val="none"/>
        </w:rPr>
        <w:t>。</w:t>
      </w:r>
    </w:p>
    <w:p w14:paraId="27FAF249">
      <w:pPr>
        <w:pStyle w:val="8"/>
        <w:rPr>
          <w:rFonts w:ascii="Times New Roman" w:hAnsi="Times New Roman" w:eastAsia="黑体"/>
          <w:b w:val="0"/>
          <w:bCs w:val="0"/>
          <w:color w:val="auto"/>
          <w:sz w:val="24"/>
          <w:highlight w:val="none"/>
        </w:rPr>
      </w:pPr>
      <w:bookmarkStart w:id="774" w:name="_Toc300678512"/>
      <w:r>
        <w:rPr>
          <w:rFonts w:ascii="Times New Roman" w:hAnsi="Times New Roman" w:eastAsia="黑体"/>
          <w:b w:val="0"/>
          <w:bCs w:val="0"/>
          <w:color w:val="auto"/>
          <w:sz w:val="24"/>
          <w:highlight w:val="none"/>
        </w:rPr>
        <w:t>1.4 资料和信息的使用</w:t>
      </w:r>
      <w:bookmarkEnd w:id="774"/>
    </w:p>
    <w:p w14:paraId="79CC9FEE">
      <w:pPr>
        <w:spacing w:line="360" w:lineRule="auto"/>
        <w:ind w:firstLine="420" w:firstLineChars="200"/>
        <w:rPr>
          <w:color w:val="auto"/>
          <w:szCs w:val="21"/>
          <w:highlight w:val="none"/>
        </w:rPr>
      </w:pPr>
      <w:r>
        <w:rPr>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71416DBB">
      <w:pPr>
        <w:pStyle w:val="7"/>
        <w:keepNext/>
        <w:keepLines/>
        <w:widowControl w:val="0"/>
        <w:jc w:val="left"/>
        <w:rPr>
          <w:rFonts w:eastAsia="黑体"/>
          <w:b w:val="0"/>
          <w:bCs w:val="0"/>
          <w:color w:val="auto"/>
          <w:sz w:val="28"/>
          <w:szCs w:val="28"/>
          <w:highlight w:val="none"/>
        </w:rPr>
      </w:pPr>
      <w:bookmarkStart w:id="775" w:name="_Toc79998412"/>
      <w:bookmarkStart w:id="776" w:name="_Toc80006236"/>
      <w:bookmarkStart w:id="777" w:name="_Toc80006126"/>
      <w:bookmarkStart w:id="778" w:name="_Toc9178553"/>
      <w:bookmarkStart w:id="779" w:name="_Toc300678513"/>
      <w:bookmarkStart w:id="780" w:name="_Toc79998856"/>
      <w:r>
        <w:rPr>
          <w:rFonts w:eastAsia="黑体"/>
          <w:b w:val="0"/>
          <w:bCs w:val="0"/>
          <w:color w:val="auto"/>
          <w:sz w:val="28"/>
          <w:szCs w:val="28"/>
          <w:highlight w:val="none"/>
        </w:rPr>
        <w:t>2.承包范围</w:t>
      </w:r>
      <w:bookmarkEnd w:id="775"/>
      <w:bookmarkEnd w:id="776"/>
      <w:bookmarkEnd w:id="777"/>
      <w:bookmarkEnd w:id="778"/>
      <w:bookmarkEnd w:id="779"/>
      <w:bookmarkEnd w:id="780"/>
    </w:p>
    <w:p w14:paraId="1F7D2628">
      <w:pPr>
        <w:pStyle w:val="8"/>
        <w:rPr>
          <w:rFonts w:ascii="Times New Roman" w:hAnsi="Times New Roman" w:eastAsia="黑体"/>
          <w:b w:val="0"/>
          <w:bCs w:val="0"/>
          <w:color w:val="auto"/>
          <w:sz w:val="24"/>
          <w:highlight w:val="none"/>
        </w:rPr>
      </w:pPr>
      <w:bookmarkStart w:id="781" w:name="_Toc300678514"/>
      <w:r>
        <w:rPr>
          <w:rFonts w:ascii="Times New Roman" w:hAnsi="Times New Roman" w:eastAsia="黑体"/>
          <w:b w:val="0"/>
          <w:bCs w:val="0"/>
          <w:color w:val="auto"/>
          <w:sz w:val="24"/>
          <w:highlight w:val="none"/>
        </w:rPr>
        <w:t>2.1 承包范围</w:t>
      </w:r>
      <w:bookmarkEnd w:id="781"/>
    </w:p>
    <w:p w14:paraId="3B2EB457">
      <w:pPr>
        <w:spacing w:line="360" w:lineRule="auto"/>
        <w:ind w:firstLine="420" w:firstLineChars="200"/>
        <w:rPr>
          <w:color w:val="auto"/>
          <w:szCs w:val="21"/>
          <w:highlight w:val="none"/>
        </w:rPr>
      </w:pPr>
      <w:r>
        <w:rPr>
          <w:color w:val="auto"/>
          <w:szCs w:val="21"/>
          <w:highlight w:val="none"/>
        </w:rPr>
        <w:t>2.1.1 承包人自行施工范围</w:t>
      </w:r>
    </w:p>
    <w:p w14:paraId="5349CF71">
      <w:pPr>
        <w:spacing w:line="360" w:lineRule="auto"/>
        <w:ind w:firstLine="420" w:firstLineChars="200"/>
        <w:rPr>
          <w:color w:val="auto"/>
          <w:szCs w:val="21"/>
          <w:highlight w:val="none"/>
        </w:rPr>
      </w:pPr>
      <w:r>
        <w:rPr>
          <w:color w:val="auto"/>
          <w:szCs w:val="21"/>
          <w:highlight w:val="none"/>
        </w:rPr>
        <w:t>本工程承包人自行施工的工程范围如下：</w:t>
      </w:r>
      <w:r>
        <w:rPr>
          <w:rFonts w:hint="eastAsia" w:ascii="宋体" w:hAnsi="宋体" w:eastAsia="宋体" w:cs="宋体"/>
          <w:i w:val="0"/>
          <w:iCs w:val="0"/>
          <w:caps w:val="0"/>
          <w:color w:val="555555"/>
          <w:spacing w:val="0"/>
          <w:sz w:val="21"/>
          <w:szCs w:val="21"/>
          <w:u w:val="single"/>
          <w:shd w:val="clear" w:fill="FFFFFF"/>
        </w:rPr>
        <w:t>完成经审核后施工图上的全部施工工作内容及保修服务。施工范围最终以招标人和建设行政主管部门审查核准的施工图和工程量清单为准</w:t>
      </w:r>
      <w:r>
        <w:rPr>
          <w:color w:val="auto"/>
          <w:szCs w:val="21"/>
          <w:highlight w:val="none"/>
        </w:rPr>
        <w:t>。</w:t>
      </w:r>
    </w:p>
    <w:p w14:paraId="573F6828">
      <w:pPr>
        <w:spacing w:line="360" w:lineRule="auto"/>
        <w:ind w:firstLine="420" w:firstLineChars="200"/>
        <w:rPr>
          <w:color w:val="auto"/>
          <w:szCs w:val="21"/>
          <w:highlight w:val="none"/>
        </w:rPr>
      </w:pPr>
      <w:r>
        <w:rPr>
          <w:color w:val="auto"/>
          <w:szCs w:val="21"/>
          <w:highlight w:val="none"/>
        </w:rPr>
        <w:t>2.1.2 承包范围内的暂估价项目</w:t>
      </w:r>
    </w:p>
    <w:p w14:paraId="31962DCB">
      <w:pPr>
        <w:spacing w:line="360" w:lineRule="auto"/>
        <w:ind w:firstLine="420" w:firstLineChars="200"/>
        <w:rPr>
          <w:color w:val="auto"/>
          <w:szCs w:val="21"/>
          <w:highlight w:val="none"/>
        </w:rPr>
      </w:pPr>
      <w:r>
        <w:rPr>
          <w:color w:val="auto"/>
          <w:szCs w:val="21"/>
          <w:highlight w:val="none"/>
        </w:rPr>
        <w:t>2.1.2.1 承包范围内以暂估价形式实施的专业工程见第五章“工程量清单”中“其他项目措施费表”。</w:t>
      </w:r>
    </w:p>
    <w:p w14:paraId="0BF672E5">
      <w:pPr>
        <w:tabs>
          <w:tab w:val="left" w:pos="1260"/>
        </w:tabs>
        <w:spacing w:line="360" w:lineRule="auto"/>
        <w:ind w:firstLine="420" w:firstLineChars="200"/>
        <w:rPr>
          <w:color w:val="auto"/>
          <w:szCs w:val="21"/>
          <w:highlight w:val="none"/>
        </w:rPr>
      </w:pPr>
      <w:r>
        <w:rPr>
          <w:color w:val="auto"/>
          <w:szCs w:val="21"/>
          <w:highlight w:val="none"/>
        </w:rPr>
        <w:t>2.1.2.2 承包范围内以暂估价形式实施的材料和工程设备见第五章“工程量清单”中的“材料(工程设备)暂估单价表”。</w:t>
      </w:r>
    </w:p>
    <w:p w14:paraId="2ED08378">
      <w:pPr>
        <w:spacing w:line="360" w:lineRule="auto"/>
        <w:ind w:firstLine="420" w:firstLineChars="200"/>
        <w:rPr>
          <w:color w:val="auto"/>
          <w:szCs w:val="21"/>
          <w:highlight w:val="none"/>
        </w:rPr>
      </w:pPr>
      <w:r>
        <w:rPr>
          <w:color w:val="auto"/>
          <w:szCs w:val="21"/>
          <w:highlight w:val="none"/>
        </w:rPr>
        <w:t>2.1.2.3 上述暂估价项目与本节第2.1.1项承包人自行施工范围的工作界面划分如下：</w:t>
      </w:r>
      <w:r>
        <w:rPr>
          <w:color w:val="auto"/>
          <w:szCs w:val="21"/>
          <w:highlight w:val="none"/>
          <w:u w:val="single"/>
        </w:rPr>
        <w:t xml:space="preserve">     </w:t>
      </w:r>
      <w:r>
        <w:rPr>
          <w:color w:val="auto"/>
          <w:szCs w:val="21"/>
          <w:highlight w:val="none"/>
        </w:rPr>
        <w:t>。</w:t>
      </w:r>
    </w:p>
    <w:p w14:paraId="1E87E82B">
      <w:pPr>
        <w:spacing w:line="360" w:lineRule="auto"/>
        <w:ind w:firstLine="420" w:firstLineChars="200"/>
        <w:rPr>
          <w:color w:val="auto"/>
          <w:szCs w:val="21"/>
          <w:highlight w:val="none"/>
        </w:rPr>
      </w:pPr>
      <w:r>
        <w:rPr>
          <w:color w:val="auto"/>
          <w:szCs w:val="21"/>
          <w:highlight w:val="none"/>
        </w:rPr>
        <w:t>2.1.3 承包范围内的暂列金额项目</w:t>
      </w:r>
    </w:p>
    <w:p w14:paraId="174ECA34">
      <w:pPr>
        <w:spacing w:line="360" w:lineRule="auto"/>
        <w:ind w:firstLine="420" w:firstLineChars="200"/>
        <w:rPr>
          <w:color w:val="auto"/>
          <w:szCs w:val="21"/>
          <w:highlight w:val="none"/>
        </w:rPr>
      </w:pPr>
      <w:r>
        <w:rPr>
          <w:color w:val="auto"/>
          <w:szCs w:val="21"/>
          <w:highlight w:val="none"/>
        </w:rPr>
        <w:t>2.1.3.1 承包范围内以暂列金额（包括计日工）方式实施的项目见第五章“工程量清单”中“暂列金额明细表”（不包括计日工）和 “计日工表”，其中计日工金额为承包人在其投标报价中按 “计日工表”所列计日工项目、数量和相应规定填报的金额。</w:t>
      </w:r>
    </w:p>
    <w:p w14:paraId="32608319">
      <w:pPr>
        <w:spacing w:line="360" w:lineRule="auto"/>
        <w:ind w:firstLine="420" w:firstLineChars="200"/>
        <w:rPr>
          <w:color w:val="auto"/>
          <w:szCs w:val="21"/>
          <w:highlight w:val="none"/>
        </w:rPr>
      </w:pPr>
      <w:r>
        <w:rPr>
          <w:color w:val="auto"/>
          <w:szCs w:val="21"/>
          <w:highlight w:val="none"/>
        </w:rPr>
        <w:t>2.1.3.2 暂列金额明细表中每笔暂列金额所对应的项目，包括计日工，均只是可能发生的项目。承包人应当充分认识到，合同履行过程中所列暂列金额可能不发生，也可能部分发生。即便发生，监理人按照合同约定发出的使用暂列金额的指示也不限于只能用于表中所列项目。</w:t>
      </w:r>
    </w:p>
    <w:p w14:paraId="1EC7169E">
      <w:pPr>
        <w:spacing w:line="360" w:lineRule="auto"/>
        <w:ind w:firstLine="420" w:firstLineChars="200"/>
        <w:rPr>
          <w:color w:val="auto"/>
          <w:szCs w:val="21"/>
          <w:highlight w:val="none"/>
        </w:rPr>
      </w:pPr>
      <w:r>
        <w:rPr>
          <w:color w:val="auto"/>
          <w:szCs w:val="21"/>
          <w:highlight w:val="none"/>
        </w:rPr>
        <w:t>2.1.3.3 暂列金额是否实际发生、其再分和合并等均不应成为承包人要求任何追加费用和（或）延长工期的理由。</w:t>
      </w:r>
    </w:p>
    <w:p w14:paraId="4C2F6FE6">
      <w:pPr>
        <w:spacing w:line="360" w:lineRule="auto"/>
        <w:ind w:firstLine="420" w:firstLineChars="200"/>
        <w:rPr>
          <w:color w:val="auto"/>
          <w:szCs w:val="21"/>
          <w:highlight w:val="none"/>
        </w:rPr>
      </w:pPr>
      <w:r>
        <w:rPr>
          <w:color w:val="auto"/>
          <w:szCs w:val="21"/>
          <w:highlight w:val="none"/>
        </w:rPr>
        <w:t>2.1.3.4 关于暂列金额的其他说明：</w:t>
      </w:r>
      <w:r>
        <w:rPr>
          <w:color w:val="auto"/>
          <w:szCs w:val="21"/>
          <w:highlight w:val="none"/>
          <w:u w:val="single"/>
        </w:rPr>
        <w:t xml:space="preserve">     </w:t>
      </w:r>
      <w:r>
        <w:rPr>
          <w:color w:val="auto"/>
          <w:szCs w:val="21"/>
          <w:highlight w:val="none"/>
        </w:rPr>
        <w:t>。</w:t>
      </w:r>
    </w:p>
    <w:p w14:paraId="5398A19E">
      <w:pPr>
        <w:pStyle w:val="8"/>
        <w:rPr>
          <w:rFonts w:ascii="Times New Roman" w:hAnsi="Times New Roman" w:eastAsia="黑体"/>
          <w:b w:val="0"/>
          <w:bCs w:val="0"/>
          <w:color w:val="auto"/>
          <w:sz w:val="24"/>
          <w:highlight w:val="none"/>
        </w:rPr>
      </w:pPr>
      <w:bookmarkStart w:id="782" w:name="_Toc300678515"/>
      <w:r>
        <w:rPr>
          <w:rFonts w:ascii="Times New Roman" w:hAnsi="Times New Roman" w:eastAsia="黑体"/>
          <w:b w:val="0"/>
          <w:bCs w:val="0"/>
          <w:color w:val="auto"/>
          <w:sz w:val="24"/>
          <w:highlight w:val="none"/>
        </w:rPr>
        <w:t>2.2 发包人发包专业工程和发包人供应的材料和工程设备</w:t>
      </w:r>
      <w:bookmarkEnd w:id="782"/>
    </w:p>
    <w:p w14:paraId="0DF3C6AA">
      <w:pPr>
        <w:spacing w:line="360" w:lineRule="auto"/>
        <w:ind w:firstLine="420" w:firstLineChars="200"/>
        <w:rPr>
          <w:color w:val="auto"/>
          <w:szCs w:val="21"/>
          <w:highlight w:val="none"/>
        </w:rPr>
      </w:pPr>
      <w:r>
        <w:rPr>
          <w:color w:val="auto"/>
          <w:szCs w:val="21"/>
          <w:highlight w:val="none"/>
        </w:rPr>
        <w:t>2.2.1 由发包人发包的专业工程属于与本工程有关的其他工程，不属于承包人的承包范围。发包人发包的专业工程如下：</w:t>
      </w:r>
      <w:r>
        <w:rPr>
          <w:color w:val="auto"/>
          <w:szCs w:val="21"/>
          <w:highlight w:val="none"/>
          <w:u w:val="single"/>
        </w:rPr>
        <w:t xml:space="preserve">     </w:t>
      </w:r>
      <w:r>
        <w:rPr>
          <w:color w:val="auto"/>
          <w:szCs w:val="21"/>
          <w:highlight w:val="none"/>
        </w:rPr>
        <w:t>。</w:t>
      </w:r>
    </w:p>
    <w:p w14:paraId="3C860835">
      <w:pPr>
        <w:spacing w:line="360" w:lineRule="auto"/>
        <w:ind w:firstLine="420" w:firstLineChars="200"/>
        <w:rPr>
          <w:color w:val="auto"/>
          <w:szCs w:val="21"/>
          <w:highlight w:val="none"/>
        </w:rPr>
      </w:pPr>
      <w:r>
        <w:rPr>
          <w:color w:val="auto"/>
          <w:szCs w:val="21"/>
          <w:highlight w:val="none"/>
        </w:rPr>
        <w:t>2.2.2 由发包人供应的材料和工程设备不属于承包人的承包范围。发包人供应的材料和工程设备见合同附件二“发包人供应的材料和工程设备一览表”。</w:t>
      </w:r>
    </w:p>
    <w:p w14:paraId="5CFC2811">
      <w:pPr>
        <w:pStyle w:val="8"/>
        <w:rPr>
          <w:rFonts w:ascii="Times New Roman" w:hAnsi="Times New Roman" w:eastAsia="黑体"/>
          <w:b w:val="0"/>
          <w:bCs w:val="0"/>
          <w:color w:val="auto"/>
          <w:sz w:val="24"/>
          <w:highlight w:val="none"/>
        </w:rPr>
      </w:pPr>
      <w:bookmarkStart w:id="783" w:name="_Toc300678516"/>
      <w:r>
        <w:rPr>
          <w:rFonts w:ascii="Times New Roman" w:hAnsi="Times New Roman" w:eastAsia="黑体"/>
          <w:b w:val="0"/>
          <w:bCs w:val="0"/>
          <w:color w:val="auto"/>
          <w:sz w:val="24"/>
          <w:highlight w:val="none"/>
        </w:rPr>
        <w:t>2.3 承包人与发包人发包专业工程承包人的工作界面</w:t>
      </w:r>
      <w:bookmarkEnd w:id="783"/>
    </w:p>
    <w:p w14:paraId="729D114D">
      <w:pPr>
        <w:spacing w:line="360" w:lineRule="auto"/>
        <w:ind w:firstLine="420" w:firstLineChars="200"/>
        <w:rPr>
          <w:color w:val="auto"/>
          <w:szCs w:val="21"/>
          <w:highlight w:val="none"/>
        </w:rPr>
      </w:pPr>
      <w:r>
        <w:rPr>
          <w:color w:val="auto"/>
          <w:szCs w:val="21"/>
          <w:highlight w:val="none"/>
        </w:rPr>
        <w:t>2.3.1 承包人与发包人发包专业工程承包人以及与发包人供应的材料和设备的供应商之间的工作界面划分如下：</w:t>
      </w:r>
      <w:r>
        <w:rPr>
          <w:color w:val="auto"/>
          <w:szCs w:val="21"/>
          <w:highlight w:val="none"/>
          <w:u w:val="single"/>
        </w:rPr>
        <w:t xml:space="preserve">     </w:t>
      </w:r>
      <w:r>
        <w:rPr>
          <w:color w:val="auto"/>
          <w:szCs w:val="21"/>
          <w:highlight w:val="none"/>
        </w:rPr>
        <w:t>。</w:t>
      </w:r>
    </w:p>
    <w:p w14:paraId="19B6FEF7">
      <w:pPr>
        <w:pStyle w:val="8"/>
        <w:rPr>
          <w:rFonts w:ascii="Times New Roman" w:hAnsi="Times New Roman" w:eastAsia="黑体"/>
          <w:b w:val="0"/>
          <w:bCs w:val="0"/>
          <w:color w:val="auto"/>
          <w:sz w:val="24"/>
          <w:highlight w:val="none"/>
        </w:rPr>
      </w:pPr>
      <w:bookmarkStart w:id="784" w:name="_Toc300678517"/>
      <w:r>
        <w:rPr>
          <w:rFonts w:ascii="Times New Roman" w:hAnsi="Times New Roman" w:eastAsia="黑体"/>
          <w:b w:val="0"/>
          <w:bCs w:val="0"/>
          <w:color w:val="auto"/>
          <w:sz w:val="24"/>
          <w:highlight w:val="none"/>
        </w:rPr>
        <w:t>2.4 承包人需要为发包人和监理人提供的现场办公条件和设施</w:t>
      </w:r>
      <w:bookmarkEnd w:id="784"/>
    </w:p>
    <w:p w14:paraId="37CAE224">
      <w:pPr>
        <w:spacing w:line="360" w:lineRule="auto"/>
        <w:ind w:firstLine="420" w:firstLineChars="200"/>
        <w:rPr>
          <w:rFonts w:hint="eastAsia"/>
          <w:color w:val="auto"/>
          <w:szCs w:val="21"/>
          <w:highlight w:val="none"/>
        </w:rPr>
      </w:pPr>
      <w:r>
        <w:rPr>
          <w:color w:val="auto"/>
          <w:szCs w:val="21"/>
          <w:highlight w:val="none"/>
        </w:rPr>
        <w:t>2.4.1 承包人需要为发包人和监理人提供的现场办公条件和设施及其详细要求如下：</w:t>
      </w:r>
      <w:r>
        <w:rPr>
          <w:color w:val="auto"/>
          <w:szCs w:val="21"/>
          <w:highlight w:val="none"/>
          <w:u w:val="single"/>
        </w:rPr>
        <w:t xml:space="preserve">     </w:t>
      </w:r>
      <w:r>
        <w:rPr>
          <w:color w:val="auto"/>
          <w:szCs w:val="21"/>
          <w:highlight w:val="none"/>
        </w:rPr>
        <w:t>。</w:t>
      </w:r>
    </w:p>
    <w:p w14:paraId="50D70789">
      <w:pPr>
        <w:pStyle w:val="7"/>
        <w:keepNext/>
        <w:keepLines/>
        <w:widowControl w:val="0"/>
        <w:jc w:val="left"/>
        <w:rPr>
          <w:rFonts w:eastAsia="黑体"/>
          <w:b w:val="0"/>
          <w:bCs w:val="0"/>
          <w:color w:val="auto"/>
          <w:sz w:val="28"/>
          <w:szCs w:val="28"/>
          <w:highlight w:val="none"/>
        </w:rPr>
      </w:pPr>
      <w:bookmarkStart w:id="785" w:name="_Toc300678518"/>
      <w:bookmarkStart w:id="786" w:name="_Toc80006237"/>
      <w:bookmarkStart w:id="787" w:name="_Toc80006127"/>
      <w:bookmarkStart w:id="788" w:name="_Toc79998857"/>
      <w:bookmarkStart w:id="789" w:name="_Toc9178554"/>
      <w:bookmarkStart w:id="790" w:name="_Toc79998413"/>
      <w:r>
        <w:rPr>
          <w:rFonts w:eastAsia="黑体"/>
          <w:b w:val="0"/>
          <w:bCs w:val="0"/>
          <w:color w:val="auto"/>
          <w:sz w:val="28"/>
          <w:szCs w:val="28"/>
          <w:highlight w:val="none"/>
        </w:rPr>
        <w:t>3.工期要求</w:t>
      </w:r>
      <w:bookmarkEnd w:id="785"/>
      <w:bookmarkEnd w:id="786"/>
      <w:bookmarkEnd w:id="787"/>
      <w:bookmarkEnd w:id="788"/>
      <w:bookmarkEnd w:id="789"/>
      <w:bookmarkEnd w:id="790"/>
    </w:p>
    <w:p w14:paraId="6C285A4E">
      <w:pPr>
        <w:pStyle w:val="8"/>
        <w:rPr>
          <w:rFonts w:ascii="Times New Roman" w:hAnsi="Times New Roman" w:eastAsia="黑体"/>
          <w:b w:val="0"/>
          <w:bCs w:val="0"/>
          <w:color w:val="auto"/>
          <w:sz w:val="24"/>
          <w:highlight w:val="none"/>
        </w:rPr>
      </w:pPr>
      <w:bookmarkStart w:id="791" w:name="_Toc300678519"/>
      <w:r>
        <w:rPr>
          <w:rFonts w:ascii="Times New Roman" w:hAnsi="Times New Roman" w:eastAsia="黑体"/>
          <w:b w:val="0"/>
          <w:bCs w:val="0"/>
          <w:color w:val="auto"/>
          <w:sz w:val="24"/>
          <w:highlight w:val="none"/>
        </w:rPr>
        <w:t>3.1 合同工期</w:t>
      </w:r>
      <w:bookmarkEnd w:id="791"/>
    </w:p>
    <w:p w14:paraId="7A6AB696">
      <w:pPr>
        <w:spacing w:line="360" w:lineRule="auto"/>
        <w:ind w:firstLine="420" w:firstLineChars="200"/>
        <w:rPr>
          <w:color w:val="auto"/>
          <w:szCs w:val="21"/>
          <w:highlight w:val="none"/>
        </w:rPr>
      </w:pPr>
      <w:r>
        <w:rPr>
          <w:color w:val="auto"/>
          <w:szCs w:val="21"/>
          <w:highlight w:val="none"/>
        </w:rPr>
        <w:t>本工程合同工期和计划开、竣工日期为承包人在投标函附录中承诺的工期和计划开、竣工日期，并在合同协议书中载明。</w:t>
      </w:r>
    </w:p>
    <w:p w14:paraId="2A6AF0A4">
      <w:pPr>
        <w:pStyle w:val="8"/>
        <w:rPr>
          <w:rFonts w:ascii="Times New Roman" w:hAnsi="Times New Roman" w:eastAsia="黑体"/>
          <w:b w:val="0"/>
          <w:bCs w:val="0"/>
          <w:color w:val="auto"/>
          <w:sz w:val="24"/>
          <w:highlight w:val="none"/>
        </w:rPr>
      </w:pPr>
      <w:bookmarkStart w:id="792" w:name="_Toc300678520"/>
      <w:r>
        <w:rPr>
          <w:rFonts w:ascii="Times New Roman" w:hAnsi="Times New Roman" w:eastAsia="黑体"/>
          <w:b w:val="0"/>
          <w:bCs w:val="0"/>
          <w:color w:val="auto"/>
          <w:sz w:val="24"/>
          <w:highlight w:val="none"/>
        </w:rPr>
        <w:t>3.2 关于工期的一般规定</w:t>
      </w:r>
      <w:bookmarkEnd w:id="792"/>
    </w:p>
    <w:p w14:paraId="11925EDE">
      <w:pPr>
        <w:spacing w:line="360" w:lineRule="auto"/>
        <w:ind w:firstLine="420" w:firstLineChars="200"/>
        <w:rPr>
          <w:color w:val="auto"/>
          <w:szCs w:val="21"/>
          <w:highlight w:val="none"/>
        </w:rPr>
      </w:pPr>
      <w:r>
        <w:rPr>
          <w:color w:val="auto"/>
          <w:szCs w:val="21"/>
          <w:highlight w:val="none"/>
        </w:rPr>
        <w:t>3.2.1 承包人在投标函中承诺的工期和计划开、竣工日期之间发生矛盾或者不一致时，以承包人承诺的工期为准。实际开工日期以合同条款约定的监理人发出的开工通知中载明的开工日期为准。</w:t>
      </w:r>
    </w:p>
    <w:p w14:paraId="27FC42E5">
      <w:pPr>
        <w:spacing w:line="360" w:lineRule="auto"/>
        <w:ind w:firstLine="420" w:firstLineChars="200"/>
        <w:rPr>
          <w:color w:val="auto"/>
          <w:szCs w:val="21"/>
          <w:highlight w:val="none"/>
        </w:rPr>
      </w:pPr>
      <w:r>
        <w:rPr>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1ABCBFFA">
      <w:pPr>
        <w:spacing w:line="360" w:lineRule="auto"/>
        <w:ind w:firstLine="420" w:firstLineChars="200"/>
        <w:rPr>
          <w:color w:val="auto"/>
          <w:szCs w:val="21"/>
          <w:highlight w:val="none"/>
        </w:rPr>
      </w:pPr>
      <w:r>
        <w:rPr>
          <w:color w:val="auto"/>
          <w:szCs w:val="21"/>
          <w:highlight w:val="none"/>
        </w:rPr>
        <w:t>3.2.3 承包人在投标函附录中所承诺的工期应当包括实施并完成本节上述2.1.2项规定的暂估价项目和上述2.1.3项规定的实际可能发生的暂列金额在内的所有工作的工期。</w:t>
      </w:r>
    </w:p>
    <w:p w14:paraId="65A57225">
      <w:pPr>
        <w:pStyle w:val="7"/>
        <w:keepNext/>
        <w:keepLines/>
        <w:widowControl w:val="0"/>
        <w:jc w:val="left"/>
        <w:rPr>
          <w:rFonts w:eastAsia="黑体"/>
          <w:b w:val="0"/>
          <w:bCs w:val="0"/>
          <w:color w:val="auto"/>
          <w:sz w:val="28"/>
          <w:szCs w:val="28"/>
          <w:highlight w:val="none"/>
        </w:rPr>
      </w:pPr>
      <w:bookmarkStart w:id="793" w:name="_Toc80006128"/>
      <w:bookmarkStart w:id="794" w:name="_Toc300678521"/>
      <w:bookmarkStart w:id="795" w:name="_Toc79998858"/>
      <w:bookmarkStart w:id="796" w:name="_Toc79998414"/>
      <w:bookmarkStart w:id="797" w:name="_Toc80006238"/>
      <w:bookmarkStart w:id="798" w:name="_Toc9178555"/>
      <w:r>
        <w:rPr>
          <w:rFonts w:eastAsia="黑体"/>
          <w:b w:val="0"/>
          <w:bCs w:val="0"/>
          <w:color w:val="auto"/>
          <w:sz w:val="28"/>
          <w:szCs w:val="28"/>
          <w:highlight w:val="none"/>
        </w:rPr>
        <w:t>4.质量要求</w:t>
      </w:r>
      <w:bookmarkEnd w:id="793"/>
      <w:bookmarkEnd w:id="794"/>
      <w:bookmarkEnd w:id="795"/>
      <w:bookmarkEnd w:id="796"/>
      <w:bookmarkEnd w:id="797"/>
      <w:bookmarkEnd w:id="798"/>
    </w:p>
    <w:p w14:paraId="68F6FA91">
      <w:pPr>
        <w:pStyle w:val="8"/>
        <w:rPr>
          <w:rFonts w:ascii="Times New Roman" w:hAnsi="Times New Roman" w:eastAsia="黑体"/>
          <w:b w:val="0"/>
          <w:bCs w:val="0"/>
          <w:color w:val="auto"/>
          <w:sz w:val="24"/>
          <w:highlight w:val="none"/>
        </w:rPr>
      </w:pPr>
      <w:bookmarkStart w:id="799" w:name="_Toc300678522"/>
      <w:r>
        <w:rPr>
          <w:rFonts w:ascii="Times New Roman" w:hAnsi="Times New Roman" w:eastAsia="黑体"/>
          <w:b w:val="0"/>
          <w:bCs w:val="0"/>
          <w:color w:val="auto"/>
          <w:sz w:val="24"/>
          <w:highlight w:val="none"/>
        </w:rPr>
        <w:t>4.1 质量标准</w:t>
      </w:r>
      <w:bookmarkEnd w:id="799"/>
    </w:p>
    <w:p w14:paraId="5B587315">
      <w:pPr>
        <w:spacing w:line="360" w:lineRule="auto"/>
        <w:ind w:firstLine="420" w:firstLineChars="200"/>
        <w:rPr>
          <w:color w:val="auto"/>
          <w:szCs w:val="21"/>
          <w:highlight w:val="none"/>
        </w:rPr>
      </w:pPr>
      <w:r>
        <w:rPr>
          <w:color w:val="auto"/>
          <w:szCs w:val="21"/>
          <w:highlight w:val="none"/>
        </w:rPr>
        <w:t>4.1.1 本工程要求的质量标准为符合现行国家有关工程施工验收规范和标准的要求合格。</w:t>
      </w:r>
    </w:p>
    <w:p w14:paraId="797B32C7">
      <w:pPr>
        <w:pStyle w:val="8"/>
        <w:rPr>
          <w:rFonts w:ascii="Times New Roman" w:hAnsi="Times New Roman" w:eastAsia="黑体"/>
          <w:b w:val="0"/>
          <w:bCs w:val="0"/>
          <w:color w:val="auto"/>
          <w:sz w:val="24"/>
          <w:highlight w:val="none"/>
        </w:rPr>
      </w:pPr>
      <w:bookmarkStart w:id="800" w:name="_Toc300678523"/>
      <w:r>
        <w:rPr>
          <w:rFonts w:ascii="Times New Roman" w:hAnsi="Times New Roman" w:eastAsia="黑体"/>
          <w:b w:val="0"/>
          <w:bCs w:val="0"/>
          <w:color w:val="auto"/>
          <w:sz w:val="24"/>
          <w:highlight w:val="none"/>
        </w:rPr>
        <w:t>4.2 特殊质量要求</w:t>
      </w:r>
      <w:bookmarkEnd w:id="800"/>
    </w:p>
    <w:p w14:paraId="7658FECA">
      <w:pPr>
        <w:spacing w:line="360" w:lineRule="auto"/>
        <w:ind w:firstLine="420" w:firstLineChars="200"/>
        <w:rPr>
          <w:color w:val="auto"/>
          <w:szCs w:val="21"/>
          <w:highlight w:val="none"/>
        </w:rPr>
      </w:pPr>
      <w:r>
        <w:rPr>
          <w:color w:val="auto"/>
          <w:szCs w:val="21"/>
          <w:highlight w:val="none"/>
        </w:rPr>
        <w:t>4.2.1 有关本工程质量方面的特殊要求如下：</w:t>
      </w:r>
      <w:r>
        <w:rPr>
          <w:color w:val="auto"/>
          <w:szCs w:val="21"/>
          <w:highlight w:val="none"/>
          <w:u w:val="single"/>
        </w:rPr>
        <w:t xml:space="preserve">     </w:t>
      </w:r>
      <w:r>
        <w:rPr>
          <w:color w:val="auto"/>
          <w:szCs w:val="21"/>
          <w:highlight w:val="none"/>
        </w:rPr>
        <w:t>。</w:t>
      </w:r>
    </w:p>
    <w:p w14:paraId="1202BCF9">
      <w:pPr>
        <w:pStyle w:val="7"/>
        <w:keepNext/>
        <w:keepLines/>
        <w:widowControl w:val="0"/>
        <w:jc w:val="left"/>
        <w:rPr>
          <w:rFonts w:eastAsia="黑体"/>
          <w:b w:val="0"/>
          <w:bCs w:val="0"/>
          <w:color w:val="auto"/>
          <w:sz w:val="28"/>
          <w:szCs w:val="28"/>
          <w:highlight w:val="none"/>
        </w:rPr>
      </w:pPr>
      <w:bookmarkStart w:id="801" w:name="_Toc79998415"/>
      <w:bookmarkStart w:id="802" w:name="_Toc9178556"/>
      <w:bookmarkStart w:id="803" w:name="_Toc80006239"/>
      <w:bookmarkStart w:id="804" w:name="_Toc80006129"/>
      <w:bookmarkStart w:id="805" w:name="_Toc300678524"/>
      <w:bookmarkStart w:id="806" w:name="_Toc79998859"/>
      <w:r>
        <w:rPr>
          <w:rFonts w:eastAsia="黑体"/>
          <w:b w:val="0"/>
          <w:bCs w:val="0"/>
          <w:color w:val="auto"/>
          <w:sz w:val="28"/>
          <w:szCs w:val="28"/>
          <w:highlight w:val="none"/>
        </w:rPr>
        <w:t>5.适用规范和标准</w:t>
      </w:r>
      <w:bookmarkEnd w:id="801"/>
      <w:bookmarkEnd w:id="802"/>
      <w:bookmarkEnd w:id="803"/>
      <w:bookmarkEnd w:id="804"/>
      <w:bookmarkEnd w:id="805"/>
      <w:bookmarkEnd w:id="806"/>
    </w:p>
    <w:p w14:paraId="2E0B1FF8">
      <w:pPr>
        <w:pStyle w:val="8"/>
        <w:rPr>
          <w:rFonts w:ascii="Times New Roman" w:hAnsi="Times New Roman" w:eastAsia="黑体"/>
          <w:b w:val="0"/>
          <w:bCs w:val="0"/>
          <w:color w:val="auto"/>
          <w:sz w:val="24"/>
          <w:highlight w:val="none"/>
        </w:rPr>
      </w:pPr>
      <w:bookmarkStart w:id="807" w:name="_Toc300678525"/>
      <w:r>
        <w:rPr>
          <w:rFonts w:ascii="Times New Roman" w:hAnsi="Times New Roman" w:eastAsia="黑体"/>
          <w:b w:val="0"/>
          <w:bCs w:val="0"/>
          <w:color w:val="auto"/>
          <w:sz w:val="24"/>
          <w:highlight w:val="none"/>
        </w:rPr>
        <w:t>5.1 适用的规范、标准和规程</w:t>
      </w:r>
      <w:bookmarkEnd w:id="807"/>
    </w:p>
    <w:p w14:paraId="4C9279A9">
      <w:pPr>
        <w:spacing w:line="360" w:lineRule="auto"/>
        <w:ind w:firstLine="420" w:firstLineChars="200"/>
        <w:rPr>
          <w:color w:val="auto"/>
          <w:szCs w:val="21"/>
          <w:highlight w:val="none"/>
        </w:rPr>
      </w:pPr>
      <w:r>
        <w:rPr>
          <w:color w:val="auto"/>
          <w:szCs w:val="21"/>
          <w:highlight w:val="none"/>
        </w:rPr>
        <w:t>5.1.1 除合同另有约定外，本工程适用现行国家、行业和地方规范、标准和规程。适用于本工程的国家、行业和地方的规范、标准和规范等的名录见本章第三节。</w:t>
      </w:r>
    </w:p>
    <w:p w14:paraId="0D22C653">
      <w:pPr>
        <w:spacing w:line="360" w:lineRule="auto"/>
        <w:ind w:firstLine="420" w:firstLineChars="200"/>
        <w:rPr>
          <w:color w:val="auto"/>
          <w:szCs w:val="21"/>
          <w:highlight w:val="none"/>
        </w:rPr>
      </w:pPr>
      <w:r>
        <w:rPr>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14:paraId="0BD01359">
      <w:pPr>
        <w:spacing w:line="360" w:lineRule="auto"/>
        <w:ind w:firstLine="420" w:firstLineChars="200"/>
        <w:rPr>
          <w:color w:val="auto"/>
          <w:szCs w:val="21"/>
          <w:highlight w:val="none"/>
        </w:rPr>
      </w:pPr>
      <w:r>
        <w:rPr>
          <w:color w:val="auto"/>
          <w:szCs w:val="21"/>
          <w:highlight w:val="none"/>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14:paraId="73F56109">
      <w:pPr>
        <w:pStyle w:val="8"/>
        <w:ind w:firstLine="480" w:firstLineChars="200"/>
        <w:rPr>
          <w:rFonts w:ascii="Times New Roman" w:hAnsi="Times New Roman" w:eastAsia="黑体"/>
          <w:b w:val="0"/>
          <w:bCs w:val="0"/>
          <w:color w:val="auto"/>
          <w:sz w:val="24"/>
          <w:highlight w:val="none"/>
        </w:rPr>
      </w:pPr>
      <w:bookmarkStart w:id="808" w:name="_Toc300678526"/>
      <w:r>
        <w:rPr>
          <w:rFonts w:ascii="Times New Roman" w:hAnsi="Times New Roman" w:eastAsia="黑体"/>
          <w:b w:val="0"/>
          <w:bCs w:val="0"/>
          <w:color w:val="auto"/>
          <w:sz w:val="24"/>
          <w:highlight w:val="none"/>
        </w:rPr>
        <w:t>5.2 特殊技术标准和要求</w:t>
      </w:r>
      <w:bookmarkEnd w:id="808"/>
    </w:p>
    <w:p w14:paraId="2B0D9B25">
      <w:pPr>
        <w:spacing w:line="360" w:lineRule="auto"/>
        <w:ind w:firstLine="420" w:firstLineChars="200"/>
        <w:rPr>
          <w:color w:val="auto"/>
          <w:szCs w:val="21"/>
          <w:highlight w:val="none"/>
        </w:rPr>
      </w:pPr>
      <w:r>
        <w:rPr>
          <w:color w:val="auto"/>
          <w:szCs w:val="21"/>
          <w:highlight w:val="none"/>
        </w:rPr>
        <w:t>5.2.1 适用本工程的特殊技术标准和要求见本章第二节。</w:t>
      </w:r>
    </w:p>
    <w:p w14:paraId="522550EE">
      <w:pPr>
        <w:spacing w:line="360" w:lineRule="auto"/>
        <w:ind w:firstLine="420" w:firstLineChars="200"/>
        <w:rPr>
          <w:color w:val="auto"/>
          <w:szCs w:val="21"/>
          <w:highlight w:val="none"/>
        </w:rPr>
      </w:pPr>
      <w:r>
        <w:rPr>
          <w:color w:val="auto"/>
          <w:szCs w:val="21"/>
          <w:highlight w:val="none"/>
        </w:rPr>
        <w:t>5.2.2 有合同约束力的图纸和其他设计文件中的有关文字说明是本节的组成内容。</w:t>
      </w:r>
    </w:p>
    <w:p w14:paraId="499506B7">
      <w:pPr>
        <w:pStyle w:val="7"/>
        <w:keepNext/>
        <w:keepLines/>
        <w:widowControl w:val="0"/>
        <w:jc w:val="left"/>
        <w:rPr>
          <w:rFonts w:eastAsia="黑体"/>
          <w:b w:val="0"/>
          <w:bCs w:val="0"/>
          <w:color w:val="auto"/>
          <w:sz w:val="28"/>
          <w:szCs w:val="28"/>
          <w:highlight w:val="none"/>
        </w:rPr>
      </w:pPr>
      <w:bookmarkStart w:id="809" w:name="_Toc300678527"/>
      <w:bookmarkStart w:id="810" w:name="_Toc79998416"/>
      <w:bookmarkStart w:id="811" w:name="_Toc79998860"/>
      <w:bookmarkStart w:id="812" w:name="_Toc80006130"/>
      <w:bookmarkStart w:id="813" w:name="_Toc80006240"/>
      <w:bookmarkStart w:id="814" w:name="_Toc9178557"/>
      <w:r>
        <w:rPr>
          <w:rFonts w:eastAsia="黑体"/>
          <w:b w:val="0"/>
          <w:bCs w:val="0"/>
          <w:color w:val="auto"/>
          <w:sz w:val="28"/>
          <w:szCs w:val="28"/>
          <w:highlight w:val="none"/>
        </w:rPr>
        <w:t>6.安全文明施工</w:t>
      </w:r>
      <w:bookmarkEnd w:id="809"/>
      <w:bookmarkEnd w:id="810"/>
      <w:bookmarkEnd w:id="811"/>
      <w:bookmarkEnd w:id="812"/>
      <w:bookmarkEnd w:id="813"/>
      <w:bookmarkEnd w:id="814"/>
    </w:p>
    <w:p w14:paraId="30023266">
      <w:pPr>
        <w:pStyle w:val="8"/>
        <w:rPr>
          <w:rFonts w:ascii="Times New Roman" w:hAnsi="Times New Roman" w:eastAsia="黑体"/>
          <w:b w:val="0"/>
          <w:bCs w:val="0"/>
          <w:color w:val="auto"/>
          <w:sz w:val="24"/>
          <w:highlight w:val="none"/>
        </w:rPr>
      </w:pPr>
      <w:bookmarkStart w:id="815" w:name="_Toc300678528"/>
      <w:r>
        <w:rPr>
          <w:rFonts w:ascii="Times New Roman" w:hAnsi="Times New Roman" w:eastAsia="黑体"/>
          <w:b w:val="0"/>
          <w:bCs w:val="0"/>
          <w:color w:val="auto"/>
          <w:sz w:val="24"/>
          <w:highlight w:val="none"/>
        </w:rPr>
        <w:t>6.1 安全防护</w:t>
      </w:r>
      <w:bookmarkEnd w:id="815"/>
    </w:p>
    <w:p w14:paraId="3124BF6E">
      <w:pPr>
        <w:spacing w:line="360" w:lineRule="auto"/>
        <w:ind w:firstLine="420" w:firstLineChars="200"/>
        <w:rPr>
          <w:color w:val="auto"/>
          <w:szCs w:val="21"/>
          <w:highlight w:val="none"/>
        </w:rPr>
      </w:pPr>
      <w:r>
        <w:rPr>
          <w:color w:val="auto"/>
          <w:szCs w:val="21"/>
          <w:highlight w:val="none"/>
        </w:rPr>
        <w:t>6.1.1 在工程施工、竣工、交付及修补任何缺陷的过程中，承包人应当始终遵守国家和地方有关安全生产的法律、法规、规范、标准和规程等，按照合同条款的约定履行其安全施工职责。</w:t>
      </w:r>
    </w:p>
    <w:p w14:paraId="58B90F2B">
      <w:pPr>
        <w:spacing w:line="360" w:lineRule="auto"/>
        <w:ind w:firstLine="420" w:firstLineChars="200"/>
        <w:rPr>
          <w:color w:val="auto"/>
          <w:szCs w:val="21"/>
          <w:highlight w:val="none"/>
        </w:rPr>
      </w:pPr>
      <w:r>
        <w:rPr>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14:paraId="1885A5D4">
      <w:pPr>
        <w:spacing w:line="360" w:lineRule="auto"/>
        <w:ind w:firstLine="420" w:firstLineChars="200"/>
        <w:rPr>
          <w:color w:val="auto"/>
          <w:szCs w:val="21"/>
          <w:highlight w:val="none"/>
        </w:rPr>
      </w:pPr>
      <w:r>
        <w:rPr>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14:paraId="5B109639">
      <w:pPr>
        <w:spacing w:line="360" w:lineRule="auto"/>
        <w:ind w:firstLine="420" w:firstLineChars="200"/>
        <w:rPr>
          <w:color w:val="auto"/>
          <w:szCs w:val="21"/>
          <w:highlight w:val="none"/>
        </w:rPr>
      </w:pPr>
      <w:r>
        <w:rPr>
          <w:color w:val="auto"/>
          <w:szCs w:val="21"/>
          <w:highlight w:val="none"/>
        </w:rPr>
        <w:t>（2）为确保工程安全施工须设立的足够的标志、宣传画、标语、指示牌、警告牌、火警、匪警和急救电话提示牌等等；</w:t>
      </w:r>
    </w:p>
    <w:p w14:paraId="688DC01C">
      <w:pPr>
        <w:spacing w:line="360" w:lineRule="auto"/>
        <w:ind w:firstLine="420" w:firstLineChars="200"/>
        <w:rPr>
          <w:color w:val="auto"/>
          <w:szCs w:val="21"/>
          <w:highlight w:val="none"/>
        </w:rPr>
      </w:pPr>
      <w:r>
        <w:rPr>
          <w:color w:val="auto"/>
          <w:szCs w:val="21"/>
          <w:highlight w:val="none"/>
        </w:rPr>
        <w:t>（3）洞口和临边位置的安全防护设施，包括护身栏杆、脚手架、洞口盖板和加筋、竖井防护栏杆、防护棚、防护网、坡道等等；</w:t>
      </w:r>
    </w:p>
    <w:p w14:paraId="378D7156">
      <w:pPr>
        <w:spacing w:line="360" w:lineRule="auto"/>
        <w:ind w:firstLine="420" w:firstLineChars="200"/>
        <w:rPr>
          <w:color w:val="auto"/>
          <w:szCs w:val="21"/>
          <w:highlight w:val="none"/>
        </w:rPr>
      </w:pPr>
      <w:r>
        <w:rPr>
          <w:color w:val="auto"/>
          <w:szCs w:val="21"/>
          <w:highlight w:val="none"/>
        </w:rPr>
        <w:t>（4）安全带、安全绳、安全帽、安全网、绝缘鞋、绝缘手套、防护口罩和防护衣等安全生产用品；</w:t>
      </w:r>
    </w:p>
    <w:p w14:paraId="6BE43D27">
      <w:pPr>
        <w:spacing w:line="360" w:lineRule="auto"/>
        <w:ind w:firstLine="420" w:firstLineChars="200"/>
        <w:rPr>
          <w:color w:val="auto"/>
          <w:szCs w:val="21"/>
          <w:highlight w:val="none"/>
        </w:rPr>
      </w:pPr>
      <w:r>
        <w:rPr>
          <w:color w:val="auto"/>
          <w:szCs w:val="21"/>
          <w:highlight w:val="none"/>
        </w:rPr>
        <w:t>（5）所有机械设备包括各类电动工具的安全保护和接地装置和操作说明；</w:t>
      </w:r>
    </w:p>
    <w:p w14:paraId="202B687E">
      <w:pPr>
        <w:spacing w:line="360" w:lineRule="auto"/>
        <w:ind w:firstLine="420" w:firstLineChars="200"/>
        <w:rPr>
          <w:color w:val="auto"/>
          <w:szCs w:val="21"/>
          <w:highlight w:val="none"/>
        </w:rPr>
      </w:pPr>
      <w:r>
        <w:rPr>
          <w:color w:val="auto"/>
          <w:szCs w:val="21"/>
          <w:highlight w:val="none"/>
        </w:rPr>
        <w:t>（6）装备良好的临时急救站和配备称职的医护人员；</w:t>
      </w:r>
    </w:p>
    <w:p w14:paraId="7D0E4762">
      <w:pPr>
        <w:spacing w:line="360" w:lineRule="auto"/>
        <w:ind w:firstLine="420" w:firstLineChars="200"/>
        <w:rPr>
          <w:color w:val="auto"/>
          <w:szCs w:val="21"/>
          <w:highlight w:val="none"/>
        </w:rPr>
      </w:pPr>
      <w:r>
        <w:rPr>
          <w:color w:val="auto"/>
          <w:szCs w:val="21"/>
          <w:highlight w:val="none"/>
        </w:rPr>
        <w:t>（7）主要作业场所和临时安全疏散通道24小时36伏安全照明和必要的警示等以防止各种可能的事故；</w:t>
      </w:r>
    </w:p>
    <w:p w14:paraId="5B3EFEDF">
      <w:pPr>
        <w:spacing w:line="360" w:lineRule="auto"/>
        <w:ind w:firstLine="420" w:firstLineChars="200"/>
        <w:rPr>
          <w:color w:val="auto"/>
          <w:szCs w:val="21"/>
          <w:highlight w:val="none"/>
        </w:rPr>
      </w:pPr>
      <w:r>
        <w:rPr>
          <w:color w:val="auto"/>
          <w:szCs w:val="21"/>
          <w:highlight w:val="none"/>
        </w:rPr>
        <w:t>（8）足够数量的和合格的手提灭火器；</w:t>
      </w:r>
    </w:p>
    <w:p w14:paraId="330A36BF">
      <w:pPr>
        <w:spacing w:line="360" w:lineRule="auto"/>
        <w:ind w:firstLine="420" w:firstLineChars="200"/>
        <w:rPr>
          <w:color w:val="auto"/>
          <w:szCs w:val="21"/>
          <w:highlight w:val="none"/>
        </w:rPr>
      </w:pPr>
      <w:r>
        <w:rPr>
          <w:color w:val="auto"/>
          <w:szCs w:val="21"/>
          <w:highlight w:val="none"/>
        </w:rPr>
        <w:t>（9）装备良好的易燃易爆物品仓库和相应的使用管理制度；</w:t>
      </w:r>
    </w:p>
    <w:p w14:paraId="3DFF8EDC">
      <w:pPr>
        <w:spacing w:line="360" w:lineRule="auto"/>
        <w:ind w:firstLine="420" w:firstLineChars="200"/>
        <w:rPr>
          <w:color w:val="auto"/>
          <w:szCs w:val="21"/>
          <w:highlight w:val="none"/>
        </w:rPr>
      </w:pPr>
      <w:r>
        <w:rPr>
          <w:color w:val="auto"/>
          <w:szCs w:val="21"/>
          <w:highlight w:val="none"/>
        </w:rPr>
        <w:t>（10）对涉及明火施工的工作制定诸如用火证等的管理制度；</w:t>
      </w:r>
    </w:p>
    <w:p w14:paraId="1AC2C947">
      <w:pPr>
        <w:spacing w:line="360" w:lineRule="auto"/>
        <w:ind w:firstLine="420" w:firstLineChars="200"/>
        <w:rPr>
          <w:color w:val="auto"/>
          <w:szCs w:val="21"/>
          <w:highlight w:val="none"/>
        </w:rPr>
      </w:pPr>
      <w:r>
        <w:rPr>
          <w:color w:val="auto"/>
          <w:szCs w:val="21"/>
          <w:highlight w:val="none"/>
        </w:rPr>
        <w:t>（11）其他：</w:t>
      </w:r>
      <w:r>
        <w:rPr>
          <w:color w:val="auto"/>
          <w:szCs w:val="21"/>
          <w:highlight w:val="none"/>
          <w:u w:val="single"/>
        </w:rPr>
        <w:t xml:space="preserve">                               </w:t>
      </w:r>
      <w:r>
        <w:rPr>
          <w:color w:val="auto"/>
          <w:szCs w:val="21"/>
          <w:highlight w:val="none"/>
        </w:rPr>
        <w:t>。</w:t>
      </w:r>
    </w:p>
    <w:p w14:paraId="1BF644F5">
      <w:pPr>
        <w:spacing w:line="360" w:lineRule="auto"/>
        <w:ind w:firstLine="420" w:firstLineChars="200"/>
        <w:rPr>
          <w:color w:val="auto"/>
          <w:szCs w:val="21"/>
          <w:highlight w:val="none"/>
        </w:rPr>
      </w:pPr>
      <w:r>
        <w:rPr>
          <w:color w:val="auto"/>
          <w:szCs w:val="21"/>
          <w:highlight w:val="none"/>
        </w:rPr>
        <w:t>6.1.3 安全文明施工费用必须专款专用，承包人应对其由于安全文明施工费用和施工安全措施不到位而发生的安全事故承担全部责任。</w:t>
      </w:r>
    </w:p>
    <w:p w14:paraId="6CA599DD">
      <w:pPr>
        <w:spacing w:line="360" w:lineRule="auto"/>
        <w:ind w:firstLine="420" w:firstLineChars="200"/>
        <w:rPr>
          <w:color w:val="auto"/>
          <w:szCs w:val="21"/>
          <w:highlight w:val="none"/>
        </w:rPr>
      </w:pPr>
      <w:r>
        <w:rPr>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342DE39D">
      <w:pPr>
        <w:spacing w:line="360" w:lineRule="auto"/>
        <w:ind w:firstLine="420" w:firstLineChars="200"/>
        <w:rPr>
          <w:color w:val="auto"/>
          <w:szCs w:val="21"/>
          <w:highlight w:val="none"/>
        </w:rPr>
      </w:pPr>
      <w:r>
        <w:rPr>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45089532">
      <w:pPr>
        <w:spacing w:line="360" w:lineRule="auto"/>
        <w:ind w:firstLine="420" w:firstLineChars="200"/>
        <w:rPr>
          <w:color w:val="auto"/>
          <w:szCs w:val="21"/>
          <w:highlight w:val="none"/>
        </w:rPr>
      </w:pPr>
      <w:r>
        <w:rPr>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525035A3">
      <w:pPr>
        <w:spacing w:line="360" w:lineRule="auto"/>
        <w:ind w:firstLine="420" w:firstLineChars="200"/>
        <w:rPr>
          <w:color w:val="auto"/>
          <w:szCs w:val="21"/>
          <w:highlight w:val="none"/>
        </w:rPr>
      </w:pPr>
      <w:r>
        <w:rPr>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65158677">
      <w:pPr>
        <w:spacing w:line="360" w:lineRule="auto"/>
        <w:ind w:firstLine="420" w:firstLineChars="200"/>
        <w:rPr>
          <w:color w:val="auto"/>
          <w:szCs w:val="21"/>
          <w:highlight w:val="none"/>
        </w:rPr>
      </w:pPr>
      <w:r>
        <w:rPr>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268F4D05">
      <w:pPr>
        <w:spacing w:line="360" w:lineRule="auto"/>
        <w:ind w:firstLine="420" w:firstLineChars="200"/>
        <w:rPr>
          <w:color w:val="auto"/>
          <w:szCs w:val="21"/>
          <w:highlight w:val="none"/>
        </w:rPr>
      </w:pPr>
      <w:r>
        <w:rPr>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521407A9">
      <w:pPr>
        <w:spacing w:line="360" w:lineRule="auto"/>
        <w:ind w:firstLine="420" w:firstLineChars="200"/>
        <w:rPr>
          <w:color w:val="auto"/>
          <w:szCs w:val="21"/>
          <w:highlight w:val="none"/>
        </w:rPr>
      </w:pPr>
      <w:r>
        <w:rPr>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5C7E280E">
      <w:pPr>
        <w:spacing w:line="360" w:lineRule="auto"/>
        <w:ind w:firstLine="420" w:firstLineChars="200"/>
        <w:rPr>
          <w:color w:val="auto"/>
          <w:szCs w:val="21"/>
          <w:highlight w:val="none"/>
        </w:rPr>
      </w:pPr>
      <w:r>
        <w:rPr>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29EE2F8B">
      <w:pPr>
        <w:spacing w:line="360" w:lineRule="auto"/>
        <w:ind w:firstLine="420" w:firstLineChars="200"/>
        <w:rPr>
          <w:color w:val="auto"/>
          <w:szCs w:val="21"/>
          <w:highlight w:val="none"/>
        </w:rPr>
      </w:pPr>
      <w:r>
        <w:rPr>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15AC4449">
      <w:pPr>
        <w:spacing w:line="360" w:lineRule="auto"/>
        <w:ind w:firstLine="420" w:firstLineChars="200"/>
        <w:rPr>
          <w:color w:val="auto"/>
          <w:szCs w:val="21"/>
          <w:highlight w:val="none"/>
        </w:rPr>
      </w:pPr>
      <w:r>
        <w:rPr>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4A1C10E7">
      <w:pPr>
        <w:spacing w:line="360" w:lineRule="auto"/>
        <w:ind w:firstLine="420" w:firstLineChars="200"/>
        <w:rPr>
          <w:color w:val="auto"/>
          <w:szCs w:val="21"/>
          <w:highlight w:val="none"/>
        </w:rPr>
      </w:pPr>
      <w:r>
        <w:rPr>
          <w:color w:val="auto"/>
          <w:szCs w:val="21"/>
          <w:highlight w:val="none"/>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0B4D8C01">
      <w:pPr>
        <w:spacing w:line="360" w:lineRule="auto"/>
        <w:ind w:firstLine="420" w:firstLineChars="200"/>
        <w:rPr>
          <w:color w:val="auto"/>
          <w:szCs w:val="21"/>
          <w:highlight w:val="none"/>
        </w:rPr>
      </w:pPr>
      <w:r>
        <w:rPr>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6DEA5F38">
      <w:pPr>
        <w:spacing w:line="360" w:lineRule="auto"/>
        <w:ind w:firstLine="420" w:firstLineChars="200"/>
        <w:rPr>
          <w:color w:val="auto"/>
          <w:szCs w:val="21"/>
          <w:highlight w:val="none"/>
        </w:rPr>
      </w:pPr>
      <w:r>
        <w:rPr>
          <w:color w:val="auto"/>
          <w:szCs w:val="21"/>
          <w:highlight w:val="none"/>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62CC00D0">
      <w:pPr>
        <w:spacing w:line="360" w:lineRule="auto"/>
        <w:ind w:firstLine="420" w:firstLineChars="200"/>
        <w:rPr>
          <w:color w:val="auto"/>
          <w:szCs w:val="21"/>
          <w:highlight w:val="none"/>
        </w:rPr>
      </w:pPr>
      <w:r>
        <w:rPr>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14:paraId="19440F80">
      <w:pPr>
        <w:spacing w:line="360" w:lineRule="auto"/>
        <w:ind w:firstLine="420" w:firstLineChars="200"/>
        <w:rPr>
          <w:color w:val="auto"/>
          <w:szCs w:val="21"/>
          <w:highlight w:val="none"/>
        </w:rPr>
      </w:pPr>
      <w:r>
        <w:rPr>
          <w:color w:val="auto"/>
          <w:szCs w:val="21"/>
          <w:highlight w:val="none"/>
        </w:rPr>
        <w:t>6.1.18 安全防护方面的其他要求如下：</w:t>
      </w:r>
      <w:r>
        <w:rPr>
          <w:color w:val="auto"/>
          <w:szCs w:val="21"/>
          <w:highlight w:val="none"/>
          <w:u w:val="single"/>
        </w:rPr>
        <w:t xml:space="preserve">     </w:t>
      </w:r>
      <w:r>
        <w:rPr>
          <w:color w:val="auto"/>
          <w:szCs w:val="21"/>
          <w:highlight w:val="none"/>
        </w:rPr>
        <w:t>。</w:t>
      </w:r>
    </w:p>
    <w:p w14:paraId="55488B49">
      <w:pPr>
        <w:pStyle w:val="8"/>
        <w:rPr>
          <w:rFonts w:ascii="Times New Roman" w:hAnsi="Times New Roman" w:eastAsia="黑体"/>
          <w:b w:val="0"/>
          <w:bCs w:val="0"/>
          <w:color w:val="auto"/>
          <w:sz w:val="24"/>
          <w:highlight w:val="none"/>
        </w:rPr>
      </w:pPr>
      <w:bookmarkStart w:id="816" w:name="_Toc300678529"/>
      <w:r>
        <w:rPr>
          <w:rFonts w:ascii="Times New Roman" w:hAnsi="Times New Roman" w:eastAsia="黑体"/>
          <w:b w:val="0"/>
          <w:bCs w:val="0"/>
          <w:color w:val="auto"/>
          <w:sz w:val="24"/>
          <w:highlight w:val="none"/>
        </w:rPr>
        <w:t>6.2 临时消防</w:t>
      </w:r>
      <w:bookmarkEnd w:id="816"/>
    </w:p>
    <w:p w14:paraId="143AD1CD">
      <w:pPr>
        <w:spacing w:line="360" w:lineRule="auto"/>
        <w:ind w:firstLine="420" w:firstLineChars="200"/>
        <w:rPr>
          <w:color w:val="auto"/>
          <w:szCs w:val="21"/>
          <w:highlight w:val="none"/>
        </w:rPr>
      </w:pPr>
      <w:r>
        <w:rPr>
          <w:color w:val="auto"/>
          <w:szCs w:val="21"/>
          <w:highlight w:val="none"/>
        </w:rPr>
        <w:t>6.2.1 承包人应建立消防安全责任制度，制定用火、用电和使用易燃易爆等危险品的消防安全管理制度和操作规程。各项制度和规程等应满足相关法律法规和政府消防管理机构的要求。</w:t>
      </w:r>
    </w:p>
    <w:p w14:paraId="07E79A84">
      <w:pPr>
        <w:spacing w:line="360" w:lineRule="auto"/>
        <w:ind w:firstLine="420" w:firstLineChars="200"/>
        <w:rPr>
          <w:color w:val="auto"/>
          <w:szCs w:val="21"/>
          <w:highlight w:val="none"/>
        </w:rPr>
      </w:pPr>
      <w:r>
        <w:rPr>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611E571F">
      <w:pPr>
        <w:spacing w:line="360" w:lineRule="auto"/>
        <w:ind w:firstLine="420" w:firstLineChars="200"/>
        <w:rPr>
          <w:color w:val="auto"/>
          <w:szCs w:val="21"/>
          <w:highlight w:val="none"/>
        </w:rPr>
      </w:pPr>
      <w:r>
        <w:rPr>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14:paraId="5D388DE2">
      <w:pPr>
        <w:spacing w:line="360" w:lineRule="auto"/>
        <w:ind w:firstLine="420" w:firstLineChars="200"/>
        <w:rPr>
          <w:color w:val="auto"/>
          <w:szCs w:val="21"/>
          <w:highlight w:val="none"/>
        </w:rPr>
      </w:pPr>
      <w:r>
        <w:rPr>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14:paraId="30EBC3F6">
      <w:pPr>
        <w:spacing w:line="360" w:lineRule="auto"/>
        <w:ind w:firstLine="424" w:firstLineChars="202"/>
        <w:rPr>
          <w:color w:val="auto"/>
          <w:szCs w:val="21"/>
          <w:highlight w:val="none"/>
        </w:rPr>
      </w:pPr>
      <w:r>
        <w:rPr>
          <w:color w:val="auto"/>
          <w:szCs w:val="21"/>
          <w:highlight w:val="none"/>
        </w:rPr>
        <w:t>6.2.5 临时消防方面的其他要求如下：</w:t>
      </w:r>
      <w:r>
        <w:rPr>
          <w:color w:val="auto"/>
          <w:szCs w:val="21"/>
          <w:highlight w:val="none"/>
          <w:u w:val="single"/>
        </w:rPr>
        <w:t xml:space="preserve">     </w:t>
      </w:r>
      <w:r>
        <w:rPr>
          <w:color w:val="auto"/>
          <w:szCs w:val="21"/>
          <w:highlight w:val="none"/>
        </w:rPr>
        <w:t>。</w:t>
      </w:r>
    </w:p>
    <w:p w14:paraId="63BC50D5">
      <w:pPr>
        <w:pStyle w:val="8"/>
        <w:rPr>
          <w:rFonts w:ascii="Times New Roman" w:hAnsi="Times New Roman" w:eastAsia="黑体"/>
          <w:b w:val="0"/>
          <w:bCs w:val="0"/>
          <w:color w:val="auto"/>
          <w:sz w:val="24"/>
          <w:highlight w:val="none"/>
        </w:rPr>
      </w:pPr>
      <w:bookmarkStart w:id="817" w:name="_Toc300678530"/>
      <w:r>
        <w:rPr>
          <w:rFonts w:ascii="Times New Roman" w:hAnsi="Times New Roman" w:eastAsia="黑体"/>
          <w:b w:val="0"/>
          <w:bCs w:val="0"/>
          <w:color w:val="auto"/>
          <w:sz w:val="24"/>
          <w:highlight w:val="none"/>
        </w:rPr>
        <w:t>6.3 临时供电</w:t>
      </w:r>
      <w:bookmarkEnd w:id="817"/>
    </w:p>
    <w:p w14:paraId="2B697EBA">
      <w:pPr>
        <w:spacing w:line="360" w:lineRule="auto"/>
        <w:ind w:firstLine="420" w:firstLineChars="200"/>
        <w:rPr>
          <w:color w:val="auto"/>
          <w:szCs w:val="21"/>
          <w:highlight w:val="none"/>
        </w:rPr>
      </w:pPr>
      <w:r>
        <w:rPr>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0BE4193A">
      <w:pPr>
        <w:spacing w:line="360" w:lineRule="auto"/>
        <w:ind w:firstLine="420" w:firstLineChars="200"/>
        <w:rPr>
          <w:color w:val="auto"/>
          <w:szCs w:val="21"/>
          <w:highlight w:val="none"/>
        </w:rPr>
      </w:pPr>
      <w:r>
        <w:rPr>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0035D263">
      <w:pPr>
        <w:spacing w:line="360" w:lineRule="auto"/>
        <w:ind w:firstLine="420" w:firstLineChars="200"/>
        <w:rPr>
          <w:color w:val="auto"/>
          <w:szCs w:val="21"/>
          <w:highlight w:val="none"/>
        </w:rPr>
      </w:pPr>
      <w:r>
        <w:rPr>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5E581720">
      <w:pPr>
        <w:spacing w:line="360" w:lineRule="auto"/>
        <w:ind w:firstLine="420" w:firstLineChars="200"/>
        <w:rPr>
          <w:color w:val="auto"/>
          <w:szCs w:val="21"/>
          <w:highlight w:val="none"/>
        </w:rPr>
      </w:pPr>
      <w:r>
        <w:rPr>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6BA237C3">
      <w:pPr>
        <w:spacing w:line="360" w:lineRule="auto"/>
        <w:ind w:firstLine="420" w:firstLineChars="200"/>
        <w:rPr>
          <w:color w:val="auto"/>
          <w:szCs w:val="21"/>
          <w:highlight w:val="none"/>
        </w:rPr>
      </w:pPr>
      <w:r>
        <w:rPr>
          <w:color w:val="auto"/>
          <w:szCs w:val="21"/>
          <w:highlight w:val="none"/>
        </w:rPr>
        <w:t>6.3.5 凡可能漏电伤人或易受雷击的电器及建筑物均应设置接地和避雷装置。承包人应负责避雷装置的采购、安装、管理和维修，并建立定期检查制度。</w:t>
      </w:r>
    </w:p>
    <w:p w14:paraId="72AB1996">
      <w:pPr>
        <w:spacing w:line="360" w:lineRule="auto"/>
        <w:ind w:firstLine="424" w:firstLineChars="202"/>
        <w:rPr>
          <w:color w:val="auto"/>
          <w:szCs w:val="21"/>
          <w:highlight w:val="none"/>
        </w:rPr>
      </w:pPr>
      <w:r>
        <w:rPr>
          <w:color w:val="auto"/>
          <w:szCs w:val="21"/>
          <w:highlight w:val="none"/>
        </w:rPr>
        <w:t>6.3.6 临时用电方面的其他要求如下：</w:t>
      </w:r>
      <w:r>
        <w:rPr>
          <w:color w:val="auto"/>
          <w:szCs w:val="21"/>
          <w:highlight w:val="none"/>
          <w:u w:val="single"/>
        </w:rPr>
        <w:t xml:space="preserve">     </w:t>
      </w:r>
      <w:r>
        <w:rPr>
          <w:color w:val="auto"/>
          <w:szCs w:val="21"/>
          <w:highlight w:val="none"/>
        </w:rPr>
        <w:t>。</w:t>
      </w:r>
    </w:p>
    <w:p w14:paraId="2A0327AF">
      <w:pPr>
        <w:pStyle w:val="8"/>
        <w:rPr>
          <w:rFonts w:ascii="Times New Roman" w:hAnsi="Times New Roman" w:eastAsia="黑体"/>
          <w:b w:val="0"/>
          <w:bCs w:val="0"/>
          <w:color w:val="auto"/>
          <w:sz w:val="24"/>
          <w:highlight w:val="none"/>
        </w:rPr>
      </w:pPr>
      <w:bookmarkStart w:id="818" w:name="_Toc300678531"/>
      <w:r>
        <w:rPr>
          <w:rFonts w:ascii="Times New Roman" w:hAnsi="Times New Roman" w:eastAsia="黑体"/>
          <w:b w:val="0"/>
          <w:bCs w:val="0"/>
          <w:color w:val="auto"/>
          <w:sz w:val="24"/>
          <w:highlight w:val="none"/>
        </w:rPr>
        <w:t>6.4 劳动保护</w:t>
      </w:r>
      <w:bookmarkEnd w:id="818"/>
    </w:p>
    <w:p w14:paraId="5E829F20">
      <w:pPr>
        <w:spacing w:line="360" w:lineRule="auto"/>
        <w:ind w:firstLine="420" w:firstLineChars="200"/>
        <w:rPr>
          <w:color w:val="auto"/>
          <w:szCs w:val="21"/>
          <w:highlight w:val="none"/>
        </w:rPr>
      </w:pPr>
      <w:r>
        <w:rPr>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71E7E123">
      <w:pPr>
        <w:spacing w:line="360" w:lineRule="auto"/>
        <w:ind w:firstLine="420" w:firstLineChars="200"/>
        <w:rPr>
          <w:color w:val="auto"/>
          <w:szCs w:val="21"/>
          <w:highlight w:val="none"/>
        </w:rPr>
      </w:pPr>
      <w:r>
        <w:rPr>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12D22869">
      <w:pPr>
        <w:spacing w:line="360" w:lineRule="auto"/>
        <w:ind w:firstLine="420" w:firstLineChars="200"/>
        <w:rPr>
          <w:color w:val="auto"/>
          <w:szCs w:val="21"/>
          <w:highlight w:val="none"/>
        </w:rPr>
      </w:pPr>
      <w:r>
        <w:rPr>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25492752">
      <w:pPr>
        <w:spacing w:line="360" w:lineRule="auto"/>
        <w:ind w:firstLine="420" w:firstLineChars="200"/>
        <w:rPr>
          <w:color w:val="auto"/>
          <w:szCs w:val="21"/>
          <w:highlight w:val="none"/>
        </w:rPr>
      </w:pPr>
      <w:r>
        <w:rPr>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6F3D09A">
      <w:pPr>
        <w:spacing w:line="360" w:lineRule="auto"/>
        <w:ind w:firstLine="420" w:firstLineChars="200"/>
        <w:rPr>
          <w:color w:val="auto"/>
          <w:szCs w:val="21"/>
          <w:highlight w:val="none"/>
        </w:rPr>
      </w:pPr>
      <w:r>
        <w:rPr>
          <w:color w:val="auto"/>
          <w:szCs w:val="21"/>
          <w:highlight w:val="none"/>
        </w:rPr>
        <w:t>6.4.5 承包人应在现场设立专门的临时医疗站，配备足够的设施、药物和称职的医务人员，承包人还应准备急救担架，用于一旦发生安全事故时对受伤人员的急救。</w:t>
      </w:r>
    </w:p>
    <w:p w14:paraId="4FA13BE7">
      <w:pPr>
        <w:spacing w:line="360" w:lineRule="auto"/>
        <w:ind w:firstLine="420" w:firstLineChars="200"/>
        <w:rPr>
          <w:color w:val="auto"/>
          <w:szCs w:val="21"/>
          <w:highlight w:val="none"/>
        </w:rPr>
      </w:pPr>
      <w:r>
        <w:rPr>
          <w:color w:val="auto"/>
          <w:szCs w:val="21"/>
          <w:highlight w:val="none"/>
        </w:rPr>
        <w:t>6.4.6 劳动保护方面的其他要求如下：</w:t>
      </w:r>
      <w:r>
        <w:rPr>
          <w:color w:val="auto"/>
          <w:szCs w:val="21"/>
          <w:highlight w:val="none"/>
          <w:u w:val="single"/>
        </w:rPr>
        <w:t xml:space="preserve">     </w:t>
      </w:r>
      <w:r>
        <w:rPr>
          <w:color w:val="auto"/>
          <w:szCs w:val="21"/>
          <w:highlight w:val="none"/>
        </w:rPr>
        <w:t>。</w:t>
      </w:r>
    </w:p>
    <w:p w14:paraId="4759032A">
      <w:pPr>
        <w:pStyle w:val="8"/>
        <w:rPr>
          <w:rFonts w:ascii="Times New Roman" w:hAnsi="Times New Roman" w:eastAsia="黑体"/>
          <w:b w:val="0"/>
          <w:bCs w:val="0"/>
          <w:color w:val="auto"/>
          <w:sz w:val="24"/>
          <w:highlight w:val="none"/>
        </w:rPr>
      </w:pPr>
      <w:bookmarkStart w:id="819" w:name="_Toc300678532"/>
      <w:r>
        <w:rPr>
          <w:rFonts w:ascii="Times New Roman" w:hAnsi="Times New Roman" w:eastAsia="黑体"/>
          <w:b w:val="0"/>
          <w:bCs w:val="0"/>
          <w:color w:val="auto"/>
          <w:sz w:val="24"/>
          <w:highlight w:val="none"/>
        </w:rPr>
        <w:t>6.5 脚手架</w:t>
      </w:r>
      <w:bookmarkEnd w:id="819"/>
    </w:p>
    <w:p w14:paraId="5B2F17D9">
      <w:pPr>
        <w:spacing w:line="360" w:lineRule="auto"/>
        <w:ind w:firstLine="420" w:firstLineChars="200"/>
        <w:rPr>
          <w:color w:val="auto"/>
          <w:szCs w:val="21"/>
          <w:highlight w:val="none"/>
        </w:rPr>
      </w:pPr>
      <w:r>
        <w:rPr>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37B0802F">
      <w:pPr>
        <w:spacing w:line="360" w:lineRule="auto"/>
        <w:ind w:firstLine="420" w:firstLineChars="200"/>
        <w:rPr>
          <w:color w:val="auto"/>
          <w:szCs w:val="21"/>
          <w:highlight w:val="none"/>
        </w:rPr>
      </w:pPr>
      <w:r>
        <w:rPr>
          <w:color w:val="auto"/>
          <w:szCs w:val="21"/>
          <w:highlight w:val="none"/>
        </w:rPr>
        <w:t>6.5.2 所有脚手架，尤其是大型、复杂、高耸和非常规脚手架，要编制专项施工方案，还应当经过安全验算，脚手架安全验算结果必须报送监理人核查后方可实施。</w:t>
      </w:r>
    </w:p>
    <w:p w14:paraId="2D5E4564">
      <w:pPr>
        <w:spacing w:line="360" w:lineRule="auto"/>
        <w:ind w:firstLine="420" w:firstLineChars="200"/>
        <w:rPr>
          <w:color w:val="auto"/>
          <w:szCs w:val="21"/>
          <w:highlight w:val="none"/>
        </w:rPr>
      </w:pPr>
      <w:r>
        <w:rPr>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14:paraId="5151279D">
      <w:pPr>
        <w:spacing w:line="360" w:lineRule="auto"/>
        <w:ind w:firstLine="420" w:firstLineChars="200"/>
        <w:rPr>
          <w:color w:val="auto"/>
          <w:szCs w:val="21"/>
          <w:highlight w:val="none"/>
        </w:rPr>
      </w:pPr>
      <w:r>
        <w:rPr>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14:paraId="560B6460">
      <w:pPr>
        <w:spacing w:line="360" w:lineRule="auto"/>
        <w:ind w:firstLine="420" w:firstLineChars="200"/>
        <w:rPr>
          <w:color w:val="auto"/>
          <w:szCs w:val="21"/>
          <w:highlight w:val="none"/>
        </w:rPr>
      </w:pPr>
      <w:r>
        <w:rPr>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202E4A36">
      <w:pPr>
        <w:spacing w:line="360" w:lineRule="auto"/>
        <w:ind w:firstLine="420" w:firstLineChars="200"/>
        <w:rPr>
          <w:color w:val="auto"/>
          <w:szCs w:val="21"/>
          <w:highlight w:val="none"/>
        </w:rPr>
      </w:pPr>
      <w:r>
        <w:rPr>
          <w:color w:val="auto"/>
          <w:szCs w:val="21"/>
          <w:highlight w:val="none"/>
        </w:rPr>
        <w:t>6.5.6 脚手架的其他要求如下：</w:t>
      </w:r>
      <w:r>
        <w:rPr>
          <w:color w:val="auto"/>
          <w:szCs w:val="21"/>
          <w:highlight w:val="none"/>
          <w:u w:val="single"/>
        </w:rPr>
        <w:t xml:space="preserve">     </w:t>
      </w:r>
      <w:r>
        <w:rPr>
          <w:color w:val="auto"/>
          <w:szCs w:val="21"/>
          <w:highlight w:val="none"/>
        </w:rPr>
        <w:t>。</w:t>
      </w:r>
    </w:p>
    <w:p w14:paraId="53FD5CD2">
      <w:pPr>
        <w:pStyle w:val="8"/>
        <w:rPr>
          <w:rFonts w:ascii="Times New Roman" w:hAnsi="Times New Roman" w:eastAsia="黑体"/>
          <w:b w:val="0"/>
          <w:bCs w:val="0"/>
          <w:color w:val="auto"/>
          <w:sz w:val="24"/>
          <w:highlight w:val="none"/>
        </w:rPr>
      </w:pPr>
      <w:bookmarkStart w:id="820" w:name="_Toc300678533"/>
      <w:r>
        <w:rPr>
          <w:rFonts w:ascii="Times New Roman" w:hAnsi="Times New Roman" w:eastAsia="黑体"/>
          <w:b w:val="0"/>
          <w:bCs w:val="0"/>
          <w:color w:val="auto"/>
          <w:sz w:val="24"/>
          <w:highlight w:val="none"/>
        </w:rPr>
        <w:t>6.6 施工安全措施计划</w:t>
      </w:r>
      <w:bookmarkEnd w:id="820"/>
    </w:p>
    <w:p w14:paraId="585EF7AE">
      <w:pPr>
        <w:spacing w:line="360" w:lineRule="auto"/>
        <w:ind w:firstLine="420" w:firstLineChars="200"/>
        <w:rPr>
          <w:color w:val="auto"/>
          <w:szCs w:val="21"/>
          <w:highlight w:val="none"/>
        </w:rPr>
      </w:pPr>
      <w:r>
        <w:rPr>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14:paraId="53AEFA99">
      <w:pPr>
        <w:spacing w:line="360" w:lineRule="auto"/>
        <w:ind w:firstLine="420" w:firstLineChars="200"/>
        <w:rPr>
          <w:color w:val="auto"/>
          <w:szCs w:val="21"/>
          <w:highlight w:val="none"/>
        </w:rPr>
      </w:pPr>
      <w:r>
        <w:rPr>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w:t>
      </w:r>
    </w:p>
    <w:p w14:paraId="64E7370D">
      <w:pPr>
        <w:spacing w:line="360" w:lineRule="auto"/>
        <w:rPr>
          <w:color w:val="auto"/>
          <w:szCs w:val="21"/>
          <w:highlight w:val="none"/>
        </w:rPr>
      </w:pPr>
      <w:r>
        <w:rPr>
          <w:color w:val="auto"/>
          <w:szCs w:val="21"/>
          <w:highlight w:val="none"/>
        </w:rPr>
        <w:t xml:space="preserve">    （1）施工安全管理机构的设置；</w:t>
      </w:r>
    </w:p>
    <w:p w14:paraId="391ED0B0">
      <w:pPr>
        <w:spacing w:line="360" w:lineRule="auto"/>
        <w:rPr>
          <w:color w:val="auto"/>
          <w:szCs w:val="21"/>
          <w:highlight w:val="none"/>
        </w:rPr>
      </w:pPr>
      <w:r>
        <w:rPr>
          <w:color w:val="auto"/>
          <w:szCs w:val="21"/>
          <w:highlight w:val="none"/>
        </w:rPr>
        <w:t xml:space="preserve">    （2）专职安全管理人员的配备；</w:t>
      </w:r>
    </w:p>
    <w:p w14:paraId="6481EA65">
      <w:pPr>
        <w:spacing w:line="360" w:lineRule="auto"/>
        <w:rPr>
          <w:color w:val="auto"/>
          <w:szCs w:val="21"/>
          <w:highlight w:val="none"/>
        </w:rPr>
      </w:pPr>
      <w:r>
        <w:rPr>
          <w:color w:val="auto"/>
          <w:szCs w:val="21"/>
          <w:highlight w:val="none"/>
        </w:rPr>
        <w:t xml:space="preserve">    （3）安全责任制度和管理措施；</w:t>
      </w:r>
    </w:p>
    <w:p w14:paraId="3B93FD7C">
      <w:pPr>
        <w:spacing w:line="360" w:lineRule="auto"/>
        <w:rPr>
          <w:color w:val="auto"/>
          <w:szCs w:val="21"/>
          <w:highlight w:val="none"/>
        </w:rPr>
      </w:pPr>
      <w:r>
        <w:rPr>
          <w:color w:val="auto"/>
          <w:szCs w:val="21"/>
          <w:highlight w:val="none"/>
        </w:rPr>
        <w:t xml:space="preserve">    （4）安全教育和培训制度及管理措施；</w:t>
      </w:r>
    </w:p>
    <w:p w14:paraId="7297DB4A">
      <w:pPr>
        <w:spacing w:line="360" w:lineRule="auto"/>
        <w:rPr>
          <w:color w:val="auto"/>
          <w:szCs w:val="21"/>
          <w:highlight w:val="none"/>
        </w:rPr>
      </w:pPr>
      <w:r>
        <w:rPr>
          <w:color w:val="auto"/>
          <w:szCs w:val="21"/>
          <w:highlight w:val="none"/>
        </w:rPr>
        <w:t xml:space="preserve">    （5）各项安全生产规章制度和操作规程；</w:t>
      </w:r>
    </w:p>
    <w:p w14:paraId="3A3B9EF5">
      <w:pPr>
        <w:spacing w:line="360" w:lineRule="auto"/>
        <w:rPr>
          <w:color w:val="auto"/>
          <w:szCs w:val="21"/>
          <w:highlight w:val="none"/>
        </w:rPr>
      </w:pPr>
      <w:r>
        <w:rPr>
          <w:color w:val="auto"/>
          <w:szCs w:val="21"/>
          <w:highlight w:val="none"/>
        </w:rPr>
        <w:t xml:space="preserve">    （6）各项施工安全措施和防护措施；</w:t>
      </w:r>
    </w:p>
    <w:p w14:paraId="5B5FA3AE">
      <w:pPr>
        <w:spacing w:line="360" w:lineRule="auto"/>
        <w:rPr>
          <w:color w:val="auto"/>
          <w:szCs w:val="21"/>
          <w:highlight w:val="none"/>
        </w:rPr>
      </w:pPr>
      <w:r>
        <w:rPr>
          <w:color w:val="auto"/>
          <w:szCs w:val="21"/>
          <w:highlight w:val="none"/>
        </w:rPr>
        <w:t xml:space="preserve">    （7）危险品管理和使用制度；</w:t>
      </w:r>
    </w:p>
    <w:p w14:paraId="12ECD5D6">
      <w:pPr>
        <w:spacing w:line="360" w:lineRule="auto"/>
        <w:rPr>
          <w:color w:val="auto"/>
          <w:szCs w:val="21"/>
          <w:highlight w:val="none"/>
        </w:rPr>
      </w:pPr>
      <w:r>
        <w:rPr>
          <w:color w:val="auto"/>
          <w:szCs w:val="21"/>
          <w:highlight w:val="none"/>
        </w:rPr>
        <w:t xml:space="preserve">    （8）安全设施、设备、器材和劳动保护用品的配置；</w:t>
      </w:r>
    </w:p>
    <w:p w14:paraId="6E47A5F0">
      <w:pPr>
        <w:spacing w:line="360" w:lineRule="auto"/>
        <w:rPr>
          <w:color w:val="auto"/>
          <w:szCs w:val="21"/>
          <w:highlight w:val="none"/>
        </w:rPr>
      </w:pPr>
      <w:r>
        <w:rPr>
          <w:color w:val="auto"/>
          <w:szCs w:val="21"/>
          <w:highlight w:val="none"/>
        </w:rPr>
        <w:t xml:space="preserve">    （9）其他：</w:t>
      </w:r>
    </w:p>
    <w:p w14:paraId="38E336B6">
      <w:pPr>
        <w:spacing w:line="360" w:lineRule="auto"/>
        <w:ind w:firstLine="420" w:firstLineChars="200"/>
        <w:rPr>
          <w:color w:val="auto"/>
          <w:szCs w:val="21"/>
          <w:highlight w:val="none"/>
        </w:rPr>
      </w:pPr>
      <w:r>
        <w:rPr>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3B50FCEB">
      <w:pPr>
        <w:spacing w:line="360" w:lineRule="auto"/>
        <w:ind w:firstLine="420" w:firstLineChars="200"/>
        <w:rPr>
          <w:color w:val="auto"/>
          <w:szCs w:val="21"/>
          <w:highlight w:val="none"/>
        </w:rPr>
      </w:pPr>
      <w:r>
        <w:rPr>
          <w:color w:val="auto"/>
          <w:szCs w:val="21"/>
          <w:highlight w:val="none"/>
        </w:rPr>
        <w:t>6.6.3 施工安全措施计划应当在合同条款约定的期限内报送监理人。承包人应当严格执行经监理人批准的施工安全措施计划，并及时补充、修订和完善施工安全措施计划，确保安全生产。</w:t>
      </w:r>
    </w:p>
    <w:p w14:paraId="30FD2D94">
      <w:pPr>
        <w:pStyle w:val="8"/>
        <w:rPr>
          <w:rFonts w:ascii="Times New Roman" w:hAnsi="Times New Roman" w:eastAsia="黑体"/>
          <w:b w:val="0"/>
          <w:bCs w:val="0"/>
          <w:color w:val="auto"/>
          <w:sz w:val="24"/>
          <w:highlight w:val="none"/>
        </w:rPr>
      </w:pPr>
      <w:bookmarkStart w:id="821" w:name="_Toc300678534"/>
      <w:r>
        <w:rPr>
          <w:rFonts w:ascii="Times New Roman" w:hAnsi="Times New Roman" w:eastAsia="黑体"/>
          <w:b w:val="0"/>
          <w:bCs w:val="0"/>
          <w:color w:val="auto"/>
          <w:sz w:val="24"/>
          <w:highlight w:val="none"/>
        </w:rPr>
        <w:t>6.7 文明施工</w:t>
      </w:r>
      <w:bookmarkEnd w:id="821"/>
    </w:p>
    <w:p w14:paraId="4FE54A80">
      <w:pPr>
        <w:spacing w:line="360" w:lineRule="auto"/>
        <w:ind w:firstLine="420" w:firstLineChars="200"/>
        <w:rPr>
          <w:color w:val="auto"/>
          <w:szCs w:val="21"/>
          <w:highlight w:val="none"/>
        </w:rPr>
      </w:pPr>
      <w:r>
        <w:rPr>
          <w:color w:val="auto"/>
          <w:szCs w:val="21"/>
          <w:highlight w:val="none"/>
        </w:rPr>
        <w:t>6.7.1 承包人应遵守国家和工程所在地有关法规、规范、规程和标准的规定，履行文明施工义务，确保文明施工专项费用专款专用。</w:t>
      </w:r>
    </w:p>
    <w:p w14:paraId="360796A4">
      <w:pPr>
        <w:spacing w:line="360" w:lineRule="auto"/>
        <w:ind w:firstLine="420" w:firstLineChars="200"/>
        <w:rPr>
          <w:color w:val="auto"/>
          <w:szCs w:val="21"/>
          <w:highlight w:val="none"/>
        </w:rPr>
      </w:pPr>
      <w:r>
        <w:rPr>
          <w:color w:val="auto"/>
          <w:szCs w:val="21"/>
          <w:highlight w:val="none"/>
        </w:rPr>
        <w:t>6.7.2 承包人应当规范现场施工秩序，实行标准化管理：</w:t>
      </w:r>
    </w:p>
    <w:p w14:paraId="20D04541">
      <w:pPr>
        <w:spacing w:line="360" w:lineRule="auto"/>
        <w:ind w:firstLine="420" w:firstLineChars="200"/>
        <w:rPr>
          <w:color w:val="auto"/>
          <w:szCs w:val="21"/>
          <w:highlight w:val="none"/>
        </w:rPr>
      </w:pPr>
      <w:r>
        <w:rPr>
          <w:color w:val="auto"/>
          <w:szCs w:val="21"/>
          <w:highlight w:val="none"/>
        </w:rPr>
        <w:t>（1）承包人的施工场地（现场）必须干净</w:t>
      </w:r>
      <w:r>
        <w:rPr>
          <w:rFonts w:hint="eastAsia"/>
          <w:color w:val="auto"/>
          <w:szCs w:val="21"/>
          <w:highlight w:val="none"/>
          <w:lang w:val="en-US" w:eastAsia="zh-CN"/>
        </w:rPr>
        <w:t>整洁</w:t>
      </w:r>
      <w:r>
        <w:rPr>
          <w:color w:val="auto"/>
          <w:szCs w:val="21"/>
          <w:highlight w:val="none"/>
        </w:rPr>
        <w:t>、做到无积水、无淤泥、无杂物，材料堆放整齐；</w:t>
      </w:r>
    </w:p>
    <w:p w14:paraId="086F340F">
      <w:pPr>
        <w:spacing w:line="360" w:lineRule="auto"/>
        <w:ind w:right="-174" w:rightChars="-83" w:firstLine="420" w:firstLineChars="200"/>
        <w:rPr>
          <w:color w:val="auto"/>
          <w:szCs w:val="21"/>
          <w:highlight w:val="none"/>
        </w:rPr>
      </w:pPr>
      <w:r>
        <w:rPr>
          <w:color w:val="auto"/>
          <w:szCs w:val="21"/>
          <w:highlight w:val="none"/>
        </w:rPr>
        <w:t>（2）施工场地（现场）应进行硬化处理，定期定时洒水，做好防治扬尘和大气污染工作；</w:t>
      </w:r>
    </w:p>
    <w:p w14:paraId="7E87FB20">
      <w:pPr>
        <w:spacing w:line="360" w:lineRule="auto"/>
        <w:ind w:firstLine="420" w:firstLineChars="200"/>
        <w:rPr>
          <w:color w:val="auto"/>
          <w:szCs w:val="21"/>
          <w:highlight w:val="none"/>
        </w:rPr>
      </w:pPr>
      <w:r>
        <w:rPr>
          <w:color w:val="auto"/>
          <w:szCs w:val="21"/>
          <w:highlight w:val="none"/>
        </w:rPr>
        <w:t>（3）严格遵守“工完、料尽、场地净”的原则，不留垃圾、不留剩余施工材料和施工机具，各种设备运转正常；</w:t>
      </w:r>
    </w:p>
    <w:p w14:paraId="31238C77">
      <w:pPr>
        <w:spacing w:line="360" w:lineRule="auto"/>
        <w:ind w:firstLine="420" w:firstLineChars="200"/>
        <w:rPr>
          <w:color w:val="auto"/>
          <w:szCs w:val="21"/>
          <w:highlight w:val="none"/>
        </w:rPr>
      </w:pPr>
      <w:r>
        <w:rPr>
          <w:color w:val="auto"/>
          <w:szCs w:val="21"/>
          <w:highlight w:val="none"/>
        </w:rPr>
        <w:t>（4）承包人修建的施工临时设施应符合监理人批准的施工规划要求，并应满足本节规定的各项安全要求；</w:t>
      </w:r>
    </w:p>
    <w:p w14:paraId="6B152179">
      <w:pPr>
        <w:spacing w:line="360" w:lineRule="auto"/>
        <w:ind w:firstLine="420" w:firstLineChars="200"/>
        <w:rPr>
          <w:color w:val="auto"/>
          <w:szCs w:val="21"/>
          <w:highlight w:val="none"/>
        </w:rPr>
      </w:pPr>
      <w:r>
        <w:rPr>
          <w:color w:val="auto"/>
          <w:szCs w:val="21"/>
          <w:highlight w:val="none"/>
        </w:rPr>
        <w:t>（5）监理人可要求承包人在施工场地（现场）设置各级承包人的安全文明施工责任牌等文明施工警示牌；</w:t>
      </w:r>
    </w:p>
    <w:p w14:paraId="6E90DEC8">
      <w:pPr>
        <w:spacing w:line="360" w:lineRule="auto"/>
        <w:ind w:firstLine="420" w:firstLineChars="200"/>
        <w:rPr>
          <w:color w:val="auto"/>
          <w:szCs w:val="21"/>
          <w:highlight w:val="none"/>
        </w:rPr>
      </w:pPr>
      <w:r>
        <w:rPr>
          <w:color w:val="auto"/>
          <w:szCs w:val="21"/>
          <w:highlight w:val="none"/>
        </w:rPr>
        <w:t>（6）材料进入现场应按指定位置堆放整齐，不得影响现场施工和堵塞施工、消防通道。材料堆放场地应有专职的管理人员；</w:t>
      </w:r>
    </w:p>
    <w:p w14:paraId="407EC30A">
      <w:pPr>
        <w:spacing w:line="360" w:lineRule="auto"/>
        <w:ind w:firstLine="420" w:firstLineChars="200"/>
        <w:rPr>
          <w:color w:val="auto"/>
          <w:szCs w:val="21"/>
          <w:highlight w:val="none"/>
        </w:rPr>
      </w:pPr>
      <w:r>
        <w:rPr>
          <w:color w:val="auto"/>
          <w:szCs w:val="21"/>
          <w:highlight w:val="none"/>
        </w:rPr>
        <w:t>（7）施工和安装用的各种扣件、紧固件、绳索具、小型配件、镙钉等应在专设的仓库内装箱放置；</w:t>
      </w:r>
    </w:p>
    <w:p w14:paraId="11F57EDD">
      <w:pPr>
        <w:spacing w:line="360" w:lineRule="auto"/>
        <w:ind w:firstLine="420" w:firstLineChars="200"/>
        <w:rPr>
          <w:color w:val="auto"/>
          <w:szCs w:val="21"/>
          <w:highlight w:val="none"/>
        </w:rPr>
      </w:pPr>
      <w:r>
        <w:rPr>
          <w:color w:val="auto"/>
          <w:szCs w:val="21"/>
          <w:highlight w:val="none"/>
        </w:rPr>
        <w:t>（8）现场风、水管及照明电线的布置应安全、合理、规范、有序，做到整齐美观。不得随意架设  和造成隐患或影响施工。</w:t>
      </w:r>
    </w:p>
    <w:p w14:paraId="48847ED2">
      <w:pPr>
        <w:spacing w:line="360" w:lineRule="auto"/>
        <w:ind w:right="42" w:rightChars="20" w:firstLine="420" w:firstLineChars="200"/>
        <w:rPr>
          <w:color w:val="auto"/>
          <w:szCs w:val="21"/>
          <w:highlight w:val="none"/>
        </w:rPr>
      </w:pPr>
      <w:r>
        <w:rPr>
          <w:color w:val="auto"/>
          <w:szCs w:val="21"/>
          <w:highlight w:val="none"/>
        </w:rPr>
        <w:t>6.7.3 承包人应为其雇佣的施工工人建立并维护相应的生活宿舍、食堂、浴室、厕所和文化活动室等，其标准应满足政府有关机构的生活标准和卫生标准等的要求。</w:t>
      </w:r>
    </w:p>
    <w:p w14:paraId="3E9D4537">
      <w:pPr>
        <w:spacing w:line="360" w:lineRule="auto"/>
        <w:ind w:right="42" w:rightChars="20" w:firstLine="420" w:firstLineChars="200"/>
        <w:rPr>
          <w:color w:val="auto"/>
          <w:szCs w:val="21"/>
          <w:highlight w:val="none"/>
        </w:rPr>
      </w:pPr>
      <w:r>
        <w:rPr>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FFED9CC">
      <w:pPr>
        <w:spacing w:line="360" w:lineRule="auto"/>
        <w:ind w:right="42" w:rightChars="20" w:firstLine="420" w:firstLineChars="200"/>
        <w:rPr>
          <w:color w:val="auto"/>
          <w:szCs w:val="21"/>
          <w:highlight w:val="none"/>
        </w:rPr>
      </w:pPr>
      <w:r>
        <w:rPr>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14:paraId="4FB04B5E">
      <w:pPr>
        <w:spacing w:line="360" w:lineRule="auto"/>
        <w:ind w:right="42" w:rightChars="20" w:firstLine="420" w:firstLineChars="200"/>
        <w:rPr>
          <w:color w:val="auto"/>
          <w:szCs w:val="21"/>
          <w:highlight w:val="none"/>
        </w:rPr>
      </w:pPr>
      <w:r>
        <w:rPr>
          <w:color w:val="auto"/>
          <w:szCs w:val="21"/>
          <w:highlight w:val="none"/>
        </w:rPr>
        <w:t>6.7.6 承包人应为现场的工人和其他所有工作人员提供符合卫生要求的厕所，厕所应贴有</w:t>
      </w:r>
      <w:r>
        <w:rPr>
          <w:rFonts w:hint="eastAsia"/>
          <w:color w:val="auto"/>
          <w:szCs w:val="21"/>
          <w:highlight w:val="none"/>
          <w:lang w:val="en-US" w:eastAsia="zh-CN"/>
        </w:rPr>
        <w:t>瓷砖</w:t>
      </w:r>
      <w:r>
        <w:rPr>
          <w:color w:val="auto"/>
          <w:szCs w:val="21"/>
          <w:highlight w:val="none"/>
        </w:rPr>
        <w:t>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78AA8131">
      <w:pPr>
        <w:spacing w:line="360" w:lineRule="auto"/>
        <w:ind w:right="42" w:rightChars="20" w:firstLine="420" w:firstLineChars="200"/>
        <w:rPr>
          <w:color w:val="auto"/>
          <w:szCs w:val="21"/>
          <w:highlight w:val="none"/>
        </w:rPr>
      </w:pPr>
      <w:r>
        <w:rPr>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14:paraId="0923E83D">
      <w:pPr>
        <w:spacing w:line="360" w:lineRule="auto"/>
        <w:ind w:right="42" w:rightChars="20" w:firstLine="420" w:firstLineChars="200"/>
        <w:rPr>
          <w:color w:val="auto"/>
          <w:szCs w:val="21"/>
          <w:highlight w:val="none"/>
        </w:rPr>
      </w:pPr>
      <w:r>
        <w:rPr>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w:t>
      </w:r>
      <w:r>
        <w:rPr>
          <w:rFonts w:hint="eastAsia"/>
          <w:color w:val="auto"/>
          <w:szCs w:val="21"/>
          <w:highlight w:val="none"/>
          <w:lang w:val="en-US" w:eastAsia="zh-CN"/>
        </w:rPr>
        <w:t>浇筑</w:t>
      </w:r>
      <w:r>
        <w:rPr>
          <w:color w:val="auto"/>
          <w:szCs w:val="21"/>
          <w:highlight w:val="none"/>
        </w:rPr>
        <w:t>、材料运输、材料装卸、现场清理等工作中应采取一切必要的措施防止影响公共交通。</w:t>
      </w:r>
    </w:p>
    <w:p w14:paraId="38B2A1E9">
      <w:pPr>
        <w:spacing w:line="360" w:lineRule="auto"/>
        <w:ind w:right="42" w:rightChars="20" w:firstLine="420" w:firstLineChars="200"/>
        <w:rPr>
          <w:color w:val="auto"/>
          <w:szCs w:val="21"/>
          <w:highlight w:val="none"/>
        </w:rPr>
      </w:pPr>
      <w:r>
        <w:rPr>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0623903B">
      <w:pPr>
        <w:spacing w:line="360" w:lineRule="auto"/>
        <w:ind w:right="42" w:rightChars="20" w:firstLine="420" w:firstLineChars="200"/>
        <w:rPr>
          <w:color w:val="auto"/>
          <w:szCs w:val="21"/>
          <w:highlight w:val="none"/>
        </w:rPr>
      </w:pPr>
      <w:r>
        <w:rPr>
          <w:color w:val="auto"/>
          <w:szCs w:val="21"/>
          <w:highlight w:val="none"/>
        </w:rPr>
        <w:t>6.7.10 文明施工方面的其他要求如下：</w:t>
      </w:r>
      <w:r>
        <w:rPr>
          <w:color w:val="auto"/>
          <w:szCs w:val="21"/>
          <w:highlight w:val="none"/>
          <w:u w:val="single"/>
        </w:rPr>
        <w:t xml:space="preserve">     </w:t>
      </w:r>
      <w:r>
        <w:rPr>
          <w:color w:val="auto"/>
          <w:szCs w:val="21"/>
          <w:highlight w:val="none"/>
        </w:rPr>
        <w:t>。</w:t>
      </w:r>
    </w:p>
    <w:p w14:paraId="20B8FF92">
      <w:pPr>
        <w:spacing w:line="360" w:lineRule="auto"/>
        <w:ind w:right="42" w:rightChars="20" w:firstLine="480" w:firstLineChars="200"/>
        <w:rPr>
          <w:rFonts w:eastAsia="黑体"/>
          <w:bCs/>
          <w:color w:val="auto"/>
          <w:sz w:val="24"/>
          <w:highlight w:val="none"/>
        </w:rPr>
      </w:pPr>
      <w:bookmarkStart w:id="822" w:name="_Toc300678535"/>
      <w:r>
        <w:rPr>
          <w:rFonts w:eastAsia="黑体"/>
          <w:bCs/>
          <w:color w:val="auto"/>
          <w:sz w:val="24"/>
          <w:highlight w:val="none"/>
        </w:rPr>
        <w:t>6.8 环境保护</w:t>
      </w:r>
      <w:bookmarkEnd w:id="822"/>
    </w:p>
    <w:p w14:paraId="09AB0ADF">
      <w:pPr>
        <w:spacing w:line="360" w:lineRule="auto"/>
        <w:ind w:right="42" w:rightChars="20" w:firstLine="420" w:firstLineChars="200"/>
        <w:rPr>
          <w:color w:val="auto"/>
          <w:szCs w:val="21"/>
          <w:highlight w:val="none"/>
        </w:rPr>
      </w:pPr>
      <w:r>
        <w:rPr>
          <w:color w:val="auto"/>
          <w:szCs w:val="21"/>
          <w:highlight w:val="none"/>
        </w:rPr>
        <w:t>6.8.1 在工程施工、完工及修补任何缺陷的过程中，承包人应当始终遵守国家和工程所在地有关环境保护、水土保护和污染防治的法律、法规、规章、规范、标准和规程等，按照合同条款的约定履行其环境与生态保护职责。</w:t>
      </w:r>
    </w:p>
    <w:p w14:paraId="7463FF31">
      <w:pPr>
        <w:spacing w:line="360" w:lineRule="auto"/>
        <w:ind w:right="42" w:rightChars="20" w:firstLine="420" w:firstLineChars="200"/>
        <w:rPr>
          <w:color w:val="auto"/>
          <w:szCs w:val="21"/>
          <w:highlight w:val="none"/>
        </w:rPr>
      </w:pPr>
      <w:r>
        <w:rPr>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39FFF433">
      <w:pPr>
        <w:spacing w:line="360" w:lineRule="auto"/>
        <w:ind w:right="42" w:rightChars="20" w:firstLine="420" w:firstLineChars="200"/>
        <w:rPr>
          <w:color w:val="auto"/>
          <w:szCs w:val="21"/>
          <w:highlight w:val="none"/>
        </w:rPr>
      </w:pPr>
      <w:r>
        <w:rPr>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58E5A87D">
      <w:pPr>
        <w:spacing w:line="360" w:lineRule="auto"/>
        <w:ind w:right="42" w:rightChars="20" w:firstLine="420" w:firstLineChars="200"/>
        <w:rPr>
          <w:color w:val="auto"/>
          <w:szCs w:val="21"/>
          <w:highlight w:val="none"/>
        </w:rPr>
      </w:pPr>
      <w:r>
        <w:rPr>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5EC1DDA0">
      <w:pPr>
        <w:spacing w:line="360" w:lineRule="auto"/>
        <w:ind w:right="42" w:rightChars="20" w:firstLine="420" w:firstLineChars="200"/>
        <w:rPr>
          <w:color w:val="auto"/>
          <w:szCs w:val="21"/>
          <w:highlight w:val="none"/>
        </w:rPr>
      </w:pPr>
      <w:r>
        <w:rPr>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78AF8395">
      <w:pPr>
        <w:spacing w:line="360" w:lineRule="auto"/>
        <w:ind w:right="42" w:rightChars="20" w:firstLine="420" w:firstLineChars="200"/>
        <w:rPr>
          <w:color w:val="auto"/>
          <w:szCs w:val="21"/>
          <w:highlight w:val="none"/>
        </w:rPr>
      </w:pPr>
      <w:r>
        <w:rPr>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71CE845C">
      <w:pPr>
        <w:spacing w:line="360" w:lineRule="auto"/>
        <w:ind w:right="42" w:rightChars="20" w:firstLine="420" w:firstLineChars="200"/>
        <w:rPr>
          <w:color w:val="auto"/>
          <w:szCs w:val="21"/>
          <w:highlight w:val="none"/>
        </w:rPr>
      </w:pPr>
      <w:r>
        <w:rPr>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0485AA91">
      <w:pPr>
        <w:spacing w:line="360" w:lineRule="auto"/>
        <w:ind w:right="42" w:rightChars="20" w:firstLine="420" w:firstLineChars="200"/>
        <w:rPr>
          <w:color w:val="auto"/>
          <w:szCs w:val="21"/>
          <w:highlight w:val="none"/>
        </w:rPr>
      </w:pPr>
      <w:r>
        <w:rPr>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0FA76532">
      <w:pPr>
        <w:spacing w:line="360" w:lineRule="auto"/>
        <w:ind w:right="42" w:rightChars="20" w:firstLine="420" w:firstLineChars="200"/>
        <w:rPr>
          <w:color w:val="auto"/>
          <w:szCs w:val="21"/>
          <w:highlight w:val="none"/>
        </w:rPr>
      </w:pPr>
      <w:r>
        <w:rPr>
          <w:color w:val="auto"/>
          <w:szCs w:val="21"/>
          <w:highlight w:val="none"/>
        </w:rPr>
        <w:t>6.8.9 环境保护方面的其他要求如下：</w:t>
      </w:r>
      <w:r>
        <w:rPr>
          <w:color w:val="auto"/>
          <w:szCs w:val="21"/>
          <w:highlight w:val="none"/>
          <w:u w:val="single"/>
        </w:rPr>
        <w:t xml:space="preserve">     </w:t>
      </w:r>
      <w:r>
        <w:rPr>
          <w:color w:val="auto"/>
          <w:szCs w:val="21"/>
          <w:highlight w:val="none"/>
        </w:rPr>
        <w:t>。</w:t>
      </w:r>
    </w:p>
    <w:p w14:paraId="0599B64B">
      <w:pPr>
        <w:pStyle w:val="8"/>
        <w:rPr>
          <w:rFonts w:ascii="Times New Roman" w:hAnsi="Times New Roman" w:eastAsia="黑体"/>
          <w:b w:val="0"/>
          <w:bCs w:val="0"/>
          <w:color w:val="auto"/>
          <w:sz w:val="24"/>
          <w:highlight w:val="none"/>
        </w:rPr>
      </w:pPr>
      <w:bookmarkStart w:id="823" w:name="_Toc300678536"/>
      <w:r>
        <w:rPr>
          <w:rFonts w:ascii="Times New Roman" w:hAnsi="Times New Roman" w:eastAsia="黑体"/>
          <w:b w:val="0"/>
          <w:bCs w:val="0"/>
          <w:color w:val="auto"/>
          <w:sz w:val="24"/>
          <w:highlight w:val="none"/>
        </w:rPr>
        <w:t>6.9 施工环保措施计划</w:t>
      </w:r>
      <w:bookmarkEnd w:id="823"/>
    </w:p>
    <w:p w14:paraId="131A0DF8">
      <w:pPr>
        <w:spacing w:line="360" w:lineRule="auto"/>
        <w:ind w:right="42" w:rightChars="20" w:firstLine="420" w:firstLineChars="200"/>
        <w:rPr>
          <w:color w:val="auto"/>
          <w:szCs w:val="21"/>
          <w:highlight w:val="none"/>
        </w:rPr>
      </w:pPr>
      <w:r>
        <w:rPr>
          <w:color w:val="auto"/>
          <w:szCs w:val="21"/>
          <w:highlight w:val="none"/>
        </w:rPr>
        <w:t>6.9.1 合同条款约定的施工环保措施计划是承包人阐明环保方针和拟采用的环保措施及方法等的文件，其内容应包括但不限于：</w:t>
      </w:r>
    </w:p>
    <w:p w14:paraId="2F39A39A">
      <w:pPr>
        <w:spacing w:line="360" w:lineRule="auto"/>
        <w:ind w:right="42" w:rightChars="20" w:firstLine="420" w:firstLineChars="200"/>
        <w:rPr>
          <w:color w:val="auto"/>
          <w:szCs w:val="21"/>
          <w:highlight w:val="none"/>
        </w:rPr>
      </w:pPr>
      <w:r>
        <w:rPr>
          <w:color w:val="auto"/>
          <w:szCs w:val="21"/>
          <w:highlight w:val="none"/>
        </w:rPr>
        <w:t>（1）承包人生活区（如果有）的生活用水和生活污水处理措施；</w:t>
      </w:r>
    </w:p>
    <w:p w14:paraId="0B238CE4">
      <w:pPr>
        <w:spacing w:line="360" w:lineRule="auto"/>
        <w:ind w:right="42" w:rightChars="20" w:firstLine="420" w:firstLineChars="200"/>
        <w:rPr>
          <w:color w:val="auto"/>
          <w:szCs w:val="21"/>
          <w:highlight w:val="none"/>
        </w:rPr>
      </w:pPr>
      <w:r>
        <w:rPr>
          <w:color w:val="auto"/>
          <w:szCs w:val="21"/>
          <w:highlight w:val="none"/>
        </w:rPr>
        <w:t>（2）施工生产废水处理措施；</w:t>
      </w:r>
    </w:p>
    <w:p w14:paraId="6F92BBCD">
      <w:pPr>
        <w:spacing w:line="360" w:lineRule="auto"/>
        <w:ind w:right="42" w:rightChars="20" w:firstLine="420" w:firstLineChars="200"/>
        <w:rPr>
          <w:color w:val="auto"/>
          <w:szCs w:val="21"/>
          <w:highlight w:val="none"/>
        </w:rPr>
      </w:pPr>
      <w:r>
        <w:rPr>
          <w:color w:val="auto"/>
          <w:szCs w:val="21"/>
          <w:highlight w:val="none"/>
        </w:rPr>
        <w:t>（3）施工扬尘和废气的处理措施；</w:t>
      </w:r>
    </w:p>
    <w:p w14:paraId="42FFB73B">
      <w:pPr>
        <w:spacing w:line="360" w:lineRule="auto"/>
        <w:ind w:right="42" w:rightChars="20" w:firstLine="420" w:firstLineChars="200"/>
        <w:rPr>
          <w:color w:val="auto"/>
          <w:szCs w:val="21"/>
          <w:highlight w:val="none"/>
        </w:rPr>
      </w:pPr>
      <w:r>
        <w:rPr>
          <w:color w:val="auto"/>
          <w:szCs w:val="21"/>
          <w:highlight w:val="none"/>
        </w:rPr>
        <w:t>（4）施工噪声和光污染控制措施；</w:t>
      </w:r>
    </w:p>
    <w:p w14:paraId="4C0828CA">
      <w:pPr>
        <w:spacing w:line="360" w:lineRule="auto"/>
        <w:ind w:right="42" w:rightChars="20" w:firstLine="420" w:firstLineChars="200"/>
        <w:rPr>
          <w:color w:val="auto"/>
          <w:szCs w:val="21"/>
          <w:highlight w:val="none"/>
        </w:rPr>
      </w:pPr>
      <w:r>
        <w:rPr>
          <w:color w:val="auto"/>
          <w:szCs w:val="21"/>
          <w:highlight w:val="none"/>
        </w:rPr>
        <w:t>（5）节能减排措施；</w:t>
      </w:r>
    </w:p>
    <w:p w14:paraId="74077C1D">
      <w:pPr>
        <w:spacing w:line="360" w:lineRule="auto"/>
        <w:ind w:right="42" w:rightChars="20" w:firstLine="420" w:firstLineChars="200"/>
        <w:rPr>
          <w:color w:val="auto"/>
          <w:szCs w:val="21"/>
          <w:highlight w:val="none"/>
        </w:rPr>
      </w:pPr>
      <w:r>
        <w:rPr>
          <w:color w:val="auto"/>
          <w:szCs w:val="21"/>
          <w:highlight w:val="none"/>
        </w:rPr>
        <w:t>（6）不可再生资源循环利用措施；</w:t>
      </w:r>
    </w:p>
    <w:p w14:paraId="30F79A5A">
      <w:pPr>
        <w:spacing w:line="360" w:lineRule="auto"/>
        <w:ind w:right="42" w:rightChars="20" w:firstLine="420" w:firstLineChars="200"/>
        <w:rPr>
          <w:color w:val="auto"/>
          <w:szCs w:val="21"/>
          <w:highlight w:val="none"/>
        </w:rPr>
      </w:pPr>
      <w:r>
        <w:rPr>
          <w:color w:val="auto"/>
          <w:szCs w:val="21"/>
          <w:highlight w:val="none"/>
        </w:rPr>
        <w:t>（7）固体废弃物处理措施；</w:t>
      </w:r>
    </w:p>
    <w:p w14:paraId="1D004FB8">
      <w:pPr>
        <w:spacing w:line="360" w:lineRule="auto"/>
        <w:ind w:right="42" w:rightChars="20" w:firstLine="420" w:firstLineChars="200"/>
        <w:rPr>
          <w:color w:val="auto"/>
          <w:szCs w:val="21"/>
          <w:highlight w:val="none"/>
        </w:rPr>
      </w:pPr>
      <w:r>
        <w:rPr>
          <w:color w:val="auto"/>
          <w:szCs w:val="21"/>
          <w:highlight w:val="none"/>
        </w:rPr>
        <w:t>（8）人群健康保护和卫生防疫措施；</w:t>
      </w:r>
    </w:p>
    <w:p w14:paraId="786E12C6">
      <w:pPr>
        <w:spacing w:line="360" w:lineRule="auto"/>
        <w:ind w:right="42" w:rightChars="20" w:firstLine="420" w:firstLineChars="200"/>
        <w:rPr>
          <w:color w:val="auto"/>
          <w:szCs w:val="21"/>
          <w:highlight w:val="none"/>
        </w:rPr>
      </w:pPr>
      <w:r>
        <w:rPr>
          <w:color w:val="auto"/>
          <w:szCs w:val="21"/>
          <w:highlight w:val="none"/>
        </w:rPr>
        <w:t>（9）防止误用有害材料的保证措施；</w:t>
      </w:r>
    </w:p>
    <w:p w14:paraId="5E98733B">
      <w:pPr>
        <w:spacing w:line="360" w:lineRule="auto"/>
        <w:ind w:right="42" w:rightChars="20" w:firstLine="420" w:firstLineChars="200"/>
        <w:rPr>
          <w:color w:val="auto"/>
          <w:szCs w:val="21"/>
          <w:highlight w:val="none"/>
        </w:rPr>
      </w:pPr>
      <w:r>
        <w:rPr>
          <w:color w:val="auto"/>
          <w:szCs w:val="21"/>
          <w:highlight w:val="none"/>
        </w:rPr>
        <w:t>（10）施工边坡工程的水土流失保护措施；</w:t>
      </w:r>
    </w:p>
    <w:p w14:paraId="5BBFC102">
      <w:pPr>
        <w:spacing w:line="360" w:lineRule="auto"/>
        <w:ind w:right="42" w:rightChars="20" w:firstLine="420" w:firstLineChars="200"/>
        <w:rPr>
          <w:color w:val="auto"/>
          <w:szCs w:val="21"/>
          <w:highlight w:val="none"/>
        </w:rPr>
      </w:pPr>
      <w:r>
        <w:rPr>
          <w:color w:val="auto"/>
          <w:szCs w:val="21"/>
          <w:highlight w:val="none"/>
        </w:rPr>
        <w:t>（11）道路污染防治措施；</w:t>
      </w:r>
    </w:p>
    <w:p w14:paraId="188B67B2">
      <w:pPr>
        <w:spacing w:line="360" w:lineRule="auto"/>
        <w:ind w:right="42" w:rightChars="20" w:firstLine="420" w:firstLineChars="200"/>
        <w:rPr>
          <w:color w:val="auto"/>
          <w:szCs w:val="21"/>
          <w:highlight w:val="none"/>
        </w:rPr>
      </w:pPr>
      <w:r>
        <w:rPr>
          <w:color w:val="auto"/>
          <w:szCs w:val="21"/>
          <w:highlight w:val="none"/>
        </w:rPr>
        <w:t>（12）完工后场地清理及其植被（如果有）恢复的规划和措施；</w:t>
      </w:r>
    </w:p>
    <w:p w14:paraId="14CAF08F">
      <w:pPr>
        <w:spacing w:line="360" w:lineRule="auto"/>
        <w:ind w:right="42" w:rightChars="20" w:firstLine="420" w:firstLineChars="200"/>
        <w:rPr>
          <w:color w:val="auto"/>
          <w:szCs w:val="21"/>
          <w:highlight w:val="none"/>
        </w:rPr>
      </w:pPr>
      <w:r>
        <w:rPr>
          <w:color w:val="auto"/>
          <w:szCs w:val="21"/>
          <w:highlight w:val="none"/>
        </w:rPr>
        <w:t>（13）其他：</w:t>
      </w:r>
      <w:r>
        <w:rPr>
          <w:color w:val="auto"/>
          <w:szCs w:val="21"/>
          <w:highlight w:val="none"/>
          <w:u w:val="single"/>
        </w:rPr>
        <w:t xml:space="preserve">                </w:t>
      </w:r>
      <w:r>
        <w:rPr>
          <w:color w:val="auto"/>
          <w:szCs w:val="21"/>
          <w:highlight w:val="none"/>
        </w:rPr>
        <w:t>。</w:t>
      </w:r>
    </w:p>
    <w:p w14:paraId="293C6459">
      <w:pPr>
        <w:spacing w:line="360" w:lineRule="auto"/>
        <w:ind w:right="42" w:rightChars="20" w:firstLine="420" w:firstLineChars="200"/>
        <w:rPr>
          <w:color w:val="auto"/>
          <w:szCs w:val="21"/>
          <w:highlight w:val="none"/>
        </w:rPr>
      </w:pPr>
      <w:r>
        <w:rPr>
          <w:color w:val="auto"/>
          <w:szCs w:val="21"/>
          <w:highlight w:val="none"/>
        </w:rPr>
        <w:t>6.9.2 施工环保措施计划应当在合同条款约定的期限内报送监理人。承包人应当严格执行经监理人批准的施工环保措施计划，并及时补充、修订和完善施工环保措施计划。</w:t>
      </w:r>
    </w:p>
    <w:p w14:paraId="4197CE75">
      <w:pPr>
        <w:pStyle w:val="7"/>
        <w:keepNext/>
        <w:keepLines/>
        <w:widowControl w:val="0"/>
        <w:jc w:val="left"/>
        <w:rPr>
          <w:rFonts w:eastAsia="黑体"/>
          <w:b w:val="0"/>
          <w:bCs w:val="0"/>
          <w:color w:val="auto"/>
          <w:sz w:val="28"/>
          <w:szCs w:val="28"/>
          <w:highlight w:val="none"/>
        </w:rPr>
      </w:pPr>
      <w:bookmarkStart w:id="824" w:name="_Toc80006131"/>
      <w:bookmarkStart w:id="825" w:name="_Toc9178558"/>
      <w:bookmarkStart w:id="826" w:name="_Toc79998417"/>
      <w:bookmarkStart w:id="827" w:name="_Toc300678537"/>
      <w:bookmarkStart w:id="828" w:name="_Toc79998861"/>
      <w:bookmarkStart w:id="829" w:name="_Toc80006241"/>
      <w:r>
        <w:rPr>
          <w:rFonts w:eastAsia="黑体"/>
          <w:b w:val="0"/>
          <w:bCs w:val="0"/>
          <w:color w:val="auto"/>
          <w:sz w:val="28"/>
          <w:szCs w:val="28"/>
          <w:highlight w:val="none"/>
        </w:rPr>
        <w:t>7.治安保卫</w:t>
      </w:r>
      <w:bookmarkEnd w:id="824"/>
      <w:bookmarkEnd w:id="825"/>
      <w:bookmarkEnd w:id="826"/>
      <w:bookmarkEnd w:id="827"/>
      <w:bookmarkEnd w:id="828"/>
      <w:bookmarkEnd w:id="829"/>
    </w:p>
    <w:p w14:paraId="3F05821F">
      <w:pPr>
        <w:spacing w:line="360" w:lineRule="auto"/>
        <w:ind w:firstLine="420" w:firstLineChars="200"/>
        <w:rPr>
          <w:color w:val="auto"/>
          <w:szCs w:val="21"/>
          <w:highlight w:val="none"/>
        </w:rPr>
      </w:pPr>
      <w:r>
        <w:rPr>
          <w:color w:val="auto"/>
          <w:szCs w:val="21"/>
          <w:highlight w:val="none"/>
        </w:rPr>
        <w:t xml:space="preserve">7.1 </w:t>
      </w:r>
      <w:r>
        <w:rPr>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361313B4">
      <w:pPr>
        <w:spacing w:line="360" w:lineRule="auto"/>
        <w:ind w:firstLine="420" w:firstLineChars="200"/>
        <w:rPr>
          <w:color w:val="auto"/>
          <w:szCs w:val="21"/>
          <w:highlight w:val="none"/>
        </w:rPr>
      </w:pPr>
      <w:r>
        <w:rPr>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37816FBE">
      <w:pPr>
        <w:spacing w:line="360" w:lineRule="auto"/>
        <w:ind w:firstLine="420" w:firstLineChars="200"/>
        <w:rPr>
          <w:color w:val="auto"/>
          <w:szCs w:val="21"/>
          <w:highlight w:val="none"/>
        </w:rPr>
      </w:pPr>
      <w:r>
        <w:rPr>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14:paraId="727E955B">
      <w:pPr>
        <w:spacing w:line="360" w:lineRule="auto"/>
        <w:ind w:firstLine="420" w:firstLineChars="200"/>
        <w:rPr>
          <w:color w:val="auto"/>
          <w:szCs w:val="21"/>
          <w:highlight w:val="none"/>
        </w:rPr>
      </w:pPr>
      <w:r>
        <w:rPr>
          <w:color w:val="auto"/>
          <w:szCs w:val="21"/>
          <w:highlight w:val="none"/>
        </w:rPr>
        <w:t>7.4 承包人应确保杜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1376353F">
      <w:pPr>
        <w:spacing w:line="360" w:lineRule="auto"/>
        <w:ind w:firstLine="420" w:firstLineChars="200"/>
        <w:rPr>
          <w:color w:val="auto"/>
          <w:szCs w:val="21"/>
          <w:highlight w:val="none"/>
        </w:rPr>
      </w:pPr>
      <w:r>
        <w:rPr>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7FB25667">
      <w:pPr>
        <w:spacing w:line="360" w:lineRule="auto"/>
        <w:ind w:firstLine="420" w:firstLineChars="200"/>
        <w:rPr>
          <w:color w:val="auto"/>
          <w:szCs w:val="21"/>
          <w:highlight w:val="none"/>
        </w:rPr>
      </w:pPr>
      <w:r>
        <w:rPr>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3A3CD0E3">
      <w:pPr>
        <w:spacing w:line="360" w:lineRule="auto"/>
        <w:ind w:firstLine="420" w:firstLineChars="200"/>
        <w:rPr>
          <w:color w:val="auto"/>
          <w:szCs w:val="21"/>
          <w:highlight w:val="none"/>
        </w:rPr>
      </w:pPr>
      <w:r>
        <w:rPr>
          <w:color w:val="auto"/>
          <w:szCs w:val="21"/>
          <w:highlight w:val="none"/>
        </w:rPr>
        <w:t xml:space="preserve"> 7.7 施工场地（现场）治安管理计划的要求：</w:t>
      </w:r>
      <w:r>
        <w:rPr>
          <w:color w:val="auto"/>
          <w:szCs w:val="21"/>
          <w:highlight w:val="none"/>
          <w:u w:val="single"/>
        </w:rPr>
        <w:t xml:space="preserve">     </w:t>
      </w:r>
      <w:r>
        <w:rPr>
          <w:color w:val="auto"/>
          <w:szCs w:val="21"/>
          <w:highlight w:val="none"/>
        </w:rPr>
        <w:t>。</w:t>
      </w:r>
    </w:p>
    <w:p w14:paraId="3F22738A">
      <w:pPr>
        <w:spacing w:line="360" w:lineRule="auto"/>
        <w:ind w:firstLine="424" w:firstLineChars="202"/>
        <w:rPr>
          <w:color w:val="auto"/>
          <w:szCs w:val="21"/>
          <w:highlight w:val="none"/>
        </w:rPr>
      </w:pPr>
      <w:r>
        <w:rPr>
          <w:color w:val="auto"/>
          <w:szCs w:val="21"/>
          <w:highlight w:val="none"/>
        </w:rPr>
        <w:t>7.8 突发治安事件紧急预案的要求：</w:t>
      </w:r>
      <w:r>
        <w:rPr>
          <w:color w:val="auto"/>
          <w:szCs w:val="21"/>
          <w:highlight w:val="none"/>
          <w:u w:val="single"/>
        </w:rPr>
        <w:t xml:space="preserve">     </w:t>
      </w:r>
      <w:r>
        <w:rPr>
          <w:color w:val="auto"/>
          <w:szCs w:val="21"/>
          <w:highlight w:val="none"/>
        </w:rPr>
        <w:t>。</w:t>
      </w:r>
    </w:p>
    <w:p w14:paraId="09C8EEC5">
      <w:pPr>
        <w:spacing w:line="360" w:lineRule="auto"/>
        <w:ind w:firstLine="424" w:firstLineChars="202"/>
        <w:rPr>
          <w:color w:val="auto"/>
          <w:szCs w:val="21"/>
          <w:highlight w:val="none"/>
        </w:rPr>
      </w:pPr>
      <w:r>
        <w:rPr>
          <w:color w:val="auto"/>
          <w:szCs w:val="21"/>
          <w:highlight w:val="none"/>
        </w:rPr>
        <w:t>7.9 治安保卫方面的其他要求如下：</w:t>
      </w:r>
      <w:r>
        <w:rPr>
          <w:color w:val="auto"/>
          <w:szCs w:val="21"/>
          <w:highlight w:val="none"/>
          <w:u w:val="single"/>
        </w:rPr>
        <w:t xml:space="preserve">     </w:t>
      </w:r>
      <w:r>
        <w:rPr>
          <w:color w:val="auto"/>
          <w:szCs w:val="21"/>
          <w:highlight w:val="none"/>
        </w:rPr>
        <w:t>。</w:t>
      </w:r>
    </w:p>
    <w:p w14:paraId="1E3FEED7">
      <w:pPr>
        <w:pStyle w:val="7"/>
        <w:keepNext/>
        <w:keepLines/>
        <w:widowControl w:val="0"/>
        <w:jc w:val="left"/>
        <w:rPr>
          <w:rFonts w:eastAsia="黑体"/>
          <w:b w:val="0"/>
          <w:bCs w:val="0"/>
          <w:color w:val="auto"/>
          <w:sz w:val="28"/>
          <w:szCs w:val="28"/>
          <w:highlight w:val="none"/>
        </w:rPr>
      </w:pPr>
      <w:bookmarkStart w:id="830" w:name="_Toc80006242"/>
      <w:bookmarkStart w:id="831" w:name="_Toc80006132"/>
      <w:bookmarkStart w:id="832" w:name="_Toc79998418"/>
      <w:bookmarkStart w:id="833" w:name="_Toc9178559"/>
      <w:bookmarkStart w:id="834" w:name="_Toc79998862"/>
      <w:bookmarkStart w:id="835" w:name="_Toc300678538"/>
      <w:r>
        <w:rPr>
          <w:rFonts w:eastAsia="黑体"/>
          <w:b w:val="0"/>
          <w:bCs w:val="0"/>
          <w:color w:val="auto"/>
          <w:sz w:val="28"/>
          <w:szCs w:val="28"/>
          <w:highlight w:val="none"/>
        </w:rPr>
        <w:t>8.地上、地下设施和周边建筑物的临时保护</w:t>
      </w:r>
      <w:bookmarkEnd w:id="830"/>
      <w:bookmarkEnd w:id="831"/>
      <w:bookmarkEnd w:id="832"/>
      <w:bookmarkEnd w:id="833"/>
      <w:bookmarkEnd w:id="834"/>
      <w:bookmarkEnd w:id="835"/>
    </w:p>
    <w:p w14:paraId="23A2CEDF">
      <w:pPr>
        <w:spacing w:line="360" w:lineRule="auto"/>
        <w:ind w:firstLine="420" w:firstLineChars="200"/>
        <w:rPr>
          <w:color w:val="auto"/>
          <w:szCs w:val="21"/>
          <w:highlight w:val="none"/>
        </w:rPr>
      </w:pPr>
      <w:r>
        <w:rPr>
          <w:color w:val="auto"/>
          <w:szCs w:val="21"/>
          <w:highlight w:val="none"/>
        </w:rPr>
        <w:t>8.1 承包人应为施工场地及其周边现有的地上、地下设施和建筑物提供足够的临时保护设施，确保施工过程中这些设施和建筑物不会受到干扰和破坏。</w:t>
      </w:r>
    </w:p>
    <w:p w14:paraId="5816C6CD">
      <w:pPr>
        <w:spacing w:line="360" w:lineRule="auto"/>
        <w:ind w:firstLine="420" w:firstLineChars="200"/>
        <w:rPr>
          <w:color w:val="auto"/>
          <w:szCs w:val="21"/>
          <w:highlight w:val="none"/>
        </w:rPr>
      </w:pPr>
      <w:r>
        <w:rPr>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3E22C025">
      <w:pPr>
        <w:spacing w:line="360" w:lineRule="auto"/>
        <w:ind w:firstLine="420" w:firstLineChars="200"/>
        <w:rPr>
          <w:color w:val="auto"/>
          <w:szCs w:val="21"/>
          <w:highlight w:val="none"/>
        </w:rPr>
      </w:pPr>
      <w:r>
        <w:rPr>
          <w:color w:val="auto"/>
          <w:szCs w:val="21"/>
          <w:highlight w:val="none"/>
        </w:rPr>
        <w:t>8.3 发包人特别提醒承包人注意以下地上、地下设施和周边建筑物的保护：</w:t>
      </w:r>
      <w:r>
        <w:rPr>
          <w:color w:val="auto"/>
          <w:szCs w:val="21"/>
          <w:highlight w:val="none"/>
          <w:u w:val="single"/>
        </w:rPr>
        <w:t xml:space="preserve">     </w:t>
      </w:r>
      <w:r>
        <w:rPr>
          <w:color w:val="auto"/>
          <w:szCs w:val="21"/>
          <w:highlight w:val="none"/>
        </w:rPr>
        <w:t>。</w:t>
      </w:r>
    </w:p>
    <w:p w14:paraId="0D18C27D">
      <w:pPr>
        <w:spacing w:line="360" w:lineRule="auto"/>
        <w:ind w:firstLine="420" w:firstLineChars="200"/>
        <w:rPr>
          <w:color w:val="auto"/>
          <w:szCs w:val="21"/>
          <w:highlight w:val="none"/>
        </w:rPr>
      </w:pPr>
      <w:r>
        <w:rPr>
          <w:color w:val="auto"/>
          <w:szCs w:val="21"/>
          <w:highlight w:val="none"/>
        </w:rPr>
        <w:t>8.4 地上、地下设施和周边建筑物的临时保护的其他要求如下：</w:t>
      </w:r>
      <w:r>
        <w:rPr>
          <w:color w:val="auto"/>
          <w:szCs w:val="21"/>
          <w:highlight w:val="none"/>
          <w:u w:val="single"/>
        </w:rPr>
        <w:t xml:space="preserve">     </w:t>
      </w:r>
      <w:r>
        <w:rPr>
          <w:color w:val="auto"/>
          <w:szCs w:val="21"/>
          <w:highlight w:val="none"/>
        </w:rPr>
        <w:t>。</w:t>
      </w:r>
    </w:p>
    <w:p w14:paraId="2C24F2A4">
      <w:pPr>
        <w:pStyle w:val="7"/>
        <w:keepNext/>
        <w:keepLines/>
        <w:widowControl w:val="0"/>
        <w:jc w:val="left"/>
        <w:rPr>
          <w:rFonts w:eastAsia="黑体"/>
          <w:b w:val="0"/>
          <w:bCs w:val="0"/>
          <w:color w:val="auto"/>
          <w:sz w:val="28"/>
          <w:szCs w:val="28"/>
          <w:highlight w:val="none"/>
        </w:rPr>
      </w:pPr>
      <w:bookmarkStart w:id="836" w:name="_Toc9178560"/>
      <w:bookmarkStart w:id="837" w:name="_Toc79998863"/>
      <w:bookmarkStart w:id="838" w:name="_Toc80006243"/>
      <w:bookmarkStart w:id="839" w:name="_Toc80006133"/>
      <w:bookmarkStart w:id="840" w:name="_Toc79998419"/>
      <w:bookmarkStart w:id="841" w:name="_Toc300678539"/>
      <w:r>
        <w:rPr>
          <w:rFonts w:eastAsia="黑体"/>
          <w:b w:val="0"/>
          <w:bCs w:val="0"/>
          <w:color w:val="auto"/>
          <w:sz w:val="28"/>
          <w:szCs w:val="28"/>
          <w:highlight w:val="none"/>
        </w:rPr>
        <w:t>9.样品和材料代换</w:t>
      </w:r>
      <w:bookmarkEnd w:id="836"/>
      <w:bookmarkEnd w:id="837"/>
      <w:bookmarkEnd w:id="838"/>
      <w:bookmarkEnd w:id="839"/>
      <w:bookmarkEnd w:id="840"/>
      <w:bookmarkEnd w:id="841"/>
    </w:p>
    <w:p w14:paraId="21FC89AB">
      <w:pPr>
        <w:pStyle w:val="8"/>
        <w:rPr>
          <w:rFonts w:ascii="Times New Roman" w:hAnsi="Times New Roman" w:eastAsia="黑体"/>
          <w:b w:val="0"/>
          <w:bCs w:val="0"/>
          <w:color w:val="auto"/>
          <w:sz w:val="24"/>
          <w:highlight w:val="none"/>
        </w:rPr>
      </w:pPr>
      <w:bookmarkStart w:id="842" w:name="_Toc300678540"/>
      <w:r>
        <w:rPr>
          <w:rFonts w:ascii="Times New Roman" w:hAnsi="Times New Roman" w:eastAsia="黑体"/>
          <w:b w:val="0"/>
          <w:bCs w:val="0"/>
          <w:color w:val="auto"/>
          <w:sz w:val="24"/>
          <w:highlight w:val="none"/>
        </w:rPr>
        <w:t>9.1 样品</w:t>
      </w:r>
      <w:bookmarkEnd w:id="842"/>
    </w:p>
    <w:p w14:paraId="0FBC5E28">
      <w:pPr>
        <w:spacing w:line="360" w:lineRule="auto"/>
        <w:ind w:firstLine="420" w:firstLineChars="200"/>
        <w:rPr>
          <w:color w:val="auto"/>
          <w:szCs w:val="21"/>
          <w:highlight w:val="none"/>
        </w:rPr>
      </w:pPr>
      <w:r>
        <w:rPr>
          <w:color w:val="auto"/>
          <w:szCs w:val="21"/>
          <w:highlight w:val="none"/>
        </w:rPr>
        <w:t>9.1.1 本工程需要承包人提供样品的材料和工程设备如下：</w:t>
      </w:r>
      <w:r>
        <w:rPr>
          <w:color w:val="auto"/>
          <w:szCs w:val="21"/>
          <w:highlight w:val="none"/>
          <w:u w:val="single"/>
        </w:rPr>
        <w:t xml:space="preserve">     </w:t>
      </w:r>
      <w:r>
        <w:rPr>
          <w:color w:val="auto"/>
          <w:szCs w:val="21"/>
          <w:highlight w:val="none"/>
        </w:rPr>
        <w:t>。</w:t>
      </w:r>
    </w:p>
    <w:p w14:paraId="09D12B5B">
      <w:pPr>
        <w:spacing w:line="360" w:lineRule="auto"/>
        <w:ind w:firstLine="420" w:firstLineChars="200"/>
        <w:rPr>
          <w:color w:val="auto"/>
          <w:szCs w:val="21"/>
          <w:highlight w:val="none"/>
        </w:rPr>
      </w:pPr>
      <w:r>
        <w:rPr>
          <w:color w:val="auto"/>
          <w:szCs w:val="21"/>
          <w:highlight w:val="none"/>
        </w:rPr>
        <w:t>9.1.2 对于本款第9.1.1项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011A8045">
      <w:pPr>
        <w:spacing w:line="360" w:lineRule="auto"/>
        <w:ind w:firstLine="420" w:firstLineChars="200"/>
        <w:rPr>
          <w:color w:val="auto"/>
          <w:szCs w:val="21"/>
          <w:highlight w:val="none"/>
        </w:rPr>
      </w:pPr>
      <w:r>
        <w:rPr>
          <w:color w:val="auto"/>
          <w:szCs w:val="21"/>
          <w:highlight w:val="none"/>
        </w:rPr>
        <w:t>9.1.3 合同条款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6CAC24D9">
      <w:pPr>
        <w:spacing w:line="360" w:lineRule="auto"/>
        <w:ind w:firstLine="420" w:firstLineChars="200"/>
        <w:rPr>
          <w:color w:val="auto"/>
          <w:szCs w:val="21"/>
          <w:highlight w:val="none"/>
        </w:rPr>
      </w:pPr>
      <w:r>
        <w:rPr>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0E74EDD5">
      <w:pPr>
        <w:spacing w:line="360" w:lineRule="auto"/>
        <w:ind w:firstLine="420" w:firstLineChars="200"/>
        <w:rPr>
          <w:color w:val="auto"/>
          <w:szCs w:val="21"/>
          <w:highlight w:val="none"/>
        </w:rPr>
      </w:pPr>
      <w:r>
        <w:rPr>
          <w:color w:val="auto"/>
          <w:szCs w:val="21"/>
          <w:highlight w:val="none"/>
        </w:rPr>
        <w:t>9.1.5 得到批准后的样品由监理人负责存放。但承包人应为保存样品提供适当和固定的场所并保持适当和良好的环境条件。</w:t>
      </w:r>
    </w:p>
    <w:p w14:paraId="121B2064">
      <w:pPr>
        <w:spacing w:line="360" w:lineRule="auto"/>
        <w:ind w:firstLine="420" w:firstLineChars="200"/>
        <w:rPr>
          <w:color w:val="auto"/>
          <w:szCs w:val="21"/>
          <w:highlight w:val="none"/>
        </w:rPr>
      </w:pPr>
      <w:r>
        <w:rPr>
          <w:color w:val="auto"/>
          <w:szCs w:val="21"/>
          <w:highlight w:val="none"/>
        </w:rPr>
        <w:t>9.1.6 提供样品和提供存放样品场所的费用由承包人承担。</w:t>
      </w:r>
    </w:p>
    <w:p w14:paraId="5F02DE7E">
      <w:pPr>
        <w:pStyle w:val="8"/>
        <w:rPr>
          <w:rFonts w:ascii="Times New Roman" w:hAnsi="Times New Roman" w:eastAsia="黑体"/>
          <w:b w:val="0"/>
          <w:bCs w:val="0"/>
          <w:color w:val="auto"/>
          <w:sz w:val="24"/>
          <w:highlight w:val="none"/>
        </w:rPr>
      </w:pPr>
      <w:bookmarkStart w:id="843" w:name="_Toc300678541"/>
      <w:r>
        <w:rPr>
          <w:rFonts w:ascii="Times New Roman" w:hAnsi="Times New Roman" w:eastAsia="黑体"/>
          <w:b w:val="0"/>
          <w:bCs w:val="0"/>
          <w:color w:val="auto"/>
          <w:sz w:val="24"/>
          <w:highlight w:val="none"/>
        </w:rPr>
        <w:t>9.2 材料代换</w:t>
      </w:r>
      <w:bookmarkEnd w:id="843"/>
    </w:p>
    <w:p w14:paraId="67F7FDDE">
      <w:pPr>
        <w:spacing w:line="360" w:lineRule="auto"/>
        <w:ind w:firstLine="420" w:firstLineChars="200"/>
        <w:rPr>
          <w:color w:val="auto"/>
          <w:szCs w:val="21"/>
          <w:highlight w:val="none"/>
        </w:rPr>
      </w:pPr>
      <w:r>
        <w:rPr>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1A2BDCF8">
      <w:pPr>
        <w:spacing w:line="360" w:lineRule="auto"/>
        <w:ind w:firstLine="420" w:firstLineChars="200"/>
        <w:rPr>
          <w:color w:val="auto"/>
          <w:szCs w:val="21"/>
          <w:highlight w:val="none"/>
        </w:rPr>
      </w:pPr>
      <w:r>
        <w:rPr>
          <w:color w:val="auto"/>
          <w:szCs w:val="21"/>
          <w:highlight w:val="none"/>
        </w:rPr>
        <w:t>9.2.2 如果使用替代品，承包人应至少在被替代品按批准的进度计划用于永久工程前56天以书面形式通知监理人并随此通知提交下列文件：</w:t>
      </w:r>
    </w:p>
    <w:p w14:paraId="66975EF7">
      <w:pPr>
        <w:spacing w:line="360" w:lineRule="auto"/>
        <w:ind w:firstLine="420" w:firstLineChars="200"/>
        <w:rPr>
          <w:color w:val="auto"/>
          <w:szCs w:val="21"/>
          <w:highlight w:val="none"/>
        </w:rPr>
      </w:pPr>
      <w:r>
        <w:rPr>
          <w:color w:val="auto"/>
          <w:szCs w:val="21"/>
          <w:highlight w:val="none"/>
        </w:rPr>
        <w:t>（1）拟被替代的合同约定的材料和工程设备的名称、数量、规格、型号、品牌、性能、价格及其他任何详细资料；</w:t>
      </w:r>
    </w:p>
    <w:p w14:paraId="691AA698">
      <w:pPr>
        <w:spacing w:line="360" w:lineRule="auto"/>
        <w:ind w:firstLine="420" w:firstLineChars="200"/>
        <w:rPr>
          <w:color w:val="auto"/>
          <w:szCs w:val="21"/>
          <w:highlight w:val="none"/>
        </w:rPr>
      </w:pPr>
      <w:r>
        <w:rPr>
          <w:color w:val="auto"/>
          <w:szCs w:val="21"/>
          <w:highlight w:val="none"/>
        </w:rPr>
        <w:t>（2）拟采用的替代品的名称、数量、规格、型号、品牌、性能、价格及其他任何必要的详细资料；</w:t>
      </w:r>
    </w:p>
    <w:p w14:paraId="793B8ACE">
      <w:pPr>
        <w:spacing w:line="360" w:lineRule="auto"/>
        <w:ind w:firstLine="420" w:firstLineChars="200"/>
        <w:rPr>
          <w:color w:val="auto"/>
          <w:szCs w:val="21"/>
          <w:highlight w:val="none"/>
        </w:rPr>
      </w:pPr>
      <w:r>
        <w:rPr>
          <w:color w:val="auto"/>
          <w:szCs w:val="21"/>
          <w:highlight w:val="none"/>
        </w:rPr>
        <w:t>（3）替代品使用的工程部位</w:t>
      </w:r>
      <w:r>
        <w:rPr>
          <w:color w:val="auto"/>
          <w:szCs w:val="21"/>
          <w:highlight w:val="none"/>
          <w:u w:val="single"/>
        </w:rPr>
        <w:t xml:space="preserve">                     </w:t>
      </w:r>
      <w:r>
        <w:rPr>
          <w:color w:val="auto"/>
          <w:szCs w:val="21"/>
          <w:highlight w:val="none"/>
        </w:rPr>
        <w:t>；</w:t>
      </w:r>
    </w:p>
    <w:p w14:paraId="4B1E7D3C">
      <w:pPr>
        <w:spacing w:line="360" w:lineRule="auto"/>
        <w:ind w:firstLine="420" w:firstLineChars="200"/>
        <w:rPr>
          <w:color w:val="auto"/>
          <w:szCs w:val="21"/>
          <w:highlight w:val="none"/>
        </w:rPr>
      </w:pPr>
      <w:r>
        <w:rPr>
          <w:color w:val="auto"/>
          <w:szCs w:val="21"/>
          <w:highlight w:val="none"/>
        </w:rPr>
        <w:t>（4）采用替代品的理由和原因说明</w:t>
      </w:r>
      <w:r>
        <w:rPr>
          <w:color w:val="auto"/>
          <w:szCs w:val="21"/>
          <w:highlight w:val="none"/>
          <w:u w:val="single"/>
        </w:rPr>
        <w:t xml:space="preserve">                         </w:t>
      </w:r>
      <w:r>
        <w:rPr>
          <w:color w:val="auto"/>
          <w:szCs w:val="21"/>
          <w:highlight w:val="none"/>
        </w:rPr>
        <w:t>；</w:t>
      </w:r>
    </w:p>
    <w:p w14:paraId="4ACCC70C">
      <w:pPr>
        <w:spacing w:line="360" w:lineRule="auto"/>
        <w:ind w:firstLine="420" w:firstLineChars="200"/>
        <w:rPr>
          <w:color w:val="auto"/>
          <w:szCs w:val="21"/>
          <w:highlight w:val="none"/>
        </w:rPr>
      </w:pPr>
      <w:r>
        <w:rPr>
          <w:color w:val="auto"/>
          <w:szCs w:val="21"/>
          <w:highlight w:val="none"/>
        </w:rPr>
        <w:t>（5）替代品与合同中约定的产品之间的差异以及使用替代品后可能对工程产生的任何影响</w:t>
      </w:r>
      <w:r>
        <w:rPr>
          <w:color w:val="auto"/>
          <w:szCs w:val="21"/>
          <w:highlight w:val="none"/>
          <w:u w:val="single"/>
        </w:rPr>
        <w:t xml:space="preserve">      </w:t>
      </w:r>
      <w:r>
        <w:rPr>
          <w:color w:val="auto"/>
          <w:szCs w:val="21"/>
          <w:highlight w:val="none"/>
        </w:rPr>
        <w:t>；</w:t>
      </w:r>
    </w:p>
    <w:p w14:paraId="4E1C1142">
      <w:pPr>
        <w:spacing w:line="360" w:lineRule="auto"/>
        <w:ind w:firstLine="420" w:firstLineChars="200"/>
        <w:rPr>
          <w:color w:val="auto"/>
          <w:szCs w:val="21"/>
          <w:highlight w:val="none"/>
        </w:rPr>
      </w:pPr>
      <w:r>
        <w:rPr>
          <w:color w:val="auto"/>
          <w:szCs w:val="21"/>
          <w:highlight w:val="none"/>
        </w:rPr>
        <w:t>（6）价格上的差异</w:t>
      </w:r>
      <w:r>
        <w:rPr>
          <w:color w:val="auto"/>
          <w:szCs w:val="21"/>
          <w:highlight w:val="none"/>
          <w:u w:val="single"/>
        </w:rPr>
        <w:t xml:space="preserve">             </w:t>
      </w:r>
      <w:r>
        <w:rPr>
          <w:color w:val="auto"/>
          <w:szCs w:val="21"/>
          <w:highlight w:val="none"/>
        </w:rPr>
        <w:t>；</w:t>
      </w:r>
    </w:p>
    <w:p w14:paraId="4DA581B8">
      <w:pPr>
        <w:spacing w:line="360" w:lineRule="auto"/>
        <w:ind w:firstLine="420" w:firstLineChars="200"/>
        <w:rPr>
          <w:color w:val="auto"/>
          <w:szCs w:val="21"/>
          <w:highlight w:val="none"/>
        </w:rPr>
      </w:pPr>
      <w:r>
        <w:rPr>
          <w:color w:val="auto"/>
          <w:szCs w:val="21"/>
          <w:highlight w:val="none"/>
        </w:rPr>
        <w:t>（7）监理人为做出适当的决定而随时要求承包人提供的任何其他文件</w:t>
      </w:r>
      <w:r>
        <w:rPr>
          <w:color w:val="auto"/>
          <w:szCs w:val="21"/>
          <w:highlight w:val="none"/>
          <w:u w:val="single"/>
        </w:rPr>
        <w:t xml:space="preserve">          </w:t>
      </w:r>
      <w:r>
        <w:rPr>
          <w:color w:val="auto"/>
          <w:szCs w:val="21"/>
          <w:highlight w:val="none"/>
        </w:rPr>
        <w:t>。</w:t>
      </w:r>
    </w:p>
    <w:p w14:paraId="3B066870">
      <w:pPr>
        <w:spacing w:line="360" w:lineRule="auto"/>
        <w:ind w:firstLine="420" w:firstLineChars="200"/>
        <w:rPr>
          <w:color w:val="auto"/>
          <w:szCs w:val="21"/>
          <w:highlight w:val="none"/>
        </w:rPr>
      </w:pPr>
      <w:r>
        <w:rPr>
          <w:color w:val="auto"/>
          <w:szCs w:val="21"/>
          <w:highlight w:val="none"/>
        </w:rPr>
        <w:t>监理人在收到此类通知及上述文件后，应在28天内向承包人给出书面指示。如果28天内  监理人未给出书面指示，应视为监理人和发包人已经批准使用上述替代品，承包人可以据此使用替代品。</w:t>
      </w:r>
    </w:p>
    <w:p w14:paraId="6592D0FE">
      <w:pPr>
        <w:spacing w:line="360" w:lineRule="auto"/>
        <w:ind w:firstLine="420" w:firstLineChars="200"/>
        <w:rPr>
          <w:color w:val="auto"/>
          <w:szCs w:val="21"/>
          <w:highlight w:val="none"/>
        </w:rPr>
      </w:pPr>
      <w:r>
        <w:rPr>
          <w:color w:val="auto"/>
          <w:szCs w:val="21"/>
          <w:highlight w:val="none"/>
        </w:rPr>
        <w:t>9.2.3 任何情况下，替代品都应遵守本合同中对相关材料和工程设备的要求。</w:t>
      </w:r>
    </w:p>
    <w:p w14:paraId="2034A80C">
      <w:pPr>
        <w:spacing w:line="360" w:lineRule="auto"/>
        <w:ind w:firstLine="420" w:firstLineChars="200"/>
        <w:rPr>
          <w:color w:val="auto"/>
          <w:szCs w:val="21"/>
          <w:highlight w:val="none"/>
        </w:rPr>
      </w:pPr>
      <w:r>
        <w:rPr>
          <w:color w:val="auto"/>
          <w:szCs w:val="21"/>
          <w:highlight w:val="none"/>
        </w:rPr>
        <w:t>9.2.4 如果承包人根据本条约定使用了替代品，监理人应与承包人适当协商之后并在合理的期限内确定替代材料和工程设备与合同中约定的材料和工程设备之间的价值差值，并决定：</w:t>
      </w:r>
    </w:p>
    <w:p w14:paraId="2AFF8A8E">
      <w:pPr>
        <w:spacing w:line="360" w:lineRule="auto"/>
        <w:ind w:firstLine="420" w:firstLineChars="200"/>
        <w:rPr>
          <w:color w:val="auto"/>
          <w:szCs w:val="21"/>
          <w:highlight w:val="none"/>
        </w:rPr>
      </w:pPr>
      <w:r>
        <w:rPr>
          <w:color w:val="auto"/>
          <w:szCs w:val="21"/>
          <w:highlight w:val="none"/>
        </w:rPr>
        <w:t>（1）如果替代材料和工程设备的价值高于合同中约定的材料和工程设备的价值，则将高出部分的价值追加到合同价格中并相应地通知承包人；</w:t>
      </w:r>
    </w:p>
    <w:p w14:paraId="0DB407FF">
      <w:pPr>
        <w:spacing w:line="360" w:lineRule="auto"/>
        <w:ind w:firstLine="420" w:firstLineChars="200"/>
        <w:rPr>
          <w:color w:val="auto"/>
          <w:szCs w:val="21"/>
          <w:highlight w:val="none"/>
        </w:rPr>
      </w:pPr>
      <w:r>
        <w:rPr>
          <w:color w:val="auto"/>
          <w:szCs w:val="21"/>
          <w:highlight w:val="none"/>
        </w:rPr>
        <w:t>（2）如果替代材料和工程设备的价值低于合同中约定的材料和工程设备的价值，则将节余部分的价值从合同价格中扣除并相应地通知承包人。</w:t>
      </w:r>
    </w:p>
    <w:p w14:paraId="78EA5ACF">
      <w:pPr>
        <w:pStyle w:val="7"/>
        <w:keepNext/>
        <w:keepLines/>
        <w:widowControl w:val="0"/>
        <w:jc w:val="left"/>
        <w:rPr>
          <w:rFonts w:eastAsia="黑体"/>
          <w:b w:val="0"/>
          <w:bCs w:val="0"/>
          <w:color w:val="auto"/>
          <w:sz w:val="28"/>
          <w:szCs w:val="28"/>
          <w:highlight w:val="none"/>
        </w:rPr>
      </w:pPr>
      <w:bookmarkStart w:id="844" w:name="_Toc300678542"/>
      <w:bookmarkStart w:id="845" w:name="_Toc80006244"/>
      <w:bookmarkStart w:id="846" w:name="_Toc79998420"/>
      <w:bookmarkStart w:id="847" w:name="_Toc80006134"/>
      <w:bookmarkStart w:id="848" w:name="_Toc9178561"/>
      <w:bookmarkStart w:id="849" w:name="_Toc79998864"/>
      <w:r>
        <w:rPr>
          <w:rFonts w:eastAsia="黑体"/>
          <w:b w:val="0"/>
          <w:bCs w:val="0"/>
          <w:color w:val="auto"/>
          <w:sz w:val="28"/>
          <w:szCs w:val="28"/>
          <w:highlight w:val="none"/>
        </w:rPr>
        <w:t>10.进口材料和工程设备</w:t>
      </w:r>
      <w:bookmarkEnd w:id="844"/>
      <w:bookmarkEnd w:id="845"/>
      <w:bookmarkEnd w:id="846"/>
      <w:bookmarkEnd w:id="847"/>
      <w:bookmarkEnd w:id="848"/>
      <w:bookmarkEnd w:id="849"/>
    </w:p>
    <w:p w14:paraId="58B55233">
      <w:pPr>
        <w:spacing w:line="360" w:lineRule="auto"/>
        <w:ind w:firstLine="420" w:firstLineChars="200"/>
        <w:rPr>
          <w:color w:val="auto"/>
          <w:szCs w:val="21"/>
          <w:highlight w:val="none"/>
        </w:rPr>
      </w:pPr>
      <w:r>
        <w:rPr>
          <w:color w:val="auto"/>
          <w:szCs w:val="21"/>
          <w:highlight w:val="none"/>
        </w:rPr>
        <w:t>10.1 本工程需要进口的材料和工程设备如下：</w:t>
      </w:r>
      <w:r>
        <w:rPr>
          <w:color w:val="auto"/>
          <w:szCs w:val="21"/>
          <w:highlight w:val="none"/>
          <w:u w:val="single"/>
        </w:rPr>
        <w:t xml:space="preserve">     </w:t>
      </w:r>
      <w:r>
        <w:rPr>
          <w:color w:val="auto"/>
          <w:szCs w:val="21"/>
          <w:highlight w:val="none"/>
        </w:rPr>
        <w:t>。</w:t>
      </w:r>
    </w:p>
    <w:p w14:paraId="2C97893F">
      <w:pPr>
        <w:spacing w:line="360" w:lineRule="auto"/>
        <w:ind w:firstLine="420" w:firstLineChars="200"/>
        <w:rPr>
          <w:color w:val="auto"/>
          <w:szCs w:val="21"/>
          <w:highlight w:val="none"/>
        </w:rPr>
      </w:pPr>
      <w:r>
        <w:rPr>
          <w:color w:val="auto"/>
          <w:szCs w:val="21"/>
          <w:highlight w:val="none"/>
        </w:rPr>
        <w:t>10.2 上述进口材料和工程设备采购、进口、报关、清关、商检、境内运输（包括保险）、保管的责任以及费用承担方式划分如下：</w:t>
      </w:r>
      <w:r>
        <w:rPr>
          <w:color w:val="auto"/>
          <w:szCs w:val="21"/>
          <w:highlight w:val="none"/>
          <w:u w:val="single"/>
        </w:rPr>
        <w:t xml:space="preserve">     </w:t>
      </w:r>
      <w:r>
        <w:rPr>
          <w:color w:val="auto"/>
          <w:szCs w:val="21"/>
          <w:highlight w:val="none"/>
        </w:rPr>
        <w:t>。</w:t>
      </w:r>
    </w:p>
    <w:p w14:paraId="013BFF16">
      <w:pPr>
        <w:pStyle w:val="7"/>
        <w:keepNext/>
        <w:keepLines/>
        <w:widowControl w:val="0"/>
        <w:jc w:val="left"/>
        <w:rPr>
          <w:rFonts w:eastAsia="黑体"/>
          <w:b w:val="0"/>
          <w:bCs w:val="0"/>
          <w:color w:val="auto"/>
          <w:sz w:val="28"/>
          <w:szCs w:val="28"/>
          <w:highlight w:val="none"/>
        </w:rPr>
      </w:pPr>
      <w:bookmarkStart w:id="850" w:name="_Toc79998865"/>
      <w:bookmarkStart w:id="851" w:name="_Toc300678543"/>
      <w:bookmarkStart w:id="852" w:name="_Toc80006135"/>
      <w:bookmarkStart w:id="853" w:name="_Toc9178562"/>
      <w:bookmarkStart w:id="854" w:name="_Toc79998421"/>
      <w:bookmarkStart w:id="855" w:name="_Toc80006245"/>
      <w:r>
        <w:rPr>
          <w:rFonts w:eastAsia="黑体"/>
          <w:b w:val="0"/>
          <w:bCs w:val="0"/>
          <w:color w:val="auto"/>
          <w:sz w:val="28"/>
          <w:szCs w:val="28"/>
          <w:highlight w:val="none"/>
        </w:rPr>
        <w:t>11.进度报告和进度例会</w:t>
      </w:r>
      <w:bookmarkEnd w:id="850"/>
      <w:bookmarkEnd w:id="851"/>
      <w:bookmarkEnd w:id="852"/>
      <w:bookmarkEnd w:id="853"/>
      <w:bookmarkEnd w:id="854"/>
      <w:bookmarkEnd w:id="855"/>
    </w:p>
    <w:p w14:paraId="18D42FEC">
      <w:pPr>
        <w:pStyle w:val="8"/>
        <w:rPr>
          <w:rFonts w:ascii="Times New Roman" w:hAnsi="Times New Roman" w:eastAsia="黑体"/>
          <w:b w:val="0"/>
          <w:bCs w:val="0"/>
          <w:color w:val="auto"/>
          <w:sz w:val="24"/>
          <w:highlight w:val="none"/>
        </w:rPr>
      </w:pPr>
      <w:bookmarkStart w:id="856" w:name="_Toc300678544"/>
      <w:r>
        <w:rPr>
          <w:rFonts w:ascii="Times New Roman" w:hAnsi="Times New Roman" w:eastAsia="黑体"/>
          <w:b w:val="0"/>
          <w:bCs w:val="0"/>
          <w:color w:val="auto"/>
          <w:sz w:val="24"/>
          <w:highlight w:val="none"/>
        </w:rPr>
        <w:t>11.1 进度报告</w:t>
      </w:r>
      <w:bookmarkEnd w:id="856"/>
    </w:p>
    <w:p w14:paraId="4A8B2FBC">
      <w:pPr>
        <w:spacing w:line="360" w:lineRule="auto"/>
        <w:ind w:firstLine="420" w:firstLineChars="200"/>
        <w:jc w:val="left"/>
        <w:rPr>
          <w:color w:val="auto"/>
          <w:szCs w:val="21"/>
          <w:highlight w:val="none"/>
        </w:rPr>
      </w:pPr>
      <w:r>
        <w:rPr>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14:paraId="7F2844C4">
      <w:pPr>
        <w:spacing w:line="360" w:lineRule="auto"/>
        <w:ind w:firstLine="420" w:firstLineChars="200"/>
        <w:jc w:val="left"/>
        <w:rPr>
          <w:color w:val="auto"/>
          <w:szCs w:val="21"/>
          <w:highlight w:val="none"/>
        </w:rPr>
      </w:pPr>
      <w:r>
        <w:rPr>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686A3D7A">
      <w:pPr>
        <w:spacing w:line="360" w:lineRule="auto"/>
        <w:ind w:firstLine="420" w:firstLineChars="200"/>
        <w:jc w:val="left"/>
        <w:rPr>
          <w:color w:val="auto"/>
          <w:szCs w:val="21"/>
          <w:highlight w:val="none"/>
        </w:rPr>
      </w:pPr>
      <w:r>
        <w:rPr>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3AD2C399">
      <w:pPr>
        <w:spacing w:line="360" w:lineRule="auto"/>
        <w:ind w:left="-21" w:leftChars="-10" w:firstLine="420" w:firstLineChars="200"/>
        <w:jc w:val="left"/>
        <w:rPr>
          <w:color w:val="auto"/>
          <w:szCs w:val="21"/>
          <w:highlight w:val="none"/>
        </w:rPr>
      </w:pPr>
      <w:r>
        <w:rPr>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12DE9542">
      <w:pPr>
        <w:spacing w:line="360" w:lineRule="auto"/>
        <w:ind w:firstLine="420" w:firstLineChars="200"/>
        <w:jc w:val="left"/>
        <w:rPr>
          <w:color w:val="auto"/>
          <w:szCs w:val="21"/>
          <w:highlight w:val="none"/>
        </w:rPr>
      </w:pPr>
      <w:r>
        <w:rPr>
          <w:color w:val="auto"/>
          <w:szCs w:val="21"/>
          <w:highlight w:val="none"/>
        </w:rPr>
        <w:t>11.1.5 各个进度报表的格式和内容应经过监理人的审批。进度报表应如实填写，由承包人委托代理人签名，并报监理人的指定代表签名确认后再行分发。</w:t>
      </w:r>
    </w:p>
    <w:p w14:paraId="2456F8FF">
      <w:pPr>
        <w:spacing w:line="360" w:lineRule="auto"/>
        <w:ind w:firstLine="420" w:firstLineChars="200"/>
        <w:jc w:val="left"/>
        <w:rPr>
          <w:color w:val="auto"/>
          <w:szCs w:val="21"/>
          <w:highlight w:val="none"/>
        </w:rPr>
      </w:pPr>
      <w:r>
        <w:rPr>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14:paraId="3D3F598E">
      <w:pPr>
        <w:spacing w:line="360" w:lineRule="auto"/>
        <w:ind w:firstLine="420" w:firstLineChars="200"/>
        <w:jc w:val="left"/>
        <w:rPr>
          <w:color w:val="auto"/>
          <w:szCs w:val="21"/>
          <w:highlight w:val="none"/>
        </w:rPr>
      </w:pPr>
      <w:r>
        <w:rPr>
          <w:color w:val="auto"/>
          <w:szCs w:val="21"/>
          <w:highlight w:val="none"/>
        </w:rPr>
        <w:t>11.1.7 有关进度报告的其他要求：</w:t>
      </w:r>
      <w:r>
        <w:rPr>
          <w:color w:val="auto"/>
          <w:szCs w:val="21"/>
          <w:highlight w:val="none"/>
          <w:u w:val="single"/>
        </w:rPr>
        <w:t xml:space="preserve">     </w:t>
      </w:r>
      <w:r>
        <w:rPr>
          <w:color w:val="auto"/>
          <w:szCs w:val="21"/>
          <w:highlight w:val="none"/>
        </w:rPr>
        <w:t>。</w:t>
      </w:r>
    </w:p>
    <w:p w14:paraId="18B3C931">
      <w:pPr>
        <w:pStyle w:val="8"/>
        <w:rPr>
          <w:rFonts w:ascii="Times New Roman" w:hAnsi="Times New Roman" w:eastAsia="黑体"/>
          <w:b w:val="0"/>
          <w:bCs w:val="0"/>
          <w:color w:val="auto"/>
          <w:sz w:val="24"/>
          <w:highlight w:val="none"/>
        </w:rPr>
      </w:pPr>
      <w:bookmarkStart w:id="857" w:name="_Toc300678545"/>
      <w:r>
        <w:rPr>
          <w:rFonts w:ascii="Times New Roman" w:hAnsi="Times New Roman" w:eastAsia="黑体"/>
          <w:b w:val="0"/>
          <w:bCs w:val="0"/>
          <w:color w:val="auto"/>
          <w:sz w:val="24"/>
          <w:highlight w:val="none"/>
        </w:rPr>
        <w:t>11.2 进度例会</w:t>
      </w:r>
      <w:bookmarkEnd w:id="857"/>
    </w:p>
    <w:p w14:paraId="0C8B3847">
      <w:pPr>
        <w:spacing w:line="360" w:lineRule="auto"/>
        <w:ind w:firstLine="420" w:firstLineChars="200"/>
        <w:jc w:val="left"/>
        <w:rPr>
          <w:color w:val="auto"/>
          <w:szCs w:val="21"/>
          <w:highlight w:val="none"/>
        </w:rPr>
      </w:pPr>
      <w:r>
        <w:rPr>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3FBB8D31">
      <w:pPr>
        <w:spacing w:line="360" w:lineRule="auto"/>
        <w:ind w:firstLine="420" w:firstLineChars="200"/>
        <w:jc w:val="left"/>
        <w:rPr>
          <w:color w:val="auto"/>
          <w:szCs w:val="21"/>
          <w:highlight w:val="none"/>
        </w:rPr>
      </w:pPr>
      <w:r>
        <w:rPr>
          <w:color w:val="auto"/>
          <w:szCs w:val="21"/>
          <w:highlight w:val="none"/>
        </w:rPr>
        <w:t>11.2.2 进度例会的内容将涉及合同管理、进度协调和工程管理的各个方面，由监理人准备的会议议题将随会议通知在会议召开前至少24小时发给各参会方。</w:t>
      </w:r>
    </w:p>
    <w:p w14:paraId="76E92E35">
      <w:pPr>
        <w:spacing w:line="360" w:lineRule="auto"/>
        <w:ind w:firstLine="420" w:firstLineChars="200"/>
        <w:jc w:val="left"/>
        <w:rPr>
          <w:color w:val="auto"/>
          <w:szCs w:val="21"/>
          <w:highlight w:val="none"/>
        </w:rPr>
      </w:pPr>
      <w:r>
        <w:rPr>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488D05F8">
      <w:pPr>
        <w:spacing w:line="360" w:lineRule="auto"/>
        <w:ind w:firstLine="420" w:firstLineChars="200"/>
        <w:jc w:val="left"/>
        <w:rPr>
          <w:color w:val="auto"/>
          <w:szCs w:val="21"/>
          <w:highlight w:val="none"/>
        </w:rPr>
      </w:pPr>
      <w:r>
        <w:rPr>
          <w:color w:val="auto"/>
          <w:szCs w:val="21"/>
          <w:highlight w:val="none"/>
        </w:rPr>
        <w:t>11.2.4 有关进度例会的其他要求：</w:t>
      </w:r>
      <w:r>
        <w:rPr>
          <w:color w:val="auto"/>
          <w:szCs w:val="21"/>
          <w:highlight w:val="none"/>
          <w:u w:val="single"/>
        </w:rPr>
        <w:t xml:space="preserve">     </w:t>
      </w:r>
      <w:r>
        <w:rPr>
          <w:color w:val="auto"/>
          <w:szCs w:val="21"/>
          <w:highlight w:val="none"/>
        </w:rPr>
        <w:t>。</w:t>
      </w:r>
    </w:p>
    <w:p w14:paraId="29E3CDE2">
      <w:pPr>
        <w:pStyle w:val="7"/>
        <w:keepNext/>
        <w:keepLines/>
        <w:widowControl w:val="0"/>
        <w:jc w:val="left"/>
        <w:rPr>
          <w:rFonts w:eastAsia="黑体"/>
          <w:b w:val="0"/>
          <w:bCs w:val="0"/>
          <w:color w:val="auto"/>
          <w:sz w:val="28"/>
          <w:szCs w:val="28"/>
          <w:highlight w:val="none"/>
        </w:rPr>
      </w:pPr>
      <w:bookmarkStart w:id="858" w:name="_Toc9178563"/>
      <w:bookmarkStart w:id="859" w:name="_Toc79998422"/>
      <w:bookmarkStart w:id="860" w:name="_Toc80006246"/>
      <w:bookmarkStart w:id="861" w:name="_Toc300678546"/>
      <w:bookmarkStart w:id="862" w:name="_Toc79998866"/>
      <w:bookmarkStart w:id="863" w:name="_Toc80006136"/>
      <w:r>
        <w:rPr>
          <w:rFonts w:eastAsia="黑体"/>
          <w:b w:val="0"/>
          <w:bCs w:val="0"/>
          <w:color w:val="auto"/>
          <w:sz w:val="28"/>
          <w:szCs w:val="28"/>
          <w:highlight w:val="none"/>
        </w:rPr>
        <w:t>12.试验和检验</w:t>
      </w:r>
      <w:bookmarkEnd w:id="858"/>
      <w:bookmarkEnd w:id="859"/>
      <w:bookmarkEnd w:id="860"/>
      <w:bookmarkEnd w:id="861"/>
      <w:bookmarkEnd w:id="862"/>
      <w:bookmarkEnd w:id="863"/>
    </w:p>
    <w:p w14:paraId="67A49D91">
      <w:pPr>
        <w:spacing w:line="360" w:lineRule="auto"/>
        <w:ind w:firstLine="420" w:firstLineChars="200"/>
        <w:jc w:val="left"/>
        <w:rPr>
          <w:color w:val="auto"/>
          <w:szCs w:val="21"/>
          <w:highlight w:val="none"/>
        </w:rPr>
      </w:pPr>
      <w:r>
        <w:rPr>
          <w:color w:val="auto"/>
          <w:szCs w:val="21"/>
          <w:highlight w:val="none"/>
        </w:rPr>
        <w:t>12.1 承包人应当按照工程施工验收规范和标准的规定和合同条款的约定，对用于永久工程的主要材料、半成品、成品、建筑构配件、工程设备等进行试验和检验。</w:t>
      </w:r>
    </w:p>
    <w:p w14:paraId="604902FE">
      <w:pPr>
        <w:spacing w:line="360" w:lineRule="auto"/>
        <w:ind w:firstLine="420" w:firstLineChars="200"/>
        <w:jc w:val="left"/>
        <w:rPr>
          <w:color w:val="auto"/>
          <w:szCs w:val="21"/>
          <w:highlight w:val="none"/>
        </w:rPr>
      </w:pPr>
      <w:r>
        <w:rPr>
          <w:color w:val="auto"/>
          <w:szCs w:val="21"/>
          <w:highlight w:val="none"/>
        </w:rPr>
        <w:t>12.2 本工程需要承包人进行试验和检验的材料、工程设备和工艺如下：</w:t>
      </w:r>
      <w:r>
        <w:rPr>
          <w:color w:val="auto"/>
          <w:szCs w:val="21"/>
          <w:highlight w:val="none"/>
          <w:u w:val="single"/>
        </w:rPr>
        <w:t xml:space="preserve">     </w:t>
      </w:r>
      <w:r>
        <w:rPr>
          <w:color w:val="auto"/>
          <w:szCs w:val="21"/>
          <w:highlight w:val="none"/>
        </w:rPr>
        <w:t>。</w:t>
      </w:r>
    </w:p>
    <w:p w14:paraId="3AF5611E">
      <w:pPr>
        <w:spacing w:line="360" w:lineRule="auto"/>
        <w:ind w:firstLine="420" w:firstLineChars="200"/>
        <w:jc w:val="left"/>
        <w:rPr>
          <w:color w:val="auto"/>
          <w:szCs w:val="21"/>
          <w:highlight w:val="none"/>
        </w:rPr>
      </w:pPr>
      <w:r>
        <w:rPr>
          <w:color w:val="auto"/>
          <w:szCs w:val="21"/>
          <w:highlight w:val="none"/>
        </w:rPr>
        <w:t>监理人可以根据工程需要，指示承包人进行其他现场材料和工艺的试验和检验。</w:t>
      </w:r>
    </w:p>
    <w:p w14:paraId="2FE04E55">
      <w:pPr>
        <w:spacing w:line="360" w:lineRule="auto"/>
        <w:ind w:firstLine="420" w:firstLineChars="200"/>
        <w:jc w:val="left"/>
        <w:rPr>
          <w:color w:val="auto"/>
          <w:szCs w:val="21"/>
          <w:highlight w:val="none"/>
        </w:rPr>
      </w:pPr>
      <w:r>
        <w:rPr>
          <w:color w:val="auto"/>
          <w:szCs w:val="21"/>
          <w:highlight w:val="none"/>
        </w:rPr>
        <w:t xml:space="preserve">12.3 </w:t>
      </w:r>
      <w:r>
        <w:rPr>
          <w:color w:val="auto"/>
          <w:spacing w:val="4"/>
          <w:szCs w:val="21"/>
          <w:highlight w:val="none"/>
        </w:rPr>
        <w:t>本工程需要由监理人和承包人共同进行试验和检验的材料、工程设备和工艺如下：</w:t>
      </w:r>
      <w:r>
        <w:rPr>
          <w:color w:val="auto"/>
          <w:szCs w:val="21"/>
          <w:highlight w:val="none"/>
          <w:u w:val="single"/>
        </w:rPr>
        <w:t xml:space="preserve">     </w:t>
      </w:r>
      <w:r>
        <w:rPr>
          <w:color w:val="auto"/>
          <w:szCs w:val="21"/>
          <w:highlight w:val="none"/>
        </w:rPr>
        <w:t>。</w:t>
      </w:r>
    </w:p>
    <w:p w14:paraId="586A5AFE">
      <w:pPr>
        <w:spacing w:line="360" w:lineRule="auto"/>
        <w:ind w:firstLine="420" w:firstLineChars="200"/>
        <w:jc w:val="left"/>
        <w:rPr>
          <w:color w:val="auto"/>
          <w:szCs w:val="21"/>
          <w:highlight w:val="none"/>
        </w:rPr>
      </w:pPr>
      <w:r>
        <w:rPr>
          <w:color w:val="auto"/>
          <w:szCs w:val="21"/>
          <w:highlight w:val="none"/>
        </w:rPr>
        <w:t>12.4 本条上述约定需要进行检验的材料、工程设备和工艺在经过检验并获得监理人批准以前，不得用于任何永久工程。</w:t>
      </w:r>
    </w:p>
    <w:p w14:paraId="4B1DCA51">
      <w:pPr>
        <w:spacing w:line="360" w:lineRule="auto"/>
        <w:ind w:firstLine="420" w:firstLineChars="200"/>
        <w:jc w:val="left"/>
        <w:rPr>
          <w:color w:val="auto"/>
          <w:szCs w:val="21"/>
          <w:highlight w:val="none"/>
        </w:rPr>
      </w:pPr>
      <w:r>
        <w:rPr>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312C8B4E">
      <w:pPr>
        <w:spacing w:line="360" w:lineRule="auto"/>
        <w:ind w:firstLine="420" w:firstLineChars="200"/>
        <w:jc w:val="left"/>
        <w:rPr>
          <w:color w:val="auto"/>
          <w:szCs w:val="21"/>
          <w:highlight w:val="none"/>
        </w:rPr>
      </w:pPr>
      <w:r>
        <w:rPr>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3841DB9F">
      <w:pPr>
        <w:spacing w:line="360" w:lineRule="auto"/>
        <w:ind w:firstLine="420" w:firstLineChars="200"/>
        <w:jc w:val="left"/>
        <w:rPr>
          <w:color w:val="auto"/>
          <w:szCs w:val="21"/>
          <w:highlight w:val="none"/>
        </w:rPr>
      </w:pPr>
      <w:r>
        <w:rPr>
          <w:color w:val="auto"/>
          <w:szCs w:val="21"/>
          <w:highlight w:val="none"/>
        </w:rPr>
        <w:t>12.7 承包人应在监理人的监督下，对涉及结构安全的试块、试件以及有关材料进行现场取样，并送质量检测单位进行检测。</w:t>
      </w:r>
    </w:p>
    <w:p w14:paraId="0016B873">
      <w:pPr>
        <w:spacing w:line="360" w:lineRule="auto"/>
        <w:ind w:firstLine="420" w:firstLineChars="200"/>
        <w:jc w:val="left"/>
        <w:rPr>
          <w:color w:val="auto"/>
          <w:szCs w:val="21"/>
          <w:highlight w:val="none"/>
        </w:rPr>
      </w:pPr>
      <w:r>
        <w:rPr>
          <w:color w:val="auto"/>
          <w:szCs w:val="21"/>
          <w:highlight w:val="none"/>
        </w:rPr>
        <w:t>12.8  除合同另有约定外，承包人应负担本合同项下的所有材料、工程设备和工艺检验的费用。</w:t>
      </w:r>
    </w:p>
    <w:p w14:paraId="4DC863AD">
      <w:pPr>
        <w:pStyle w:val="7"/>
        <w:keepNext/>
        <w:keepLines/>
        <w:widowControl w:val="0"/>
        <w:jc w:val="left"/>
        <w:rPr>
          <w:rFonts w:eastAsia="黑体"/>
          <w:b w:val="0"/>
          <w:bCs w:val="0"/>
          <w:color w:val="auto"/>
          <w:sz w:val="28"/>
          <w:szCs w:val="28"/>
          <w:highlight w:val="none"/>
        </w:rPr>
      </w:pPr>
      <w:bookmarkStart w:id="864" w:name="_Toc9178564"/>
      <w:bookmarkStart w:id="865" w:name="_Toc79998423"/>
      <w:bookmarkStart w:id="866" w:name="_Toc79998867"/>
      <w:bookmarkStart w:id="867" w:name="_Toc80006137"/>
      <w:bookmarkStart w:id="868" w:name="_Toc80006247"/>
      <w:bookmarkStart w:id="869" w:name="_Toc300678547"/>
      <w:r>
        <w:rPr>
          <w:rFonts w:eastAsia="黑体"/>
          <w:b w:val="0"/>
          <w:bCs w:val="0"/>
          <w:color w:val="auto"/>
          <w:sz w:val="28"/>
          <w:szCs w:val="28"/>
          <w:highlight w:val="none"/>
        </w:rPr>
        <w:t>13.计日工</w:t>
      </w:r>
      <w:bookmarkEnd w:id="864"/>
      <w:bookmarkEnd w:id="865"/>
      <w:bookmarkEnd w:id="866"/>
      <w:bookmarkEnd w:id="867"/>
      <w:bookmarkEnd w:id="868"/>
      <w:bookmarkEnd w:id="869"/>
    </w:p>
    <w:p w14:paraId="1A843AE9">
      <w:pPr>
        <w:spacing w:line="360" w:lineRule="auto"/>
        <w:ind w:firstLine="420" w:firstLineChars="200"/>
        <w:jc w:val="left"/>
        <w:rPr>
          <w:color w:val="auto"/>
          <w:szCs w:val="21"/>
          <w:highlight w:val="none"/>
        </w:rPr>
      </w:pPr>
      <w:r>
        <w:rPr>
          <w:color w:val="auto"/>
          <w:szCs w:val="21"/>
          <w:highlight w:val="none"/>
        </w:rPr>
        <w:t>13.1 合同条款约定的计日工，一般适用于合同约定之外的或者因变更而产生的、工程量清单中没有设立相应项目或者即便有相应项目但因工作条件发生变化而无法适用的额外工作，尤其是那些时间不允许事先商定价格的额外工作。计日工在发包人认为必要时，由监理人按合同条款约定通知承包人实施。</w:t>
      </w:r>
    </w:p>
    <w:p w14:paraId="351B261C">
      <w:pPr>
        <w:spacing w:line="360" w:lineRule="auto"/>
        <w:ind w:firstLine="420" w:firstLineChars="200"/>
        <w:jc w:val="left"/>
        <w:rPr>
          <w:color w:val="auto"/>
          <w:szCs w:val="21"/>
          <w:highlight w:val="none"/>
        </w:rPr>
      </w:pPr>
      <w:r>
        <w:rPr>
          <w:color w:val="auto"/>
          <w:szCs w:val="21"/>
          <w:highlight w:val="none"/>
        </w:rPr>
        <w:t>13.2 在工程实际开工后14天内，承包人应当按合同条款约定的计日工报表内容，准备一份计日工日报表的格式，报送监理人审批，监理人应当在收到之日后7天内给予批复或提出修改意见。</w:t>
      </w:r>
    </w:p>
    <w:p w14:paraId="086FA97B">
      <w:pPr>
        <w:spacing w:line="360" w:lineRule="auto"/>
        <w:ind w:firstLine="420" w:firstLineChars="200"/>
        <w:jc w:val="left"/>
        <w:rPr>
          <w:color w:val="auto"/>
          <w:szCs w:val="21"/>
          <w:highlight w:val="none"/>
        </w:rPr>
      </w:pPr>
      <w:r>
        <w:rPr>
          <w:color w:val="auto"/>
          <w:szCs w:val="21"/>
          <w:highlight w:val="none"/>
        </w:rPr>
        <w:t>13.3 按计日工实施相关变更的过程中，承包人应当按经监理人批准的计日工日报表格式，每天提交计日工报表和有关凭证，报送监理人审批，监理人应当在收到相关报表和凭证后24小时内给予批复。</w:t>
      </w:r>
    </w:p>
    <w:p w14:paraId="0E80BE57">
      <w:pPr>
        <w:spacing w:line="360" w:lineRule="auto"/>
        <w:ind w:firstLine="420" w:firstLineChars="200"/>
        <w:jc w:val="left"/>
        <w:rPr>
          <w:color w:val="auto"/>
          <w:szCs w:val="21"/>
          <w:highlight w:val="none"/>
        </w:rPr>
      </w:pPr>
      <w:r>
        <w:rPr>
          <w:color w:val="auto"/>
          <w:szCs w:val="21"/>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3E2305EA">
      <w:pPr>
        <w:spacing w:line="360" w:lineRule="auto"/>
        <w:ind w:firstLine="420" w:firstLineChars="200"/>
        <w:jc w:val="left"/>
        <w:rPr>
          <w:color w:val="auto"/>
          <w:szCs w:val="21"/>
          <w:highlight w:val="none"/>
        </w:rPr>
      </w:pPr>
      <w:r>
        <w:rPr>
          <w:color w:val="auto"/>
          <w:szCs w:val="21"/>
          <w:highlight w:val="none"/>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05EE9F4A">
      <w:pPr>
        <w:spacing w:line="360" w:lineRule="auto"/>
        <w:ind w:firstLine="420" w:firstLineChars="200"/>
        <w:jc w:val="left"/>
        <w:rPr>
          <w:color w:val="auto"/>
          <w:szCs w:val="21"/>
          <w:highlight w:val="none"/>
        </w:rPr>
      </w:pPr>
      <w:r>
        <w:rPr>
          <w:color w:val="auto"/>
          <w:szCs w:val="21"/>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5C015C89">
      <w:pPr>
        <w:spacing w:line="360" w:lineRule="auto"/>
        <w:ind w:firstLine="420" w:firstLineChars="200"/>
        <w:jc w:val="left"/>
        <w:rPr>
          <w:color w:val="auto"/>
          <w:szCs w:val="21"/>
          <w:highlight w:val="none"/>
        </w:rPr>
      </w:pPr>
      <w:r>
        <w:rPr>
          <w:color w:val="auto"/>
          <w:szCs w:val="21"/>
          <w:highlight w:val="none"/>
        </w:rPr>
        <w:t>13.7 关于计日工的其他约定：</w:t>
      </w:r>
      <w:r>
        <w:rPr>
          <w:color w:val="auto"/>
          <w:szCs w:val="21"/>
          <w:highlight w:val="none"/>
          <w:u w:val="single"/>
        </w:rPr>
        <w:t xml:space="preserve">     </w:t>
      </w:r>
      <w:r>
        <w:rPr>
          <w:color w:val="auto"/>
          <w:szCs w:val="21"/>
          <w:highlight w:val="none"/>
        </w:rPr>
        <w:t>。</w:t>
      </w:r>
    </w:p>
    <w:p w14:paraId="7A662293">
      <w:pPr>
        <w:pStyle w:val="7"/>
        <w:keepNext/>
        <w:keepLines/>
        <w:widowControl w:val="0"/>
        <w:jc w:val="left"/>
        <w:rPr>
          <w:rFonts w:eastAsia="黑体"/>
          <w:b w:val="0"/>
          <w:bCs w:val="0"/>
          <w:color w:val="auto"/>
          <w:sz w:val="28"/>
          <w:szCs w:val="28"/>
          <w:highlight w:val="none"/>
        </w:rPr>
      </w:pPr>
      <w:bookmarkStart w:id="870" w:name="_Toc9178565"/>
      <w:bookmarkStart w:id="871" w:name="_Toc79998424"/>
      <w:bookmarkStart w:id="872" w:name="_Toc80006138"/>
      <w:bookmarkStart w:id="873" w:name="_Toc80006248"/>
      <w:bookmarkStart w:id="874" w:name="_Toc300678548"/>
      <w:bookmarkStart w:id="875" w:name="_Toc79998868"/>
      <w:r>
        <w:rPr>
          <w:rFonts w:eastAsia="黑体"/>
          <w:b w:val="0"/>
          <w:bCs w:val="0"/>
          <w:color w:val="auto"/>
          <w:sz w:val="28"/>
          <w:szCs w:val="28"/>
          <w:highlight w:val="none"/>
        </w:rPr>
        <w:t>14.计量与支付</w:t>
      </w:r>
      <w:bookmarkEnd w:id="870"/>
      <w:bookmarkEnd w:id="871"/>
      <w:bookmarkEnd w:id="872"/>
      <w:bookmarkEnd w:id="873"/>
      <w:bookmarkEnd w:id="874"/>
      <w:bookmarkEnd w:id="875"/>
    </w:p>
    <w:p w14:paraId="32AB05EA">
      <w:pPr>
        <w:pStyle w:val="8"/>
        <w:rPr>
          <w:rFonts w:ascii="Times New Roman" w:hAnsi="Times New Roman" w:eastAsia="黑体"/>
          <w:b w:val="0"/>
          <w:bCs w:val="0"/>
          <w:color w:val="auto"/>
          <w:sz w:val="24"/>
          <w:highlight w:val="none"/>
        </w:rPr>
      </w:pPr>
      <w:bookmarkStart w:id="876" w:name="_Toc300678549"/>
      <w:r>
        <w:rPr>
          <w:rFonts w:ascii="Times New Roman" w:hAnsi="Times New Roman" w:eastAsia="黑体"/>
          <w:b w:val="0"/>
          <w:bCs w:val="0"/>
          <w:color w:val="auto"/>
          <w:sz w:val="24"/>
          <w:highlight w:val="none"/>
        </w:rPr>
        <w:t>14.1 付款申请单</w:t>
      </w:r>
      <w:bookmarkEnd w:id="876"/>
    </w:p>
    <w:p w14:paraId="2A8EB7B3">
      <w:pPr>
        <w:spacing w:line="360" w:lineRule="auto"/>
        <w:ind w:firstLine="420" w:firstLineChars="200"/>
        <w:jc w:val="left"/>
        <w:rPr>
          <w:color w:val="auto"/>
          <w:szCs w:val="21"/>
          <w:highlight w:val="none"/>
        </w:rPr>
      </w:pPr>
      <w:r>
        <w:rPr>
          <w:color w:val="auto"/>
          <w:szCs w:val="21"/>
          <w:highlight w:val="none"/>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14:paraId="1470ED28">
      <w:pPr>
        <w:spacing w:line="360" w:lineRule="auto"/>
        <w:ind w:firstLine="420" w:firstLineChars="200"/>
        <w:jc w:val="left"/>
        <w:rPr>
          <w:color w:val="auto"/>
          <w:szCs w:val="21"/>
          <w:highlight w:val="none"/>
        </w:rPr>
      </w:pPr>
      <w:r>
        <w:rPr>
          <w:color w:val="auto"/>
          <w:szCs w:val="21"/>
          <w:highlight w:val="none"/>
        </w:rPr>
        <w:t>14.1.2 根据合同条款，承包人应当在合同约定的每个付款周期末，对当期完成的各项工程量进行计量和计价，并按照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6322F5CE">
      <w:pPr>
        <w:spacing w:line="360" w:lineRule="auto"/>
        <w:ind w:firstLine="420" w:firstLineChars="200"/>
        <w:jc w:val="left"/>
        <w:rPr>
          <w:color w:val="auto"/>
          <w:szCs w:val="21"/>
          <w:highlight w:val="none"/>
        </w:rPr>
      </w:pPr>
      <w:r>
        <w:rPr>
          <w:color w:val="auto"/>
          <w:szCs w:val="21"/>
          <w:highlight w:val="none"/>
        </w:rPr>
        <w:t>14.1.3 竣工付款申请单的内容按合同条款的约定。采用单价合同形式的，竣工付款申请单应当附上按合同条款确定的结算工程量和最近一</w:t>
      </w:r>
      <w:r>
        <w:rPr>
          <w:rFonts w:hint="eastAsia"/>
          <w:color w:val="auto"/>
          <w:szCs w:val="21"/>
          <w:highlight w:val="none"/>
          <w:lang w:val="en-US" w:eastAsia="zh-CN"/>
        </w:rPr>
        <w:t>次</w:t>
      </w:r>
      <w:r>
        <w:rPr>
          <w:color w:val="auto"/>
          <w:szCs w:val="21"/>
          <w:highlight w:val="none"/>
        </w:rPr>
        <w:t>进度付款和竣工付款之间完成的各项目的工程量计量文件。采用总价合同形式的，签约合同价所基于的工程量就是相应的竣工结算工程量，但是，变更应按合同约定进行计量和计价。</w:t>
      </w:r>
    </w:p>
    <w:p w14:paraId="6B58294F">
      <w:pPr>
        <w:spacing w:line="360" w:lineRule="auto"/>
        <w:ind w:firstLine="420" w:firstLineChars="200"/>
        <w:jc w:val="left"/>
        <w:rPr>
          <w:color w:val="auto"/>
          <w:szCs w:val="21"/>
          <w:highlight w:val="none"/>
        </w:rPr>
      </w:pPr>
      <w:r>
        <w:rPr>
          <w:color w:val="auto"/>
          <w:szCs w:val="21"/>
          <w:highlight w:val="none"/>
        </w:rPr>
        <w:t>14.1.4 竣工结算总价（合同价格）应当按以下内容梳理：</w:t>
      </w:r>
    </w:p>
    <w:p w14:paraId="3B40AB96">
      <w:pPr>
        <w:spacing w:line="360" w:lineRule="auto"/>
        <w:ind w:firstLine="420" w:firstLineChars="200"/>
        <w:jc w:val="left"/>
        <w:rPr>
          <w:color w:val="auto"/>
          <w:szCs w:val="21"/>
          <w:highlight w:val="none"/>
        </w:rPr>
      </w:pPr>
      <w:r>
        <w:rPr>
          <w:color w:val="auto"/>
          <w:szCs w:val="21"/>
          <w:highlight w:val="none"/>
        </w:rPr>
        <w:t>（1）签约合同价；</w:t>
      </w:r>
    </w:p>
    <w:p w14:paraId="45D60BC0">
      <w:pPr>
        <w:spacing w:line="360" w:lineRule="auto"/>
        <w:ind w:firstLine="420" w:firstLineChars="200"/>
        <w:jc w:val="left"/>
        <w:rPr>
          <w:color w:val="auto"/>
          <w:szCs w:val="21"/>
          <w:highlight w:val="none"/>
        </w:rPr>
      </w:pPr>
      <w:r>
        <w:rPr>
          <w:color w:val="auto"/>
          <w:szCs w:val="21"/>
          <w:highlight w:val="none"/>
        </w:rPr>
        <w:t>（2）应当扣减的项目；</w:t>
      </w:r>
    </w:p>
    <w:p w14:paraId="3A1BA8E4">
      <w:pPr>
        <w:spacing w:line="360" w:lineRule="auto"/>
        <w:ind w:firstLine="420" w:firstLineChars="200"/>
        <w:jc w:val="left"/>
        <w:rPr>
          <w:color w:val="auto"/>
          <w:szCs w:val="21"/>
          <w:highlight w:val="none"/>
        </w:rPr>
      </w:pPr>
      <w:r>
        <w:rPr>
          <w:color w:val="auto"/>
          <w:szCs w:val="21"/>
          <w:highlight w:val="none"/>
        </w:rPr>
        <w:t>1）所有暂列金额；</w:t>
      </w:r>
    </w:p>
    <w:p w14:paraId="1618DD4E">
      <w:pPr>
        <w:spacing w:line="360" w:lineRule="auto"/>
        <w:ind w:firstLine="420" w:firstLineChars="200"/>
        <w:jc w:val="left"/>
        <w:rPr>
          <w:color w:val="auto"/>
          <w:szCs w:val="21"/>
          <w:highlight w:val="none"/>
        </w:rPr>
      </w:pPr>
      <w:r>
        <w:rPr>
          <w:color w:val="auto"/>
          <w:szCs w:val="21"/>
          <w:highlight w:val="none"/>
        </w:rPr>
        <w:t>2）所有暂估价；</w:t>
      </w:r>
    </w:p>
    <w:p w14:paraId="7155D7AF">
      <w:pPr>
        <w:spacing w:line="360" w:lineRule="auto"/>
        <w:ind w:firstLine="420" w:firstLineChars="200"/>
        <w:jc w:val="left"/>
        <w:rPr>
          <w:color w:val="auto"/>
          <w:szCs w:val="21"/>
          <w:highlight w:val="none"/>
        </w:rPr>
      </w:pPr>
      <w:r>
        <w:rPr>
          <w:color w:val="auto"/>
          <w:szCs w:val="21"/>
          <w:highlight w:val="none"/>
        </w:rPr>
        <w:t>3）根据合同条款应扣减的变更金额；</w:t>
      </w:r>
    </w:p>
    <w:p w14:paraId="35A5702F">
      <w:pPr>
        <w:spacing w:line="360" w:lineRule="auto"/>
        <w:ind w:firstLine="420" w:firstLineChars="200"/>
        <w:jc w:val="left"/>
        <w:rPr>
          <w:color w:val="auto"/>
          <w:szCs w:val="21"/>
          <w:highlight w:val="none"/>
        </w:rPr>
      </w:pPr>
      <w:r>
        <w:rPr>
          <w:color w:val="auto"/>
          <w:szCs w:val="21"/>
          <w:highlight w:val="none"/>
        </w:rPr>
        <w:t>4）根据合同条款应扣减的价格调整（下调部分）；</w:t>
      </w:r>
    </w:p>
    <w:p w14:paraId="6643A6D4">
      <w:pPr>
        <w:spacing w:line="360" w:lineRule="auto"/>
        <w:ind w:firstLine="420" w:firstLineChars="200"/>
        <w:jc w:val="left"/>
        <w:rPr>
          <w:color w:val="auto"/>
          <w:szCs w:val="21"/>
          <w:highlight w:val="none"/>
        </w:rPr>
      </w:pPr>
      <w:r>
        <w:rPr>
          <w:color w:val="auto"/>
          <w:szCs w:val="21"/>
          <w:highlight w:val="none"/>
        </w:rPr>
        <w:t>5）根据合同条款应扣减的发包人索赔金额；</w:t>
      </w:r>
    </w:p>
    <w:p w14:paraId="403F89D1">
      <w:pPr>
        <w:spacing w:line="360" w:lineRule="auto"/>
        <w:ind w:firstLine="420" w:firstLineChars="200"/>
        <w:jc w:val="left"/>
        <w:rPr>
          <w:color w:val="auto"/>
          <w:szCs w:val="21"/>
          <w:highlight w:val="none"/>
        </w:rPr>
      </w:pPr>
      <w:r>
        <w:rPr>
          <w:color w:val="auto"/>
          <w:szCs w:val="21"/>
          <w:highlight w:val="none"/>
        </w:rPr>
        <w:t>6）甩项工程的合同价值（如果有）；</w:t>
      </w:r>
    </w:p>
    <w:p w14:paraId="409FBD67">
      <w:pPr>
        <w:spacing w:line="360" w:lineRule="auto"/>
        <w:ind w:firstLine="420" w:firstLineChars="200"/>
        <w:jc w:val="left"/>
        <w:rPr>
          <w:color w:val="auto"/>
          <w:szCs w:val="21"/>
          <w:highlight w:val="none"/>
        </w:rPr>
      </w:pPr>
      <w:r>
        <w:rPr>
          <w:color w:val="auto"/>
          <w:szCs w:val="21"/>
          <w:highlight w:val="none"/>
        </w:rPr>
        <w:t>7）根据合同约定发包人应扣减的其他金额。</w:t>
      </w:r>
    </w:p>
    <w:p w14:paraId="5B091801">
      <w:pPr>
        <w:spacing w:line="360" w:lineRule="auto"/>
        <w:ind w:firstLine="420" w:firstLineChars="200"/>
        <w:jc w:val="left"/>
        <w:rPr>
          <w:color w:val="auto"/>
          <w:szCs w:val="21"/>
          <w:highlight w:val="none"/>
        </w:rPr>
      </w:pPr>
      <w:r>
        <w:rPr>
          <w:color w:val="auto"/>
          <w:szCs w:val="21"/>
          <w:highlight w:val="none"/>
        </w:rPr>
        <w:t>（3）应当增加的项目；</w:t>
      </w:r>
    </w:p>
    <w:p w14:paraId="4E6FC9E8">
      <w:pPr>
        <w:spacing w:line="360" w:lineRule="auto"/>
        <w:ind w:firstLine="420" w:firstLineChars="200"/>
        <w:jc w:val="left"/>
        <w:rPr>
          <w:color w:val="auto"/>
          <w:szCs w:val="21"/>
          <w:highlight w:val="none"/>
        </w:rPr>
      </w:pPr>
      <w:r>
        <w:rPr>
          <w:color w:val="auto"/>
          <w:szCs w:val="21"/>
          <w:highlight w:val="none"/>
        </w:rPr>
        <w:t>1）实际发生的暂列金额（包括计日工）；</w:t>
      </w:r>
    </w:p>
    <w:p w14:paraId="45572F80">
      <w:pPr>
        <w:spacing w:line="360" w:lineRule="auto"/>
        <w:ind w:firstLine="420" w:firstLineChars="200"/>
        <w:jc w:val="left"/>
        <w:rPr>
          <w:color w:val="auto"/>
          <w:szCs w:val="21"/>
          <w:highlight w:val="none"/>
        </w:rPr>
      </w:pPr>
      <w:r>
        <w:rPr>
          <w:color w:val="auto"/>
          <w:szCs w:val="21"/>
          <w:highlight w:val="none"/>
        </w:rPr>
        <w:t>2）实际发生的暂估价；</w:t>
      </w:r>
    </w:p>
    <w:p w14:paraId="633E55D4">
      <w:pPr>
        <w:spacing w:line="360" w:lineRule="auto"/>
        <w:ind w:firstLine="420" w:firstLineChars="200"/>
        <w:jc w:val="left"/>
        <w:rPr>
          <w:color w:val="auto"/>
          <w:szCs w:val="21"/>
          <w:highlight w:val="none"/>
        </w:rPr>
      </w:pPr>
      <w:r>
        <w:rPr>
          <w:color w:val="auto"/>
          <w:szCs w:val="21"/>
          <w:highlight w:val="none"/>
        </w:rPr>
        <w:t>3）根据合同条款应增加的变更金额；</w:t>
      </w:r>
    </w:p>
    <w:p w14:paraId="1D1B29A4">
      <w:pPr>
        <w:spacing w:line="360" w:lineRule="auto"/>
        <w:ind w:firstLine="420" w:firstLineChars="200"/>
        <w:jc w:val="left"/>
        <w:rPr>
          <w:color w:val="auto"/>
          <w:szCs w:val="21"/>
          <w:highlight w:val="none"/>
        </w:rPr>
      </w:pPr>
      <w:r>
        <w:rPr>
          <w:color w:val="auto"/>
          <w:szCs w:val="21"/>
          <w:highlight w:val="none"/>
        </w:rPr>
        <w:t>4）根据合同条款应增加的价格调整（上调部分）；</w:t>
      </w:r>
    </w:p>
    <w:p w14:paraId="72C371FE">
      <w:pPr>
        <w:spacing w:line="360" w:lineRule="auto"/>
        <w:ind w:firstLine="420" w:firstLineChars="200"/>
        <w:jc w:val="left"/>
        <w:rPr>
          <w:color w:val="auto"/>
          <w:szCs w:val="21"/>
          <w:highlight w:val="none"/>
        </w:rPr>
      </w:pPr>
      <w:r>
        <w:rPr>
          <w:color w:val="auto"/>
          <w:szCs w:val="21"/>
          <w:highlight w:val="none"/>
        </w:rPr>
        <w:t>5）根据合同条款应增加的承包人索赔金额；</w:t>
      </w:r>
    </w:p>
    <w:p w14:paraId="33A1B24A">
      <w:pPr>
        <w:spacing w:line="360" w:lineRule="auto"/>
        <w:ind w:firstLine="420" w:firstLineChars="200"/>
        <w:jc w:val="left"/>
        <w:rPr>
          <w:color w:val="auto"/>
          <w:szCs w:val="21"/>
          <w:highlight w:val="none"/>
        </w:rPr>
      </w:pPr>
      <w:r>
        <w:rPr>
          <w:color w:val="auto"/>
          <w:szCs w:val="21"/>
          <w:highlight w:val="none"/>
        </w:rPr>
        <w:t>6）根据合同约定承包人应当得到的其他金额。</w:t>
      </w:r>
    </w:p>
    <w:p w14:paraId="114CE1EC">
      <w:pPr>
        <w:spacing w:line="360" w:lineRule="auto"/>
        <w:ind w:firstLine="420" w:firstLineChars="200"/>
        <w:jc w:val="left"/>
        <w:rPr>
          <w:color w:val="auto"/>
          <w:szCs w:val="21"/>
          <w:highlight w:val="none"/>
        </w:rPr>
      </w:pPr>
      <w:r>
        <w:rPr>
          <w:color w:val="auto"/>
          <w:szCs w:val="21"/>
          <w:highlight w:val="none"/>
        </w:rPr>
        <w:t>（4）规费和税金差额部分。</w:t>
      </w:r>
    </w:p>
    <w:p w14:paraId="5F91EC60">
      <w:pPr>
        <w:spacing w:line="360" w:lineRule="auto"/>
        <w:ind w:firstLine="420" w:firstLineChars="200"/>
        <w:jc w:val="left"/>
        <w:rPr>
          <w:color w:val="auto"/>
          <w:szCs w:val="21"/>
          <w:highlight w:val="none"/>
        </w:rPr>
      </w:pPr>
      <w:r>
        <w:rPr>
          <w:color w:val="auto"/>
          <w:szCs w:val="21"/>
          <w:highlight w:val="none"/>
        </w:rPr>
        <w:t>14.1.5 最终结清申请单的应付金额应当按下列内容梳理：</w:t>
      </w:r>
    </w:p>
    <w:p w14:paraId="194A6D47">
      <w:pPr>
        <w:spacing w:line="360" w:lineRule="auto"/>
        <w:ind w:firstLine="420" w:firstLineChars="200"/>
        <w:jc w:val="left"/>
        <w:rPr>
          <w:color w:val="auto"/>
          <w:szCs w:val="21"/>
          <w:highlight w:val="none"/>
        </w:rPr>
      </w:pPr>
      <w:r>
        <w:rPr>
          <w:color w:val="auto"/>
          <w:szCs w:val="21"/>
          <w:highlight w:val="none"/>
        </w:rPr>
        <w:t>（1）按合同约定扣留的质量保证金；</w:t>
      </w:r>
    </w:p>
    <w:p w14:paraId="0A00C043">
      <w:pPr>
        <w:spacing w:line="360" w:lineRule="auto"/>
        <w:ind w:firstLine="420" w:firstLineChars="200"/>
        <w:jc w:val="left"/>
        <w:rPr>
          <w:color w:val="auto"/>
          <w:szCs w:val="21"/>
          <w:highlight w:val="none"/>
        </w:rPr>
      </w:pPr>
      <w:r>
        <w:rPr>
          <w:color w:val="auto"/>
          <w:szCs w:val="21"/>
          <w:highlight w:val="none"/>
        </w:rPr>
        <w:t>（2）应当扣除的金额：</w:t>
      </w:r>
    </w:p>
    <w:p w14:paraId="549DEA3E">
      <w:pPr>
        <w:spacing w:line="360" w:lineRule="auto"/>
        <w:ind w:firstLine="420" w:firstLineChars="200"/>
        <w:jc w:val="left"/>
        <w:rPr>
          <w:color w:val="auto"/>
          <w:szCs w:val="21"/>
          <w:highlight w:val="none"/>
        </w:rPr>
      </w:pPr>
      <w:r>
        <w:rPr>
          <w:color w:val="auto"/>
          <w:szCs w:val="21"/>
          <w:highlight w:val="none"/>
        </w:rPr>
        <w:t>1）按合同条款约定扣留的质量保证金；</w:t>
      </w:r>
    </w:p>
    <w:p w14:paraId="27722944">
      <w:pPr>
        <w:spacing w:line="360" w:lineRule="auto"/>
        <w:ind w:firstLine="420" w:firstLineChars="200"/>
        <w:jc w:val="left"/>
        <w:rPr>
          <w:color w:val="auto"/>
          <w:szCs w:val="21"/>
          <w:highlight w:val="none"/>
        </w:rPr>
      </w:pPr>
      <w:r>
        <w:rPr>
          <w:color w:val="auto"/>
          <w:szCs w:val="21"/>
          <w:highlight w:val="none"/>
        </w:rPr>
        <w:t>2）按合同条款约定扣除的质量保证金；</w:t>
      </w:r>
    </w:p>
    <w:p w14:paraId="5E78BC89">
      <w:pPr>
        <w:spacing w:line="360" w:lineRule="auto"/>
        <w:ind w:firstLine="420" w:firstLineChars="200"/>
        <w:jc w:val="left"/>
        <w:rPr>
          <w:color w:val="auto"/>
          <w:szCs w:val="21"/>
          <w:highlight w:val="none"/>
        </w:rPr>
      </w:pPr>
      <w:r>
        <w:rPr>
          <w:color w:val="auto"/>
          <w:szCs w:val="21"/>
          <w:highlight w:val="none"/>
        </w:rPr>
        <w:t>3）根据合同条款应扣减的缺陷责任期内发生的发包人索赔金额；</w:t>
      </w:r>
    </w:p>
    <w:p w14:paraId="7127743A">
      <w:pPr>
        <w:spacing w:line="360" w:lineRule="auto"/>
        <w:ind w:firstLine="420" w:firstLineChars="200"/>
        <w:jc w:val="left"/>
        <w:rPr>
          <w:color w:val="auto"/>
          <w:szCs w:val="21"/>
          <w:highlight w:val="none"/>
        </w:rPr>
      </w:pPr>
      <w:r>
        <w:rPr>
          <w:color w:val="auto"/>
          <w:szCs w:val="21"/>
          <w:highlight w:val="none"/>
        </w:rPr>
        <w:t>4）根据合同约定应扣减的其他金额。</w:t>
      </w:r>
    </w:p>
    <w:p w14:paraId="4432D479">
      <w:pPr>
        <w:spacing w:line="360" w:lineRule="auto"/>
        <w:ind w:firstLine="420" w:firstLineChars="200"/>
        <w:jc w:val="left"/>
        <w:rPr>
          <w:color w:val="auto"/>
          <w:szCs w:val="21"/>
          <w:highlight w:val="none"/>
        </w:rPr>
      </w:pPr>
      <w:r>
        <w:rPr>
          <w:color w:val="auto"/>
          <w:szCs w:val="21"/>
          <w:highlight w:val="none"/>
        </w:rPr>
        <w:t>（3）应当增加的金额：</w:t>
      </w:r>
    </w:p>
    <w:p w14:paraId="3438A737">
      <w:pPr>
        <w:spacing w:line="360" w:lineRule="auto"/>
        <w:ind w:firstLine="420" w:firstLineChars="200"/>
        <w:jc w:val="left"/>
        <w:rPr>
          <w:color w:val="auto"/>
          <w:szCs w:val="21"/>
          <w:highlight w:val="none"/>
        </w:rPr>
      </w:pPr>
      <w:r>
        <w:rPr>
          <w:color w:val="auto"/>
          <w:szCs w:val="21"/>
          <w:highlight w:val="none"/>
        </w:rPr>
        <w:t>1）已完且符合合同约定的甩项工程的价值；</w:t>
      </w:r>
    </w:p>
    <w:p w14:paraId="3F11F661">
      <w:pPr>
        <w:spacing w:line="360" w:lineRule="auto"/>
        <w:ind w:firstLine="420" w:firstLineChars="200"/>
        <w:jc w:val="left"/>
        <w:rPr>
          <w:color w:val="auto"/>
          <w:szCs w:val="21"/>
          <w:highlight w:val="none"/>
        </w:rPr>
      </w:pPr>
      <w:r>
        <w:rPr>
          <w:color w:val="auto"/>
          <w:szCs w:val="21"/>
          <w:highlight w:val="none"/>
        </w:rPr>
        <w:t>2）按合同条款约定由承包人修复的发包人原因造成的缺陷的价值；</w:t>
      </w:r>
    </w:p>
    <w:p w14:paraId="43687CE0">
      <w:pPr>
        <w:spacing w:line="400" w:lineRule="exact"/>
        <w:ind w:firstLine="420" w:firstLineChars="200"/>
        <w:jc w:val="left"/>
        <w:rPr>
          <w:color w:val="auto"/>
          <w:szCs w:val="21"/>
          <w:highlight w:val="none"/>
        </w:rPr>
      </w:pPr>
      <w:r>
        <w:rPr>
          <w:color w:val="auto"/>
          <w:szCs w:val="21"/>
          <w:highlight w:val="none"/>
        </w:rPr>
        <w:t>3）根据合同条款应增加的缺陷责任期内发生的承包人索赔金额；</w:t>
      </w:r>
    </w:p>
    <w:p w14:paraId="3187FD3F">
      <w:pPr>
        <w:spacing w:line="400" w:lineRule="exact"/>
        <w:ind w:firstLine="420" w:firstLineChars="200"/>
        <w:jc w:val="left"/>
        <w:rPr>
          <w:color w:val="auto"/>
          <w:szCs w:val="21"/>
          <w:highlight w:val="none"/>
        </w:rPr>
      </w:pPr>
      <w:r>
        <w:rPr>
          <w:color w:val="auto"/>
          <w:szCs w:val="21"/>
          <w:highlight w:val="none"/>
        </w:rPr>
        <w:t>4）根据合同约定承包人应当得到的其他金额。</w:t>
      </w:r>
    </w:p>
    <w:p w14:paraId="5190089B">
      <w:pPr>
        <w:spacing w:line="400" w:lineRule="exact"/>
        <w:ind w:firstLine="420" w:firstLineChars="200"/>
        <w:jc w:val="left"/>
        <w:rPr>
          <w:color w:val="auto"/>
          <w:szCs w:val="21"/>
          <w:highlight w:val="none"/>
        </w:rPr>
      </w:pPr>
      <w:r>
        <w:rPr>
          <w:color w:val="auto"/>
          <w:szCs w:val="21"/>
          <w:highlight w:val="none"/>
        </w:rPr>
        <w:t>最终结清应当由发包人和承包人按照“多退少补”的原则办理。</w:t>
      </w:r>
    </w:p>
    <w:p w14:paraId="0A0CC36A">
      <w:pPr>
        <w:spacing w:line="400" w:lineRule="exact"/>
        <w:ind w:firstLine="420" w:firstLineChars="200"/>
        <w:jc w:val="left"/>
        <w:rPr>
          <w:color w:val="auto"/>
          <w:szCs w:val="21"/>
          <w:highlight w:val="none"/>
        </w:rPr>
      </w:pPr>
      <w:r>
        <w:rPr>
          <w:color w:val="auto"/>
          <w:szCs w:val="21"/>
          <w:highlight w:val="none"/>
        </w:rPr>
        <w:t>14.1.6 竣工付款申请单和最终结清申请单应当比照进度付款申请单的格式准备，并提供相关证明材料。</w:t>
      </w:r>
    </w:p>
    <w:p w14:paraId="4215C1BD">
      <w:pPr>
        <w:pStyle w:val="8"/>
        <w:spacing w:line="400" w:lineRule="exact"/>
        <w:rPr>
          <w:rFonts w:ascii="Times New Roman" w:hAnsi="Times New Roman" w:eastAsia="黑体"/>
          <w:b w:val="0"/>
          <w:bCs w:val="0"/>
          <w:color w:val="auto"/>
          <w:sz w:val="24"/>
          <w:highlight w:val="none"/>
        </w:rPr>
      </w:pPr>
      <w:bookmarkStart w:id="877" w:name="_Toc300678550"/>
      <w:r>
        <w:rPr>
          <w:rFonts w:ascii="Times New Roman" w:hAnsi="Times New Roman" w:eastAsia="黑体"/>
          <w:b w:val="0"/>
          <w:bCs w:val="0"/>
          <w:color w:val="auto"/>
          <w:sz w:val="24"/>
          <w:highlight w:val="none"/>
        </w:rPr>
        <w:t>14.2 其他约定</w:t>
      </w:r>
      <w:bookmarkEnd w:id="877"/>
    </w:p>
    <w:p w14:paraId="0B91783E">
      <w:pPr>
        <w:spacing w:line="400" w:lineRule="exact"/>
        <w:ind w:firstLine="420" w:firstLineChars="200"/>
        <w:jc w:val="left"/>
        <w:rPr>
          <w:color w:val="auto"/>
          <w:szCs w:val="21"/>
          <w:highlight w:val="none"/>
        </w:rPr>
      </w:pPr>
      <w:r>
        <w:rPr>
          <w:color w:val="auto"/>
          <w:szCs w:val="21"/>
          <w:highlight w:val="none"/>
        </w:rPr>
        <w:t>其他约定内容：</w:t>
      </w:r>
      <w:r>
        <w:rPr>
          <w:color w:val="auto"/>
          <w:szCs w:val="21"/>
          <w:highlight w:val="none"/>
          <w:u w:val="single"/>
        </w:rPr>
        <w:t xml:space="preserve">     </w:t>
      </w:r>
      <w:r>
        <w:rPr>
          <w:color w:val="auto"/>
          <w:szCs w:val="21"/>
          <w:highlight w:val="none"/>
        </w:rPr>
        <w:t>。</w:t>
      </w:r>
    </w:p>
    <w:p w14:paraId="47052D74">
      <w:pPr>
        <w:pStyle w:val="7"/>
        <w:keepNext/>
        <w:keepLines/>
        <w:widowControl w:val="0"/>
        <w:spacing w:line="400" w:lineRule="exact"/>
        <w:jc w:val="left"/>
        <w:rPr>
          <w:rFonts w:eastAsia="黑体"/>
          <w:b w:val="0"/>
          <w:bCs w:val="0"/>
          <w:color w:val="auto"/>
          <w:sz w:val="28"/>
          <w:szCs w:val="28"/>
          <w:highlight w:val="none"/>
        </w:rPr>
      </w:pPr>
      <w:bookmarkStart w:id="878" w:name="_Toc79998425"/>
      <w:bookmarkStart w:id="879" w:name="_Toc79998869"/>
      <w:bookmarkStart w:id="880" w:name="_Toc80006139"/>
      <w:bookmarkStart w:id="881" w:name="_Toc300678551"/>
      <w:bookmarkStart w:id="882" w:name="_Toc9178566"/>
      <w:bookmarkStart w:id="883" w:name="_Toc80006249"/>
      <w:r>
        <w:rPr>
          <w:rFonts w:eastAsia="黑体"/>
          <w:b w:val="0"/>
          <w:bCs w:val="0"/>
          <w:color w:val="auto"/>
          <w:sz w:val="28"/>
          <w:szCs w:val="28"/>
          <w:highlight w:val="none"/>
        </w:rPr>
        <w:t>15.竣工验收和工程移交</w:t>
      </w:r>
      <w:bookmarkEnd w:id="878"/>
      <w:bookmarkEnd w:id="879"/>
      <w:bookmarkEnd w:id="880"/>
      <w:bookmarkEnd w:id="881"/>
      <w:bookmarkEnd w:id="882"/>
      <w:bookmarkEnd w:id="883"/>
    </w:p>
    <w:p w14:paraId="4B77C0CC">
      <w:pPr>
        <w:pStyle w:val="8"/>
        <w:spacing w:line="400" w:lineRule="exact"/>
        <w:rPr>
          <w:rFonts w:ascii="Times New Roman" w:hAnsi="Times New Roman" w:eastAsia="黑体"/>
          <w:b w:val="0"/>
          <w:bCs w:val="0"/>
          <w:color w:val="auto"/>
          <w:sz w:val="24"/>
          <w:highlight w:val="none"/>
        </w:rPr>
      </w:pPr>
      <w:bookmarkStart w:id="884" w:name="_Toc300678552"/>
      <w:r>
        <w:rPr>
          <w:rFonts w:ascii="Times New Roman" w:hAnsi="Times New Roman" w:eastAsia="黑体"/>
          <w:b w:val="0"/>
          <w:bCs w:val="0"/>
          <w:color w:val="auto"/>
          <w:sz w:val="24"/>
          <w:highlight w:val="none"/>
        </w:rPr>
        <w:t>15.1 竣工验收前的清理</w:t>
      </w:r>
      <w:bookmarkEnd w:id="884"/>
    </w:p>
    <w:p w14:paraId="396B9BC4">
      <w:pPr>
        <w:spacing w:line="400" w:lineRule="exact"/>
        <w:ind w:firstLine="420" w:firstLineChars="200"/>
        <w:jc w:val="left"/>
        <w:rPr>
          <w:color w:val="auto"/>
          <w:szCs w:val="21"/>
          <w:highlight w:val="none"/>
        </w:rPr>
      </w:pPr>
      <w:r>
        <w:rPr>
          <w:color w:val="auto"/>
          <w:szCs w:val="21"/>
          <w:highlight w:val="none"/>
        </w:rPr>
        <w:t>15.1.1 在向监理人提交竣工验收申请报告前，承包人应当完成竣工验收前的清理工作，包括但不限于：</w:t>
      </w:r>
    </w:p>
    <w:p w14:paraId="471C1565">
      <w:pPr>
        <w:spacing w:line="400" w:lineRule="exact"/>
        <w:ind w:firstLine="420" w:firstLineChars="200"/>
        <w:jc w:val="left"/>
        <w:rPr>
          <w:color w:val="auto"/>
          <w:szCs w:val="21"/>
          <w:highlight w:val="none"/>
        </w:rPr>
      </w:pPr>
      <w:r>
        <w:rPr>
          <w:color w:val="auto"/>
          <w:szCs w:val="21"/>
          <w:highlight w:val="none"/>
        </w:rPr>
        <w:t>（1）从永久工程内清除所有剩余材料、杂物、垃圾等等；</w:t>
      </w:r>
    </w:p>
    <w:p w14:paraId="1B7EC5C4">
      <w:pPr>
        <w:spacing w:line="400" w:lineRule="exact"/>
        <w:ind w:firstLine="420" w:firstLineChars="200"/>
        <w:jc w:val="left"/>
        <w:rPr>
          <w:color w:val="auto"/>
          <w:szCs w:val="21"/>
          <w:highlight w:val="none"/>
        </w:rPr>
      </w:pPr>
      <w:r>
        <w:rPr>
          <w:color w:val="auto"/>
          <w:szCs w:val="21"/>
          <w:highlight w:val="none"/>
        </w:rPr>
        <w:t>（2）清洗工程的所有地面、墙面、楼面、路面等表面；</w:t>
      </w:r>
    </w:p>
    <w:p w14:paraId="2A24AE7B">
      <w:pPr>
        <w:spacing w:line="400" w:lineRule="exact"/>
        <w:ind w:firstLine="420" w:firstLineChars="200"/>
        <w:jc w:val="left"/>
        <w:rPr>
          <w:color w:val="auto"/>
          <w:szCs w:val="21"/>
          <w:highlight w:val="none"/>
        </w:rPr>
      </w:pPr>
      <w:r>
        <w:rPr>
          <w:color w:val="auto"/>
          <w:szCs w:val="21"/>
          <w:highlight w:val="none"/>
        </w:rPr>
        <w:t>（3）清洗和擦洗所有玻璃、磁砖、石材和所有金属面；</w:t>
      </w:r>
    </w:p>
    <w:p w14:paraId="6E230921">
      <w:pPr>
        <w:spacing w:line="400" w:lineRule="exact"/>
        <w:ind w:firstLine="420" w:firstLineChars="200"/>
        <w:jc w:val="left"/>
        <w:rPr>
          <w:color w:val="auto"/>
          <w:szCs w:val="21"/>
          <w:highlight w:val="none"/>
        </w:rPr>
      </w:pPr>
      <w:r>
        <w:rPr>
          <w:color w:val="auto"/>
          <w:szCs w:val="21"/>
          <w:highlight w:val="none"/>
        </w:rPr>
        <w:t>（4）修缮所有损坏、清除所有污迹、替换所有需更换的材料；</w:t>
      </w:r>
    </w:p>
    <w:p w14:paraId="5CB988F7">
      <w:pPr>
        <w:spacing w:line="400" w:lineRule="exact"/>
        <w:ind w:firstLine="420" w:firstLineChars="200"/>
        <w:jc w:val="left"/>
        <w:rPr>
          <w:color w:val="auto"/>
          <w:szCs w:val="21"/>
          <w:highlight w:val="none"/>
        </w:rPr>
      </w:pPr>
      <w:r>
        <w:rPr>
          <w:color w:val="auto"/>
          <w:szCs w:val="21"/>
          <w:highlight w:val="none"/>
        </w:rPr>
        <w:t>（5）所有表面完成约定的装修和装饰；</w:t>
      </w:r>
    </w:p>
    <w:p w14:paraId="5C6D6F47">
      <w:pPr>
        <w:spacing w:line="400" w:lineRule="exact"/>
        <w:ind w:firstLine="420" w:firstLineChars="200"/>
        <w:jc w:val="left"/>
        <w:rPr>
          <w:color w:val="auto"/>
          <w:szCs w:val="21"/>
          <w:highlight w:val="none"/>
        </w:rPr>
      </w:pPr>
      <w:r>
        <w:rPr>
          <w:color w:val="auto"/>
          <w:szCs w:val="21"/>
          <w:highlight w:val="none"/>
        </w:rPr>
        <w:t>（6）检查和调试所有的门、窗、抽屉等以确保他们开启的顺畅；</w:t>
      </w:r>
    </w:p>
    <w:p w14:paraId="6585BA94">
      <w:pPr>
        <w:spacing w:line="400" w:lineRule="exact"/>
        <w:ind w:firstLine="420" w:firstLineChars="200"/>
        <w:jc w:val="left"/>
        <w:rPr>
          <w:color w:val="auto"/>
          <w:szCs w:val="21"/>
          <w:highlight w:val="none"/>
        </w:rPr>
      </w:pPr>
      <w:r>
        <w:rPr>
          <w:color w:val="auto"/>
          <w:szCs w:val="21"/>
          <w:highlight w:val="none"/>
        </w:rPr>
        <w:t>（7）检查和调试所有的五金件并上油；</w:t>
      </w:r>
    </w:p>
    <w:p w14:paraId="0C293044">
      <w:pPr>
        <w:spacing w:line="400" w:lineRule="exact"/>
        <w:ind w:firstLine="420" w:firstLineChars="200"/>
        <w:jc w:val="left"/>
        <w:rPr>
          <w:color w:val="auto"/>
          <w:szCs w:val="21"/>
          <w:highlight w:val="none"/>
        </w:rPr>
      </w:pPr>
      <w:r>
        <w:rPr>
          <w:color w:val="auto"/>
          <w:szCs w:val="21"/>
          <w:highlight w:val="none"/>
        </w:rPr>
        <w:t>（8）检查、测试和确保所有服务系统、设施和设备达到良好的运行状态和效果；</w:t>
      </w:r>
    </w:p>
    <w:p w14:paraId="6E84E507">
      <w:pPr>
        <w:spacing w:line="400" w:lineRule="exact"/>
        <w:ind w:firstLine="420" w:firstLineChars="200"/>
        <w:jc w:val="left"/>
        <w:rPr>
          <w:color w:val="auto"/>
          <w:szCs w:val="21"/>
          <w:highlight w:val="none"/>
        </w:rPr>
      </w:pPr>
      <w:r>
        <w:rPr>
          <w:color w:val="auto"/>
          <w:szCs w:val="21"/>
          <w:highlight w:val="none"/>
        </w:rPr>
        <w:t>（9）所有钥匙（如果有）贴上标签并固定到钥匙排上随时可以交给监理人。</w:t>
      </w:r>
    </w:p>
    <w:p w14:paraId="6A51D4AB">
      <w:pPr>
        <w:spacing w:line="400" w:lineRule="exact"/>
        <w:ind w:firstLine="420" w:firstLineChars="200"/>
        <w:jc w:val="left"/>
        <w:rPr>
          <w:color w:val="auto"/>
          <w:szCs w:val="21"/>
          <w:highlight w:val="none"/>
        </w:rPr>
      </w:pPr>
      <w:r>
        <w:rPr>
          <w:color w:val="auto"/>
          <w:szCs w:val="21"/>
          <w:highlight w:val="none"/>
        </w:rPr>
        <w:t>15.1.2 清理工作所需费用由承包人承担。</w:t>
      </w:r>
    </w:p>
    <w:p w14:paraId="6BFC880C">
      <w:pPr>
        <w:pStyle w:val="8"/>
        <w:spacing w:line="400" w:lineRule="exact"/>
        <w:rPr>
          <w:rFonts w:ascii="Times New Roman" w:hAnsi="Times New Roman" w:eastAsia="黑体"/>
          <w:b w:val="0"/>
          <w:bCs w:val="0"/>
          <w:color w:val="auto"/>
          <w:sz w:val="24"/>
          <w:highlight w:val="none"/>
        </w:rPr>
      </w:pPr>
      <w:bookmarkStart w:id="885" w:name="_Toc300678553"/>
      <w:r>
        <w:rPr>
          <w:rFonts w:ascii="Times New Roman" w:hAnsi="Times New Roman" w:eastAsia="黑体"/>
          <w:b w:val="0"/>
          <w:bCs w:val="0"/>
          <w:color w:val="auto"/>
          <w:sz w:val="24"/>
          <w:highlight w:val="none"/>
        </w:rPr>
        <w:t>15.2 竣工验收申请报告</w:t>
      </w:r>
      <w:bookmarkEnd w:id="885"/>
    </w:p>
    <w:p w14:paraId="2DD76560">
      <w:pPr>
        <w:spacing w:line="400" w:lineRule="exact"/>
        <w:ind w:firstLine="420" w:firstLineChars="200"/>
        <w:jc w:val="left"/>
        <w:rPr>
          <w:color w:val="auto"/>
          <w:szCs w:val="21"/>
          <w:highlight w:val="none"/>
        </w:rPr>
      </w:pPr>
      <w:r>
        <w:rPr>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65979E34">
      <w:pPr>
        <w:spacing w:line="400" w:lineRule="exact"/>
        <w:ind w:firstLine="420" w:firstLineChars="200"/>
        <w:jc w:val="left"/>
        <w:rPr>
          <w:color w:val="auto"/>
          <w:szCs w:val="21"/>
          <w:highlight w:val="none"/>
        </w:rPr>
      </w:pPr>
      <w:r>
        <w:rPr>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68FF1795">
      <w:pPr>
        <w:spacing w:line="400" w:lineRule="exact"/>
        <w:ind w:firstLine="420" w:firstLineChars="200"/>
        <w:jc w:val="left"/>
        <w:rPr>
          <w:color w:val="auto"/>
          <w:szCs w:val="21"/>
          <w:highlight w:val="none"/>
        </w:rPr>
      </w:pPr>
      <w:r>
        <w:rPr>
          <w:color w:val="auto"/>
          <w:szCs w:val="21"/>
          <w:highlight w:val="none"/>
        </w:rPr>
        <w:t>15.2.3 竣工验收申请报告应当按合同条款附上下列内容：</w:t>
      </w:r>
    </w:p>
    <w:p w14:paraId="0DF5540A">
      <w:pPr>
        <w:spacing w:line="400" w:lineRule="exact"/>
        <w:ind w:firstLine="460" w:firstLineChars="200"/>
        <w:jc w:val="left"/>
        <w:rPr>
          <w:color w:val="auto"/>
          <w:spacing w:val="10"/>
          <w:szCs w:val="21"/>
          <w:highlight w:val="none"/>
        </w:rPr>
      </w:pPr>
      <w:r>
        <w:rPr>
          <w:color w:val="auto"/>
          <w:spacing w:val="10"/>
          <w:szCs w:val="21"/>
          <w:highlight w:val="none"/>
        </w:rPr>
        <w:t>（1）承包人的自行检查和评定记录文件，即除监理人同意列入缺陷责任期内完成的尾 工（甩项）工程和缺陷修补工作外，合同范围内的全部单位工程以及有关工作，包 括合同要求的试验、试运行以及检验和验收均已完成，并符合合同要求；</w:t>
      </w:r>
    </w:p>
    <w:p w14:paraId="5A37855B">
      <w:pPr>
        <w:spacing w:line="400" w:lineRule="exact"/>
        <w:ind w:firstLine="420" w:firstLineChars="200"/>
        <w:jc w:val="left"/>
        <w:rPr>
          <w:color w:val="auto"/>
          <w:szCs w:val="21"/>
          <w:highlight w:val="none"/>
        </w:rPr>
      </w:pPr>
      <w:r>
        <w:rPr>
          <w:color w:val="auto"/>
          <w:szCs w:val="21"/>
          <w:highlight w:val="none"/>
        </w:rPr>
        <w:t>（2）按合同条款约定的内容和份数整理的符合要求的竣工资料；</w:t>
      </w:r>
    </w:p>
    <w:p w14:paraId="7023952C">
      <w:pPr>
        <w:spacing w:line="400" w:lineRule="exact"/>
        <w:ind w:firstLine="420" w:firstLineChars="200"/>
        <w:jc w:val="left"/>
        <w:rPr>
          <w:color w:val="auto"/>
          <w:szCs w:val="21"/>
          <w:highlight w:val="none"/>
        </w:rPr>
      </w:pPr>
      <w:r>
        <w:rPr>
          <w:color w:val="auto"/>
          <w:szCs w:val="21"/>
          <w:highlight w:val="none"/>
        </w:rPr>
        <w:t>（3）按监理人的要求编制了在缺陷责任期内完成的尾工（甩项）工程和缺陷修补工作清单以及相应施工计划；</w:t>
      </w:r>
    </w:p>
    <w:p w14:paraId="2BFE9AE2">
      <w:pPr>
        <w:spacing w:line="400" w:lineRule="exact"/>
        <w:ind w:firstLine="420" w:firstLineChars="200"/>
        <w:jc w:val="left"/>
        <w:rPr>
          <w:color w:val="auto"/>
          <w:szCs w:val="21"/>
          <w:highlight w:val="none"/>
        </w:rPr>
      </w:pPr>
      <w:r>
        <w:rPr>
          <w:color w:val="auto"/>
          <w:szCs w:val="21"/>
          <w:highlight w:val="none"/>
        </w:rPr>
        <w:t>（4）监理人要求在竣工验收前应完成的其他工作的证明材料；</w:t>
      </w:r>
    </w:p>
    <w:p w14:paraId="6399F58D">
      <w:pPr>
        <w:spacing w:line="400" w:lineRule="exact"/>
        <w:ind w:firstLine="420" w:firstLineChars="200"/>
        <w:jc w:val="left"/>
        <w:rPr>
          <w:color w:val="auto"/>
          <w:szCs w:val="21"/>
          <w:highlight w:val="none"/>
        </w:rPr>
      </w:pPr>
      <w:r>
        <w:rPr>
          <w:color w:val="auto"/>
          <w:szCs w:val="21"/>
          <w:highlight w:val="none"/>
        </w:rPr>
        <w:t>（5）监理人要求提交的竣工验收资料清单；</w:t>
      </w:r>
    </w:p>
    <w:p w14:paraId="706BE145">
      <w:pPr>
        <w:spacing w:line="400" w:lineRule="exact"/>
        <w:ind w:firstLine="420" w:firstLineChars="200"/>
        <w:jc w:val="left"/>
        <w:rPr>
          <w:color w:val="auto"/>
          <w:szCs w:val="21"/>
          <w:highlight w:val="none"/>
        </w:rPr>
      </w:pPr>
      <w:r>
        <w:rPr>
          <w:color w:val="auto"/>
          <w:szCs w:val="21"/>
          <w:highlight w:val="none"/>
        </w:rPr>
        <w:t>（6）合同条款约定的单位工程竣工验收成果和结论文件（如果有）；</w:t>
      </w:r>
    </w:p>
    <w:p w14:paraId="2648F467">
      <w:pPr>
        <w:spacing w:line="400" w:lineRule="exact"/>
        <w:ind w:firstLine="420" w:firstLineChars="200"/>
        <w:jc w:val="left"/>
        <w:rPr>
          <w:color w:val="auto"/>
          <w:szCs w:val="21"/>
          <w:highlight w:val="none"/>
        </w:rPr>
      </w:pPr>
      <w:r>
        <w:rPr>
          <w:color w:val="auto"/>
          <w:szCs w:val="21"/>
          <w:highlight w:val="none"/>
        </w:rPr>
        <w:t>（7）合同附件约定的质量保修书（此前已经提交的不再提交）；</w:t>
      </w:r>
    </w:p>
    <w:p w14:paraId="52EA3DB4">
      <w:pPr>
        <w:spacing w:line="400" w:lineRule="exact"/>
        <w:ind w:firstLine="420" w:firstLineChars="200"/>
        <w:jc w:val="left"/>
        <w:rPr>
          <w:color w:val="auto"/>
          <w:szCs w:val="21"/>
          <w:highlight w:val="none"/>
        </w:rPr>
      </w:pPr>
      <w:r>
        <w:rPr>
          <w:color w:val="auto"/>
          <w:szCs w:val="21"/>
          <w:highlight w:val="none"/>
        </w:rPr>
        <w:t>（8）其他：</w:t>
      </w:r>
      <w:r>
        <w:rPr>
          <w:color w:val="auto"/>
          <w:szCs w:val="21"/>
          <w:highlight w:val="none"/>
          <w:u w:val="single"/>
        </w:rPr>
        <w:t xml:space="preserve">              </w:t>
      </w:r>
      <w:r>
        <w:rPr>
          <w:color w:val="auto"/>
          <w:szCs w:val="21"/>
          <w:highlight w:val="none"/>
        </w:rPr>
        <w:t>。</w:t>
      </w:r>
    </w:p>
    <w:p w14:paraId="0F4D36BA">
      <w:pPr>
        <w:pStyle w:val="8"/>
        <w:spacing w:line="400" w:lineRule="exact"/>
        <w:rPr>
          <w:rFonts w:ascii="Times New Roman" w:hAnsi="Times New Roman" w:eastAsia="黑体"/>
          <w:b w:val="0"/>
          <w:bCs w:val="0"/>
          <w:color w:val="auto"/>
          <w:sz w:val="24"/>
          <w:highlight w:val="none"/>
        </w:rPr>
      </w:pPr>
      <w:bookmarkStart w:id="886" w:name="_Toc300678554"/>
      <w:r>
        <w:rPr>
          <w:rFonts w:ascii="Times New Roman" w:hAnsi="Times New Roman" w:eastAsia="黑体"/>
          <w:b w:val="0"/>
          <w:bCs w:val="0"/>
          <w:color w:val="auto"/>
          <w:sz w:val="24"/>
          <w:highlight w:val="none"/>
        </w:rPr>
        <w:t>15.3 竣工清场</w:t>
      </w:r>
      <w:bookmarkEnd w:id="886"/>
    </w:p>
    <w:p w14:paraId="213E5A44">
      <w:pPr>
        <w:spacing w:line="400" w:lineRule="exact"/>
        <w:ind w:firstLine="420" w:firstLineChars="200"/>
        <w:jc w:val="left"/>
        <w:rPr>
          <w:color w:val="auto"/>
          <w:szCs w:val="21"/>
          <w:highlight w:val="none"/>
        </w:rPr>
      </w:pPr>
      <w:r>
        <w:rPr>
          <w:color w:val="auto"/>
          <w:szCs w:val="21"/>
          <w:highlight w:val="none"/>
        </w:rPr>
        <w:t>15.3.1 监理人颁发（出具）工程接收证书后，承包人应在56天内按以下要求对施工场地（现场）进行清理：</w:t>
      </w:r>
    </w:p>
    <w:p w14:paraId="699697BB">
      <w:pPr>
        <w:spacing w:line="400" w:lineRule="exact"/>
        <w:ind w:firstLine="420" w:firstLineChars="200"/>
        <w:jc w:val="left"/>
        <w:rPr>
          <w:color w:val="auto"/>
          <w:szCs w:val="21"/>
          <w:highlight w:val="none"/>
        </w:rPr>
      </w:pPr>
      <w:r>
        <w:rPr>
          <w:color w:val="auto"/>
          <w:szCs w:val="21"/>
          <w:highlight w:val="none"/>
        </w:rPr>
        <w:t>（1）从施工场地（现场）清除所有杂物和垃圾等等；</w:t>
      </w:r>
    </w:p>
    <w:p w14:paraId="4E450160">
      <w:pPr>
        <w:spacing w:line="400" w:lineRule="exact"/>
        <w:ind w:firstLine="420" w:firstLineChars="200"/>
        <w:jc w:val="left"/>
        <w:rPr>
          <w:color w:val="auto"/>
          <w:szCs w:val="21"/>
          <w:highlight w:val="none"/>
        </w:rPr>
      </w:pPr>
      <w:r>
        <w:rPr>
          <w:color w:val="auto"/>
          <w:szCs w:val="21"/>
          <w:highlight w:val="none"/>
        </w:rPr>
        <w:t>（2）从施工场地现场拆除所有的临时工程和临时设施并恢复地面原状，但经监理人批准的护坡桩、锚杆、塔吊基础和无法拆除的埋入式模板等无法拆除的临时设施除外；</w:t>
      </w:r>
    </w:p>
    <w:p w14:paraId="05637748">
      <w:pPr>
        <w:spacing w:line="400" w:lineRule="exact"/>
        <w:ind w:firstLine="420" w:firstLineChars="200"/>
        <w:jc w:val="left"/>
        <w:rPr>
          <w:color w:val="auto"/>
          <w:szCs w:val="21"/>
          <w:highlight w:val="none"/>
        </w:rPr>
      </w:pPr>
      <w:r>
        <w:rPr>
          <w:color w:val="auto"/>
          <w:szCs w:val="21"/>
          <w:highlight w:val="none"/>
        </w:rPr>
        <w:t>（3）撤离所有承包人施工设备和剩余材料（经监理人同意需在缺陷责任期内继续使用的除外）；</w:t>
      </w:r>
    </w:p>
    <w:p w14:paraId="7ED04DD6">
      <w:pPr>
        <w:spacing w:line="400" w:lineRule="exact"/>
        <w:ind w:firstLine="420" w:firstLineChars="200"/>
        <w:jc w:val="left"/>
        <w:rPr>
          <w:color w:val="auto"/>
          <w:szCs w:val="21"/>
          <w:highlight w:val="none"/>
        </w:rPr>
      </w:pPr>
      <w:r>
        <w:rPr>
          <w:color w:val="auto"/>
          <w:szCs w:val="21"/>
          <w:highlight w:val="none"/>
        </w:rPr>
        <w:t>（4）监理人指示的其他清场工作。</w:t>
      </w:r>
    </w:p>
    <w:p w14:paraId="12805A28">
      <w:pPr>
        <w:pStyle w:val="7"/>
        <w:keepNext/>
        <w:keepLines/>
        <w:widowControl w:val="0"/>
        <w:spacing w:line="400" w:lineRule="exact"/>
        <w:jc w:val="left"/>
        <w:rPr>
          <w:rFonts w:hint="eastAsia" w:eastAsia="黑体"/>
          <w:b w:val="0"/>
          <w:bCs w:val="0"/>
          <w:color w:val="auto"/>
          <w:sz w:val="28"/>
          <w:szCs w:val="28"/>
          <w:highlight w:val="none"/>
        </w:rPr>
      </w:pPr>
      <w:bookmarkStart w:id="887" w:name="_Toc9178567"/>
      <w:bookmarkStart w:id="888" w:name="_Toc79998870"/>
      <w:bookmarkStart w:id="889" w:name="_Toc79998426"/>
      <w:bookmarkStart w:id="890" w:name="_Toc80006250"/>
      <w:bookmarkStart w:id="891" w:name="_Toc80006140"/>
      <w:bookmarkStart w:id="892" w:name="_Toc300678555"/>
      <w:r>
        <w:rPr>
          <w:rFonts w:eastAsia="黑体"/>
          <w:b w:val="0"/>
          <w:bCs w:val="0"/>
          <w:color w:val="auto"/>
          <w:sz w:val="28"/>
          <w:szCs w:val="28"/>
          <w:highlight w:val="none"/>
        </w:rPr>
        <w:t>16.</w:t>
      </w:r>
      <w:r>
        <w:rPr>
          <w:rFonts w:hint="eastAsia" w:eastAsia="黑体"/>
          <w:b w:val="0"/>
          <w:bCs w:val="0"/>
          <w:color w:val="auto"/>
          <w:sz w:val="28"/>
          <w:szCs w:val="28"/>
          <w:highlight w:val="none"/>
        </w:rPr>
        <w:t>其他</w:t>
      </w:r>
      <w:bookmarkEnd w:id="887"/>
      <w:bookmarkEnd w:id="888"/>
      <w:bookmarkEnd w:id="889"/>
      <w:bookmarkEnd w:id="890"/>
      <w:bookmarkEnd w:id="891"/>
    </w:p>
    <w:bookmarkEnd w:id="892"/>
    <w:p w14:paraId="71DC33E8">
      <w:pPr>
        <w:spacing w:line="360" w:lineRule="auto"/>
        <w:ind w:firstLine="420" w:firstLineChars="200"/>
        <w:jc w:val="left"/>
        <w:rPr>
          <w:color w:val="auto"/>
          <w:szCs w:val="21"/>
          <w:highlight w:val="none"/>
        </w:rPr>
      </w:pPr>
      <w:bookmarkStart w:id="893" w:name="_Toc300678556"/>
    </w:p>
    <w:p w14:paraId="45AAAA96">
      <w:pPr>
        <w:spacing w:line="360" w:lineRule="auto"/>
        <w:ind w:firstLine="420" w:firstLineChars="200"/>
        <w:jc w:val="left"/>
        <w:rPr>
          <w:color w:val="auto"/>
          <w:szCs w:val="21"/>
          <w:highlight w:val="none"/>
        </w:rPr>
      </w:pPr>
    </w:p>
    <w:p w14:paraId="63D40AC8">
      <w:pPr>
        <w:pStyle w:val="6"/>
        <w:spacing w:before="0" w:after="0" w:line="360" w:lineRule="auto"/>
        <w:jc w:val="center"/>
        <w:rPr>
          <w:rFonts w:ascii="Times New Roman" w:hAnsi="Times New Roman" w:eastAsia="黑体"/>
          <w:b w:val="0"/>
          <w:bCs w:val="0"/>
          <w:color w:val="auto"/>
          <w:sz w:val="30"/>
          <w:highlight w:val="none"/>
        </w:rPr>
      </w:pPr>
      <w:bookmarkStart w:id="894" w:name="_Toc80006141"/>
      <w:bookmarkStart w:id="895" w:name="_Toc80006251"/>
      <w:r>
        <w:rPr>
          <w:rFonts w:ascii="Times New Roman" w:hAnsi="Times New Roman" w:eastAsia="黑体"/>
          <w:b w:val="0"/>
          <w:bCs w:val="0"/>
          <w:color w:val="auto"/>
          <w:sz w:val="30"/>
          <w:highlight w:val="none"/>
        </w:rPr>
        <w:t>第二节  特殊技术标准和要求</w:t>
      </w:r>
      <w:bookmarkEnd w:id="893"/>
      <w:bookmarkEnd w:id="894"/>
      <w:bookmarkEnd w:id="895"/>
    </w:p>
    <w:p w14:paraId="48C00EBC">
      <w:pPr>
        <w:pStyle w:val="7"/>
        <w:keepNext/>
        <w:keepLines/>
        <w:widowControl w:val="0"/>
        <w:jc w:val="left"/>
        <w:rPr>
          <w:rFonts w:eastAsia="黑体"/>
          <w:b w:val="0"/>
          <w:bCs w:val="0"/>
          <w:color w:val="auto"/>
          <w:sz w:val="28"/>
          <w:szCs w:val="28"/>
          <w:highlight w:val="none"/>
        </w:rPr>
      </w:pPr>
      <w:bookmarkStart w:id="896" w:name="_Toc9178569"/>
      <w:bookmarkStart w:id="897" w:name="_Toc80006252"/>
      <w:bookmarkStart w:id="898" w:name="_Toc80006142"/>
      <w:bookmarkStart w:id="899" w:name="_Toc300678557"/>
      <w:r>
        <w:rPr>
          <w:rFonts w:eastAsia="黑体"/>
          <w:b w:val="0"/>
          <w:bCs w:val="0"/>
          <w:color w:val="auto"/>
          <w:sz w:val="28"/>
          <w:szCs w:val="28"/>
          <w:highlight w:val="none"/>
        </w:rPr>
        <w:t>1.材料和工程设备技术要求</w:t>
      </w:r>
      <w:bookmarkEnd w:id="896"/>
      <w:bookmarkEnd w:id="897"/>
      <w:bookmarkEnd w:id="898"/>
      <w:bookmarkEnd w:id="899"/>
    </w:p>
    <w:p w14:paraId="330CEF28">
      <w:pPr>
        <w:spacing w:line="360" w:lineRule="auto"/>
        <w:ind w:firstLine="420" w:firstLineChars="200"/>
        <w:jc w:val="left"/>
        <w:rPr>
          <w:color w:val="auto"/>
          <w:szCs w:val="21"/>
          <w:highlight w:val="none"/>
        </w:rPr>
      </w:pPr>
      <w:r>
        <w:rPr>
          <w:color w:val="auto"/>
          <w:szCs w:val="21"/>
          <w:highlight w:val="none"/>
        </w:rPr>
        <w:t>1.1 承包人自行施工范围内的部分材料和工程设备技术要求如下：</w:t>
      </w:r>
      <w:r>
        <w:rPr>
          <w:color w:val="auto"/>
          <w:szCs w:val="21"/>
          <w:highlight w:val="none"/>
          <w:u w:val="single"/>
        </w:rPr>
        <w:t xml:space="preserve">     </w:t>
      </w:r>
      <w:r>
        <w:rPr>
          <w:color w:val="auto"/>
          <w:szCs w:val="21"/>
          <w:highlight w:val="none"/>
        </w:rPr>
        <w:t>。</w:t>
      </w:r>
    </w:p>
    <w:p w14:paraId="35BC4030">
      <w:pPr>
        <w:spacing w:line="360" w:lineRule="auto"/>
        <w:ind w:firstLine="420" w:firstLineChars="200"/>
        <w:jc w:val="left"/>
        <w:rPr>
          <w:color w:val="auto"/>
          <w:szCs w:val="21"/>
          <w:highlight w:val="none"/>
        </w:rPr>
      </w:pPr>
      <w:r>
        <w:rPr>
          <w:color w:val="auto"/>
          <w:szCs w:val="21"/>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0D326B1A">
      <w:pPr>
        <w:spacing w:line="360" w:lineRule="auto"/>
        <w:ind w:firstLine="420" w:firstLineChars="200"/>
        <w:jc w:val="left"/>
        <w:rPr>
          <w:color w:val="auto"/>
          <w:szCs w:val="21"/>
          <w:highlight w:val="none"/>
        </w:rPr>
      </w:pPr>
      <w:r>
        <w:rPr>
          <w:color w:val="auto"/>
          <w:szCs w:val="21"/>
          <w:highlight w:val="none"/>
        </w:rPr>
        <w:t>1.2 承包人自行施工范围内的材料和工程设备选型允许的偏离如下：</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6"/>
        <w:gridCol w:w="1766"/>
        <w:gridCol w:w="1766"/>
        <w:gridCol w:w="1470"/>
      </w:tblGrid>
      <w:tr w14:paraId="4EA6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5" w:type="dxa"/>
            <w:noWrap w:val="0"/>
            <w:vAlign w:val="center"/>
          </w:tcPr>
          <w:p w14:paraId="1989CB4E">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序号</w:t>
            </w:r>
          </w:p>
        </w:tc>
        <w:tc>
          <w:tcPr>
            <w:tcW w:w="2146" w:type="dxa"/>
            <w:noWrap w:val="0"/>
            <w:vAlign w:val="center"/>
          </w:tcPr>
          <w:p w14:paraId="3D7F5FF8">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材料和工程设备</w:t>
            </w:r>
          </w:p>
          <w:p w14:paraId="09F9E1AB">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名称</w:t>
            </w:r>
          </w:p>
        </w:tc>
        <w:tc>
          <w:tcPr>
            <w:tcW w:w="1766" w:type="dxa"/>
            <w:noWrap w:val="0"/>
            <w:vAlign w:val="center"/>
          </w:tcPr>
          <w:p w14:paraId="57633BD0">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技术指标</w:t>
            </w:r>
          </w:p>
        </w:tc>
        <w:tc>
          <w:tcPr>
            <w:tcW w:w="1766" w:type="dxa"/>
            <w:noWrap w:val="0"/>
            <w:vAlign w:val="center"/>
          </w:tcPr>
          <w:p w14:paraId="480654A5">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允许偏离范围</w:t>
            </w:r>
          </w:p>
        </w:tc>
        <w:tc>
          <w:tcPr>
            <w:tcW w:w="1470" w:type="dxa"/>
            <w:noWrap w:val="0"/>
            <w:vAlign w:val="center"/>
          </w:tcPr>
          <w:p w14:paraId="79AEE5EA">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备    注</w:t>
            </w:r>
          </w:p>
        </w:tc>
      </w:tr>
      <w:tr w14:paraId="4949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14:paraId="419BA463">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1</w:t>
            </w:r>
          </w:p>
        </w:tc>
        <w:tc>
          <w:tcPr>
            <w:tcW w:w="2146" w:type="dxa"/>
            <w:noWrap w:val="0"/>
            <w:vAlign w:val="center"/>
          </w:tcPr>
          <w:p w14:paraId="007F3FCE">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14:paraId="7A592536">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14:paraId="3DC0D68F">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14:paraId="336AF4A0">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14:paraId="5767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14:paraId="29603828">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2</w:t>
            </w:r>
          </w:p>
        </w:tc>
        <w:tc>
          <w:tcPr>
            <w:tcW w:w="2146" w:type="dxa"/>
            <w:noWrap w:val="0"/>
            <w:vAlign w:val="center"/>
          </w:tcPr>
          <w:p w14:paraId="121D914D">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14:paraId="68DC4F30">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14:paraId="530F620E">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14:paraId="39868797">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14:paraId="111B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14:paraId="70FD9AE4">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r>
              <w:rPr>
                <w:rFonts w:hint="default" w:ascii="Calibri" w:hAnsi="Calibri" w:cs="Calibri"/>
                <w:color w:val="auto"/>
                <w:sz w:val="18"/>
                <w:szCs w:val="21"/>
                <w:highlight w:val="none"/>
              </w:rPr>
              <w:t>……</w:t>
            </w:r>
          </w:p>
        </w:tc>
        <w:tc>
          <w:tcPr>
            <w:tcW w:w="2146" w:type="dxa"/>
            <w:noWrap w:val="0"/>
            <w:vAlign w:val="center"/>
          </w:tcPr>
          <w:p w14:paraId="3A0501DF">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14:paraId="54AB1606">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14:paraId="38AF3E79">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14:paraId="73A19EE3">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r w14:paraId="0A28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75" w:type="dxa"/>
            <w:noWrap w:val="0"/>
            <w:vAlign w:val="center"/>
          </w:tcPr>
          <w:p w14:paraId="6E249BCC">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2146" w:type="dxa"/>
            <w:noWrap w:val="0"/>
            <w:vAlign w:val="center"/>
          </w:tcPr>
          <w:p w14:paraId="317D27F1">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14:paraId="0B00406D">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766" w:type="dxa"/>
            <w:noWrap w:val="0"/>
            <w:vAlign w:val="center"/>
          </w:tcPr>
          <w:p w14:paraId="07AE3E00">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c>
          <w:tcPr>
            <w:tcW w:w="1470" w:type="dxa"/>
            <w:noWrap w:val="0"/>
            <w:vAlign w:val="center"/>
          </w:tcPr>
          <w:p w14:paraId="288B65AB">
            <w:pPr>
              <w:keepNext w:val="0"/>
              <w:keepLines w:val="0"/>
              <w:suppressLineNumbers w:val="0"/>
              <w:spacing w:before="0" w:beforeAutospacing="0" w:after="0" w:afterAutospacing="0" w:line="360" w:lineRule="auto"/>
              <w:ind w:left="0" w:right="0"/>
              <w:jc w:val="center"/>
              <w:rPr>
                <w:rFonts w:hint="default" w:ascii="Calibri" w:hAnsi="Calibri" w:cs="Calibri"/>
                <w:color w:val="auto"/>
                <w:sz w:val="18"/>
                <w:szCs w:val="21"/>
                <w:highlight w:val="none"/>
              </w:rPr>
            </w:pPr>
          </w:p>
        </w:tc>
      </w:tr>
    </w:tbl>
    <w:p w14:paraId="050F9AB1">
      <w:pPr>
        <w:spacing w:line="360" w:lineRule="auto"/>
        <w:ind w:firstLine="420" w:firstLineChars="200"/>
        <w:jc w:val="left"/>
        <w:rPr>
          <w:color w:val="auto"/>
          <w:szCs w:val="21"/>
          <w:highlight w:val="none"/>
        </w:rPr>
      </w:pPr>
      <w:r>
        <w:rPr>
          <w:color w:val="auto"/>
          <w:szCs w:val="21"/>
          <w:highlight w:val="none"/>
        </w:rPr>
        <w:t>1.3 本工程施工现场所用混凝土或砂浆的供应方式为</w:t>
      </w:r>
      <w:r>
        <w:rPr>
          <w:color w:val="auto"/>
          <w:szCs w:val="21"/>
          <w:highlight w:val="none"/>
          <w:u w:val="single"/>
        </w:rPr>
        <w:t xml:space="preserve">     </w:t>
      </w:r>
      <w:r>
        <w:rPr>
          <w:color w:val="auto"/>
          <w:szCs w:val="21"/>
          <w:highlight w:val="none"/>
        </w:rPr>
        <w:t>。</w:t>
      </w:r>
    </w:p>
    <w:p w14:paraId="49D6AA6A">
      <w:pPr>
        <w:pStyle w:val="7"/>
        <w:keepNext/>
        <w:keepLines/>
        <w:widowControl w:val="0"/>
        <w:jc w:val="left"/>
        <w:rPr>
          <w:rFonts w:eastAsia="黑体"/>
          <w:b w:val="0"/>
          <w:bCs w:val="0"/>
          <w:color w:val="auto"/>
          <w:sz w:val="28"/>
          <w:szCs w:val="28"/>
          <w:highlight w:val="none"/>
        </w:rPr>
      </w:pPr>
      <w:bookmarkStart w:id="900" w:name="_Toc9178570"/>
      <w:bookmarkStart w:id="901" w:name="_Toc300678558"/>
      <w:bookmarkStart w:id="902" w:name="_Toc80006143"/>
      <w:bookmarkStart w:id="903" w:name="_Toc80006253"/>
      <w:r>
        <w:rPr>
          <w:rFonts w:eastAsia="黑体"/>
          <w:b w:val="0"/>
          <w:bCs w:val="0"/>
          <w:color w:val="auto"/>
          <w:sz w:val="28"/>
          <w:szCs w:val="28"/>
          <w:highlight w:val="none"/>
        </w:rPr>
        <w:t>2.特殊技术要求</w:t>
      </w:r>
      <w:bookmarkEnd w:id="900"/>
      <w:bookmarkEnd w:id="901"/>
      <w:bookmarkEnd w:id="902"/>
      <w:bookmarkEnd w:id="903"/>
    </w:p>
    <w:p w14:paraId="36460AF7">
      <w:pPr>
        <w:spacing w:line="360" w:lineRule="auto"/>
        <w:ind w:firstLine="420" w:firstLineChars="200"/>
        <w:jc w:val="left"/>
        <w:rPr>
          <w:color w:val="auto"/>
          <w:szCs w:val="21"/>
          <w:highlight w:val="none"/>
        </w:rPr>
      </w:pPr>
      <w:r>
        <w:rPr>
          <w:color w:val="auto"/>
          <w:szCs w:val="21"/>
          <w:highlight w:val="none"/>
        </w:rPr>
        <w:t>2.1 除合同约定的技术要求外，本工程的特殊技术要求如下：</w:t>
      </w:r>
      <w:r>
        <w:rPr>
          <w:color w:val="auto"/>
          <w:szCs w:val="21"/>
          <w:highlight w:val="none"/>
          <w:u w:val="single"/>
        </w:rPr>
        <w:t xml:space="preserve">     </w:t>
      </w:r>
      <w:r>
        <w:rPr>
          <w:color w:val="auto"/>
          <w:szCs w:val="21"/>
          <w:highlight w:val="none"/>
        </w:rPr>
        <w:t>。</w:t>
      </w:r>
    </w:p>
    <w:p w14:paraId="66EF4C74">
      <w:pPr>
        <w:pStyle w:val="7"/>
        <w:keepNext/>
        <w:keepLines/>
        <w:widowControl w:val="0"/>
        <w:jc w:val="left"/>
        <w:rPr>
          <w:rFonts w:eastAsia="黑体"/>
          <w:b w:val="0"/>
          <w:bCs w:val="0"/>
          <w:color w:val="auto"/>
          <w:sz w:val="28"/>
          <w:szCs w:val="28"/>
          <w:highlight w:val="none"/>
        </w:rPr>
      </w:pPr>
      <w:bookmarkStart w:id="904" w:name="_Toc9178571"/>
      <w:bookmarkStart w:id="905" w:name="_Toc80006144"/>
      <w:bookmarkStart w:id="906" w:name="_Toc300678559"/>
      <w:bookmarkStart w:id="907" w:name="_Toc80006254"/>
      <w:r>
        <w:rPr>
          <w:rFonts w:eastAsia="黑体"/>
          <w:b w:val="0"/>
          <w:bCs w:val="0"/>
          <w:color w:val="auto"/>
          <w:sz w:val="28"/>
          <w:szCs w:val="28"/>
          <w:highlight w:val="none"/>
        </w:rPr>
        <w:t>3.新技术、新工艺和新材料</w:t>
      </w:r>
      <w:bookmarkEnd w:id="904"/>
      <w:bookmarkEnd w:id="905"/>
      <w:bookmarkEnd w:id="906"/>
      <w:bookmarkEnd w:id="907"/>
    </w:p>
    <w:p w14:paraId="7EA1D88A">
      <w:pPr>
        <w:spacing w:line="360" w:lineRule="auto"/>
        <w:ind w:firstLine="420" w:firstLineChars="200"/>
        <w:jc w:val="left"/>
        <w:rPr>
          <w:color w:val="auto"/>
          <w:szCs w:val="21"/>
          <w:highlight w:val="none"/>
        </w:rPr>
      </w:pPr>
      <w:r>
        <w:rPr>
          <w:color w:val="auto"/>
          <w:szCs w:val="21"/>
          <w:highlight w:val="none"/>
        </w:rPr>
        <w:t>3.1 本工程涉及的新技术、新工艺和新材料及相应使用和操作说明如下：</w:t>
      </w:r>
      <w:r>
        <w:rPr>
          <w:color w:val="auto"/>
          <w:szCs w:val="21"/>
          <w:highlight w:val="none"/>
          <w:u w:val="single"/>
        </w:rPr>
        <w:t xml:space="preserve">     </w:t>
      </w:r>
      <w:r>
        <w:rPr>
          <w:color w:val="auto"/>
          <w:szCs w:val="21"/>
          <w:highlight w:val="none"/>
        </w:rPr>
        <w:t>。</w:t>
      </w:r>
    </w:p>
    <w:p w14:paraId="257866BC">
      <w:pPr>
        <w:pStyle w:val="7"/>
        <w:keepNext/>
        <w:keepLines/>
        <w:widowControl w:val="0"/>
        <w:jc w:val="left"/>
        <w:rPr>
          <w:rFonts w:hint="eastAsia" w:eastAsia="黑体"/>
          <w:b w:val="0"/>
          <w:bCs w:val="0"/>
          <w:color w:val="auto"/>
          <w:sz w:val="28"/>
          <w:szCs w:val="28"/>
          <w:highlight w:val="none"/>
        </w:rPr>
      </w:pPr>
      <w:bookmarkStart w:id="908" w:name="_Toc80006146"/>
      <w:bookmarkStart w:id="909" w:name="_Toc80006256"/>
      <w:r>
        <w:rPr>
          <w:rFonts w:hint="eastAsia" w:eastAsia="黑体"/>
          <w:b w:val="0"/>
          <w:bCs w:val="0"/>
          <w:color w:val="auto"/>
          <w:sz w:val="28"/>
          <w:szCs w:val="28"/>
          <w:highlight w:val="none"/>
          <w:lang w:val="en-US" w:eastAsia="zh-CN"/>
        </w:rPr>
        <w:t>4</w:t>
      </w:r>
      <w:r>
        <w:rPr>
          <w:rFonts w:hint="eastAsia" w:eastAsia="黑体"/>
          <w:b w:val="0"/>
          <w:bCs w:val="0"/>
          <w:color w:val="auto"/>
          <w:sz w:val="28"/>
          <w:szCs w:val="28"/>
          <w:highlight w:val="none"/>
        </w:rPr>
        <w:t>.其他要求</w:t>
      </w:r>
      <w:bookmarkEnd w:id="908"/>
      <w:bookmarkEnd w:id="909"/>
    </w:p>
    <w:p w14:paraId="0F5A14BE">
      <w:pPr>
        <w:spacing w:line="400" w:lineRule="exact"/>
        <w:rPr>
          <w:color w:val="auto"/>
          <w:highlight w:val="none"/>
        </w:rPr>
        <w:sectPr>
          <w:pgSz w:w="11907" w:h="16840"/>
          <w:pgMar w:top="1440" w:right="1440" w:bottom="1440" w:left="1440" w:header="851" w:footer="850" w:gutter="0"/>
          <w:cols w:space="720" w:num="1"/>
          <w:docGrid w:linePitch="326" w:charSpace="0"/>
        </w:sectPr>
      </w:pPr>
    </w:p>
    <w:p w14:paraId="0D03D9FA">
      <w:pPr>
        <w:pStyle w:val="6"/>
        <w:jc w:val="center"/>
        <w:rPr>
          <w:rFonts w:ascii="Times New Roman" w:hAnsi="Times New Roman" w:eastAsia="黑体"/>
          <w:b w:val="0"/>
          <w:bCs w:val="0"/>
          <w:color w:val="auto"/>
          <w:sz w:val="30"/>
          <w:highlight w:val="none"/>
        </w:rPr>
      </w:pPr>
      <w:bookmarkStart w:id="910" w:name="_Toc80006257"/>
      <w:bookmarkStart w:id="911" w:name="_Toc80006147"/>
      <w:bookmarkStart w:id="912" w:name="_Toc300678561"/>
      <w:r>
        <w:rPr>
          <w:rFonts w:ascii="Times New Roman" w:hAnsi="Times New Roman" w:eastAsia="黑体"/>
          <w:b w:val="0"/>
          <w:bCs w:val="0"/>
          <w:color w:val="auto"/>
          <w:sz w:val="30"/>
          <w:highlight w:val="none"/>
        </w:rPr>
        <w:t>第三节  适用的国家、行业以及地方规范、标准和规程</w:t>
      </w:r>
      <w:bookmarkEnd w:id="910"/>
      <w:bookmarkEnd w:id="911"/>
      <w:bookmarkEnd w:id="912"/>
    </w:p>
    <w:p w14:paraId="5AAA826D">
      <w:pPr>
        <w:spacing w:line="360" w:lineRule="auto"/>
        <w:jc w:val="left"/>
        <w:rPr>
          <w:color w:val="auto"/>
          <w:sz w:val="18"/>
          <w:szCs w:val="18"/>
          <w:highlight w:val="none"/>
        </w:rPr>
      </w:pPr>
      <w:r>
        <w:rPr>
          <w:color w:val="auto"/>
          <w:sz w:val="18"/>
          <w:szCs w:val="18"/>
          <w:highlight w:val="none"/>
        </w:rPr>
        <w:t xml:space="preserve"> 说明：本节内容只需列出规范、标准、规程等的名称、编号等内容。由招标人根据国家、行业和地方现行标准、规范和规程等，以及项目具体情况摘录。</w:t>
      </w:r>
    </w:p>
    <w:p w14:paraId="7CC789F4">
      <w:pPr>
        <w:spacing w:line="360" w:lineRule="auto"/>
        <w:jc w:val="left"/>
        <w:rPr>
          <w:rFonts w:eastAsia="黑体"/>
          <w:color w:val="auto"/>
          <w:highlight w:val="none"/>
        </w:rPr>
      </w:pPr>
    </w:p>
    <w:p w14:paraId="43AC2729">
      <w:pPr>
        <w:spacing w:line="360" w:lineRule="auto"/>
        <w:jc w:val="left"/>
        <w:rPr>
          <w:rFonts w:eastAsia="黑体"/>
          <w:color w:val="auto"/>
          <w:highlight w:val="none"/>
        </w:rPr>
      </w:pPr>
    </w:p>
    <w:p w14:paraId="58A58A46">
      <w:pPr>
        <w:spacing w:line="360" w:lineRule="auto"/>
        <w:jc w:val="left"/>
        <w:rPr>
          <w:rFonts w:eastAsia="黑体"/>
          <w:color w:val="auto"/>
          <w:highlight w:val="none"/>
        </w:rPr>
      </w:pPr>
    </w:p>
    <w:p w14:paraId="079A248E">
      <w:pPr>
        <w:spacing w:line="360" w:lineRule="auto"/>
        <w:jc w:val="left"/>
        <w:rPr>
          <w:rFonts w:eastAsia="黑体"/>
          <w:color w:val="auto"/>
          <w:highlight w:val="none"/>
        </w:rPr>
      </w:pPr>
    </w:p>
    <w:p w14:paraId="5C9E79CC">
      <w:pPr>
        <w:spacing w:line="360" w:lineRule="auto"/>
        <w:jc w:val="left"/>
        <w:rPr>
          <w:rFonts w:eastAsia="黑体"/>
          <w:color w:val="auto"/>
          <w:highlight w:val="none"/>
        </w:rPr>
      </w:pPr>
    </w:p>
    <w:p w14:paraId="1FECFC73">
      <w:pPr>
        <w:spacing w:line="360" w:lineRule="auto"/>
        <w:jc w:val="left"/>
        <w:rPr>
          <w:rFonts w:eastAsia="黑体"/>
          <w:color w:val="auto"/>
          <w:highlight w:val="none"/>
        </w:rPr>
      </w:pPr>
    </w:p>
    <w:p w14:paraId="63269298">
      <w:pPr>
        <w:spacing w:line="360" w:lineRule="auto"/>
        <w:jc w:val="left"/>
        <w:rPr>
          <w:rFonts w:eastAsia="黑体"/>
          <w:color w:val="auto"/>
          <w:highlight w:val="none"/>
        </w:rPr>
      </w:pPr>
    </w:p>
    <w:p w14:paraId="6B54CBE9">
      <w:pPr>
        <w:spacing w:line="360" w:lineRule="auto"/>
        <w:jc w:val="left"/>
        <w:rPr>
          <w:rFonts w:eastAsia="黑体"/>
          <w:color w:val="auto"/>
          <w:highlight w:val="none"/>
        </w:rPr>
      </w:pPr>
    </w:p>
    <w:p w14:paraId="27DCD7D1">
      <w:pPr>
        <w:spacing w:line="360" w:lineRule="auto"/>
        <w:jc w:val="left"/>
        <w:rPr>
          <w:rFonts w:eastAsia="黑体"/>
          <w:color w:val="auto"/>
          <w:highlight w:val="none"/>
        </w:rPr>
      </w:pPr>
      <w:bookmarkStart w:id="913" w:name="_Toc300678562"/>
    </w:p>
    <w:p w14:paraId="24AA0837">
      <w:pPr>
        <w:spacing w:line="360" w:lineRule="auto"/>
        <w:jc w:val="left"/>
        <w:rPr>
          <w:rFonts w:eastAsia="黑体"/>
          <w:color w:val="auto"/>
          <w:highlight w:val="none"/>
        </w:rPr>
      </w:pPr>
    </w:p>
    <w:p w14:paraId="29A605B2">
      <w:pPr>
        <w:spacing w:line="360" w:lineRule="auto"/>
        <w:jc w:val="left"/>
        <w:rPr>
          <w:rFonts w:eastAsia="黑体"/>
          <w:color w:val="auto"/>
          <w:highlight w:val="none"/>
        </w:rPr>
      </w:pPr>
    </w:p>
    <w:p w14:paraId="4995DFF5">
      <w:pPr>
        <w:spacing w:line="360" w:lineRule="auto"/>
        <w:jc w:val="left"/>
        <w:rPr>
          <w:rFonts w:eastAsia="黑体"/>
          <w:color w:val="auto"/>
          <w:highlight w:val="none"/>
        </w:rPr>
      </w:pPr>
    </w:p>
    <w:p w14:paraId="66A40CB0">
      <w:pPr>
        <w:spacing w:line="360" w:lineRule="auto"/>
        <w:jc w:val="left"/>
        <w:rPr>
          <w:rFonts w:eastAsia="黑体"/>
          <w:color w:val="auto"/>
          <w:highlight w:val="none"/>
        </w:rPr>
      </w:pPr>
    </w:p>
    <w:p w14:paraId="26056ACF">
      <w:pPr>
        <w:spacing w:line="360" w:lineRule="auto"/>
        <w:jc w:val="left"/>
        <w:rPr>
          <w:rFonts w:eastAsia="黑体"/>
          <w:color w:val="auto"/>
          <w:highlight w:val="none"/>
        </w:rPr>
      </w:pPr>
    </w:p>
    <w:p w14:paraId="376CE70E">
      <w:pPr>
        <w:pStyle w:val="8"/>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附件</w:t>
      </w:r>
      <w:r>
        <w:rPr>
          <w:rFonts w:hint="eastAsia" w:ascii="Times New Roman" w:hAnsi="Times New Roman" w:eastAsia="黑体"/>
          <w:b w:val="0"/>
          <w:bCs w:val="0"/>
          <w:color w:val="auto"/>
          <w:sz w:val="24"/>
          <w:highlight w:val="none"/>
        </w:rPr>
        <w:t>7-1</w:t>
      </w:r>
      <w:r>
        <w:rPr>
          <w:rFonts w:ascii="Times New Roman" w:hAnsi="Times New Roman" w:eastAsia="黑体"/>
          <w:b w:val="0"/>
          <w:bCs w:val="0"/>
          <w:color w:val="auto"/>
          <w:sz w:val="24"/>
          <w:highlight w:val="none"/>
        </w:rPr>
        <w:t>：施工现场现状平面图</w:t>
      </w:r>
      <w:bookmarkEnd w:id="913"/>
    </w:p>
    <w:p w14:paraId="52D91B25">
      <w:pPr>
        <w:spacing w:line="360" w:lineRule="auto"/>
        <w:jc w:val="left"/>
        <w:rPr>
          <w:color w:val="auto"/>
          <w:sz w:val="18"/>
          <w:szCs w:val="18"/>
          <w:highlight w:val="none"/>
        </w:rPr>
      </w:pPr>
      <w:r>
        <w:rPr>
          <w:color w:val="auto"/>
          <w:sz w:val="18"/>
          <w:szCs w:val="18"/>
          <w:highlight w:val="none"/>
        </w:rPr>
        <w:t>说明：该图由招标人准备，并作为招标文件本章的组成内容提供给投标人。图中应当标示本章第一节第1.2.1项规定的内容，并做必要的文字说明。</w:t>
      </w:r>
    </w:p>
    <w:p w14:paraId="71068E82">
      <w:pPr>
        <w:spacing w:line="360" w:lineRule="auto"/>
        <w:jc w:val="left"/>
        <w:rPr>
          <w:color w:val="auto"/>
          <w:sz w:val="18"/>
          <w:szCs w:val="18"/>
          <w:highlight w:val="none"/>
        </w:rPr>
      </w:pPr>
      <w:r>
        <w:rPr>
          <w:color w:val="auto"/>
          <w:szCs w:val="21"/>
          <w:highlight w:val="none"/>
        </w:rPr>
        <w:br w:type="page"/>
      </w:r>
    </w:p>
    <w:p w14:paraId="1DD4B4EA">
      <w:pPr>
        <w:spacing w:line="360" w:lineRule="auto"/>
        <w:jc w:val="left"/>
        <w:rPr>
          <w:color w:val="auto"/>
          <w:sz w:val="18"/>
          <w:szCs w:val="18"/>
          <w:highlight w:val="none"/>
        </w:rPr>
      </w:pPr>
      <w:bookmarkStart w:id="914" w:name="_Toc300678563"/>
    </w:p>
    <w:p w14:paraId="4306F79B">
      <w:pPr>
        <w:spacing w:line="360" w:lineRule="auto"/>
        <w:jc w:val="left"/>
        <w:rPr>
          <w:color w:val="auto"/>
          <w:sz w:val="18"/>
          <w:szCs w:val="18"/>
          <w:highlight w:val="none"/>
        </w:rPr>
      </w:pPr>
    </w:p>
    <w:p w14:paraId="53026335">
      <w:pPr>
        <w:spacing w:line="360" w:lineRule="auto"/>
        <w:jc w:val="left"/>
        <w:rPr>
          <w:color w:val="auto"/>
          <w:sz w:val="18"/>
          <w:szCs w:val="18"/>
          <w:highlight w:val="none"/>
        </w:rPr>
      </w:pPr>
    </w:p>
    <w:p w14:paraId="6B273DDD">
      <w:pPr>
        <w:spacing w:line="360" w:lineRule="auto"/>
        <w:jc w:val="left"/>
        <w:rPr>
          <w:color w:val="auto"/>
          <w:sz w:val="18"/>
          <w:szCs w:val="18"/>
          <w:highlight w:val="none"/>
        </w:rPr>
      </w:pPr>
    </w:p>
    <w:p w14:paraId="3AB42FB7">
      <w:pPr>
        <w:spacing w:line="360" w:lineRule="auto"/>
        <w:jc w:val="left"/>
        <w:rPr>
          <w:color w:val="auto"/>
          <w:sz w:val="18"/>
          <w:szCs w:val="18"/>
          <w:highlight w:val="none"/>
        </w:rPr>
      </w:pPr>
    </w:p>
    <w:p w14:paraId="4E220178">
      <w:pPr>
        <w:spacing w:line="360" w:lineRule="auto"/>
        <w:jc w:val="left"/>
        <w:rPr>
          <w:color w:val="auto"/>
          <w:sz w:val="18"/>
          <w:szCs w:val="18"/>
          <w:highlight w:val="none"/>
        </w:rPr>
      </w:pPr>
    </w:p>
    <w:p w14:paraId="44CAD674">
      <w:pPr>
        <w:spacing w:line="360" w:lineRule="auto"/>
        <w:jc w:val="left"/>
        <w:rPr>
          <w:color w:val="auto"/>
          <w:sz w:val="18"/>
          <w:szCs w:val="18"/>
          <w:highlight w:val="none"/>
        </w:rPr>
      </w:pPr>
    </w:p>
    <w:p w14:paraId="0022122B">
      <w:pPr>
        <w:spacing w:line="360" w:lineRule="auto"/>
        <w:jc w:val="left"/>
        <w:rPr>
          <w:color w:val="auto"/>
          <w:sz w:val="18"/>
          <w:szCs w:val="18"/>
          <w:highlight w:val="none"/>
        </w:rPr>
      </w:pPr>
    </w:p>
    <w:p w14:paraId="2EBF2660">
      <w:pPr>
        <w:spacing w:line="360" w:lineRule="auto"/>
        <w:jc w:val="left"/>
        <w:rPr>
          <w:color w:val="auto"/>
          <w:sz w:val="18"/>
          <w:szCs w:val="18"/>
          <w:highlight w:val="none"/>
        </w:rPr>
      </w:pPr>
    </w:p>
    <w:p w14:paraId="34776DB2">
      <w:pPr>
        <w:spacing w:line="360" w:lineRule="auto"/>
        <w:jc w:val="left"/>
        <w:rPr>
          <w:color w:val="auto"/>
          <w:sz w:val="18"/>
          <w:szCs w:val="18"/>
          <w:highlight w:val="none"/>
        </w:rPr>
      </w:pPr>
    </w:p>
    <w:p w14:paraId="5EED2D62">
      <w:pPr>
        <w:pStyle w:val="5"/>
        <w:jc w:val="center"/>
        <w:rPr>
          <w:rFonts w:ascii="Times New Roman" w:hAnsi="Times New Roman" w:eastAsia="黑体"/>
          <w:b w:val="0"/>
          <w:bCs w:val="0"/>
          <w:color w:val="auto"/>
          <w:sz w:val="44"/>
          <w:szCs w:val="44"/>
          <w:highlight w:val="none"/>
        </w:rPr>
      </w:pPr>
      <w:bookmarkStart w:id="915" w:name="_Toc80006148"/>
      <w:bookmarkStart w:id="916" w:name="_Toc80006258"/>
      <w:r>
        <w:rPr>
          <w:rFonts w:ascii="Times New Roman" w:hAnsi="Times New Roman" w:eastAsia="黑体"/>
          <w:b w:val="0"/>
          <w:bCs w:val="0"/>
          <w:color w:val="auto"/>
          <w:sz w:val="44"/>
          <w:szCs w:val="44"/>
          <w:highlight w:val="none"/>
        </w:rPr>
        <w:t>第  四  卷</w:t>
      </w:r>
      <w:bookmarkEnd w:id="914"/>
      <w:bookmarkEnd w:id="915"/>
      <w:bookmarkEnd w:id="916"/>
    </w:p>
    <w:p w14:paraId="3D6823FE">
      <w:pPr>
        <w:spacing w:line="360" w:lineRule="auto"/>
        <w:jc w:val="left"/>
        <w:rPr>
          <w:color w:val="auto"/>
          <w:sz w:val="18"/>
          <w:szCs w:val="18"/>
          <w:highlight w:val="none"/>
        </w:rPr>
      </w:pPr>
      <w:r>
        <w:rPr>
          <w:rFonts w:eastAsia="黑体"/>
          <w:bCs/>
          <w:color w:val="auto"/>
          <w:sz w:val="44"/>
          <w:szCs w:val="44"/>
          <w:highlight w:val="none"/>
        </w:rPr>
        <w:br w:type="page"/>
      </w:r>
    </w:p>
    <w:p w14:paraId="118162BF">
      <w:pPr>
        <w:spacing w:line="360" w:lineRule="auto"/>
        <w:jc w:val="left"/>
        <w:rPr>
          <w:color w:val="auto"/>
          <w:sz w:val="18"/>
          <w:szCs w:val="18"/>
          <w:highlight w:val="none"/>
        </w:rPr>
      </w:pPr>
    </w:p>
    <w:p w14:paraId="2D550575">
      <w:pPr>
        <w:spacing w:line="360" w:lineRule="auto"/>
        <w:jc w:val="left"/>
        <w:rPr>
          <w:color w:val="auto"/>
          <w:sz w:val="18"/>
          <w:szCs w:val="18"/>
          <w:highlight w:val="none"/>
        </w:rPr>
      </w:pPr>
    </w:p>
    <w:p w14:paraId="253D4FE3">
      <w:pPr>
        <w:spacing w:line="360" w:lineRule="auto"/>
        <w:jc w:val="left"/>
        <w:rPr>
          <w:color w:val="auto"/>
          <w:sz w:val="18"/>
          <w:szCs w:val="18"/>
          <w:highlight w:val="none"/>
        </w:rPr>
      </w:pPr>
    </w:p>
    <w:p w14:paraId="06BAEC7E">
      <w:pPr>
        <w:spacing w:line="360" w:lineRule="auto"/>
        <w:jc w:val="left"/>
        <w:rPr>
          <w:color w:val="auto"/>
          <w:sz w:val="18"/>
          <w:szCs w:val="18"/>
          <w:highlight w:val="none"/>
        </w:rPr>
      </w:pPr>
    </w:p>
    <w:p w14:paraId="2DB933AC">
      <w:pPr>
        <w:spacing w:line="360" w:lineRule="auto"/>
        <w:jc w:val="left"/>
        <w:rPr>
          <w:color w:val="auto"/>
          <w:sz w:val="18"/>
          <w:szCs w:val="18"/>
          <w:highlight w:val="none"/>
        </w:rPr>
      </w:pPr>
    </w:p>
    <w:p w14:paraId="45E836CA">
      <w:pPr>
        <w:spacing w:line="360" w:lineRule="auto"/>
        <w:jc w:val="left"/>
        <w:rPr>
          <w:color w:val="auto"/>
          <w:sz w:val="18"/>
          <w:szCs w:val="18"/>
          <w:highlight w:val="none"/>
        </w:rPr>
      </w:pPr>
    </w:p>
    <w:p w14:paraId="0332A19D">
      <w:pPr>
        <w:spacing w:line="360" w:lineRule="auto"/>
        <w:jc w:val="left"/>
        <w:rPr>
          <w:color w:val="auto"/>
          <w:sz w:val="18"/>
          <w:szCs w:val="18"/>
          <w:highlight w:val="none"/>
        </w:rPr>
      </w:pPr>
    </w:p>
    <w:p w14:paraId="62AE0DA4">
      <w:pPr>
        <w:spacing w:line="360" w:lineRule="auto"/>
        <w:jc w:val="left"/>
        <w:rPr>
          <w:color w:val="auto"/>
          <w:sz w:val="18"/>
          <w:szCs w:val="18"/>
          <w:highlight w:val="none"/>
        </w:rPr>
      </w:pPr>
    </w:p>
    <w:p w14:paraId="252494DA">
      <w:pPr>
        <w:spacing w:line="360" w:lineRule="auto"/>
        <w:jc w:val="left"/>
        <w:rPr>
          <w:color w:val="auto"/>
          <w:sz w:val="18"/>
          <w:szCs w:val="18"/>
          <w:highlight w:val="none"/>
        </w:rPr>
      </w:pPr>
    </w:p>
    <w:p w14:paraId="46539DCF">
      <w:pPr>
        <w:spacing w:line="360" w:lineRule="auto"/>
        <w:jc w:val="left"/>
        <w:rPr>
          <w:color w:val="auto"/>
          <w:sz w:val="18"/>
          <w:szCs w:val="18"/>
          <w:highlight w:val="none"/>
        </w:rPr>
      </w:pPr>
    </w:p>
    <w:p w14:paraId="57678BED">
      <w:pPr>
        <w:spacing w:line="360" w:lineRule="auto"/>
        <w:jc w:val="left"/>
        <w:rPr>
          <w:color w:val="auto"/>
          <w:sz w:val="18"/>
          <w:szCs w:val="18"/>
          <w:highlight w:val="none"/>
        </w:rPr>
      </w:pPr>
    </w:p>
    <w:p w14:paraId="76899640">
      <w:pPr>
        <w:pStyle w:val="5"/>
        <w:spacing w:before="0" w:after="0"/>
        <w:jc w:val="center"/>
        <w:rPr>
          <w:rFonts w:hint="eastAsia" w:ascii="Times New Roman" w:hAnsi="Times New Roman" w:eastAsia="黑体"/>
          <w:b w:val="0"/>
          <w:bCs w:val="0"/>
          <w:color w:val="auto"/>
          <w:highlight w:val="none"/>
        </w:rPr>
      </w:pPr>
      <w:bookmarkStart w:id="917" w:name="_Toc80006259"/>
      <w:bookmarkStart w:id="918" w:name="_Toc80006149"/>
      <w:bookmarkStart w:id="919" w:name="_Toc300678564"/>
      <w:r>
        <w:rPr>
          <w:rFonts w:ascii="Times New Roman" w:hAnsi="Times New Roman" w:eastAsia="黑体"/>
          <w:b w:val="0"/>
          <w:bCs w:val="0"/>
          <w:color w:val="auto"/>
          <w:highlight w:val="none"/>
        </w:rPr>
        <w:t>第八章  投标文件格式</w:t>
      </w:r>
      <w:bookmarkEnd w:id="917"/>
      <w:bookmarkEnd w:id="918"/>
      <w:bookmarkEnd w:id="919"/>
    </w:p>
    <w:p w14:paraId="2BC4A6DD">
      <w:pPr>
        <w:rPr>
          <w:rFonts w:hint="eastAsia"/>
          <w:color w:val="auto"/>
          <w:highlight w:val="none"/>
        </w:rPr>
      </w:pPr>
    </w:p>
    <w:p w14:paraId="7253CE1B">
      <w:pPr>
        <w:rPr>
          <w:color w:val="auto"/>
          <w:highlight w:val="none"/>
        </w:rPr>
      </w:pPr>
    </w:p>
    <w:p w14:paraId="186D2349">
      <w:pPr>
        <w:jc w:val="left"/>
        <w:rPr>
          <w:color w:val="auto"/>
          <w:sz w:val="18"/>
          <w:szCs w:val="18"/>
          <w:highlight w:val="none"/>
        </w:rPr>
      </w:pPr>
      <w:r>
        <w:rPr>
          <w:color w:val="auto"/>
          <w:sz w:val="18"/>
          <w:szCs w:val="18"/>
          <w:highlight w:val="none"/>
        </w:rPr>
        <w:br w:type="page"/>
      </w:r>
    </w:p>
    <w:p w14:paraId="61F41AEB">
      <w:pPr>
        <w:jc w:val="left"/>
        <w:rPr>
          <w:color w:val="auto"/>
          <w:sz w:val="18"/>
          <w:szCs w:val="18"/>
          <w:highlight w:val="none"/>
        </w:rPr>
      </w:pPr>
    </w:p>
    <w:p w14:paraId="130F98E9">
      <w:pPr>
        <w:jc w:val="left"/>
        <w:rPr>
          <w:color w:val="auto"/>
          <w:sz w:val="18"/>
          <w:szCs w:val="18"/>
          <w:highlight w:val="none"/>
        </w:rPr>
      </w:pPr>
    </w:p>
    <w:p w14:paraId="3BFDC57F">
      <w:pPr>
        <w:jc w:val="left"/>
        <w:rPr>
          <w:color w:val="auto"/>
          <w:sz w:val="18"/>
          <w:szCs w:val="18"/>
          <w:highlight w:val="none"/>
        </w:rPr>
      </w:pPr>
    </w:p>
    <w:p w14:paraId="3AE69908">
      <w:pPr>
        <w:jc w:val="left"/>
        <w:rPr>
          <w:color w:val="auto"/>
          <w:sz w:val="18"/>
          <w:szCs w:val="18"/>
          <w:highlight w:val="none"/>
        </w:rPr>
      </w:pPr>
    </w:p>
    <w:p w14:paraId="0B027470">
      <w:pPr>
        <w:jc w:val="left"/>
        <w:rPr>
          <w:color w:val="auto"/>
          <w:sz w:val="18"/>
          <w:szCs w:val="18"/>
          <w:highlight w:val="none"/>
        </w:rPr>
      </w:pPr>
    </w:p>
    <w:p w14:paraId="0FFD3BFB">
      <w:pPr>
        <w:jc w:val="left"/>
        <w:rPr>
          <w:color w:val="auto"/>
          <w:sz w:val="18"/>
          <w:szCs w:val="18"/>
          <w:highlight w:val="none"/>
        </w:rPr>
      </w:pPr>
    </w:p>
    <w:p w14:paraId="2BB96478">
      <w:pPr>
        <w:jc w:val="left"/>
        <w:rPr>
          <w:color w:val="auto"/>
          <w:sz w:val="18"/>
          <w:szCs w:val="18"/>
          <w:highlight w:val="none"/>
        </w:rPr>
      </w:pPr>
    </w:p>
    <w:p w14:paraId="58037E20">
      <w:pPr>
        <w:jc w:val="left"/>
        <w:rPr>
          <w:color w:val="auto"/>
          <w:sz w:val="18"/>
          <w:szCs w:val="18"/>
          <w:highlight w:val="none"/>
        </w:rPr>
      </w:pPr>
    </w:p>
    <w:p w14:paraId="1C208017">
      <w:pPr>
        <w:jc w:val="left"/>
        <w:rPr>
          <w:color w:val="auto"/>
          <w:sz w:val="18"/>
          <w:szCs w:val="18"/>
          <w:highlight w:val="none"/>
        </w:rPr>
      </w:pPr>
    </w:p>
    <w:p w14:paraId="6B4903B1">
      <w:pPr>
        <w:jc w:val="left"/>
        <w:rPr>
          <w:color w:val="auto"/>
          <w:sz w:val="18"/>
          <w:szCs w:val="18"/>
          <w:highlight w:val="none"/>
        </w:rPr>
      </w:pPr>
    </w:p>
    <w:p w14:paraId="41A4E70C">
      <w:pPr>
        <w:jc w:val="left"/>
        <w:rPr>
          <w:rFonts w:eastAsia="黑体"/>
          <w:bCs/>
          <w:color w:val="auto"/>
          <w:szCs w:val="21"/>
          <w:highlight w:val="none"/>
        </w:rPr>
      </w:pPr>
    </w:p>
    <w:p w14:paraId="6B62E434">
      <w:pPr>
        <w:rPr>
          <w:color w:val="auto"/>
          <w:highlight w:val="none"/>
        </w:rPr>
      </w:pPr>
      <w:bookmarkStart w:id="920" w:name="_Toc300678565"/>
    </w:p>
    <w:p w14:paraId="7B319F36">
      <w:pPr>
        <w:pStyle w:val="5"/>
        <w:jc w:val="center"/>
        <w:rPr>
          <w:rFonts w:ascii="Times New Roman" w:hAnsi="Times New Roman" w:eastAsia="黑体"/>
          <w:b w:val="0"/>
          <w:color w:val="auto"/>
          <w:highlight w:val="none"/>
        </w:rPr>
      </w:pPr>
      <w:bookmarkStart w:id="921" w:name="_Toc80006260"/>
      <w:bookmarkStart w:id="922" w:name="_Toc80006150"/>
      <w:r>
        <w:rPr>
          <w:rFonts w:ascii="Times New Roman" w:hAnsi="Times New Roman" w:eastAsia="黑体"/>
          <w:b w:val="0"/>
          <w:color w:val="auto"/>
          <w:highlight w:val="none"/>
        </w:rPr>
        <w:t>第一</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投标函</w:t>
      </w:r>
      <w:r>
        <w:rPr>
          <w:rFonts w:hint="eastAsia" w:ascii="Times New Roman" w:hAnsi="Times New Roman" w:eastAsia="黑体"/>
          <w:b w:val="0"/>
          <w:color w:val="auto"/>
          <w:highlight w:val="none"/>
          <w:lang w:val="en-US" w:eastAsia="zh-CN"/>
        </w:rPr>
        <w:t>及附录</w:t>
      </w:r>
      <w:r>
        <w:rPr>
          <w:rFonts w:ascii="Times New Roman" w:hAnsi="Times New Roman" w:eastAsia="黑体"/>
          <w:b w:val="0"/>
          <w:color w:val="auto"/>
          <w:highlight w:val="none"/>
        </w:rPr>
        <w:t>格式</w:t>
      </w:r>
      <w:bookmarkEnd w:id="920"/>
      <w:bookmarkEnd w:id="921"/>
      <w:bookmarkEnd w:id="922"/>
    </w:p>
    <w:p w14:paraId="3366AE58">
      <w:pPr>
        <w:spacing w:line="360" w:lineRule="auto"/>
        <w:jc w:val="left"/>
        <w:rPr>
          <w:color w:val="auto"/>
          <w:sz w:val="18"/>
          <w:szCs w:val="18"/>
          <w:highlight w:val="none"/>
        </w:rPr>
      </w:pPr>
    </w:p>
    <w:p w14:paraId="14A23F3D">
      <w:pPr>
        <w:widowControl/>
        <w:rPr>
          <w:rFonts w:eastAsia="黑体"/>
          <w:color w:val="auto"/>
          <w:kern w:val="0"/>
          <w:sz w:val="28"/>
          <w:szCs w:val="21"/>
          <w:highlight w:val="none"/>
        </w:rPr>
      </w:pPr>
    </w:p>
    <w:p w14:paraId="1B209250">
      <w:pPr>
        <w:widowControl/>
        <w:rPr>
          <w:rFonts w:eastAsia="黑体"/>
          <w:color w:val="auto"/>
          <w:kern w:val="0"/>
          <w:sz w:val="28"/>
          <w:szCs w:val="21"/>
          <w:highlight w:val="none"/>
        </w:rPr>
      </w:pPr>
      <w:r>
        <w:rPr>
          <w:rFonts w:eastAsia="黑体"/>
          <w:color w:val="auto"/>
          <w:kern w:val="0"/>
          <w:sz w:val="28"/>
          <w:szCs w:val="21"/>
          <w:highlight w:val="none"/>
        </w:rPr>
        <w:br w:type="page"/>
      </w:r>
    </w:p>
    <w:p w14:paraId="2D9D8BAE">
      <w:pPr>
        <w:widowControl/>
        <w:rPr>
          <w:rFonts w:eastAsia="黑体"/>
          <w:color w:val="auto"/>
          <w:kern w:val="0"/>
          <w:sz w:val="28"/>
          <w:szCs w:val="21"/>
          <w:highlight w:val="none"/>
        </w:rPr>
      </w:pPr>
    </w:p>
    <w:p w14:paraId="58C16332">
      <w:pPr>
        <w:widowControl/>
        <w:jc w:val="center"/>
        <w:rPr>
          <w:rFonts w:eastAsia="黑体"/>
          <w:color w:val="auto"/>
          <w:kern w:val="0"/>
          <w:sz w:val="28"/>
          <w:szCs w:val="28"/>
          <w:highlight w:val="none"/>
        </w:rPr>
      </w:pPr>
      <w:r>
        <w:rPr>
          <w:rFonts w:eastAsia="黑体"/>
          <w:color w:val="auto"/>
          <w:kern w:val="0"/>
          <w:sz w:val="28"/>
          <w:szCs w:val="28"/>
          <w:highlight w:val="none"/>
          <w:u w:val="single"/>
        </w:rPr>
        <w:t xml:space="preserve">            </w:t>
      </w:r>
      <w:r>
        <w:rPr>
          <w:rFonts w:eastAsia="黑体"/>
          <w:color w:val="auto"/>
          <w:kern w:val="0"/>
          <w:sz w:val="28"/>
          <w:szCs w:val="28"/>
          <w:highlight w:val="none"/>
        </w:rPr>
        <w:t>（项目名称）施工招标</w:t>
      </w:r>
    </w:p>
    <w:p w14:paraId="5826B1BA">
      <w:pPr>
        <w:widowControl/>
        <w:spacing w:before="312"/>
        <w:jc w:val="center"/>
        <w:rPr>
          <w:rFonts w:eastAsia="黑体"/>
          <w:color w:val="auto"/>
          <w:kern w:val="0"/>
          <w:sz w:val="44"/>
          <w:szCs w:val="44"/>
          <w:highlight w:val="none"/>
        </w:rPr>
      </w:pPr>
      <w:r>
        <w:rPr>
          <w:rFonts w:eastAsia="黑体"/>
          <w:color w:val="auto"/>
          <w:kern w:val="0"/>
          <w:sz w:val="44"/>
          <w:szCs w:val="44"/>
          <w:highlight w:val="none"/>
        </w:rPr>
        <w:t>投  标  文  件</w:t>
      </w:r>
    </w:p>
    <w:p w14:paraId="387251A8">
      <w:pPr>
        <w:widowControl/>
        <w:jc w:val="center"/>
        <w:rPr>
          <w:rFonts w:eastAsia="黑体"/>
          <w:color w:val="auto"/>
          <w:kern w:val="0"/>
          <w:sz w:val="32"/>
          <w:szCs w:val="32"/>
          <w:highlight w:val="none"/>
        </w:rPr>
      </w:pPr>
      <w:r>
        <w:rPr>
          <w:rFonts w:eastAsia="黑体"/>
          <w:color w:val="auto"/>
          <w:kern w:val="0"/>
          <w:sz w:val="32"/>
          <w:szCs w:val="32"/>
          <w:highlight w:val="none"/>
        </w:rPr>
        <w:t>（投标函</w:t>
      </w:r>
      <w:r>
        <w:rPr>
          <w:rFonts w:hint="eastAsia" w:eastAsia="黑体"/>
          <w:color w:val="auto"/>
          <w:kern w:val="0"/>
          <w:sz w:val="32"/>
          <w:szCs w:val="32"/>
          <w:highlight w:val="none"/>
          <w:lang w:val="en-US" w:eastAsia="zh-CN"/>
        </w:rPr>
        <w:t>及附录</w:t>
      </w:r>
      <w:r>
        <w:rPr>
          <w:rFonts w:eastAsia="黑体"/>
          <w:color w:val="auto"/>
          <w:kern w:val="0"/>
          <w:sz w:val="32"/>
          <w:szCs w:val="32"/>
          <w:highlight w:val="none"/>
        </w:rPr>
        <w:t>）</w:t>
      </w:r>
    </w:p>
    <w:p w14:paraId="3CDE0236">
      <w:pPr>
        <w:spacing w:line="360" w:lineRule="auto"/>
        <w:jc w:val="left"/>
        <w:rPr>
          <w:color w:val="auto"/>
          <w:sz w:val="18"/>
          <w:szCs w:val="18"/>
          <w:highlight w:val="none"/>
        </w:rPr>
      </w:pPr>
    </w:p>
    <w:p w14:paraId="045129EF">
      <w:pPr>
        <w:spacing w:line="360" w:lineRule="auto"/>
        <w:jc w:val="left"/>
        <w:rPr>
          <w:color w:val="auto"/>
          <w:sz w:val="18"/>
          <w:szCs w:val="18"/>
          <w:highlight w:val="none"/>
        </w:rPr>
      </w:pPr>
    </w:p>
    <w:p w14:paraId="511AC8F4">
      <w:pPr>
        <w:spacing w:line="360" w:lineRule="auto"/>
        <w:jc w:val="left"/>
        <w:rPr>
          <w:color w:val="auto"/>
          <w:sz w:val="18"/>
          <w:szCs w:val="18"/>
          <w:highlight w:val="none"/>
        </w:rPr>
      </w:pPr>
    </w:p>
    <w:p w14:paraId="37492E36">
      <w:pPr>
        <w:spacing w:line="360" w:lineRule="auto"/>
        <w:jc w:val="left"/>
        <w:rPr>
          <w:color w:val="auto"/>
          <w:sz w:val="18"/>
          <w:szCs w:val="18"/>
          <w:highlight w:val="none"/>
        </w:rPr>
      </w:pPr>
    </w:p>
    <w:p w14:paraId="4E06FCEC">
      <w:pPr>
        <w:spacing w:line="360" w:lineRule="auto"/>
        <w:jc w:val="left"/>
        <w:rPr>
          <w:color w:val="auto"/>
          <w:sz w:val="18"/>
          <w:szCs w:val="18"/>
          <w:highlight w:val="none"/>
        </w:rPr>
      </w:pPr>
    </w:p>
    <w:p w14:paraId="3F1120E6">
      <w:pPr>
        <w:spacing w:line="360" w:lineRule="auto"/>
        <w:jc w:val="left"/>
        <w:rPr>
          <w:color w:val="auto"/>
          <w:sz w:val="18"/>
          <w:szCs w:val="18"/>
          <w:highlight w:val="none"/>
        </w:rPr>
      </w:pPr>
    </w:p>
    <w:p w14:paraId="6C9DB523">
      <w:pPr>
        <w:spacing w:line="360" w:lineRule="auto"/>
        <w:jc w:val="left"/>
        <w:rPr>
          <w:color w:val="auto"/>
          <w:sz w:val="18"/>
          <w:szCs w:val="18"/>
          <w:highlight w:val="none"/>
        </w:rPr>
      </w:pPr>
    </w:p>
    <w:p w14:paraId="7F79A550">
      <w:pPr>
        <w:spacing w:line="360" w:lineRule="auto"/>
        <w:jc w:val="left"/>
        <w:rPr>
          <w:color w:val="auto"/>
          <w:sz w:val="18"/>
          <w:szCs w:val="18"/>
          <w:highlight w:val="none"/>
        </w:rPr>
      </w:pPr>
    </w:p>
    <w:p w14:paraId="4862A4FC">
      <w:pPr>
        <w:spacing w:line="360" w:lineRule="auto"/>
        <w:jc w:val="left"/>
        <w:rPr>
          <w:color w:val="auto"/>
          <w:sz w:val="18"/>
          <w:szCs w:val="18"/>
          <w:highlight w:val="none"/>
        </w:rPr>
      </w:pPr>
    </w:p>
    <w:p w14:paraId="6A55539E">
      <w:pPr>
        <w:spacing w:line="360" w:lineRule="auto"/>
        <w:jc w:val="left"/>
        <w:rPr>
          <w:color w:val="auto"/>
          <w:sz w:val="18"/>
          <w:szCs w:val="18"/>
          <w:highlight w:val="none"/>
        </w:rPr>
      </w:pPr>
    </w:p>
    <w:p w14:paraId="45F93711">
      <w:pPr>
        <w:spacing w:line="360" w:lineRule="auto"/>
        <w:jc w:val="left"/>
        <w:rPr>
          <w:color w:val="auto"/>
          <w:sz w:val="18"/>
          <w:szCs w:val="18"/>
          <w:highlight w:val="none"/>
        </w:rPr>
      </w:pPr>
    </w:p>
    <w:p w14:paraId="6FB3C884">
      <w:pPr>
        <w:spacing w:line="360" w:lineRule="auto"/>
        <w:jc w:val="left"/>
        <w:rPr>
          <w:color w:val="auto"/>
          <w:sz w:val="18"/>
          <w:szCs w:val="18"/>
          <w:highlight w:val="none"/>
        </w:rPr>
      </w:pPr>
    </w:p>
    <w:p w14:paraId="4DCAE9F1">
      <w:pPr>
        <w:spacing w:line="360" w:lineRule="auto"/>
        <w:jc w:val="left"/>
        <w:rPr>
          <w:color w:val="auto"/>
          <w:sz w:val="18"/>
          <w:szCs w:val="18"/>
          <w:highlight w:val="none"/>
        </w:rPr>
      </w:pPr>
    </w:p>
    <w:p w14:paraId="5A655E0D">
      <w:pPr>
        <w:spacing w:line="360" w:lineRule="auto"/>
        <w:jc w:val="left"/>
        <w:rPr>
          <w:color w:val="auto"/>
          <w:sz w:val="18"/>
          <w:szCs w:val="18"/>
          <w:highlight w:val="none"/>
        </w:rPr>
      </w:pPr>
    </w:p>
    <w:p w14:paraId="4AD1FE5D">
      <w:pPr>
        <w:spacing w:line="360" w:lineRule="auto"/>
        <w:jc w:val="left"/>
        <w:rPr>
          <w:color w:val="auto"/>
          <w:sz w:val="18"/>
          <w:szCs w:val="18"/>
          <w:highlight w:val="none"/>
        </w:rPr>
      </w:pPr>
    </w:p>
    <w:p w14:paraId="1262290A">
      <w:pPr>
        <w:spacing w:line="360" w:lineRule="auto"/>
        <w:jc w:val="left"/>
        <w:rPr>
          <w:color w:val="auto"/>
          <w:sz w:val="18"/>
          <w:szCs w:val="18"/>
          <w:highlight w:val="none"/>
        </w:rPr>
      </w:pPr>
    </w:p>
    <w:p w14:paraId="4854BBD8">
      <w:pPr>
        <w:spacing w:line="360" w:lineRule="auto"/>
        <w:jc w:val="left"/>
        <w:rPr>
          <w:color w:val="auto"/>
          <w:sz w:val="18"/>
          <w:szCs w:val="18"/>
          <w:highlight w:val="none"/>
        </w:rPr>
      </w:pPr>
    </w:p>
    <w:p w14:paraId="147BEF0B">
      <w:pPr>
        <w:spacing w:line="360" w:lineRule="auto"/>
        <w:jc w:val="left"/>
        <w:rPr>
          <w:color w:val="auto"/>
          <w:sz w:val="18"/>
          <w:szCs w:val="18"/>
          <w:highlight w:val="none"/>
        </w:rPr>
      </w:pPr>
    </w:p>
    <w:p w14:paraId="5418B1FB">
      <w:pPr>
        <w:spacing w:line="360" w:lineRule="auto"/>
        <w:jc w:val="left"/>
        <w:rPr>
          <w:color w:val="auto"/>
          <w:sz w:val="18"/>
          <w:szCs w:val="18"/>
          <w:highlight w:val="none"/>
        </w:rPr>
      </w:pPr>
    </w:p>
    <w:p w14:paraId="4BC9E1AB">
      <w:pPr>
        <w:spacing w:line="360" w:lineRule="auto"/>
        <w:jc w:val="left"/>
        <w:rPr>
          <w:color w:val="auto"/>
          <w:sz w:val="18"/>
          <w:szCs w:val="18"/>
          <w:highlight w:val="none"/>
        </w:rPr>
      </w:pPr>
    </w:p>
    <w:p w14:paraId="396BE8D7">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14:paraId="3AC01980">
      <w:pPr>
        <w:widowControl/>
        <w:rPr>
          <w:color w:val="auto"/>
          <w:szCs w:val="21"/>
          <w:highlight w:val="none"/>
        </w:rPr>
      </w:pPr>
      <w:r>
        <w:rPr>
          <w:color w:val="auto"/>
          <w:kern w:val="0"/>
          <w:highlight w:val="none"/>
        </w:rPr>
        <w:br w:type="page"/>
      </w:r>
      <w:bookmarkStart w:id="923" w:name="_Toc300678566"/>
    </w:p>
    <w:p w14:paraId="60A140C0">
      <w:pPr>
        <w:pStyle w:val="6"/>
        <w:spacing w:before="0" w:after="0" w:line="240" w:lineRule="auto"/>
        <w:jc w:val="center"/>
        <w:rPr>
          <w:rFonts w:ascii="Times New Roman" w:hAnsi="Times New Roman" w:eastAsia="黑体"/>
          <w:b w:val="0"/>
          <w:bCs w:val="0"/>
          <w:color w:val="auto"/>
          <w:sz w:val="36"/>
          <w:szCs w:val="36"/>
          <w:highlight w:val="none"/>
        </w:rPr>
      </w:pPr>
      <w:bookmarkStart w:id="924" w:name="_Toc80006151"/>
      <w:bookmarkStart w:id="925" w:name="_Toc9178578"/>
      <w:bookmarkStart w:id="926" w:name="_Toc80006261"/>
      <w:r>
        <w:rPr>
          <w:rFonts w:ascii="Times New Roman" w:hAnsi="Times New Roman" w:eastAsia="黑体"/>
          <w:b w:val="0"/>
          <w:bCs w:val="0"/>
          <w:color w:val="auto"/>
          <w:sz w:val="36"/>
          <w:szCs w:val="36"/>
          <w:highlight w:val="none"/>
        </w:rPr>
        <w:t>目    录</w:t>
      </w:r>
      <w:bookmarkEnd w:id="923"/>
      <w:bookmarkEnd w:id="924"/>
      <w:bookmarkEnd w:id="925"/>
      <w:bookmarkEnd w:id="926"/>
    </w:p>
    <w:p w14:paraId="39DD88EC">
      <w:pPr>
        <w:widowControl/>
        <w:rPr>
          <w:color w:val="auto"/>
          <w:szCs w:val="21"/>
          <w:highlight w:val="none"/>
        </w:rPr>
      </w:pPr>
    </w:p>
    <w:p w14:paraId="51F19E23">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47"/>
          <w:rFonts w:hint="eastAsia"/>
          <w:color w:val="auto"/>
          <w:highlight w:val="none"/>
          <w:u w:val="none"/>
        </w:rPr>
        <w:t>1.</w:t>
      </w:r>
      <w:r>
        <w:rPr>
          <w:rStyle w:val="47"/>
          <w:color w:val="auto"/>
          <w:highlight w:val="none"/>
          <w:u w:val="none"/>
        </w:rPr>
        <w:t>投标函及投标函附录</w:t>
      </w:r>
      <w:r>
        <w:rPr>
          <w:color w:val="auto"/>
          <w:highlight w:val="none"/>
        </w:rPr>
        <w:fldChar w:fldCharType="end"/>
      </w:r>
    </w:p>
    <w:p w14:paraId="131DF4A5">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47"/>
          <w:color w:val="auto"/>
          <w:highlight w:val="none"/>
          <w:u w:val="none"/>
        </w:rPr>
        <w:t>（</w:t>
      </w:r>
      <w:r>
        <w:rPr>
          <w:rStyle w:val="47"/>
          <w:rFonts w:hint="eastAsia"/>
          <w:color w:val="auto"/>
          <w:highlight w:val="none"/>
          <w:u w:val="none"/>
        </w:rPr>
        <w:t>1</w:t>
      </w:r>
      <w:r>
        <w:rPr>
          <w:rStyle w:val="47"/>
          <w:color w:val="auto"/>
          <w:highlight w:val="none"/>
          <w:u w:val="none"/>
        </w:rPr>
        <w:t>）投标函</w:t>
      </w:r>
      <w:r>
        <w:rPr>
          <w:color w:val="auto"/>
          <w:highlight w:val="none"/>
        </w:rPr>
        <w:fldChar w:fldCharType="end"/>
      </w:r>
    </w:p>
    <w:p w14:paraId="628B885F">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47"/>
          <w:color w:val="auto"/>
          <w:highlight w:val="none"/>
          <w:u w:val="none"/>
        </w:rPr>
        <w:t>（</w:t>
      </w:r>
      <w:r>
        <w:rPr>
          <w:rStyle w:val="47"/>
          <w:rFonts w:hint="eastAsia"/>
          <w:color w:val="auto"/>
          <w:highlight w:val="none"/>
          <w:u w:val="none"/>
        </w:rPr>
        <w:t>2</w:t>
      </w:r>
      <w:r>
        <w:rPr>
          <w:rStyle w:val="47"/>
          <w:color w:val="auto"/>
          <w:highlight w:val="none"/>
          <w:u w:val="none"/>
        </w:rPr>
        <w:t>）投标函附录</w:t>
      </w:r>
      <w:r>
        <w:rPr>
          <w:color w:val="auto"/>
          <w:highlight w:val="none"/>
        </w:rPr>
        <w:fldChar w:fldCharType="end"/>
      </w:r>
    </w:p>
    <w:p w14:paraId="1983D606">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47"/>
          <w:rFonts w:hint="eastAsia"/>
          <w:color w:val="auto"/>
          <w:highlight w:val="none"/>
          <w:u w:val="none"/>
        </w:rPr>
        <w:t>2.</w:t>
      </w:r>
      <w:r>
        <w:rPr>
          <w:rStyle w:val="47"/>
          <w:color w:val="auto"/>
          <w:highlight w:val="none"/>
          <w:u w:val="none"/>
        </w:rPr>
        <w:t>法定代表人身份证明</w:t>
      </w:r>
      <w:r>
        <w:rPr>
          <w:color w:val="auto"/>
          <w:highlight w:val="none"/>
        </w:rPr>
        <w:fldChar w:fldCharType="end"/>
      </w:r>
    </w:p>
    <w:p w14:paraId="2E9CD9DA">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47"/>
          <w:rFonts w:hint="eastAsia"/>
          <w:color w:val="auto"/>
          <w:highlight w:val="none"/>
          <w:u w:val="none"/>
        </w:rPr>
        <w:t>3.</w:t>
      </w:r>
      <w:r>
        <w:rPr>
          <w:rStyle w:val="47"/>
          <w:color w:val="auto"/>
          <w:highlight w:val="none"/>
          <w:u w:val="none"/>
        </w:rPr>
        <w:t>授权委托书</w:t>
      </w:r>
      <w:r>
        <w:rPr>
          <w:color w:val="auto"/>
          <w:highlight w:val="none"/>
        </w:rPr>
        <w:fldChar w:fldCharType="end"/>
      </w:r>
      <w:r>
        <w:rPr>
          <w:color w:val="auto"/>
          <w:highlight w:val="none"/>
        </w:rPr>
        <w:t>（如有）</w:t>
      </w:r>
    </w:p>
    <w:p w14:paraId="1084B966">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47"/>
          <w:rFonts w:hint="eastAsia"/>
          <w:color w:val="auto"/>
          <w:highlight w:val="none"/>
          <w:u w:val="none"/>
        </w:rPr>
        <w:t>4.</w:t>
      </w:r>
      <w:r>
        <w:rPr>
          <w:rStyle w:val="47"/>
          <w:rFonts w:hint="eastAsia"/>
          <w:color w:val="auto"/>
          <w:highlight w:val="none"/>
          <w:u w:val="none"/>
          <w:lang w:val="en-US" w:eastAsia="zh-CN"/>
        </w:rPr>
        <w:t>共同投标</w:t>
      </w:r>
      <w:r>
        <w:rPr>
          <w:rStyle w:val="47"/>
          <w:color w:val="auto"/>
          <w:highlight w:val="none"/>
          <w:u w:val="none"/>
        </w:rPr>
        <w:t>协议</w:t>
      </w:r>
      <w:r>
        <w:rPr>
          <w:color w:val="auto"/>
          <w:highlight w:val="none"/>
        </w:rPr>
        <w:fldChar w:fldCharType="end"/>
      </w:r>
      <w:r>
        <w:rPr>
          <w:color w:val="auto"/>
          <w:highlight w:val="none"/>
        </w:rPr>
        <w:t>（如有）</w:t>
      </w:r>
    </w:p>
    <w:p w14:paraId="0AC890C3">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Style w:val="47"/>
          <w:rFonts w:hint="eastAsia"/>
          <w:color w:val="auto"/>
          <w:highlight w:val="none"/>
          <w:u w:val="none"/>
        </w:rPr>
        <w:t>5.</w:t>
      </w:r>
      <w:r>
        <w:rPr>
          <w:rStyle w:val="47"/>
          <w:color w:val="auto"/>
          <w:highlight w:val="none"/>
          <w:u w:val="none"/>
        </w:rPr>
        <w:t>投标保证</w:t>
      </w:r>
      <w:r>
        <w:rPr>
          <w:color w:val="auto"/>
          <w:highlight w:val="none"/>
        </w:rPr>
        <w:fldChar w:fldCharType="end"/>
      </w:r>
    </w:p>
    <w:p w14:paraId="71065189">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47"/>
          <w:rFonts w:hint="eastAsia"/>
          <w:color w:val="auto"/>
          <w:highlight w:val="none"/>
          <w:u w:val="none"/>
        </w:rPr>
        <w:t>6.</w:t>
      </w:r>
      <w:r>
        <w:rPr>
          <w:rStyle w:val="47"/>
          <w:color w:val="auto"/>
          <w:highlight w:val="none"/>
          <w:u w:val="none"/>
        </w:rPr>
        <w:t>项目管理机构</w:t>
      </w:r>
      <w:r>
        <w:rPr>
          <w:color w:val="auto"/>
          <w:highlight w:val="none"/>
        </w:rPr>
        <w:fldChar w:fldCharType="end"/>
      </w:r>
    </w:p>
    <w:p w14:paraId="04C6E8F6">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47"/>
          <w:color w:val="auto"/>
          <w:highlight w:val="none"/>
          <w:u w:val="none"/>
        </w:rPr>
        <w:t>（</w:t>
      </w:r>
      <w:r>
        <w:rPr>
          <w:rStyle w:val="47"/>
          <w:rFonts w:hint="eastAsia"/>
          <w:color w:val="auto"/>
          <w:highlight w:val="none"/>
          <w:u w:val="none"/>
        </w:rPr>
        <w:t>1</w:t>
      </w:r>
      <w:r>
        <w:rPr>
          <w:rStyle w:val="47"/>
          <w:color w:val="auto"/>
          <w:highlight w:val="none"/>
          <w:u w:val="none"/>
        </w:rPr>
        <w:t>）</w:t>
      </w:r>
      <w:bookmarkStart w:id="927" w:name="_Hlt11160713"/>
      <w:bookmarkEnd w:id="927"/>
      <w:bookmarkStart w:id="928" w:name="_Hlt11160712"/>
      <w:bookmarkEnd w:id="928"/>
      <w:r>
        <w:rPr>
          <w:rStyle w:val="47"/>
          <w:color w:val="auto"/>
          <w:highlight w:val="none"/>
          <w:u w:val="none"/>
        </w:rPr>
        <w:t>项目管理机构组成表</w:t>
      </w:r>
      <w:r>
        <w:rPr>
          <w:color w:val="auto"/>
          <w:highlight w:val="none"/>
        </w:rPr>
        <w:fldChar w:fldCharType="end"/>
      </w:r>
    </w:p>
    <w:p w14:paraId="01B7A0E1">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47"/>
          <w:color w:val="auto"/>
          <w:highlight w:val="none"/>
          <w:u w:val="none"/>
        </w:rPr>
        <w:t>（</w:t>
      </w:r>
      <w:r>
        <w:rPr>
          <w:rStyle w:val="47"/>
          <w:rFonts w:hint="eastAsia"/>
          <w:color w:val="auto"/>
          <w:highlight w:val="none"/>
          <w:u w:val="none"/>
        </w:rPr>
        <w:t>2</w:t>
      </w:r>
      <w:r>
        <w:rPr>
          <w:rStyle w:val="47"/>
          <w:color w:val="auto"/>
          <w:highlight w:val="none"/>
          <w:u w:val="none"/>
        </w:rPr>
        <w:t>）主要人员简历表</w:t>
      </w:r>
      <w:r>
        <w:rPr>
          <w:color w:val="auto"/>
          <w:highlight w:val="none"/>
        </w:rPr>
        <w:fldChar w:fldCharType="end"/>
      </w:r>
    </w:p>
    <w:p w14:paraId="499C6DA5">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47"/>
          <w:rFonts w:hint="eastAsia"/>
          <w:color w:val="auto"/>
          <w:highlight w:val="none"/>
          <w:u w:val="none"/>
        </w:rPr>
        <w:t>①拟任</w:t>
      </w:r>
      <w:r>
        <w:rPr>
          <w:rStyle w:val="47"/>
          <w:color w:val="auto"/>
          <w:highlight w:val="none"/>
          <w:u w:val="none"/>
        </w:rPr>
        <w:t>项目经理简历表</w:t>
      </w:r>
      <w:r>
        <w:rPr>
          <w:color w:val="auto"/>
          <w:highlight w:val="none"/>
        </w:rPr>
        <w:fldChar w:fldCharType="end"/>
      </w:r>
    </w:p>
    <w:p w14:paraId="2729A2B7">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47"/>
          <w:rFonts w:hint="eastAsia"/>
          <w:color w:val="auto"/>
          <w:highlight w:val="none"/>
          <w:u w:val="none"/>
        </w:rPr>
        <w:t>②拟任</w:t>
      </w:r>
      <w:r>
        <w:rPr>
          <w:rStyle w:val="47"/>
          <w:color w:val="auto"/>
          <w:highlight w:val="none"/>
          <w:u w:val="none"/>
        </w:rPr>
        <w:t>技术负责人简历表</w:t>
      </w:r>
      <w:r>
        <w:rPr>
          <w:color w:val="auto"/>
          <w:highlight w:val="none"/>
        </w:rPr>
        <w:fldChar w:fldCharType="end"/>
      </w:r>
    </w:p>
    <w:p w14:paraId="26B743A0">
      <w:pPr>
        <w:spacing w:line="276" w:lineRule="auto"/>
        <w:ind w:firstLine="840" w:firstLineChars="400"/>
        <w:rPr>
          <w:rFonts w:hint="eastAsia"/>
          <w:color w:val="auto"/>
          <w:highlight w:val="none"/>
        </w:rPr>
      </w:pPr>
      <w:r>
        <w:rPr>
          <w:rFonts w:hint="eastAsia"/>
          <w:color w:val="auto"/>
          <w:highlight w:val="none"/>
        </w:rPr>
        <w:t>（3）</w:t>
      </w:r>
      <w:r>
        <w:rPr>
          <w:color w:val="auto"/>
          <w:highlight w:val="none"/>
        </w:rPr>
        <w:t>项目管理机构自评表</w:t>
      </w:r>
    </w:p>
    <w:p w14:paraId="2963FB08">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47"/>
          <w:rFonts w:hint="eastAsia"/>
          <w:color w:val="auto"/>
          <w:highlight w:val="none"/>
          <w:u w:val="none"/>
        </w:rPr>
        <w:t>7.</w:t>
      </w:r>
      <w:r>
        <w:rPr>
          <w:rStyle w:val="47"/>
          <w:color w:val="auto"/>
          <w:highlight w:val="none"/>
          <w:u w:val="none"/>
        </w:rPr>
        <w:t>拟分包计划表</w:t>
      </w:r>
      <w:r>
        <w:rPr>
          <w:color w:val="auto"/>
          <w:highlight w:val="none"/>
        </w:rPr>
        <w:fldChar w:fldCharType="end"/>
      </w:r>
      <w:r>
        <w:rPr>
          <w:color w:val="auto"/>
          <w:highlight w:val="none"/>
        </w:rPr>
        <w:t>（如有）</w:t>
      </w:r>
    </w:p>
    <w:p w14:paraId="6FA9174E">
      <w:pPr>
        <w:spacing w:line="276" w:lineRule="auto"/>
        <w:ind w:firstLine="420" w:firstLineChars="200"/>
        <w:rPr>
          <w:rStyle w:val="47"/>
          <w:color w:val="auto"/>
          <w:highlight w:val="none"/>
          <w:u w:val="none"/>
        </w:rPr>
      </w:pPr>
      <w:r>
        <w:rPr>
          <w:color w:val="auto"/>
          <w:highlight w:val="none"/>
        </w:rPr>
        <w:fldChar w:fldCharType="begin"/>
      </w:r>
      <w:r>
        <w:rPr>
          <w:rStyle w:val="47"/>
          <w:color w:val="auto"/>
          <w:highlight w:val="none"/>
          <w:u w:val="none"/>
        </w:rPr>
        <w:instrText xml:space="preserve">HYPERLINK \l "_Toc300678580"</w:instrText>
      </w:r>
      <w:r>
        <w:rPr>
          <w:color w:val="auto"/>
          <w:highlight w:val="none"/>
        </w:rPr>
        <w:fldChar w:fldCharType="separate"/>
      </w:r>
      <w:r>
        <w:rPr>
          <w:rStyle w:val="47"/>
          <w:rFonts w:hint="eastAsia"/>
          <w:color w:val="auto"/>
          <w:highlight w:val="none"/>
          <w:u w:val="none"/>
        </w:rPr>
        <w:t>8.</w:t>
      </w:r>
      <w:r>
        <w:rPr>
          <w:rStyle w:val="47"/>
          <w:color w:val="auto"/>
          <w:highlight w:val="none"/>
          <w:u w:val="none"/>
        </w:rPr>
        <w:t>资格审查</w:t>
      </w:r>
      <w:r>
        <w:rPr>
          <w:rStyle w:val="47"/>
          <w:rFonts w:hint="eastAsia"/>
          <w:color w:val="auto"/>
          <w:highlight w:val="none"/>
          <w:u w:val="none"/>
        </w:rPr>
        <w:t>、信用等</w:t>
      </w:r>
      <w:r>
        <w:rPr>
          <w:rStyle w:val="47"/>
          <w:color w:val="auto"/>
          <w:highlight w:val="none"/>
          <w:u w:val="none"/>
        </w:rPr>
        <w:t>资料</w:t>
      </w:r>
      <w:r>
        <w:rPr>
          <w:color w:val="auto"/>
          <w:highlight w:val="none"/>
        </w:rPr>
        <w:fldChar w:fldCharType="end"/>
      </w:r>
    </w:p>
    <w:p w14:paraId="63465003">
      <w:pPr>
        <w:spacing w:line="276" w:lineRule="auto"/>
        <w:ind w:firstLine="1050" w:firstLineChars="500"/>
        <w:rPr>
          <w:rStyle w:val="47"/>
          <w:color w:val="auto"/>
          <w:highlight w:val="none"/>
          <w:u w:val="none"/>
        </w:rPr>
      </w:pPr>
      <w:r>
        <w:rPr>
          <w:color w:val="auto"/>
          <w:highlight w:val="none"/>
        </w:rPr>
        <w:fldChar w:fldCharType="begin"/>
      </w:r>
      <w:r>
        <w:rPr>
          <w:rStyle w:val="47"/>
          <w:color w:val="auto"/>
          <w:highlight w:val="none"/>
          <w:u w:val="none"/>
        </w:rPr>
        <w:instrText xml:space="preserve">HYPERLINK \l "_Toc300678581"</w:instrText>
      </w:r>
      <w:r>
        <w:rPr>
          <w:color w:val="auto"/>
          <w:highlight w:val="none"/>
        </w:rPr>
        <w:fldChar w:fldCharType="separate"/>
      </w:r>
      <w:r>
        <w:rPr>
          <w:rStyle w:val="47"/>
          <w:color w:val="auto"/>
          <w:highlight w:val="none"/>
          <w:u w:val="none"/>
        </w:rPr>
        <w:t>（</w:t>
      </w:r>
      <w:r>
        <w:rPr>
          <w:rStyle w:val="47"/>
          <w:rFonts w:hint="eastAsia"/>
          <w:color w:val="auto"/>
          <w:highlight w:val="none"/>
          <w:u w:val="none"/>
        </w:rPr>
        <w:t>1</w:t>
      </w:r>
      <w:r>
        <w:rPr>
          <w:rStyle w:val="47"/>
          <w:color w:val="auto"/>
          <w:highlight w:val="none"/>
          <w:u w:val="none"/>
        </w:rPr>
        <w:t>）投标人基本情况表</w:t>
      </w:r>
      <w:r>
        <w:rPr>
          <w:color w:val="auto"/>
          <w:highlight w:val="none"/>
        </w:rPr>
        <w:fldChar w:fldCharType="end"/>
      </w:r>
    </w:p>
    <w:p w14:paraId="4444766B">
      <w:pPr>
        <w:spacing w:line="276" w:lineRule="auto"/>
        <w:ind w:firstLine="1050" w:firstLineChars="500"/>
        <w:rPr>
          <w:rStyle w:val="47"/>
          <w:color w:val="auto"/>
          <w:highlight w:val="none"/>
          <w:u w:val="none"/>
        </w:rPr>
      </w:pPr>
      <w:r>
        <w:rPr>
          <w:color w:val="auto"/>
          <w:highlight w:val="none"/>
        </w:rPr>
        <w:fldChar w:fldCharType="begin"/>
      </w:r>
      <w:r>
        <w:rPr>
          <w:rStyle w:val="47"/>
          <w:color w:val="auto"/>
          <w:highlight w:val="none"/>
          <w:u w:val="none"/>
        </w:rPr>
        <w:instrText xml:space="preserve">HYPERLINK \l "_Toc300678582"</w:instrText>
      </w:r>
      <w:r>
        <w:rPr>
          <w:color w:val="auto"/>
          <w:highlight w:val="none"/>
        </w:rPr>
        <w:fldChar w:fldCharType="separate"/>
      </w:r>
      <w:r>
        <w:rPr>
          <w:rStyle w:val="47"/>
          <w:color w:val="auto"/>
          <w:highlight w:val="none"/>
          <w:u w:val="none"/>
        </w:rPr>
        <w:t>（</w:t>
      </w:r>
      <w:r>
        <w:rPr>
          <w:rStyle w:val="47"/>
          <w:rFonts w:hint="eastAsia"/>
          <w:color w:val="auto"/>
          <w:highlight w:val="none"/>
          <w:u w:val="none"/>
        </w:rPr>
        <w:t>2</w:t>
      </w:r>
      <w:r>
        <w:rPr>
          <w:rStyle w:val="47"/>
          <w:color w:val="auto"/>
          <w:highlight w:val="none"/>
          <w:u w:val="none"/>
        </w:rPr>
        <w:t>）</w:t>
      </w:r>
      <w:r>
        <w:rPr>
          <w:color w:val="auto"/>
          <w:highlight w:val="none"/>
        </w:rPr>
        <w:fldChar w:fldCharType="end"/>
      </w:r>
      <w:r>
        <w:rPr>
          <w:rStyle w:val="47"/>
          <w:color w:val="auto"/>
          <w:highlight w:val="none"/>
          <w:u w:val="none"/>
        </w:rPr>
        <w:t>投标人证件复印件</w:t>
      </w:r>
    </w:p>
    <w:p w14:paraId="761D9E5D">
      <w:pPr>
        <w:spacing w:line="276" w:lineRule="auto"/>
        <w:ind w:firstLine="1050" w:firstLineChars="500"/>
        <w:rPr>
          <w:rStyle w:val="47"/>
          <w:color w:val="auto"/>
          <w:highlight w:val="none"/>
          <w:u w:val="none"/>
        </w:rPr>
      </w:pPr>
      <w:r>
        <w:rPr>
          <w:color w:val="auto"/>
          <w:highlight w:val="none"/>
        </w:rPr>
        <w:fldChar w:fldCharType="begin"/>
      </w:r>
      <w:r>
        <w:rPr>
          <w:rStyle w:val="47"/>
          <w:color w:val="auto"/>
          <w:highlight w:val="none"/>
          <w:u w:val="none"/>
        </w:rPr>
        <w:instrText xml:space="preserve">HYPERLINK \l "_Toc300678584"</w:instrText>
      </w:r>
      <w:r>
        <w:rPr>
          <w:color w:val="auto"/>
          <w:highlight w:val="none"/>
        </w:rPr>
        <w:fldChar w:fldCharType="separate"/>
      </w:r>
      <w:r>
        <w:rPr>
          <w:rStyle w:val="47"/>
          <w:color w:val="auto"/>
          <w:highlight w:val="none"/>
          <w:u w:val="none"/>
        </w:rPr>
        <w:t>（</w:t>
      </w:r>
      <w:r>
        <w:rPr>
          <w:rStyle w:val="47"/>
          <w:rFonts w:hint="eastAsia"/>
          <w:color w:val="auto"/>
          <w:highlight w:val="none"/>
          <w:u w:val="none"/>
        </w:rPr>
        <w:t>3</w:t>
      </w:r>
      <w:r>
        <w:rPr>
          <w:rStyle w:val="47"/>
          <w:color w:val="auto"/>
          <w:highlight w:val="none"/>
          <w:u w:val="none"/>
        </w:rPr>
        <w:t>）</w:t>
      </w:r>
      <w:r>
        <w:rPr>
          <w:color w:val="auto"/>
          <w:highlight w:val="none"/>
        </w:rPr>
        <w:fldChar w:fldCharType="end"/>
      </w:r>
      <w:r>
        <w:rPr>
          <w:rStyle w:val="47"/>
          <w:color w:val="auto"/>
          <w:highlight w:val="none"/>
          <w:u w:val="none"/>
        </w:rPr>
        <w:t>近年完成的类似工程业绩情况表</w:t>
      </w:r>
    </w:p>
    <w:p w14:paraId="29F533B9">
      <w:pPr>
        <w:spacing w:line="276" w:lineRule="auto"/>
        <w:ind w:firstLine="1050" w:firstLineChars="500"/>
        <w:rPr>
          <w:rStyle w:val="47"/>
          <w:color w:val="auto"/>
          <w:highlight w:val="none"/>
          <w:u w:val="none"/>
        </w:rPr>
      </w:pPr>
      <w:r>
        <w:rPr>
          <w:rStyle w:val="47"/>
          <w:color w:val="auto"/>
          <w:highlight w:val="none"/>
          <w:u w:val="none"/>
        </w:rPr>
        <w:t>（4）</w:t>
      </w:r>
      <w:r>
        <w:rPr>
          <w:rStyle w:val="47"/>
          <w:rFonts w:hint="eastAsia"/>
          <w:color w:val="auto"/>
          <w:highlight w:val="none"/>
          <w:u w:val="none"/>
        </w:rPr>
        <w:t>投标人奖项情况</w:t>
      </w:r>
    </w:p>
    <w:p w14:paraId="6DF19E77">
      <w:pPr>
        <w:spacing w:line="276" w:lineRule="auto"/>
        <w:ind w:firstLine="1050" w:firstLineChars="500"/>
        <w:rPr>
          <w:rStyle w:val="47"/>
          <w:color w:val="auto"/>
          <w:highlight w:val="none"/>
          <w:u w:val="none"/>
        </w:rPr>
      </w:pPr>
      <w:r>
        <w:rPr>
          <w:rStyle w:val="47"/>
          <w:color w:val="auto"/>
          <w:highlight w:val="none"/>
          <w:u w:val="none"/>
        </w:rPr>
        <w:t>（5）投标人标准化工地情况</w:t>
      </w:r>
    </w:p>
    <w:p w14:paraId="5533622E">
      <w:pPr>
        <w:spacing w:line="276" w:lineRule="auto"/>
        <w:ind w:firstLine="1050" w:firstLineChars="500"/>
        <w:rPr>
          <w:rStyle w:val="47"/>
          <w:color w:val="auto"/>
          <w:highlight w:val="none"/>
          <w:u w:val="none"/>
        </w:rPr>
      </w:pPr>
      <w:r>
        <w:rPr>
          <w:color w:val="auto"/>
          <w:highlight w:val="none"/>
        </w:rPr>
        <w:fldChar w:fldCharType="begin"/>
      </w:r>
      <w:r>
        <w:rPr>
          <w:rStyle w:val="47"/>
          <w:color w:val="auto"/>
          <w:highlight w:val="none"/>
          <w:u w:val="none"/>
        </w:rPr>
        <w:instrText xml:space="preserve">HYPERLINK \l "_Toc300678586"</w:instrText>
      </w:r>
      <w:r>
        <w:rPr>
          <w:color w:val="auto"/>
          <w:highlight w:val="none"/>
        </w:rPr>
        <w:fldChar w:fldCharType="separate"/>
      </w:r>
      <w:r>
        <w:rPr>
          <w:rStyle w:val="47"/>
          <w:color w:val="auto"/>
          <w:highlight w:val="none"/>
          <w:u w:val="none"/>
        </w:rPr>
        <w:t>（6）</w:t>
      </w:r>
      <w:r>
        <w:rPr>
          <w:color w:val="auto"/>
          <w:highlight w:val="none"/>
        </w:rPr>
        <w:fldChar w:fldCharType="end"/>
      </w:r>
      <w:r>
        <w:rPr>
          <w:rStyle w:val="47"/>
          <w:color w:val="auto"/>
          <w:highlight w:val="none"/>
          <w:u w:val="none"/>
        </w:rPr>
        <w:t>投标人信用评价情况</w:t>
      </w:r>
    </w:p>
    <w:p w14:paraId="7E2774CF">
      <w:pPr>
        <w:spacing w:line="276" w:lineRule="auto"/>
        <w:ind w:firstLine="1050" w:firstLineChars="500"/>
        <w:rPr>
          <w:rStyle w:val="47"/>
          <w:color w:val="auto"/>
          <w:highlight w:val="none"/>
          <w:u w:val="none"/>
        </w:rPr>
      </w:pPr>
      <w:r>
        <w:rPr>
          <w:rStyle w:val="47"/>
          <w:color w:val="auto"/>
          <w:highlight w:val="none"/>
          <w:u w:val="none"/>
        </w:rPr>
        <w:t>（7）投标人</w:t>
      </w:r>
      <w:r>
        <w:rPr>
          <w:rStyle w:val="47"/>
          <w:rFonts w:hint="eastAsia" w:ascii="Times New Roman" w:hAnsi="Times New Roman" w:eastAsia="宋体" w:cs="Times New Roman"/>
          <w:color w:val="auto"/>
          <w:highlight w:val="none"/>
          <w:u w:val="none"/>
        </w:rPr>
        <w:t>施工项目季度考评综合优良率</w:t>
      </w:r>
      <w:r>
        <w:rPr>
          <w:rStyle w:val="47"/>
          <w:rFonts w:ascii="Times New Roman" w:hAnsi="Times New Roman" w:eastAsia="宋体" w:cs="Times New Roman"/>
          <w:color w:val="auto"/>
          <w:highlight w:val="none"/>
          <w:u w:val="none"/>
        </w:rPr>
        <w:t>情况</w:t>
      </w:r>
    </w:p>
    <w:p w14:paraId="16D59098">
      <w:pPr>
        <w:spacing w:line="276" w:lineRule="auto"/>
        <w:ind w:firstLine="1050" w:firstLineChars="500"/>
        <w:rPr>
          <w:rStyle w:val="47"/>
          <w:color w:val="auto"/>
          <w:highlight w:val="none"/>
          <w:u w:val="none"/>
        </w:rPr>
      </w:pPr>
      <w:r>
        <w:rPr>
          <w:rStyle w:val="47"/>
          <w:color w:val="auto"/>
          <w:highlight w:val="none"/>
          <w:u w:val="none"/>
        </w:rPr>
        <w:t>（8）拟任</w:t>
      </w:r>
      <w:r>
        <w:rPr>
          <w:rStyle w:val="47"/>
          <w:rFonts w:hint="eastAsia"/>
          <w:color w:val="auto"/>
          <w:highlight w:val="none"/>
          <w:u w:val="none"/>
        </w:rPr>
        <w:t>项目经理</w:t>
      </w:r>
      <w:r>
        <w:rPr>
          <w:rStyle w:val="47"/>
          <w:rFonts w:hint="eastAsia"/>
          <w:color w:val="auto"/>
          <w:highlight w:val="none"/>
          <w:u w:val="none"/>
          <w:lang w:val="en-US" w:eastAsia="zh-CN"/>
        </w:rPr>
        <w:t>不良信用信息</w:t>
      </w:r>
      <w:r>
        <w:rPr>
          <w:rStyle w:val="47"/>
          <w:color w:val="auto"/>
          <w:highlight w:val="none"/>
          <w:u w:val="none"/>
        </w:rPr>
        <w:t>证明资料复印件</w:t>
      </w:r>
    </w:p>
    <w:p w14:paraId="2EA0D0CA">
      <w:pPr>
        <w:spacing w:line="276" w:lineRule="auto"/>
        <w:ind w:firstLine="420" w:firstLineChars="200"/>
        <w:rPr>
          <w:rFonts w:hint="eastAsia"/>
          <w:color w:val="auto"/>
          <w:highlight w:val="none"/>
        </w:rPr>
      </w:pPr>
      <w:r>
        <w:rPr>
          <w:rFonts w:hint="eastAsia"/>
          <w:color w:val="auto"/>
          <w:highlight w:val="none"/>
        </w:rPr>
        <w:t>9</w:t>
      </w:r>
      <w:r>
        <w:rPr>
          <w:color w:val="auto"/>
          <w:highlight w:val="none"/>
        </w:rPr>
        <w:t>.</w:t>
      </w:r>
      <w:r>
        <w:rPr>
          <w:rFonts w:hint="eastAsia"/>
          <w:color w:val="auto"/>
          <w:highlight w:val="none"/>
        </w:rPr>
        <w:t>企业资信及履约能力（或业绩及信用）自评表</w:t>
      </w:r>
    </w:p>
    <w:p w14:paraId="73969440">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color w:val="auto"/>
          <w:highlight w:val="none"/>
        </w:rPr>
        <w:t>10.承诺书</w:t>
      </w:r>
      <w:r>
        <w:rPr>
          <w:color w:val="auto"/>
          <w:highlight w:val="none"/>
        </w:rPr>
        <w:fldChar w:fldCharType="end"/>
      </w:r>
    </w:p>
    <w:p w14:paraId="629BEAC6">
      <w:pPr>
        <w:spacing w:line="276"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投标信息表</w:t>
      </w:r>
    </w:p>
    <w:p w14:paraId="7D8CE9A6">
      <w:pPr>
        <w:spacing w:line="276"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.其他</w:t>
      </w:r>
    </w:p>
    <w:p w14:paraId="7426B5AE">
      <w:pPr>
        <w:spacing w:line="400" w:lineRule="exact"/>
        <w:rPr>
          <w:color w:val="auto"/>
          <w:highlight w:val="none"/>
        </w:rPr>
      </w:pPr>
    </w:p>
    <w:p w14:paraId="4557FB46">
      <w:pPr>
        <w:spacing w:line="312" w:lineRule="auto"/>
        <w:ind w:firstLine="360"/>
        <w:rPr>
          <w:color w:val="auto"/>
          <w:sz w:val="18"/>
          <w:szCs w:val="18"/>
          <w:highlight w:val="none"/>
        </w:rPr>
      </w:pPr>
    </w:p>
    <w:p w14:paraId="59DA3AE1">
      <w:pPr>
        <w:spacing w:line="276" w:lineRule="auto"/>
        <w:rPr>
          <w:rStyle w:val="47"/>
          <w:color w:val="auto"/>
          <w:highlight w:val="none"/>
          <w:u w:val="none"/>
        </w:rPr>
      </w:pPr>
      <w:bookmarkStart w:id="929" w:name="_Toc300678567"/>
      <w:r>
        <w:rPr>
          <w:rStyle w:val="47"/>
          <w:color w:val="auto"/>
          <w:highlight w:val="none"/>
          <w:u w:val="none"/>
        </w:rPr>
        <w:br w:type="page"/>
      </w:r>
    </w:p>
    <w:p w14:paraId="4AA1D1D6">
      <w:pPr>
        <w:pStyle w:val="6"/>
        <w:spacing w:before="0" w:after="0" w:line="360" w:lineRule="auto"/>
        <w:jc w:val="center"/>
        <w:rPr>
          <w:rFonts w:ascii="Times New Roman" w:hAnsi="Times New Roman" w:eastAsia="黑体"/>
          <w:b w:val="0"/>
          <w:bCs w:val="0"/>
          <w:color w:val="auto"/>
          <w:sz w:val="30"/>
          <w:highlight w:val="none"/>
        </w:rPr>
      </w:pPr>
      <w:bookmarkStart w:id="930" w:name="_Toc80006262"/>
      <w:bookmarkStart w:id="931" w:name="_Toc9178579"/>
      <w:bookmarkStart w:id="932" w:name="_Toc80006152"/>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投标函及投标函附录</w:t>
      </w:r>
      <w:bookmarkEnd w:id="929"/>
      <w:bookmarkEnd w:id="930"/>
      <w:bookmarkEnd w:id="931"/>
      <w:bookmarkEnd w:id="932"/>
    </w:p>
    <w:p w14:paraId="58D7FF9D">
      <w:pPr>
        <w:pStyle w:val="8"/>
        <w:spacing w:line="288" w:lineRule="auto"/>
        <w:jc w:val="center"/>
        <w:rPr>
          <w:rFonts w:ascii="Times New Roman" w:hAnsi="Times New Roman" w:eastAsia="黑体"/>
          <w:b w:val="0"/>
          <w:bCs w:val="0"/>
          <w:color w:val="auto"/>
          <w:sz w:val="24"/>
          <w:highlight w:val="none"/>
        </w:rPr>
      </w:pPr>
      <w:bookmarkStart w:id="933"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933"/>
    </w:p>
    <w:p w14:paraId="4DDD2907">
      <w:pPr>
        <w:rPr>
          <w:color w:val="auto"/>
          <w:highlight w:val="none"/>
        </w:rPr>
      </w:pPr>
    </w:p>
    <w:p w14:paraId="2CBD203F">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14:paraId="4EDA3573">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）施工招标文件的全部内容后，我方兹以：</w:t>
      </w:r>
    </w:p>
    <w:p w14:paraId="51B9C8BE">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14:paraId="0C4D1BA8">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14:paraId="1E78CCC0">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14:paraId="7B5194E2">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内竣工，并确保工程质量达到</w:t>
      </w:r>
      <w:r>
        <w:rPr>
          <w:color w:val="auto"/>
          <w:szCs w:val="21"/>
          <w:highlight w:val="none"/>
          <w:u w:val="single"/>
        </w:rPr>
        <w:t xml:space="preserve">   </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14:paraId="63544993">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14:paraId="51117DBF">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14:paraId="1A9A351A">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14:paraId="145FB030">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14:paraId="3EA7933F">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14:paraId="4F814685">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14:paraId="1FC23F73">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14:paraId="6F1DC8A0">
      <w:pPr>
        <w:ind w:firstLine="420" w:firstLineChars="200"/>
        <w:rPr>
          <w:color w:val="auto"/>
          <w:szCs w:val="21"/>
          <w:highlight w:val="none"/>
        </w:rPr>
      </w:pPr>
    </w:p>
    <w:p w14:paraId="7A202455">
      <w:pPr>
        <w:ind w:firstLine="420" w:firstLineChars="200"/>
        <w:rPr>
          <w:color w:val="auto"/>
          <w:szCs w:val="21"/>
          <w:highlight w:val="none"/>
          <w:u w:val="single"/>
        </w:rPr>
      </w:pPr>
      <w:r>
        <w:rPr>
          <w:color w:val="auto"/>
          <w:szCs w:val="21"/>
          <w:highlight w:val="none"/>
        </w:rPr>
        <w:t>投标人（盖单位章）：</w:t>
      </w:r>
    </w:p>
    <w:p w14:paraId="27322AB7">
      <w:pPr>
        <w:ind w:firstLine="420" w:firstLineChars="200"/>
        <w:rPr>
          <w:color w:val="auto"/>
          <w:szCs w:val="21"/>
          <w:highlight w:val="none"/>
        </w:rPr>
      </w:pPr>
    </w:p>
    <w:p w14:paraId="6E731A0B">
      <w:pPr>
        <w:ind w:firstLine="420" w:firstLineChars="200"/>
        <w:rPr>
          <w:color w:val="auto"/>
          <w:szCs w:val="21"/>
          <w:highlight w:val="none"/>
          <w:u w:val="single"/>
        </w:rPr>
      </w:pPr>
      <w:r>
        <w:rPr>
          <w:rFonts w:hint="eastAsia"/>
          <w:color w:val="auto"/>
          <w:szCs w:val="21"/>
          <w:highlight w:val="none"/>
        </w:rPr>
        <w:t>法定代表人或其委托代理人</w:t>
      </w:r>
      <w:r>
        <w:rPr>
          <w:color w:val="auto"/>
          <w:szCs w:val="21"/>
          <w:highlight w:val="none"/>
        </w:rPr>
        <w:t>（签字或盖章）：</w:t>
      </w:r>
    </w:p>
    <w:p w14:paraId="18542F96">
      <w:pPr>
        <w:ind w:firstLine="420" w:firstLineChars="200"/>
        <w:rPr>
          <w:color w:val="auto"/>
          <w:szCs w:val="21"/>
          <w:highlight w:val="none"/>
        </w:rPr>
      </w:pPr>
    </w:p>
    <w:p w14:paraId="4AAED3E6">
      <w:pPr>
        <w:ind w:firstLine="420" w:firstLineChars="200"/>
        <w:rPr>
          <w:color w:val="auto"/>
          <w:szCs w:val="21"/>
          <w:highlight w:val="none"/>
        </w:rPr>
      </w:pPr>
      <w:r>
        <w:rPr>
          <w:color w:val="auto"/>
          <w:szCs w:val="21"/>
          <w:highlight w:val="none"/>
        </w:rPr>
        <w:t>日期：   年  月  日</w:t>
      </w:r>
    </w:p>
    <w:p w14:paraId="234AB3CE">
      <w:pPr>
        <w:spacing w:line="360" w:lineRule="auto"/>
        <w:rPr>
          <w:rFonts w:eastAsia="黑体"/>
          <w:color w:val="auto"/>
          <w:sz w:val="24"/>
          <w:highlight w:val="none"/>
        </w:rPr>
        <w:sectPr>
          <w:pgSz w:w="11907" w:h="16840"/>
          <w:pgMar w:top="1440" w:right="1440" w:bottom="1440" w:left="1440" w:header="851" w:footer="850" w:gutter="0"/>
          <w:cols w:space="720" w:num="1"/>
          <w:docGrid w:linePitch="326" w:charSpace="0"/>
        </w:sectPr>
      </w:pPr>
    </w:p>
    <w:p w14:paraId="1A9C0C43">
      <w:pPr>
        <w:pStyle w:val="8"/>
        <w:jc w:val="center"/>
        <w:rPr>
          <w:rFonts w:ascii="Times New Roman" w:hAnsi="Times New Roman" w:eastAsia="黑体"/>
          <w:b w:val="0"/>
          <w:bCs w:val="0"/>
          <w:color w:val="auto"/>
          <w:sz w:val="24"/>
          <w:highlight w:val="none"/>
        </w:rPr>
      </w:pPr>
      <w:bookmarkStart w:id="934"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934"/>
    </w:p>
    <w:p w14:paraId="1D49D51C">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14:paraId="101F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402DA1B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2931" w:type="dxa"/>
            <w:noWrap w:val="0"/>
            <w:vAlign w:val="center"/>
          </w:tcPr>
          <w:p w14:paraId="05F789F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1278" w:type="dxa"/>
            <w:noWrap w:val="0"/>
            <w:vAlign w:val="center"/>
          </w:tcPr>
          <w:p w14:paraId="544642E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合同条款号</w:t>
            </w:r>
          </w:p>
        </w:tc>
        <w:tc>
          <w:tcPr>
            <w:tcW w:w="2975" w:type="dxa"/>
            <w:noWrap w:val="0"/>
            <w:vAlign w:val="center"/>
          </w:tcPr>
          <w:p w14:paraId="41209B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871" w:type="dxa"/>
            <w:noWrap w:val="0"/>
            <w:vAlign w:val="center"/>
          </w:tcPr>
          <w:p w14:paraId="2A6FDCE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14:paraId="7053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38177D2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931" w:type="dxa"/>
            <w:noWrap w:val="0"/>
            <w:vAlign w:val="center"/>
          </w:tcPr>
          <w:p w14:paraId="11DC9F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278" w:type="dxa"/>
            <w:noWrap w:val="0"/>
            <w:tcMar>
              <w:left w:w="170" w:type="dxa"/>
            </w:tcMar>
            <w:vAlign w:val="center"/>
          </w:tcPr>
          <w:p w14:paraId="5BE2F37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23786A32">
            <w:pPr>
              <w:keepNext w:val="0"/>
              <w:keepLines w:val="0"/>
              <w:suppressLineNumbers w:val="0"/>
              <w:spacing w:before="0" w:beforeAutospacing="0" w:after="0" w:afterAutospacing="0"/>
              <w:ind w:left="0" w:right="0"/>
              <w:rPr>
                <w:rFonts w:hint="eastAsia" w:ascii="宋体" w:hAnsi="宋体" w:cs="宋体"/>
                <w:color w:val="auto"/>
                <w:szCs w:val="21"/>
                <w:highlight w:val="none"/>
                <w:u w:val="single"/>
              </w:rPr>
            </w:pPr>
            <w:r>
              <w:rPr>
                <w:rFonts w:hint="eastAsia" w:ascii="宋体" w:hAnsi="宋体" w:cs="宋体"/>
                <w:color w:val="auto"/>
                <w:szCs w:val="21"/>
                <w:highlight w:val="none"/>
              </w:rPr>
              <w:t xml:space="preserve">姓名：  </w:t>
            </w:r>
          </w:p>
        </w:tc>
        <w:tc>
          <w:tcPr>
            <w:tcW w:w="871" w:type="dxa"/>
            <w:noWrap w:val="0"/>
            <w:vAlign w:val="center"/>
          </w:tcPr>
          <w:p w14:paraId="4C3A1F8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188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5470A87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931" w:type="dxa"/>
            <w:noWrap w:val="0"/>
            <w:vAlign w:val="center"/>
          </w:tcPr>
          <w:p w14:paraId="406958B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278" w:type="dxa"/>
            <w:noWrap w:val="0"/>
            <w:tcMar>
              <w:left w:w="170" w:type="dxa"/>
            </w:tcMar>
            <w:vAlign w:val="center"/>
          </w:tcPr>
          <w:p w14:paraId="712431F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41026ED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71" w:type="dxa"/>
            <w:noWrap w:val="0"/>
            <w:vAlign w:val="center"/>
          </w:tcPr>
          <w:p w14:paraId="095F944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1AE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56385FE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931" w:type="dxa"/>
            <w:noWrap w:val="0"/>
            <w:vAlign w:val="center"/>
          </w:tcPr>
          <w:p w14:paraId="172304C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1278" w:type="dxa"/>
            <w:noWrap w:val="0"/>
            <w:tcMar>
              <w:left w:w="170" w:type="dxa"/>
            </w:tcMar>
            <w:vAlign w:val="center"/>
          </w:tcPr>
          <w:p w14:paraId="61B26A6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0EEF0ED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p>
        </w:tc>
        <w:tc>
          <w:tcPr>
            <w:tcW w:w="871" w:type="dxa"/>
            <w:noWrap w:val="0"/>
            <w:vAlign w:val="center"/>
          </w:tcPr>
          <w:p w14:paraId="7E3B580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1EC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6B81B59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931" w:type="dxa"/>
            <w:noWrap w:val="0"/>
            <w:vAlign w:val="center"/>
          </w:tcPr>
          <w:p w14:paraId="2FB3E70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保修要求</w:t>
            </w:r>
          </w:p>
        </w:tc>
        <w:tc>
          <w:tcPr>
            <w:tcW w:w="1278" w:type="dxa"/>
            <w:noWrap w:val="0"/>
            <w:tcMar>
              <w:left w:w="170" w:type="dxa"/>
            </w:tcMar>
            <w:vAlign w:val="center"/>
          </w:tcPr>
          <w:p w14:paraId="2353A87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1B61E34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p>
        </w:tc>
        <w:tc>
          <w:tcPr>
            <w:tcW w:w="871" w:type="dxa"/>
            <w:noWrap w:val="0"/>
            <w:vAlign w:val="center"/>
          </w:tcPr>
          <w:p w14:paraId="1D1A6BB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DD6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22BBD4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931" w:type="dxa"/>
            <w:noWrap w:val="0"/>
            <w:vAlign w:val="center"/>
          </w:tcPr>
          <w:p w14:paraId="4AE86C8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缺陷责任期</w:t>
            </w:r>
          </w:p>
        </w:tc>
        <w:tc>
          <w:tcPr>
            <w:tcW w:w="1278" w:type="dxa"/>
            <w:noWrap w:val="0"/>
            <w:tcMar>
              <w:left w:w="170" w:type="dxa"/>
            </w:tcMar>
            <w:vAlign w:val="center"/>
          </w:tcPr>
          <w:p w14:paraId="24EF77D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36FAE30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6A07A07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EA1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2A2CD0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931" w:type="dxa"/>
            <w:noWrap w:val="0"/>
            <w:vAlign w:val="center"/>
          </w:tcPr>
          <w:p w14:paraId="4282CAC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承包人履约担保金额</w:t>
            </w:r>
          </w:p>
        </w:tc>
        <w:tc>
          <w:tcPr>
            <w:tcW w:w="1278" w:type="dxa"/>
            <w:noWrap w:val="0"/>
            <w:tcMar>
              <w:left w:w="170" w:type="dxa"/>
            </w:tcMar>
            <w:vAlign w:val="center"/>
          </w:tcPr>
          <w:p w14:paraId="296766C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33DB44D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23DAF55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B79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1F8289F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931" w:type="dxa"/>
            <w:noWrap w:val="0"/>
            <w:vAlign w:val="center"/>
          </w:tcPr>
          <w:p w14:paraId="7F0B8DA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1278" w:type="dxa"/>
            <w:noWrap w:val="0"/>
            <w:tcMar>
              <w:left w:w="170" w:type="dxa"/>
            </w:tcMar>
            <w:vAlign w:val="center"/>
          </w:tcPr>
          <w:p w14:paraId="5F73DA6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3620C4C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见分包项目情况表</w:t>
            </w:r>
          </w:p>
        </w:tc>
        <w:tc>
          <w:tcPr>
            <w:tcW w:w="871" w:type="dxa"/>
            <w:noWrap w:val="0"/>
            <w:vAlign w:val="center"/>
          </w:tcPr>
          <w:p w14:paraId="637DEEA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5F0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1F7A122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931" w:type="dxa"/>
            <w:noWrap w:val="0"/>
            <w:vAlign w:val="center"/>
          </w:tcPr>
          <w:p w14:paraId="42A8475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w:t>
            </w:r>
          </w:p>
        </w:tc>
        <w:tc>
          <w:tcPr>
            <w:tcW w:w="1278" w:type="dxa"/>
            <w:noWrap w:val="0"/>
            <w:tcMar>
              <w:left w:w="170" w:type="dxa"/>
            </w:tcMar>
            <w:vAlign w:val="center"/>
          </w:tcPr>
          <w:p w14:paraId="7FC89C2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1158E55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元/天</w:t>
            </w:r>
          </w:p>
        </w:tc>
        <w:tc>
          <w:tcPr>
            <w:tcW w:w="871" w:type="dxa"/>
            <w:noWrap w:val="0"/>
            <w:vAlign w:val="center"/>
          </w:tcPr>
          <w:p w14:paraId="534C006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6F2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7F52015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931" w:type="dxa"/>
            <w:noWrap w:val="0"/>
            <w:vAlign w:val="center"/>
          </w:tcPr>
          <w:p w14:paraId="3A34FFD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1278" w:type="dxa"/>
            <w:noWrap w:val="0"/>
            <w:tcMar>
              <w:left w:w="170" w:type="dxa"/>
            </w:tcMar>
            <w:vAlign w:val="center"/>
          </w:tcPr>
          <w:p w14:paraId="0C9BB16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3E8583B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71" w:type="dxa"/>
            <w:noWrap w:val="0"/>
            <w:vAlign w:val="center"/>
          </w:tcPr>
          <w:p w14:paraId="01D994F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CF9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372A480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931" w:type="dxa"/>
            <w:noWrap w:val="0"/>
            <w:vAlign w:val="center"/>
          </w:tcPr>
          <w:p w14:paraId="70AFF81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预付款额度</w:t>
            </w:r>
          </w:p>
        </w:tc>
        <w:tc>
          <w:tcPr>
            <w:tcW w:w="1278" w:type="dxa"/>
            <w:noWrap w:val="0"/>
            <w:tcMar>
              <w:left w:w="170" w:type="dxa"/>
            </w:tcMar>
            <w:vAlign w:val="center"/>
          </w:tcPr>
          <w:p w14:paraId="533C94F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5095007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70CA536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21A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0FD4B46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931" w:type="dxa"/>
            <w:noWrap w:val="0"/>
            <w:vAlign w:val="center"/>
          </w:tcPr>
          <w:p w14:paraId="330ED87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质量保证金额度</w:t>
            </w:r>
          </w:p>
        </w:tc>
        <w:tc>
          <w:tcPr>
            <w:tcW w:w="1278" w:type="dxa"/>
            <w:noWrap w:val="0"/>
            <w:tcMar>
              <w:left w:w="170" w:type="dxa"/>
            </w:tcMar>
            <w:vAlign w:val="center"/>
          </w:tcPr>
          <w:p w14:paraId="3AB06DC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360FB2C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5C8461E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17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08C78D6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931" w:type="dxa"/>
            <w:noWrap w:val="0"/>
            <w:vAlign w:val="center"/>
          </w:tcPr>
          <w:p w14:paraId="58E220E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8" w:type="dxa"/>
            <w:noWrap w:val="0"/>
            <w:tcMar>
              <w:left w:w="170" w:type="dxa"/>
            </w:tcMar>
            <w:vAlign w:val="center"/>
          </w:tcPr>
          <w:p w14:paraId="351B3A0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7BB427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4E25514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4CD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2D0AE9B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931" w:type="dxa"/>
            <w:noWrap w:val="0"/>
            <w:vAlign w:val="center"/>
          </w:tcPr>
          <w:p w14:paraId="1EE1AFE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78" w:type="dxa"/>
            <w:noWrap w:val="0"/>
            <w:vAlign w:val="center"/>
          </w:tcPr>
          <w:p w14:paraId="17A2DD7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975" w:type="dxa"/>
            <w:noWrap w:val="0"/>
            <w:vAlign w:val="center"/>
          </w:tcPr>
          <w:p w14:paraId="77CCF1A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6321627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78A5F953">
      <w:pPr>
        <w:ind w:firstLine="404" w:firstLineChars="200"/>
        <w:rPr>
          <w:color w:val="auto"/>
          <w:szCs w:val="21"/>
          <w:highlight w:val="none"/>
          <w:u w:val="single"/>
        </w:rPr>
      </w:pPr>
      <w:r>
        <w:rPr>
          <w:bCs/>
          <w:color w:val="auto"/>
          <w:szCs w:val="21"/>
          <w:highlight w:val="none"/>
        </w:rPr>
        <w:t>投标人</w:t>
      </w:r>
      <w:r>
        <w:rPr>
          <w:color w:val="auto"/>
          <w:szCs w:val="21"/>
          <w:highlight w:val="none"/>
        </w:rPr>
        <w:t>（盖单位章）：</w:t>
      </w:r>
    </w:p>
    <w:p w14:paraId="6BA2741D">
      <w:pPr>
        <w:ind w:firstLine="404" w:firstLineChars="200"/>
        <w:rPr>
          <w:color w:val="auto"/>
          <w:szCs w:val="21"/>
          <w:highlight w:val="none"/>
        </w:rPr>
      </w:pPr>
      <w:r>
        <w:rPr>
          <w:rFonts w:hint="eastAsia"/>
          <w:bCs/>
          <w:color w:val="auto"/>
          <w:szCs w:val="21"/>
          <w:highlight w:val="none"/>
        </w:rPr>
        <w:t>法定代表人或其委托代理人</w:t>
      </w:r>
      <w:r>
        <w:rPr>
          <w:color w:val="auto"/>
          <w:szCs w:val="21"/>
          <w:highlight w:val="none"/>
        </w:rPr>
        <w:t>（签字或盖章）：</w:t>
      </w:r>
    </w:p>
    <w:p w14:paraId="1D901B6A">
      <w:pPr>
        <w:rPr>
          <w:rFonts w:hint="eastAsia"/>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bookmarkStart w:id="935" w:name="_Toc300678570"/>
    </w:p>
    <w:p w14:paraId="561EA576">
      <w:pPr>
        <w:rPr>
          <w:rFonts w:hint="eastAsia"/>
          <w:bCs/>
          <w:color w:val="auto"/>
          <w:szCs w:val="21"/>
          <w:highlight w:val="none"/>
        </w:rPr>
      </w:pPr>
    </w:p>
    <w:p w14:paraId="03F8CEC0">
      <w:pPr>
        <w:ind w:firstLine="258"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14:paraId="4391D20F">
      <w:pPr>
        <w:ind w:firstLine="344" w:firstLineChars="200"/>
        <w:rPr>
          <w:color w:val="auto"/>
          <w:kern w:val="0"/>
          <w:szCs w:val="21"/>
          <w:highlight w:val="none"/>
        </w:rPr>
      </w:pPr>
      <w:r>
        <w:rPr>
          <w:color w:val="auto"/>
          <w:sz w:val="18"/>
          <w:szCs w:val="21"/>
          <w:highlight w:val="none"/>
        </w:rPr>
        <w:t>此类承诺可在本表中予以补充填写。</w:t>
      </w:r>
    </w:p>
    <w:p w14:paraId="64643ADF">
      <w:pPr>
        <w:pStyle w:val="6"/>
        <w:spacing w:line="240" w:lineRule="auto"/>
        <w:jc w:val="center"/>
        <w:rPr>
          <w:rFonts w:ascii="Times New Roman" w:hAnsi="Times New Roman" w:eastAsia="黑体"/>
          <w:b w:val="0"/>
          <w:bCs w:val="0"/>
          <w:color w:val="auto"/>
          <w:sz w:val="30"/>
          <w:highlight w:val="none"/>
        </w:rPr>
      </w:pPr>
      <w:bookmarkStart w:id="936" w:name="_Toc80006153"/>
      <w:bookmarkStart w:id="937" w:name="_Toc80006263"/>
      <w:bookmarkStart w:id="938" w:name="_Toc9178580"/>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935"/>
      <w:bookmarkEnd w:id="936"/>
      <w:bookmarkEnd w:id="937"/>
      <w:bookmarkEnd w:id="938"/>
    </w:p>
    <w:p w14:paraId="793D0462">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14:paraId="6D67414B">
      <w:pPr>
        <w:widowControl/>
        <w:topLinePunct/>
        <w:spacing w:line="600" w:lineRule="atLeast"/>
        <w:ind w:firstLine="420"/>
        <w:rPr>
          <w:color w:val="auto"/>
          <w:kern w:val="0"/>
          <w:szCs w:val="21"/>
          <w:highlight w:val="none"/>
        </w:rPr>
      </w:pPr>
      <w:r>
        <w:rPr>
          <w:color w:val="auto"/>
          <w:kern w:val="0"/>
          <w:szCs w:val="21"/>
          <w:highlight w:val="none"/>
        </w:rPr>
        <w:t>单位性质：</w:t>
      </w:r>
    </w:p>
    <w:p w14:paraId="340BD8BE">
      <w:pPr>
        <w:widowControl/>
        <w:topLinePunct/>
        <w:spacing w:line="600" w:lineRule="atLeast"/>
        <w:ind w:firstLine="420"/>
        <w:rPr>
          <w:color w:val="auto"/>
          <w:kern w:val="0"/>
          <w:szCs w:val="21"/>
          <w:highlight w:val="none"/>
        </w:rPr>
      </w:pPr>
      <w:r>
        <w:rPr>
          <w:color w:val="auto"/>
          <w:kern w:val="0"/>
          <w:szCs w:val="21"/>
          <w:highlight w:val="none"/>
        </w:rPr>
        <w:t>成立时间：    年   月  日</w:t>
      </w:r>
    </w:p>
    <w:p w14:paraId="7BF38A67">
      <w:pPr>
        <w:widowControl/>
        <w:topLinePunct/>
        <w:spacing w:line="600" w:lineRule="atLeast"/>
        <w:ind w:firstLine="420"/>
        <w:rPr>
          <w:color w:val="auto"/>
          <w:kern w:val="0"/>
          <w:szCs w:val="21"/>
          <w:highlight w:val="none"/>
        </w:rPr>
      </w:pPr>
      <w:r>
        <w:rPr>
          <w:color w:val="auto"/>
          <w:kern w:val="0"/>
          <w:szCs w:val="21"/>
          <w:highlight w:val="none"/>
        </w:rPr>
        <w:t>经营期限：</w:t>
      </w:r>
    </w:p>
    <w:p w14:paraId="6A3F20FD">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14:paraId="6BB2BE09">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14:paraId="535C7BE9">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14:paraId="47C07B94">
      <w:pPr>
        <w:widowControl/>
        <w:topLinePunct/>
        <w:spacing w:line="440" w:lineRule="atLeast"/>
        <w:rPr>
          <w:color w:val="auto"/>
          <w:kern w:val="0"/>
          <w:szCs w:val="21"/>
          <w:highlight w:val="none"/>
        </w:rPr>
      </w:pPr>
    </w:p>
    <w:p w14:paraId="7BB827BC">
      <w:pPr>
        <w:widowControl/>
        <w:topLinePunct/>
        <w:spacing w:line="460" w:lineRule="atLeast"/>
        <w:ind w:firstLine="404" w:firstLineChars="200"/>
        <w:rPr>
          <w:rFonts w:hint="eastAsia"/>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p w14:paraId="18526B46">
      <w:pPr>
        <w:widowControl/>
        <w:topLinePunct/>
        <w:spacing w:line="440" w:lineRule="atLeast"/>
        <w:ind w:firstLine="610"/>
        <w:rPr>
          <w:color w:val="auto"/>
          <w:kern w:val="0"/>
          <w:szCs w:val="21"/>
          <w:highlight w:val="none"/>
        </w:rPr>
      </w:pPr>
    </w:p>
    <w:p w14:paraId="1F3D7D91">
      <w:pPr>
        <w:widowControl/>
        <w:topLinePunct/>
        <w:spacing w:line="440" w:lineRule="atLeast"/>
        <w:ind w:firstLine="2879"/>
        <w:rPr>
          <w:color w:val="auto"/>
          <w:kern w:val="0"/>
          <w:szCs w:val="21"/>
          <w:highlight w:val="none"/>
        </w:rPr>
      </w:pPr>
    </w:p>
    <w:p w14:paraId="55BBD7E6">
      <w:pPr>
        <w:widowControl/>
        <w:topLinePunct/>
        <w:spacing w:line="440" w:lineRule="atLeast"/>
        <w:rPr>
          <w:color w:val="auto"/>
          <w:kern w:val="0"/>
          <w:szCs w:val="21"/>
          <w:highlight w:val="none"/>
        </w:rPr>
      </w:pPr>
      <w:r>
        <w:rPr>
          <w:color w:val="auto"/>
          <w:kern w:val="0"/>
          <w:szCs w:val="21"/>
          <w:highlight w:val="none"/>
        </w:rPr>
        <w:t xml:space="preserve">              投标人：（盖单位章）</w:t>
      </w:r>
    </w:p>
    <w:p w14:paraId="1608A8E6">
      <w:pPr>
        <w:widowControl/>
        <w:topLinePunct/>
        <w:spacing w:line="440" w:lineRule="atLeast"/>
        <w:rPr>
          <w:color w:val="auto"/>
          <w:kern w:val="0"/>
          <w:szCs w:val="21"/>
          <w:highlight w:val="none"/>
        </w:rPr>
      </w:pPr>
    </w:p>
    <w:p w14:paraId="70F12547">
      <w:pPr>
        <w:widowControl/>
        <w:topLinePunct/>
        <w:spacing w:line="440" w:lineRule="atLeast"/>
        <w:ind w:firstLine="3030" w:firstLineChars="1500"/>
        <w:jc w:val="right"/>
        <w:rPr>
          <w:color w:val="auto"/>
          <w:kern w:val="0"/>
          <w:szCs w:val="21"/>
          <w:highlight w:val="none"/>
        </w:rPr>
      </w:pPr>
      <w:r>
        <w:rPr>
          <w:color w:val="auto"/>
          <w:kern w:val="0"/>
          <w:szCs w:val="21"/>
          <w:highlight w:val="none"/>
        </w:rPr>
        <w:t xml:space="preserve">     年   月   日</w:t>
      </w:r>
      <w:bookmarkStart w:id="939" w:name="_Toc300678571"/>
    </w:p>
    <w:p w14:paraId="0FB8D1AA">
      <w:pPr>
        <w:widowControl/>
        <w:topLinePunct/>
        <w:spacing w:line="440" w:lineRule="atLeast"/>
        <w:ind w:firstLine="3030" w:firstLineChars="1500"/>
        <w:jc w:val="right"/>
        <w:rPr>
          <w:color w:val="auto"/>
          <w:kern w:val="0"/>
          <w:szCs w:val="21"/>
          <w:highlight w:val="none"/>
        </w:rPr>
      </w:pPr>
    </w:p>
    <w:p w14:paraId="16FD1EA1">
      <w:pPr>
        <w:widowControl/>
        <w:topLinePunct/>
        <w:spacing w:line="440" w:lineRule="atLeast"/>
        <w:ind w:firstLine="3030" w:firstLineChars="1500"/>
        <w:jc w:val="right"/>
        <w:rPr>
          <w:color w:val="auto"/>
          <w:kern w:val="0"/>
          <w:szCs w:val="21"/>
          <w:highlight w:val="none"/>
        </w:rPr>
        <w:sectPr>
          <w:pgSz w:w="11906" w:h="16838"/>
          <w:pgMar w:top="1440" w:right="1588" w:bottom="1440" w:left="1440" w:header="1134" w:footer="851" w:gutter="0"/>
          <w:cols w:space="720" w:num="1"/>
          <w:docGrid w:type="linesAndChars" w:linePitch="574" w:charSpace="-1683"/>
        </w:sectPr>
      </w:pPr>
    </w:p>
    <w:p w14:paraId="3119361D">
      <w:pPr>
        <w:pStyle w:val="6"/>
        <w:jc w:val="center"/>
        <w:rPr>
          <w:rFonts w:ascii="Times New Roman" w:hAnsi="Times New Roman" w:eastAsia="黑体"/>
          <w:b w:val="0"/>
          <w:bCs w:val="0"/>
          <w:color w:val="auto"/>
          <w:sz w:val="30"/>
          <w:highlight w:val="none"/>
        </w:rPr>
      </w:pPr>
      <w:bookmarkStart w:id="940" w:name="_Toc80006154"/>
      <w:bookmarkStart w:id="941" w:name="_Toc80006264"/>
      <w:bookmarkStart w:id="942" w:name="_Toc9178581"/>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939"/>
      <w:bookmarkEnd w:id="940"/>
      <w:bookmarkEnd w:id="941"/>
      <w:bookmarkEnd w:id="942"/>
    </w:p>
    <w:p w14:paraId="78A9D067">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color w:val="auto"/>
          <w:kern w:val="0"/>
          <w:szCs w:val="21"/>
          <w:highlight w:val="none"/>
        </w:rPr>
        <w:t>施工招标投标文件，其法律后果由我方承担。</w:t>
      </w:r>
    </w:p>
    <w:p w14:paraId="7E896C05">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14:paraId="01D28C60">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14:paraId="7F6B9522">
      <w:pPr>
        <w:widowControl/>
        <w:topLinePunct/>
        <w:spacing w:line="440" w:lineRule="exact"/>
        <w:ind w:firstLine="610"/>
        <w:rPr>
          <w:rFonts w:hint="eastAsia"/>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p w14:paraId="35742CB9">
      <w:pPr>
        <w:widowControl/>
        <w:topLinePunct/>
        <w:spacing w:line="440" w:lineRule="atLeast"/>
        <w:ind w:firstLine="610"/>
        <w:rPr>
          <w:color w:val="auto"/>
          <w:kern w:val="0"/>
          <w:szCs w:val="21"/>
          <w:highlight w:val="none"/>
        </w:rPr>
      </w:pPr>
    </w:p>
    <w:p w14:paraId="2E0C55C6">
      <w:pPr>
        <w:widowControl/>
        <w:topLinePunct/>
        <w:spacing w:line="440" w:lineRule="atLeast"/>
        <w:ind w:firstLine="2879"/>
        <w:rPr>
          <w:color w:val="auto"/>
          <w:kern w:val="0"/>
          <w:szCs w:val="21"/>
          <w:highlight w:val="none"/>
        </w:rPr>
      </w:pPr>
    </w:p>
    <w:p w14:paraId="5652D061">
      <w:pPr>
        <w:widowControl/>
        <w:topLinePunct/>
        <w:spacing w:line="440" w:lineRule="atLeast"/>
        <w:ind w:firstLine="2879"/>
        <w:rPr>
          <w:color w:val="auto"/>
          <w:kern w:val="0"/>
          <w:szCs w:val="21"/>
          <w:highlight w:val="none"/>
        </w:rPr>
      </w:pPr>
      <w:r>
        <w:rPr>
          <w:color w:val="auto"/>
          <w:kern w:val="0"/>
          <w:szCs w:val="21"/>
          <w:highlight w:val="none"/>
        </w:rPr>
        <w:t>投标人：（盖单位章）</w:t>
      </w:r>
    </w:p>
    <w:p w14:paraId="0E1628AD">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14:paraId="5DBF92B7">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14:paraId="075EC7C3">
      <w:pPr>
        <w:widowControl/>
        <w:topLinePunct/>
        <w:spacing w:line="440" w:lineRule="atLeast"/>
        <w:ind w:firstLine="2879"/>
        <w:rPr>
          <w:color w:val="auto"/>
          <w:kern w:val="0"/>
          <w:szCs w:val="21"/>
          <w:highlight w:val="none"/>
        </w:rPr>
      </w:pPr>
    </w:p>
    <w:p w14:paraId="2B504870">
      <w:pPr>
        <w:widowControl/>
        <w:topLinePunct/>
        <w:spacing w:line="440" w:lineRule="atLeast"/>
        <w:ind w:left="1836" w:firstLine="3204"/>
        <w:jc w:val="right"/>
        <w:rPr>
          <w:color w:val="auto"/>
          <w:kern w:val="0"/>
          <w:highlight w:val="none"/>
        </w:rPr>
      </w:pPr>
      <w:r>
        <w:rPr>
          <w:color w:val="auto"/>
          <w:kern w:val="0"/>
          <w:szCs w:val="21"/>
          <w:highlight w:val="none"/>
        </w:rPr>
        <w:t>年  月  日</w:t>
      </w:r>
    </w:p>
    <w:p w14:paraId="03CBC3B9">
      <w:pPr>
        <w:widowControl/>
        <w:topLinePunct/>
        <w:spacing w:line="440" w:lineRule="atLeast"/>
        <w:jc w:val="left"/>
        <w:rPr>
          <w:rFonts w:hint="eastAsia"/>
          <w:color w:val="auto"/>
          <w:kern w:val="0"/>
          <w:highlight w:val="none"/>
        </w:rPr>
      </w:pPr>
    </w:p>
    <w:p w14:paraId="2C29CF9C">
      <w:pPr>
        <w:widowControl/>
        <w:topLinePunct/>
        <w:spacing w:line="440" w:lineRule="atLeast"/>
        <w:jc w:val="left"/>
        <w:rPr>
          <w:rFonts w:hint="eastAsia"/>
          <w:color w:val="auto"/>
          <w:kern w:val="0"/>
          <w:highlight w:val="none"/>
        </w:rPr>
      </w:pPr>
    </w:p>
    <w:p w14:paraId="4F7D8630">
      <w:pPr>
        <w:widowControl/>
        <w:topLinePunct/>
        <w:spacing w:line="440" w:lineRule="atLeast"/>
        <w:jc w:val="left"/>
        <w:rPr>
          <w:rFonts w:hint="eastAsia"/>
          <w:color w:val="auto"/>
          <w:kern w:val="0"/>
          <w:highlight w:val="none"/>
        </w:rPr>
      </w:pPr>
    </w:p>
    <w:p w14:paraId="700BE79B">
      <w:pPr>
        <w:widowControl/>
        <w:topLinePunct/>
        <w:spacing w:line="440" w:lineRule="atLeast"/>
        <w:jc w:val="left"/>
        <w:rPr>
          <w:rFonts w:hint="eastAsia"/>
          <w:color w:val="auto"/>
          <w:kern w:val="0"/>
          <w:highlight w:val="none"/>
        </w:rPr>
      </w:pPr>
    </w:p>
    <w:p w14:paraId="3F4F4BFE">
      <w:pPr>
        <w:widowControl/>
        <w:topLinePunct/>
        <w:spacing w:line="440" w:lineRule="atLeast"/>
        <w:jc w:val="left"/>
        <w:rPr>
          <w:rFonts w:eastAsia="黑体"/>
          <w:color w:val="auto"/>
          <w:sz w:val="30"/>
          <w:szCs w:val="32"/>
          <w:highlight w:val="none"/>
        </w:rPr>
      </w:pPr>
      <w:bookmarkStart w:id="943" w:name="_Toc300678572"/>
    </w:p>
    <w:p w14:paraId="09F72945">
      <w:pPr>
        <w:pStyle w:val="6"/>
        <w:spacing w:before="0" w:after="0" w:line="360" w:lineRule="auto"/>
        <w:jc w:val="center"/>
        <w:rPr>
          <w:rFonts w:ascii="Times New Roman" w:hAnsi="Times New Roman" w:eastAsia="黑体"/>
          <w:b w:val="0"/>
          <w:bCs w:val="0"/>
          <w:color w:val="auto"/>
          <w:sz w:val="30"/>
          <w:highlight w:val="none"/>
        </w:rPr>
      </w:pPr>
      <w:bookmarkStart w:id="944" w:name="_Toc9178582"/>
      <w:r>
        <w:rPr>
          <w:rFonts w:hint="eastAsia" w:ascii="Times New Roman" w:hAnsi="Times New Roman" w:eastAsia="黑体"/>
          <w:b w:val="0"/>
          <w:bCs w:val="0"/>
          <w:color w:val="auto"/>
          <w:sz w:val="30"/>
          <w:highlight w:val="none"/>
        </w:rPr>
        <w:br w:type="page"/>
      </w:r>
      <w:bookmarkStart w:id="945" w:name="_Toc80006155"/>
      <w:bookmarkStart w:id="946" w:name="_Toc80006265"/>
      <w:r>
        <w:rPr>
          <w:rFonts w:hint="eastAsia" w:ascii="Times New Roman" w:hAnsi="Times New Roman" w:eastAsia="黑体"/>
          <w:b w:val="0"/>
          <w:bCs w:val="0"/>
          <w:color w:val="auto"/>
          <w:sz w:val="30"/>
          <w:highlight w:val="none"/>
        </w:rPr>
        <w:t>4.</w:t>
      </w:r>
      <w:bookmarkEnd w:id="943"/>
      <w:bookmarkEnd w:id="944"/>
      <w:r>
        <w:rPr>
          <w:rFonts w:hint="eastAsia" w:ascii="Times New Roman" w:hAnsi="Times New Roman" w:eastAsia="黑体"/>
          <w:b w:val="0"/>
          <w:bCs w:val="0"/>
          <w:color w:val="auto"/>
          <w:sz w:val="30"/>
          <w:highlight w:val="none"/>
          <w:lang w:val="en-US" w:eastAsia="zh-CN"/>
        </w:rPr>
        <w:t>共同投标协议</w:t>
      </w:r>
      <w:r>
        <w:rPr>
          <w:rFonts w:hint="eastAsia" w:ascii="黑体" w:hAnsi="黑体" w:eastAsia="黑体"/>
          <w:color w:val="auto"/>
          <w:sz w:val="24"/>
          <w:highlight w:val="none"/>
        </w:rPr>
        <w:t>（</w:t>
      </w:r>
      <w:r>
        <w:rPr>
          <w:rFonts w:ascii="黑体" w:hAnsi="黑体" w:eastAsia="黑体"/>
          <w:color w:val="auto"/>
          <w:sz w:val="24"/>
          <w:highlight w:val="none"/>
        </w:rPr>
        <w:sym w:font="Wingdings 2" w:char="00A3"/>
      </w:r>
      <w:r>
        <w:rPr>
          <w:rFonts w:hint="eastAsia" w:ascii="黑体" w:hAnsi="黑体" w:eastAsia="黑体"/>
          <w:color w:val="auto"/>
          <w:sz w:val="24"/>
          <w:highlight w:val="none"/>
        </w:rPr>
        <w:t>联合体投标适用）</w:t>
      </w:r>
      <w:bookmarkEnd w:id="945"/>
      <w:bookmarkEnd w:id="946"/>
    </w:p>
    <w:p w14:paraId="7F07AEDB">
      <w:pPr>
        <w:snapToGrid w:val="0"/>
        <w:spacing w:line="360" w:lineRule="auto"/>
        <w:rPr>
          <w:color w:val="auto"/>
          <w:szCs w:val="21"/>
          <w:highlight w:val="none"/>
        </w:rPr>
      </w:pPr>
      <w:r>
        <w:rPr>
          <w:color w:val="auto"/>
          <w:szCs w:val="21"/>
          <w:highlight w:val="none"/>
        </w:rPr>
        <w:t>牵头人名称：</w:t>
      </w:r>
    </w:p>
    <w:p w14:paraId="18DA3D42">
      <w:pPr>
        <w:snapToGrid w:val="0"/>
        <w:spacing w:line="360" w:lineRule="auto"/>
        <w:rPr>
          <w:color w:val="auto"/>
          <w:szCs w:val="21"/>
          <w:highlight w:val="none"/>
        </w:rPr>
      </w:pPr>
      <w:r>
        <w:rPr>
          <w:color w:val="auto"/>
          <w:szCs w:val="21"/>
          <w:highlight w:val="none"/>
        </w:rPr>
        <w:t>法定代表人：</w:t>
      </w:r>
    </w:p>
    <w:p w14:paraId="4C321F33">
      <w:pPr>
        <w:snapToGrid w:val="0"/>
        <w:spacing w:line="360" w:lineRule="auto"/>
        <w:rPr>
          <w:color w:val="auto"/>
          <w:szCs w:val="21"/>
          <w:highlight w:val="none"/>
        </w:rPr>
      </w:pPr>
      <w:r>
        <w:rPr>
          <w:color w:val="auto"/>
          <w:szCs w:val="21"/>
          <w:highlight w:val="none"/>
        </w:rPr>
        <w:t>法定住所：</w:t>
      </w:r>
    </w:p>
    <w:p w14:paraId="416AEE71">
      <w:pPr>
        <w:snapToGrid w:val="0"/>
        <w:spacing w:line="360" w:lineRule="auto"/>
        <w:rPr>
          <w:color w:val="auto"/>
          <w:szCs w:val="21"/>
          <w:highlight w:val="none"/>
        </w:rPr>
      </w:pPr>
      <w:r>
        <w:rPr>
          <w:color w:val="auto"/>
          <w:szCs w:val="21"/>
          <w:highlight w:val="none"/>
        </w:rPr>
        <w:t>成员二名称：</w:t>
      </w:r>
    </w:p>
    <w:p w14:paraId="48FDA29C">
      <w:pPr>
        <w:snapToGrid w:val="0"/>
        <w:spacing w:line="360" w:lineRule="auto"/>
        <w:rPr>
          <w:color w:val="auto"/>
          <w:szCs w:val="21"/>
          <w:highlight w:val="none"/>
        </w:rPr>
      </w:pPr>
      <w:r>
        <w:rPr>
          <w:color w:val="auto"/>
          <w:szCs w:val="21"/>
          <w:highlight w:val="none"/>
        </w:rPr>
        <w:t>法定代表人：</w:t>
      </w:r>
    </w:p>
    <w:p w14:paraId="760B8EC3">
      <w:pPr>
        <w:snapToGrid w:val="0"/>
        <w:spacing w:line="360" w:lineRule="auto"/>
        <w:rPr>
          <w:color w:val="auto"/>
          <w:szCs w:val="21"/>
          <w:highlight w:val="none"/>
          <w:u w:val="single"/>
        </w:rPr>
      </w:pPr>
      <w:r>
        <w:rPr>
          <w:color w:val="auto"/>
          <w:szCs w:val="21"/>
          <w:highlight w:val="none"/>
        </w:rPr>
        <w:t>法定住所：</w:t>
      </w:r>
    </w:p>
    <w:p w14:paraId="448AFE64">
      <w:pPr>
        <w:snapToGrid w:val="0"/>
        <w:spacing w:line="360" w:lineRule="auto"/>
        <w:ind w:firstLine="505" w:firstLineChars="250"/>
        <w:rPr>
          <w:color w:val="auto"/>
          <w:szCs w:val="21"/>
          <w:highlight w:val="none"/>
        </w:rPr>
      </w:pPr>
      <w:r>
        <w:rPr>
          <w:color w:val="auto"/>
          <w:szCs w:val="21"/>
          <w:highlight w:val="none"/>
        </w:rPr>
        <w:t>……</w:t>
      </w:r>
    </w:p>
    <w:p w14:paraId="113E1D28">
      <w:pPr>
        <w:snapToGrid w:val="0"/>
        <w:spacing w:line="360" w:lineRule="auto"/>
        <w:ind w:firstLine="404"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）的施工投标并争取赢得本工程施工承包合同（以下简称合同）。现就联合体投标事宜订立如下协议：</w:t>
      </w:r>
    </w:p>
    <w:p w14:paraId="64CD3F84">
      <w:pPr>
        <w:snapToGrid w:val="0"/>
        <w:spacing w:line="360" w:lineRule="auto"/>
        <w:ind w:firstLine="404"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14:paraId="25DEA0E6">
      <w:pPr>
        <w:snapToGrid w:val="0"/>
        <w:spacing w:line="360" w:lineRule="auto"/>
        <w:ind w:firstLine="404"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投标阶段，联合体牵头人合法代表联合体各</w:t>
      </w:r>
      <w:r>
        <w:rPr>
          <w:rFonts w:hint="eastAsia"/>
          <w:color w:val="auto"/>
          <w:szCs w:val="21"/>
          <w:highlight w:val="none"/>
          <w:lang w:val="en-US" w:eastAsia="zh-CN"/>
        </w:rPr>
        <w:t>方</w:t>
      </w:r>
      <w:r>
        <w:rPr>
          <w:color w:val="auto"/>
          <w:szCs w:val="21"/>
          <w:highlight w:val="none"/>
        </w:rPr>
        <w:t>负责本工程投标文件编制活动，代表联合体提交和接收相关的资料、信息及指示，并处理与投标和中标有关的一切事务；联合体中标后，联合体牵头人负责合同订立和合同实施阶段的主办、组织和协调工作。</w:t>
      </w:r>
    </w:p>
    <w:p w14:paraId="59212D5F">
      <w:pPr>
        <w:snapToGrid w:val="0"/>
        <w:spacing w:line="360" w:lineRule="auto"/>
        <w:ind w:firstLine="404"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65814B68">
      <w:pPr>
        <w:snapToGrid w:val="0"/>
        <w:spacing w:line="360" w:lineRule="auto"/>
        <w:ind w:firstLine="404" w:firstLineChars="200"/>
        <w:rPr>
          <w:color w:val="auto"/>
          <w:szCs w:val="21"/>
          <w:highlight w:val="none"/>
        </w:rPr>
      </w:pPr>
      <w:r>
        <w:rPr>
          <w:color w:val="auto"/>
          <w:szCs w:val="21"/>
          <w:highlight w:val="none"/>
        </w:rPr>
        <w:t>4．联合体各</w:t>
      </w:r>
      <w:r>
        <w:rPr>
          <w:rFonts w:hint="eastAsia"/>
          <w:color w:val="auto"/>
          <w:szCs w:val="21"/>
          <w:highlight w:val="none"/>
          <w:lang w:val="en-US" w:eastAsia="zh-CN"/>
        </w:rPr>
        <w:t>方</w:t>
      </w:r>
      <w:r>
        <w:rPr>
          <w:color w:val="auto"/>
          <w:szCs w:val="21"/>
          <w:highlight w:val="none"/>
        </w:rPr>
        <w:t>单位内部的职责分工如下：</w:t>
      </w:r>
      <w:r>
        <w:rPr>
          <w:color w:val="auto"/>
          <w:szCs w:val="21"/>
          <w:highlight w:val="none"/>
          <w:u w:val="single"/>
        </w:rPr>
        <w:t xml:space="preserve">                </w:t>
      </w:r>
      <w:r>
        <w:rPr>
          <w:color w:val="auto"/>
          <w:szCs w:val="21"/>
          <w:highlight w:val="none"/>
        </w:rPr>
        <w:t>。按照本条上述分工，联合体成员单位各自所承担的合同工作量比例如下</w:t>
      </w:r>
      <w:r>
        <w:rPr>
          <w:rFonts w:hint="eastAsia"/>
          <w:color w:val="auto"/>
          <w:szCs w:val="21"/>
          <w:highlight w:val="none"/>
          <w:lang w:eastAsia="zh-CN"/>
        </w:rPr>
        <w:t>（</w:t>
      </w:r>
      <w:r>
        <w:rPr>
          <w:rFonts w:hint="eastAsia"/>
          <w:color w:val="auto"/>
          <w:szCs w:val="21"/>
          <w:highlight w:val="none"/>
          <w:lang w:val="en-US" w:eastAsia="zh-CN"/>
        </w:rPr>
        <w:t>按100%</w:t>
      </w:r>
      <w:r>
        <w:rPr>
          <w:rFonts w:hint="eastAsia"/>
          <w:color w:val="auto"/>
          <w:szCs w:val="21"/>
          <w:highlight w:val="none"/>
          <w:lang w:eastAsia="zh-CN"/>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14:paraId="73343A87">
      <w:pPr>
        <w:snapToGrid w:val="0"/>
        <w:spacing w:line="360" w:lineRule="auto"/>
        <w:ind w:firstLine="404" w:firstLineChars="200"/>
        <w:rPr>
          <w:color w:val="auto"/>
          <w:szCs w:val="21"/>
          <w:highlight w:val="none"/>
        </w:rPr>
      </w:pPr>
      <w:r>
        <w:rPr>
          <w:color w:val="auto"/>
          <w:szCs w:val="21"/>
          <w:highlight w:val="none"/>
        </w:rPr>
        <w:t>5．投标工作和联合体在中标后工程实施过程中的有关费用按各自承担的工作量分摊。</w:t>
      </w:r>
    </w:p>
    <w:p w14:paraId="3DD328C5">
      <w:pPr>
        <w:snapToGrid w:val="0"/>
        <w:spacing w:line="360" w:lineRule="auto"/>
        <w:ind w:firstLine="404" w:firstLineChars="200"/>
        <w:rPr>
          <w:color w:val="auto"/>
          <w:szCs w:val="21"/>
          <w:highlight w:val="none"/>
        </w:rPr>
      </w:pPr>
      <w:r>
        <w:rPr>
          <w:color w:val="auto"/>
          <w:szCs w:val="21"/>
          <w:highlight w:val="none"/>
        </w:rPr>
        <w:t>6．联合体中标后，本联合体协议是合同的附件，对联合体各</w:t>
      </w:r>
      <w:r>
        <w:rPr>
          <w:rFonts w:hint="eastAsia"/>
          <w:color w:val="auto"/>
          <w:szCs w:val="21"/>
          <w:highlight w:val="none"/>
          <w:lang w:val="en-US" w:eastAsia="zh-CN"/>
        </w:rPr>
        <w:t>方</w:t>
      </w:r>
      <w:r>
        <w:rPr>
          <w:color w:val="auto"/>
          <w:szCs w:val="21"/>
          <w:highlight w:val="none"/>
        </w:rPr>
        <w:t>单位有合同约束力。</w:t>
      </w:r>
    </w:p>
    <w:p w14:paraId="22733DB5">
      <w:pPr>
        <w:snapToGrid w:val="0"/>
        <w:spacing w:line="360" w:lineRule="auto"/>
        <w:ind w:firstLine="404" w:firstLineChars="200"/>
        <w:rPr>
          <w:color w:val="auto"/>
          <w:szCs w:val="21"/>
          <w:highlight w:val="none"/>
        </w:rPr>
      </w:pPr>
      <w:r>
        <w:rPr>
          <w:color w:val="auto"/>
          <w:szCs w:val="21"/>
          <w:highlight w:val="none"/>
        </w:rPr>
        <w:t>7．本协议书自签署之日起生效，联合体未中标或者中标时合同履行完毕后自动失效。</w:t>
      </w:r>
    </w:p>
    <w:p w14:paraId="7302D039">
      <w:pPr>
        <w:snapToGrid w:val="0"/>
        <w:spacing w:line="360" w:lineRule="auto"/>
        <w:ind w:firstLine="404" w:firstLineChars="200"/>
        <w:rPr>
          <w:color w:val="auto"/>
          <w:szCs w:val="21"/>
          <w:highlight w:val="none"/>
        </w:rPr>
      </w:pPr>
      <w:r>
        <w:rPr>
          <w:color w:val="auto"/>
          <w:szCs w:val="21"/>
          <w:highlight w:val="none"/>
        </w:rPr>
        <w:t>8．本协议书一式</w:t>
      </w:r>
      <w:r>
        <w:rPr>
          <w:rFonts w:hint="eastAsia"/>
          <w:color w:val="auto"/>
          <w:szCs w:val="21"/>
          <w:highlight w:val="none"/>
        </w:rPr>
        <w:t xml:space="preserve">    </w:t>
      </w:r>
      <w:r>
        <w:rPr>
          <w:color w:val="auto"/>
          <w:szCs w:val="21"/>
          <w:highlight w:val="none"/>
        </w:rPr>
        <w:t>份，联合体成员和招标人各执</w:t>
      </w:r>
      <w:r>
        <w:rPr>
          <w:rFonts w:hint="eastAsia"/>
          <w:color w:val="auto"/>
          <w:szCs w:val="21"/>
          <w:highlight w:val="none"/>
        </w:rPr>
        <w:t xml:space="preserve">   </w:t>
      </w:r>
      <w:r>
        <w:rPr>
          <w:color w:val="auto"/>
          <w:szCs w:val="21"/>
          <w:highlight w:val="none"/>
        </w:rPr>
        <w:t>份。</w:t>
      </w:r>
    </w:p>
    <w:p w14:paraId="1AD49F0C">
      <w:pPr>
        <w:snapToGrid w:val="0"/>
        <w:spacing w:line="360" w:lineRule="auto"/>
        <w:ind w:firstLine="1717" w:firstLineChars="850"/>
        <w:rPr>
          <w:color w:val="auto"/>
          <w:szCs w:val="21"/>
          <w:highlight w:val="none"/>
        </w:rPr>
      </w:pPr>
      <w:r>
        <w:rPr>
          <w:color w:val="auto"/>
          <w:szCs w:val="21"/>
          <w:highlight w:val="none"/>
        </w:rPr>
        <w:t>牵头人名称：（盖单位章）</w:t>
      </w:r>
    </w:p>
    <w:p w14:paraId="584CC6BF">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14:paraId="2ECB3516">
      <w:pPr>
        <w:snapToGrid w:val="0"/>
        <w:spacing w:line="360" w:lineRule="auto"/>
        <w:ind w:firstLine="1717" w:firstLineChars="850"/>
        <w:rPr>
          <w:color w:val="auto"/>
          <w:szCs w:val="21"/>
          <w:highlight w:val="none"/>
        </w:rPr>
      </w:pPr>
      <w:r>
        <w:rPr>
          <w:color w:val="auto"/>
          <w:szCs w:val="21"/>
          <w:highlight w:val="none"/>
        </w:rPr>
        <w:t>成员二名称：（盖单位章）</w:t>
      </w:r>
    </w:p>
    <w:p w14:paraId="24B3A148">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14:paraId="52472283">
      <w:pPr>
        <w:snapToGrid w:val="0"/>
        <w:spacing w:line="360" w:lineRule="auto"/>
        <w:ind w:firstLine="2020" w:firstLineChars="1000"/>
        <w:rPr>
          <w:color w:val="auto"/>
          <w:szCs w:val="21"/>
          <w:highlight w:val="none"/>
        </w:rPr>
      </w:pPr>
      <w:r>
        <w:rPr>
          <w:color w:val="auto"/>
          <w:szCs w:val="21"/>
          <w:highlight w:val="none"/>
        </w:rPr>
        <w:t>……</w:t>
      </w:r>
    </w:p>
    <w:p w14:paraId="25AF2547">
      <w:pPr>
        <w:snapToGrid w:val="0"/>
        <w:spacing w:line="360" w:lineRule="auto"/>
        <w:jc w:val="right"/>
        <w:rPr>
          <w:color w:val="auto"/>
          <w:szCs w:val="21"/>
          <w:highlight w:val="none"/>
        </w:rPr>
      </w:pPr>
      <w:r>
        <w:rPr>
          <w:color w:val="auto"/>
          <w:szCs w:val="21"/>
          <w:highlight w:val="none"/>
        </w:rPr>
        <w:t>年  月  日</w:t>
      </w:r>
    </w:p>
    <w:p w14:paraId="77E396B6">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14:paraId="1B43949B">
      <w:pPr>
        <w:pStyle w:val="6"/>
        <w:jc w:val="center"/>
        <w:rPr>
          <w:rFonts w:ascii="Times New Roman" w:hAnsi="Times New Roman" w:eastAsia="黑体"/>
          <w:b w:val="0"/>
          <w:bCs w:val="0"/>
          <w:color w:val="auto"/>
          <w:sz w:val="30"/>
          <w:highlight w:val="none"/>
        </w:rPr>
      </w:pPr>
      <w:bookmarkStart w:id="947" w:name="_Toc80006156"/>
      <w:bookmarkStart w:id="948" w:name="_Toc300678573"/>
      <w:bookmarkStart w:id="949" w:name="_Toc9178583"/>
      <w:bookmarkStart w:id="950" w:name="_Toc80006266"/>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bookmarkEnd w:id="947"/>
      <w:bookmarkEnd w:id="948"/>
      <w:bookmarkEnd w:id="949"/>
      <w:bookmarkEnd w:id="950"/>
    </w:p>
    <w:p w14:paraId="3231E414">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w:t>
      </w:r>
      <w:r>
        <w:rPr>
          <w:rFonts w:hint="eastAsia"/>
          <w:color w:val="auto"/>
          <w:highlight w:val="none"/>
          <w:lang w:eastAsia="zh-CN"/>
        </w:rPr>
        <w:t>账户</w:t>
      </w:r>
      <w:r>
        <w:rPr>
          <w:rFonts w:hint="eastAsia"/>
          <w:color w:val="auto"/>
          <w:highlight w:val="none"/>
        </w:rPr>
        <w:t>开户银行打印的账户信息，包含户名、账号、基本存款账户编号等信息）</w:t>
      </w:r>
      <w:r>
        <w:rPr>
          <w:color w:val="auto"/>
          <w:highlight w:val="none"/>
        </w:rPr>
        <w:t>以及投标保证金银行进账单复印件</w:t>
      </w:r>
    </w:p>
    <w:p w14:paraId="790777E2">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14:paraId="22DF6B72">
      <w:pPr>
        <w:widowControl/>
        <w:spacing w:line="400" w:lineRule="exact"/>
        <w:jc w:val="left"/>
        <w:rPr>
          <w:color w:val="auto"/>
          <w:highlight w:val="none"/>
        </w:rPr>
      </w:pPr>
      <w:r>
        <w:rPr>
          <w:rFonts w:hint="eastAsia"/>
          <w:color w:val="auto"/>
          <w:highlight w:val="none"/>
        </w:rPr>
        <w:t>采用保证保险，请附投标保证保险复印件（格式附后）</w:t>
      </w:r>
    </w:p>
    <w:p w14:paraId="496E526B">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14:paraId="4228F278">
      <w:pPr>
        <w:jc w:val="center"/>
        <w:rPr>
          <w:rFonts w:eastAsia="黑体"/>
          <w:color w:val="auto"/>
          <w:sz w:val="30"/>
          <w:szCs w:val="30"/>
          <w:highlight w:val="none"/>
        </w:rPr>
      </w:pPr>
    </w:p>
    <w:p w14:paraId="09ECA91A">
      <w:pPr>
        <w:jc w:val="center"/>
        <w:rPr>
          <w:rFonts w:eastAsia="黑体"/>
          <w:color w:val="auto"/>
          <w:sz w:val="30"/>
          <w:szCs w:val="30"/>
          <w:highlight w:val="none"/>
        </w:rPr>
      </w:pPr>
      <w:r>
        <w:rPr>
          <w:rFonts w:eastAsia="黑体"/>
          <w:color w:val="auto"/>
          <w:sz w:val="30"/>
          <w:szCs w:val="30"/>
          <w:highlight w:val="none"/>
        </w:rPr>
        <w:t>投标保函</w:t>
      </w:r>
    </w:p>
    <w:p w14:paraId="200040AB">
      <w:pPr>
        <w:spacing w:line="480" w:lineRule="exact"/>
        <w:rPr>
          <w:color w:val="auto"/>
          <w:szCs w:val="32"/>
          <w:highlight w:val="none"/>
        </w:rPr>
      </w:pPr>
      <w:r>
        <w:rPr>
          <w:color w:val="auto"/>
          <w:szCs w:val="32"/>
          <w:highlight w:val="none"/>
          <w:u w:val="single"/>
        </w:rPr>
        <w:t xml:space="preserve">                （受益人名称）</w:t>
      </w:r>
      <w:r>
        <w:rPr>
          <w:color w:val="auto"/>
          <w:szCs w:val="32"/>
          <w:highlight w:val="none"/>
        </w:rPr>
        <w:t>：</w:t>
      </w:r>
    </w:p>
    <w:p w14:paraId="5A5DAB0A">
      <w:pPr>
        <w:spacing w:line="48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w:t>
      </w:r>
      <w:r>
        <w:rPr>
          <w:rFonts w:hint="eastAsia"/>
          <w:color w:val="auto"/>
          <w:szCs w:val="32"/>
          <w:highlight w:val="none"/>
        </w:rPr>
        <w:t>施工</w:t>
      </w:r>
      <w:r>
        <w:rPr>
          <w:color w:val="auto"/>
          <w:szCs w:val="32"/>
          <w:highlight w:val="none"/>
        </w:rPr>
        <w:t>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14:paraId="52B59251">
      <w:pPr>
        <w:spacing w:line="48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14:paraId="22259A75">
      <w:pPr>
        <w:spacing w:line="480" w:lineRule="exact"/>
        <w:ind w:firstLine="404" w:firstLineChars="200"/>
        <w:rPr>
          <w:color w:val="auto"/>
          <w:szCs w:val="32"/>
          <w:highlight w:val="none"/>
        </w:rPr>
      </w:pPr>
      <w:r>
        <w:rPr>
          <w:color w:val="auto"/>
          <w:szCs w:val="32"/>
          <w:highlight w:val="none"/>
        </w:rPr>
        <w:t>2．保函有效期自______年____月_____日至______年____月_____日止。</w:t>
      </w:r>
    </w:p>
    <w:p w14:paraId="19D84350">
      <w:pPr>
        <w:spacing w:line="48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14:paraId="2B1FCC60">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14:paraId="028A6F87">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14:paraId="5C061B79">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14:paraId="1DBA4CBE">
      <w:pPr>
        <w:tabs>
          <w:tab w:val="left" w:pos="2184"/>
        </w:tabs>
        <w:spacing w:line="480" w:lineRule="exact"/>
        <w:ind w:firstLine="615"/>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14:paraId="0A61936C">
      <w:pPr>
        <w:spacing w:line="480" w:lineRule="exact"/>
        <w:ind w:firstLine="404" w:firstLineChars="200"/>
        <w:jc w:val="left"/>
        <w:rPr>
          <w:color w:val="auto"/>
          <w:szCs w:val="32"/>
          <w:highlight w:val="none"/>
        </w:rPr>
      </w:pPr>
      <w:r>
        <w:rPr>
          <w:color w:val="auto"/>
          <w:szCs w:val="32"/>
          <w:highlight w:val="none"/>
          <w:shd w:val="clear" w:color="auto" w:fill="FFFFFF"/>
        </w:rPr>
        <w:t>4．你方的索赔通知，应当符合下列要求：</w:t>
      </w:r>
    </w:p>
    <w:p w14:paraId="1A54D318">
      <w:pPr>
        <w:spacing w:line="480" w:lineRule="exact"/>
        <w:ind w:firstLine="404" w:firstLineChars="200"/>
        <w:rPr>
          <w:color w:val="auto"/>
          <w:szCs w:val="32"/>
          <w:highlight w:val="none"/>
        </w:rPr>
      </w:pPr>
      <w:r>
        <w:rPr>
          <w:color w:val="auto"/>
          <w:szCs w:val="32"/>
          <w:highlight w:val="none"/>
        </w:rPr>
        <w:t>（1）索赔通知应当列明索赔金额，由你方加盖单位公章和法定代表人印章；</w:t>
      </w:r>
    </w:p>
    <w:p w14:paraId="60188BFC">
      <w:pPr>
        <w:spacing w:line="48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14:paraId="17076851">
      <w:pPr>
        <w:spacing w:line="480" w:lineRule="exact"/>
        <w:ind w:firstLine="404" w:firstLineChars="200"/>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14:paraId="42CAA019">
      <w:pPr>
        <w:spacing w:line="48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14:paraId="092E85FA">
      <w:pPr>
        <w:spacing w:line="48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14:paraId="1F5F9FBA">
      <w:pPr>
        <w:spacing w:line="48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14:paraId="717AC571">
      <w:pPr>
        <w:spacing w:line="48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14:paraId="1CD336FD">
      <w:pPr>
        <w:spacing w:line="480" w:lineRule="exact"/>
        <w:ind w:firstLine="2018" w:firstLineChars="999"/>
        <w:rPr>
          <w:color w:val="auto"/>
          <w:szCs w:val="32"/>
          <w:highlight w:val="none"/>
          <w:u w:val="single"/>
        </w:rPr>
      </w:pPr>
      <w:r>
        <w:rPr>
          <w:color w:val="auto"/>
          <w:szCs w:val="32"/>
          <w:highlight w:val="none"/>
        </w:rPr>
        <w:t>电话：</w:t>
      </w:r>
      <w:r>
        <w:rPr>
          <w:color w:val="auto"/>
          <w:szCs w:val="32"/>
          <w:highlight w:val="none"/>
          <w:u w:val="single"/>
        </w:rPr>
        <w:t xml:space="preserve">                     </w:t>
      </w:r>
    </w:p>
    <w:p w14:paraId="5F6DA403">
      <w:pPr>
        <w:spacing w:line="480" w:lineRule="exact"/>
        <w:ind w:firstLine="2018" w:firstLineChars="999"/>
        <w:rPr>
          <w:color w:val="auto"/>
          <w:szCs w:val="32"/>
          <w:highlight w:val="none"/>
          <w:u w:val="single"/>
        </w:rPr>
      </w:pPr>
      <w:r>
        <w:rPr>
          <w:color w:val="auto"/>
          <w:szCs w:val="32"/>
          <w:highlight w:val="none"/>
        </w:rPr>
        <w:t>传真：</w:t>
      </w:r>
      <w:r>
        <w:rPr>
          <w:color w:val="auto"/>
          <w:szCs w:val="32"/>
          <w:highlight w:val="none"/>
          <w:u w:val="single"/>
        </w:rPr>
        <w:t xml:space="preserve">            </w:t>
      </w:r>
    </w:p>
    <w:p w14:paraId="174F28C4">
      <w:pPr>
        <w:spacing w:line="480" w:lineRule="exact"/>
        <w:ind w:firstLine="3434" w:firstLineChars="17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34E8850A">
      <w:pPr>
        <w:spacing w:line="480" w:lineRule="exact"/>
        <w:ind w:firstLine="3430"/>
        <w:rPr>
          <w:rFonts w:hint="eastAsia"/>
          <w:color w:val="auto"/>
          <w:szCs w:val="32"/>
          <w:highlight w:val="none"/>
        </w:rPr>
      </w:pPr>
    </w:p>
    <w:p w14:paraId="12EF6D27">
      <w:pPr>
        <w:spacing w:line="480" w:lineRule="exact"/>
        <w:ind w:firstLine="3430"/>
        <w:rPr>
          <w:rFonts w:hint="eastAsia"/>
          <w:color w:val="auto"/>
          <w:szCs w:val="32"/>
          <w:highlight w:val="none"/>
        </w:rPr>
      </w:pPr>
    </w:p>
    <w:p w14:paraId="3FDFE332">
      <w:pPr>
        <w:spacing w:line="480" w:lineRule="exact"/>
        <w:ind w:firstLine="3430"/>
        <w:rPr>
          <w:rFonts w:hint="eastAsia"/>
          <w:color w:val="auto"/>
          <w:szCs w:val="32"/>
          <w:highlight w:val="none"/>
        </w:rPr>
      </w:pPr>
    </w:p>
    <w:p w14:paraId="056B392B">
      <w:pPr>
        <w:spacing w:line="480" w:lineRule="exact"/>
        <w:ind w:firstLine="3430"/>
        <w:rPr>
          <w:rFonts w:hint="eastAsia"/>
          <w:color w:val="auto"/>
          <w:szCs w:val="32"/>
          <w:highlight w:val="none"/>
        </w:rPr>
      </w:pPr>
    </w:p>
    <w:p w14:paraId="0CACF575">
      <w:pPr>
        <w:spacing w:line="480" w:lineRule="exact"/>
        <w:ind w:firstLine="3430"/>
        <w:rPr>
          <w:rFonts w:hint="eastAsia"/>
          <w:color w:val="auto"/>
          <w:szCs w:val="32"/>
          <w:highlight w:val="none"/>
        </w:rPr>
      </w:pPr>
    </w:p>
    <w:p w14:paraId="16458BF3">
      <w:pPr>
        <w:spacing w:line="480" w:lineRule="exact"/>
        <w:ind w:firstLine="3430"/>
        <w:rPr>
          <w:rFonts w:hint="eastAsia"/>
          <w:color w:val="auto"/>
          <w:szCs w:val="32"/>
          <w:highlight w:val="none"/>
        </w:rPr>
      </w:pPr>
    </w:p>
    <w:p w14:paraId="78A7CCD0">
      <w:pPr>
        <w:spacing w:line="480" w:lineRule="exact"/>
        <w:ind w:firstLine="3430"/>
        <w:rPr>
          <w:rFonts w:hint="eastAsia"/>
          <w:color w:val="auto"/>
          <w:szCs w:val="32"/>
          <w:highlight w:val="none"/>
        </w:rPr>
      </w:pPr>
    </w:p>
    <w:p w14:paraId="147E58E0">
      <w:pPr>
        <w:spacing w:line="480" w:lineRule="exact"/>
        <w:ind w:firstLine="3430"/>
        <w:rPr>
          <w:rFonts w:hint="eastAsia"/>
          <w:color w:val="auto"/>
          <w:szCs w:val="32"/>
          <w:highlight w:val="none"/>
        </w:rPr>
      </w:pPr>
    </w:p>
    <w:p w14:paraId="20027328">
      <w:pPr>
        <w:spacing w:line="480" w:lineRule="exact"/>
        <w:ind w:firstLine="3430"/>
        <w:rPr>
          <w:rFonts w:hint="eastAsia"/>
          <w:color w:val="auto"/>
          <w:szCs w:val="32"/>
          <w:highlight w:val="none"/>
        </w:rPr>
      </w:pPr>
    </w:p>
    <w:p w14:paraId="3234FE9B">
      <w:pPr>
        <w:spacing w:line="480" w:lineRule="exact"/>
        <w:ind w:firstLine="3430"/>
        <w:rPr>
          <w:rFonts w:hint="eastAsia"/>
          <w:color w:val="auto"/>
          <w:szCs w:val="32"/>
          <w:highlight w:val="none"/>
        </w:rPr>
      </w:pPr>
    </w:p>
    <w:p w14:paraId="6D046D66">
      <w:pPr>
        <w:spacing w:line="480" w:lineRule="exact"/>
        <w:ind w:firstLine="3430"/>
        <w:rPr>
          <w:rFonts w:hint="eastAsia"/>
          <w:color w:val="auto"/>
          <w:szCs w:val="32"/>
          <w:highlight w:val="none"/>
        </w:rPr>
      </w:pPr>
    </w:p>
    <w:p w14:paraId="151889B6">
      <w:pPr>
        <w:spacing w:line="480" w:lineRule="exact"/>
        <w:ind w:firstLine="3430"/>
        <w:rPr>
          <w:rFonts w:hint="eastAsia"/>
          <w:color w:val="auto"/>
          <w:szCs w:val="32"/>
          <w:highlight w:val="none"/>
        </w:rPr>
      </w:pPr>
    </w:p>
    <w:p w14:paraId="0F5DF5E1">
      <w:pPr>
        <w:spacing w:line="480" w:lineRule="exact"/>
        <w:ind w:firstLine="3430"/>
        <w:rPr>
          <w:rFonts w:hint="eastAsia"/>
          <w:color w:val="auto"/>
          <w:szCs w:val="32"/>
          <w:highlight w:val="none"/>
        </w:rPr>
      </w:pPr>
    </w:p>
    <w:p w14:paraId="19CB5715">
      <w:pPr>
        <w:spacing w:line="480" w:lineRule="exact"/>
        <w:ind w:firstLine="3430"/>
        <w:rPr>
          <w:rFonts w:hint="eastAsia"/>
          <w:color w:val="auto"/>
          <w:szCs w:val="32"/>
          <w:highlight w:val="none"/>
        </w:rPr>
      </w:pPr>
    </w:p>
    <w:p w14:paraId="385AE7AE">
      <w:pPr>
        <w:spacing w:line="480" w:lineRule="exact"/>
        <w:rPr>
          <w:color w:val="auto"/>
          <w:szCs w:val="32"/>
          <w:highlight w:val="none"/>
        </w:rPr>
        <w:sectPr>
          <w:pgSz w:w="11906" w:h="16838"/>
          <w:pgMar w:top="1440" w:right="1440" w:bottom="1440" w:left="1440" w:header="1134" w:footer="851" w:gutter="0"/>
          <w:cols w:space="720" w:num="1"/>
          <w:docGrid w:type="linesAndChars" w:linePitch="574" w:charSpace="-1683"/>
        </w:sectPr>
      </w:pPr>
      <w:r>
        <w:rPr>
          <w:rFonts w:hint="eastAsia"/>
          <w:color w:val="auto"/>
          <w:szCs w:val="32"/>
          <w:highlight w:val="none"/>
        </w:rPr>
        <w:t>说明：保函开立人可以根据项目具体情况</w:t>
      </w:r>
      <w:r>
        <w:rPr>
          <w:rFonts w:hint="eastAsia"/>
          <w:color w:val="auto"/>
          <w:szCs w:val="32"/>
          <w:highlight w:val="none"/>
          <w:lang w:val="en-US" w:eastAsia="zh-CN"/>
        </w:rPr>
        <w:t>调整</w:t>
      </w:r>
      <w:r>
        <w:rPr>
          <w:rFonts w:hint="eastAsia"/>
          <w:color w:val="auto"/>
          <w:szCs w:val="32"/>
          <w:highlight w:val="none"/>
        </w:rPr>
        <w:t>相关条款，但不得违背招标文件的实质性内容，以及相关法律法规的规定。</w:t>
      </w:r>
    </w:p>
    <w:p w14:paraId="6FFF9D14">
      <w:pPr>
        <w:jc w:val="cente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建设工程投标保证保险</w:t>
      </w:r>
    </w:p>
    <w:p w14:paraId="13AE7BA3">
      <w:pPr>
        <w:pStyle w:val="134"/>
        <w:snapToGrid w:val="0"/>
        <w:spacing w:after="0" w:line="380" w:lineRule="exact"/>
        <w:rPr>
          <w:rFonts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14:paraId="79B9C8D0">
      <w:pPr>
        <w:pStyle w:val="134"/>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施工的招标投标，并向我方投保建设工程投标保证保险（保险单号：              ）。我方愿就投标人履行招标文件规定的投标义务，向贵方提供如下保证保险：</w:t>
      </w:r>
    </w:p>
    <w:p w14:paraId="5926B51C">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14:paraId="046D48BD">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14:paraId="20554681">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14:paraId="384560A4">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14:paraId="008FDEB5">
      <w:pPr>
        <w:pStyle w:val="134"/>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14:paraId="2E987104">
      <w:pPr>
        <w:pStyle w:val="134"/>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14:paraId="40D9D1DF">
      <w:pPr>
        <w:pStyle w:val="134"/>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14:paraId="4A7BD515">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14:paraId="251C5938">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14:paraId="24F07A4D">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14:paraId="480062DA">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14:paraId="49548988">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14:paraId="599B3FA2">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14:paraId="6A721071">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14:paraId="7BC39565">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14:paraId="11B7BE7C">
      <w:pPr>
        <w:snapToGrid w:val="0"/>
        <w:spacing w:line="380" w:lineRule="exact"/>
        <w:ind w:firstLine="404"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14:paraId="3E0129AA">
      <w:pPr>
        <w:pStyle w:val="183"/>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14:paraId="65870ABB">
      <w:pPr>
        <w:pStyle w:val="183"/>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14:paraId="51B66496">
      <w:pPr>
        <w:spacing w:line="4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14:paraId="38B2CF4D">
      <w:pPr>
        <w:spacing w:line="480" w:lineRule="exact"/>
        <w:rPr>
          <w:color w:val="auto"/>
          <w:szCs w:val="32"/>
          <w:highlight w:val="none"/>
        </w:rPr>
        <w:sectPr>
          <w:pgSz w:w="11906" w:h="16838"/>
          <w:pgMar w:top="1440" w:right="1588" w:bottom="1440" w:left="1440" w:header="1134" w:footer="851" w:gutter="0"/>
          <w:cols w:space="720" w:num="1"/>
          <w:docGrid w:type="linesAndChars" w:linePitch="574" w:charSpace="-1683"/>
        </w:sectPr>
      </w:pPr>
      <w:r>
        <w:rPr>
          <w:rFonts w:hint="eastAsia" w:ascii="Times New Roman" w:hAnsi="Times New Roman" w:eastAsia="宋体" w:cs="Times New Roman"/>
          <w:color w:val="auto"/>
          <w:szCs w:val="32"/>
          <w:highlight w:val="none"/>
        </w:rPr>
        <w:t>说明：</w:t>
      </w:r>
      <w:r>
        <w:rPr>
          <w:rFonts w:hint="eastAsia" w:ascii="Times New Roman" w:hAnsi="Times New Roman" w:eastAsia="宋体" w:cs="Times New Roman"/>
          <w:color w:val="auto"/>
          <w:szCs w:val="32"/>
          <w:highlight w:val="none"/>
          <w:lang w:val="en-US" w:eastAsia="zh-CN"/>
        </w:rPr>
        <w:t>保证保险</w:t>
      </w:r>
      <w:r>
        <w:rPr>
          <w:rFonts w:hint="eastAsia" w:ascii="Times New Roman" w:hAnsi="Times New Roman" w:eastAsia="宋体" w:cs="Times New Roman"/>
          <w:color w:val="auto"/>
          <w:szCs w:val="32"/>
          <w:highlight w:val="none"/>
        </w:rPr>
        <w:t>开立人可以根据项目具体情况</w:t>
      </w:r>
      <w:r>
        <w:rPr>
          <w:rFonts w:hint="eastAsia" w:ascii="Times New Roman" w:hAnsi="Times New Roman" w:eastAsia="宋体" w:cs="Times New Roman"/>
          <w:color w:val="auto"/>
          <w:szCs w:val="32"/>
          <w:highlight w:val="none"/>
          <w:lang w:val="en-US" w:eastAsia="zh-CN"/>
        </w:rPr>
        <w:t>调整</w:t>
      </w:r>
      <w:r>
        <w:rPr>
          <w:rFonts w:hint="eastAsia" w:ascii="Times New Roman" w:hAnsi="Times New Roman" w:eastAsia="宋体" w:cs="Times New Roman"/>
          <w:color w:val="auto"/>
          <w:szCs w:val="32"/>
          <w:highlight w:val="none"/>
        </w:rPr>
        <w:t>相关条款，但不得违背招标文件的实质性内容，以及相关法律法规的规定。</w:t>
      </w:r>
    </w:p>
    <w:p w14:paraId="3ACE6E84">
      <w:pPr>
        <w:widowControl/>
        <w:jc w:val="left"/>
        <w:rPr>
          <w:color w:val="auto"/>
          <w:highlight w:val="none"/>
        </w:rPr>
      </w:pPr>
    </w:p>
    <w:p w14:paraId="781C9A26">
      <w:pPr>
        <w:adjustRightInd w:val="0"/>
        <w:snapToGrid w:val="0"/>
        <w:jc w:val="center"/>
        <w:rPr>
          <w:rFonts w:eastAsia="黑体"/>
          <w:color w:val="auto"/>
          <w:sz w:val="30"/>
          <w:szCs w:val="30"/>
          <w:highlight w:val="none"/>
        </w:rPr>
      </w:pPr>
      <w:r>
        <w:rPr>
          <w:rFonts w:eastAsia="黑体"/>
          <w:color w:val="auto"/>
          <w:sz w:val="30"/>
          <w:szCs w:val="30"/>
          <w:highlight w:val="none"/>
        </w:rPr>
        <w:t>投标承诺</w:t>
      </w:r>
    </w:p>
    <w:p w14:paraId="52E065D2">
      <w:pPr>
        <w:adjustRightInd w:val="0"/>
        <w:snapToGrid w:val="0"/>
        <w:spacing w:line="480" w:lineRule="exact"/>
        <w:jc w:val="left"/>
        <w:rPr>
          <w:color w:val="auto"/>
          <w:sz w:val="24"/>
          <w:highlight w:val="none"/>
        </w:rPr>
      </w:pPr>
    </w:p>
    <w:p w14:paraId="6EBCA289">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14:paraId="0F30135C">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w:t>
      </w:r>
      <w:r>
        <w:rPr>
          <w:rFonts w:hint="eastAsia"/>
          <w:color w:val="auto"/>
          <w:szCs w:val="32"/>
          <w:highlight w:val="none"/>
        </w:rPr>
        <w:t>施工</w:t>
      </w:r>
      <w:r>
        <w:rPr>
          <w:color w:val="auto"/>
          <w:szCs w:val="32"/>
          <w:highlight w:val="none"/>
        </w:rPr>
        <w:t>招标投标，我方承诺严格按照《招标投标法》及其实施条例等法律法规和政策文件的要求，履行投标义务。</w:t>
      </w:r>
    </w:p>
    <w:p w14:paraId="10D05209">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14:paraId="77E1B541">
      <w:pPr>
        <w:adjustRightInd w:val="0"/>
        <w:snapToGrid w:val="0"/>
        <w:spacing w:line="480" w:lineRule="exact"/>
        <w:jc w:val="left"/>
        <w:rPr>
          <w:color w:val="auto"/>
          <w:szCs w:val="32"/>
          <w:highlight w:val="none"/>
        </w:rPr>
      </w:pPr>
    </w:p>
    <w:p w14:paraId="2876F882">
      <w:pPr>
        <w:adjustRightInd w:val="0"/>
        <w:snapToGrid w:val="0"/>
        <w:spacing w:line="480" w:lineRule="exact"/>
        <w:jc w:val="left"/>
        <w:rPr>
          <w:color w:val="auto"/>
          <w:szCs w:val="32"/>
          <w:highlight w:val="none"/>
        </w:rPr>
      </w:pPr>
    </w:p>
    <w:p w14:paraId="39F2F967">
      <w:pPr>
        <w:spacing w:line="480" w:lineRule="exact"/>
        <w:ind w:right="404" w:firstLine="2121" w:firstLineChars="1050"/>
        <w:rPr>
          <w:color w:val="auto"/>
          <w:szCs w:val="32"/>
          <w:highlight w:val="none"/>
        </w:rPr>
      </w:pPr>
      <w:r>
        <w:rPr>
          <w:color w:val="auto"/>
          <w:szCs w:val="32"/>
          <w:highlight w:val="none"/>
        </w:rPr>
        <w:t>投标人：</w:t>
      </w:r>
      <w:r>
        <w:rPr>
          <w:color w:val="auto"/>
          <w:szCs w:val="32"/>
          <w:highlight w:val="none"/>
          <w:u w:val="single"/>
        </w:rPr>
        <w:t xml:space="preserve">                         </w:t>
      </w:r>
      <w:r>
        <w:rPr>
          <w:color w:val="auto"/>
          <w:szCs w:val="32"/>
          <w:highlight w:val="none"/>
        </w:rPr>
        <w:t>（盖章）</w:t>
      </w:r>
    </w:p>
    <w:p w14:paraId="23315D0B">
      <w:pPr>
        <w:spacing w:line="480" w:lineRule="exact"/>
        <w:ind w:firstLine="2020" w:firstLineChars="1000"/>
        <w:rPr>
          <w:color w:val="auto"/>
          <w:szCs w:val="32"/>
          <w:highlight w:val="none"/>
        </w:rPr>
      </w:pPr>
      <w:r>
        <w:rPr>
          <w:color w:val="auto"/>
          <w:szCs w:val="32"/>
          <w:highlight w:val="none"/>
        </w:rPr>
        <w:t xml:space="preserve"> 法定代表人：</w:t>
      </w:r>
      <w:r>
        <w:rPr>
          <w:color w:val="auto"/>
          <w:szCs w:val="32"/>
          <w:highlight w:val="none"/>
          <w:u w:val="single"/>
        </w:rPr>
        <w:t xml:space="preserve">             </w:t>
      </w:r>
      <w:r>
        <w:rPr>
          <w:color w:val="auto"/>
          <w:szCs w:val="32"/>
          <w:highlight w:val="none"/>
        </w:rPr>
        <w:t>（签字或盖章）</w:t>
      </w:r>
    </w:p>
    <w:p w14:paraId="677B4EE2">
      <w:pPr>
        <w:spacing w:line="480" w:lineRule="exact"/>
        <w:ind w:firstLine="2121" w:firstLineChars="1050"/>
        <w:rPr>
          <w:color w:val="auto"/>
          <w:szCs w:val="32"/>
          <w:highlight w:val="none"/>
          <w:u w:val="single"/>
        </w:rPr>
      </w:pPr>
      <w:r>
        <w:rPr>
          <w:color w:val="auto"/>
          <w:szCs w:val="32"/>
          <w:highlight w:val="none"/>
        </w:rPr>
        <w:t>地址：</w:t>
      </w:r>
      <w:r>
        <w:rPr>
          <w:color w:val="auto"/>
          <w:szCs w:val="32"/>
          <w:highlight w:val="none"/>
          <w:u w:val="single"/>
        </w:rPr>
        <w:t xml:space="preserve">                                  </w:t>
      </w:r>
    </w:p>
    <w:p w14:paraId="43B0436F">
      <w:pPr>
        <w:spacing w:line="480" w:lineRule="exact"/>
        <w:ind w:firstLine="2121" w:firstLineChars="1050"/>
        <w:rPr>
          <w:color w:val="auto"/>
          <w:szCs w:val="32"/>
          <w:highlight w:val="none"/>
          <w:u w:val="single"/>
        </w:rPr>
      </w:pPr>
      <w:r>
        <w:rPr>
          <w:color w:val="auto"/>
          <w:szCs w:val="32"/>
          <w:highlight w:val="none"/>
        </w:rPr>
        <w:t>电话：</w:t>
      </w:r>
      <w:r>
        <w:rPr>
          <w:color w:val="auto"/>
          <w:szCs w:val="32"/>
          <w:highlight w:val="none"/>
          <w:u w:val="single"/>
        </w:rPr>
        <w:t xml:space="preserve">                     </w:t>
      </w:r>
    </w:p>
    <w:p w14:paraId="502041F8">
      <w:pPr>
        <w:spacing w:line="480" w:lineRule="exact"/>
        <w:ind w:firstLine="2121" w:firstLineChars="1050"/>
        <w:rPr>
          <w:color w:val="auto"/>
          <w:szCs w:val="32"/>
          <w:highlight w:val="none"/>
          <w:u w:val="single"/>
        </w:rPr>
      </w:pPr>
      <w:r>
        <w:rPr>
          <w:color w:val="auto"/>
          <w:szCs w:val="32"/>
          <w:highlight w:val="none"/>
        </w:rPr>
        <w:t>传真：</w:t>
      </w:r>
      <w:r>
        <w:rPr>
          <w:color w:val="auto"/>
          <w:szCs w:val="32"/>
          <w:highlight w:val="none"/>
          <w:u w:val="single"/>
        </w:rPr>
        <w:t xml:space="preserve">                     </w:t>
      </w:r>
    </w:p>
    <w:p w14:paraId="15364918">
      <w:pPr>
        <w:spacing w:line="480" w:lineRule="exact"/>
        <w:ind w:firstLine="707" w:firstLineChars="350"/>
        <w:rPr>
          <w:color w:val="auto"/>
          <w:szCs w:val="32"/>
          <w:highlight w:val="none"/>
        </w:rPr>
      </w:pPr>
    </w:p>
    <w:p w14:paraId="57D959B9">
      <w:pPr>
        <w:spacing w:line="480" w:lineRule="exact"/>
        <w:ind w:firstLine="2929" w:firstLineChars="1450"/>
        <w:rPr>
          <w:color w:val="auto"/>
          <w:szCs w:val="32"/>
          <w:highlight w:val="none"/>
        </w:rPr>
        <w:sectPr>
          <w:pgSz w:w="11906" w:h="16838"/>
          <w:pgMar w:top="1440" w:right="1440" w:bottom="1440" w:left="1440" w:header="1701" w:footer="1701" w:gutter="0"/>
          <w:cols w:space="720" w:num="1"/>
          <w:docGrid w:type="linesAndChars" w:linePitch="574" w:charSpace="-1683"/>
        </w:sect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36A641CE">
      <w:pPr>
        <w:pStyle w:val="6"/>
        <w:jc w:val="center"/>
        <w:rPr>
          <w:rFonts w:ascii="Times New Roman" w:hAnsi="Times New Roman" w:eastAsia="黑体"/>
          <w:b w:val="0"/>
          <w:bCs w:val="0"/>
          <w:color w:val="auto"/>
          <w:sz w:val="30"/>
          <w:highlight w:val="none"/>
        </w:rPr>
      </w:pPr>
      <w:bookmarkStart w:id="951" w:name="_Toc9178584"/>
      <w:bookmarkStart w:id="952" w:name="_Toc80006267"/>
      <w:bookmarkStart w:id="953" w:name="_Toc80006157"/>
      <w:bookmarkStart w:id="954" w:name="_Toc300678574"/>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项目管理机构</w:t>
      </w:r>
      <w:bookmarkEnd w:id="951"/>
      <w:bookmarkEnd w:id="952"/>
      <w:bookmarkEnd w:id="953"/>
      <w:bookmarkEnd w:id="954"/>
    </w:p>
    <w:p w14:paraId="222C3DF8">
      <w:pPr>
        <w:pStyle w:val="7"/>
        <w:jc w:val="center"/>
        <w:rPr>
          <w:rFonts w:eastAsia="黑体"/>
          <w:b w:val="0"/>
          <w:bCs w:val="0"/>
          <w:color w:val="auto"/>
          <w:sz w:val="28"/>
          <w:highlight w:val="none"/>
        </w:rPr>
      </w:pPr>
      <w:bookmarkStart w:id="955" w:name="_Toc80006158"/>
      <w:bookmarkStart w:id="956" w:name="_Toc79998444"/>
      <w:bookmarkStart w:id="957" w:name="_Toc80006268"/>
      <w:bookmarkStart w:id="958" w:name="_Toc79998888"/>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955"/>
      <w:bookmarkEnd w:id="956"/>
      <w:bookmarkEnd w:id="957"/>
      <w:bookmarkEnd w:id="958"/>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14:paraId="1551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14:paraId="3F9A7FA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39" w:type="dxa"/>
            <w:vMerge w:val="restart"/>
            <w:noWrap w:val="0"/>
            <w:vAlign w:val="center"/>
          </w:tcPr>
          <w:p w14:paraId="4B8873C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5576" w:type="dxa"/>
            <w:gridSpan w:val="5"/>
            <w:noWrap w:val="0"/>
            <w:vAlign w:val="center"/>
          </w:tcPr>
          <w:p w14:paraId="2B21A8F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执业或岗位资格证明</w:t>
            </w:r>
          </w:p>
        </w:tc>
        <w:tc>
          <w:tcPr>
            <w:tcW w:w="1510" w:type="dxa"/>
            <w:vMerge w:val="restart"/>
            <w:noWrap w:val="0"/>
            <w:vAlign w:val="center"/>
          </w:tcPr>
          <w:p w14:paraId="5141F6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拟在本项目担任的工作岗位</w:t>
            </w:r>
          </w:p>
        </w:tc>
      </w:tr>
      <w:tr w14:paraId="6A21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14:paraId="648EA7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vMerge w:val="continue"/>
            <w:noWrap w:val="0"/>
            <w:vAlign w:val="center"/>
          </w:tcPr>
          <w:p w14:paraId="3C25CE7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470D5FE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808" w:type="dxa"/>
            <w:noWrap w:val="0"/>
            <w:vAlign w:val="center"/>
          </w:tcPr>
          <w:p w14:paraId="40F0B88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852" w:type="dxa"/>
            <w:noWrap w:val="0"/>
            <w:vAlign w:val="center"/>
          </w:tcPr>
          <w:p w14:paraId="7749A4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724" w:type="dxa"/>
            <w:noWrap w:val="0"/>
            <w:vAlign w:val="center"/>
          </w:tcPr>
          <w:p w14:paraId="3150B3B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2127" w:type="dxa"/>
            <w:noWrap w:val="0"/>
            <w:vAlign w:val="center"/>
          </w:tcPr>
          <w:p w14:paraId="5CAA078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510" w:type="dxa"/>
            <w:vMerge w:val="continue"/>
            <w:noWrap w:val="0"/>
            <w:vAlign w:val="center"/>
          </w:tcPr>
          <w:p w14:paraId="215E04B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8A8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65B928E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0693DA2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12C6D8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3ECAB4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664FAE3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46EA6FC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6AE115B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0904AD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618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4C7F392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5A5D4F0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E6412E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790765D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438A4AA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1E79060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1E76B1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082C202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04F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0F27F9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0D28EE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793E27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20BF156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324D56A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5EBC9B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48DEDD2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0C4683D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D5B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21B94A4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56471E3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226BA66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7617862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6C70C3D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76FFE72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698E31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0260F1A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B41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702B9D6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0E1E1F6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7B64DFE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099B7FF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23FFBA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01391B1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4F7FB8B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7242612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582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136E83E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73B4929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271DC1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6E6686D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21D3016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3F4A241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62E17AD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57AA2EF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9741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388FD15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034562D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7C92540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4346656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4D37E1F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54715CB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46265FA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5C3E80A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10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6023451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07C0ED1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7251EAA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084C544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316F36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5C45A86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39C53FE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1D92D6F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199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02310CD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474F449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68F8EA1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566EC13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5789274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2249A4F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2ECF4DA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3CDDECD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7AE90E1E">
      <w:pPr>
        <w:ind w:firstLine="435"/>
        <w:rPr>
          <w:color w:val="auto"/>
          <w:szCs w:val="21"/>
          <w:highlight w:val="none"/>
        </w:rPr>
      </w:pPr>
      <w:r>
        <w:rPr>
          <w:rFonts w:hint="eastAsia"/>
          <w:color w:val="auto"/>
          <w:szCs w:val="21"/>
          <w:highlight w:val="none"/>
        </w:rPr>
        <w:t>说明</w:t>
      </w:r>
      <w:r>
        <w:rPr>
          <w:color w:val="auto"/>
          <w:szCs w:val="21"/>
          <w:highlight w:val="none"/>
        </w:rPr>
        <w:t>：项目管理机构人员是指项目经理。</w:t>
      </w:r>
    </w:p>
    <w:p w14:paraId="1BC1A477">
      <w:pPr>
        <w:pStyle w:val="7"/>
        <w:rPr>
          <w:rFonts w:eastAsia="黑体"/>
          <w:b w:val="0"/>
          <w:bCs w:val="0"/>
          <w:color w:val="auto"/>
          <w:sz w:val="28"/>
          <w:highlight w:val="none"/>
        </w:rPr>
      </w:pPr>
      <w:r>
        <w:rPr>
          <w:color w:val="auto"/>
          <w:szCs w:val="21"/>
          <w:highlight w:val="none"/>
        </w:rPr>
        <w:br w:type="page"/>
      </w:r>
      <w:bookmarkStart w:id="959" w:name="_Toc9178585"/>
      <w:bookmarkStart w:id="960" w:name="_Toc300678575"/>
    </w:p>
    <w:bookmarkEnd w:id="959"/>
    <w:bookmarkEnd w:id="960"/>
    <w:p w14:paraId="12BC1166">
      <w:pPr>
        <w:pStyle w:val="8"/>
        <w:jc w:val="center"/>
        <w:rPr>
          <w:b w:val="0"/>
          <w:color w:val="auto"/>
          <w:szCs w:val="21"/>
          <w:highlight w:val="none"/>
        </w:rPr>
      </w:pPr>
      <w:bookmarkStart w:id="961" w:name="_Toc80006269"/>
      <w:bookmarkStart w:id="962" w:name="_Toc300678576"/>
      <w:bookmarkStart w:id="963" w:name="_Toc80006159"/>
      <w:bookmarkStart w:id="964" w:name="_Toc79998445"/>
      <w:bookmarkStart w:id="965" w:name="_Toc79998889"/>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w:t>
      </w:r>
      <w:r>
        <w:rPr>
          <w:rFonts w:ascii="Times New Roman" w:hAnsi="Times New Roman" w:eastAsia="黑体" w:cs="Times New Roman"/>
          <w:b w:val="0"/>
          <w:bCs w:val="0"/>
          <w:color w:val="auto"/>
          <w:kern w:val="0"/>
          <w:sz w:val="28"/>
          <w:szCs w:val="24"/>
          <w:highlight w:val="none"/>
        </w:rPr>
        <w:t>拟任项目经理简历表</w:t>
      </w:r>
    </w:p>
    <w:bookmarkEnd w:id="961"/>
    <w:bookmarkEnd w:id="962"/>
    <w:bookmarkEnd w:id="963"/>
    <w:bookmarkEnd w:id="964"/>
    <w:bookmarkEnd w:id="965"/>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14:paraId="53CD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14:paraId="282C8C8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2169" w:type="dxa"/>
            <w:gridSpan w:val="2"/>
            <w:noWrap w:val="0"/>
            <w:vAlign w:val="center"/>
          </w:tcPr>
          <w:p w14:paraId="6533925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5" w:type="dxa"/>
            <w:noWrap w:val="0"/>
            <w:vAlign w:val="center"/>
          </w:tcPr>
          <w:p w14:paraId="06A513F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3715" w:type="dxa"/>
            <w:gridSpan w:val="2"/>
            <w:noWrap w:val="0"/>
            <w:vAlign w:val="center"/>
          </w:tcPr>
          <w:p w14:paraId="71E949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A09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14:paraId="1AD27A7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035" w:type="dxa"/>
            <w:noWrap w:val="0"/>
            <w:vAlign w:val="center"/>
          </w:tcPr>
          <w:p w14:paraId="4EE07C4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34" w:type="dxa"/>
            <w:noWrap w:val="0"/>
            <w:vAlign w:val="center"/>
          </w:tcPr>
          <w:p w14:paraId="4692484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275" w:type="dxa"/>
            <w:noWrap w:val="0"/>
            <w:vAlign w:val="center"/>
          </w:tcPr>
          <w:p w14:paraId="4D63CD4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2BA2CFC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拟在本工程任职</w:t>
            </w:r>
          </w:p>
        </w:tc>
        <w:tc>
          <w:tcPr>
            <w:tcW w:w="1872" w:type="dxa"/>
            <w:noWrap w:val="0"/>
            <w:vAlign w:val="center"/>
          </w:tcPr>
          <w:p w14:paraId="13D3087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r>
      <w:tr w14:paraId="2C8E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14:paraId="7FE9AC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注册建造师执业资格等级</w:t>
            </w:r>
          </w:p>
        </w:tc>
        <w:tc>
          <w:tcPr>
            <w:tcW w:w="1275" w:type="dxa"/>
            <w:noWrap w:val="0"/>
            <w:vAlign w:val="center"/>
          </w:tcPr>
          <w:p w14:paraId="46C004B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级</w:t>
            </w:r>
          </w:p>
        </w:tc>
        <w:tc>
          <w:tcPr>
            <w:tcW w:w="1843" w:type="dxa"/>
            <w:noWrap w:val="0"/>
            <w:vAlign w:val="center"/>
          </w:tcPr>
          <w:p w14:paraId="516A1A2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建造师专业</w:t>
            </w:r>
          </w:p>
        </w:tc>
        <w:tc>
          <w:tcPr>
            <w:tcW w:w="1872" w:type="dxa"/>
            <w:noWrap w:val="0"/>
            <w:vAlign w:val="center"/>
          </w:tcPr>
          <w:p w14:paraId="73566ED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17A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14:paraId="48BC963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安全生产考核合格证书证号</w:t>
            </w:r>
          </w:p>
        </w:tc>
        <w:tc>
          <w:tcPr>
            <w:tcW w:w="4990" w:type="dxa"/>
            <w:gridSpan w:val="3"/>
            <w:noWrap w:val="0"/>
            <w:vAlign w:val="center"/>
          </w:tcPr>
          <w:p w14:paraId="038700F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2D0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14:paraId="57F41BB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48A5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14:paraId="6412CC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起止时间</w:t>
            </w:r>
          </w:p>
        </w:tc>
        <w:tc>
          <w:tcPr>
            <w:tcW w:w="3444" w:type="dxa"/>
            <w:gridSpan w:val="3"/>
            <w:noWrap w:val="0"/>
            <w:vAlign w:val="center"/>
          </w:tcPr>
          <w:p w14:paraId="4AC8B16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参加过的类似项目名称</w:t>
            </w:r>
          </w:p>
        </w:tc>
        <w:tc>
          <w:tcPr>
            <w:tcW w:w="1843" w:type="dxa"/>
            <w:noWrap w:val="0"/>
            <w:vAlign w:val="center"/>
          </w:tcPr>
          <w:p w14:paraId="076DBEF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工程概况说明</w:t>
            </w:r>
          </w:p>
        </w:tc>
        <w:tc>
          <w:tcPr>
            <w:tcW w:w="1872" w:type="dxa"/>
            <w:noWrap w:val="0"/>
            <w:vAlign w:val="center"/>
          </w:tcPr>
          <w:p w14:paraId="4AD958A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1BAC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2E98F1C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4757028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2860FC6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5DCA02A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E0B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50D80C6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p w14:paraId="4A76172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11FFCD4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6E0037B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188368F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8DE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1C4E24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3D311E0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640FA1C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5A2C02A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F26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4" w:type="dxa"/>
            <w:gridSpan w:val="6"/>
            <w:noWrap w:val="0"/>
            <w:vAlign w:val="center"/>
          </w:tcPr>
          <w:p w14:paraId="56A2E69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获奖情况</w:t>
            </w:r>
          </w:p>
        </w:tc>
      </w:tr>
      <w:tr w14:paraId="2B83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61AB900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2447700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5A5C20B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72C46F4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789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5B06A46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04985CC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561BFD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7C9212D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7D0FDF53">
      <w:pPr>
        <w:spacing w:line="300" w:lineRule="auto"/>
        <w:jc w:val="left"/>
        <w:rPr>
          <w:color w:val="auto"/>
          <w:kern w:val="0"/>
          <w:sz w:val="18"/>
          <w:szCs w:val="18"/>
          <w:highlight w:val="none"/>
        </w:rPr>
      </w:pPr>
      <w:r>
        <w:rPr>
          <w:color w:val="auto"/>
          <w:kern w:val="0"/>
          <w:sz w:val="18"/>
          <w:szCs w:val="18"/>
          <w:highlight w:val="none"/>
        </w:rPr>
        <w:t xml:space="preserve">    </w:t>
      </w:r>
    </w:p>
    <w:p w14:paraId="5423502A">
      <w:pPr>
        <w:spacing w:line="360" w:lineRule="auto"/>
        <w:rPr>
          <w:color w:val="auto"/>
          <w:highlight w:val="none"/>
        </w:rPr>
      </w:pPr>
      <w:r>
        <w:rPr>
          <w:rFonts w:hint="eastAsia"/>
          <w:color w:val="auto"/>
          <w:highlight w:val="none"/>
        </w:rPr>
        <w:t>说明：</w:t>
      </w:r>
    </w:p>
    <w:p w14:paraId="5C0A29DF">
      <w:pPr>
        <w:ind w:firstLine="420" w:firstLineChars="200"/>
        <w:rPr>
          <w:color w:val="auto"/>
          <w:highlight w:val="none"/>
        </w:rPr>
      </w:pPr>
      <w:r>
        <w:rPr>
          <w:color w:val="auto"/>
          <w:highlight w:val="none"/>
        </w:rPr>
        <w:t>1.请提供拟任项目经理的建造师注册证书、项目负责人安全生产考核合格证书、身份证</w:t>
      </w:r>
      <w:r>
        <w:rPr>
          <w:rFonts w:hint="eastAsia"/>
          <w:color w:val="auto"/>
          <w:highlight w:val="none"/>
        </w:rPr>
        <w:t>的</w:t>
      </w:r>
      <w:r>
        <w:rPr>
          <w:color w:val="auto"/>
          <w:highlight w:val="none"/>
        </w:rPr>
        <w:t>复印件。</w:t>
      </w:r>
    </w:p>
    <w:p w14:paraId="57EFA653">
      <w:pPr>
        <w:ind w:firstLine="420" w:firstLineChars="200"/>
        <w:rPr>
          <w:color w:val="auto"/>
          <w:highlight w:val="none"/>
        </w:rPr>
      </w:pPr>
      <w:r>
        <w:rPr>
          <w:color w:val="auto"/>
          <w:highlight w:val="none"/>
        </w:rPr>
        <w:t>2.</w:t>
      </w:r>
      <w:r>
        <w:rPr>
          <w:rFonts w:hint="eastAsia"/>
          <w:color w:val="auto"/>
          <w:highlight w:val="none"/>
        </w:rPr>
        <w:t>拟任本招标项目的项目经理在其他项目担任项目经理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适用于：项目经理业绩、奖项加分的项目，且投标人在投标文件中已按招标文件规定提供符合加分的项目经理业绩或奖项证明材料的）</w:t>
      </w:r>
    </w:p>
    <w:p w14:paraId="1EF68DA4">
      <w:pPr>
        <w:ind w:firstLine="420" w:firstLineChars="200"/>
        <w:rPr>
          <w:rFonts w:hint="eastAsia"/>
          <w:color w:val="auto"/>
          <w:highlight w:val="none"/>
        </w:rPr>
      </w:pPr>
      <w:r>
        <w:rPr>
          <w:color w:val="auto"/>
          <w:highlight w:val="none"/>
        </w:rPr>
        <w:t>3</w:t>
      </w:r>
      <w:r>
        <w:rPr>
          <w:rFonts w:hint="eastAsia"/>
          <w:color w:val="auto"/>
          <w:highlight w:val="none"/>
        </w:rPr>
        <w:t>.类似工程业绩考核期限</w:t>
      </w:r>
      <w:r>
        <w:rPr>
          <w:rFonts w:hint="eastAsia"/>
          <w:color w:val="auto"/>
          <w:highlight w:val="none"/>
          <w:lang w:val="en-US" w:eastAsia="zh-CN"/>
        </w:rPr>
        <w:t>自投标截止之日前</w:t>
      </w:r>
      <w:r>
        <w:rPr>
          <w:rFonts w:hint="eastAsia"/>
          <w:color w:val="auto"/>
          <w:highlight w:val="none"/>
          <w:lang w:eastAsia="zh-CN"/>
        </w:rPr>
        <w:t>3年</w:t>
      </w:r>
      <w:r>
        <w:rPr>
          <w:rFonts w:hint="eastAsia"/>
          <w:color w:val="auto"/>
          <w:highlight w:val="none"/>
        </w:rPr>
        <w:t>，自竣工验收资料中建设单位签字之日起计算。类似工程业绩考核依据中竣工验收备案表未体现建设单位签字之日的以竣工验收备案表“竣工验收日期”栏中注明的时间为准）。</w:t>
      </w:r>
    </w:p>
    <w:p w14:paraId="6118CBDF">
      <w:pPr>
        <w:ind w:firstLine="420" w:firstLineChars="200"/>
        <w:rPr>
          <w:color w:val="auto"/>
          <w:highlight w:val="none"/>
        </w:rPr>
      </w:pPr>
      <w:r>
        <w:rPr>
          <w:color w:val="auto"/>
          <w:highlight w:val="none"/>
        </w:rPr>
        <w:t>4</w:t>
      </w:r>
      <w:r>
        <w:rPr>
          <w:rFonts w:hint="eastAsia"/>
          <w:color w:val="auto"/>
          <w:highlight w:val="none"/>
        </w:rPr>
        <w:t>.请附类似工程业绩证明资料（具体要求见本招标文件第二章投标人须知）。</w:t>
      </w:r>
    </w:p>
    <w:p w14:paraId="46D9D099">
      <w:pPr>
        <w:ind w:firstLine="420" w:firstLineChars="200"/>
        <w:rPr>
          <w:rFonts w:hint="eastAsia"/>
          <w:color w:val="auto"/>
          <w:highlight w:val="none"/>
        </w:rPr>
      </w:pPr>
      <w:r>
        <w:rPr>
          <w:color w:val="auto"/>
          <w:highlight w:val="none"/>
        </w:rPr>
        <w:t>5</w:t>
      </w:r>
      <w:r>
        <w:rPr>
          <w:rFonts w:hint="eastAsia"/>
          <w:color w:val="auto"/>
          <w:highlight w:val="none"/>
        </w:rPr>
        <w:t>.请附拟任项目经理奖项证明文件（关键页）复印件（具体要求见本招标文件第三章评标办法）。</w:t>
      </w:r>
    </w:p>
    <w:p w14:paraId="72F09C30">
      <w:pPr>
        <w:ind w:firstLine="420" w:firstLineChars="200"/>
        <w:rPr>
          <w:color w:val="auto"/>
          <w:highlight w:val="none"/>
        </w:rPr>
      </w:pPr>
    </w:p>
    <w:p w14:paraId="482A4BDE">
      <w:pPr>
        <w:ind w:firstLine="420" w:firstLineChars="200"/>
        <w:rPr>
          <w:color w:val="auto"/>
          <w:highlight w:val="none"/>
        </w:rPr>
      </w:pPr>
    </w:p>
    <w:p w14:paraId="7DB004BD">
      <w:pPr>
        <w:ind w:firstLine="420" w:firstLineChars="200"/>
        <w:rPr>
          <w:color w:val="auto"/>
          <w:highlight w:val="none"/>
        </w:rPr>
      </w:pPr>
    </w:p>
    <w:p w14:paraId="0124B5A3">
      <w:pPr>
        <w:ind w:firstLine="420" w:firstLineChars="200"/>
        <w:rPr>
          <w:color w:val="auto"/>
          <w:highlight w:val="none"/>
        </w:rPr>
      </w:pPr>
    </w:p>
    <w:p w14:paraId="545F3ABB">
      <w:pPr>
        <w:ind w:firstLine="420" w:firstLineChars="200"/>
        <w:rPr>
          <w:color w:val="auto"/>
          <w:highlight w:val="none"/>
        </w:rPr>
      </w:pPr>
    </w:p>
    <w:p w14:paraId="0AB449AE">
      <w:pPr>
        <w:ind w:firstLine="420" w:firstLineChars="200"/>
        <w:rPr>
          <w:rFonts w:hint="eastAsia"/>
          <w:color w:val="auto"/>
          <w:highlight w:val="none"/>
        </w:rPr>
      </w:pPr>
    </w:p>
    <w:p w14:paraId="637C0EC3">
      <w:pPr>
        <w:ind w:firstLine="420" w:firstLineChars="200"/>
        <w:rPr>
          <w:rFonts w:hint="eastAsia"/>
          <w:color w:val="auto"/>
          <w:highlight w:val="none"/>
        </w:rPr>
      </w:pPr>
    </w:p>
    <w:p w14:paraId="2E93B152">
      <w:pPr>
        <w:rPr>
          <w:rFonts w:eastAsia="黑体"/>
          <w:color w:val="auto"/>
          <w:sz w:val="30"/>
          <w:szCs w:val="30"/>
          <w:highlight w:val="none"/>
        </w:rPr>
      </w:pPr>
    </w:p>
    <w:p w14:paraId="5D73DDAA">
      <w:pPr>
        <w:rPr>
          <w:rFonts w:eastAsia="黑体"/>
          <w:color w:val="auto"/>
          <w:sz w:val="30"/>
          <w:szCs w:val="30"/>
          <w:highlight w:val="none"/>
        </w:rPr>
      </w:pPr>
    </w:p>
    <w:p w14:paraId="107EA5AD">
      <w:pPr>
        <w:pStyle w:val="2"/>
        <w:rPr>
          <w:color w:val="auto"/>
          <w:highlight w:val="none"/>
        </w:rPr>
      </w:pPr>
    </w:p>
    <w:p w14:paraId="5E8BECC9">
      <w:pPr>
        <w:spacing w:line="360" w:lineRule="auto"/>
        <w:ind w:firstLine="420" w:firstLineChars="200"/>
        <w:rPr>
          <w:rFonts w:hint="eastAsia"/>
          <w:color w:val="auto"/>
          <w:highlight w:val="none"/>
        </w:rPr>
      </w:pPr>
    </w:p>
    <w:p w14:paraId="2BC37D60">
      <w:pPr>
        <w:jc w:val="center"/>
        <w:rPr>
          <w:rFonts w:eastAsia="黑体"/>
          <w:color w:val="auto"/>
          <w:kern w:val="0"/>
          <w:sz w:val="28"/>
          <w:highlight w:val="none"/>
        </w:rPr>
      </w:pPr>
      <w:bookmarkStart w:id="966" w:name="_Toc300678578"/>
      <w:r>
        <w:rPr>
          <w:rFonts w:hint="eastAsia" w:eastAsia="黑体"/>
          <w:color w:val="auto"/>
          <w:kern w:val="0"/>
          <w:sz w:val="28"/>
          <w:highlight w:val="none"/>
        </w:rPr>
        <w:t>（3</w:t>
      </w:r>
      <w:r>
        <w:rPr>
          <w:rFonts w:eastAsia="黑体"/>
          <w:color w:val="auto"/>
          <w:kern w:val="0"/>
          <w:sz w:val="28"/>
          <w:highlight w:val="none"/>
        </w:rPr>
        <w:t>）</w:t>
      </w:r>
      <w:r>
        <w:rPr>
          <w:rFonts w:hint="eastAsia" w:eastAsia="黑体"/>
          <w:color w:val="auto"/>
          <w:kern w:val="0"/>
          <w:sz w:val="28"/>
          <w:highlight w:val="none"/>
        </w:rPr>
        <w:t>项目经理</w:t>
      </w:r>
      <w:r>
        <w:rPr>
          <w:rFonts w:eastAsia="黑体"/>
          <w:color w:val="auto"/>
          <w:kern w:val="0"/>
          <w:sz w:val="28"/>
          <w:highlight w:val="none"/>
        </w:rPr>
        <w:t>自评表</w:t>
      </w:r>
    </w:p>
    <w:tbl>
      <w:tblPr>
        <w:tblStyle w:val="4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4721"/>
        <w:gridCol w:w="2126"/>
      </w:tblGrid>
      <w:tr w14:paraId="7CFA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54" w:type="dxa"/>
            <w:gridSpan w:val="2"/>
            <w:noWrap w:val="0"/>
            <w:vAlign w:val="center"/>
          </w:tcPr>
          <w:p w14:paraId="45BA82B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评审内容</w:t>
            </w:r>
          </w:p>
          <w:p w14:paraId="064ACF4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（项目名称、奖项名称）</w:t>
            </w:r>
          </w:p>
        </w:tc>
        <w:tc>
          <w:tcPr>
            <w:tcW w:w="2126" w:type="dxa"/>
            <w:noWrap w:val="0"/>
            <w:vAlign w:val="center"/>
          </w:tcPr>
          <w:p w14:paraId="53A883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p w14:paraId="718DC3D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材料所在的页码</w:t>
            </w:r>
          </w:p>
        </w:tc>
      </w:tr>
      <w:tr w14:paraId="4262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333" w:type="dxa"/>
            <w:noWrap w:val="0"/>
            <w:vAlign w:val="center"/>
          </w:tcPr>
          <w:p w14:paraId="3F871F5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4721" w:type="dxa"/>
            <w:noWrap w:val="0"/>
            <w:vAlign w:val="top"/>
          </w:tcPr>
          <w:p w14:paraId="6351B46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6" w:type="dxa"/>
            <w:noWrap w:val="0"/>
            <w:vAlign w:val="top"/>
          </w:tcPr>
          <w:p w14:paraId="184D03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637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33" w:type="dxa"/>
            <w:vMerge w:val="restart"/>
            <w:noWrap w:val="0"/>
            <w:vAlign w:val="center"/>
          </w:tcPr>
          <w:p w14:paraId="4C80322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奖项</w:t>
            </w:r>
          </w:p>
        </w:tc>
        <w:tc>
          <w:tcPr>
            <w:tcW w:w="4721" w:type="dxa"/>
            <w:noWrap w:val="0"/>
            <w:vAlign w:val="top"/>
          </w:tcPr>
          <w:p w14:paraId="4FFAE2C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6" w:type="dxa"/>
            <w:noWrap w:val="0"/>
            <w:vAlign w:val="top"/>
          </w:tcPr>
          <w:p w14:paraId="7C11429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19D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3" w:type="dxa"/>
            <w:vMerge w:val="continue"/>
            <w:noWrap w:val="0"/>
            <w:vAlign w:val="center"/>
          </w:tcPr>
          <w:p w14:paraId="1AC0406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721" w:type="dxa"/>
            <w:noWrap w:val="0"/>
            <w:vAlign w:val="top"/>
          </w:tcPr>
          <w:p w14:paraId="78B77DD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14:paraId="1F28C78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1751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3" w:type="dxa"/>
            <w:vMerge w:val="restart"/>
            <w:noWrap w:val="0"/>
            <w:vAlign w:val="center"/>
          </w:tcPr>
          <w:p w14:paraId="632A452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不良信用信息</w:t>
            </w:r>
          </w:p>
        </w:tc>
        <w:tc>
          <w:tcPr>
            <w:tcW w:w="4721" w:type="dxa"/>
            <w:noWrap w:val="0"/>
            <w:vAlign w:val="top"/>
          </w:tcPr>
          <w:p w14:paraId="538F227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14:paraId="1B36541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2B9F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333" w:type="dxa"/>
            <w:vMerge w:val="continue"/>
            <w:noWrap w:val="0"/>
            <w:vAlign w:val="top"/>
          </w:tcPr>
          <w:p w14:paraId="5610DD7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721" w:type="dxa"/>
            <w:noWrap w:val="0"/>
            <w:vAlign w:val="top"/>
          </w:tcPr>
          <w:p w14:paraId="1C1F4F6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14:paraId="428DEF0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6DB0EE09">
      <w:pPr>
        <w:rPr>
          <w:rFonts w:hint="eastAsia"/>
          <w:color w:val="auto"/>
          <w:highlight w:val="none"/>
        </w:rPr>
      </w:pPr>
    </w:p>
    <w:bookmarkEnd w:id="966"/>
    <w:p w14:paraId="6C53AB08">
      <w:pPr>
        <w:rPr>
          <w:color w:val="auto"/>
          <w:highlight w:val="none"/>
        </w:rPr>
      </w:pPr>
      <w:bookmarkStart w:id="967" w:name="_Toc300678579"/>
    </w:p>
    <w:p w14:paraId="5191E64D">
      <w:pPr>
        <w:rPr>
          <w:color w:val="auto"/>
          <w:highlight w:val="none"/>
        </w:rPr>
      </w:pPr>
    </w:p>
    <w:p w14:paraId="082424FB">
      <w:pPr>
        <w:rPr>
          <w:color w:val="auto"/>
          <w:highlight w:val="none"/>
        </w:rPr>
      </w:pPr>
    </w:p>
    <w:p w14:paraId="6B4AA9A4">
      <w:pPr>
        <w:rPr>
          <w:color w:val="auto"/>
          <w:highlight w:val="none"/>
        </w:rPr>
      </w:pPr>
      <w:r>
        <w:rPr>
          <w:color w:val="auto"/>
          <w:highlight w:val="none"/>
        </w:rPr>
        <w:br w:type="page"/>
      </w:r>
    </w:p>
    <w:p w14:paraId="69CC19F8">
      <w:pPr>
        <w:pStyle w:val="6"/>
        <w:jc w:val="center"/>
        <w:rPr>
          <w:rFonts w:ascii="Times New Roman" w:hAnsi="Times New Roman" w:eastAsia="黑体"/>
          <w:b w:val="0"/>
          <w:bCs w:val="0"/>
          <w:color w:val="auto"/>
          <w:sz w:val="30"/>
          <w:szCs w:val="30"/>
          <w:highlight w:val="none"/>
        </w:rPr>
      </w:pPr>
      <w:bookmarkStart w:id="968" w:name="_Toc80006270"/>
      <w:bookmarkStart w:id="969" w:name="_Toc9178586"/>
      <w:bookmarkStart w:id="970" w:name="_Toc80006160"/>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967"/>
      <w:bookmarkEnd w:id="968"/>
      <w:bookmarkEnd w:id="969"/>
      <w:bookmarkEnd w:id="970"/>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14:paraId="5B54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207651C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15" w:type="dxa"/>
            <w:vMerge w:val="restart"/>
            <w:noWrap w:val="0"/>
            <w:vAlign w:val="center"/>
          </w:tcPr>
          <w:p w14:paraId="0DF0C2A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拟分包项目名称、范围及理由</w:t>
            </w:r>
          </w:p>
        </w:tc>
        <w:tc>
          <w:tcPr>
            <w:tcW w:w="4901" w:type="dxa"/>
            <w:gridSpan w:val="5"/>
            <w:noWrap w:val="0"/>
            <w:vAlign w:val="center"/>
          </w:tcPr>
          <w:p w14:paraId="1EF7231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拟选分包人</w:t>
            </w:r>
          </w:p>
        </w:tc>
        <w:tc>
          <w:tcPr>
            <w:tcW w:w="639" w:type="dxa"/>
            <w:vMerge w:val="restart"/>
            <w:noWrap w:val="0"/>
            <w:vAlign w:val="center"/>
          </w:tcPr>
          <w:p w14:paraId="2B8083E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299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2CD64B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7EE22B6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701" w:type="dxa"/>
            <w:gridSpan w:val="2"/>
            <w:noWrap w:val="0"/>
            <w:vAlign w:val="center"/>
          </w:tcPr>
          <w:p w14:paraId="2C881A4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拟选分包人名称</w:t>
            </w:r>
          </w:p>
        </w:tc>
        <w:tc>
          <w:tcPr>
            <w:tcW w:w="1070" w:type="dxa"/>
            <w:noWrap w:val="0"/>
            <w:vAlign w:val="center"/>
          </w:tcPr>
          <w:p w14:paraId="5CFCAD7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注册地点</w:t>
            </w:r>
          </w:p>
        </w:tc>
        <w:tc>
          <w:tcPr>
            <w:tcW w:w="1065" w:type="dxa"/>
            <w:noWrap w:val="0"/>
            <w:vAlign w:val="center"/>
          </w:tcPr>
          <w:p w14:paraId="6D2487D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w:t>
            </w:r>
          </w:p>
        </w:tc>
        <w:tc>
          <w:tcPr>
            <w:tcW w:w="1065" w:type="dxa"/>
            <w:noWrap w:val="0"/>
            <w:vAlign w:val="center"/>
          </w:tcPr>
          <w:p w14:paraId="2547581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有关业绩</w:t>
            </w:r>
          </w:p>
        </w:tc>
        <w:tc>
          <w:tcPr>
            <w:tcW w:w="639" w:type="dxa"/>
            <w:vMerge w:val="continue"/>
            <w:noWrap w:val="0"/>
            <w:vAlign w:val="center"/>
          </w:tcPr>
          <w:p w14:paraId="054BCEC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942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15D9852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14:paraId="1B1BB9E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79AB267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14:paraId="00AC8D6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31B4C89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1DCD2C1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7A404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7CB5F60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B1A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0C2241B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4FBBD8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5ADC9D5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14:paraId="7F92B5E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3C296E6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F539E3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7BF5797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EE852E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DB2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117F042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0EECAE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21ACAFD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14:paraId="4708A66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332629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42B4157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C1BC8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60D5415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C10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4A46F39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14:paraId="76B9AE1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1894D80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14:paraId="29D1801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117B68D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147AD6A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4228873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6FA7AA4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580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658C238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275F3E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5A6BA6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14:paraId="768DE5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3081B6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7B3D1C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1D1EB82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635AE8D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345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505B4D6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2326DFF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134C1C5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14:paraId="44D5119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52F1DE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6D3F745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2C0D111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5B5D716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F729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062B0C0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14:paraId="1F48D17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5EE4A7C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14:paraId="025CAA6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78495E0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DD8D73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80A920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4FA3F6B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014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1DDD132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2AE088E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26378CD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14:paraId="68A4CD3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0977487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2D8AB03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7E379C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79F2E97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A5AC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2513FA5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42AFAAC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367852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14:paraId="47F1310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5F957A9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6A40BEE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0ED451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7AB5694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4D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5F38DB8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14:paraId="7D50620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6929530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14:paraId="4597ADD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70F3642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6EF99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1FEB0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416574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9F6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529992D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1621F36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4CB7954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14:paraId="402D00A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410BD16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087A69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A8ABA8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6BB3CF8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F0D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6FEE88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36000AD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3B7B89F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14:paraId="41E6790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231490D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8FEFD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7B1BEA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18F960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09457690">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：本表所列分包仅限于承包人自行施工范围内的非主体、非关键工程。</w:t>
      </w:r>
    </w:p>
    <w:p w14:paraId="099257B0">
      <w:pPr>
        <w:spacing w:line="360" w:lineRule="auto"/>
        <w:ind w:right="420"/>
        <w:jc w:val="center"/>
        <w:rPr>
          <w:rFonts w:eastAsia="黑体"/>
          <w:b/>
          <w:bCs/>
          <w:color w:val="auto"/>
          <w:sz w:val="30"/>
          <w:highlight w:val="none"/>
        </w:rPr>
      </w:pPr>
      <w:bookmarkStart w:id="971" w:name="_Toc300678580"/>
      <w:r>
        <w:rPr>
          <w:rFonts w:eastAsia="黑体"/>
          <w:bCs/>
          <w:color w:val="auto"/>
          <w:sz w:val="28"/>
          <w:szCs w:val="28"/>
          <w:highlight w:val="none"/>
        </w:rPr>
        <w:br w:type="page"/>
      </w:r>
      <w:bookmarkStart w:id="972" w:name="_Toc9178587"/>
      <w:r>
        <w:rPr>
          <w:rFonts w:hint="eastAsia" w:eastAsia="黑体"/>
          <w:b w:val="0"/>
          <w:bCs w:val="0"/>
          <w:color w:val="auto"/>
          <w:sz w:val="30"/>
          <w:highlight w:val="none"/>
        </w:rPr>
        <w:t>8.</w:t>
      </w:r>
      <w:r>
        <w:rPr>
          <w:rFonts w:eastAsia="黑体"/>
          <w:b w:val="0"/>
          <w:bCs w:val="0"/>
          <w:color w:val="auto"/>
          <w:sz w:val="30"/>
          <w:highlight w:val="none"/>
        </w:rPr>
        <w:t>资格审查</w:t>
      </w:r>
      <w:r>
        <w:rPr>
          <w:rFonts w:hint="eastAsia" w:eastAsia="黑体"/>
          <w:b w:val="0"/>
          <w:bCs w:val="0"/>
          <w:color w:val="auto"/>
          <w:sz w:val="30"/>
          <w:highlight w:val="none"/>
        </w:rPr>
        <w:t>等</w:t>
      </w:r>
      <w:r>
        <w:rPr>
          <w:rFonts w:eastAsia="黑体"/>
          <w:b w:val="0"/>
          <w:bCs w:val="0"/>
          <w:color w:val="auto"/>
          <w:sz w:val="30"/>
          <w:highlight w:val="none"/>
        </w:rPr>
        <w:t>资料</w:t>
      </w:r>
      <w:bookmarkEnd w:id="971"/>
      <w:bookmarkEnd w:id="972"/>
    </w:p>
    <w:p w14:paraId="51C4BB6A">
      <w:pPr>
        <w:pStyle w:val="8"/>
        <w:ind w:firstLine="0" w:firstLineChars="0"/>
        <w:jc w:val="center"/>
        <w:rPr>
          <w:rFonts w:ascii="Times New Roman" w:hAnsi="Times New Roman" w:eastAsia="黑体"/>
          <w:b w:val="0"/>
          <w:bCs w:val="0"/>
          <w:color w:val="auto"/>
          <w:sz w:val="24"/>
          <w:highlight w:val="none"/>
        </w:rPr>
      </w:pPr>
      <w:bookmarkStart w:id="973"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973"/>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14:paraId="68D3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14ADA16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805" w:type="dxa"/>
            <w:gridSpan w:val="9"/>
            <w:noWrap w:val="0"/>
            <w:vAlign w:val="center"/>
          </w:tcPr>
          <w:p w14:paraId="796C174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728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BF14C4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389" w:type="dxa"/>
            <w:gridSpan w:val="5"/>
            <w:noWrap w:val="0"/>
            <w:vAlign w:val="center"/>
          </w:tcPr>
          <w:p w14:paraId="722E0C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14:paraId="6EE0206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170" w:type="dxa"/>
            <w:gridSpan w:val="3"/>
            <w:noWrap w:val="0"/>
            <w:vAlign w:val="center"/>
          </w:tcPr>
          <w:p w14:paraId="42B7B7B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128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14:paraId="563561C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897" w:type="dxa"/>
            <w:noWrap w:val="0"/>
            <w:vAlign w:val="center"/>
          </w:tcPr>
          <w:p w14:paraId="4BD1A05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492" w:type="dxa"/>
            <w:gridSpan w:val="4"/>
            <w:noWrap w:val="0"/>
            <w:vAlign w:val="center"/>
          </w:tcPr>
          <w:p w14:paraId="7C44860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14:paraId="0845159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170" w:type="dxa"/>
            <w:gridSpan w:val="3"/>
            <w:noWrap w:val="0"/>
            <w:vAlign w:val="center"/>
          </w:tcPr>
          <w:p w14:paraId="6CEBEE2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0F2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14:paraId="3282F6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97" w:type="dxa"/>
            <w:noWrap w:val="0"/>
            <w:vAlign w:val="center"/>
          </w:tcPr>
          <w:p w14:paraId="13BB12E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492" w:type="dxa"/>
            <w:gridSpan w:val="4"/>
            <w:noWrap w:val="0"/>
            <w:vAlign w:val="center"/>
          </w:tcPr>
          <w:p w14:paraId="27F7AD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14:paraId="0DA77E7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2170" w:type="dxa"/>
            <w:gridSpan w:val="3"/>
            <w:noWrap w:val="0"/>
            <w:vAlign w:val="center"/>
          </w:tcPr>
          <w:p w14:paraId="55FA758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202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1D07CB2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组织结构</w:t>
            </w:r>
          </w:p>
        </w:tc>
        <w:tc>
          <w:tcPr>
            <w:tcW w:w="6805" w:type="dxa"/>
            <w:gridSpan w:val="9"/>
            <w:noWrap w:val="0"/>
            <w:vAlign w:val="center"/>
          </w:tcPr>
          <w:p w14:paraId="406EC28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FB5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7F4DD76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897" w:type="dxa"/>
            <w:noWrap w:val="0"/>
            <w:vAlign w:val="center"/>
          </w:tcPr>
          <w:p w14:paraId="46E3223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1" w:type="dxa"/>
            <w:noWrap w:val="0"/>
            <w:vAlign w:val="center"/>
          </w:tcPr>
          <w:p w14:paraId="6820A9C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6" w:type="dxa"/>
            <w:gridSpan w:val="2"/>
            <w:noWrap w:val="0"/>
            <w:vAlign w:val="center"/>
          </w:tcPr>
          <w:p w14:paraId="7D3DDE4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noWrap w:val="0"/>
            <w:vAlign w:val="center"/>
          </w:tcPr>
          <w:p w14:paraId="0057477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09" w:type="dxa"/>
            <w:noWrap w:val="0"/>
            <w:vAlign w:val="center"/>
          </w:tcPr>
          <w:p w14:paraId="51E392D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01" w:type="dxa"/>
            <w:noWrap w:val="0"/>
            <w:vAlign w:val="center"/>
          </w:tcPr>
          <w:p w14:paraId="3EE0953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24F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4680D2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897" w:type="dxa"/>
            <w:noWrap w:val="0"/>
            <w:vAlign w:val="center"/>
          </w:tcPr>
          <w:p w14:paraId="7B6F1EB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1" w:type="dxa"/>
            <w:noWrap w:val="0"/>
            <w:vAlign w:val="center"/>
          </w:tcPr>
          <w:p w14:paraId="2F31CD7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6" w:type="dxa"/>
            <w:gridSpan w:val="2"/>
            <w:noWrap w:val="0"/>
            <w:vAlign w:val="center"/>
          </w:tcPr>
          <w:p w14:paraId="05B3F2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noWrap w:val="0"/>
            <w:vAlign w:val="center"/>
          </w:tcPr>
          <w:p w14:paraId="2B41D48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09" w:type="dxa"/>
            <w:noWrap w:val="0"/>
            <w:vAlign w:val="center"/>
          </w:tcPr>
          <w:p w14:paraId="1595436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01" w:type="dxa"/>
            <w:noWrap w:val="0"/>
            <w:vAlign w:val="center"/>
          </w:tcPr>
          <w:p w14:paraId="15768A1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5EF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173010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1918" w:type="dxa"/>
            <w:gridSpan w:val="2"/>
            <w:noWrap w:val="0"/>
            <w:vAlign w:val="center"/>
          </w:tcPr>
          <w:p w14:paraId="1E20F30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87" w:type="dxa"/>
            <w:gridSpan w:val="7"/>
            <w:noWrap w:val="0"/>
            <w:vAlign w:val="center"/>
          </w:tcPr>
          <w:p w14:paraId="5FAC4E9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14:paraId="5CBB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7789076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897" w:type="dxa"/>
            <w:noWrap w:val="0"/>
            <w:vAlign w:val="center"/>
          </w:tcPr>
          <w:p w14:paraId="2497925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0984FE7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restart"/>
            <w:noWrap w:val="0"/>
            <w:vAlign w:val="center"/>
          </w:tcPr>
          <w:p w14:paraId="44FE83B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1984" w:type="dxa"/>
            <w:gridSpan w:val="4"/>
            <w:noWrap w:val="0"/>
            <w:vAlign w:val="center"/>
          </w:tcPr>
          <w:p w14:paraId="1AE6330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项目经理人员</w:t>
            </w:r>
          </w:p>
        </w:tc>
        <w:tc>
          <w:tcPr>
            <w:tcW w:w="1910" w:type="dxa"/>
            <w:gridSpan w:val="2"/>
            <w:noWrap w:val="0"/>
            <w:vAlign w:val="center"/>
          </w:tcPr>
          <w:p w14:paraId="6DD3A29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53A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26955C9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897" w:type="dxa"/>
            <w:noWrap w:val="0"/>
            <w:vAlign w:val="center"/>
          </w:tcPr>
          <w:p w14:paraId="26707CC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5DE3B8D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14:paraId="1E6EBC7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14:paraId="72E25F6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1910" w:type="dxa"/>
            <w:gridSpan w:val="2"/>
            <w:noWrap w:val="0"/>
            <w:vAlign w:val="center"/>
          </w:tcPr>
          <w:p w14:paraId="3F7E700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8CF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7B4920E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897" w:type="dxa"/>
            <w:noWrap w:val="0"/>
            <w:vAlign w:val="center"/>
          </w:tcPr>
          <w:p w14:paraId="750E308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48D4DA0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14:paraId="0A039A6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14:paraId="0798892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1910" w:type="dxa"/>
            <w:gridSpan w:val="2"/>
            <w:noWrap w:val="0"/>
            <w:vAlign w:val="center"/>
          </w:tcPr>
          <w:p w14:paraId="643B41F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D4A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6E550DF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897" w:type="dxa"/>
            <w:noWrap w:val="0"/>
            <w:vAlign w:val="center"/>
          </w:tcPr>
          <w:p w14:paraId="1331671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4936B3B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14:paraId="21AA11B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14:paraId="0206E69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1910" w:type="dxa"/>
            <w:gridSpan w:val="2"/>
            <w:noWrap w:val="0"/>
            <w:vAlign w:val="center"/>
          </w:tcPr>
          <w:p w14:paraId="4F5F880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F66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55F73F7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897" w:type="dxa"/>
            <w:noWrap w:val="0"/>
            <w:vAlign w:val="center"/>
          </w:tcPr>
          <w:p w14:paraId="50DCD05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165CE9D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14:paraId="738C8B5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14:paraId="60DB477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  工</w:t>
            </w:r>
          </w:p>
        </w:tc>
        <w:tc>
          <w:tcPr>
            <w:tcW w:w="1910" w:type="dxa"/>
            <w:gridSpan w:val="2"/>
            <w:noWrap w:val="0"/>
            <w:vAlign w:val="center"/>
          </w:tcPr>
          <w:p w14:paraId="2CB8986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B8C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14:paraId="0705E35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6805" w:type="dxa"/>
            <w:gridSpan w:val="9"/>
            <w:noWrap w:val="0"/>
            <w:vAlign w:val="center"/>
          </w:tcPr>
          <w:p w14:paraId="55B0E9E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E81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14:paraId="4F589D4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805" w:type="dxa"/>
            <w:gridSpan w:val="9"/>
            <w:noWrap w:val="0"/>
            <w:vAlign w:val="center"/>
          </w:tcPr>
          <w:p w14:paraId="21F5773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2A8A2FD4">
      <w:pPr>
        <w:jc w:val="center"/>
        <w:rPr>
          <w:rFonts w:hint="eastAsia" w:ascii="宋体" w:hAnsi="宋体" w:cs="宋体"/>
          <w:color w:val="auto"/>
          <w:szCs w:val="21"/>
          <w:highlight w:val="none"/>
        </w:rPr>
      </w:pPr>
    </w:p>
    <w:p w14:paraId="783D9E7F">
      <w:pPr>
        <w:spacing w:line="300" w:lineRule="auto"/>
        <w:ind w:left="720" w:hanging="630" w:hangingChars="300"/>
        <w:rPr>
          <w:color w:val="auto"/>
          <w:sz w:val="18"/>
          <w:szCs w:val="18"/>
          <w:highlight w:val="none"/>
        </w:rPr>
      </w:pPr>
      <w:r>
        <w:rPr>
          <w:rFonts w:hint="eastAsia" w:ascii="宋体" w:hAnsi="宋体" w:cs="Arial"/>
          <w:color w:val="auto"/>
          <w:szCs w:val="21"/>
          <w:highlight w:val="none"/>
        </w:rPr>
        <w:t>说明：若以联合体形式投标的，则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均须分别填写《投标人基本情况表》</w:t>
      </w:r>
      <w:r>
        <w:rPr>
          <w:rFonts w:eastAsia="黑体"/>
          <w:color w:val="auto"/>
          <w:sz w:val="24"/>
          <w:highlight w:val="none"/>
        </w:rPr>
        <w:br w:type="page"/>
      </w:r>
    </w:p>
    <w:p w14:paraId="4CCE7F20">
      <w:pPr>
        <w:spacing w:line="300" w:lineRule="auto"/>
        <w:ind w:left="540" w:hanging="540" w:hangingChars="300"/>
        <w:rPr>
          <w:color w:val="auto"/>
          <w:sz w:val="18"/>
          <w:szCs w:val="18"/>
          <w:highlight w:val="none"/>
        </w:rPr>
      </w:pPr>
    </w:p>
    <w:p w14:paraId="70FBDFFA">
      <w:pPr>
        <w:pStyle w:val="8"/>
        <w:jc w:val="center"/>
        <w:rPr>
          <w:rFonts w:ascii="Times New Roman" w:hAnsi="Times New Roman" w:eastAsia="黑体"/>
          <w:b w:val="0"/>
          <w:bCs w:val="0"/>
          <w:color w:val="auto"/>
          <w:sz w:val="24"/>
          <w:highlight w:val="none"/>
        </w:rPr>
      </w:pPr>
      <w:bookmarkStart w:id="974"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14:paraId="787247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w:t>
      </w:r>
      <w:r>
        <w:rPr>
          <w:rFonts w:hint="eastAsia" w:ascii="宋体" w:hAnsi="宋体" w:cs="Arial"/>
          <w:color w:val="auto"/>
          <w:szCs w:val="21"/>
          <w:highlight w:val="none"/>
        </w:rPr>
        <w:t>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分别提供。</w:t>
      </w:r>
      <w:r>
        <w:rPr>
          <w:rFonts w:hint="eastAsia" w:ascii="Times New Roman" w:hAnsi="Times New Roman" w:eastAsia="宋体" w:cs="Times New Roman"/>
          <w:color w:val="auto"/>
          <w:szCs w:val="21"/>
          <w:highlight w:val="none"/>
        </w:rPr>
        <w:t>同时，请</w:t>
      </w:r>
      <w:r>
        <w:rPr>
          <w:rFonts w:ascii="Times New Roman" w:hAnsi="Times New Roman" w:eastAsia="宋体" w:cs="Times New Roman"/>
          <w:color w:val="auto"/>
          <w:highlight w:val="none"/>
        </w:rPr>
        <w:t>省外入湘企业</w:t>
      </w:r>
      <w:r>
        <w:rPr>
          <w:rFonts w:hint="eastAsia" w:ascii="Times New Roman" w:hAnsi="Times New Roman" w:eastAsia="宋体" w:cs="Times New Roman"/>
          <w:color w:val="auto"/>
          <w:highlight w:val="none"/>
        </w:rPr>
        <w:t>附在</w:t>
      </w:r>
      <w:r>
        <w:rPr>
          <w:rFonts w:ascii="Times New Roman" w:hAnsi="Times New Roman" w:eastAsia="宋体" w:cs="Times New Roman"/>
          <w:color w:val="auto"/>
          <w:highlight w:val="none"/>
        </w:rPr>
        <w:t xml:space="preserve"> “湖南省住房和城乡建设网” 进行基本信息登记</w:t>
      </w:r>
      <w:r>
        <w:rPr>
          <w:rFonts w:hint="eastAsia" w:ascii="Times New Roman" w:hAnsi="Times New Roman" w:eastAsia="宋体" w:cs="Times New Roman"/>
          <w:bCs/>
          <w:color w:val="auto"/>
          <w:highlight w:val="none"/>
        </w:rPr>
        <w:t>的网页</w:t>
      </w:r>
      <w:r>
        <w:rPr>
          <w:rFonts w:ascii="Times New Roman" w:hAnsi="Times New Roman" w:eastAsia="宋体" w:cs="Times New Roman"/>
          <w:bCs/>
          <w:color w:val="auto"/>
          <w:highlight w:val="none"/>
        </w:rPr>
        <w:t>截图</w:t>
      </w:r>
      <w:r>
        <w:rPr>
          <w:rFonts w:ascii="Times New Roman" w:hAnsi="Times New Roman" w:eastAsia="宋体" w:cs="Times New Roman"/>
          <w:color w:val="auto"/>
          <w:szCs w:val="21"/>
          <w:highlight w:val="none"/>
        </w:rPr>
        <w:t>。</w:t>
      </w:r>
    </w:p>
    <w:p w14:paraId="5890FA05">
      <w:pPr>
        <w:spacing w:line="360" w:lineRule="auto"/>
        <w:ind w:firstLine="525" w:firstLineChars="250"/>
        <w:rPr>
          <w:color w:val="auto"/>
          <w:szCs w:val="21"/>
          <w:highlight w:val="none"/>
        </w:rPr>
      </w:pPr>
    </w:p>
    <w:p w14:paraId="2F57F106">
      <w:pPr>
        <w:spacing w:line="360" w:lineRule="auto"/>
        <w:ind w:firstLine="525" w:firstLineChars="250"/>
        <w:rPr>
          <w:color w:val="auto"/>
          <w:szCs w:val="21"/>
          <w:highlight w:val="none"/>
        </w:rPr>
      </w:pPr>
    </w:p>
    <w:p w14:paraId="1F18C017">
      <w:pPr>
        <w:rPr>
          <w:rFonts w:eastAsia="黑体"/>
          <w:b/>
          <w:bCs/>
          <w:color w:val="auto"/>
          <w:sz w:val="24"/>
          <w:highlight w:val="none"/>
        </w:rPr>
      </w:pPr>
    </w:p>
    <w:p w14:paraId="50CCBC2B">
      <w:pPr>
        <w:rPr>
          <w:rFonts w:eastAsia="黑体"/>
          <w:b/>
          <w:bCs/>
          <w:color w:val="auto"/>
          <w:sz w:val="24"/>
          <w:highlight w:val="none"/>
        </w:rPr>
      </w:pPr>
    </w:p>
    <w:p w14:paraId="25CE8521">
      <w:pPr>
        <w:rPr>
          <w:rFonts w:eastAsia="黑体"/>
          <w:b/>
          <w:bCs/>
          <w:color w:val="auto"/>
          <w:sz w:val="24"/>
          <w:highlight w:val="none"/>
        </w:rPr>
      </w:pPr>
    </w:p>
    <w:p w14:paraId="08460B8B">
      <w:pPr>
        <w:rPr>
          <w:rFonts w:eastAsia="黑体"/>
          <w:b/>
          <w:bCs/>
          <w:color w:val="auto"/>
          <w:sz w:val="24"/>
          <w:highlight w:val="none"/>
        </w:rPr>
      </w:pPr>
    </w:p>
    <w:p w14:paraId="6D662481">
      <w:pPr>
        <w:rPr>
          <w:rFonts w:eastAsia="黑体"/>
          <w:b/>
          <w:bCs/>
          <w:color w:val="auto"/>
          <w:sz w:val="24"/>
          <w:highlight w:val="none"/>
        </w:rPr>
      </w:pPr>
    </w:p>
    <w:p w14:paraId="6C3E56AC">
      <w:pPr>
        <w:rPr>
          <w:rFonts w:eastAsia="黑体"/>
          <w:b/>
          <w:bCs/>
          <w:color w:val="auto"/>
          <w:sz w:val="24"/>
          <w:highlight w:val="none"/>
        </w:rPr>
      </w:pPr>
    </w:p>
    <w:p w14:paraId="013507A7">
      <w:pPr>
        <w:rPr>
          <w:rFonts w:eastAsia="黑体"/>
          <w:b/>
          <w:bCs/>
          <w:color w:val="auto"/>
          <w:sz w:val="24"/>
          <w:highlight w:val="none"/>
        </w:rPr>
      </w:pPr>
    </w:p>
    <w:p w14:paraId="5A5D89B4">
      <w:pPr>
        <w:rPr>
          <w:rFonts w:eastAsia="黑体"/>
          <w:b/>
          <w:bCs/>
          <w:color w:val="auto"/>
          <w:sz w:val="24"/>
          <w:highlight w:val="none"/>
        </w:rPr>
      </w:pPr>
    </w:p>
    <w:p w14:paraId="708FFEFE">
      <w:pPr>
        <w:rPr>
          <w:rFonts w:eastAsia="黑体"/>
          <w:b/>
          <w:bCs/>
          <w:color w:val="auto"/>
          <w:sz w:val="24"/>
          <w:highlight w:val="none"/>
        </w:rPr>
      </w:pPr>
    </w:p>
    <w:p w14:paraId="666219F9">
      <w:pPr>
        <w:rPr>
          <w:rFonts w:eastAsia="黑体"/>
          <w:b/>
          <w:bCs/>
          <w:color w:val="auto"/>
          <w:sz w:val="24"/>
          <w:highlight w:val="none"/>
        </w:rPr>
      </w:pPr>
    </w:p>
    <w:p w14:paraId="1ED0C864">
      <w:pPr>
        <w:rPr>
          <w:rFonts w:eastAsia="黑体"/>
          <w:b/>
          <w:bCs/>
          <w:color w:val="auto"/>
          <w:sz w:val="24"/>
          <w:highlight w:val="none"/>
        </w:rPr>
      </w:pPr>
    </w:p>
    <w:p w14:paraId="3916CF9E">
      <w:pPr>
        <w:rPr>
          <w:rFonts w:eastAsia="黑体"/>
          <w:b/>
          <w:bCs/>
          <w:color w:val="auto"/>
          <w:sz w:val="24"/>
          <w:highlight w:val="none"/>
        </w:rPr>
      </w:pPr>
    </w:p>
    <w:p w14:paraId="685AC79D">
      <w:pPr>
        <w:rPr>
          <w:rFonts w:eastAsia="黑体"/>
          <w:b/>
          <w:bCs/>
          <w:color w:val="auto"/>
          <w:sz w:val="24"/>
          <w:highlight w:val="none"/>
        </w:rPr>
      </w:pPr>
    </w:p>
    <w:p w14:paraId="210B54BE">
      <w:pPr>
        <w:rPr>
          <w:rFonts w:eastAsia="黑体"/>
          <w:b/>
          <w:bCs/>
          <w:color w:val="auto"/>
          <w:sz w:val="24"/>
          <w:highlight w:val="none"/>
        </w:rPr>
      </w:pPr>
    </w:p>
    <w:p w14:paraId="72ED7BA6">
      <w:pPr>
        <w:rPr>
          <w:rFonts w:eastAsia="黑体"/>
          <w:b/>
          <w:bCs/>
          <w:color w:val="auto"/>
          <w:sz w:val="24"/>
          <w:highlight w:val="none"/>
        </w:rPr>
      </w:pPr>
    </w:p>
    <w:p w14:paraId="2D05FE46">
      <w:pPr>
        <w:rPr>
          <w:rFonts w:eastAsia="黑体"/>
          <w:b/>
          <w:bCs/>
          <w:color w:val="auto"/>
          <w:sz w:val="24"/>
          <w:highlight w:val="none"/>
        </w:rPr>
      </w:pPr>
    </w:p>
    <w:p w14:paraId="6D3A6085">
      <w:pPr>
        <w:rPr>
          <w:rFonts w:eastAsia="黑体"/>
          <w:b/>
          <w:bCs/>
          <w:color w:val="auto"/>
          <w:sz w:val="24"/>
          <w:highlight w:val="none"/>
        </w:rPr>
      </w:pPr>
    </w:p>
    <w:p w14:paraId="0B36105D">
      <w:pPr>
        <w:rPr>
          <w:rFonts w:eastAsia="黑体"/>
          <w:b/>
          <w:bCs/>
          <w:color w:val="auto"/>
          <w:sz w:val="24"/>
          <w:highlight w:val="none"/>
        </w:rPr>
      </w:pPr>
    </w:p>
    <w:p w14:paraId="499026C0">
      <w:pPr>
        <w:rPr>
          <w:rFonts w:eastAsia="黑体"/>
          <w:b/>
          <w:bCs/>
          <w:color w:val="auto"/>
          <w:sz w:val="24"/>
          <w:highlight w:val="none"/>
        </w:rPr>
      </w:pPr>
    </w:p>
    <w:p w14:paraId="1D5A3589">
      <w:pPr>
        <w:rPr>
          <w:rFonts w:eastAsia="黑体"/>
          <w:b/>
          <w:bCs/>
          <w:color w:val="auto"/>
          <w:sz w:val="24"/>
          <w:highlight w:val="none"/>
        </w:rPr>
      </w:pPr>
    </w:p>
    <w:p w14:paraId="7C41F919">
      <w:pPr>
        <w:rPr>
          <w:rFonts w:eastAsia="黑体"/>
          <w:b/>
          <w:bCs/>
          <w:color w:val="auto"/>
          <w:sz w:val="24"/>
          <w:highlight w:val="none"/>
        </w:rPr>
      </w:pPr>
    </w:p>
    <w:p w14:paraId="5409C402">
      <w:pPr>
        <w:rPr>
          <w:rFonts w:eastAsia="黑体"/>
          <w:b/>
          <w:bCs/>
          <w:color w:val="auto"/>
          <w:sz w:val="24"/>
          <w:highlight w:val="none"/>
        </w:rPr>
      </w:pPr>
    </w:p>
    <w:p w14:paraId="25A62D30">
      <w:pPr>
        <w:rPr>
          <w:rFonts w:eastAsia="黑体"/>
          <w:b/>
          <w:bCs/>
          <w:color w:val="auto"/>
          <w:sz w:val="24"/>
          <w:highlight w:val="none"/>
        </w:rPr>
      </w:pPr>
    </w:p>
    <w:p w14:paraId="4D985E22">
      <w:pPr>
        <w:rPr>
          <w:rFonts w:eastAsia="黑体"/>
          <w:b/>
          <w:bCs/>
          <w:color w:val="auto"/>
          <w:sz w:val="24"/>
          <w:highlight w:val="none"/>
        </w:rPr>
      </w:pPr>
    </w:p>
    <w:p w14:paraId="0B08C165">
      <w:pPr>
        <w:rPr>
          <w:rFonts w:eastAsia="黑体"/>
          <w:b/>
          <w:bCs/>
          <w:color w:val="auto"/>
          <w:sz w:val="24"/>
          <w:highlight w:val="none"/>
        </w:rPr>
      </w:pPr>
    </w:p>
    <w:p w14:paraId="189700C4">
      <w:pPr>
        <w:rPr>
          <w:rFonts w:eastAsia="黑体"/>
          <w:b/>
          <w:bCs/>
          <w:color w:val="auto"/>
          <w:sz w:val="24"/>
          <w:highlight w:val="none"/>
        </w:rPr>
      </w:pPr>
    </w:p>
    <w:p w14:paraId="7DCB7204">
      <w:pPr>
        <w:rPr>
          <w:rFonts w:eastAsia="黑体"/>
          <w:b/>
          <w:bCs/>
          <w:color w:val="auto"/>
          <w:sz w:val="24"/>
          <w:highlight w:val="none"/>
        </w:rPr>
        <w:sectPr>
          <w:pgSz w:w="11907" w:h="16840"/>
          <w:pgMar w:top="1418" w:right="1418" w:bottom="1418" w:left="1418" w:header="851" w:footer="992" w:gutter="0"/>
          <w:cols w:space="720" w:num="1"/>
          <w:docGrid w:linePitch="326" w:charSpace="0"/>
        </w:sectPr>
      </w:pPr>
    </w:p>
    <w:p w14:paraId="5F1BD71F">
      <w:pPr>
        <w:pStyle w:val="8"/>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974"/>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14:paraId="6E75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noWrap w:val="0"/>
            <w:vAlign w:val="center"/>
          </w:tcPr>
          <w:p w14:paraId="48EB86A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932" w:type="dxa"/>
            <w:noWrap w:val="0"/>
            <w:vAlign w:val="center"/>
          </w:tcPr>
          <w:p w14:paraId="2CD8B7D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CE8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C12C93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5932" w:type="dxa"/>
            <w:noWrap w:val="0"/>
            <w:vAlign w:val="center"/>
          </w:tcPr>
          <w:p w14:paraId="67617D7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C30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312FB2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5932" w:type="dxa"/>
            <w:noWrap w:val="0"/>
            <w:vAlign w:val="center"/>
          </w:tcPr>
          <w:p w14:paraId="1774480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0AC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160F84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5932" w:type="dxa"/>
            <w:noWrap w:val="0"/>
            <w:vAlign w:val="center"/>
          </w:tcPr>
          <w:p w14:paraId="70302E6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26C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31FD47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发包人联系人及电话</w:t>
            </w:r>
          </w:p>
        </w:tc>
        <w:tc>
          <w:tcPr>
            <w:tcW w:w="5932" w:type="dxa"/>
            <w:noWrap w:val="0"/>
            <w:vAlign w:val="center"/>
          </w:tcPr>
          <w:p w14:paraId="7205222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F21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D17090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合同价格</w:t>
            </w:r>
          </w:p>
        </w:tc>
        <w:tc>
          <w:tcPr>
            <w:tcW w:w="5932" w:type="dxa"/>
            <w:noWrap w:val="0"/>
            <w:vAlign w:val="center"/>
          </w:tcPr>
          <w:p w14:paraId="1C386E9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C56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F2374E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5932" w:type="dxa"/>
            <w:noWrap w:val="0"/>
            <w:vAlign w:val="center"/>
          </w:tcPr>
          <w:p w14:paraId="21115CD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5AC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2AF693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c>
          <w:tcPr>
            <w:tcW w:w="5932" w:type="dxa"/>
            <w:noWrap w:val="0"/>
            <w:vAlign w:val="center"/>
          </w:tcPr>
          <w:p w14:paraId="3698DCA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101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4E7C8C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5932" w:type="dxa"/>
            <w:noWrap w:val="0"/>
            <w:vAlign w:val="center"/>
          </w:tcPr>
          <w:p w14:paraId="45C4EA1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0F3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CD49B2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5932" w:type="dxa"/>
            <w:noWrap w:val="0"/>
            <w:vAlign w:val="center"/>
          </w:tcPr>
          <w:p w14:paraId="5BC261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CBF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C2405C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5932" w:type="dxa"/>
            <w:noWrap w:val="0"/>
            <w:vAlign w:val="center"/>
          </w:tcPr>
          <w:p w14:paraId="5AB94C5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419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2EAE46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5932" w:type="dxa"/>
            <w:noWrap w:val="0"/>
            <w:vAlign w:val="center"/>
          </w:tcPr>
          <w:p w14:paraId="4C0B147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52D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882BD0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总监理工程师及电话</w:t>
            </w:r>
          </w:p>
        </w:tc>
        <w:tc>
          <w:tcPr>
            <w:tcW w:w="5932" w:type="dxa"/>
            <w:noWrap w:val="0"/>
            <w:vAlign w:val="center"/>
          </w:tcPr>
          <w:p w14:paraId="3DFB58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8C0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noWrap w:val="0"/>
            <w:vAlign w:val="center"/>
          </w:tcPr>
          <w:p w14:paraId="18CEC97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5932" w:type="dxa"/>
            <w:noWrap w:val="0"/>
            <w:vAlign w:val="center"/>
          </w:tcPr>
          <w:p w14:paraId="55CB158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307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838F43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5932" w:type="dxa"/>
            <w:noWrap w:val="0"/>
            <w:vAlign w:val="center"/>
          </w:tcPr>
          <w:p w14:paraId="23A0580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780B09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说明：</w:t>
      </w:r>
      <w:bookmarkStart w:id="975" w:name="_Hlk75203509"/>
    </w:p>
    <w:p w14:paraId="3598E7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1.类似工程业绩考核期限</w:t>
      </w:r>
      <w:r>
        <w:rPr>
          <w:rFonts w:hint="eastAsia"/>
          <w:color w:val="auto"/>
          <w:szCs w:val="21"/>
          <w:highlight w:val="none"/>
          <w:lang w:val="en-US" w:eastAsia="zh-CN"/>
        </w:rPr>
        <w:t>自投标截止之日前</w:t>
      </w:r>
      <w:r>
        <w:rPr>
          <w:rFonts w:hint="eastAsia"/>
          <w:color w:val="auto"/>
          <w:szCs w:val="21"/>
          <w:highlight w:val="none"/>
          <w:lang w:eastAsia="zh-CN"/>
        </w:rPr>
        <w:t>3年</w:t>
      </w:r>
      <w:r>
        <w:rPr>
          <w:rFonts w:hint="eastAsia"/>
          <w:color w:val="auto"/>
          <w:szCs w:val="21"/>
          <w:highlight w:val="none"/>
        </w:rPr>
        <w:t>，自竣工验收资料中建设单位签字之日起计算。类似工程业绩考核依据中竣工验收备案表未体现建设单位签字之日的以竣工验收备案表“竣工验收日期”栏中注明的时间为准）。</w:t>
      </w:r>
    </w:p>
    <w:p w14:paraId="4351E7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 请附类似工程业绩证明资料（具体要求见本招标文件第二章投标人须知）。</w:t>
      </w:r>
      <w:bookmarkStart w:id="976" w:name="_Toc300678584"/>
    </w:p>
    <w:bookmarkEnd w:id="975"/>
    <w:bookmarkEnd w:id="976"/>
    <w:p w14:paraId="52D1A64F">
      <w:pPr>
        <w:spacing w:line="400" w:lineRule="exact"/>
        <w:rPr>
          <w:color w:val="auto"/>
          <w:szCs w:val="21"/>
          <w:highlight w:val="none"/>
        </w:rPr>
      </w:pPr>
    </w:p>
    <w:p w14:paraId="1CA95880">
      <w:pPr>
        <w:rPr>
          <w:color w:val="auto"/>
          <w:highlight w:val="none"/>
          <w:lang w:val="zh-CN"/>
        </w:rPr>
      </w:pPr>
      <w:r>
        <w:rPr>
          <w:color w:val="auto"/>
          <w:szCs w:val="21"/>
          <w:highlight w:val="none"/>
        </w:rPr>
        <w:br w:type="page"/>
      </w:r>
    </w:p>
    <w:p w14:paraId="1CE0575C">
      <w:pPr>
        <w:pStyle w:val="8"/>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4</w:t>
      </w:r>
      <w:r>
        <w:rPr>
          <w:rFonts w:hint="eastAsia" w:ascii="Times New Roman" w:hAnsi="Times New Roman" w:eastAsia="黑体"/>
          <w:b w:val="0"/>
          <w:bCs w:val="0"/>
          <w:color w:val="auto"/>
          <w:sz w:val="24"/>
          <w:highlight w:val="none"/>
        </w:rPr>
        <w:t>）</w:t>
      </w:r>
      <w:bookmarkStart w:id="977" w:name="_Hlk53732994"/>
      <w:r>
        <w:rPr>
          <w:rFonts w:hint="eastAsia" w:ascii="Times New Roman" w:hAnsi="Times New Roman" w:eastAsia="黑体"/>
          <w:b w:val="0"/>
          <w:bCs w:val="0"/>
          <w:color w:val="auto"/>
          <w:sz w:val="24"/>
          <w:highlight w:val="none"/>
        </w:rPr>
        <w:t>投标人奖项情况</w:t>
      </w:r>
      <w:bookmarkEnd w:id="977"/>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14:paraId="4385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14:paraId="35A6804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14:paraId="0DF9E42C">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14:paraId="390A0E80">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14:paraId="6453D26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14:paraId="0A66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14:paraId="5059D13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760B9A10">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330A513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0F268F15">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7AD0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14:paraId="62B9C5B8">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78968977">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4CF474E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4C85D070">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7D6D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14:paraId="58EADA92">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32E439C8">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567D2D39">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228DCA8D">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14:paraId="4F7654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注：</w:t>
      </w:r>
    </w:p>
    <w:p w14:paraId="1BDF4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请附奖项证明资料复印件（具体要求见本招标文件第三章评标办法）</w:t>
      </w:r>
      <w:r>
        <w:rPr>
          <w:rFonts w:hint="eastAsia"/>
          <w:color w:val="auto"/>
          <w:szCs w:val="21"/>
          <w:highlight w:val="none"/>
          <w:lang w:eastAsia="zh-CN"/>
        </w:rPr>
        <w:t>；</w:t>
      </w:r>
    </w:p>
    <w:p w14:paraId="74C4E2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2.省</w:t>
      </w:r>
      <w:r>
        <w:rPr>
          <w:rFonts w:hint="eastAsia"/>
          <w:color w:val="auto"/>
          <w:szCs w:val="21"/>
          <w:highlight w:val="none"/>
        </w:rPr>
        <w:t>外由省级建设行政主管部门或省级建筑业协会评定的综合工程质量奖项，</w:t>
      </w:r>
      <w:r>
        <w:rPr>
          <w:rFonts w:hint="eastAsia"/>
          <w:color w:val="auto"/>
          <w:szCs w:val="21"/>
          <w:highlight w:val="none"/>
          <w:lang w:val="en-US" w:eastAsia="zh-CN"/>
        </w:rPr>
        <w:t>须提供</w:t>
      </w:r>
      <w:r>
        <w:rPr>
          <w:rFonts w:hint="eastAsia"/>
          <w:color w:val="auto"/>
          <w:szCs w:val="21"/>
          <w:highlight w:val="none"/>
        </w:rPr>
        <w:t>当地省级建设行政主管部门发布的评标办法</w:t>
      </w:r>
      <w:r>
        <w:rPr>
          <w:rFonts w:hint="eastAsia"/>
          <w:color w:val="auto"/>
          <w:szCs w:val="21"/>
          <w:highlight w:val="none"/>
          <w:lang w:val="en-US" w:eastAsia="zh-CN"/>
        </w:rPr>
        <w:t>文件复印件及官网查询截图</w:t>
      </w:r>
      <w:r>
        <w:rPr>
          <w:rFonts w:hint="eastAsia"/>
          <w:color w:val="auto"/>
          <w:szCs w:val="21"/>
          <w:highlight w:val="none"/>
        </w:rPr>
        <w:t>。</w:t>
      </w:r>
      <w:r>
        <w:rPr>
          <w:rFonts w:hint="eastAsia"/>
          <w:color w:val="auto"/>
          <w:szCs w:val="21"/>
          <w:highlight w:val="none"/>
          <w:lang w:val="en-US" w:eastAsia="zh-CN"/>
        </w:rPr>
        <w:t>证明</w:t>
      </w:r>
      <w:r>
        <w:rPr>
          <w:rFonts w:hint="eastAsia"/>
          <w:color w:val="auto"/>
          <w:szCs w:val="21"/>
          <w:highlight w:val="none"/>
        </w:rPr>
        <w:t>每年该综合工程质量奖项数量控制在 100 项以内 (含)的</w:t>
      </w:r>
      <w:r>
        <w:rPr>
          <w:rFonts w:hint="eastAsia"/>
          <w:color w:val="auto"/>
          <w:szCs w:val="21"/>
          <w:highlight w:val="none"/>
          <w:lang w:val="en-US" w:eastAsia="zh-CN"/>
        </w:rPr>
        <w:t>文件复印件（如有）</w:t>
      </w:r>
      <w:r>
        <w:rPr>
          <w:rFonts w:hint="eastAsia"/>
          <w:color w:val="auto"/>
          <w:szCs w:val="21"/>
          <w:highlight w:val="none"/>
          <w:lang w:eastAsia="zh-CN"/>
        </w:rPr>
        <w:t>；</w:t>
      </w:r>
    </w:p>
    <w:p w14:paraId="60F1AA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获奖文件能够分辨专业类别的，以获奖文件为准；获奖文件中无法分辨专业类别的，</w:t>
      </w:r>
      <w:r>
        <w:rPr>
          <w:rFonts w:hint="eastAsia"/>
          <w:color w:val="auto"/>
          <w:szCs w:val="21"/>
          <w:highlight w:val="none"/>
          <w:lang w:val="en-US" w:eastAsia="zh-CN"/>
        </w:rPr>
        <w:t>须提供</w:t>
      </w:r>
      <w:r>
        <w:rPr>
          <w:rFonts w:hint="eastAsia"/>
          <w:color w:val="auto"/>
          <w:szCs w:val="21"/>
          <w:highlight w:val="none"/>
        </w:rPr>
        <w:t>奖项申报材料（省级相应行政主管部门、省级协会盖章的相应材料）；仍然无法辨别专业类别的，须提供获奖项目的中标通知书或合同作为证明材料。</w:t>
      </w:r>
    </w:p>
    <w:p w14:paraId="52B75B74">
      <w:pPr>
        <w:rPr>
          <w:color w:val="auto"/>
          <w:highlight w:val="none"/>
        </w:rPr>
      </w:pPr>
    </w:p>
    <w:p w14:paraId="6C749113">
      <w:pPr>
        <w:rPr>
          <w:color w:val="auto"/>
          <w:highlight w:val="none"/>
        </w:rPr>
      </w:pPr>
    </w:p>
    <w:p w14:paraId="49A59F65">
      <w:pPr>
        <w:pStyle w:val="8"/>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5</w:t>
      </w:r>
      <w:r>
        <w:rPr>
          <w:rFonts w:hint="eastAsia" w:ascii="Times New Roman" w:hAnsi="Times New Roman" w:eastAsia="黑体"/>
          <w:b w:val="0"/>
          <w:bCs w:val="0"/>
          <w:color w:val="auto"/>
          <w:sz w:val="24"/>
          <w:highlight w:val="none"/>
        </w:rPr>
        <w:t>）投标人标准化工地情况</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14:paraId="43BA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14:paraId="78FD17F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14:paraId="13804AD1">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14:paraId="1AD3D82D">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标准化工地名称</w:t>
            </w:r>
          </w:p>
        </w:tc>
        <w:tc>
          <w:tcPr>
            <w:tcW w:w="2322" w:type="dxa"/>
            <w:noWrap w:val="0"/>
            <w:vAlign w:val="center"/>
          </w:tcPr>
          <w:p w14:paraId="7A202407">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获得时间</w:t>
            </w:r>
          </w:p>
        </w:tc>
      </w:tr>
      <w:tr w14:paraId="610C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14:paraId="1E76B8EA">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2393F302">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165A75A3">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231A8607">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4012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14:paraId="5F6F0C1F">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55784675">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23156D51">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1226A015">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200D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14:paraId="39249313">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0C7D30BC">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774B7D47">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2F982E3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14:paraId="45721A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注：</w:t>
      </w:r>
      <w:r>
        <w:rPr>
          <w:rFonts w:hint="eastAsia"/>
          <w:color w:val="auto"/>
          <w:szCs w:val="21"/>
          <w:highlight w:val="none"/>
        </w:rPr>
        <w:t>请附标准化工地证明资料复印件（具体要求见本招标文件第三章评标办法）。</w:t>
      </w:r>
    </w:p>
    <w:p w14:paraId="5E21E8C4">
      <w:pPr>
        <w:rPr>
          <w:color w:val="auto"/>
          <w:highlight w:val="none"/>
        </w:rPr>
      </w:pPr>
    </w:p>
    <w:p w14:paraId="3C02C083">
      <w:pPr>
        <w:rPr>
          <w:color w:val="auto"/>
          <w:highlight w:val="none"/>
        </w:rPr>
      </w:pPr>
    </w:p>
    <w:p w14:paraId="495B99F5">
      <w:pPr>
        <w:rPr>
          <w:rFonts w:hint="eastAsia"/>
          <w:color w:val="auto"/>
          <w:highlight w:val="none"/>
        </w:rPr>
      </w:pPr>
    </w:p>
    <w:p w14:paraId="012190DE">
      <w:pPr>
        <w:pStyle w:val="8"/>
        <w:jc w:val="both"/>
        <w:rPr>
          <w:rFonts w:hint="eastAsia"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bookmarkStart w:id="978" w:name="_Hlk53733018"/>
      <w:r>
        <w:rPr>
          <w:rFonts w:hint="eastAsia" w:ascii="Times New Roman" w:hAnsi="Times New Roman" w:eastAsia="黑体"/>
          <w:b w:val="0"/>
          <w:bCs w:val="0"/>
          <w:color w:val="auto"/>
          <w:sz w:val="24"/>
          <w:highlight w:val="none"/>
        </w:rPr>
        <w:t>（6）投标人信用评价情况</w:t>
      </w:r>
      <w:bookmarkEnd w:id="978"/>
    </w:p>
    <w:p w14:paraId="19ECBD17">
      <w:pPr>
        <w:ind w:firstLine="435"/>
        <w:rPr>
          <w:rFonts w:hint="eastAsia"/>
          <w:color w:val="auto"/>
          <w:szCs w:val="21"/>
          <w:highlight w:val="none"/>
        </w:rPr>
      </w:pPr>
    </w:p>
    <w:tbl>
      <w:tblPr>
        <w:tblStyle w:val="40"/>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14:paraId="242B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14:paraId="4AB75C52">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14:paraId="6721A581">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14:paraId="206170D6">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w:t>
            </w:r>
            <w:r>
              <w:rPr>
                <w:rFonts w:hint="eastAsia" w:ascii="Calibri" w:hAnsi="Calibri" w:cs="Calibri"/>
                <w:color w:val="auto"/>
                <w:szCs w:val="21"/>
                <w:highlight w:val="none"/>
                <w:lang w:eastAsia="zh-CN"/>
              </w:rPr>
              <w:t>告</w:t>
            </w:r>
            <w:r>
              <w:rPr>
                <w:rFonts w:hint="eastAsia" w:ascii="Calibri" w:hAnsi="Calibri" w:cs="Calibri"/>
                <w:color w:val="auto"/>
                <w:szCs w:val="21"/>
                <w:highlight w:val="none"/>
              </w:rPr>
              <w:t>的信用评价结果</w:t>
            </w:r>
          </w:p>
          <w:p w14:paraId="67E6C3F6">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14:paraId="22BBAF92">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14:paraId="4ED2FB43">
            <w:pPr>
              <w:keepNext w:val="0"/>
              <w:keepLines w:val="0"/>
              <w:suppressLineNumbers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上查询的信用评价结果详细信息网页截图</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省外企业无施工单位信用评价查询结果的，可以提供注册地省级住房和城乡建设部门提供的施工单位信用评价结果（百分制）作为评审依据。</w:t>
            </w:r>
          </w:p>
        </w:tc>
      </w:tr>
      <w:tr w14:paraId="60D5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14:paraId="0CE4A0C9">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14:paraId="10EF79BF">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未参加信用评价的投标人</w:t>
            </w:r>
          </w:p>
        </w:tc>
        <w:tc>
          <w:tcPr>
            <w:tcW w:w="5953" w:type="dxa"/>
            <w:noWrap w:val="0"/>
            <w:vAlign w:val="top"/>
          </w:tcPr>
          <w:p w14:paraId="50B78C28">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14:paraId="38A22248">
            <w:pPr>
              <w:keepNext w:val="0"/>
              <w:keepLines w:val="0"/>
              <w:suppressLineNumbers w:val="0"/>
              <w:spacing w:before="0" w:beforeAutospacing="0" w:after="0" w:afterAutospacing="0"/>
              <w:ind w:left="0" w:right="0"/>
              <w:rPr>
                <w:rFonts w:hint="default" w:ascii="Calibri" w:hAnsi="Calibri" w:cs="Calibri"/>
                <w:color w:val="auto"/>
                <w:highlight w:val="none"/>
              </w:rPr>
            </w:pPr>
          </w:p>
          <w:p w14:paraId="642502F0">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未参加信用评价的投标人</w:t>
            </w:r>
            <w:r>
              <w:rPr>
                <w:rFonts w:hint="eastAsia" w:ascii="Calibri" w:hAnsi="Calibri" w:cs="Calibri"/>
                <w:color w:val="auto"/>
                <w:highlight w:val="none"/>
              </w:rPr>
              <w:t>请填写“未参加”，</w:t>
            </w:r>
            <w:r>
              <w:rPr>
                <w:rFonts w:hint="eastAsia" w:ascii="Calibri" w:hAnsi="Calibri" w:cs="Calibri"/>
                <w:color w:val="auto"/>
                <w:szCs w:val="21"/>
                <w:highlight w:val="none"/>
              </w:rPr>
              <w:t>已参加信用评价的投标人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14:paraId="61A35DA1">
      <w:pPr>
        <w:rPr>
          <w:rFonts w:hint="eastAsia"/>
          <w:color w:val="auto"/>
          <w:highlight w:val="none"/>
        </w:rPr>
      </w:pPr>
    </w:p>
    <w:p w14:paraId="6E2D8F4A">
      <w:pPr>
        <w:rPr>
          <w:color w:val="auto"/>
          <w:highlight w:val="none"/>
          <w:lang w:val="zh-CN"/>
        </w:rPr>
      </w:pPr>
    </w:p>
    <w:p w14:paraId="1086C94A">
      <w:pPr>
        <w:pStyle w:val="8"/>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7</w:t>
      </w:r>
      <w:r>
        <w:rPr>
          <w:rFonts w:hint="eastAsia" w:ascii="Times New Roman" w:hAnsi="Times New Roman" w:eastAsia="黑体"/>
          <w:b w:val="0"/>
          <w:bCs w:val="0"/>
          <w:color w:val="auto"/>
          <w:sz w:val="24"/>
          <w:highlight w:val="none"/>
        </w:rPr>
        <w:t>）投标人施工项目季度考评综合优良率情况</w:t>
      </w:r>
    </w:p>
    <w:p w14:paraId="6FC3C75A">
      <w:pPr>
        <w:rPr>
          <w:rFonts w:hint="eastAsia"/>
          <w:color w:val="auto"/>
          <w:szCs w:val="21"/>
          <w:highlight w:val="none"/>
        </w:rPr>
      </w:pPr>
    </w:p>
    <w:tbl>
      <w:tblPr>
        <w:tblStyle w:val="40"/>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14:paraId="55A7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14:paraId="307D4BB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提交投标文件截止之时</w:t>
            </w:r>
          </w:p>
          <w:p w14:paraId="56CA86E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最新公布的</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评价结果</w:t>
            </w:r>
          </w:p>
        </w:tc>
        <w:tc>
          <w:tcPr>
            <w:tcW w:w="5953" w:type="dxa"/>
            <w:noWrap w:val="0"/>
            <w:vAlign w:val="center"/>
          </w:tcPr>
          <w:p w14:paraId="59C147B7">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请附“湖南省智慧住建云—湖南省建筑市场监管公共服务平台”上查询的</w:t>
            </w:r>
            <w:r>
              <w:rPr>
                <w:rFonts w:hint="eastAsia" w:ascii="宋体" w:hAnsi="宋体" w:eastAsia="宋体" w:cs="宋体"/>
                <w:bCs w:val="0"/>
                <w:color w:val="auto"/>
                <w:szCs w:val="21"/>
                <w:highlight w:val="none"/>
              </w:rPr>
              <w:t>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bCs w:val="0"/>
                <w:color w:val="auto"/>
                <w:szCs w:val="21"/>
                <w:highlight w:val="none"/>
              </w:rPr>
              <w:t>评价结果</w:t>
            </w:r>
            <w:r>
              <w:rPr>
                <w:rFonts w:hint="eastAsia" w:ascii="宋体" w:hAnsi="宋体" w:eastAsia="宋体" w:cs="宋体"/>
                <w:color w:val="auto"/>
                <w:szCs w:val="21"/>
                <w:highlight w:val="none"/>
              </w:rPr>
              <w:t>详细信息网页截图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省外企业无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查询结果的，可以提供注册地省级住房和城乡建设部门提供的企业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得分作为评审依据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官网查询截图）</w:t>
            </w:r>
            <w:r>
              <w:rPr>
                <w:rFonts w:hint="eastAsia" w:ascii="宋体" w:hAnsi="宋体" w:eastAsia="宋体" w:cs="宋体"/>
                <w:color w:val="auto"/>
                <w:szCs w:val="21"/>
                <w:highlight w:val="none"/>
                <w:lang w:eastAsia="zh-CN"/>
              </w:rPr>
              <w:t>。</w:t>
            </w:r>
          </w:p>
        </w:tc>
      </w:tr>
      <w:tr w14:paraId="4C86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14:paraId="4EFD63AE">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14:paraId="5C5017A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w:t>
            </w:r>
          </w:p>
        </w:tc>
        <w:tc>
          <w:tcPr>
            <w:tcW w:w="5953" w:type="dxa"/>
            <w:noWrap w:val="0"/>
            <w:vAlign w:val="top"/>
          </w:tcPr>
          <w:p w14:paraId="36E6D331">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30C5773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65E6C155">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663F2F59">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BCDE27F">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0E98D82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评价的投标人请填写“未参加”，已参加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w:t>
            </w:r>
          </w:p>
        </w:tc>
      </w:tr>
    </w:tbl>
    <w:p w14:paraId="58DC050F">
      <w:pPr>
        <w:rPr>
          <w:color w:val="auto"/>
          <w:highlight w:val="none"/>
        </w:rPr>
      </w:pPr>
    </w:p>
    <w:p w14:paraId="017D6F6B">
      <w:pPr>
        <w:rPr>
          <w:color w:val="auto"/>
          <w:highlight w:val="none"/>
        </w:rPr>
      </w:pPr>
    </w:p>
    <w:p w14:paraId="3470EC57">
      <w:pPr>
        <w:rPr>
          <w:color w:val="auto"/>
          <w:highlight w:val="none"/>
        </w:rPr>
      </w:pPr>
    </w:p>
    <w:p w14:paraId="0BB178FA">
      <w:pPr>
        <w:rPr>
          <w:color w:val="auto"/>
          <w:highlight w:val="none"/>
        </w:rPr>
      </w:pPr>
    </w:p>
    <w:p w14:paraId="7A36FDE1">
      <w:pPr>
        <w:pStyle w:val="8"/>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8</w:t>
      </w:r>
      <w:r>
        <w:rPr>
          <w:rFonts w:hint="eastAsia" w:ascii="Times New Roman" w:hAnsi="Times New Roman" w:eastAsia="黑体"/>
          <w:b w:val="0"/>
          <w:bCs w:val="0"/>
          <w:color w:val="auto"/>
          <w:sz w:val="24"/>
          <w:highlight w:val="none"/>
        </w:rPr>
        <w:t>）</w:t>
      </w:r>
      <w:bookmarkStart w:id="979" w:name="_Hlk53729905"/>
      <w:bookmarkStart w:id="980" w:name="_Hlk53733054"/>
      <w:r>
        <w:rPr>
          <w:rFonts w:hint="eastAsia" w:ascii="Times New Roman" w:hAnsi="Times New Roman" w:eastAsia="黑体"/>
          <w:b w:val="0"/>
          <w:bCs w:val="0"/>
          <w:color w:val="auto"/>
          <w:sz w:val="24"/>
          <w:highlight w:val="none"/>
        </w:rPr>
        <w:t>拟任项目</w:t>
      </w:r>
      <w:bookmarkStart w:id="981" w:name="_Hlk53730093"/>
      <w:r>
        <w:rPr>
          <w:rFonts w:hint="eastAsia" w:ascii="Times New Roman" w:hAnsi="Times New Roman" w:eastAsia="黑体"/>
          <w:b w:val="0"/>
          <w:bCs w:val="0"/>
          <w:color w:val="auto"/>
          <w:sz w:val="24"/>
          <w:highlight w:val="none"/>
        </w:rPr>
        <w:t>经理</w:t>
      </w:r>
      <w:bookmarkEnd w:id="979"/>
      <w:r>
        <w:rPr>
          <w:rFonts w:hint="eastAsia" w:ascii="Times New Roman" w:hAnsi="Times New Roman" w:eastAsia="黑体"/>
          <w:b w:val="0"/>
          <w:bCs w:val="0"/>
          <w:color w:val="auto"/>
          <w:sz w:val="24"/>
          <w:highlight w:val="none"/>
          <w:lang w:val="en-US" w:eastAsia="zh-CN"/>
        </w:rPr>
        <w:t>不良信用信息</w:t>
      </w:r>
      <w:r>
        <w:rPr>
          <w:rFonts w:hint="eastAsia" w:ascii="Times New Roman" w:hAnsi="Times New Roman" w:eastAsia="黑体"/>
          <w:b w:val="0"/>
          <w:bCs w:val="0"/>
          <w:color w:val="auto"/>
          <w:sz w:val="24"/>
          <w:highlight w:val="none"/>
        </w:rPr>
        <w:t>证明资料</w:t>
      </w:r>
      <w:bookmarkEnd w:id="981"/>
      <w:r>
        <w:rPr>
          <w:rFonts w:hint="eastAsia" w:ascii="Times New Roman" w:hAnsi="Times New Roman" w:eastAsia="黑体"/>
          <w:b w:val="0"/>
          <w:bCs w:val="0"/>
          <w:color w:val="auto"/>
          <w:sz w:val="24"/>
          <w:highlight w:val="none"/>
        </w:rPr>
        <w:t>复印件</w:t>
      </w:r>
    </w:p>
    <w:bookmarkEnd w:id="980"/>
    <w:p w14:paraId="75CDEA5B">
      <w:pPr>
        <w:ind w:firstLine="210" w:firstLineChars="100"/>
        <w:rPr>
          <w:color w:val="auto"/>
          <w:highlight w:val="none"/>
        </w:rPr>
      </w:pPr>
      <w:r>
        <w:rPr>
          <w:rFonts w:hint="eastAsia"/>
          <w:color w:val="auto"/>
          <w:highlight w:val="none"/>
        </w:rPr>
        <w:t>说明：</w:t>
      </w:r>
      <w:r>
        <w:rPr>
          <w:rFonts w:hint="eastAsia"/>
          <w:color w:val="auto"/>
          <w:highlight w:val="none"/>
          <w:lang w:val="en-US" w:eastAsia="zh-CN"/>
        </w:rPr>
        <w:t>不良信用信息</w:t>
      </w:r>
      <w:r>
        <w:rPr>
          <w:rFonts w:hint="eastAsia"/>
          <w:color w:val="auto"/>
          <w:highlight w:val="none"/>
        </w:rPr>
        <w:t>证明资料具体要求见本招标文件第三章评标办法。拟任工程总承包项目负责人在扣分有效期内如无</w:t>
      </w:r>
      <w:r>
        <w:rPr>
          <w:rFonts w:hint="eastAsia"/>
          <w:color w:val="auto"/>
          <w:highlight w:val="none"/>
          <w:lang w:val="en-US" w:eastAsia="zh-CN"/>
        </w:rPr>
        <w:t>不良信用信息</w:t>
      </w:r>
      <w:r>
        <w:rPr>
          <w:rFonts w:hint="eastAsia" w:ascii="宋体" w:hAnsi="宋体"/>
          <w:color w:val="auto"/>
          <w:szCs w:val="21"/>
          <w:highlight w:val="none"/>
        </w:rPr>
        <w:t>的</w:t>
      </w:r>
      <w:r>
        <w:rPr>
          <w:rFonts w:hint="eastAsia"/>
          <w:color w:val="auto"/>
          <w:highlight w:val="none"/>
        </w:rPr>
        <w:t>，投标人需注明“拟任工程总承包项目负责人在扣分有效期内无</w:t>
      </w:r>
      <w:r>
        <w:rPr>
          <w:rFonts w:hint="eastAsia"/>
          <w:color w:val="auto"/>
          <w:highlight w:val="none"/>
          <w:lang w:val="en-US" w:eastAsia="zh-CN"/>
        </w:rPr>
        <w:t>不良信用信息</w:t>
      </w:r>
      <w:r>
        <w:rPr>
          <w:rFonts w:hint="eastAsia"/>
          <w:color w:val="auto"/>
          <w:highlight w:val="none"/>
        </w:rPr>
        <w:t>”。</w:t>
      </w:r>
    </w:p>
    <w:p w14:paraId="1050808F">
      <w:pPr>
        <w:ind w:firstLine="210" w:firstLineChars="100"/>
        <w:rPr>
          <w:color w:val="auto"/>
          <w:highlight w:val="none"/>
        </w:rPr>
      </w:pPr>
    </w:p>
    <w:p w14:paraId="3E86B031">
      <w:pPr>
        <w:ind w:firstLine="210" w:firstLineChars="100"/>
        <w:rPr>
          <w:color w:val="auto"/>
          <w:highlight w:val="none"/>
        </w:rPr>
        <w:sectPr>
          <w:pgSz w:w="11907" w:h="16840"/>
          <w:pgMar w:top="1418" w:right="1418" w:bottom="1418" w:left="1418" w:header="851" w:footer="992" w:gutter="0"/>
          <w:cols w:space="720" w:num="1"/>
          <w:docGrid w:linePitch="326" w:charSpace="0"/>
        </w:sectPr>
      </w:pPr>
    </w:p>
    <w:p w14:paraId="225144FA">
      <w:pPr>
        <w:pStyle w:val="6"/>
        <w:jc w:val="center"/>
        <w:rPr>
          <w:rFonts w:hint="eastAsia" w:ascii="Times New Roman" w:hAnsi="Times New Roman" w:eastAsia="黑体"/>
          <w:b w:val="0"/>
          <w:bCs w:val="0"/>
          <w:color w:val="auto"/>
          <w:sz w:val="30"/>
          <w:highlight w:val="none"/>
        </w:rPr>
      </w:pPr>
      <w:bookmarkStart w:id="982" w:name="_Toc80006161"/>
      <w:bookmarkStart w:id="983" w:name="_Toc80006271"/>
      <w:bookmarkStart w:id="984" w:name="_Toc69199942"/>
      <w:bookmarkStart w:id="985" w:name="_Hlk53733080"/>
      <w:r>
        <w:rPr>
          <w:rFonts w:hint="eastAsia" w:ascii="Times New Roman" w:hAnsi="Times New Roman" w:eastAsia="黑体"/>
          <w:b w:val="0"/>
          <w:bCs w:val="0"/>
          <w:color w:val="auto"/>
          <w:sz w:val="30"/>
          <w:highlight w:val="none"/>
        </w:rPr>
        <w:t>9</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企业资信及履约能力（业绩及信用）自评表</w:t>
      </w:r>
      <w:bookmarkEnd w:id="982"/>
      <w:bookmarkEnd w:id="983"/>
      <w:bookmarkEnd w:id="984"/>
    </w:p>
    <w:bookmarkEnd w:id="985"/>
    <w:tbl>
      <w:tblPr>
        <w:tblStyle w:val="40"/>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5"/>
        <w:gridCol w:w="15"/>
        <w:gridCol w:w="1115"/>
        <w:gridCol w:w="3828"/>
        <w:gridCol w:w="1426"/>
      </w:tblGrid>
      <w:tr w14:paraId="5F71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14:paraId="7E19F05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审对象</w:t>
            </w:r>
          </w:p>
        </w:tc>
        <w:tc>
          <w:tcPr>
            <w:tcW w:w="5573" w:type="dxa"/>
            <w:gridSpan w:val="4"/>
            <w:noWrap w:val="0"/>
            <w:vAlign w:val="center"/>
          </w:tcPr>
          <w:p w14:paraId="66631826">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审内容</w:t>
            </w:r>
          </w:p>
          <w:p w14:paraId="7E930C9D">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default" w:ascii="Calibri" w:hAnsi="Calibri" w:cs="Calibri"/>
                <w:color w:val="auto"/>
                <w:sz w:val="18"/>
                <w:szCs w:val="21"/>
                <w:highlight w:val="none"/>
              </w:rPr>
              <w:t>（项目名称、奖项名称）</w:t>
            </w:r>
          </w:p>
        </w:tc>
        <w:tc>
          <w:tcPr>
            <w:tcW w:w="1426" w:type="dxa"/>
            <w:noWrap w:val="0"/>
            <w:vAlign w:val="center"/>
          </w:tcPr>
          <w:p w14:paraId="5EE6363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材料所在的页码</w:t>
            </w:r>
          </w:p>
        </w:tc>
      </w:tr>
      <w:tr w14:paraId="3D9D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14:paraId="2EB08AD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独立投标人（施工资质）或联合体中施工单位</w:t>
            </w:r>
          </w:p>
        </w:tc>
        <w:tc>
          <w:tcPr>
            <w:tcW w:w="630" w:type="dxa"/>
            <w:gridSpan w:val="2"/>
            <w:vMerge w:val="restart"/>
            <w:noWrap w:val="0"/>
            <w:vAlign w:val="center"/>
          </w:tcPr>
          <w:p w14:paraId="379FA0B1">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15" w:type="dxa"/>
            <w:vMerge w:val="restart"/>
            <w:noWrap w:val="0"/>
            <w:vAlign w:val="center"/>
          </w:tcPr>
          <w:p w14:paraId="0E54C4AA">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14:paraId="70CC6831">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76133141">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4F83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64960CE8">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3649D09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52E54FA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5F874A33">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50FEE79F">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5A9A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12FCCB87">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6E578C9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0C3AAEC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77430FF1">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6B826C85">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436A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3F7E8465">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1F5C091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14:paraId="2F33E8F1">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14:paraId="6953C6C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1D3E9C8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1B1B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7DA4AC23">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4C689947">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54BFF49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56F0E13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31A021C1">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5E55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0CE624D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1D6B4D8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04A9D0F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7576B65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2BB50F9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6D68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7623FBFC">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restart"/>
            <w:noWrap w:val="0"/>
            <w:vAlign w:val="center"/>
          </w:tcPr>
          <w:p w14:paraId="04D0320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标准化工地</w:t>
            </w:r>
          </w:p>
        </w:tc>
        <w:tc>
          <w:tcPr>
            <w:tcW w:w="1115" w:type="dxa"/>
            <w:vMerge w:val="restart"/>
            <w:noWrap w:val="0"/>
            <w:vAlign w:val="center"/>
          </w:tcPr>
          <w:p w14:paraId="78B760E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14:paraId="5A3C79D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110E0195">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472F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30059C5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56DE681F">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19D720A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7647D3C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46506E88">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0ECC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575194D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627920FA">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0C04446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59F94B9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5D0BAE75">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203F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27A8CDC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3FF70C6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4CD96B68">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732FA78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38282AB7">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4198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05BBF69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74884AC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14:paraId="3010758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14:paraId="4559BDAA">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1559B0DC">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03AC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2E58657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5D1BB8DC">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7E2ACA88">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3A513A1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4EAB9E5A">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3D3B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4B76681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6C99CAA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1DB9F89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35F279AC">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58D04BCF">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6803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5EDC52C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630" w:type="dxa"/>
            <w:gridSpan w:val="2"/>
            <w:vMerge w:val="continue"/>
            <w:noWrap w:val="0"/>
            <w:vAlign w:val="center"/>
          </w:tcPr>
          <w:p w14:paraId="308A5B19">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115" w:type="dxa"/>
            <w:vMerge w:val="continue"/>
            <w:noWrap w:val="0"/>
            <w:vAlign w:val="center"/>
          </w:tcPr>
          <w:p w14:paraId="1A69F693">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14:paraId="33F4EA2F">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71AC6A28">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4E73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611AC886">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restart"/>
            <w:noWrap w:val="0"/>
            <w:vAlign w:val="center"/>
          </w:tcPr>
          <w:p w14:paraId="027BD432">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sz w:val="18"/>
                <w:szCs w:val="21"/>
                <w:highlight w:val="none"/>
              </w:rPr>
              <w:t>类似工程业绩</w:t>
            </w:r>
          </w:p>
        </w:tc>
        <w:tc>
          <w:tcPr>
            <w:tcW w:w="3828" w:type="dxa"/>
            <w:noWrap w:val="0"/>
            <w:vAlign w:val="center"/>
          </w:tcPr>
          <w:p w14:paraId="7C3E510F">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0DF0179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5A67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1106C08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continue"/>
            <w:noWrap w:val="0"/>
            <w:vAlign w:val="center"/>
          </w:tcPr>
          <w:p w14:paraId="60076A5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14:paraId="2FD0CF38">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375F817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51BB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332" w:type="dxa"/>
            <w:vMerge w:val="restart"/>
            <w:noWrap w:val="0"/>
            <w:vAlign w:val="center"/>
          </w:tcPr>
          <w:p w14:paraId="2DC0114A">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宋体" w:hAnsi="宋体" w:cs="宋体"/>
                <w:color w:val="auto"/>
                <w:kern w:val="0"/>
                <w:sz w:val="20"/>
                <w:szCs w:val="20"/>
                <w:highlight w:val="none"/>
              </w:rPr>
              <w:t>拟任项目经理</w:t>
            </w:r>
          </w:p>
        </w:tc>
        <w:tc>
          <w:tcPr>
            <w:tcW w:w="615" w:type="dxa"/>
            <w:vMerge w:val="restart"/>
            <w:noWrap w:val="0"/>
            <w:vAlign w:val="center"/>
          </w:tcPr>
          <w:p w14:paraId="34FB681B">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奖项</w:t>
            </w:r>
          </w:p>
        </w:tc>
        <w:tc>
          <w:tcPr>
            <w:tcW w:w="1130" w:type="dxa"/>
            <w:gridSpan w:val="2"/>
            <w:noWrap w:val="0"/>
            <w:vAlign w:val="center"/>
          </w:tcPr>
          <w:p w14:paraId="79F6F049">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国家级</w:t>
            </w:r>
          </w:p>
        </w:tc>
        <w:tc>
          <w:tcPr>
            <w:tcW w:w="3828" w:type="dxa"/>
            <w:noWrap w:val="0"/>
            <w:vAlign w:val="center"/>
          </w:tcPr>
          <w:p w14:paraId="0AC1633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51694D12">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18F3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2332" w:type="dxa"/>
            <w:vMerge w:val="continue"/>
            <w:noWrap w:val="0"/>
            <w:vAlign w:val="center"/>
          </w:tcPr>
          <w:p w14:paraId="26BB51E3">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615" w:type="dxa"/>
            <w:vMerge w:val="continue"/>
            <w:noWrap w:val="0"/>
            <w:vAlign w:val="center"/>
          </w:tcPr>
          <w:p w14:paraId="694942EA">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p>
        </w:tc>
        <w:tc>
          <w:tcPr>
            <w:tcW w:w="1130" w:type="dxa"/>
            <w:gridSpan w:val="2"/>
            <w:noWrap w:val="0"/>
            <w:vAlign w:val="center"/>
          </w:tcPr>
          <w:p w14:paraId="72085FBA">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省级</w:t>
            </w:r>
          </w:p>
        </w:tc>
        <w:tc>
          <w:tcPr>
            <w:tcW w:w="3828" w:type="dxa"/>
            <w:noWrap w:val="0"/>
            <w:vAlign w:val="center"/>
          </w:tcPr>
          <w:p w14:paraId="6D63EE8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57F25BA6">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6764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332" w:type="dxa"/>
            <w:vMerge w:val="continue"/>
            <w:noWrap w:val="0"/>
            <w:vAlign w:val="center"/>
          </w:tcPr>
          <w:p w14:paraId="795EB3D1">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1745" w:type="dxa"/>
            <w:gridSpan w:val="3"/>
            <w:noWrap w:val="0"/>
            <w:vAlign w:val="center"/>
          </w:tcPr>
          <w:p w14:paraId="3F4750C3">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类似工程业绩</w:t>
            </w:r>
          </w:p>
        </w:tc>
        <w:tc>
          <w:tcPr>
            <w:tcW w:w="3828" w:type="dxa"/>
            <w:noWrap w:val="0"/>
            <w:vAlign w:val="center"/>
          </w:tcPr>
          <w:p w14:paraId="4C7124B5">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106BE907">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2DCE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2332" w:type="dxa"/>
            <w:vMerge w:val="continue"/>
            <w:noWrap w:val="0"/>
            <w:vAlign w:val="center"/>
          </w:tcPr>
          <w:p w14:paraId="33BB2891">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1745" w:type="dxa"/>
            <w:gridSpan w:val="3"/>
            <w:noWrap w:val="0"/>
            <w:vAlign w:val="center"/>
          </w:tcPr>
          <w:p w14:paraId="17F45D9C">
            <w:pPr>
              <w:keepNext w:val="0"/>
              <w:keepLines w:val="0"/>
              <w:suppressLineNumbers w:val="0"/>
              <w:spacing w:before="0" w:beforeAutospacing="0" w:after="0" w:afterAutospacing="0"/>
              <w:ind w:left="0" w:right="0"/>
              <w:jc w:val="center"/>
              <w:rPr>
                <w:rFonts w:hint="eastAsia" w:ascii="Calibri" w:hAnsi="Calibri" w:eastAsia="宋体" w:cs="Calibri"/>
                <w:color w:val="auto"/>
                <w:sz w:val="20"/>
                <w:szCs w:val="20"/>
                <w:highlight w:val="none"/>
                <w:lang w:val="en-US" w:eastAsia="zh-CN"/>
              </w:rPr>
            </w:pPr>
            <w:r>
              <w:rPr>
                <w:rFonts w:hint="eastAsia" w:ascii="Calibri" w:hAnsi="Calibri" w:cs="Calibri"/>
                <w:color w:val="auto"/>
                <w:sz w:val="20"/>
                <w:szCs w:val="20"/>
                <w:highlight w:val="none"/>
                <w:lang w:val="en-US" w:eastAsia="zh-CN"/>
              </w:rPr>
              <w:t>不良信用信息</w:t>
            </w:r>
          </w:p>
        </w:tc>
        <w:tc>
          <w:tcPr>
            <w:tcW w:w="3828" w:type="dxa"/>
            <w:noWrap w:val="0"/>
            <w:vAlign w:val="center"/>
          </w:tcPr>
          <w:p w14:paraId="4D1B86E0">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77DF8962">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14:paraId="3256CB5C">
      <w:pPr>
        <w:rPr>
          <w:color w:val="auto"/>
          <w:highlight w:val="none"/>
        </w:rPr>
      </w:pPr>
    </w:p>
    <w:p w14:paraId="31F27567">
      <w:pPr>
        <w:snapToGrid w:val="0"/>
        <w:spacing w:line="360" w:lineRule="auto"/>
        <w:rPr>
          <w:color w:val="auto"/>
          <w:highlight w:val="none"/>
        </w:rPr>
      </w:pPr>
      <w:r>
        <w:rPr>
          <w:color w:val="auto"/>
          <w:highlight w:val="none"/>
        </w:rPr>
        <w:br w:type="page"/>
      </w:r>
    </w:p>
    <w:p w14:paraId="7B0068FE">
      <w:pPr>
        <w:pStyle w:val="6"/>
        <w:spacing w:before="0" w:after="0" w:line="360" w:lineRule="auto"/>
        <w:jc w:val="center"/>
        <w:rPr>
          <w:rFonts w:ascii="Times New Roman" w:hAnsi="Times New Roman" w:eastAsia="黑体"/>
          <w:b w:val="0"/>
          <w:bCs w:val="0"/>
          <w:color w:val="auto"/>
          <w:sz w:val="30"/>
          <w:szCs w:val="30"/>
          <w:highlight w:val="none"/>
        </w:rPr>
      </w:pPr>
      <w:bookmarkStart w:id="986" w:name="_Toc80006162"/>
      <w:bookmarkStart w:id="987" w:name="_Toc80006272"/>
      <w:bookmarkStart w:id="988" w:name="_Toc69199943"/>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0</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承 诺 书</w:t>
      </w:r>
      <w:bookmarkEnd w:id="986"/>
      <w:bookmarkEnd w:id="987"/>
      <w:bookmarkEnd w:id="988"/>
    </w:p>
    <w:p w14:paraId="11064B9C">
      <w:pPr>
        <w:snapToGrid w:val="0"/>
        <w:spacing w:line="360" w:lineRule="auto"/>
        <w:rPr>
          <w:color w:val="auto"/>
          <w:highlight w:val="none"/>
        </w:rPr>
      </w:pPr>
    </w:p>
    <w:p w14:paraId="724BE1AF">
      <w:pPr>
        <w:snapToGrid w:val="0"/>
        <w:spacing w:line="360" w:lineRule="auto"/>
        <w:rPr>
          <w:color w:val="auto"/>
          <w:highlight w:val="none"/>
        </w:rPr>
      </w:pPr>
      <w:r>
        <w:rPr>
          <w:color w:val="auto"/>
          <w:highlight w:val="none"/>
          <w:u w:val="single"/>
        </w:rPr>
        <w:t xml:space="preserve">                     </w:t>
      </w:r>
      <w:r>
        <w:rPr>
          <w:color w:val="auto"/>
          <w:highlight w:val="none"/>
        </w:rPr>
        <w:t>（招标人名称）：</w:t>
      </w:r>
    </w:p>
    <w:p w14:paraId="06507517">
      <w:pPr>
        <w:snapToGrid w:val="0"/>
        <w:spacing w:line="360" w:lineRule="auto"/>
        <w:rPr>
          <w:color w:val="auto"/>
          <w:highlight w:val="none"/>
        </w:rPr>
      </w:pPr>
    </w:p>
    <w:p w14:paraId="4F92381E">
      <w:pPr>
        <w:snapToGrid w:val="0"/>
        <w:spacing w:line="360" w:lineRule="auto"/>
        <w:ind w:firstLine="420" w:firstLineChars="200"/>
        <w:rPr>
          <w:color w:val="auto"/>
          <w:highlight w:val="none"/>
        </w:rPr>
      </w:pPr>
      <w:r>
        <w:rPr>
          <w:color w:val="auto"/>
          <w:highlight w:val="none"/>
        </w:rPr>
        <w:t>我方在此声明：</w:t>
      </w:r>
    </w:p>
    <w:p w14:paraId="74E22EE4">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项目经理</w:t>
      </w:r>
      <w:r>
        <w:rPr>
          <w:color w:val="auto"/>
          <w:highlight w:val="none"/>
        </w:rPr>
        <w:t>能够到位履行职责，如不能到位，我方自愿接受处罚</w:t>
      </w:r>
      <w:r>
        <w:rPr>
          <w:rFonts w:hint="eastAsia"/>
          <w:color w:val="auto"/>
          <w:highlight w:val="none"/>
        </w:rPr>
        <w:t>和被予不良行为记录</w:t>
      </w:r>
      <w:r>
        <w:rPr>
          <w:color w:val="auto"/>
          <w:highlight w:val="none"/>
        </w:rPr>
        <w:t>。</w:t>
      </w:r>
    </w:p>
    <w:p w14:paraId="70485CBF">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14:paraId="39AA8E5B">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14:paraId="45D15FC0">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14:paraId="3B3EC9A9">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14:paraId="68723601">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14:paraId="63FF7881">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w:t>
      </w:r>
      <w:r>
        <w:rPr>
          <w:rFonts w:hint="eastAsia"/>
          <w:color w:val="auto"/>
          <w:highlight w:val="none"/>
        </w:rPr>
        <w:t>绝</w:t>
      </w:r>
      <w:r>
        <w:rPr>
          <w:color w:val="auto"/>
          <w:highlight w:val="none"/>
        </w:rPr>
        <w:t>不拖欠。</w:t>
      </w:r>
    </w:p>
    <w:p w14:paraId="1061CF41">
      <w:pPr>
        <w:snapToGrid w:val="0"/>
        <w:spacing w:line="360" w:lineRule="auto"/>
        <w:ind w:firstLine="420" w:firstLineChars="200"/>
        <w:rPr>
          <w:color w:val="auto"/>
          <w:highlight w:val="none"/>
        </w:rPr>
      </w:pPr>
      <w:r>
        <w:rPr>
          <w:color w:val="auto"/>
          <w:highlight w:val="none"/>
        </w:rPr>
        <w:t>特此承诺！</w:t>
      </w:r>
    </w:p>
    <w:p w14:paraId="7A618378">
      <w:pPr>
        <w:snapToGrid w:val="0"/>
        <w:spacing w:line="360" w:lineRule="auto"/>
        <w:ind w:firstLine="420" w:firstLineChars="200"/>
        <w:rPr>
          <w:color w:val="auto"/>
          <w:highlight w:val="none"/>
        </w:rPr>
      </w:pPr>
    </w:p>
    <w:p w14:paraId="0AF41AA5">
      <w:pPr>
        <w:snapToGrid w:val="0"/>
        <w:spacing w:line="360" w:lineRule="auto"/>
        <w:ind w:firstLine="420" w:firstLineChars="200"/>
        <w:rPr>
          <w:color w:val="auto"/>
          <w:highlight w:val="none"/>
        </w:rPr>
      </w:pPr>
    </w:p>
    <w:p w14:paraId="3EFD6CC0">
      <w:pPr>
        <w:snapToGrid w:val="0"/>
        <w:spacing w:line="360" w:lineRule="auto"/>
        <w:ind w:firstLine="420" w:firstLineChars="200"/>
        <w:jc w:val="right"/>
        <w:rPr>
          <w:color w:val="auto"/>
          <w:highlight w:val="none"/>
        </w:rPr>
      </w:pPr>
      <w:r>
        <w:rPr>
          <w:color w:val="auto"/>
          <w:highlight w:val="none"/>
        </w:rPr>
        <w:t>投标人：（盖单位章）</w:t>
      </w:r>
    </w:p>
    <w:p w14:paraId="153862A3">
      <w:pPr>
        <w:snapToGrid w:val="0"/>
        <w:spacing w:line="360" w:lineRule="auto"/>
        <w:ind w:firstLine="420" w:firstLineChars="200"/>
        <w:jc w:val="right"/>
        <w:rPr>
          <w:color w:val="auto"/>
          <w:highlight w:val="none"/>
        </w:rPr>
      </w:pPr>
      <w:r>
        <w:rPr>
          <w:color w:val="auto"/>
          <w:highlight w:val="none"/>
        </w:rPr>
        <w:t>法定代表人或其委托代理人：（签字或盖章）</w:t>
      </w:r>
    </w:p>
    <w:p w14:paraId="104DD713">
      <w:pPr>
        <w:snapToGrid w:val="0"/>
        <w:spacing w:line="360" w:lineRule="auto"/>
        <w:ind w:firstLine="420" w:firstLineChars="200"/>
        <w:jc w:val="right"/>
        <w:rPr>
          <w:color w:val="auto"/>
          <w:highlight w:val="none"/>
        </w:rPr>
      </w:pPr>
      <w:r>
        <w:rPr>
          <w:color w:val="auto"/>
          <w:highlight w:val="none"/>
        </w:rPr>
        <w:t xml:space="preserve">   年   月  日</w:t>
      </w:r>
    </w:p>
    <w:p w14:paraId="7AAE7C99">
      <w:pPr>
        <w:widowControl/>
        <w:jc w:val="left"/>
        <w:rPr>
          <w:rFonts w:hint="eastAsia" w:eastAsia="黑体"/>
          <w:bCs/>
          <w:color w:val="auto"/>
          <w:kern w:val="0"/>
          <w:sz w:val="32"/>
          <w:szCs w:val="32"/>
          <w:highlight w:val="none"/>
        </w:rPr>
      </w:pPr>
    </w:p>
    <w:p w14:paraId="3C7B91D1">
      <w:pPr>
        <w:pStyle w:val="223"/>
        <w:rPr>
          <w:rFonts w:hint="eastAsia" w:ascii="Arial" w:hAnsi="Arial" w:eastAsia="新宋体" w:cs="Arial"/>
          <w:b/>
          <w:color w:val="auto"/>
          <w:sz w:val="21"/>
          <w:highlight w:val="none"/>
        </w:rPr>
      </w:pPr>
    </w:p>
    <w:p w14:paraId="3B172694">
      <w:pPr>
        <w:pStyle w:val="223"/>
        <w:rPr>
          <w:rFonts w:eastAsia="黑体"/>
          <w:bCs/>
          <w:color w:val="auto"/>
          <w:sz w:val="32"/>
          <w:szCs w:val="32"/>
          <w:highlight w:val="none"/>
        </w:rPr>
      </w:pPr>
      <w:r>
        <w:rPr>
          <w:rFonts w:eastAsia="黑体"/>
          <w:bCs/>
          <w:color w:val="auto"/>
          <w:sz w:val="32"/>
          <w:szCs w:val="32"/>
          <w:highlight w:val="none"/>
        </w:rPr>
        <w:br w:type="page"/>
      </w:r>
    </w:p>
    <w:p w14:paraId="66815179">
      <w:pPr>
        <w:jc w:val="center"/>
        <w:rPr>
          <w:rFonts w:eastAsia="黑体"/>
          <w:bCs/>
          <w:color w:val="auto"/>
          <w:sz w:val="30"/>
          <w:szCs w:val="30"/>
          <w:highlight w:val="none"/>
        </w:rPr>
      </w:pPr>
    </w:p>
    <w:p w14:paraId="61AF7084">
      <w:pPr>
        <w:pStyle w:val="6"/>
        <w:spacing w:before="0" w:after="0" w:line="360" w:lineRule="auto"/>
        <w:jc w:val="center"/>
        <w:rPr>
          <w:rFonts w:ascii="Times New Roman" w:hAnsi="Times New Roman" w:eastAsia="黑体"/>
          <w:b w:val="0"/>
          <w:bCs w:val="0"/>
          <w:color w:val="auto"/>
          <w:sz w:val="30"/>
          <w:szCs w:val="30"/>
          <w:highlight w:val="none"/>
        </w:rPr>
      </w:pPr>
      <w:bookmarkStart w:id="989" w:name="_Toc80006163"/>
      <w:bookmarkStart w:id="990" w:name="_Toc80006273"/>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1</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投标信息表</w:t>
      </w:r>
      <w:bookmarkEnd w:id="989"/>
      <w:bookmarkEnd w:id="990"/>
    </w:p>
    <w:tbl>
      <w:tblPr>
        <w:tblStyle w:val="40"/>
        <w:tblW w:w="9439"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12"/>
        <w:gridCol w:w="1112"/>
        <w:gridCol w:w="1155"/>
        <w:gridCol w:w="5760"/>
      </w:tblGrid>
      <w:tr w14:paraId="1F038D3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2524" w:type="dxa"/>
            <w:gridSpan w:val="2"/>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14:paraId="4EA07A1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6915" w:type="dxa"/>
            <w:gridSpan w:val="2"/>
            <w:tcBorders>
              <w:top w:val="single" w:color="auto" w:sz="4" w:space="0"/>
              <w:left w:val="nil"/>
              <w:bottom w:val="single" w:color="000000" w:sz="8" w:space="0"/>
              <w:right w:val="single" w:color="000000" w:sz="8" w:space="0"/>
            </w:tcBorders>
            <w:noWrap w:val="0"/>
            <w:tcMar>
              <w:left w:w="108" w:type="dxa"/>
              <w:right w:w="108" w:type="dxa"/>
            </w:tcMar>
            <w:vAlign w:val="center"/>
          </w:tcPr>
          <w:p w14:paraId="62044D9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25E4CA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14:paraId="2B59F8F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投标报价（万元）</w:t>
            </w:r>
          </w:p>
        </w:tc>
        <w:tc>
          <w:tcPr>
            <w:tcW w:w="6915" w:type="dxa"/>
            <w:gridSpan w:val="2"/>
            <w:tcBorders>
              <w:top w:val="nil"/>
              <w:left w:val="nil"/>
              <w:bottom w:val="single" w:color="000000" w:sz="8" w:space="0"/>
              <w:right w:val="single" w:color="000000" w:sz="8" w:space="0"/>
            </w:tcBorders>
            <w:noWrap w:val="0"/>
            <w:tcMar>
              <w:left w:w="108" w:type="dxa"/>
              <w:right w:w="108" w:type="dxa"/>
            </w:tcMar>
            <w:vAlign w:val="center"/>
          </w:tcPr>
          <w:p w14:paraId="1D682B6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8D23C2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14:paraId="7FA418D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其中暂估价（万元）</w:t>
            </w:r>
          </w:p>
        </w:tc>
        <w:tc>
          <w:tcPr>
            <w:tcW w:w="6915" w:type="dxa"/>
            <w:gridSpan w:val="2"/>
            <w:tcBorders>
              <w:top w:val="nil"/>
              <w:left w:val="nil"/>
              <w:bottom w:val="single" w:color="000000" w:sz="8" w:space="0"/>
              <w:right w:val="single" w:color="000000" w:sz="8" w:space="0"/>
            </w:tcBorders>
            <w:noWrap w:val="0"/>
            <w:tcMar>
              <w:left w:w="108" w:type="dxa"/>
              <w:right w:w="108" w:type="dxa"/>
            </w:tcMar>
            <w:vAlign w:val="center"/>
          </w:tcPr>
          <w:p w14:paraId="6816B16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15D80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524" w:type="dxa"/>
            <w:gridSpan w:val="2"/>
            <w:vMerge w:val="restart"/>
            <w:tcBorders>
              <w:top w:val="nil"/>
              <w:left w:val="single" w:color="000000" w:sz="8" w:space="0"/>
              <w:right w:val="single" w:color="000000" w:sz="8" w:space="0"/>
            </w:tcBorders>
            <w:noWrap w:val="0"/>
            <w:tcMar>
              <w:left w:w="108" w:type="dxa"/>
              <w:right w:w="108" w:type="dxa"/>
            </w:tcMar>
            <w:vAlign w:val="center"/>
          </w:tcPr>
          <w:p w14:paraId="00AB57F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w:t>
            </w:r>
          </w:p>
          <w:p w14:paraId="4C860E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1155" w:type="dxa"/>
            <w:tcBorders>
              <w:top w:val="nil"/>
              <w:left w:val="nil"/>
              <w:bottom w:val="single" w:color="auto" w:sz="4" w:space="0"/>
              <w:right w:val="single" w:color="000000" w:sz="8" w:space="0"/>
            </w:tcBorders>
            <w:noWrap w:val="0"/>
            <w:tcMar>
              <w:left w:w="108" w:type="dxa"/>
              <w:right w:w="108" w:type="dxa"/>
            </w:tcMar>
            <w:vAlign w:val="center"/>
          </w:tcPr>
          <w:p w14:paraId="1BF2752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760" w:type="dxa"/>
            <w:tcBorders>
              <w:top w:val="nil"/>
              <w:left w:val="nil"/>
              <w:bottom w:val="single" w:color="auto" w:sz="4" w:space="0"/>
              <w:right w:val="single" w:color="000000" w:sz="8" w:space="0"/>
            </w:tcBorders>
            <w:noWrap w:val="0"/>
            <w:vAlign w:val="center"/>
          </w:tcPr>
          <w:p w14:paraId="6488CDE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72E11D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14:paraId="09257F6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14:paraId="4CDF99B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2</w:t>
            </w:r>
          </w:p>
        </w:tc>
        <w:tc>
          <w:tcPr>
            <w:tcW w:w="5760" w:type="dxa"/>
            <w:tcBorders>
              <w:top w:val="nil"/>
              <w:left w:val="nil"/>
              <w:bottom w:val="single" w:color="auto" w:sz="4" w:space="0"/>
              <w:right w:val="single" w:color="000000" w:sz="8" w:space="0"/>
            </w:tcBorders>
            <w:noWrap w:val="0"/>
            <w:vAlign w:val="center"/>
          </w:tcPr>
          <w:p w14:paraId="243CBA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2164A3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14:paraId="089CEE8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14:paraId="7E5DB3D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3</w:t>
            </w:r>
          </w:p>
        </w:tc>
        <w:tc>
          <w:tcPr>
            <w:tcW w:w="5760" w:type="dxa"/>
            <w:tcBorders>
              <w:top w:val="nil"/>
              <w:left w:val="nil"/>
              <w:bottom w:val="single" w:color="auto" w:sz="4" w:space="0"/>
              <w:right w:val="single" w:color="000000" w:sz="8" w:space="0"/>
            </w:tcBorders>
            <w:noWrap w:val="0"/>
            <w:vAlign w:val="center"/>
          </w:tcPr>
          <w:p w14:paraId="27C5C58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E9E465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14:paraId="1F8D746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14:paraId="5C35494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5760" w:type="dxa"/>
            <w:tcBorders>
              <w:top w:val="nil"/>
              <w:left w:val="nil"/>
              <w:bottom w:val="single" w:color="auto" w:sz="4" w:space="0"/>
              <w:right w:val="single" w:color="000000" w:sz="8" w:space="0"/>
            </w:tcBorders>
            <w:noWrap w:val="0"/>
            <w:vAlign w:val="center"/>
          </w:tcPr>
          <w:p w14:paraId="2F8A39C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A23088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restart"/>
            <w:tcBorders>
              <w:top w:val="single" w:color="auto" w:sz="4" w:space="0"/>
              <w:left w:val="single" w:color="auto" w:sz="4" w:space="0"/>
              <w:right w:val="single" w:color="000000" w:sz="8" w:space="0"/>
            </w:tcBorders>
            <w:noWrap w:val="0"/>
            <w:tcMar>
              <w:left w:w="108" w:type="dxa"/>
              <w:right w:w="108" w:type="dxa"/>
            </w:tcMar>
            <w:vAlign w:val="center"/>
          </w:tcPr>
          <w:p w14:paraId="41340EC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表彰奖励 </w:t>
            </w:r>
          </w:p>
          <w:p w14:paraId="3062866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情况</w:t>
            </w:r>
          </w:p>
        </w:tc>
        <w:tc>
          <w:tcPr>
            <w:tcW w:w="1155" w:type="dxa"/>
            <w:vMerge w:val="restart"/>
            <w:tcBorders>
              <w:top w:val="single" w:color="auto" w:sz="4" w:space="0"/>
              <w:left w:val="nil"/>
              <w:right w:val="single" w:color="auto" w:sz="4" w:space="0"/>
            </w:tcBorders>
            <w:noWrap w:val="0"/>
            <w:tcMar>
              <w:left w:w="108" w:type="dxa"/>
              <w:right w:w="108" w:type="dxa"/>
            </w:tcMar>
            <w:vAlign w:val="center"/>
          </w:tcPr>
          <w:p w14:paraId="51F2104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国家级</w:t>
            </w:r>
          </w:p>
        </w:tc>
        <w:tc>
          <w:tcPr>
            <w:tcW w:w="5760" w:type="dxa"/>
            <w:tcBorders>
              <w:top w:val="single" w:color="auto" w:sz="4" w:space="0"/>
              <w:left w:val="nil"/>
              <w:bottom w:val="single" w:color="auto" w:sz="4" w:space="0"/>
              <w:right w:val="single" w:color="auto" w:sz="4" w:space="0"/>
            </w:tcBorders>
            <w:noWrap w:val="0"/>
            <w:vAlign w:val="center"/>
          </w:tcPr>
          <w:p w14:paraId="7D48E9C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362E71C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417D365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right w:val="single" w:color="auto" w:sz="4" w:space="0"/>
            </w:tcBorders>
            <w:noWrap w:val="0"/>
            <w:tcMar>
              <w:left w:w="108" w:type="dxa"/>
              <w:right w:w="108" w:type="dxa"/>
            </w:tcMar>
            <w:vAlign w:val="center"/>
          </w:tcPr>
          <w:p w14:paraId="3D0EA17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14:paraId="566BF7D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27894FF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4629878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bottom w:val="single" w:color="auto" w:sz="4" w:space="0"/>
              <w:right w:val="single" w:color="auto" w:sz="4" w:space="0"/>
            </w:tcBorders>
            <w:noWrap w:val="0"/>
            <w:tcMar>
              <w:left w:w="108" w:type="dxa"/>
              <w:right w:w="108" w:type="dxa"/>
            </w:tcMar>
            <w:vAlign w:val="center"/>
          </w:tcPr>
          <w:p w14:paraId="456E2C7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14:paraId="2F11331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2087886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544AB63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restart"/>
            <w:tcBorders>
              <w:top w:val="single" w:color="auto" w:sz="4" w:space="0"/>
              <w:left w:val="nil"/>
              <w:right w:val="single" w:color="auto" w:sz="4" w:space="0"/>
            </w:tcBorders>
            <w:noWrap w:val="0"/>
            <w:tcMar>
              <w:left w:w="108" w:type="dxa"/>
              <w:right w:w="108" w:type="dxa"/>
            </w:tcMar>
            <w:vAlign w:val="center"/>
          </w:tcPr>
          <w:p w14:paraId="5A98C3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省级</w:t>
            </w:r>
          </w:p>
        </w:tc>
        <w:tc>
          <w:tcPr>
            <w:tcW w:w="5760" w:type="dxa"/>
            <w:tcBorders>
              <w:top w:val="single" w:color="auto" w:sz="4" w:space="0"/>
              <w:left w:val="nil"/>
              <w:bottom w:val="single" w:color="auto" w:sz="4" w:space="0"/>
              <w:right w:val="single" w:color="auto" w:sz="4" w:space="0"/>
            </w:tcBorders>
            <w:noWrap w:val="0"/>
            <w:vAlign w:val="center"/>
          </w:tcPr>
          <w:p w14:paraId="5728D68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516D58B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1663DA6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right w:val="single" w:color="auto" w:sz="4" w:space="0"/>
            </w:tcBorders>
            <w:noWrap w:val="0"/>
            <w:tcMar>
              <w:left w:w="108" w:type="dxa"/>
              <w:right w:w="108" w:type="dxa"/>
            </w:tcMar>
            <w:vAlign w:val="center"/>
          </w:tcPr>
          <w:p w14:paraId="661182E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14:paraId="1280BEC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0DAC082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6B5927F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bottom w:val="single" w:color="auto" w:sz="4" w:space="0"/>
              <w:right w:val="single" w:color="auto" w:sz="4" w:space="0"/>
            </w:tcBorders>
            <w:noWrap w:val="0"/>
            <w:tcMar>
              <w:left w:w="108" w:type="dxa"/>
              <w:right w:w="108" w:type="dxa"/>
            </w:tcMar>
            <w:vAlign w:val="center"/>
          </w:tcPr>
          <w:p w14:paraId="27D844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14:paraId="05AEE2B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1C78926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41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809B7E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59C32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1A90D5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2EB512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97"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9096F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BEDA8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634E1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C18FF7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A722A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B27B7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表彰奖励 </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1CC28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9A2FF1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1412" w:type="dxa"/>
            <w:tcBorders>
              <w:top w:val="single" w:color="auto" w:sz="4" w:space="0"/>
              <w:left w:val="single" w:color="auto" w:sz="4" w:space="0"/>
              <w:right w:val="single" w:color="auto" w:sz="4" w:space="0"/>
            </w:tcBorders>
            <w:noWrap w:val="0"/>
            <w:tcMar>
              <w:left w:w="108" w:type="dxa"/>
              <w:right w:w="108" w:type="dxa"/>
            </w:tcMar>
            <w:vAlign w:val="center"/>
          </w:tcPr>
          <w:p w14:paraId="73C1093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112" w:type="dxa"/>
            <w:tcBorders>
              <w:top w:val="single" w:color="auto" w:sz="4" w:space="0"/>
              <w:left w:val="single" w:color="auto" w:sz="4" w:space="0"/>
              <w:right w:val="single" w:color="auto" w:sz="4" w:space="0"/>
            </w:tcBorders>
            <w:noWrap w:val="0"/>
            <w:tcMar>
              <w:left w:w="108" w:type="dxa"/>
              <w:right w:w="108" w:type="dxa"/>
            </w:tcMar>
            <w:vAlign w:val="center"/>
          </w:tcPr>
          <w:p w14:paraId="1071874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F6EF4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76591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41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677509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投标担</w:t>
            </w:r>
          </w:p>
          <w:p w14:paraId="29707FB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保信息</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F2B091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担保机构</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0DE632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8715D3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40AA7A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B67FE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经营地址</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C8E6A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71022C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59717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D82AC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75358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73858BA5">
      <w:pPr>
        <w:rPr>
          <w:rFonts w:eastAsia="仿宋"/>
          <w:color w:val="auto"/>
          <w:highlight w:val="none"/>
        </w:rPr>
      </w:pPr>
    </w:p>
    <w:p w14:paraId="64D08392">
      <w:pPr>
        <w:pStyle w:val="6"/>
        <w:spacing w:before="0" w:after="0" w:line="360" w:lineRule="auto"/>
        <w:jc w:val="center"/>
        <w:rPr>
          <w:rFonts w:ascii="Times New Roman" w:hAnsi="Times New Roman" w:eastAsia="黑体"/>
          <w:b w:val="0"/>
          <w:bCs w:val="0"/>
          <w:color w:val="auto"/>
          <w:sz w:val="30"/>
          <w:szCs w:val="30"/>
          <w:highlight w:val="none"/>
        </w:rPr>
      </w:pPr>
      <w:bookmarkStart w:id="991" w:name="_Toc80006164"/>
      <w:bookmarkStart w:id="992" w:name="_Toc9178589"/>
      <w:bookmarkStart w:id="993" w:name="_Toc80006274"/>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2</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其他</w:t>
      </w:r>
      <w:bookmarkEnd w:id="991"/>
      <w:bookmarkEnd w:id="992"/>
      <w:bookmarkEnd w:id="993"/>
    </w:p>
    <w:p w14:paraId="2717D694">
      <w:pPr>
        <w:widowControl/>
        <w:rPr>
          <w:color w:val="auto"/>
          <w:highlight w:val="none"/>
        </w:rPr>
      </w:pPr>
    </w:p>
    <w:p w14:paraId="63368B8A">
      <w:pPr>
        <w:rPr>
          <w:color w:val="auto"/>
          <w:highlight w:val="none"/>
        </w:rPr>
      </w:pPr>
    </w:p>
    <w:p w14:paraId="599C156C">
      <w:pPr>
        <w:rPr>
          <w:color w:val="auto"/>
          <w:highlight w:val="none"/>
        </w:rPr>
      </w:pPr>
    </w:p>
    <w:p w14:paraId="2A6AEB04">
      <w:pPr>
        <w:jc w:val="left"/>
        <w:rPr>
          <w:color w:val="auto"/>
          <w:highlight w:val="none"/>
        </w:rPr>
      </w:pPr>
      <w:r>
        <w:rPr>
          <w:color w:val="auto"/>
          <w:highlight w:val="none"/>
        </w:rPr>
        <w:br w:type="page"/>
      </w:r>
    </w:p>
    <w:p w14:paraId="682B846E">
      <w:pPr>
        <w:widowControl/>
        <w:rPr>
          <w:color w:val="auto"/>
          <w:highlight w:val="none"/>
        </w:rPr>
      </w:pPr>
    </w:p>
    <w:p w14:paraId="525862DF">
      <w:pPr>
        <w:widowControl/>
        <w:rPr>
          <w:color w:val="auto"/>
          <w:highlight w:val="none"/>
        </w:rPr>
      </w:pPr>
    </w:p>
    <w:p w14:paraId="66AC2FB8">
      <w:pPr>
        <w:widowControl/>
        <w:rPr>
          <w:color w:val="auto"/>
          <w:highlight w:val="none"/>
        </w:rPr>
      </w:pPr>
    </w:p>
    <w:p w14:paraId="33E1EB17">
      <w:pPr>
        <w:pStyle w:val="5"/>
        <w:jc w:val="center"/>
        <w:rPr>
          <w:rFonts w:ascii="Times New Roman" w:hAnsi="Times New Roman" w:eastAsia="黑体"/>
          <w:b w:val="0"/>
          <w:color w:val="auto"/>
          <w:highlight w:val="none"/>
        </w:rPr>
      </w:pPr>
      <w:bookmarkStart w:id="994" w:name="_Toc300678593"/>
      <w:bookmarkStart w:id="995" w:name="_Toc80006165"/>
      <w:bookmarkStart w:id="996" w:name="_Toc80006275"/>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994"/>
      <w:r>
        <w:rPr>
          <w:rFonts w:ascii="Times New Roman" w:hAnsi="Times New Roman" w:eastAsia="黑体"/>
          <w:b w:val="0"/>
          <w:color w:val="auto"/>
          <w:highlight w:val="none"/>
        </w:rPr>
        <w:t>格式</w:t>
      </w:r>
      <w:bookmarkEnd w:id="995"/>
      <w:bookmarkEnd w:id="996"/>
    </w:p>
    <w:p w14:paraId="464BAB43">
      <w:pPr>
        <w:widowControl/>
        <w:rPr>
          <w:color w:val="auto"/>
          <w:highlight w:val="none"/>
        </w:rPr>
      </w:pPr>
    </w:p>
    <w:p w14:paraId="713CA4BF">
      <w:pPr>
        <w:widowControl/>
        <w:rPr>
          <w:color w:val="auto"/>
          <w:highlight w:val="none"/>
        </w:rPr>
      </w:pPr>
    </w:p>
    <w:p w14:paraId="10E9424F">
      <w:pPr>
        <w:widowControl/>
        <w:rPr>
          <w:color w:val="auto"/>
          <w:highlight w:val="none"/>
        </w:rPr>
      </w:pPr>
    </w:p>
    <w:p w14:paraId="07E6D7B7">
      <w:pPr>
        <w:widowControl/>
        <w:rPr>
          <w:color w:val="auto"/>
          <w:highlight w:val="none"/>
        </w:rPr>
      </w:pPr>
    </w:p>
    <w:p w14:paraId="106B10FE">
      <w:pPr>
        <w:widowControl/>
        <w:rPr>
          <w:color w:val="auto"/>
          <w:highlight w:val="none"/>
        </w:rPr>
      </w:pPr>
    </w:p>
    <w:p w14:paraId="6E523BCD">
      <w:pPr>
        <w:widowControl/>
        <w:rPr>
          <w:color w:val="auto"/>
          <w:highlight w:val="none"/>
        </w:rPr>
      </w:pPr>
    </w:p>
    <w:p w14:paraId="35B491FE">
      <w:pPr>
        <w:widowControl/>
        <w:rPr>
          <w:color w:val="auto"/>
          <w:highlight w:val="none"/>
        </w:rPr>
      </w:pPr>
    </w:p>
    <w:p w14:paraId="5D194B24">
      <w:pPr>
        <w:widowControl/>
        <w:rPr>
          <w:color w:val="auto"/>
          <w:highlight w:val="none"/>
        </w:rPr>
      </w:pPr>
    </w:p>
    <w:p w14:paraId="359268D4">
      <w:pPr>
        <w:widowControl/>
        <w:rPr>
          <w:color w:val="auto"/>
          <w:highlight w:val="none"/>
        </w:rPr>
      </w:pPr>
    </w:p>
    <w:p w14:paraId="58B9E38C">
      <w:pPr>
        <w:widowControl/>
        <w:rPr>
          <w:color w:val="auto"/>
          <w:highlight w:val="none"/>
        </w:rPr>
      </w:pPr>
    </w:p>
    <w:p w14:paraId="4CDFF4A5">
      <w:pPr>
        <w:widowControl/>
        <w:rPr>
          <w:color w:val="auto"/>
          <w:highlight w:val="none"/>
        </w:rPr>
      </w:pPr>
    </w:p>
    <w:p w14:paraId="3EE47E22">
      <w:pPr>
        <w:widowControl/>
        <w:rPr>
          <w:color w:val="auto"/>
          <w:highlight w:val="none"/>
        </w:rPr>
      </w:pPr>
      <w:r>
        <w:rPr>
          <w:color w:val="auto"/>
          <w:highlight w:val="none"/>
        </w:rPr>
        <w:br w:type="page"/>
      </w:r>
    </w:p>
    <w:p w14:paraId="2B31791E">
      <w:pPr>
        <w:widowControl/>
        <w:rPr>
          <w:color w:val="auto"/>
          <w:highlight w:val="none"/>
        </w:rPr>
      </w:pPr>
    </w:p>
    <w:p w14:paraId="2396AA6D">
      <w:pPr>
        <w:widowControl/>
        <w:rPr>
          <w:color w:val="auto"/>
          <w:highlight w:val="none"/>
        </w:rPr>
      </w:pPr>
    </w:p>
    <w:p w14:paraId="3F3FD913">
      <w:pPr>
        <w:widowControl/>
        <w:rPr>
          <w:color w:val="auto"/>
          <w:highlight w:val="none"/>
        </w:rPr>
      </w:pPr>
    </w:p>
    <w:p w14:paraId="7F71563B">
      <w:pPr>
        <w:widowControl/>
        <w:rPr>
          <w:color w:val="auto"/>
          <w:highlight w:val="none"/>
        </w:rPr>
      </w:pPr>
    </w:p>
    <w:p w14:paraId="173251AE">
      <w:pPr>
        <w:widowControl/>
        <w:rPr>
          <w:color w:val="auto"/>
          <w:highlight w:val="none"/>
        </w:rPr>
      </w:pPr>
    </w:p>
    <w:p w14:paraId="671B05B3">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14:paraId="5DDE536A">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14:paraId="743914D0">
      <w:pPr>
        <w:jc w:val="center"/>
        <w:rPr>
          <w:rFonts w:eastAsia="黑体"/>
          <w:color w:val="auto"/>
          <w:sz w:val="32"/>
          <w:szCs w:val="32"/>
          <w:highlight w:val="none"/>
        </w:rPr>
      </w:pPr>
      <w:r>
        <w:rPr>
          <w:rFonts w:eastAsia="黑体"/>
          <w:color w:val="auto"/>
          <w:sz w:val="32"/>
          <w:szCs w:val="32"/>
          <w:highlight w:val="none"/>
        </w:rPr>
        <w:t>（投标报价）</w:t>
      </w:r>
    </w:p>
    <w:p w14:paraId="4FD0C73A">
      <w:pPr>
        <w:widowControl/>
        <w:rPr>
          <w:color w:val="auto"/>
          <w:highlight w:val="none"/>
        </w:rPr>
      </w:pPr>
    </w:p>
    <w:p w14:paraId="2B8C38D2">
      <w:pPr>
        <w:widowControl/>
        <w:rPr>
          <w:color w:val="auto"/>
          <w:highlight w:val="none"/>
        </w:rPr>
      </w:pPr>
    </w:p>
    <w:p w14:paraId="53459EE3">
      <w:pPr>
        <w:widowControl/>
        <w:rPr>
          <w:color w:val="auto"/>
          <w:highlight w:val="none"/>
        </w:rPr>
      </w:pPr>
    </w:p>
    <w:p w14:paraId="12AACB7C">
      <w:pPr>
        <w:widowControl/>
        <w:rPr>
          <w:color w:val="auto"/>
          <w:highlight w:val="none"/>
        </w:rPr>
      </w:pPr>
    </w:p>
    <w:p w14:paraId="04D770FA">
      <w:pPr>
        <w:widowControl/>
        <w:rPr>
          <w:color w:val="auto"/>
          <w:highlight w:val="none"/>
        </w:rPr>
      </w:pPr>
    </w:p>
    <w:p w14:paraId="6726056C">
      <w:pPr>
        <w:widowControl/>
        <w:rPr>
          <w:color w:val="auto"/>
          <w:highlight w:val="none"/>
        </w:rPr>
      </w:pPr>
    </w:p>
    <w:p w14:paraId="538C9A0B">
      <w:pPr>
        <w:widowControl/>
        <w:rPr>
          <w:color w:val="auto"/>
          <w:highlight w:val="none"/>
        </w:rPr>
      </w:pPr>
    </w:p>
    <w:p w14:paraId="77143940">
      <w:pPr>
        <w:widowControl/>
        <w:rPr>
          <w:color w:val="auto"/>
          <w:highlight w:val="none"/>
        </w:rPr>
      </w:pPr>
    </w:p>
    <w:p w14:paraId="71F8CDDF">
      <w:pPr>
        <w:widowControl/>
        <w:rPr>
          <w:color w:val="auto"/>
          <w:highlight w:val="none"/>
        </w:rPr>
      </w:pPr>
    </w:p>
    <w:p w14:paraId="549DBC22">
      <w:pPr>
        <w:widowControl/>
        <w:rPr>
          <w:color w:val="auto"/>
          <w:highlight w:val="none"/>
        </w:rPr>
      </w:pPr>
    </w:p>
    <w:p w14:paraId="4C1CAA74">
      <w:pPr>
        <w:widowControl/>
        <w:rPr>
          <w:color w:val="auto"/>
          <w:highlight w:val="none"/>
        </w:rPr>
      </w:pPr>
    </w:p>
    <w:p w14:paraId="1749F9C3">
      <w:pPr>
        <w:widowControl/>
        <w:rPr>
          <w:color w:val="auto"/>
          <w:highlight w:val="none"/>
        </w:rPr>
      </w:pPr>
    </w:p>
    <w:p w14:paraId="512F7356">
      <w:pPr>
        <w:widowControl/>
        <w:rPr>
          <w:color w:val="auto"/>
          <w:highlight w:val="none"/>
        </w:rPr>
      </w:pPr>
    </w:p>
    <w:p w14:paraId="2F8D22A3">
      <w:pPr>
        <w:widowControl/>
        <w:rPr>
          <w:color w:val="auto"/>
          <w:highlight w:val="none"/>
        </w:rPr>
      </w:pPr>
    </w:p>
    <w:p w14:paraId="29F7ECDE">
      <w:pPr>
        <w:widowControl/>
        <w:rPr>
          <w:color w:val="auto"/>
          <w:highlight w:val="none"/>
        </w:rPr>
      </w:pPr>
    </w:p>
    <w:p w14:paraId="3000C39D">
      <w:pPr>
        <w:widowControl/>
        <w:rPr>
          <w:color w:val="auto"/>
          <w:highlight w:val="none"/>
        </w:rPr>
      </w:pPr>
    </w:p>
    <w:p w14:paraId="589D4938">
      <w:pPr>
        <w:widowControl/>
        <w:rPr>
          <w:color w:val="auto"/>
          <w:highlight w:val="none"/>
        </w:rPr>
      </w:pPr>
    </w:p>
    <w:p w14:paraId="44E784C6">
      <w:pPr>
        <w:widowControl/>
        <w:rPr>
          <w:color w:val="auto"/>
          <w:highlight w:val="none"/>
        </w:rPr>
      </w:pPr>
    </w:p>
    <w:p w14:paraId="3A5E8D78">
      <w:pPr>
        <w:widowControl/>
        <w:rPr>
          <w:color w:val="auto"/>
          <w:highlight w:val="none"/>
        </w:rPr>
      </w:pPr>
    </w:p>
    <w:p w14:paraId="72DE6D5C">
      <w:pPr>
        <w:widowControl/>
        <w:rPr>
          <w:color w:val="auto"/>
          <w:highlight w:val="none"/>
        </w:rPr>
      </w:pPr>
    </w:p>
    <w:p w14:paraId="0ABDC715">
      <w:pPr>
        <w:widowControl/>
        <w:rPr>
          <w:color w:val="auto"/>
          <w:highlight w:val="none"/>
        </w:rPr>
      </w:pPr>
    </w:p>
    <w:p w14:paraId="70CD738B">
      <w:pPr>
        <w:widowControl/>
        <w:rPr>
          <w:color w:val="auto"/>
          <w:highlight w:val="none"/>
        </w:rPr>
      </w:pPr>
    </w:p>
    <w:p w14:paraId="5306FAED">
      <w:pPr>
        <w:widowControl/>
        <w:rPr>
          <w:color w:val="auto"/>
          <w:highlight w:val="none"/>
        </w:rPr>
      </w:pPr>
    </w:p>
    <w:p w14:paraId="183033E5">
      <w:pPr>
        <w:widowControl/>
        <w:rPr>
          <w:color w:val="auto"/>
          <w:highlight w:val="none"/>
        </w:rPr>
      </w:pPr>
    </w:p>
    <w:p w14:paraId="06D05647">
      <w:pPr>
        <w:widowControl/>
        <w:rPr>
          <w:color w:val="auto"/>
          <w:highlight w:val="none"/>
        </w:rPr>
      </w:pPr>
    </w:p>
    <w:p w14:paraId="6C1872BF">
      <w:pPr>
        <w:widowControl/>
        <w:rPr>
          <w:color w:val="auto"/>
          <w:highlight w:val="none"/>
        </w:rPr>
      </w:pPr>
    </w:p>
    <w:p w14:paraId="6F676433">
      <w:pPr>
        <w:widowControl/>
        <w:rPr>
          <w:color w:val="auto"/>
          <w:highlight w:val="none"/>
        </w:rPr>
      </w:pPr>
    </w:p>
    <w:p w14:paraId="3897A3D8">
      <w:pPr>
        <w:widowControl/>
        <w:rPr>
          <w:color w:val="auto"/>
          <w:highlight w:val="none"/>
        </w:rPr>
      </w:pPr>
    </w:p>
    <w:p w14:paraId="329DA59F">
      <w:pPr>
        <w:widowControl/>
        <w:rPr>
          <w:color w:val="auto"/>
          <w:highlight w:val="none"/>
        </w:rPr>
      </w:pPr>
    </w:p>
    <w:p w14:paraId="602E6760">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14:paraId="7BEEFC8B">
      <w:pPr>
        <w:widowControl/>
        <w:rPr>
          <w:color w:val="auto"/>
          <w:highlight w:val="none"/>
        </w:rPr>
      </w:pPr>
    </w:p>
    <w:p w14:paraId="2C9BCF22">
      <w:pPr>
        <w:widowControl/>
        <w:rPr>
          <w:color w:val="auto"/>
          <w:highlight w:val="none"/>
        </w:rPr>
      </w:pPr>
    </w:p>
    <w:p w14:paraId="162C2081">
      <w:pPr>
        <w:widowControl/>
        <w:rPr>
          <w:rFonts w:eastAsia="黑体"/>
          <w:color w:val="auto"/>
          <w:sz w:val="28"/>
          <w:szCs w:val="28"/>
          <w:highlight w:val="none"/>
        </w:rPr>
      </w:pPr>
      <w:r>
        <w:rPr>
          <w:rFonts w:eastAsia="黑体"/>
          <w:color w:val="auto"/>
          <w:sz w:val="28"/>
          <w:szCs w:val="28"/>
          <w:highlight w:val="none"/>
        </w:rPr>
        <w:br w:type="page"/>
      </w:r>
      <w:bookmarkStart w:id="997" w:name="_Toc300678594"/>
    </w:p>
    <w:p w14:paraId="7A290572">
      <w:pPr>
        <w:widowControl/>
        <w:rPr>
          <w:rFonts w:eastAsia="黑体"/>
          <w:color w:val="auto"/>
          <w:sz w:val="28"/>
          <w:szCs w:val="28"/>
          <w:highlight w:val="none"/>
        </w:rPr>
      </w:pPr>
    </w:p>
    <w:p w14:paraId="46153AFB">
      <w:pPr>
        <w:widowControl/>
        <w:rPr>
          <w:rFonts w:eastAsia="黑体"/>
          <w:color w:val="auto"/>
          <w:sz w:val="28"/>
          <w:szCs w:val="28"/>
          <w:highlight w:val="none"/>
        </w:rPr>
      </w:pPr>
    </w:p>
    <w:p w14:paraId="4121F70A">
      <w:pPr>
        <w:pStyle w:val="6"/>
        <w:spacing w:before="0" w:after="0" w:line="240" w:lineRule="auto"/>
        <w:jc w:val="center"/>
        <w:rPr>
          <w:rFonts w:ascii="Times New Roman" w:hAnsi="Times New Roman" w:eastAsia="黑体"/>
          <w:b w:val="0"/>
          <w:bCs w:val="0"/>
          <w:color w:val="auto"/>
          <w:sz w:val="36"/>
          <w:szCs w:val="36"/>
          <w:highlight w:val="none"/>
        </w:rPr>
      </w:pPr>
      <w:bookmarkStart w:id="998" w:name="_Toc80006166"/>
      <w:bookmarkStart w:id="999" w:name="_Toc9178591"/>
      <w:bookmarkStart w:id="1000" w:name="_Toc80006276"/>
      <w:r>
        <w:rPr>
          <w:rFonts w:ascii="Times New Roman" w:hAnsi="Times New Roman" w:eastAsia="黑体"/>
          <w:b w:val="0"/>
          <w:bCs w:val="0"/>
          <w:color w:val="auto"/>
          <w:sz w:val="36"/>
          <w:szCs w:val="36"/>
          <w:highlight w:val="none"/>
        </w:rPr>
        <w:t>目    录</w:t>
      </w:r>
      <w:bookmarkEnd w:id="997"/>
      <w:bookmarkEnd w:id="998"/>
      <w:bookmarkEnd w:id="999"/>
      <w:bookmarkEnd w:id="1000"/>
    </w:p>
    <w:p w14:paraId="210B0709">
      <w:pPr>
        <w:spacing w:line="360" w:lineRule="auto"/>
        <w:rPr>
          <w:color w:val="auto"/>
          <w:highlight w:val="none"/>
        </w:rPr>
      </w:pPr>
    </w:p>
    <w:p w14:paraId="66935686">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"_Toc300678595"</w:instrText>
      </w:r>
      <w:r>
        <w:rPr>
          <w:color w:val="auto"/>
          <w:highlight w:val="none"/>
        </w:rPr>
        <w:fldChar w:fldCharType="separate"/>
      </w:r>
      <w:r>
        <w:rPr>
          <w:rFonts w:hint="eastAsia"/>
          <w:color w:val="auto"/>
          <w:highlight w:val="none"/>
        </w:rPr>
        <w:t>1.</w:t>
      </w:r>
      <w:r>
        <w:rPr>
          <w:rStyle w:val="47"/>
          <w:color w:val="auto"/>
          <w:highlight w:val="none"/>
          <w:u w:val="none"/>
        </w:rPr>
        <w:t>已标价工程量清单内容</w:t>
      </w:r>
      <w:r>
        <w:rPr>
          <w:color w:val="auto"/>
          <w:highlight w:val="none"/>
        </w:rPr>
        <w:tab/>
      </w:r>
      <w:r>
        <w:rPr>
          <w:color w:val="auto"/>
          <w:highlight w:val="none"/>
        </w:rPr>
        <w:fldChar w:fldCharType="end"/>
      </w:r>
    </w:p>
    <w:p w14:paraId="441BD849">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"_Toc300678596"</w:instrText>
      </w:r>
      <w:r>
        <w:rPr>
          <w:color w:val="auto"/>
          <w:highlight w:val="none"/>
        </w:rPr>
        <w:fldChar w:fldCharType="separate"/>
      </w:r>
      <w:r>
        <w:rPr>
          <w:rFonts w:hint="eastAsia"/>
          <w:color w:val="auto"/>
          <w:highlight w:val="none"/>
        </w:rPr>
        <w:t>2.</w:t>
      </w:r>
      <w:r>
        <w:rPr>
          <w:rStyle w:val="47"/>
          <w:rFonts w:hint="eastAsia"/>
          <w:color w:val="auto"/>
          <w:highlight w:val="none"/>
          <w:u w:val="none"/>
        </w:rPr>
        <w:t>已</w:t>
      </w:r>
      <w:r>
        <w:rPr>
          <w:rStyle w:val="47"/>
          <w:color w:val="auto"/>
          <w:highlight w:val="none"/>
          <w:u w:val="none"/>
        </w:rPr>
        <w:t>标价工程量清单格式</w:t>
      </w:r>
      <w:r>
        <w:rPr>
          <w:color w:val="auto"/>
          <w:highlight w:val="none"/>
        </w:rPr>
        <w:tab/>
      </w:r>
      <w:r>
        <w:rPr>
          <w:color w:val="auto"/>
          <w:highlight w:val="none"/>
        </w:rPr>
        <w:fldChar w:fldCharType="end"/>
      </w:r>
    </w:p>
    <w:p w14:paraId="0070AC22">
      <w:pPr>
        <w:autoSpaceDE w:val="0"/>
        <w:autoSpaceDN w:val="0"/>
        <w:adjustRightInd w:val="0"/>
        <w:spacing w:before="64" w:line="360" w:lineRule="auto"/>
        <w:ind w:right="-23" w:firstLine="420" w:firstLineChars="200"/>
        <w:jc w:val="left"/>
        <w:rPr>
          <w:color w:val="auto"/>
          <w:kern w:val="0"/>
          <w:szCs w:val="21"/>
          <w:highlight w:val="none"/>
        </w:rPr>
      </w:pPr>
      <w:r>
        <w:rPr>
          <w:color w:val="auto"/>
          <w:highlight w:val="none"/>
        </w:rPr>
        <w:t xml:space="preserve">   </w:t>
      </w:r>
    </w:p>
    <w:p w14:paraId="356D8C71">
      <w:pPr>
        <w:autoSpaceDE w:val="0"/>
        <w:autoSpaceDN w:val="0"/>
        <w:adjustRightInd w:val="0"/>
        <w:spacing w:before="64"/>
        <w:ind w:right="-23" w:firstLine="420" w:firstLineChars="200"/>
        <w:jc w:val="left"/>
        <w:rPr>
          <w:color w:val="auto"/>
          <w:kern w:val="0"/>
          <w:szCs w:val="21"/>
          <w:highlight w:val="none"/>
        </w:rPr>
      </w:pPr>
    </w:p>
    <w:p w14:paraId="58F4773F">
      <w:pPr>
        <w:autoSpaceDE w:val="0"/>
        <w:autoSpaceDN w:val="0"/>
        <w:adjustRightInd w:val="0"/>
        <w:spacing w:before="64"/>
        <w:ind w:right="-23" w:firstLine="420" w:firstLineChars="200"/>
        <w:jc w:val="left"/>
        <w:rPr>
          <w:color w:val="auto"/>
          <w:kern w:val="0"/>
          <w:szCs w:val="21"/>
          <w:highlight w:val="none"/>
        </w:rPr>
      </w:pPr>
    </w:p>
    <w:p w14:paraId="141A0621">
      <w:pPr>
        <w:autoSpaceDE w:val="0"/>
        <w:autoSpaceDN w:val="0"/>
        <w:adjustRightInd w:val="0"/>
        <w:spacing w:before="64"/>
        <w:ind w:right="-23" w:firstLine="420" w:firstLineChars="200"/>
        <w:jc w:val="left"/>
        <w:rPr>
          <w:color w:val="auto"/>
          <w:kern w:val="0"/>
          <w:szCs w:val="21"/>
          <w:highlight w:val="none"/>
        </w:rPr>
      </w:pPr>
    </w:p>
    <w:p w14:paraId="21DC3A9C">
      <w:pPr>
        <w:autoSpaceDE w:val="0"/>
        <w:autoSpaceDN w:val="0"/>
        <w:adjustRightInd w:val="0"/>
        <w:spacing w:before="64"/>
        <w:ind w:right="-23" w:firstLine="420" w:firstLineChars="200"/>
        <w:jc w:val="left"/>
        <w:rPr>
          <w:color w:val="auto"/>
          <w:kern w:val="0"/>
          <w:szCs w:val="21"/>
          <w:highlight w:val="none"/>
        </w:rPr>
      </w:pPr>
    </w:p>
    <w:p w14:paraId="7B6CC30A">
      <w:pPr>
        <w:autoSpaceDE w:val="0"/>
        <w:autoSpaceDN w:val="0"/>
        <w:adjustRightInd w:val="0"/>
        <w:spacing w:before="64"/>
        <w:ind w:right="-23" w:firstLine="420" w:firstLineChars="200"/>
        <w:jc w:val="left"/>
        <w:rPr>
          <w:color w:val="auto"/>
          <w:kern w:val="0"/>
          <w:szCs w:val="21"/>
          <w:highlight w:val="none"/>
        </w:rPr>
      </w:pPr>
    </w:p>
    <w:p w14:paraId="00F27439">
      <w:pPr>
        <w:autoSpaceDE w:val="0"/>
        <w:autoSpaceDN w:val="0"/>
        <w:adjustRightInd w:val="0"/>
        <w:spacing w:before="64"/>
        <w:ind w:right="-23" w:firstLine="420" w:firstLineChars="200"/>
        <w:jc w:val="left"/>
        <w:rPr>
          <w:color w:val="auto"/>
          <w:kern w:val="0"/>
          <w:szCs w:val="21"/>
          <w:highlight w:val="none"/>
        </w:rPr>
      </w:pPr>
    </w:p>
    <w:p w14:paraId="23D85801">
      <w:pPr>
        <w:widowControl/>
        <w:jc w:val="left"/>
        <w:rPr>
          <w:color w:val="auto"/>
          <w:kern w:val="0"/>
          <w:szCs w:val="21"/>
          <w:highlight w:val="none"/>
        </w:rPr>
      </w:pPr>
      <w:r>
        <w:rPr>
          <w:color w:val="auto"/>
          <w:kern w:val="0"/>
          <w:szCs w:val="21"/>
          <w:highlight w:val="none"/>
        </w:rPr>
        <w:br w:type="page"/>
      </w:r>
    </w:p>
    <w:p w14:paraId="589E7534">
      <w:pPr>
        <w:pStyle w:val="31"/>
        <w:tabs>
          <w:tab w:val="right" w:leader="dot" w:pos="8720"/>
        </w:tabs>
        <w:ind w:left="0" w:leftChars="0"/>
        <w:jc w:val="left"/>
        <w:rPr>
          <w:color w:val="auto"/>
          <w:highlight w:val="none"/>
        </w:rPr>
      </w:pPr>
    </w:p>
    <w:p w14:paraId="5A0F35F4">
      <w:pPr>
        <w:pStyle w:val="7"/>
        <w:keepNext/>
        <w:keepLines/>
        <w:widowControl w:val="0"/>
        <w:jc w:val="left"/>
        <w:rPr>
          <w:rFonts w:eastAsia="黑体"/>
          <w:b w:val="0"/>
          <w:color w:val="auto"/>
          <w:sz w:val="28"/>
          <w:szCs w:val="28"/>
          <w:highlight w:val="none"/>
        </w:rPr>
      </w:pPr>
      <w:bookmarkStart w:id="1001" w:name="_Toc9178592"/>
      <w:bookmarkStart w:id="1002" w:name="_Toc300678595"/>
      <w:bookmarkStart w:id="1003" w:name="_Toc80006167"/>
      <w:bookmarkStart w:id="1004" w:name="_Toc80006277"/>
      <w:r>
        <w:rPr>
          <w:rFonts w:hint="eastAsia" w:eastAsia="黑体"/>
          <w:b w:val="0"/>
          <w:color w:val="auto"/>
          <w:sz w:val="28"/>
          <w:szCs w:val="28"/>
          <w:highlight w:val="none"/>
        </w:rPr>
        <w:t>1.</w:t>
      </w:r>
      <w:r>
        <w:rPr>
          <w:rFonts w:eastAsia="黑体"/>
          <w:b w:val="0"/>
          <w:color w:val="auto"/>
          <w:sz w:val="28"/>
          <w:szCs w:val="28"/>
          <w:highlight w:val="none"/>
        </w:rPr>
        <w:t>已标价工程量清单内容</w:t>
      </w:r>
      <w:bookmarkEnd w:id="1001"/>
      <w:bookmarkEnd w:id="1002"/>
      <w:bookmarkEnd w:id="1003"/>
      <w:bookmarkEnd w:id="1004"/>
    </w:p>
    <w:p w14:paraId="5BFFC421">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w:t>
      </w:r>
      <w:r>
        <w:rPr>
          <w:rFonts w:hint="eastAsia"/>
          <w:color w:val="auto"/>
          <w:highlight w:val="none"/>
        </w:rPr>
        <w:t>）投标总价封面；</w:t>
      </w:r>
    </w:p>
    <w:p w14:paraId="6417880D">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2</w:t>
      </w:r>
      <w:r>
        <w:rPr>
          <w:rFonts w:hint="eastAsia"/>
          <w:color w:val="auto"/>
          <w:highlight w:val="none"/>
        </w:rPr>
        <w:t>）投标总价扉页</w:t>
      </w:r>
    </w:p>
    <w:p w14:paraId="1562F564">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3</w:t>
      </w:r>
      <w:r>
        <w:rPr>
          <w:rFonts w:hint="eastAsia"/>
          <w:color w:val="auto"/>
          <w:highlight w:val="none"/>
        </w:rPr>
        <w:t>）工程计价总说明</w:t>
      </w:r>
    </w:p>
    <w:p w14:paraId="4887FEBC">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4</w:t>
      </w:r>
      <w:r>
        <w:rPr>
          <w:rFonts w:hint="eastAsia"/>
          <w:color w:val="auto"/>
          <w:highlight w:val="none"/>
        </w:rPr>
        <w:t>）建设项目投标报价汇总表</w:t>
      </w:r>
    </w:p>
    <w:p w14:paraId="40790EF1">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5</w:t>
      </w:r>
      <w:r>
        <w:rPr>
          <w:rFonts w:hint="eastAsia"/>
          <w:color w:val="auto"/>
          <w:highlight w:val="none"/>
        </w:rPr>
        <w:t>）单项工程投标报价汇总表</w:t>
      </w:r>
    </w:p>
    <w:p w14:paraId="32C67186">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6</w:t>
      </w:r>
      <w:r>
        <w:rPr>
          <w:rFonts w:hint="eastAsia"/>
          <w:color w:val="auto"/>
          <w:highlight w:val="none"/>
        </w:rPr>
        <w:t>）单位工程投标报价汇总表</w:t>
      </w:r>
    </w:p>
    <w:p w14:paraId="2EE8A113">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7</w:t>
      </w:r>
      <w:r>
        <w:rPr>
          <w:rFonts w:hint="eastAsia"/>
          <w:color w:val="auto"/>
          <w:highlight w:val="none"/>
        </w:rPr>
        <w:t>）分部分项工程项目清单与措施项目清单计价表</w:t>
      </w:r>
    </w:p>
    <w:p w14:paraId="5E7E6841">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8</w:t>
      </w:r>
      <w:r>
        <w:rPr>
          <w:rFonts w:hint="eastAsia"/>
          <w:color w:val="auto"/>
          <w:highlight w:val="none"/>
        </w:rPr>
        <w:t>）综合单价分析表</w:t>
      </w:r>
    </w:p>
    <w:p w14:paraId="005742AD">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9</w:t>
      </w:r>
      <w:r>
        <w:rPr>
          <w:rFonts w:hint="eastAsia"/>
          <w:color w:val="auto"/>
          <w:highlight w:val="none"/>
        </w:rPr>
        <w:t>）总价措施项目清单计费表</w:t>
      </w:r>
    </w:p>
    <w:p w14:paraId="4B3E1812">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10</w:t>
      </w:r>
      <w:r>
        <w:rPr>
          <w:rFonts w:hint="eastAsia"/>
          <w:color w:val="auto"/>
          <w:highlight w:val="none"/>
        </w:rPr>
        <w:t>）绿色施工安全防护措施项目费计价表（招投标）</w:t>
      </w:r>
    </w:p>
    <w:p w14:paraId="56086E8C">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11</w:t>
      </w:r>
      <w:r>
        <w:rPr>
          <w:rFonts w:hint="eastAsia"/>
          <w:color w:val="auto"/>
          <w:highlight w:val="none"/>
        </w:rPr>
        <w:t>）其他项目清单与计价汇总表</w:t>
      </w:r>
    </w:p>
    <w:p w14:paraId="6B8097CA">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12</w:t>
      </w:r>
      <w:r>
        <w:rPr>
          <w:rFonts w:hint="eastAsia"/>
          <w:color w:val="auto"/>
          <w:highlight w:val="none"/>
        </w:rPr>
        <w:t>）暂列金额明细表</w:t>
      </w:r>
    </w:p>
    <w:p w14:paraId="41DA8AAB">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13</w:t>
      </w:r>
      <w:r>
        <w:rPr>
          <w:rFonts w:hint="eastAsia"/>
          <w:color w:val="auto"/>
          <w:highlight w:val="none"/>
        </w:rPr>
        <w:t>）材料暂估单价及调整表</w:t>
      </w:r>
    </w:p>
    <w:p w14:paraId="751C95BF">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14</w:t>
      </w:r>
      <w:r>
        <w:rPr>
          <w:rFonts w:hint="eastAsia"/>
          <w:color w:val="auto"/>
          <w:highlight w:val="none"/>
        </w:rPr>
        <w:t>）专业工程</w:t>
      </w:r>
      <w:r>
        <w:rPr>
          <w:color w:val="auto"/>
          <w:highlight w:val="none"/>
        </w:rPr>
        <w:t>/</w:t>
      </w:r>
      <w:r>
        <w:rPr>
          <w:rFonts w:hint="eastAsia"/>
          <w:color w:val="auto"/>
          <w:highlight w:val="none"/>
        </w:rPr>
        <w:t>分部分项工程暂估价及结算价表</w:t>
      </w:r>
    </w:p>
    <w:p w14:paraId="6157EC32">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15</w:t>
      </w:r>
      <w:r>
        <w:rPr>
          <w:rFonts w:hint="eastAsia"/>
          <w:color w:val="auto"/>
          <w:highlight w:val="none"/>
        </w:rPr>
        <w:t>）计日工表</w:t>
      </w:r>
    </w:p>
    <w:p w14:paraId="574DDB09">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16</w:t>
      </w:r>
      <w:r>
        <w:rPr>
          <w:rFonts w:hint="eastAsia"/>
          <w:color w:val="auto"/>
          <w:highlight w:val="none"/>
        </w:rPr>
        <w:t>）总承包服务费计价表</w:t>
      </w:r>
    </w:p>
    <w:p w14:paraId="7931A19F">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17</w:t>
      </w:r>
      <w:r>
        <w:rPr>
          <w:rFonts w:hint="eastAsia"/>
          <w:color w:val="auto"/>
          <w:highlight w:val="none"/>
        </w:rPr>
        <w:t>）部分其他项目费计价表</w:t>
      </w:r>
    </w:p>
    <w:p w14:paraId="4246CDE8">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18</w:t>
      </w:r>
      <w:r>
        <w:rPr>
          <w:rFonts w:hint="eastAsia"/>
          <w:color w:val="auto"/>
          <w:highlight w:val="none"/>
        </w:rPr>
        <w:t>）发包人提供材料一览表</w:t>
      </w:r>
    </w:p>
    <w:p w14:paraId="21051B54">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19</w:t>
      </w:r>
      <w:r>
        <w:rPr>
          <w:rFonts w:hint="eastAsia"/>
          <w:color w:val="auto"/>
          <w:highlight w:val="none"/>
        </w:rPr>
        <w:t>）人工、材料、机械汇总表</w:t>
      </w:r>
    </w:p>
    <w:p w14:paraId="7B2767F0">
      <w:pPr>
        <w:pStyle w:val="211"/>
        <w:autoSpaceDE w:val="0"/>
        <w:autoSpaceDN w:val="0"/>
        <w:adjustRightInd w:val="0"/>
        <w:spacing w:before="64" w:line="360" w:lineRule="auto"/>
        <w:ind w:right="-23"/>
        <w:jc w:val="left"/>
        <w:rPr>
          <w:color w:val="auto"/>
          <w:highlight w:val="none"/>
        </w:rPr>
      </w:pPr>
      <w:r>
        <w:rPr>
          <w:rFonts w:hint="eastAsia"/>
          <w:color w:val="auto"/>
          <w:highlight w:val="none"/>
        </w:rPr>
        <w:t>（20）重点评审的工程量清单综合单价（含单价措施项目）表</w:t>
      </w:r>
    </w:p>
    <w:p w14:paraId="26E8058C">
      <w:pPr>
        <w:pStyle w:val="211"/>
        <w:autoSpaceDE w:val="0"/>
        <w:autoSpaceDN w:val="0"/>
        <w:adjustRightInd w:val="0"/>
        <w:spacing w:before="64" w:line="360" w:lineRule="auto"/>
        <w:ind w:right="-23"/>
        <w:jc w:val="left"/>
        <w:rPr>
          <w:color w:val="auto"/>
          <w:highlight w:val="none"/>
        </w:rPr>
      </w:pPr>
      <w:r>
        <w:rPr>
          <w:rFonts w:hint="eastAsia"/>
          <w:color w:val="auto"/>
          <w:highlight w:val="none"/>
        </w:rPr>
        <w:t>（</w:t>
      </w:r>
      <w:r>
        <w:rPr>
          <w:color w:val="auto"/>
          <w:highlight w:val="none"/>
        </w:rPr>
        <w:t>2</w:t>
      </w:r>
      <w:r>
        <w:rPr>
          <w:rFonts w:hint="eastAsia"/>
          <w:color w:val="auto"/>
          <w:highlight w:val="none"/>
        </w:rPr>
        <w:t>1）重点评审的材料单价表</w:t>
      </w:r>
    </w:p>
    <w:p w14:paraId="25F176D2">
      <w:pPr>
        <w:pStyle w:val="211"/>
        <w:autoSpaceDE w:val="0"/>
        <w:autoSpaceDN w:val="0"/>
        <w:adjustRightInd w:val="0"/>
        <w:spacing w:before="64" w:line="360" w:lineRule="auto"/>
        <w:ind w:right="-23"/>
        <w:jc w:val="left"/>
        <w:rPr>
          <w:color w:val="auto"/>
          <w:highlight w:val="none"/>
        </w:rPr>
      </w:pPr>
      <w:r>
        <w:rPr>
          <w:rFonts w:hint="eastAsia"/>
          <w:color w:val="auto"/>
          <w:highlight w:val="none"/>
        </w:rPr>
        <w:t>说明：以上表格如为空白表格，可不提供。</w:t>
      </w:r>
    </w:p>
    <w:p w14:paraId="1EF23A64">
      <w:pPr>
        <w:autoSpaceDE w:val="0"/>
        <w:autoSpaceDN w:val="0"/>
        <w:adjustRightInd w:val="0"/>
        <w:spacing w:before="64" w:line="360" w:lineRule="auto"/>
        <w:ind w:right="-23"/>
        <w:jc w:val="left"/>
        <w:rPr>
          <w:color w:val="auto"/>
          <w:highlight w:val="none"/>
        </w:rPr>
      </w:pPr>
    </w:p>
    <w:p w14:paraId="7EB76199">
      <w:pPr>
        <w:autoSpaceDE w:val="0"/>
        <w:autoSpaceDN w:val="0"/>
        <w:adjustRightInd w:val="0"/>
        <w:spacing w:before="64" w:line="360" w:lineRule="auto"/>
        <w:ind w:right="-23"/>
        <w:jc w:val="left"/>
        <w:rPr>
          <w:color w:val="auto"/>
          <w:highlight w:val="none"/>
        </w:rPr>
      </w:pPr>
    </w:p>
    <w:p w14:paraId="553F8B5B">
      <w:pPr>
        <w:widowControl/>
        <w:jc w:val="left"/>
        <w:rPr>
          <w:color w:val="auto"/>
          <w:highlight w:val="none"/>
        </w:rPr>
      </w:pPr>
      <w:r>
        <w:rPr>
          <w:color w:val="auto"/>
          <w:highlight w:val="none"/>
        </w:rPr>
        <w:br w:type="page"/>
      </w:r>
    </w:p>
    <w:p w14:paraId="298FB756">
      <w:pPr>
        <w:spacing w:after="240" w:afterLines="100"/>
        <w:rPr>
          <w:color w:val="auto"/>
          <w:highlight w:val="none"/>
        </w:rPr>
      </w:pPr>
      <w:bookmarkStart w:id="1005" w:name="_Toc300678597"/>
    </w:p>
    <w:bookmarkEnd w:id="1005"/>
    <w:p w14:paraId="63580F25">
      <w:pPr>
        <w:pStyle w:val="7"/>
        <w:keepNext/>
        <w:keepLines/>
        <w:widowControl w:val="0"/>
        <w:jc w:val="left"/>
        <w:rPr>
          <w:rFonts w:eastAsia="黑体"/>
          <w:b w:val="0"/>
          <w:color w:val="auto"/>
          <w:sz w:val="28"/>
          <w:szCs w:val="28"/>
          <w:highlight w:val="none"/>
        </w:rPr>
      </w:pPr>
      <w:bookmarkStart w:id="1006" w:name="_Toc80006278"/>
      <w:bookmarkStart w:id="1007" w:name="_Toc80006168"/>
      <w:r>
        <w:rPr>
          <w:rFonts w:hint="eastAsia" w:eastAsia="黑体"/>
          <w:b w:val="0"/>
          <w:color w:val="auto"/>
          <w:sz w:val="28"/>
          <w:szCs w:val="28"/>
          <w:highlight w:val="none"/>
        </w:rPr>
        <w:t>2.</w:t>
      </w:r>
      <w:r>
        <w:rPr>
          <w:rFonts w:eastAsia="黑体"/>
          <w:b w:val="0"/>
          <w:color w:val="auto"/>
          <w:sz w:val="28"/>
          <w:szCs w:val="28"/>
          <w:highlight w:val="none"/>
        </w:rPr>
        <w:t>已标价工程量清单格式</w:t>
      </w:r>
      <w:bookmarkEnd w:id="1006"/>
      <w:bookmarkEnd w:id="1007"/>
    </w:p>
    <w:p w14:paraId="29436CC6">
      <w:pPr>
        <w:spacing w:line="360" w:lineRule="auto"/>
        <w:ind w:firstLine="480" w:firstLineChars="200"/>
        <w:rPr>
          <w:rFonts w:eastAsia="黑体"/>
          <w:color w:val="auto"/>
          <w:sz w:val="24"/>
          <w:highlight w:val="none"/>
        </w:rPr>
      </w:pPr>
    </w:p>
    <w:p w14:paraId="11AE74E4">
      <w:pPr>
        <w:spacing w:line="360" w:lineRule="auto"/>
        <w:ind w:firstLine="480" w:firstLineChars="200"/>
        <w:rPr>
          <w:color w:val="auto"/>
          <w:sz w:val="24"/>
          <w:highlight w:val="none"/>
        </w:rPr>
      </w:pPr>
      <w:r>
        <w:rPr>
          <w:rFonts w:hint="eastAsia" w:eastAsia="黑体"/>
          <w:color w:val="auto"/>
          <w:sz w:val="24"/>
          <w:highlight w:val="none"/>
        </w:rPr>
        <w:t>说明：</w:t>
      </w:r>
      <w:r>
        <w:rPr>
          <w:rFonts w:hint="eastAsia" w:ascii="宋体" w:hAnsi="宋体"/>
          <w:color w:val="auto"/>
          <w:szCs w:val="21"/>
          <w:highlight w:val="none"/>
        </w:rPr>
        <w:t>已标价工程量清单按照</w:t>
      </w:r>
      <w:r>
        <w:rPr>
          <w:color w:val="auto"/>
          <w:highlight w:val="none"/>
        </w:rPr>
        <w:t>《</w:t>
      </w:r>
      <w:r>
        <w:rPr>
          <w:rFonts w:hint="eastAsia"/>
          <w:color w:val="auto"/>
          <w:highlight w:val="none"/>
        </w:rPr>
        <w:t>湖南省住房和城乡建设厅关于印发&lt;湖南省建设工程计价办法</w:t>
      </w:r>
      <w:r>
        <w:rPr>
          <w:color w:val="auto"/>
          <w:highlight w:val="none"/>
        </w:rPr>
        <w:t>&gt;</w:t>
      </w:r>
      <w:r>
        <w:rPr>
          <w:rFonts w:hint="eastAsia"/>
          <w:color w:val="auto"/>
          <w:highlight w:val="none"/>
        </w:rPr>
        <w:t>及&lt;湖南省建设工程消耗量标准</w:t>
      </w:r>
      <w:r>
        <w:rPr>
          <w:color w:val="auto"/>
          <w:highlight w:val="none"/>
        </w:rPr>
        <w:t>&gt;</w:t>
      </w:r>
      <w:r>
        <w:rPr>
          <w:rFonts w:hint="eastAsia"/>
          <w:color w:val="auto"/>
          <w:highlight w:val="none"/>
        </w:rPr>
        <w:t>的通知</w:t>
      </w:r>
      <w:r>
        <w:rPr>
          <w:color w:val="auto"/>
          <w:highlight w:val="none"/>
        </w:rPr>
        <w:t>》（</w:t>
      </w:r>
      <w:r>
        <w:rPr>
          <w:rFonts w:hint="eastAsia"/>
          <w:color w:val="auto"/>
          <w:highlight w:val="none"/>
        </w:rPr>
        <w:t xml:space="preserve"> 湘建价【2020】56号</w:t>
      </w:r>
      <w:r>
        <w:rPr>
          <w:color w:val="auto"/>
          <w:highlight w:val="none"/>
        </w:rPr>
        <w:t>）等文件规定的格式</w:t>
      </w:r>
      <w:r>
        <w:rPr>
          <w:rFonts w:hint="eastAsia"/>
          <w:color w:val="auto"/>
          <w:highlight w:val="none"/>
        </w:rPr>
        <w:t>填写。由计价软件打印的已标价工程量清单与上述文件格式不一致的，以计价软件打印的表格为准。投标人采用的计价软件应当通过了湖南建设工程造价管理总站的测评。</w:t>
      </w:r>
    </w:p>
    <w:p w14:paraId="1EA3A82A">
      <w:pPr>
        <w:widowControl/>
        <w:rPr>
          <w:color w:val="auto"/>
          <w:highlight w:val="none"/>
        </w:rPr>
      </w:pPr>
      <w:r>
        <w:rPr>
          <w:color w:val="auto"/>
          <w:highlight w:val="none"/>
        </w:rPr>
        <w:br w:type="page"/>
      </w:r>
    </w:p>
    <w:p w14:paraId="4A220479">
      <w:pPr>
        <w:widowControl/>
        <w:rPr>
          <w:color w:val="auto"/>
          <w:highlight w:val="none"/>
        </w:rPr>
      </w:pPr>
    </w:p>
    <w:p w14:paraId="2F8159D5">
      <w:pPr>
        <w:widowControl/>
        <w:rPr>
          <w:color w:val="auto"/>
          <w:highlight w:val="none"/>
        </w:rPr>
      </w:pPr>
    </w:p>
    <w:p w14:paraId="48E4D7C9">
      <w:pPr>
        <w:widowControl/>
        <w:rPr>
          <w:color w:val="auto"/>
          <w:highlight w:val="none"/>
        </w:rPr>
      </w:pPr>
    </w:p>
    <w:p w14:paraId="6814B8A6">
      <w:pPr>
        <w:widowControl/>
        <w:rPr>
          <w:rFonts w:eastAsia="黑体"/>
          <w:color w:val="auto"/>
          <w:szCs w:val="21"/>
          <w:highlight w:val="none"/>
          <w:u w:val="single"/>
        </w:rPr>
      </w:pPr>
    </w:p>
    <w:p w14:paraId="11DDEEF2">
      <w:pPr>
        <w:rPr>
          <w:rFonts w:eastAsia="黑体"/>
          <w:color w:val="auto"/>
          <w:szCs w:val="21"/>
          <w:highlight w:val="none"/>
          <w:u w:val="single"/>
        </w:rPr>
      </w:pPr>
    </w:p>
    <w:p w14:paraId="3AFDBDF3">
      <w:pPr>
        <w:rPr>
          <w:rFonts w:eastAsia="黑体"/>
          <w:color w:val="auto"/>
          <w:szCs w:val="21"/>
          <w:highlight w:val="none"/>
          <w:u w:val="single"/>
        </w:rPr>
      </w:pPr>
    </w:p>
    <w:p w14:paraId="15352EDB">
      <w:pPr>
        <w:rPr>
          <w:rFonts w:eastAsia="黑体"/>
          <w:color w:val="auto"/>
          <w:szCs w:val="21"/>
          <w:highlight w:val="none"/>
          <w:u w:val="single"/>
        </w:rPr>
      </w:pPr>
    </w:p>
    <w:p w14:paraId="77FD80A5">
      <w:pPr>
        <w:rPr>
          <w:rFonts w:eastAsia="黑体"/>
          <w:color w:val="auto"/>
          <w:szCs w:val="21"/>
          <w:highlight w:val="none"/>
          <w:u w:val="single"/>
        </w:rPr>
      </w:pPr>
    </w:p>
    <w:p w14:paraId="45185196">
      <w:pPr>
        <w:rPr>
          <w:rFonts w:eastAsia="黑体"/>
          <w:color w:val="auto"/>
          <w:szCs w:val="21"/>
          <w:highlight w:val="none"/>
          <w:u w:val="single"/>
        </w:rPr>
      </w:pPr>
    </w:p>
    <w:p w14:paraId="71FB3E3A">
      <w:pPr>
        <w:rPr>
          <w:rFonts w:eastAsia="黑体"/>
          <w:color w:val="auto"/>
          <w:szCs w:val="21"/>
          <w:highlight w:val="none"/>
          <w:u w:val="single"/>
        </w:rPr>
      </w:pPr>
    </w:p>
    <w:p w14:paraId="50761203">
      <w:pPr>
        <w:rPr>
          <w:rFonts w:eastAsia="黑体"/>
          <w:color w:val="auto"/>
          <w:szCs w:val="21"/>
          <w:highlight w:val="none"/>
          <w:u w:val="single"/>
        </w:rPr>
      </w:pPr>
    </w:p>
    <w:p w14:paraId="67F46C97">
      <w:pPr>
        <w:pStyle w:val="5"/>
        <w:jc w:val="center"/>
        <w:rPr>
          <w:rFonts w:ascii="Times New Roman" w:hAnsi="Times New Roman" w:eastAsia="黑体"/>
          <w:b w:val="0"/>
          <w:bCs w:val="0"/>
          <w:color w:val="auto"/>
          <w:highlight w:val="none"/>
        </w:rPr>
      </w:pPr>
      <w:bookmarkStart w:id="1008" w:name="_Toc300678612"/>
      <w:bookmarkStart w:id="1009" w:name="_Toc80006279"/>
      <w:bookmarkStart w:id="1010" w:name="_Toc80006169"/>
      <w:r>
        <w:rPr>
          <w:rFonts w:ascii="Times New Roman" w:hAnsi="Times New Roman" w:eastAsia="黑体"/>
          <w:b w:val="0"/>
          <w:bCs w:val="0"/>
          <w:color w:val="auto"/>
          <w:highlight w:val="none"/>
        </w:rPr>
        <w:t>第三</w:t>
      </w:r>
      <w:r>
        <w:rPr>
          <w:rFonts w:hint="eastAsia" w:ascii="Times New Roman" w:hAnsi="Times New Roman" w:eastAsia="黑体"/>
          <w:b w:val="0"/>
          <w:bCs w:val="0"/>
          <w:color w:val="auto"/>
          <w:highlight w:val="none"/>
        </w:rPr>
        <w:t>节</w:t>
      </w:r>
      <w:r>
        <w:rPr>
          <w:rFonts w:ascii="Times New Roman" w:hAnsi="Times New Roman" w:eastAsia="黑体"/>
          <w:b w:val="0"/>
          <w:bCs w:val="0"/>
          <w:color w:val="auto"/>
          <w:highlight w:val="none"/>
        </w:rPr>
        <w:t xml:space="preserve">  施工组织设计格式</w:t>
      </w:r>
      <w:bookmarkEnd w:id="1008"/>
      <w:bookmarkEnd w:id="1009"/>
      <w:bookmarkEnd w:id="1010"/>
    </w:p>
    <w:p w14:paraId="3B5BC3E6">
      <w:pPr>
        <w:widowControl/>
        <w:jc w:val="center"/>
        <w:rPr>
          <w:b/>
          <w:bCs/>
          <w:color w:val="auto"/>
          <w:sz w:val="28"/>
          <w:szCs w:val="36"/>
          <w:highlight w:val="none"/>
        </w:rPr>
      </w:pPr>
      <w:bookmarkStart w:id="1011" w:name="_Toc79998456"/>
      <w:bookmarkStart w:id="1012" w:name="_Toc9189379"/>
      <w:bookmarkStart w:id="1013" w:name="_Toc303865021"/>
      <w:bookmarkStart w:id="1014" w:name="_Toc79998900"/>
      <w:bookmarkStart w:id="1015" w:name="_Toc21505475"/>
      <w:r>
        <w:rPr>
          <w:b/>
          <w:bCs/>
          <w:color w:val="auto"/>
          <w:sz w:val="28"/>
          <w:szCs w:val="36"/>
          <w:highlight w:val="none"/>
        </w:rPr>
        <w:t>（明标）</w:t>
      </w:r>
      <w:bookmarkEnd w:id="1011"/>
      <w:bookmarkEnd w:id="1012"/>
      <w:bookmarkEnd w:id="1013"/>
      <w:bookmarkEnd w:id="1014"/>
      <w:bookmarkEnd w:id="1015"/>
    </w:p>
    <w:p w14:paraId="6400E882">
      <w:pPr>
        <w:rPr>
          <w:color w:val="auto"/>
          <w:highlight w:val="none"/>
        </w:rPr>
      </w:pPr>
    </w:p>
    <w:p w14:paraId="6D8330DB">
      <w:pPr>
        <w:rPr>
          <w:color w:val="auto"/>
          <w:highlight w:val="none"/>
        </w:rPr>
      </w:pPr>
    </w:p>
    <w:p w14:paraId="25DC2468">
      <w:pPr>
        <w:rPr>
          <w:color w:val="auto"/>
          <w:highlight w:val="none"/>
        </w:rPr>
      </w:pPr>
    </w:p>
    <w:p w14:paraId="6FAA4CF4">
      <w:pPr>
        <w:rPr>
          <w:color w:val="auto"/>
          <w:highlight w:val="none"/>
        </w:rPr>
      </w:pPr>
    </w:p>
    <w:p w14:paraId="50BB5F09">
      <w:pPr>
        <w:widowControl/>
        <w:rPr>
          <w:color w:val="auto"/>
          <w:highlight w:val="none"/>
        </w:rPr>
      </w:pPr>
    </w:p>
    <w:p w14:paraId="7A5E4B75">
      <w:pPr>
        <w:widowControl/>
        <w:rPr>
          <w:color w:val="auto"/>
          <w:highlight w:val="none"/>
        </w:rPr>
      </w:pPr>
    </w:p>
    <w:p w14:paraId="04BF135D">
      <w:pPr>
        <w:widowControl/>
        <w:rPr>
          <w:color w:val="auto"/>
          <w:highlight w:val="none"/>
        </w:rPr>
      </w:pPr>
    </w:p>
    <w:p w14:paraId="6F058791">
      <w:pPr>
        <w:widowControl/>
        <w:rPr>
          <w:color w:val="auto"/>
          <w:highlight w:val="none"/>
        </w:rPr>
      </w:pPr>
    </w:p>
    <w:p w14:paraId="79004846">
      <w:pPr>
        <w:widowControl/>
        <w:rPr>
          <w:color w:val="auto"/>
          <w:highlight w:val="none"/>
        </w:rPr>
      </w:pPr>
    </w:p>
    <w:p w14:paraId="5F16E3F9">
      <w:pPr>
        <w:widowControl/>
        <w:rPr>
          <w:color w:val="auto"/>
          <w:highlight w:val="none"/>
        </w:rPr>
      </w:pPr>
    </w:p>
    <w:p w14:paraId="603AAFE5">
      <w:pPr>
        <w:widowControl/>
        <w:rPr>
          <w:color w:val="auto"/>
          <w:highlight w:val="none"/>
        </w:rPr>
      </w:pPr>
    </w:p>
    <w:p w14:paraId="6FB0BB49">
      <w:pPr>
        <w:widowControl/>
        <w:rPr>
          <w:color w:val="auto"/>
          <w:highlight w:val="none"/>
        </w:rPr>
      </w:pPr>
    </w:p>
    <w:p w14:paraId="26C610C4">
      <w:pPr>
        <w:widowControl/>
        <w:rPr>
          <w:color w:val="auto"/>
          <w:highlight w:val="none"/>
        </w:rPr>
      </w:pPr>
    </w:p>
    <w:p w14:paraId="5D1664D6">
      <w:pPr>
        <w:widowControl/>
        <w:rPr>
          <w:color w:val="auto"/>
          <w:highlight w:val="none"/>
        </w:rPr>
      </w:pPr>
    </w:p>
    <w:p w14:paraId="49F01A32">
      <w:pPr>
        <w:widowControl/>
        <w:rPr>
          <w:color w:val="auto"/>
          <w:highlight w:val="none"/>
        </w:rPr>
      </w:pPr>
    </w:p>
    <w:p w14:paraId="2893FFF4">
      <w:pPr>
        <w:widowControl/>
        <w:rPr>
          <w:color w:val="auto"/>
          <w:highlight w:val="none"/>
        </w:rPr>
      </w:pPr>
    </w:p>
    <w:p w14:paraId="48433EAA">
      <w:pPr>
        <w:widowControl/>
        <w:rPr>
          <w:color w:val="auto"/>
          <w:highlight w:val="none"/>
        </w:rPr>
      </w:pPr>
    </w:p>
    <w:p w14:paraId="0DDF37A0">
      <w:pPr>
        <w:widowControl/>
        <w:rPr>
          <w:color w:val="auto"/>
          <w:highlight w:val="none"/>
        </w:rPr>
      </w:pPr>
    </w:p>
    <w:p w14:paraId="00ADD077">
      <w:pPr>
        <w:widowControl/>
        <w:rPr>
          <w:color w:val="auto"/>
          <w:highlight w:val="none"/>
        </w:rPr>
      </w:pPr>
    </w:p>
    <w:p w14:paraId="42C76EA9">
      <w:pPr>
        <w:widowControl/>
        <w:rPr>
          <w:color w:val="auto"/>
          <w:highlight w:val="none"/>
        </w:rPr>
      </w:pPr>
    </w:p>
    <w:p w14:paraId="2CCFBC88">
      <w:pPr>
        <w:widowControl/>
        <w:rPr>
          <w:color w:val="auto"/>
          <w:highlight w:val="none"/>
        </w:rPr>
      </w:pPr>
    </w:p>
    <w:p w14:paraId="790FD919">
      <w:pPr>
        <w:widowControl/>
        <w:rPr>
          <w:color w:val="auto"/>
          <w:highlight w:val="none"/>
        </w:rPr>
      </w:pPr>
    </w:p>
    <w:p w14:paraId="6FA2FFEF">
      <w:pPr>
        <w:widowControl/>
        <w:rPr>
          <w:color w:val="auto"/>
          <w:highlight w:val="none"/>
        </w:rPr>
      </w:pPr>
    </w:p>
    <w:p w14:paraId="108FC069">
      <w:pPr>
        <w:widowControl/>
        <w:rPr>
          <w:color w:val="auto"/>
          <w:highlight w:val="none"/>
        </w:rPr>
      </w:pPr>
    </w:p>
    <w:p w14:paraId="35688C65">
      <w:pPr>
        <w:widowControl/>
        <w:rPr>
          <w:color w:val="auto"/>
          <w:highlight w:val="none"/>
        </w:rPr>
      </w:pPr>
    </w:p>
    <w:p w14:paraId="2EFE1BCD">
      <w:pPr>
        <w:widowControl/>
        <w:rPr>
          <w:color w:val="auto"/>
          <w:highlight w:val="none"/>
        </w:rPr>
      </w:pPr>
    </w:p>
    <w:p w14:paraId="5C51F619">
      <w:pPr>
        <w:widowControl/>
        <w:rPr>
          <w:color w:val="auto"/>
          <w:highlight w:val="none"/>
        </w:rPr>
      </w:pPr>
    </w:p>
    <w:p w14:paraId="2E1D2C48">
      <w:pPr>
        <w:widowControl/>
        <w:rPr>
          <w:color w:val="auto"/>
          <w:highlight w:val="none"/>
        </w:rPr>
      </w:pPr>
    </w:p>
    <w:p w14:paraId="015F0740">
      <w:pPr>
        <w:widowControl/>
        <w:rPr>
          <w:color w:val="auto"/>
          <w:highlight w:val="none"/>
        </w:rPr>
      </w:pPr>
    </w:p>
    <w:p w14:paraId="5B29A1F4">
      <w:pPr>
        <w:rPr>
          <w:color w:val="auto"/>
          <w:highlight w:val="none"/>
        </w:rPr>
      </w:pPr>
      <w:r>
        <w:rPr>
          <w:color w:val="auto"/>
          <w:highlight w:val="none"/>
        </w:rPr>
        <w:br w:type="page"/>
      </w:r>
    </w:p>
    <w:p w14:paraId="60BEACB2">
      <w:pPr>
        <w:rPr>
          <w:color w:val="auto"/>
          <w:highlight w:val="none"/>
        </w:rPr>
      </w:pPr>
    </w:p>
    <w:p w14:paraId="48CB49D5">
      <w:pPr>
        <w:rPr>
          <w:color w:val="auto"/>
          <w:highlight w:val="none"/>
        </w:rPr>
      </w:pPr>
    </w:p>
    <w:p w14:paraId="61F2FF44">
      <w:pPr>
        <w:rPr>
          <w:color w:val="auto"/>
          <w:highlight w:val="none"/>
        </w:rPr>
      </w:pPr>
    </w:p>
    <w:p w14:paraId="6AE8A812">
      <w:pPr>
        <w:rPr>
          <w:color w:val="auto"/>
          <w:highlight w:val="none"/>
        </w:rPr>
      </w:pPr>
    </w:p>
    <w:p w14:paraId="63875A2E">
      <w:pPr>
        <w:rPr>
          <w:color w:val="auto"/>
          <w:highlight w:val="none"/>
        </w:rPr>
      </w:pPr>
    </w:p>
    <w:p w14:paraId="7FFD4DE3">
      <w:pPr>
        <w:rPr>
          <w:rFonts w:eastAsia="黑体"/>
          <w:color w:val="auto"/>
          <w:sz w:val="28"/>
          <w:szCs w:val="32"/>
          <w:highlight w:val="none"/>
          <w:u w:val="single"/>
        </w:rPr>
      </w:pPr>
    </w:p>
    <w:p w14:paraId="4D2A658F">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14:paraId="036FB54D">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14:paraId="58AEF489">
      <w:pPr>
        <w:jc w:val="center"/>
        <w:rPr>
          <w:rFonts w:eastAsia="黑体"/>
          <w:color w:val="auto"/>
          <w:sz w:val="32"/>
          <w:szCs w:val="32"/>
          <w:highlight w:val="none"/>
        </w:rPr>
      </w:pPr>
      <w:r>
        <w:rPr>
          <w:rFonts w:eastAsia="黑体"/>
          <w:color w:val="auto"/>
          <w:sz w:val="32"/>
          <w:szCs w:val="32"/>
          <w:highlight w:val="none"/>
        </w:rPr>
        <w:t>（施工组织设计）</w:t>
      </w:r>
    </w:p>
    <w:p w14:paraId="505E2FC5">
      <w:pPr>
        <w:rPr>
          <w:rFonts w:eastAsia="黑体"/>
          <w:color w:val="auto"/>
          <w:szCs w:val="21"/>
          <w:highlight w:val="none"/>
          <w:u w:val="single"/>
        </w:rPr>
      </w:pPr>
    </w:p>
    <w:p w14:paraId="0E8401BB">
      <w:pPr>
        <w:rPr>
          <w:rFonts w:eastAsia="黑体"/>
          <w:color w:val="auto"/>
          <w:szCs w:val="21"/>
          <w:highlight w:val="none"/>
          <w:u w:val="single"/>
        </w:rPr>
      </w:pPr>
    </w:p>
    <w:p w14:paraId="46F81B05">
      <w:pPr>
        <w:rPr>
          <w:rFonts w:eastAsia="黑体"/>
          <w:color w:val="auto"/>
          <w:szCs w:val="21"/>
          <w:highlight w:val="none"/>
          <w:u w:val="single"/>
        </w:rPr>
      </w:pPr>
    </w:p>
    <w:p w14:paraId="716039B3">
      <w:pPr>
        <w:rPr>
          <w:rFonts w:eastAsia="黑体"/>
          <w:color w:val="auto"/>
          <w:szCs w:val="21"/>
          <w:highlight w:val="none"/>
          <w:u w:val="single"/>
        </w:rPr>
      </w:pPr>
    </w:p>
    <w:p w14:paraId="7483A8CA">
      <w:pPr>
        <w:rPr>
          <w:rFonts w:eastAsia="黑体"/>
          <w:color w:val="auto"/>
          <w:szCs w:val="21"/>
          <w:highlight w:val="none"/>
          <w:u w:val="single"/>
        </w:rPr>
      </w:pPr>
    </w:p>
    <w:p w14:paraId="08C3D950">
      <w:pPr>
        <w:rPr>
          <w:rFonts w:eastAsia="黑体"/>
          <w:color w:val="auto"/>
          <w:szCs w:val="21"/>
          <w:highlight w:val="none"/>
          <w:u w:val="single"/>
        </w:rPr>
      </w:pPr>
    </w:p>
    <w:p w14:paraId="482DE769">
      <w:pPr>
        <w:rPr>
          <w:rFonts w:eastAsia="黑体"/>
          <w:color w:val="auto"/>
          <w:szCs w:val="21"/>
          <w:highlight w:val="none"/>
          <w:u w:val="single"/>
        </w:rPr>
      </w:pPr>
    </w:p>
    <w:p w14:paraId="0D105756">
      <w:pPr>
        <w:rPr>
          <w:rFonts w:eastAsia="黑体"/>
          <w:color w:val="auto"/>
          <w:szCs w:val="21"/>
          <w:highlight w:val="none"/>
          <w:u w:val="single"/>
        </w:rPr>
      </w:pPr>
    </w:p>
    <w:p w14:paraId="32F65F74">
      <w:pPr>
        <w:rPr>
          <w:rFonts w:eastAsia="黑体"/>
          <w:color w:val="auto"/>
          <w:szCs w:val="21"/>
          <w:highlight w:val="none"/>
          <w:u w:val="single"/>
        </w:rPr>
      </w:pPr>
    </w:p>
    <w:p w14:paraId="56AE8FD6">
      <w:pPr>
        <w:rPr>
          <w:rFonts w:eastAsia="黑体"/>
          <w:color w:val="auto"/>
          <w:szCs w:val="21"/>
          <w:highlight w:val="none"/>
          <w:u w:val="single"/>
        </w:rPr>
      </w:pPr>
    </w:p>
    <w:p w14:paraId="0C293E27">
      <w:pPr>
        <w:rPr>
          <w:rFonts w:eastAsia="黑体"/>
          <w:color w:val="auto"/>
          <w:szCs w:val="21"/>
          <w:highlight w:val="none"/>
          <w:u w:val="single"/>
        </w:rPr>
      </w:pPr>
    </w:p>
    <w:p w14:paraId="78652BF5">
      <w:pPr>
        <w:rPr>
          <w:rFonts w:eastAsia="黑体"/>
          <w:color w:val="auto"/>
          <w:szCs w:val="21"/>
          <w:highlight w:val="none"/>
          <w:u w:val="single"/>
        </w:rPr>
      </w:pPr>
    </w:p>
    <w:p w14:paraId="36A29CAC">
      <w:pPr>
        <w:rPr>
          <w:rFonts w:eastAsia="黑体"/>
          <w:color w:val="auto"/>
          <w:szCs w:val="21"/>
          <w:highlight w:val="none"/>
          <w:u w:val="single"/>
        </w:rPr>
      </w:pPr>
    </w:p>
    <w:p w14:paraId="6AB89478">
      <w:pPr>
        <w:rPr>
          <w:rFonts w:eastAsia="黑体"/>
          <w:color w:val="auto"/>
          <w:szCs w:val="21"/>
          <w:highlight w:val="none"/>
          <w:u w:val="single"/>
        </w:rPr>
      </w:pPr>
    </w:p>
    <w:p w14:paraId="48B0457F">
      <w:pPr>
        <w:rPr>
          <w:rFonts w:eastAsia="黑体"/>
          <w:color w:val="auto"/>
          <w:szCs w:val="21"/>
          <w:highlight w:val="none"/>
          <w:u w:val="single"/>
        </w:rPr>
      </w:pPr>
    </w:p>
    <w:p w14:paraId="44738080">
      <w:pPr>
        <w:rPr>
          <w:rFonts w:eastAsia="黑体"/>
          <w:color w:val="auto"/>
          <w:szCs w:val="21"/>
          <w:highlight w:val="none"/>
          <w:u w:val="single"/>
        </w:rPr>
      </w:pPr>
    </w:p>
    <w:p w14:paraId="2150FB61">
      <w:pPr>
        <w:rPr>
          <w:rFonts w:eastAsia="黑体"/>
          <w:color w:val="auto"/>
          <w:szCs w:val="21"/>
          <w:highlight w:val="none"/>
          <w:u w:val="single"/>
        </w:rPr>
      </w:pPr>
    </w:p>
    <w:p w14:paraId="582B8191">
      <w:pPr>
        <w:rPr>
          <w:rFonts w:eastAsia="黑体"/>
          <w:color w:val="auto"/>
          <w:szCs w:val="21"/>
          <w:highlight w:val="none"/>
          <w:u w:val="single"/>
        </w:rPr>
      </w:pPr>
    </w:p>
    <w:p w14:paraId="666DBCB8">
      <w:pPr>
        <w:rPr>
          <w:rFonts w:eastAsia="黑体"/>
          <w:color w:val="auto"/>
          <w:szCs w:val="21"/>
          <w:highlight w:val="none"/>
          <w:u w:val="single"/>
        </w:rPr>
      </w:pPr>
    </w:p>
    <w:p w14:paraId="658ECDD2">
      <w:pPr>
        <w:rPr>
          <w:rFonts w:eastAsia="黑体"/>
          <w:color w:val="auto"/>
          <w:szCs w:val="21"/>
          <w:highlight w:val="none"/>
          <w:u w:val="single"/>
        </w:rPr>
      </w:pPr>
    </w:p>
    <w:p w14:paraId="2B0517B3">
      <w:pPr>
        <w:rPr>
          <w:rFonts w:eastAsia="黑体"/>
          <w:color w:val="auto"/>
          <w:szCs w:val="21"/>
          <w:highlight w:val="none"/>
          <w:u w:val="single"/>
        </w:rPr>
      </w:pPr>
    </w:p>
    <w:p w14:paraId="1C38D466">
      <w:pPr>
        <w:rPr>
          <w:rFonts w:eastAsia="黑体"/>
          <w:color w:val="auto"/>
          <w:szCs w:val="21"/>
          <w:highlight w:val="none"/>
          <w:u w:val="single"/>
        </w:rPr>
      </w:pPr>
    </w:p>
    <w:p w14:paraId="1942A8BD">
      <w:pPr>
        <w:rPr>
          <w:rFonts w:eastAsia="黑体"/>
          <w:color w:val="auto"/>
          <w:szCs w:val="21"/>
          <w:highlight w:val="none"/>
          <w:u w:val="single"/>
        </w:rPr>
      </w:pPr>
    </w:p>
    <w:p w14:paraId="3374E21E">
      <w:pPr>
        <w:rPr>
          <w:rFonts w:eastAsia="黑体"/>
          <w:color w:val="auto"/>
          <w:szCs w:val="21"/>
          <w:highlight w:val="none"/>
          <w:u w:val="single"/>
        </w:rPr>
      </w:pPr>
    </w:p>
    <w:p w14:paraId="37884AFA">
      <w:pPr>
        <w:rPr>
          <w:rFonts w:eastAsia="黑体"/>
          <w:color w:val="auto"/>
          <w:szCs w:val="21"/>
          <w:highlight w:val="none"/>
          <w:u w:val="single"/>
        </w:rPr>
      </w:pPr>
    </w:p>
    <w:p w14:paraId="796D8A4C">
      <w:pPr>
        <w:rPr>
          <w:rFonts w:eastAsia="黑体"/>
          <w:color w:val="auto"/>
          <w:szCs w:val="21"/>
          <w:highlight w:val="none"/>
          <w:u w:val="single"/>
        </w:rPr>
      </w:pPr>
    </w:p>
    <w:p w14:paraId="1631BA2C">
      <w:pPr>
        <w:rPr>
          <w:rFonts w:eastAsia="黑体"/>
          <w:color w:val="auto"/>
          <w:szCs w:val="21"/>
          <w:highlight w:val="none"/>
          <w:u w:val="single"/>
        </w:rPr>
      </w:pPr>
    </w:p>
    <w:p w14:paraId="3A145952">
      <w:pPr>
        <w:rPr>
          <w:rFonts w:eastAsia="黑体"/>
          <w:color w:val="auto"/>
          <w:szCs w:val="21"/>
          <w:highlight w:val="none"/>
          <w:u w:val="single"/>
        </w:rPr>
      </w:pPr>
    </w:p>
    <w:p w14:paraId="3AE3547F">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14:paraId="24D0B614">
      <w:pPr>
        <w:rPr>
          <w:rFonts w:eastAsia="黑体"/>
          <w:color w:val="auto"/>
          <w:sz w:val="24"/>
          <w:szCs w:val="21"/>
          <w:highlight w:val="none"/>
        </w:rPr>
      </w:pPr>
      <w:r>
        <w:rPr>
          <w:rFonts w:eastAsia="黑体"/>
          <w:color w:val="auto"/>
          <w:sz w:val="24"/>
          <w:szCs w:val="21"/>
          <w:highlight w:val="none"/>
        </w:rPr>
        <w:br w:type="page"/>
      </w:r>
    </w:p>
    <w:p w14:paraId="7A4CD075">
      <w:pPr>
        <w:adjustRightInd w:val="0"/>
        <w:snapToGrid w:val="0"/>
        <w:spacing w:line="400" w:lineRule="atLeast"/>
        <w:ind w:firstLine="560" w:firstLineChars="200"/>
        <w:jc w:val="center"/>
        <w:rPr>
          <w:rFonts w:eastAsia="黑体"/>
          <w:color w:val="auto"/>
          <w:sz w:val="28"/>
          <w:szCs w:val="28"/>
          <w:highlight w:val="none"/>
        </w:rPr>
      </w:pPr>
      <w:r>
        <w:rPr>
          <w:rFonts w:eastAsia="黑体"/>
          <w:color w:val="auto"/>
          <w:sz w:val="28"/>
          <w:szCs w:val="28"/>
          <w:highlight w:val="none"/>
        </w:rPr>
        <w:t>施工组织设计编制要求</w:t>
      </w:r>
    </w:p>
    <w:p w14:paraId="38732C53">
      <w:pPr>
        <w:rPr>
          <w:color w:val="auto"/>
          <w:highlight w:val="none"/>
        </w:rPr>
      </w:pPr>
    </w:p>
    <w:p w14:paraId="7E95557E">
      <w:pPr>
        <w:spacing w:line="360" w:lineRule="auto"/>
        <w:ind w:firstLine="420" w:firstLineChars="200"/>
        <w:rPr>
          <w:color w:val="auto"/>
          <w:highlight w:val="none"/>
        </w:rPr>
      </w:pPr>
      <w:r>
        <w:rPr>
          <w:color w:val="auto"/>
          <w:highlight w:val="none"/>
        </w:rPr>
        <w:t>“经评审的最低投标价法”的施工组织设计采用明标方式评审，</w:t>
      </w:r>
      <w:r>
        <w:rPr>
          <w:color w:val="auto"/>
          <w:szCs w:val="21"/>
          <w:highlight w:val="none"/>
        </w:rPr>
        <w:t>投标人应当根据</w:t>
      </w:r>
      <w:r>
        <w:rPr>
          <w:color w:val="auto"/>
          <w:highlight w:val="none"/>
        </w:rPr>
        <w:t>湘建监督〔</w:t>
      </w:r>
      <w:r>
        <w:rPr>
          <w:rFonts w:hint="eastAsia"/>
          <w:color w:val="auto"/>
          <w:highlight w:val="none"/>
          <w:lang w:val="en-US" w:eastAsia="zh-CN"/>
        </w:rPr>
        <w:t xml:space="preserve">2024 </w:t>
      </w:r>
      <w:r>
        <w:rPr>
          <w:color w:val="auto"/>
          <w:highlight w:val="none"/>
        </w:rPr>
        <w:t>〕</w:t>
      </w:r>
      <w:r>
        <w:rPr>
          <w:rFonts w:hint="eastAsia"/>
          <w:color w:val="auto"/>
          <w:highlight w:val="none"/>
          <w:lang w:val="en-US" w:eastAsia="zh-CN"/>
        </w:rPr>
        <w:t>33</w:t>
      </w:r>
      <w:r>
        <w:rPr>
          <w:rFonts w:hint="eastAsia"/>
          <w:color w:val="auto"/>
          <w:highlight w:val="none"/>
        </w:rPr>
        <w:t xml:space="preserve"> </w:t>
      </w:r>
      <w:r>
        <w:rPr>
          <w:color w:val="auto"/>
          <w:highlight w:val="none"/>
        </w:rPr>
        <w:t>号文件规定的评审内容编制施工组织设计，具体包括下列内容（按此顺序）：</w:t>
      </w:r>
    </w:p>
    <w:p w14:paraId="7FA58888">
      <w:pPr>
        <w:adjustRightInd w:val="0"/>
        <w:snapToGrid w:val="0"/>
        <w:spacing w:line="360" w:lineRule="auto"/>
        <w:ind w:firstLine="420" w:firstLineChars="200"/>
        <w:jc w:val="left"/>
        <w:rPr>
          <w:color w:val="auto"/>
          <w:highlight w:val="none"/>
        </w:rPr>
      </w:pPr>
      <w:r>
        <w:rPr>
          <w:color w:val="auto"/>
          <w:highlight w:val="none"/>
        </w:rPr>
        <w:t>1.施工方案与技术措施；</w:t>
      </w:r>
    </w:p>
    <w:p w14:paraId="1FBDEB36">
      <w:pPr>
        <w:adjustRightInd w:val="0"/>
        <w:snapToGrid w:val="0"/>
        <w:spacing w:line="360" w:lineRule="auto"/>
        <w:ind w:firstLine="420" w:firstLineChars="200"/>
        <w:jc w:val="left"/>
        <w:rPr>
          <w:color w:val="auto"/>
          <w:highlight w:val="none"/>
        </w:rPr>
      </w:pPr>
      <w:r>
        <w:rPr>
          <w:color w:val="auto"/>
          <w:highlight w:val="none"/>
        </w:rPr>
        <w:t>2.质量管理体系与措施；</w:t>
      </w:r>
    </w:p>
    <w:p w14:paraId="4BC6949C">
      <w:pPr>
        <w:spacing w:line="360" w:lineRule="auto"/>
        <w:ind w:firstLine="420" w:firstLineChars="200"/>
        <w:rPr>
          <w:color w:val="auto"/>
          <w:highlight w:val="none"/>
        </w:rPr>
      </w:pPr>
      <w:r>
        <w:rPr>
          <w:color w:val="auto"/>
          <w:highlight w:val="none"/>
        </w:rPr>
        <w:t>3.</w:t>
      </w:r>
      <w:r>
        <w:rPr>
          <w:color w:val="auto"/>
          <w:szCs w:val="21"/>
          <w:highlight w:val="none"/>
        </w:rPr>
        <w:t>安全管理</w:t>
      </w:r>
      <w:r>
        <w:rPr>
          <w:color w:val="auto"/>
          <w:highlight w:val="none"/>
        </w:rPr>
        <w:t>体系与措施；</w:t>
      </w:r>
    </w:p>
    <w:p w14:paraId="2BAFC31D">
      <w:pPr>
        <w:adjustRightInd w:val="0"/>
        <w:snapToGrid w:val="0"/>
        <w:spacing w:line="360" w:lineRule="auto"/>
        <w:jc w:val="left"/>
        <w:rPr>
          <w:color w:val="auto"/>
          <w:sz w:val="18"/>
          <w:szCs w:val="18"/>
          <w:highlight w:val="none"/>
        </w:rPr>
      </w:pPr>
    </w:p>
    <w:p w14:paraId="6DC44FE9">
      <w:pPr>
        <w:adjustRightInd w:val="0"/>
        <w:snapToGrid w:val="0"/>
        <w:spacing w:line="360" w:lineRule="auto"/>
        <w:jc w:val="left"/>
        <w:rPr>
          <w:color w:val="auto"/>
          <w:sz w:val="18"/>
          <w:szCs w:val="18"/>
          <w:highlight w:val="none"/>
        </w:rPr>
      </w:pPr>
      <w:r>
        <w:rPr>
          <w:rFonts w:hint="eastAsia"/>
          <w:color w:val="auto"/>
          <w:sz w:val="18"/>
          <w:szCs w:val="18"/>
          <w:highlight w:val="none"/>
        </w:rPr>
        <w:t>说明</w:t>
      </w:r>
      <w:r>
        <w:rPr>
          <w:color w:val="auto"/>
          <w:sz w:val="18"/>
          <w:szCs w:val="18"/>
          <w:highlight w:val="none"/>
        </w:rPr>
        <w:t>：如有合理化建议，不单独列出，各投标人将相关内容融入各相应章节。</w:t>
      </w:r>
    </w:p>
    <w:p w14:paraId="2B192EDC">
      <w:pPr>
        <w:rPr>
          <w:rFonts w:hint="eastAsia"/>
          <w:color w:val="auto"/>
          <w:highlight w:val="none"/>
        </w:rPr>
      </w:pPr>
    </w:p>
    <w:sectPr>
      <w:footerReference r:id="rId12" w:type="default"/>
      <w:pgSz w:w="11907" w:h="16840"/>
      <w:pgMar w:top="1440" w:right="1440" w:bottom="1440" w:left="1440" w:header="851"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FZShuSong-Z01">
    <w:altName w:val="宋体"/>
    <w:panose1 w:val="02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315F">
    <w:pPr>
      <w:pStyle w:val="28"/>
      <w:jc w:val="center"/>
      <w:rPr>
        <w:rFonts w:ascii="宋体" w:hAnsi="宋体"/>
        <w:sz w:val="24"/>
        <w:szCs w:val="24"/>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A1EC8">
    <w:pPr>
      <w:pStyle w:val="28"/>
      <w:jc w:val="center"/>
    </w:pPr>
  </w:p>
  <w:p w14:paraId="7B7AAA1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14226">
    <w:pPr>
      <w:pStyle w:val="28"/>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6C12">
    <w:pPr>
      <w:pStyle w:val="28"/>
      <w:jc w:val="center"/>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BE91">
    <w:pPr>
      <w:pStyle w:val="28"/>
      <w:jc w:val="center"/>
      <w:rPr>
        <w:rFonts w:hint="default"/>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CCFD">
    <w:pPr>
      <w:pStyle w:val="28"/>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CE7FA">
    <w:pPr>
      <w:pStyle w:val="28"/>
      <w:jc w:val="center"/>
      <w:rPr>
        <w:rFonts w:hint="default" w:eastAsia="宋体"/>
        <w:lang w:val="en-US"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44FB">
    <w:pPr>
      <w:pStyle w:val="28"/>
      <w:jc w:val="center"/>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C7B66">
    <w:pPr>
      <w:pStyle w:val="28"/>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EA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1B81A"/>
    <w:multiLevelType w:val="singleLevel"/>
    <w:tmpl w:val="E221B81A"/>
    <w:lvl w:ilvl="0" w:tentative="0">
      <w:start w:val="1"/>
      <w:numFmt w:val="decimal"/>
      <w:suff w:val="nothing"/>
      <w:lvlText w:val="（%1）"/>
      <w:lvlJc w:val="left"/>
    </w:lvl>
  </w:abstractNum>
  <w:abstractNum w:abstractNumId="1">
    <w:nsid w:val="5CF0CE0C"/>
    <w:multiLevelType w:val="singleLevel"/>
    <w:tmpl w:val="5CF0CE0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TdlYmVhNTkwYzM2OWQ3MWJiOWRkMmY2YTFjN2YifQ=="/>
  </w:docVars>
  <w:rsids>
    <w:rsidRoot w:val="00172A27"/>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77E0"/>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D97"/>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437"/>
    <w:rsid w:val="00141822"/>
    <w:rsid w:val="00142830"/>
    <w:rsid w:val="00142A16"/>
    <w:rsid w:val="00144E41"/>
    <w:rsid w:val="0014627A"/>
    <w:rsid w:val="001462F6"/>
    <w:rsid w:val="00147330"/>
    <w:rsid w:val="001477FD"/>
    <w:rsid w:val="001479A2"/>
    <w:rsid w:val="00147D27"/>
    <w:rsid w:val="00150643"/>
    <w:rsid w:val="001509F4"/>
    <w:rsid w:val="00151B63"/>
    <w:rsid w:val="00151FB5"/>
    <w:rsid w:val="00154052"/>
    <w:rsid w:val="001546C6"/>
    <w:rsid w:val="00154FF1"/>
    <w:rsid w:val="00155573"/>
    <w:rsid w:val="00155596"/>
    <w:rsid w:val="0015715B"/>
    <w:rsid w:val="0016053D"/>
    <w:rsid w:val="001607AD"/>
    <w:rsid w:val="001625CB"/>
    <w:rsid w:val="00163B47"/>
    <w:rsid w:val="00163BF1"/>
    <w:rsid w:val="001645ED"/>
    <w:rsid w:val="001647CA"/>
    <w:rsid w:val="00165400"/>
    <w:rsid w:val="0016562D"/>
    <w:rsid w:val="001656C6"/>
    <w:rsid w:val="00167203"/>
    <w:rsid w:val="001701F2"/>
    <w:rsid w:val="00170487"/>
    <w:rsid w:val="001709ED"/>
    <w:rsid w:val="00171938"/>
    <w:rsid w:val="00172A27"/>
    <w:rsid w:val="00174080"/>
    <w:rsid w:val="00174D63"/>
    <w:rsid w:val="001753A4"/>
    <w:rsid w:val="00175746"/>
    <w:rsid w:val="001759CE"/>
    <w:rsid w:val="001807AA"/>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B1"/>
    <w:rsid w:val="001D3FB2"/>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2462"/>
    <w:rsid w:val="00252AD0"/>
    <w:rsid w:val="00252FAD"/>
    <w:rsid w:val="0025346F"/>
    <w:rsid w:val="00253AA4"/>
    <w:rsid w:val="00254005"/>
    <w:rsid w:val="0025435A"/>
    <w:rsid w:val="00254581"/>
    <w:rsid w:val="00254AD9"/>
    <w:rsid w:val="00254F9A"/>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90ED2"/>
    <w:rsid w:val="002921BD"/>
    <w:rsid w:val="002926AA"/>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2279"/>
    <w:rsid w:val="00302519"/>
    <w:rsid w:val="003028AE"/>
    <w:rsid w:val="00304F0B"/>
    <w:rsid w:val="00305028"/>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FCC"/>
    <w:rsid w:val="003739F2"/>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2A39"/>
    <w:rsid w:val="003B2BB6"/>
    <w:rsid w:val="003B3F79"/>
    <w:rsid w:val="003B4436"/>
    <w:rsid w:val="003B4B0D"/>
    <w:rsid w:val="003B4DAD"/>
    <w:rsid w:val="003B560B"/>
    <w:rsid w:val="003B58B2"/>
    <w:rsid w:val="003B5D25"/>
    <w:rsid w:val="003B5E0B"/>
    <w:rsid w:val="003B74D9"/>
    <w:rsid w:val="003C06B8"/>
    <w:rsid w:val="003C235C"/>
    <w:rsid w:val="003C292A"/>
    <w:rsid w:val="003C293F"/>
    <w:rsid w:val="003C3609"/>
    <w:rsid w:val="003C4566"/>
    <w:rsid w:val="003C561B"/>
    <w:rsid w:val="003C7491"/>
    <w:rsid w:val="003C7737"/>
    <w:rsid w:val="003C7F06"/>
    <w:rsid w:val="003D1571"/>
    <w:rsid w:val="003D1DA6"/>
    <w:rsid w:val="003D33EF"/>
    <w:rsid w:val="003D3A7F"/>
    <w:rsid w:val="003D4D29"/>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221F"/>
    <w:rsid w:val="003F28E7"/>
    <w:rsid w:val="003F328E"/>
    <w:rsid w:val="003F3EA8"/>
    <w:rsid w:val="003F3FA8"/>
    <w:rsid w:val="003F4DAD"/>
    <w:rsid w:val="003F536A"/>
    <w:rsid w:val="003F570C"/>
    <w:rsid w:val="003F6462"/>
    <w:rsid w:val="003F6E59"/>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60E0"/>
    <w:rsid w:val="00446F09"/>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BC1"/>
    <w:rsid w:val="00492F95"/>
    <w:rsid w:val="00493F3A"/>
    <w:rsid w:val="00494777"/>
    <w:rsid w:val="0049498F"/>
    <w:rsid w:val="004960F5"/>
    <w:rsid w:val="00497497"/>
    <w:rsid w:val="004A155E"/>
    <w:rsid w:val="004A255D"/>
    <w:rsid w:val="004A2F38"/>
    <w:rsid w:val="004A4EF1"/>
    <w:rsid w:val="004A5338"/>
    <w:rsid w:val="004A53BD"/>
    <w:rsid w:val="004A6E10"/>
    <w:rsid w:val="004A7FF3"/>
    <w:rsid w:val="004B0297"/>
    <w:rsid w:val="004B03AA"/>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FD7"/>
    <w:rsid w:val="00511523"/>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C022F"/>
    <w:rsid w:val="005C16FD"/>
    <w:rsid w:val="005C1BB3"/>
    <w:rsid w:val="005C479F"/>
    <w:rsid w:val="005C507F"/>
    <w:rsid w:val="005C655A"/>
    <w:rsid w:val="005C67B4"/>
    <w:rsid w:val="005C6DD8"/>
    <w:rsid w:val="005C73A0"/>
    <w:rsid w:val="005C73DD"/>
    <w:rsid w:val="005D0147"/>
    <w:rsid w:val="005D02D8"/>
    <w:rsid w:val="005D0DAD"/>
    <w:rsid w:val="005D1307"/>
    <w:rsid w:val="005D1963"/>
    <w:rsid w:val="005D1EC7"/>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7CA8"/>
    <w:rsid w:val="006A0EE5"/>
    <w:rsid w:val="006A1C23"/>
    <w:rsid w:val="006A475A"/>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4390"/>
    <w:rsid w:val="006C48C4"/>
    <w:rsid w:val="006C4DED"/>
    <w:rsid w:val="006C6716"/>
    <w:rsid w:val="006C6850"/>
    <w:rsid w:val="006C6F4F"/>
    <w:rsid w:val="006D086D"/>
    <w:rsid w:val="006D1ABF"/>
    <w:rsid w:val="006D29B7"/>
    <w:rsid w:val="006D335E"/>
    <w:rsid w:val="006D4134"/>
    <w:rsid w:val="006D4B75"/>
    <w:rsid w:val="006D50BE"/>
    <w:rsid w:val="006D6720"/>
    <w:rsid w:val="006D7381"/>
    <w:rsid w:val="006E03F7"/>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59C8"/>
    <w:rsid w:val="006F6325"/>
    <w:rsid w:val="006F6714"/>
    <w:rsid w:val="006F6DCC"/>
    <w:rsid w:val="00700114"/>
    <w:rsid w:val="00700871"/>
    <w:rsid w:val="00702052"/>
    <w:rsid w:val="00702501"/>
    <w:rsid w:val="0070306C"/>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19AE"/>
    <w:rsid w:val="008C1C6C"/>
    <w:rsid w:val="008C2B02"/>
    <w:rsid w:val="008C38BF"/>
    <w:rsid w:val="008C412D"/>
    <w:rsid w:val="008C46E1"/>
    <w:rsid w:val="008C594F"/>
    <w:rsid w:val="008C5BF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BC"/>
    <w:rsid w:val="0096497B"/>
    <w:rsid w:val="00965A04"/>
    <w:rsid w:val="00966561"/>
    <w:rsid w:val="0096730A"/>
    <w:rsid w:val="009675B0"/>
    <w:rsid w:val="00967838"/>
    <w:rsid w:val="00970444"/>
    <w:rsid w:val="009736EA"/>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8AC"/>
    <w:rsid w:val="009872A2"/>
    <w:rsid w:val="0099015C"/>
    <w:rsid w:val="00990918"/>
    <w:rsid w:val="00991A8E"/>
    <w:rsid w:val="00992553"/>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E46"/>
    <w:rsid w:val="009B1EC4"/>
    <w:rsid w:val="009B2884"/>
    <w:rsid w:val="009B2FAB"/>
    <w:rsid w:val="009B3020"/>
    <w:rsid w:val="009B3141"/>
    <w:rsid w:val="009B3B00"/>
    <w:rsid w:val="009B4064"/>
    <w:rsid w:val="009B4147"/>
    <w:rsid w:val="009B44B6"/>
    <w:rsid w:val="009B52E1"/>
    <w:rsid w:val="009B58EC"/>
    <w:rsid w:val="009B63B6"/>
    <w:rsid w:val="009B71AF"/>
    <w:rsid w:val="009B7E1A"/>
    <w:rsid w:val="009C0133"/>
    <w:rsid w:val="009C03E9"/>
    <w:rsid w:val="009C0670"/>
    <w:rsid w:val="009C0BE7"/>
    <w:rsid w:val="009C0D74"/>
    <w:rsid w:val="009C191C"/>
    <w:rsid w:val="009C33B0"/>
    <w:rsid w:val="009C3EA3"/>
    <w:rsid w:val="009C503E"/>
    <w:rsid w:val="009C5AD6"/>
    <w:rsid w:val="009C6676"/>
    <w:rsid w:val="009C66AD"/>
    <w:rsid w:val="009C7820"/>
    <w:rsid w:val="009D062C"/>
    <w:rsid w:val="009D0844"/>
    <w:rsid w:val="009D1309"/>
    <w:rsid w:val="009D17DC"/>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309"/>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4240"/>
    <w:rsid w:val="00A351BD"/>
    <w:rsid w:val="00A3558A"/>
    <w:rsid w:val="00A36745"/>
    <w:rsid w:val="00A376A2"/>
    <w:rsid w:val="00A404BA"/>
    <w:rsid w:val="00A405E9"/>
    <w:rsid w:val="00A40AD1"/>
    <w:rsid w:val="00A41873"/>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5A20"/>
    <w:rsid w:val="00A55AB8"/>
    <w:rsid w:val="00A56D35"/>
    <w:rsid w:val="00A56EA6"/>
    <w:rsid w:val="00A576ED"/>
    <w:rsid w:val="00A602D8"/>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128A"/>
    <w:rsid w:val="00AA1CCA"/>
    <w:rsid w:val="00AA1E85"/>
    <w:rsid w:val="00AA22BC"/>
    <w:rsid w:val="00AA37C0"/>
    <w:rsid w:val="00AA50A5"/>
    <w:rsid w:val="00AA592B"/>
    <w:rsid w:val="00AA5F61"/>
    <w:rsid w:val="00AA6493"/>
    <w:rsid w:val="00AA704F"/>
    <w:rsid w:val="00AA72BA"/>
    <w:rsid w:val="00AB0651"/>
    <w:rsid w:val="00AB3730"/>
    <w:rsid w:val="00AB4B0E"/>
    <w:rsid w:val="00AB55C3"/>
    <w:rsid w:val="00AB77C4"/>
    <w:rsid w:val="00AB7C19"/>
    <w:rsid w:val="00AC0533"/>
    <w:rsid w:val="00AC0818"/>
    <w:rsid w:val="00AC2083"/>
    <w:rsid w:val="00AC261A"/>
    <w:rsid w:val="00AC32CA"/>
    <w:rsid w:val="00AC39A3"/>
    <w:rsid w:val="00AC4BBD"/>
    <w:rsid w:val="00AC73B4"/>
    <w:rsid w:val="00AC789F"/>
    <w:rsid w:val="00AD013E"/>
    <w:rsid w:val="00AD0DE4"/>
    <w:rsid w:val="00AD15B0"/>
    <w:rsid w:val="00AD226D"/>
    <w:rsid w:val="00AD28FA"/>
    <w:rsid w:val="00AD2C59"/>
    <w:rsid w:val="00AD2F96"/>
    <w:rsid w:val="00AD3B94"/>
    <w:rsid w:val="00AD3EF7"/>
    <w:rsid w:val="00AD4C74"/>
    <w:rsid w:val="00AD5F0A"/>
    <w:rsid w:val="00AD5F29"/>
    <w:rsid w:val="00AD669B"/>
    <w:rsid w:val="00AD67AA"/>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C50"/>
    <w:rsid w:val="00B26F7D"/>
    <w:rsid w:val="00B275B2"/>
    <w:rsid w:val="00B30990"/>
    <w:rsid w:val="00B30FCC"/>
    <w:rsid w:val="00B31143"/>
    <w:rsid w:val="00B32829"/>
    <w:rsid w:val="00B33D0A"/>
    <w:rsid w:val="00B3466E"/>
    <w:rsid w:val="00B351B7"/>
    <w:rsid w:val="00B371CF"/>
    <w:rsid w:val="00B378A1"/>
    <w:rsid w:val="00B40713"/>
    <w:rsid w:val="00B41810"/>
    <w:rsid w:val="00B41D86"/>
    <w:rsid w:val="00B4276B"/>
    <w:rsid w:val="00B4279C"/>
    <w:rsid w:val="00B43BC9"/>
    <w:rsid w:val="00B4460E"/>
    <w:rsid w:val="00B44668"/>
    <w:rsid w:val="00B4593E"/>
    <w:rsid w:val="00B45A61"/>
    <w:rsid w:val="00B45E0D"/>
    <w:rsid w:val="00B46443"/>
    <w:rsid w:val="00B46DA5"/>
    <w:rsid w:val="00B470E3"/>
    <w:rsid w:val="00B50C80"/>
    <w:rsid w:val="00B5375A"/>
    <w:rsid w:val="00B56B87"/>
    <w:rsid w:val="00B5743B"/>
    <w:rsid w:val="00B60263"/>
    <w:rsid w:val="00B603BA"/>
    <w:rsid w:val="00B605C0"/>
    <w:rsid w:val="00B62190"/>
    <w:rsid w:val="00B62374"/>
    <w:rsid w:val="00B63704"/>
    <w:rsid w:val="00B63AD3"/>
    <w:rsid w:val="00B63C5B"/>
    <w:rsid w:val="00B63F7A"/>
    <w:rsid w:val="00B6540F"/>
    <w:rsid w:val="00B65549"/>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346B"/>
    <w:rsid w:val="00C3524F"/>
    <w:rsid w:val="00C35A4B"/>
    <w:rsid w:val="00C35DBE"/>
    <w:rsid w:val="00C3605B"/>
    <w:rsid w:val="00C4001D"/>
    <w:rsid w:val="00C401EF"/>
    <w:rsid w:val="00C40371"/>
    <w:rsid w:val="00C412CD"/>
    <w:rsid w:val="00C446A0"/>
    <w:rsid w:val="00C45225"/>
    <w:rsid w:val="00C466D8"/>
    <w:rsid w:val="00C4739B"/>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4C3"/>
    <w:rsid w:val="00CC15EB"/>
    <w:rsid w:val="00CC2EFB"/>
    <w:rsid w:val="00CC353C"/>
    <w:rsid w:val="00CC364F"/>
    <w:rsid w:val="00CC3E82"/>
    <w:rsid w:val="00CC5354"/>
    <w:rsid w:val="00CC5638"/>
    <w:rsid w:val="00CC5CFD"/>
    <w:rsid w:val="00CC6DC2"/>
    <w:rsid w:val="00CC7674"/>
    <w:rsid w:val="00CC7789"/>
    <w:rsid w:val="00CD11C2"/>
    <w:rsid w:val="00CD1332"/>
    <w:rsid w:val="00CD2D55"/>
    <w:rsid w:val="00CD30DC"/>
    <w:rsid w:val="00CD5D14"/>
    <w:rsid w:val="00CD7626"/>
    <w:rsid w:val="00CE124D"/>
    <w:rsid w:val="00CE1335"/>
    <w:rsid w:val="00CE1609"/>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6309"/>
    <w:rsid w:val="00D065A7"/>
    <w:rsid w:val="00D1078E"/>
    <w:rsid w:val="00D10ACB"/>
    <w:rsid w:val="00D1228F"/>
    <w:rsid w:val="00D12693"/>
    <w:rsid w:val="00D12767"/>
    <w:rsid w:val="00D13261"/>
    <w:rsid w:val="00D13EFD"/>
    <w:rsid w:val="00D1410D"/>
    <w:rsid w:val="00D15024"/>
    <w:rsid w:val="00D15275"/>
    <w:rsid w:val="00D15BE2"/>
    <w:rsid w:val="00D1737E"/>
    <w:rsid w:val="00D17932"/>
    <w:rsid w:val="00D17A8C"/>
    <w:rsid w:val="00D2209C"/>
    <w:rsid w:val="00D22726"/>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D92"/>
    <w:rsid w:val="00DC16C4"/>
    <w:rsid w:val="00DC1840"/>
    <w:rsid w:val="00DC1D0E"/>
    <w:rsid w:val="00DC1D5A"/>
    <w:rsid w:val="00DC2F28"/>
    <w:rsid w:val="00DC3EAD"/>
    <w:rsid w:val="00DC429F"/>
    <w:rsid w:val="00DC44BB"/>
    <w:rsid w:val="00DC4DBC"/>
    <w:rsid w:val="00DC630F"/>
    <w:rsid w:val="00DC6B7B"/>
    <w:rsid w:val="00DC7538"/>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EC4"/>
    <w:rsid w:val="00E33104"/>
    <w:rsid w:val="00E33748"/>
    <w:rsid w:val="00E3397A"/>
    <w:rsid w:val="00E33D62"/>
    <w:rsid w:val="00E33DFB"/>
    <w:rsid w:val="00E348A0"/>
    <w:rsid w:val="00E34BB5"/>
    <w:rsid w:val="00E35AE3"/>
    <w:rsid w:val="00E3681E"/>
    <w:rsid w:val="00E37A59"/>
    <w:rsid w:val="00E40348"/>
    <w:rsid w:val="00E409E4"/>
    <w:rsid w:val="00E415F2"/>
    <w:rsid w:val="00E41FB4"/>
    <w:rsid w:val="00E44559"/>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70A9F"/>
    <w:rsid w:val="00E7105F"/>
    <w:rsid w:val="00E7115D"/>
    <w:rsid w:val="00E713C3"/>
    <w:rsid w:val="00E71438"/>
    <w:rsid w:val="00E72A13"/>
    <w:rsid w:val="00E72D47"/>
    <w:rsid w:val="00E738AA"/>
    <w:rsid w:val="00E739BE"/>
    <w:rsid w:val="00E7470F"/>
    <w:rsid w:val="00E7483B"/>
    <w:rsid w:val="00E74AEE"/>
    <w:rsid w:val="00E75C9D"/>
    <w:rsid w:val="00E76092"/>
    <w:rsid w:val="00E76441"/>
    <w:rsid w:val="00E76EBB"/>
    <w:rsid w:val="00E77141"/>
    <w:rsid w:val="00E80911"/>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528"/>
    <w:rsid w:val="00E92B93"/>
    <w:rsid w:val="00E92EE2"/>
    <w:rsid w:val="00E93361"/>
    <w:rsid w:val="00E93836"/>
    <w:rsid w:val="00E93893"/>
    <w:rsid w:val="00E93CEF"/>
    <w:rsid w:val="00E93EDA"/>
    <w:rsid w:val="00E94886"/>
    <w:rsid w:val="00E94F43"/>
    <w:rsid w:val="00E95522"/>
    <w:rsid w:val="00E96091"/>
    <w:rsid w:val="00E96139"/>
    <w:rsid w:val="00E97544"/>
    <w:rsid w:val="00E97D5B"/>
    <w:rsid w:val="00EA09F7"/>
    <w:rsid w:val="00EA15EB"/>
    <w:rsid w:val="00EA173F"/>
    <w:rsid w:val="00EA19F5"/>
    <w:rsid w:val="00EA2499"/>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655"/>
    <w:rsid w:val="00EC1C87"/>
    <w:rsid w:val="00EC2583"/>
    <w:rsid w:val="00EC2850"/>
    <w:rsid w:val="00EC2E64"/>
    <w:rsid w:val="00EC3101"/>
    <w:rsid w:val="00EC3604"/>
    <w:rsid w:val="00EC3A12"/>
    <w:rsid w:val="00EC48A5"/>
    <w:rsid w:val="00EC4D6A"/>
    <w:rsid w:val="00EC4E7F"/>
    <w:rsid w:val="00EC5DA2"/>
    <w:rsid w:val="00EC5F15"/>
    <w:rsid w:val="00EC64FC"/>
    <w:rsid w:val="00EC6F32"/>
    <w:rsid w:val="00EC77A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274E"/>
    <w:rsid w:val="00F027B9"/>
    <w:rsid w:val="00F02BAD"/>
    <w:rsid w:val="00F02EFE"/>
    <w:rsid w:val="00F054ED"/>
    <w:rsid w:val="00F05980"/>
    <w:rsid w:val="00F076B6"/>
    <w:rsid w:val="00F10841"/>
    <w:rsid w:val="00F1097A"/>
    <w:rsid w:val="00F10EEB"/>
    <w:rsid w:val="00F11217"/>
    <w:rsid w:val="00F12A70"/>
    <w:rsid w:val="00F13F06"/>
    <w:rsid w:val="00F1463D"/>
    <w:rsid w:val="00F15F7C"/>
    <w:rsid w:val="00F16AB9"/>
    <w:rsid w:val="00F17069"/>
    <w:rsid w:val="00F179E5"/>
    <w:rsid w:val="00F17C4C"/>
    <w:rsid w:val="00F20347"/>
    <w:rsid w:val="00F209DB"/>
    <w:rsid w:val="00F236C0"/>
    <w:rsid w:val="00F23962"/>
    <w:rsid w:val="00F251CA"/>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7A1"/>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688"/>
    <w:rsid w:val="00F7523A"/>
    <w:rsid w:val="00F765BB"/>
    <w:rsid w:val="00F76836"/>
    <w:rsid w:val="00F76FB2"/>
    <w:rsid w:val="00F77E86"/>
    <w:rsid w:val="00F80710"/>
    <w:rsid w:val="00F81334"/>
    <w:rsid w:val="00F81342"/>
    <w:rsid w:val="00F8138A"/>
    <w:rsid w:val="00F82C51"/>
    <w:rsid w:val="00F84276"/>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8E3"/>
    <w:rsid w:val="00FB2D6A"/>
    <w:rsid w:val="00FB2FE4"/>
    <w:rsid w:val="00FB3CAA"/>
    <w:rsid w:val="00FB540F"/>
    <w:rsid w:val="00FB5E03"/>
    <w:rsid w:val="00FB5EA4"/>
    <w:rsid w:val="00FB7E36"/>
    <w:rsid w:val="00FC0258"/>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7138"/>
    <w:rsid w:val="00FD7AD3"/>
    <w:rsid w:val="00FD7C6F"/>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124840"/>
    <w:rsid w:val="011C1FFB"/>
    <w:rsid w:val="011F1DB8"/>
    <w:rsid w:val="012B32AA"/>
    <w:rsid w:val="012B351C"/>
    <w:rsid w:val="012D7A79"/>
    <w:rsid w:val="013E35E1"/>
    <w:rsid w:val="016844A4"/>
    <w:rsid w:val="01724F7C"/>
    <w:rsid w:val="01785C2C"/>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1F8292F"/>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3024A00"/>
    <w:rsid w:val="03032339"/>
    <w:rsid w:val="030625CB"/>
    <w:rsid w:val="030C6F29"/>
    <w:rsid w:val="030D1D2D"/>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123DBD"/>
    <w:rsid w:val="0415791F"/>
    <w:rsid w:val="04247E93"/>
    <w:rsid w:val="042D4BCA"/>
    <w:rsid w:val="0438233B"/>
    <w:rsid w:val="04415975"/>
    <w:rsid w:val="04422EA4"/>
    <w:rsid w:val="04453FA6"/>
    <w:rsid w:val="045654C5"/>
    <w:rsid w:val="045841FB"/>
    <w:rsid w:val="04635E28"/>
    <w:rsid w:val="046E0340"/>
    <w:rsid w:val="0470433C"/>
    <w:rsid w:val="0478040D"/>
    <w:rsid w:val="04795398"/>
    <w:rsid w:val="047D3A77"/>
    <w:rsid w:val="047E4E8C"/>
    <w:rsid w:val="048250A5"/>
    <w:rsid w:val="04965B36"/>
    <w:rsid w:val="04AC5A06"/>
    <w:rsid w:val="04AE7343"/>
    <w:rsid w:val="04B90BB3"/>
    <w:rsid w:val="04C4109A"/>
    <w:rsid w:val="04D26CFA"/>
    <w:rsid w:val="04E847E3"/>
    <w:rsid w:val="04F03E4C"/>
    <w:rsid w:val="04F964FE"/>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6F53878"/>
    <w:rsid w:val="07010286"/>
    <w:rsid w:val="070241E9"/>
    <w:rsid w:val="07106769"/>
    <w:rsid w:val="071A4087"/>
    <w:rsid w:val="071B04B1"/>
    <w:rsid w:val="07203EF1"/>
    <w:rsid w:val="073D0D2B"/>
    <w:rsid w:val="074B37DE"/>
    <w:rsid w:val="07525D62"/>
    <w:rsid w:val="075F4260"/>
    <w:rsid w:val="076F68F3"/>
    <w:rsid w:val="078134DF"/>
    <w:rsid w:val="07882FBE"/>
    <w:rsid w:val="078B6222"/>
    <w:rsid w:val="079727D2"/>
    <w:rsid w:val="079F7CA9"/>
    <w:rsid w:val="07A1167C"/>
    <w:rsid w:val="07AE108C"/>
    <w:rsid w:val="07B27B3D"/>
    <w:rsid w:val="07BA4CCA"/>
    <w:rsid w:val="07C210D3"/>
    <w:rsid w:val="07C43646"/>
    <w:rsid w:val="07D17825"/>
    <w:rsid w:val="07D46474"/>
    <w:rsid w:val="07F60E79"/>
    <w:rsid w:val="0810594A"/>
    <w:rsid w:val="081348AE"/>
    <w:rsid w:val="081B6711"/>
    <w:rsid w:val="081E5651"/>
    <w:rsid w:val="083539DF"/>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B03822"/>
    <w:rsid w:val="0AB511CC"/>
    <w:rsid w:val="0AD1042D"/>
    <w:rsid w:val="0AD211EC"/>
    <w:rsid w:val="0AD52C15"/>
    <w:rsid w:val="0AFF7223"/>
    <w:rsid w:val="0B03303B"/>
    <w:rsid w:val="0B177AE4"/>
    <w:rsid w:val="0B1E1622"/>
    <w:rsid w:val="0B1E4234"/>
    <w:rsid w:val="0B210FF4"/>
    <w:rsid w:val="0B214EC8"/>
    <w:rsid w:val="0B4C4CA4"/>
    <w:rsid w:val="0B4C67B5"/>
    <w:rsid w:val="0B5625FF"/>
    <w:rsid w:val="0B5C0F89"/>
    <w:rsid w:val="0B5C2E5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B2986"/>
    <w:rsid w:val="0BFD70B9"/>
    <w:rsid w:val="0C010F49"/>
    <w:rsid w:val="0C0254AB"/>
    <w:rsid w:val="0C0517F8"/>
    <w:rsid w:val="0C0C7624"/>
    <w:rsid w:val="0C322261"/>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F7154E"/>
    <w:rsid w:val="0D0F45AD"/>
    <w:rsid w:val="0D2248EA"/>
    <w:rsid w:val="0D3A4CFC"/>
    <w:rsid w:val="0D3F0D33"/>
    <w:rsid w:val="0D401645"/>
    <w:rsid w:val="0D49074A"/>
    <w:rsid w:val="0D5C24F9"/>
    <w:rsid w:val="0D6F127E"/>
    <w:rsid w:val="0D777DEE"/>
    <w:rsid w:val="0D78660A"/>
    <w:rsid w:val="0D7B7804"/>
    <w:rsid w:val="0D7D061A"/>
    <w:rsid w:val="0D8205BD"/>
    <w:rsid w:val="0D8E2736"/>
    <w:rsid w:val="0D9C6CDB"/>
    <w:rsid w:val="0DAE7784"/>
    <w:rsid w:val="0DB86A13"/>
    <w:rsid w:val="0DBB3214"/>
    <w:rsid w:val="0DC71A36"/>
    <w:rsid w:val="0DCB220A"/>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F4E7C"/>
    <w:rsid w:val="0EDF78EC"/>
    <w:rsid w:val="0EE44596"/>
    <w:rsid w:val="0EF04C39"/>
    <w:rsid w:val="0EF331DC"/>
    <w:rsid w:val="0F23590D"/>
    <w:rsid w:val="0F2C41CE"/>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4738C"/>
    <w:rsid w:val="103074A4"/>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65211"/>
    <w:rsid w:val="131C13A9"/>
    <w:rsid w:val="132847E3"/>
    <w:rsid w:val="133E5DF7"/>
    <w:rsid w:val="134C2116"/>
    <w:rsid w:val="13521337"/>
    <w:rsid w:val="13592639"/>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730BD5"/>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5000605"/>
    <w:rsid w:val="15186E7A"/>
    <w:rsid w:val="151A2CDD"/>
    <w:rsid w:val="151D5AB3"/>
    <w:rsid w:val="152B59BE"/>
    <w:rsid w:val="153C0833"/>
    <w:rsid w:val="154A78EE"/>
    <w:rsid w:val="155852D1"/>
    <w:rsid w:val="155C4C28"/>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076A6"/>
    <w:rsid w:val="15F647D0"/>
    <w:rsid w:val="1600660E"/>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90EAD"/>
    <w:rsid w:val="17233957"/>
    <w:rsid w:val="17257E6A"/>
    <w:rsid w:val="172B0CA4"/>
    <w:rsid w:val="172B431A"/>
    <w:rsid w:val="172D25D1"/>
    <w:rsid w:val="173C4F5C"/>
    <w:rsid w:val="173C59CD"/>
    <w:rsid w:val="173C6D9B"/>
    <w:rsid w:val="17504B00"/>
    <w:rsid w:val="17533F7B"/>
    <w:rsid w:val="17555A33"/>
    <w:rsid w:val="175D7DCB"/>
    <w:rsid w:val="176E37C0"/>
    <w:rsid w:val="176F63F4"/>
    <w:rsid w:val="177D764E"/>
    <w:rsid w:val="17814641"/>
    <w:rsid w:val="178733D8"/>
    <w:rsid w:val="17A34DC3"/>
    <w:rsid w:val="17AC2CDF"/>
    <w:rsid w:val="17BE5764"/>
    <w:rsid w:val="17C02955"/>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4E428A"/>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2155E5"/>
    <w:rsid w:val="192447C5"/>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A55B7F"/>
    <w:rsid w:val="1AAE178F"/>
    <w:rsid w:val="1AB25285"/>
    <w:rsid w:val="1ABD5800"/>
    <w:rsid w:val="1AF81775"/>
    <w:rsid w:val="1AFD16E0"/>
    <w:rsid w:val="1AFE56C7"/>
    <w:rsid w:val="1B3237B5"/>
    <w:rsid w:val="1B32716B"/>
    <w:rsid w:val="1B4972A7"/>
    <w:rsid w:val="1B511989"/>
    <w:rsid w:val="1B5418FE"/>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90CEC"/>
    <w:rsid w:val="1CF7183B"/>
    <w:rsid w:val="1CFC7CE7"/>
    <w:rsid w:val="1D0A638B"/>
    <w:rsid w:val="1D0F2537"/>
    <w:rsid w:val="1D1E1666"/>
    <w:rsid w:val="1D2364DF"/>
    <w:rsid w:val="1D260219"/>
    <w:rsid w:val="1D4A1CE0"/>
    <w:rsid w:val="1D4F1B96"/>
    <w:rsid w:val="1D64043C"/>
    <w:rsid w:val="1D6B214C"/>
    <w:rsid w:val="1D6D0733"/>
    <w:rsid w:val="1D7B10C7"/>
    <w:rsid w:val="1D812265"/>
    <w:rsid w:val="1D8704DB"/>
    <w:rsid w:val="1D8D1FD3"/>
    <w:rsid w:val="1D941AC7"/>
    <w:rsid w:val="1D987CBA"/>
    <w:rsid w:val="1D9C098F"/>
    <w:rsid w:val="1D9C5FC4"/>
    <w:rsid w:val="1DA100CA"/>
    <w:rsid w:val="1DAA1F7E"/>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A255E0"/>
    <w:rsid w:val="1EA87ECC"/>
    <w:rsid w:val="1EA94235"/>
    <w:rsid w:val="1EAF3C67"/>
    <w:rsid w:val="1EC633BA"/>
    <w:rsid w:val="1EE259DB"/>
    <w:rsid w:val="1EE4183B"/>
    <w:rsid w:val="1EE75A1B"/>
    <w:rsid w:val="1EF20D52"/>
    <w:rsid w:val="1F0E3881"/>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BD6756"/>
    <w:rsid w:val="1FC3430B"/>
    <w:rsid w:val="1FC63586"/>
    <w:rsid w:val="1FE864AB"/>
    <w:rsid w:val="1FF354D1"/>
    <w:rsid w:val="1FFA7348"/>
    <w:rsid w:val="1FFC2901"/>
    <w:rsid w:val="1FFF2EF5"/>
    <w:rsid w:val="200529AD"/>
    <w:rsid w:val="20062098"/>
    <w:rsid w:val="200B5B4F"/>
    <w:rsid w:val="2018599A"/>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D708FC"/>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82ABA"/>
    <w:rsid w:val="226D1E72"/>
    <w:rsid w:val="227475A2"/>
    <w:rsid w:val="227576FF"/>
    <w:rsid w:val="228618EC"/>
    <w:rsid w:val="228864DE"/>
    <w:rsid w:val="22A2356B"/>
    <w:rsid w:val="22AB2187"/>
    <w:rsid w:val="22AE5BAD"/>
    <w:rsid w:val="22AF4D88"/>
    <w:rsid w:val="22CD7AC4"/>
    <w:rsid w:val="22E14913"/>
    <w:rsid w:val="22F61DC1"/>
    <w:rsid w:val="22F914EA"/>
    <w:rsid w:val="22FA40FC"/>
    <w:rsid w:val="23067F40"/>
    <w:rsid w:val="231430D2"/>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169E6"/>
    <w:rsid w:val="238925F8"/>
    <w:rsid w:val="23A00778"/>
    <w:rsid w:val="23A55874"/>
    <w:rsid w:val="23B86C1E"/>
    <w:rsid w:val="23C7201E"/>
    <w:rsid w:val="23CE2493"/>
    <w:rsid w:val="23E372C7"/>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1958FB"/>
    <w:rsid w:val="2524326C"/>
    <w:rsid w:val="25395CD6"/>
    <w:rsid w:val="253B090B"/>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F76A2E"/>
    <w:rsid w:val="25FF490E"/>
    <w:rsid w:val="26045BA5"/>
    <w:rsid w:val="2608147E"/>
    <w:rsid w:val="2616589F"/>
    <w:rsid w:val="26190E9B"/>
    <w:rsid w:val="261B1965"/>
    <w:rsid w:val="261D5681"/>
    <w:rsid w:val="261E1EAF"/>
    <w:rsid w:val="2622515D"/>
    <w:rsid w:val="263006FF"/>
    <w:rsid w:val="2632779F"/>
    <w:rsid w:val="26343C0E"/>
    <w:rsid w:val="263F46CF"/>
    <w:rsid w:val="2648160D"/>
    <w:rsid w:val="264D54A2"/>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10DDA"/>
    <w:rsid w:val="27127E66"/>
    <w:rsid w:val="27195161"/>
    <w:rsid w:val="271C2021"/>
    <w:rsid w:val="27385D11"/>
    <w:rsid w:val="274E7CB5"/>
    <w:rsid w:val="274F1F02"/>
    <w:rsid w:val="274F4827"/>
    <w:rsid w:val="27512E91"/>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3748DE"/>
    <w:rsid w:val="2842661D"/>
    <w:rsid w:val="28461DD4"/>
    <w:rsid w:val="284A39DF"/>
    <w:rsid w:val="284C2371"/>
    <w:rsid w:val="28592B32"/>
    <w:rsid w:val="285D0806"/>
    <w:rsid w:val="28640251"/>
    <w:rsid w:val="286F7AFC"/>
    <w:rsid w:val="28767569"/>
    <w:rsid w:val="287C5A7F"/>
    <w:rsid w:val="28994FB0"/>
    <w:rsid w:val="289F1006"/>
    <w:rsid w:val="28BC3ACC"/>
    <w:rsid w:val="28CD3212"/>
    <w:rsid w:val="28D215E5"/>
    <w:rsid w:val="28D8743F"/>
    <w:rsid w:val="28FA031C"/>
    <w:rsid w:val="28FB5098"/>
    <w:rsid w:val="28FC354A"/>
    <w:rsid w:val="290D6A87"/>
    <w:rsid w:val="290D6A89"/>
    <w:rsid w:val="29171209"/>
    <w:rsid w:val="291A7232"/>
    <w:rsid w:val="29206950"/>
    <w:rsid w:val="2923219A"/>
    <w:rsid w:val="29271D87"/>
    <w:rsid w:val="292C2CE7"/>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2645F"/>
    <w:rsid w:val="29C56187"/>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B6E94"/>
    <w:rsid w:val="2B435E63"/>
    <w:rsid w:val="2B4469C1"/>
    <w:rsid w:val="2B4F5B82"/>
    <w:rsid w:val="2B515A4F"/>
    <w:rsid w:val="2B570107"/>
    <w:rsid w:val="2B621BF5"/>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8275F"/>
    <w:rsid w:val="2DCA67CB"/>
    <w:rsid w:val="2DDC38A4"/>
    <w:rsid w:val="2DDD39D0"/>
    <w:rsid w:val="2DDD402A"/>
    <w:rsid w:val="2DE8380B"/>
    <w:rsid w:val="2DFE338A"/>
    <w:rsid w:val="2E115812"/>
    <w:rsid w:val="2E1E7826"/>
    <w:rsid w:val="2E2B45F6"/>
    <w:rsid w:val="2E317F3A"/>
    <w:rsid w:val="2E324646"/>
    <w:rsid w:val="2E357B89"/>
    <w:rsid w:val="2E3C6A58"/>
    <w:rsid w:val="2E491A04"/>
    <w:rsid w:val="2E4A062B"/>
    <w:rsid w:val="2E4C2DB0"/>
    <w:rsid w:val="2E503A6F"/>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F5E73"/>
    <w:rsid w:val="2F297A0F"/>
    <w:rsid w:val="2F2D4335"/>
    <w:rsid w:val="2F2F3457"/>
    <w:rsid w:val="2F351401"/>
    <w:rsid w:val="2F36517B"/>
    <w:rsid w:val="2F374462"/>
    <w:rsid w:val="2F3A0746"/>
    <w:rsid w:val="2F4157CA"/>
    <w:rsid w:val="2F4F49C8"/>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296ED7"/>
    <w:rsid w:val="30336BB7"/>
    <w:rsid w:val="303402FA"/>
    <w:rsid w:val="303438A9"/>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67EA8"/>
    <w:rsid w:val="32DD3D03"/>
    <w:rsid w:val="32DF6972"/>
    <w:rsid w:val="32E12C59"/>
    <w:rsid w:val="32F0674A"/>
    <w:rsid w:val="33145FBC"/>
    <w:rsid w:val="33222B35"/>
    <w:rsid w:val="332B40B2"/>
    <w:rsid w:val="332C690B"/>
    <w:rsid w:val="332D2637"/>
    <w:rsid w:val="33394A74"/>
    <w:rsid w:val="335072D3"/>
    <w:rsid w:val="336E12FB"/>
    <w:rsid w:val="338334E0"/>
    <w:rsid w:val="33952065"/>
    <w:rsid w:val="3396429C"/>
    <w:rsid w:val="339A067B"/>
    <w:rsid w:val="339A1840"/>
    <w:rsid w:val="33A56B5C"/>
    <w:rsid w:val="33A6417A"/>
    <w:rsid w:val="33A71FBA"/>
    <w:rsid w:val="33A94F4C"/>
    <w:rsid w:val="33AB6A2B"/>
    <w:rsid w:val="33C70CDA"/>
    <w:rsid w:val="33E633F0"/>
    <w:rsid w:val="33ED7D27"/>
    <w:rsid w:val="33F82A12"/>
    <w:rsid w:val="33FB3647"/>
    <w:rsid w:val="34056D0A"/>
    <w:rsid w:val="34087F11"/>
    <w:rsid w:val="34255290"/>
    <w:rsid w:val="34304091"/>
    <w:rsid w:val="34362C0A"/>
    <w:rsid w:val="34486194"/>
    <w:rsid w:val="344F34FB"/>
    <w:rsid w:val="34550914"/>
    <w:rsid w:val="34555A90"/>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30C82"/>
    <w:rsid w:val="35F11141"/>
    <w:rsid w:val="35F14768"/>
    <w:rsid w:val="36042ECA"/>
    <w:rsid w:val="36060737"/>
    <w:rsid w:val="36077B54"/>
    <w:rsid w:val="36207AC5"/>
    <w:rsid w:val="36272C9D"/>
    <w:rsid w:val="362B29F8"/>
    <w:rsid w:val="362E6997"/>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4D4FB3"/>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95776"/>
    <w:rsid w:val="387A4397"/>
    <w:rsid w:val="387D1B06"/>
    <w:rsid w:val="387D3ED4"/>
    <w:rsid w:val="38831870"/>
    <w:rsid w:val="38837174"/>
    <w:rsid w:val="388F5960"/>
    <w:rsid w:val="38A15C6B"/>
    <w:rsid w:val="38AA37B9"/>
    <w:rsid w:val="38BA23E6"/>
    <w:rsid w:val="38C37C42"/>
    <w:rsid w:val="38D12C91"/>
    <w:rsid w:val="38DA5BE2"/>
    <w:rsid w:val="38E349E7"/>
    <w:rsid w:val="38EA7903"/>
    <w:rsid w:val="38F048BA"/>
    <w:rsid w:val="38F3613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357E1"/>
    <w:rsid w:val="3974291A"/>
    <w:rsid w:val="397B54A2"/>
    <w:rsid w:val="397C3D6C"/>
    <w:rsid w:val="398C51A8"/>
    <w:rsid w:val="398F3288"/>
    <w:rsid w:val="39902E32"/>
    <w:rsid w:val="39CA0C6B"/>
    <w:rsid w:val="39CC721E"/>
    <w:rsid w:val="39CE22D2"/>
    <w:rsid w:val="39D82886"/>
    <w:rsid w:val="39DD0211"/>
    <w:rsid w:val="39DD5C82"/>
    <w:rsid w:val="39E0408B"/>
    <w:rsid w:val="39E201AD"/>
    <w:rsid w:val="39FD052B"/>
    <w:rsid w:val="39FD7296"/>
    <w:rsid w:val="3A050A61"/>
    <w:rsid w:val="3A1717A2"/>
    <w:rsid w:val="3A2C0D88"/>
    <w:rsid w:val="3A3A0F35"/>
    <w:rsid w:val="3A5B03D7"/>
    <w:rsid w:val="3A662076"/>
    <w:rsid w:val="3A7663FB"/>
    <w:rsid w:val="3A7F6F62"/>
    <w:rsid w:val="3A8920E3"/>
    <w:rsid w:val="3A8A6F26"/>
    <w:rsid w:val="3A8B18ED"/>
    <w:rsid w:val="3A9B3770"/>
    <w:rsid w:val="3AB40EBA"/>
    <w:rsid w:val="3AB41012"/>
    <w:rsid w:val="3ABF0340"/>
    <w:rsid w:val="3AC058C7"/>
    <w:rsid w:val="3AC47EC3"/>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4A7C53"/>
    <w:rsid w:val="3B514A99"/>
    <w:rsid w:val="3B5261C9"/>
    <w:rsid w:val="3B674CA9"/>
    <w:rsid w:val="3B68169C"/>
    <w:rsid w:val="3B8319A0"/>
    <w:rsid w:val="3B961032"/>
    <w:rsid w:val="3BA17842"/>
    <w:rsid w:val="3BA411C8"/>
    <w:rsid w:val="3BA7014B"/>
    <w:rsid w:val="3BAF2423"/>
    <w:rsid w:val="3BBC230F"/>
    <w:rsid w:val="3BC83523"/>
    <w:rsid w:val="3BC86522"/>
    <w:rsid w:val="3BE32424"/>
    <w:rsid w:val="3BE81096"/>
    <w:rsid w:val="3BEF0F0F"/>
    <w:rsid w:val="3BEF707C"/>
    <w:rsid w:val="3BF3295B"/>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EF0193"/>
    <w:rsid w:val="3CF71419"/>
    <w:rsid w:val="3CFA508D"/>
    <w:rsid w:val="3D0A3F6B"/>
    <w:rsid w:val="3D0C0C45"/>
    <w:rsid w:val="3D170712"/>
    <w:rsid w:val="3D1721C0"/>
    <w:rsid w:val="3D1C61CA"/>
    <w:rsid w:val="3D227735"/>
    <w:rsid w:val="3D28077F"/>
    <w:rsid w:val="3D573277"/>
    <w:rsid w:val="3D605F73"/>
    <w:rsid w:val="3D6A1B4C"/>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D648A"/>
    <w:rsid w:val="3EBB4AEE"/>
    <w:rsid w:val="3EC33289"/>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821699"/>
    <w:rsid w:val="408E7728"/>
    <w:rsid w:val="40922062"/>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49513D"/>
    <w:rsid w:val="414C289C"/>
    <w:rsid w:val="41556A1E"/>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9F7732"/>
    <w:rsid w:val="42B545E4"/>
    <w:rsid w:val="42C53FC1"/>
    <w:rsid w:val="42D163E8"/>
    <w:rsid w:val="42D24020"/>
    <w:rsid w:val="42D74CB5"/>
    <w:rsid w:val="42DC3FE9"/>
    <w:rsid w:val="42F36C4D"/>
    <w:rsid w:val="430742C8"/>
    <w:rsid w:val="431710BE"/>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30CFF"/>
    <w:rsid w:val="47D538BF"/>
    <w:rsid w:val="47EC3BCC"/>
    <w:rsid w:val="47EF48E2"/>
    <w:rsid w:val="47FE5712"/>
    <w:rsid w:val="48056817"/>
    <w:rsid w:val="48071009"/>
    <w:rsid w:val="48160910"/>
    <w:rsid w:val="481D2E0A"/>
    <w:rsid w:val="482917DE"/>
    <w:rsid w:val="48312257"/>
    <w:rsid w:val="48314497"/>
    <w:rsid w:val="48454B43"/>
    <w:rsid w:val="484E2F53"/>
    <w:rsid w:val="484E459F"/>
    <w:rsid w:val="485174E3"/>
    <w:rsid w:val="486E0331"/>
    <w:rsid w:val="4873740A"/>
    <w:rsid w:val="4877279F"/>
    <w:rsid w:val="48832C3B"/>
    <w:rsid w:val="489176F0"/>
    <w:rsid w:val="48A01DC6"/>
    <w:rsid w:val="48AE7B29"/>
    <w:rsid w:val="48B34240"/>
    <w:rsid w:val="48BD60A8"/>
    <w:rsid w:val="48C85917"/>
    <w:rsid w:val="48D05068"/>
    <w:rsid w:val="48D72399"/>
    <w:rsid w:val="48D926AD"/>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937B6"/>
    <w:rsid w:val="4B5B00CB"/>
    <w:rsid w:val="4B5C2A02"/>
    <w:rsid w:val="4B5D1505"/>
    <w:rsid w:val="4B5D2F0E"/>
    <w:rsid w:val="4B670EEB"/>
    <w:rsid w:val="4B6C76C1"/>
    <w:rsid w:val="4B700715"/>
    <w:rsid w:val="4B7837FE"/>
    <w:rsid w:val="4B842536"/>
    <w:rsid w:val="4B857330"/>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5114DD"/>
    <w:rsid w:val="4C5B4E2F"/>
    <w:rsid w:val="4C64188F"/>
    <w:rsid w:val="4C6B203A"/>
    <w:rsid w:val="4C9D5333"/>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0B62AA"/>
    <w:rsid w:val="4E10399C"/>
    <w:rsid w:val="4E1250C6"/>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A4447"/>
    <w:rsid w:val="4F1E452A"/>
    <w:rsid w:val="4F32541F"/>
    <w:rsid w:val="4F3A6287"/>
    <w:rsid w:val="4F3B2C0D"/>
    <w:rsid w:val="4F3F0431"/>
    <w:rsid w:val="4F404EE0"/>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0654"/>
    <w:rsid w:val="547F5C9A"/>
    <w:rsid w:val="54825E65"/>
    <w:rsid w:val="54892033"/>
    <w:rsid w:val="548A5B56"/>
    <w:rsid w:val="54A86A7C"/>
    <w:rsid w:val="54AF16DE"/>
    <w:rsid w:val="54B50CF1"/>
    <w:rsid w:val="54B95EEC"/>
    <w:rsid w:val="54C0394D"/>
    <w:rsid w:val="54CE39BB"/>
    <w:rsid w:val="54D166F6"/>
    <w:rsid w:val="54D71321"/>
    <w:rsid w:val="54D90BDE"/>
    <w:rsid w:val="54DA747E"/>
    <w:rsid w:val="54E131E2"/>
    <w:rsid w:val="54F43303"/>
    <w:rsid w:val="54F457BC"/>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F38FB"/>
    <w:rsid w:val="57317A2D"/>
    <w:rsid w:val="573343D5"/>
    <w:rsid w:val="57480C7E"/>
    <w:rsid w:val="574E044C"/>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B00C46"/>
    <w:rsid w:val="5CC334F6"/>
    <w:rsid w:val="5CC61D78"/>
    <w:rsid w:val="5CCC07B0"/>
    <w:rsid w:val="5CD90705"/>
    <w:rsid w:val="5CEB1B81"/>
    <w:rsid w:val="5CEC2D02"/>
    <w:rsid w:val="5CEE257E"/>
    <w:rsid w:val="5CF86D3C"/>
    <w:rsid w:val="5D0015BF"/>
    <w:rsid w:val="5D06031B"/>
    <w:rsid w:val="5D0C3DC7"/>
    <w:rsid w:val="5D193471"/>
    <w:rsid w:val="5D1E77D4"/>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876E1"/>
    <w:rsid w:val="5FCD0F39"/>
    <w:rsid w:val="5FD70898"/>
    <w:rsid w:val="5FDB1CEF"/>
    <w:rsid w:val="6000247B"/>
    <w:rsid w:val="60026C59"/>
    <w:rsid w:val="600D2427"/>
    <w:rsid w:val="601F0A73"/>
    <w:rsid w:val="604416A4"/>
    <w:rsid w:val="60465395"/>
    <w:rsid w:val="60477519"/>
    <w:rsid w:val="60575B6D"/>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355ABE"/>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C3444"/>
    <w:rsid w:val="63777076"/>
    <w:rsid w:val="6379766A"/>
    <w:rsid w:val="637E241F"/>
    <w:rsid w:val="63836FE7"/>
    <w:rsid w:val="63840FA0"/>
    <w:rsid w:val="63907C89"/>
    <w:rsid w:val="6398788F"/>
    <w:rsid w:val="63A07392"/>
    <w:rsid w:val="63A15013"/>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200F58"/>
    <w:rsid w:val="663E460A"/>
    <w:rsid w:val="6657159A"/>
    <w:rsid w:val="665D343F"/>
    <w:rsid w:val="66644753"/>
    <w:rsid w:val="66694836"/>
    <w:rsid w:val="666E4B39"/>
    <w:rsid w:val="66727DB4"/>
    <w:rsid w:val="66760BD7"/>
    <w:rsid w:val="66770C98"/>
    <w:rsid w:val="66782D0F"/>
    <w:rsid w:val="669361A9"/>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CF0021"/>
    <w:rsid w:val="67D742CB"/>
    <w:rsid w:val="67DE0D83"/>
    <w:rsid w:val="67DF1078"/>
    <w:rsid w:val="67EC7DE2"/>
    <w:rsid w:val="67EF03F0"/>
    <w:rsid w:val="67FD29F7"/>
    <w:rsid w:val="68027B8F"/>
    <w:rsid w:val="680728BA"/>
    <w:rsid w:val="680817AE"/>
    <w:rsid w:val="68206398"/>
    <w:rsid w:val="682279B0"/>
    <w:rsid w:val="68231AA6"/>
    <w:rsid w:val="6832387B"/>
    <w:rsid w:val="683B523E"/>
    <w:rsid w:val="684405CC"/>
    <w:rsid w:val="68496D13"/>
    <w:rsid w:val="68503BF2"/>
    <w:rsid w:val="68513875"/>
    <w:rsid w:val="68523203"/>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6C2BC7"/>
    <w:rsid w:val="697164A6"/>
    <w:rsid w:val="69792ADF"/>
    <w:rsid w:val="69997176"/>
    <w:rsid w:val="699A2A0E"/>
    <w:rsid w:val="699C354E"/>
    <w:rsid w:val="69A311FE"/>
    <w:rsid w:val="69B311E0"/>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40849"/>
    <w:rsid w:val="6B3928B6"/>
    <w:rsid w:val="6B462CE0"/>
    <w:rsid w:val="6B4F273B"/>
    <w:rsid w:val="6B514E1B"/>
    <w:rsid w:val="6B577EAB"/>
    <w:rsid w:val="6B6432ED"/>
    <w:rsid w:val="6B786F8B"/>
    <w:rsid w:val="6B866978"/>
    <w:rsid w:val="6B891E19"/>
    <w:rsid w:val="6B941FCC"/>
    <w:rsid w:val="6B9D3663"/>
    <w:rsid w:val="6B9E2231"/>
    <w:rsid w:val="6BA935C4"/>
    <w:rsid w:val="6BC43F1F"/>
    <w:rsid w:val="6BC6761F"/>
    <w:rsid w:val="6BC91D6E"/>
    <w:rsid w:val="6BD839B0"/>
    <w:rsid w:val="6BDB5C94"/>
    <w:rsid w:val="6BDB6090"/>
    <w:rsid w:val="6BDC1899"/>
    <w:rsid w:val="6BED3CC8"/>
    <w:rsid w:val="6BF07518"/>
    <w:rsid w:val="6BF91AB4"/>
    <w:rsid w:val="6C032DCC"/>
    <w:rsid w:val="6C040C2B"/>
    <w:rsid w:val="6C046802"/>
    <w:rsid w:val="6C122656"/>
    <w:rsid w:val="6C1B696A"/>
    <w:rsid w:val="6C285280"/>
    <w:rsid w:val="6C2B4CD0"/>
    <w:rsid w:val="6C394A87"/>
    <w:rsid w:val="6C396A79"/>
    <w:rsid w:val="6C3B6833"/>
    <w:rsid w:val="6C3E677A"/>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201A9"/>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42CAA"/>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53423"/>
    <w:rsid w:val="72BF79CF"/>
    <w:rsid w:val="72C7434F"/>
    <w:rsid w:val="72D707B0"/>
    <w:rsid w:val="72DE2745"/>
    <w:rsid w:val="72E054B1"/>
    <w:rsid w:val="72E104EE"/>
    <w:rsid w:val="72E607CB"/>
    <w:rsid w:val="72E824FD"/>
    <w:rsid w:val="72EA4FFC"/>
    <w:rsid w:val="72FE7918"/>
    <w:rsid w:val="73047A73"/>
    <w:rsid w:val="73114E7C"/>
    <w:rsid w:val="73156D94"/>
    <w:rsid w:val="7318429A"/>
    <w:rsid w:val="732D5CDB"/>
    <w:rsid w:val="73334648"/>
    <w:rsid w:val="734D4252"/>
    <w:rsid w:val="73555484"/>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A056B"/>
    <w:rsid w:val="74EA4752"/>
    <w:rsid w:val="74EA6CC5"/>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632990"/>
    <w:rsid w:val="7567515E"/>
    <w:rsid w:val="75733B41"/>
    <w:rsid w:val="758C63AD"/>
    <w:rsid w:val="7590597C"/>
    <w:rsid w:val="759A1FF9"/>
    <w:rsid w:val="75A05D4D"/>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835155"/>
    <w:rsid w:val="7690759B"/>
    <w:rsid w:val="76914810"/>
    <w:rsid w:val="76A044CE"/>
    <w:rsid w:val="76A06605"/>
    <w:rsid w:val="76AA10FD"/>
    <w:rsid w:val="76BB1322"/>
    <w:rsid w:val="76CE1B1D"/>
    <w:rsid w:val="76D0048F"/>
    <w:rsid w:val="76D222A7"/>
    <w:rsid w:val="76D57902"/>
    <w:rsid w:val="76DB2223"/>
    <w:rsid w:val="76E625D6"/>
    <w:rsid w:val="76EE647F"/>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5277E"/>
    <w:rsid w:val="78B91E23"/>
    <w:rsid w:val="78BA7E4F"/>
    <w:rsid w:val="78BE5F8C"/>
    <w:rsid w:val="78D179BD"/>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9FC52E4"/>
    <w:rsid w:val="7A0C0F31"/>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76139D"/>
    <w:rsid w:val="7C86627E"/>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54BBC"/>
    <w:rsid w:val="7FA67086"/>
    <w:rsid w:val="7FA83396"/>
    <w:rsid w:val="7FBA461D"/>
    <w:rsid w:val="7FC41AD7"/>
    <w:rsid w:val="7FCD7503"/>
    <w:rsid w:val="7FD51FC5"/>
    <w:rsid w:val="7FE252A4"/>
    <w:rsid w:val="7FE30A57"/>
    <w:rsid w:val="DFFD23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0"/>
    <w:qFormat/>
    <w:uiPriority w:val="0"/>
    <w:pPr>
      <w:keepNext/>
      <w:spacing w:before="240" w:after="60"/>
      <w:outlineLvl w:val="0"/>
    </w:pPr>
    <w:rPr>
      <w:rFonts w:ascii="Cambria" w:hAnsi="Cambria"/>
      <w:b/>
      <w:bCs/>
      <w:kern w:val="32"/>
      <w:sz w:val="32"/>
      <w:szCs w:val="32"/>
    </w:rPr>
  </w:style>
  <w:style w:type="paragraph" w:styleId="6">
    <w:name w:val="heading 2"/>
    <w:basedOn w:val="1"/>
    <w:next w:val="1"/>
    <w:link w:val="51"/>
    <w:qFormat/>
    <w:uiPriority w:val="0"/>
    <w:pPr>
      <w:keepNext/>
      <w:keepLines/>
      <w:spacing w:before="260" w:after="260" w:line="413" w:lineRule="auto"/>
      <w:outlineLvl w:val="1"/>
    </w:pPr>
    <w:rPr>
      <w:rFonts w:ascii="Cambria" w:hAnsi="Cambria"/>
      <w:b/>
      <w:bCs/>
      <w:sz w:val="32"/>
      <w:szCs w:val="32"/>
    </w:rPr>
  </w:style>
  <w:style w:type="paragraph" w:styleId="7">
    <w:name w:val="heading 3"/>
    <w:basedOn w:val="1"/>
    <w:next w:val="1"/>
    <w:link w:val="52"/>
    <w:qFormat/>
    <w:uiPriority w:val="0"/>
    <w:pPr>
      <w:widowControl/>
      <w:spacing w:line="360" w:lineRule="auto"/>
      <w:outlineLvl w:val="2"/>
    </w:pPr>
    <w:rPr>
      <w:b/>
      <w:bCs/>
      <w:kern w:val="0"/>
      <w:sz w:val="24"/>
    </w:rPr>
  </w:style>
  <w:style w:type="paragraph" w:styleId="8">
    <w:name w:val="heading 4"/>
    <w:basedOn w:val="1"/>
    <w:next w:val="1"/>
    <w:link w:val="53"/>
    <w:qFormat/>
    <w:uiPriority w:val="0"/>
    <w:pPr>
      <w:keepNext/>
      <w:keepLines/>
      <w:spacing w:line="360" w:lineRule="auto"/>
      <w:outlineLvl w:val="3"/>
    </w:pPr>
    <w:rPr>
      <w:rFonts w:ascii="Arial" w:hAnsi="Arial"/>
      <w:b/>
      <w:bCs/>
      <w:szCs w:val="28"/>
    </w:rPr>
  </w:style>
  <w:style w:type="paragraph" w:styleId="9">
    <w:name w:val="heading 5"/>
    <w:basedOn w:val="1"/>
    <w:next w:val="1"/>
    <w:link w:val="54"/>
    <w:qFormat/>
    <w:uiPriority w:val="0"/>
    <w:pPr>
      <w:keepNext/>
      <w:keepLines/>
      <w:spacing w:before="280" w:after="290" w:line="372" w:lineRule="auto"/>
      <w:outlineLvl w:val="4"/>
    </w:pPr>
    <w:rPr>
      <w:b/>
      <w:bCs/>
      <w:sz w:val="28"/>
      <w:szCs w:val="28"/>
    </w:rPr>
  </w:style>
  <w:style w:type="paragraph" w:styleId="10">
    <w:name w:val="heading 6"/>
    <w:basedOn w:val="1"/>
    <w:next w:val="1"/>
    <w:link w:val="55"/>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1">
    <w:name w:val="heading 7"/>
    <w:basedOn w:val="1"/>
    <w:next w:val="1"/>
    <w:link w:val="56"/>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2">
    <w:name w:val="heading 8"/>
    <w:basedOn w:val="1"/>
    <w:next w:val="1"/>
    <w:link w:val="57"/>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58"/>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2">
    <w:name w:val="Default Paragraph Font"/>
    <w:unhideWhenUsed/>
    <w:qFormat/>
    <w:uiPriority w:val="1"/>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First Indent"/>
    <w:basedOn w:val="3"/>
    <w:autoRedefine/>
    <w:unhideWhenUsed/>
    <w:qFormat/>
    <w:uiPriority w:val="0"/>
    <w:pPr>
      <w:spacing w:after="120"/>
      <w:ind w:firstLine="420" w:firstLineChars="100"/>
    </w:pPr>
    <w:rPr>
      <w:sz w:val="30"/>
    </w:rPr>
  </w:style>
  <w:style w:type="paragraph" w:styleId="3">
    <w:name w:val="Body Text"/>
    <w:basedOn w:val="1"/>
    <w:next w:val="4"/>
    <w:link w:val="61"/>
    <w:autoRedefine/>
    <w:qFormat/>
    <w:uiPriority w:val="0"/>
    <w:pPr>
      <w:spacing w:after="120"/>
    </w:pPr>
  </w:style>
  <w:style w:type="paragraph" w:customStyle="1" w:styleId="4">
    <w:name w:val="正文首行缩进1"/>
    <w:basedOn w:val="1"/>
    <w:qFormat/>
    <w:uiPriority w:val="99"/>
    <w:pPr>
      <w:spacing w:after="120"/>
      <w:ind w:firstLine="420" w:firstLineChars="100"/>
    </w:pPr>
  </w:style>
  <w:style w:type="paragraph" w:styleId="14">
    <w:name w:val="toc 7"/>
    <w:basedOn w:val="1"/>
    <w:next w:val="1"/>
    <w:qFormat/>
    <w:uiPriority w:val="39"/>
    <w:pPr>
      <w:ind w:left="2520" w:leftChars="1200"/>
    </w:pPr>
    <w:rPr>
      <w:rFonts w:ascii="Calibri" w:hAnsi="Calibri"/>
      <w:szCs w:val="22"/>
    </w:rPr>
  </w:style>
  <w:style w:type="paragraph" w:styleId="15">
    <w:name w:val="Normal Indent"/>
    <w:basedOn w:val="1"/>
    <w:autoRedefine/>
    <w:qFormat/>
    <w:uiPriority w:val="0"/>
    <w:pPr>
      <w:ind w:firstLine="420" w:firstLineChars="200"/>
    </w:pPr>
  </w:style>
  <w:style w:type="paragraph" w:styleId="16">
    <w:name w:val="caption"/>
    <w:basedOn w:val="1"/>
    <w:next w:val="1"/>
    <w:autoRedefine/>
    <w:qFormat/>
    <w:uiPriority w:val="0"/>
    <w:rPr>
      <w:rFonts w:ascii="Cambria" w:hAnsi="Cambria" w:eastAsia="黑体"/>
      <w:sz w:val="20"/>
      <w:szCs w:val="20"/>
    </w:rPr>
  </w:style>
  <w:style w:type="paragraph" w:styleId="17">
    <w:name w:val="Document Map"/>
    <w:basedOn w:val="1"/>
    <w:link w:val="59"/>
    <w:qFormat/>
    <w:uiPriority w:val="0"/>
    <w:pPr>
      <w:shd w:val="clear" w:color="auto" w:fill="000080"/>
    </w:pPr>
  </w:style>
  <w:style w:type="paragraph" w:styleId="18">
    <w:name w:val="annotation text"/>
    <w:basedOn w:val="1"/>
    <w:link w:val="60"/>
    <w:autoRedefine/>
    <w:qFormat/>
    <w:uiPriority w:val="0"/>
    <w:pPr>
      <w:jc w:val="left"/>
    </w:pPr>
  </w:style>
  <w:style w:type="paragraph" w:styleId="19">
    <w:name w:val="Body Text Indent"/>
    <w:basedOn w:val="1"/>
    <w:link w:val="62"/>
    <w:autoRedefine/>
    <w:qFormat/>
    <w:uiPriority w:val="0"/>
    <w:pPr>
      <w:spacing w:after="120"/>
      <w:ind w:left="420" w:leftChars="200"/>
    </w:pPr>
  </w:style>
  <w:style w:type="paragraph" w:styleId="20">
    <w:name w:val="index 4"/>
    <w:basedOn w:val="1"/>
    <w:next w:val="1"/>
    <w:qFormat/>
    <w:uiPriority w:val="0"/>
    <w:pPr>
      <w:ind w:left="600" w:leftChars="600"/>
    </w:pPr>
  </w:style>
  <w:style w:type="paragraph" w:styleId="21">
    <w:name w:val="toc 5"/>
    <w:basedOn w:val="1"/>
    <w:next w:val="1"/>
    <w:qFormat/>
    <w:uiPriority w:val="39"/>
    <w:pPr>
      <w:ind w:left="1680" w:leftChars="800"/>
    </w:pPr>
    <w:rPr>
      <w:rFonts w:ascii="Calibri" w:hAnsi="Calibri"/>
      <w:szCs w:val="22"/>
    </w:rPr>
  </w:style>
  <w:style w:type="paragraph" w:styleId="22">
    <w:name w:val="toc 3"/>
    <w:basedOn w:val="1"/>
    <w:next w:val="1"/>
    <w:qFormat/>
    <w:uiPriority w:val="39"/>
    <w:pPr>
      <w:ind w:left="840" w:leftChars="400"/>
    </w:pPr>
  </w:style>
  <w:style w:type="paragraph" w:styleId="23">
    <w:name w:val="Plain Text"/>
    <w:basedOn w:val="1"/>
    <w:link w:val="63"/>
    <w:autoRedefine/>
    <w:qFormat/>
    <w:uiPriority w:val="0"/>
    <w:rPr>
      <w:rFonts w:ascii="宋体" w:hAnsi="Courier New" w:eastAsia="仿宋_GB2312"/>
      <w:sz w:val="32"/>
    </w:rPr>
  </w:style>
  <w:style w:type="paragraph" w:styleId="24">
    <w:name w:val="toc 8"/>
    <w:basedOn w:val="1"/>
    <w:next w:val="1"/>
    <w:autoRedefine/>
    <w:qFormat/>
    <w:uiPriority w:val="39"/>
    <w:pPr>
      <w:ind w:left="2940" w:leftChars="1400"/>
    </w:pPr>
    <w:rPr>
      <w:rFonts w:ascii="Calibri" w:hAnsi="Calibri"/>
      <w:szCs w:val="22"/>
    </w:rPr>
  </w:style>
  <w:style w:type="paragraph" w:styleId="25">
    <w:name w:val="Date"/>
    <w:basedOn w:val="1"/>
    <w:next w:val="1"/>
    <w:link w:val="64"/>
    <w:autoRedefine/>
    <w:qFormat/>
    <w:uiPriority w:val="0"/>
    <w:pPr>
      <w:ind w:left="100" w:leftChars="2500"/>
    </w:pPr>
  </w:style>
  <w:style w:type="paragraph" w:styleId="26">
    <w:name w:val="Body Text Indent 2"/>
    <w:basedOn w:val="1"/>
    <w:link w:val="65"/>
    <w:qFormat/>
    <w:uiPriority w:val="0"/>
    <w:pPr>
      <w:autoSpaceDE w:val="0"/>
      <w:autoSpaceDN w:val="0"/>
      <w:adjustRightInd w:val="0"/>
      <w:spacing w:line="410" w:lineRule="atLeast"/>
      <w:ind w:left="480"/>
      <w:jc w:val="left"/>
    </w:pPr>
    <w:rPr>
      <w:rFonts w:ascii="宋体" w:hAnsi="Calibri"/>
      <w:color w:val="000000"/>
    </w:rPr>
  </w:style>
  <w:style w:type="paragraph" w:styleId="27">
    <w:name w:val="Balloon Text"/>
    <w:basedOn w:val="1"/>
    <w:link w:val="66"/>
    <w:autoRedefine/>
    <w:qFormat/>
    <w:uiPriority w:val="0"/>
    <w:rPr>
      <w:sz w:val="18"/>
      <w:szCs w:val="18"/>
    </w:rPr>
  </w:style>
  <w:style w:type="paragraph" w:styleId="28">
    <w:name w:val="footer"/>
    <w:basedOn w:val="1"/>
    <w:link w:val="67"/>
    <w:autoRedefine/>
    <w:qFormat/>
    <w:uiPriority w:val="99"/>
    <w:pPr>
      <w:tabs>
        <w:tab w:val="center" w:pos="4153"/>
        <w:tab w:val="right" w:pos="8306"/>
      </w:tabs>
      <w:snapToGrid w:val="0"/>
      <w:jc w:val="left"/>
    </w:pPr>
    <w:rPr>
      <w:sz w:val="18"/>
      <w:szCs w:val="18"/>
    </w:rPr>
  </w:style>
  <w:style w:type="paragraph" w:styleId="29">
    <w:name w:val="header"/>
    <w:basedOn w:val="1"/>
    <w:link w:val="68"/>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autoRedefine/>
    <w:qFormat/>
    <w:uiPriority w:val="39"/>
    <w:pPr>
      <w:ind w:left="1260" w:leftChars="600"/>
    </w:pPr>
  </w:style>
  <w:style w:type="paragraph" w:styleId="32">
    <w:name w:val="Subtitle"/>
    <w:basedOn w:val="1"/>
    <w:next w:val="1"/>
    <w:link w:val="69"/>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autoRedefine/>
    <w:qFormat/>
    <w:uiPriority w:val="39"/>
    <w:pPr>
      <w:ind w:left="2100" w:leftChars="1000"/>
    </w:pPr>
    <w:rPr>
      <w:rFonts w:ascii="Calibri" w:hAnsi="Calibri"/>
      <w:szCs w:val="22"/>
    </w:rPr>
  </w:style>
  <w:style w:type="paragraph" w:styleId="34">
    <w:name w:val="Body Text Indent 3"/>
    <w:basedOn w:val="1"/>
    <w:link w:val="70"/>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Calibri" w:hAnsi="Calibri"/>
      <w:szCs w:val="22"/>
    </w:rPr>
  </w:style>
  <w:style w:type="paragraph" w:styleId="37">
    <w:name w:val="Normal (Web)"/>
    <w:basedOn w:val="1"/>
    <w:autoRedefine/>
    <w:qFormat/>
    <w:uiPriority w:val="99"/>
    <w:pPr>
      <w:widowControl/>
      <w:spacing w:before="100" w:beforeAutospacing="1" w:after="100" w:afterAutospacing="1"/>
      <w:jc w:val="left"/>
    </w:pPr>
    <w:rPr>
      <w:kern w:val="0"/>
    </w:rPr>
  </w:style>
  <w:style w:type="paragraph" w:styleId="38">
    <w:name w:val="Title"/>
    <w:basedOn w:val="1"/>
    <w:next w:val="1"/>
    <w:link w:val="71"/>
    <w:autoRedefine/>
    <w:qFormat/>
    <w:uiPriority w:val="0"/>
    <w:pPr>
      <w:spacing w:before="240" w:after="60"/>
      <w:jc w:val="center"/>
      <w:outlineLvl w:val="0"/>
    </w:pPr>
    <w:rPr>
      <w:rFonts w:ascii="Cambria" w:hAnsi="Cambria"/>
      <w:b/>
      <w:sz w:val="32"/>
    </w:rPr>
  </w:style>
  <w:style w:type="paragraph" w:styleId="39">
    <w:name w:val="annotation subject"/>
    <w:basedOn w:val="18"/>
    <w:next w:val="18"/>
    <w:link w:val="72"/>
    <w:autoRedefine/>
    <w:qFormat/>
    <w:uiPriority w:val="0"/>
    <w:rPr>
      <w:b/>
      <w:bCs/>
    </w:rPr>
  </w:style>
  <w:style w:type="table" w:styleId="41">
    <w:name w:val="Table Grid"/>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rPr>
  </w:style>
  <w:style w:type="character" w:styleId="44">
    <w:name w:val="page number"/>
    <w:autoRedefine/>
    <w:qFormat/>
    <w:uiPriority w:val="0"/>
  </w:style>
  <w:style w:type="character" w:styleId="45">
    <w:name w:val="FollowedHyperlink"/>
    <w:autoRedefine/>
    <w:qFormat/>
    <w:uiPriority w:val="0"/>
    <w:rPr>
      <w:color w:val="800080"/>
      <w:u w:val="single"/>
    </w:rPr>
  </w:style>
  <w:style w:type="character" w:styleId="46">
    <w:name w:val="Emphasis"/>
    <w:autoRedefine/>
    <w:qFormat/>
    <w:uiPriority w:val="0"/>
    <w:rPr>
      <w:i/>
      <w:iCs/>
    </w:rPr>
  </w:style>
  <w:style w:type="character" w:styleId="47">
    <w:name w:val="Hyperlink"/>
    <w:autoRedefine/>
    <w:qFormat/>
    <w:uiPriority w:val="99"/>
    <w:rPr>
      <w:color w:val="0000FF"/>
      <w:u w:val="single"/>
    </w:rPr>
  </w:style>
  <w:style w:type="character" w:styleId="48">
    <w:name w:val="HTML Code"/>
    <w:autoRedefine/>
    <w:qFormat/>
    <w:uiPriority w:val="0"/>
    <w:rPr>
      <w:rFonts w:ascii="Courier New" w:hAnsi="Courier New"/>
      <w:sz w:val="20"/>
    </w:rPr>
  </w:style>
  <w:style w:type="character" w:styleId="49">
    <w:name w:val="annotation reference"/>
    <w:autoRedefine/>
    <w:qFormat/>
    <w:uiPriority w:val="0"/>
    <w:rPr>
      <w:sz w:val="21"/>
      <w:szCs w:val="21"/>
    </w:rPr>
  </w:style>
  <w:style w:type="character" w:customStyle="1" w:styleId="50">
    <w:name w:val="标题 1 字符"/>
    <w:link w:val="5"/>
    <w:autoRedefine/>
    <w:qFormat/>
    <w:uiPriority w:val="0"/>
    <w:rPr>
      <w:rFonts w:ascii="Cambria" w:hAnsi="Cambria"/>
      <w:b/>
      <w:bCs/>
      <w:kern w:val="32"/>
      <w:sz w:val="32"/>
      <w:szCs w:val="32"/>
    </w:rPr>
  </w:style>
  <w:style w:type="character" w:customStyle="1" w:styleId="51">
    <w:name w:val="标题 2 字符"/>
    <w:link w:val="6"/>
    <w:autoRedefine/>
    <w:qFormat/>
    <w:uiPriority w:val="0"/>
    <w:rPr>
      <w:rFonts w:ascii="Cambria" w:hAnsi="Cambria" w:eastAsia="宋体" w:cs="Times New Roman"/>
      <w:b/>
      <w:bCs/>
      <w:kern w:val="2"/>
      <w:sz w:val="32"/>
      <w:szCs w:val="32"/>
    </w:rPr>
  </w:style>
  <w:style w:type="character" w:customStyle="1" w:styleId="52">
    <w:name w:val="标题 3 字符"/>
    <w:link w:val="7"/>
    <w:autoRedefine/>
    <w:qFormat/>
    <w:uiPriority w:val="0"/>
    <w:rPr>
      <w:b/>
      <w:bCs/>
      <w:sz w:val="24"/>
      <w:szCs w:val="24"/>
    </w:rPr>
  </w:style>
  <w:style w:type="character" w:customStyle="1" w:styleId="53">
    <w:name w:val="标题 4 字符"/>
    <w:link w:val="8"/>
    <w:autoRedefine/>
    <w:qFormat/>
    <w:uiPriority w:val="0"/>
    <w:rPr>
      <w:rFonts w:ascii="Arial" w:hAnsi="Arial"/>
      <w:b/>
      <w:bCs/>
      <w:kern w:val="2"/>
      <w:sz w:val="21"/>
      <w:szCs w:val="28"/>
    </w:rPr>
  </w:style>
  <w:style w:type="character" w:customStyle="1" w:styleId="54">
    <w:name w:val="标题 5 字符"/>
    <w:link w:val="9"/>
    <w:autoRedefine/>
    <w:qFormat/>
    <w:uiPriority w:val="0"/>
    <w:rPr>
      <w:b/>
      <w:bCs/>
      <w:kern w:val="2"/>
      <w:sz w:val="28"/>
      <w:szCs w:val="28"/>
    </w:rPr>
  </w:style>
  <w:style w:type="character" w:customStyle="1" w:styleId="55">
    <w:name w:val="标题 6 字符"/>
    <w:link w:val="10"/>
    <w:autoRedefine/>
    <w:qFormat/>
    <w:uiPriority w:val="0"/>
    <w:rPr>
      <w:rFonts w:ascii="Arial" w:hAnsi="Arial" w:eastAsia="黑体"/>
      <w:b/>
      <w:bCs/>
      <w:sz w:val="24"/>
      <w:szCs w:val="24"/>
    </w:rPr>
  </w:style>
  <w:style w:type="character" w:customStyle="1" w:styleId="56">
    <w:name w:val="标题 7 字符"/>
    <w:link w:val="11"/>
    <w:autoRedefine/>
    <w:qFormat/>
    <w:uiPriority w:val="0"/>
    <w:rPr>
      <w:b/>
      <w:bCs/>
      <w:sz w:val="24"/>
      <w:szCs w:val="24"/>
    </w:rPr>
  </w:style>
  <w:style w:type="character" w:customStyle="1" w:styleId="57">
    <w:name w:val="标题 8 字符"/>
    <w:link w:val="12"/>
    <w:autoRedefine/>
    <w:qFormat/>
    <w:uiPriority w:val="0"/>
    <w:rPr>
      <w:rFonts w:ascii="Arial" w:hAnsi="Arial" w:eastAsia="黑体"/>
      <w:sz w:val="24"/>
      <w:szCs w:val="24"/>
    </w:rPr>
  </w:style>
  <w:style w:type="character" w:customStyle="1" w:styleId="58">
    <w:name w:val="标题 9 字符"/>
    <w:link w:val="13"/>
    <w:autoRedefine/>
    <w:qFormat/>
    <w:uiPriority w:val="0"/>
    <w:rPr>
      <w:rFonts w:ascii="Arial" w:hAnsi="Arial" w:eastAsia="黑体"/>
      <w:sz w:val="21"/>
      <w:szCs w:val="21"/>
    </w:rPr>
  </w:style>
  <w:style w:type="character" w:customStyle="1" w:styleId="59">
    <w:name w:val="文档结构图 字符"/>
    <w:link w:val="17"/>
    <w:autoRedefine/>
    <w:qFormat/>
    <w:uiPriority w:val="0"/>
    <w:rPr>
      <w:kern w:val="2"/>
      <w:sz w:val="21"/>
      <w:szCs w:val="24"/>
      <w:shd w:val="clear" w:color="auto" w:fill="000080"/>
    </w:rPr>
  </w:style>
  <w:style w:type="character" w:customStyle="1" w:styleId="60">
    <w:name w:val="批注文字 字符"/>
    <w:link w:val="18"/>
    <w:autoRedefine/>
    <w:qFormat/>
    <w:uiPriority w:val="0"/>
    <w:rPr>
      <w:kern w:val="2"/>
      <w:sz w:val="21"/>
      <w:szCs w:val="24"/>
    </w:rPr>
  </w:style>
  <w:style w:type="character" w:customStyle="1" w:styleId="61">
    <w:name w:val="正文文本 字符"/>
    <w:link w:val="3"/>
    <w:autoRedefine/>
    <w:qFormat/>
    <w:uiPriority w:val="0"/>
    <w:rPr>
      <w:kern w:val="2"/>
      <w:sz w:val="21"/>
      <w:szCs w:val="24"/>
    </w:rPr>
  </w:style>
  <w:style w:type="character" w:customStyle="1" w:styleId="62">
    <w:name w:val="正文文本缩进 字符"/>
    <w:link w:val="19"/>
    <w:autoRedefine/>
    <w:qFormat/>
    <w:uiPriority w:val="0"/>
    <w:rPr>
      <w:kern w:val="2"/>
      <w:sz w:val="21"/>
      <w:szCs w:val="24"/>
    </w:rPr>
  </w:style>
  <w:style w:type="character" w:customStyle="1" w:styleId="63">
    <w:name w:val="纯文本 字符"/>
    <w:link w:val="23"/>
    <w:autoRedefine/>
    <w:qFormat/>
    <w:uiPriority w:val="0"/>
    <w:rPr>
      <w:rFonts w:ascii="宋体" w:hAnsi="Courier New" w:eastAsia="仿宋_GB2312"/>
      <w:kern w:val="2"/>
      <w:sz w:val="32"/>
      <w:szCs w:val="24"/>
    </w:rPr>
  </w:style>
  <w:style w:type="character" w:customStyle="1" w:styleId="64">
    <w:name w:val="日期 字符"/>
    <w:link w:val="25"/>
    <w:autoRedefine/>
    <w:qFormat/>
    <w:uiPriority w:val="0"/>
    <w:rPr>
      <w:kern w:val="2"/>
      <w:sz w:val="21"/>
      <w:szCs w:val="24"/>
    </w:rPr>
  </w:style>
  <w:style w:type="character" w:customStyle="1" w:styleId="65">
    <w:name w:val="正文文本缩进 2 字符"/>
    <w:link w:val="26"/>
    <w:autoRedefine/>
    <w:qFormat/>
    <w:uiPriority w:val="0"/>
    <w:rPr>
      <w:rFonts w:ascii="宋体" w:hAnsi="Calibri"/>
      <w:color w:val="000000"/>
      <w:kern w:val="2"/>
      <w:sz w:val="21"/>
      <w:szCs w:val="24"/>
    </w:rPr>
  </w:style>
  <w:style w:type="character" w:customStyle="1" w:styleId="66">
    <w:name w:val="批注框文本 字符"/>
    <w:link w:val="27"/>
    <w:autoRedefine/>
    <w:qFormat/>
    <w:uiPriority w:val="0"/>
    <w:rPr>
      <w:kern w:val="2"/>
      <w:sz w:val="18"/>
      <w:szCs w:val="18"/>
    </w:rPr>
  </w:style>
  <w:style w:type="character" w:customStyle="1" w:styleId="67">
    <w:name w:val="页脚 字符"/>
    <w:link w:val="28"/>
    <w:autoRedefine/>
    <w:qFormat/>
    <w:uiPriority w:val="99"/>
    <w:rPr>
      <w:kern w:val="2"/>
      <w:sz w:val="18"/>
      <w:szCs w:val="18"/>
    </w:rPr>
  </w:style>
  <w:style w:type="character" w:customStyle="1" w:styleId="68">
    <w:name w:val="页眉 字符"/>
    <w:link w:val="29"/>
    <w:autoRedefine/>
    <w:qFormat/>
    <w:uiPriority w:val="0"/>
    <w:rPr>
      <w:kern w:val="2"/>
      <w:sz w:val="18"/>
      <w:szCs w:val="18"/>
    </w:rPr>
  </w:style>
  <w:style w:type="character" w:customStyle="1" w:styleId="69">
    <w:name w:val="副标题 字符"/>
    <w:link w:val="32"/>
    <w:autoRedefine/>
    <w:qFormat/>
    <w:uiPriority w:val="0"/>
    <w:rPr>
      <w:rFonts w:ascii="Cambria" w:hAnsi="Cambria"/>
      <w:b/>
      <w:bCs/>
      <w:kern w:val="28"/>
      <w:sz w:val="32"/>
      <w:szCs w:val="32"/>
    </w:rPr>
  </w:style>
  <w:style w:type="character" w:customStyle="1" w:styleId="70">
    <w:name w:val="正文文本缩进 3 字符"/>
    <w:link w:val="34"/>
    <w:autoRedefine/>
    <w:qFormat/>
    <w:uiPriority w:val="0"/>
    <w:rPr>
      <w:rFonts w:ascii="宋体" w:hAnsi="MS Sans Serif"/>
      <w:color w:val="000000"/>
      <w:sz w:val="24"/>
    </w:rPr>
  </w:style>
  <w:style w:type="character" w:customStyle="1" w:styleId="71">
    <w:name w:val="标题 字符"/>
    <w:link w:val="38"/>
    <w:autoRedefine/>
    <w:qFormat/>
    <w:uiPriority w:val="0"/>
    <w:rPr>
      <w:rFonts w:ascii="Cambria" w:hAnsi="Cambria"/>
      <w:b/>
      <w:kern w:val="2"/>
      <w:sz w:val="32"/>
      <w:szCs w:val="24"/>
    </w:rPr>
  </w:style>
  <w:style w:type="character" w:customStyle="1" w:styleId="72">
    <w:name w:val="批注主题 字符"/>
    <w:link w:val="39"/>
    <w:autoRedefine/>
    <w:qFormat/>
    <w:uiPriority w:val="0"/>
    <w:rPr>
      <w:b/>
      <w:bCs/>
      <w:kern w:val="2"/>
      <w:sz w:val="21"/>
      <w:szCs w:val="24"/>
    </w:rPr>
  </w:style>
  <w:style w:type="character" w:customStyle="1" w:styleId="73">
    <w:name w:val="页眉 Char1"/>
    <w:autoRedefine/>
    <w:semiHidden/>
    <w:qFormat/>
    <w:uiPriority w:val="99"/>
    <w:rPr>
      <w:rFonts w:ascii="Times New Roman" w:hAnsi="Times New Roman" w:eastAsia="宋体" w:cs="Times New Roman"/>
      <w:sz w:val="18"/>
      <w:szCs w:val="18"/>
    </w:rPr>
  </w:style>
  <w:style w:type="character" w:customStyle="1" w:styleId="74">
    <w:name w:val="p0 Char"/>
    <w:link w:val="75"/>
    <w:autoRedefine/>
    <w:qFormat/>
    <w:uiPriority w:val="0"/>
    <w:rPr>
      <w:rFonts w:eastAsia="宋体"/>
      <w:kern w:val="2"/>
      <w:sz w:val="21"/>
      <w:szCs w:val="21"/>
      <w:lang w:val="en-US" w:eastAsia="zh-CN" w:bidi="ar-SA"/>
    </w:rPr>
  </w:style>
  <w:style w:type="paragraph" w:customStyle="1" w:styleId="75">
    <w:name w:val="p0"/>
    <w:basedOn w:val="1"/>
    <w:link w:val="74"/>
    <w:autoRedefine/>
    <w:qFormat/>
    <w:uiPriority w:val="0"/>
    <w:pPr>
      <w:widowControl/>
    </w:pPr>
    <w:rPr>
      <w:szCs w:val="21"/>
    </w:rPr>
  </w:style>
  <w:style w:type="character" w:customStyle="1" w:styleId="76">
    <w:name w:val="标题 4 Char Char"/>
    <w:autoRedefine/>
    <w:qFormat/>
    <w:uiPriority w:val="0"/>
    <w:rPr>
      <w:rFonts w:ascii="Arial" w:hAnsi="Arial" w:eastAsia="宋体"/>
      <w:b/>
      <w:bCs/>
      <w:kern w:val="2"/>
      <w:sz w:val="21"/>
      <w:szCs w:val="28"/>
      <w:lang w:val="en-US" w:eastAsia="zh-CN" w:bidi="ar-SA"/>
    </w:rPr>
  </w:style>
  <w:style w:type="character" w:customStyle="1" w:styleId="77">
    <w:name w:val="批注框文本 Char1"/>
    <w:autoRedefine/>
    <w:qFormat/>
    <w:uiPriority w:val="0"/>
    <w:rPr>
      <w:rFonts w:ascii="Times New Roman" w:hAnsi="Times New Roman" w:eastAsia="宋体" w:cs="Times New Roman"/>
      <w:sz w:val="18"/>
      <w:szCs w:val="18"/>
    </w:rPr>
  </w:style>
  <w:style w:type="character" w:customStyle="1" w:styleId="78">
    <w:name w:val="纯文本 Char Char"/>
    <w:autoRedefine/>
    <w:qFormat/>
    <w:uiPriority w:val="0"/>
    <w:rPr>
      <w:rFonts w:ascii="宋体" w:hAnsi="Courier New" w:eastAsia="仿宋_GB2312"/>
      <w:kern w:val="2"/>
      <w:sz w:val="32"/>
      <w:szCs w:val="24"/>
      <w:lang w:bidi="ar-SA"/>
    </w:rPr>
  </w:style>
  <w:style w:type="character" w:customStyle="1" w:styleId="79">
    <w:name w:val="标题 3 Char1"/>
    <w:autoRedefine/>
    <w:qFormat/>
    <w:uiPriority w:val="0"/>
    <w:rPr>
      <w:b/>
      <w:bCs/>
      <w:sz w:val="24"/>
      <w:szCs w:val="24"/>
    </w:rPr>
  </w:style>
  <w:style w:type="character" w:customStyle="1" w:styleId="80">
    <w:name w:val="Font Style119"/>
    <w:autoRedefine/>
    <w:unhideWhenUsed/>
    <w:qFormat/>
    <w:uiPriority w:val="99"/>
    <w:rPr>
      <w:rFonts w:hint="eastAsia" w:ascii="宋体" w:hAnsi="宋体" w:eastAsia="宋体"/>
      <w:sz w:val="24"/>
    </w:rPr>
  </w:style>
  <w:style w:type="character" w:customStyle="1" w:styleId="81">
    <w:name w:val="Font Style131"/>
    <w:autoRedefine/>
    <w:unhideWhenUsed/>
    <w:qFormat/>
    <w:uiPriority w:val="99"/>
    <w:rPr>
      <w:rFonts w:hint="eastAsia" w:ascii="Times New Roman" w:hAnsi="Times New Roman" w:eastAsia="Times New Roman"/>
      <w:sz w:val="18"/>
    </w:rPr>
  </w:style>
  <w:style w:type="character" w:customStyle="1" w:styleId="82">
    <w:name w:val="textcontents"/>
    <w:autoRedefine/>
    <w:qFormat/>
    <w:uiPriority w:val="0"/>
    <w:rPr>
      <w:rFonts w:cs="Times New Roman"/>
    </w:rPr>
  </w:style>
  <w:style w:type="character" w:customStyle="1" w:styleId="83">
    <w:name w:val="明显引用 Char1"/>
    <w:autoRedefine/>
    <w:qFormat/>
    <w:uiPriority w:val="99"/>
    <w:rPr>
      <w:b/>
      <w:bCs/>
      <w:i/>
      <w:iCs/>
      <w:color w:val="4F81BD"/>
      <w:kern w:val="2"/>
      <w:sz w:val="21"/>
      <w:szCs w:val="24"/>
    </w:rPr>
  </w:style>
  <w:style w:type="character" w:customStyle="1" w:styleId="84">
    <w:name w:val="Font Style86"/>
    <w:autoRedefine/>
    <w:unhideWhenUsed/>
    <w:qFormat/>
    <w:uiPriority w:val="99"/>
    <w:rPr>
      <w:rFonts w:hint="eastAsia" w:ascii="黑体" w:hAnsi="黑体" w:eastAsia="黑体"/>
      <w:spacing w:val="10"/>
      <w:sz w:val="30"/>
    </w:rPr>
  </w:style>
  <w:style w:type="character" w:customStyle="1" w:styleId="85">
    <w:name w:val="Font Style122"/>
    <w:autoRedefine/>
    <w:unhideWhenUsed/>
    <w:qFormat/>
    <w:uiPriority w:val="99"/>
    <w:rPr>
      <w:rFonts w:hint="eastAsia" w:ascii="宋体" w:hAnsi="宋体" w:eastAsia="宋体"/>
      <w:spacing w:val="20"/>
      <w:sz w:val="24"/>
    </w:rPr>
  </w:style>
  <w:style w:type="character" w:customStyle="1" w:styleId="86">
    <w:name w:val="p0 Char Char"/>
    <w:autoRedefine/>
    <w:qFormat/>
    <w:uiPriority w:val="0"/>
    <w:rPr>
      <w:rFonts w:eastAsia="宋体"/>
      <w:kern w:val="2"/>
      <w:sz w:val="21"/>
      <w:szCs w:val="21"/>
      <w:lang w:val="en-US" w:eastAsia="zh-CN" w:bidi="ar-SA"/>
    </w:rPr>
  </w:style>
  <w:style w:type="character" w:customStyle="1" w:styleId="87">
    <w:name w:val="Char Char141"/>
    <w:autoRedefine/>
    <w:qFormat/>
    <w:uiPriority w:val="0"/>
    <w:rPr>
      <w:rFonts w:ascii="Arial" w:hAnsi="Arial"/>
      <w:b/>
      <w:bCs/>
      <w:kern w:val="2"/>
      <w:sz w:val="21"/>
      <w:szCs w:val="28"/>
    </w:rPr>
  </w:style>
  <w:style w:type="character" w:customStyle="1" w:styleId="88">
    <w:name w:val="明显强调1"/>
    <w:autoRedefine/>
    <w:qFormat/>
    <w:uiPriority w:val="0"/>
    <w:rPr>
      <w:b/>
      <w:bCs/>
      <w:i/>
      <w:iCs/>
      <w:color w:val="4F81BD"/>
    </w:rPr>
  </w:style>
  <w:style w:type="character" w:customStyle="1" w:styleId="89">
    <w:name w:val="Font Style126"/>
    <w:autoRedefine/>
    <w:unhideWhenUsed/>
    <w:qFormat/>
    <w:uiPriority w:val="99"/>
    <w:rPr>
      <w:rFonts w:hint="eastAsia" w:ascii="宋体" w:hAnsi="宋体" w:eastAsia="宋体"/>
      <w:b/>
      <w:spacing w:val="-30"/>
      <w:sz w:val="28"/>
    </w:rPr>
  </w:style>
  <w:style w:type="character" w:customStyle="1" w:styleId="90">
    <w:name w:val="不明显强调1"/>
    <w:autoRedefine/>
    <w:qFormat/>
    <w:uiPriority w:val="0"/>
    <w:rPr>
      <w:i/>
      <w:iCs/>
      <w:color w:val="808080"/>
    </w:rPr>
  </w:style>
  <w:style w:type="character" w:customStyle="1" w:styleId="91">
    <w:name w:val="Char Char14"/>
    <w:autoRedefine/>
    <w:qFormat/>
    <w:uiPriority w:val="0"/>
    <w:rPr>
      <w:rFonts w:ascii="Arial" w:hAnsi="Arial"/>
      <w:b/>
      <w:bCs/>
      <w:kern w:val="2"/>
      <w:sz w:val="21"/>
      <w:szCs w:val="28"/>
    </w:rPr>
  </w:style>
  <w:style w:type="character" w:customStyle="1" w:styleId="92">
    <w:name w:val="标题 Char1"/>
    <w:autoRedefine/>
    <w:qFormat/>
    <w:uiPriority w:val="0"/>
    <w:rPr>
      <w:rFonts w:ascii="Cambria" w:hAnsi="Cambria" w:eastAsia="宋体" w:cs="Times New Roman"/>
      <w:b/>
      <w:bCs/>
      <w:sz w:val="32"/>
      <w:szCs w:val="32"/>
    </w:rPr>
  </w:style>
  <w:style w:type="character" w:customStyle="1" w:styleId="93">
    <w:name w:val="不明显参考1"/>
    <w:autoRedefine/>
    <w:qFormat/>
    <w:uiPriority w:val="0"/>
    <w:rPr>
      <w:smallCaps/>
      <w:color w:val="C0504D"/>
      <w:u w:val="single"/>
    </w:rPr>
  </w:style>
  <w:style w:type="character" w:customStyle="1" w:styleId="94">
    <w:name w:val="Font Style128"/>
    <w:autoRedefine/>
    <w:unhideWhenUsed/>
    <w:qFormat/>
    <w:uiPriority w:val="99"/>
    <w:rPr>
      <w:rFonts w:hint="eastAsia" w:ascii="Times New Roman" w:hAnsi="Times New Roman" w:eastAsia="Times New Roman"/>
      <w:sz w:val="16"/>
    </w:rPr>
  </w:style>
  <w:style w:type="character" w:customStyle="1" w:styleId="95">
    <w:name w:val="标题4 Char Char"/>
    <w:link w:val="96"/>
    <w:autoRedefine/>
    <w:qFormat/>
    <w:uiPriority w:val="0"/>
    <w:rPr>
      <w:rFonts w:ascii="Arial" w:hAnsi="Arial"/>
      <w:b/>
      <w:bCs/>
      <w:sz w:val="24"/>
      <w:szCs w:val="32"/>
    </w:rPr>
  </w:style>
  <w:style w:type="paragraph" w:customStyle="1" w:styleId="96">
    <w:name w:val="标题4"/>
    <w:basedOn w:val="6"/>
    <w:next w:val="20"/>
    <w:link w:val="95"/>
    <w:autoRedefine/>
    <w:qFormat/>
    <w:uiPriority w:val="0"/>
    <w:rPr>
      <w:rFonts w:ascii="Arial" w:hAnsi="Arial"/>
      <w:kern w:val="0"/>
      <w:sz w:val="24"/>
    </w:rPr>
  </w:style>
  <w:style w:type="character" w:customStyle="1" w:styleId="97">
    <w:name w:val="Font Style125"/>
    <w:autoRedefine/>
    <w:unhideWhenUsed/>
    <w:qFormat/>
    <w:uiPriority w:val="99"/>
    <w:rPr>
      <w:rFonts w:hint="eastAsia" w:ascii="宋体" w:hAnsi="宋体" w:eastAsia="宋体"/>
      <w:b/>
      <w:sz w:val="26"/>
    </w:rPr>
  </w:style>
  <w:style w:type="character" w:customStyle="1" w:styleId="98">
    <w:name w:val="正文文本缩进 2 Char1"/>
    <w:autoRedefine/>
    <w:semiHidden/>
    <w:qFormat/>
    <w:uiPriority w:val="0"/>
    <w:rPr>
      <w:kern w:val="2"/>
      <w:sz w:val="21"/>
      <w:szCs w:val="24"/>
    </w:rPr>
  </w:style>
  <w:style w:type="character" w:customStyle="1" w:styleId="99">
    <w:name w:val="批注文字 Char Char"/>
    <w:autoRedefine/>
    <w:qFormat/>
    <w:uiPriority w:val="0"/>
    <w:rPr>
      <w:kern w:val="2"/>
      <w:sz w:val="21"/>
      <w:szCs w:val="24"/>
      <w:lang w:bidi="ar-SA"/>
    </w:rPr>
  </w:style>
  <w:style w:type="character" w:customStyle="1" w:styleId="100">
    <w:name w:val="引用 Char1"/>
    <w:autoRedefine/>
    <w:qFormat/>
    <w:uiPriority w:val="99"/>
    <w:rPr>
      <w:i/>
      <w:iCs/>
      <w:color w:val="000000"/>
      <w:kern w:val="2"/>
      <w:sz w:val="21"/>
      <w:szCs w:val="24"/>
    </w:rPr>
  </w:style>
  <w:style w:type="character" w:customStyle="1" w:styleId="101">
    <w:name w:val="_Style 99"/>
    <w:autoRedefine/>
    <w:unhideWhenUsed/>
    <w:qFormat/>
    <w:uiPriority w:val="99"/>
    <w:rPr>
      <w:color w:val="605E5C"/>
      <w:shd w:val="clear" w:color="auto" w:fill="E1DFDD"/>
    </w:rPr>
  </w:style>
  <w:style w:type="character" w:customStyle="1" w:styleId="102">
    <w:name w:val="日期 Char1"/>
    <w:autoRedefine/>
    <w:qFormat/>
    <w:uiPriority w:val="0"/>
    <w:rPr>
      <w:rFonts w:ascii="Times New Roman" w:hAnsi="Times New Roman" w:eastAsia="宋体" w:cs="Times New Roman"/>
      <w:szCs w:val="24"/>
    </w:rPr>
  </w:style>
  <w:style w:type="character" w:customStyle="1" w:styleId="103">
    <w:name w:val="Font Style124"/>
    <w:autoRedefine/>
    <w:unhideWhenUsed/>
    <w:qFormat/>
    <w:uiPriority w:val="99"/>
    <w:rPr>
      <w:rFonts w:hint="eastAsia" w:ascii="宋体" w:hAnsi="宋体" w:eastAsia="宋体"/>
      <w:spacing w:val="30"/>
      <w:sz w:val="24"/>
    </w:rPr>
  </w:style>
  <w:style w:type="character" w:customStyle="1" w:styleId="104">
    <w:name w:val="明显引用 字符"/>
    <w:link w:val="105"/>
    <w:autoRedefine/>
    <w:qFormat/>
    <w:uiPriority w:val="0"/>
    <w:rPr>
      <w:b/>
      <w:bCs/>
      <w:i/>
      <w:iCs/>
      <w:color w:val="4F81BD"/>
      <w:kern w:val="2"/>
      <w:sz w:val="21"/>
      <w:szCs w:val="22"/>
    </w:rPr>
  </w:style>
  <w:style w:type="paragraph" w:styleId="105">
    <w:name w:val="Intense Quote"/>
    <w:basedOn w:val="1"/>
    <w:next w:val="1"/>
    <w:link w:val="104"/>
    <w:autoRedefine/>
    <w:qFormat/>
    <w:uiPriority w:val="0"/>
    <w:pPr>
      <w:pBdr>
        <w:bottom w:val="single" w:color="4F81BD" w:sz="4" w:space="4"/>
      </w:pBdr>
      <w:spacing w:before="200" w:after="280"/>
      <w:ind w:left="936" w:right="936"/>
    </w:pPr>
    <w:rPr>
      <w:b/>
      <w:bCs/>
      <w:i/>
      <w:iCs/>
      <w:color w:val="4F81BD"/>
      <w:szCs w:val="22"/>
    </w:rPr>
  </w:style>
  <w:style w:type="character" w:customStyle="1" w:styleId="106">
    <w:name w:val="Font Style123"/>
    <w:autoRedefine/>
    <w:unhideWhenUsed/>
    <w:qFormat/>
    <w:uiPriority w:val="99"/>
    <w:rPr>
      <w:rFonts w:hint="eastAsia" w:ascii="宋体" w:hAnsi="宋体" w:eastAsia="宋体"/>
      <w:b/>
      <w:sz w:val="32"/>
    </w:rPr>
  </w:style>
  <w:style w:type="character" w:customStyle="1" w:styleId="107">
    <w:name w:val="Font Style121"/>
    <w:autoRedefine/>
    <w:unhideWhenUsed/>
    <w:qFormat/>
    <w:uiPriority w:val="99"/>
    <w:rPr>
      <w:rFonts w:hint="eastAsia" w:ascii="宋体" w:hAnsi="宋体" w:eastAsia="宋体"/>
      <w:spacing w:val="-10"/>
      <w:sz w:val="30"/>
    </w:rPr>
  </w:style>
  <w:style w:type="character" w:customStyle="1" w:styleId="108">
    <w:name w:val="批注文字 Char1"/>
    <w:autoRedefine/>
    <w:semiHidden/>
    <w:qFormat/>
    <w:uiPriority w:val="99"/>
    <w:rPr>
      <w:rFonts w:ascii="Times New Roman" w:hAnsi="Times New Roman" w:eastAsia="宋体" w:cs="Times New Roman"/>
      <w:szCs w:val="24"/>
    </w:rPr>
  </w:style>
  <w:style w:type="character" w:customStyle="1" w:styleId="109">
    <w:name w:val="书籍标题1"/>
    <w:autoRedefine/>
    <w:qFormat/>
    <w:uiPriority w:val="0"/>
    <w:rPr>
      <w:b/>
      <w:bCs/>
      <w:smallCaps/>
      <w:spacing w:val="5"/>
    </w:rPr>
  </w:style>
  <w:style w:type="character" w:customStyle="1" w:styleId="110">
    <w:name w:val="明显参考1"/>
    <w:autoRedefine/>
    <w:qFormat/>
    <w:uiPriority w:val="0"/>
    <w:rPr>
      <w:b/>
      <w:bCs/>
      <w:smallCaps/>
      <w:color w:val="C0504D"/>
      <w:spacing w:val="5"/>
      <w:u w:val="single"/>
    </w:rPr>
  </w:style>
  <w:style w:type="character" w:customStyle="1" w:styleId="111">
    <w:name w:val="Font Style117"/>
    <w:autoRedefine/>
    <w:unhideWhenUsed/>
    <w:qFormat/>
    <w:uiPriority w:val="99"/>
    <w:rPr>
      <w:rFonts w:hint="eastAsia" w:ascii="宋体" w:hAnsi="宋体" w:eastAsia="宋体"/>
      <w:spacing w:val="20"/>
      <w:sz w:val="24"/>
    </w:rPr>
  </w:style>
  <w:style w:type="character" w:customStyle="1" w:styleId="112">
    <w:name w:val="引用 字符"/>
    <w:link w:val="113"/>
    <w:autoRedefine/>
    <w:qFormat/>
    <w:uiPriority w:val="0"/>
    <w:rPr>
      <w:i/>
      <w:iCs/>
      <w:color w:val="000000"/>
      <w:kern w:val="2"/>
      <w:sz w:val="21"/>
      <w:szCs w:val="22"/>
    </w:rPr>
  </w:style>
  <w:style w:type="paragraph" w:styleId="113">
    <w:name w:val="Quote"/>
    <w:basedOn w:val="1"/>
    <w:next w:val="1"/>
    <w:link w:val="112"/>
    <w:autoRedefine/>
    <w:qFormat/>
    <w:uiPriority w:val="0"/>
    <w:rPr>
      <w:i/>
      <w:iCs/>
      <w:color w:val="000000"/>
      <w:szCs w:val="22"/>
    </w:rPr>
  </w:style>
  <w:style w:type="character" w:customStyle="1" w:styleId="114">
    <w:name w:val="正文文本缩进 Char1"/>
    <w:autoRedefine/>
    <w:semiHidden/>
    <w:qFormat/>
    <w:uiPriority w:val="99"/>
    <w:rPr>
      <w:kern w:val="2"/>
      <w:sz w:val="21"/>
      <w:szCs w:val="24"/>
    </w:rPr>
  </w:style>
  <w:style w:type="character" w:customStyle="1" w:styleId="115">
    <w:name w:val="批注文字 字符1"/>
    <w:autoRedefine/>
    <w:qFormat/>
    <w:uiPriority w:val="0"/>
    <w:rPr>
      <w:kern w:val="2"/>
      <w:sz w:val="21"/>
      <w:szCs w:val="24"/>
    </w:rPr>
  </w:style>
  <w:style w:type="character" w:customStyle="1" w:styleId="116">
    <w:name w:val="文档结构图 Char1"/>
    <w:autoRedefine/>
    <w:qFormat/>
    <w:uiPriority w:val="0"/>
    <w:rPr>
      <w:rFonts w:ascii="宋体" w:hAnsi="Times New Roman" w:eastAsia="宋体" w:cs="Times New Roman"/>
      <w:sz w:val="18"/>
      <w:szCs w:val="18"/>
    </w:rPr>
  </w:style>
  <w:style w:type="character" w:customStyle="1" w:styleId="117">
    <w:name w:val="正文文本缩进 3 Char1"/>
    <w:autoRedefine/>
    <w:qFormat/>
    <w:uiPriority w:val="0"/>
    <w:rPr>
      <w:rFonts w:ascii="Times New Roman" w:hAnsi="Times New Roman" w:eastAsia="宋体" w:cs="Times New Roman"/>
      <w:sz w:val="16"/>
      <w:szCs w:val="16"/>
    </w:rPr>
  </w:style>
  <w:style w:type="character" w:customStyle="1" w:styleId="118">
    <w:name w:val="标题5 Char Char"/>
    <w:link w:val="119"/>
    <w:autoRedefine/>
    <w:qFormat/>
    <w:uiPriority w:val="0"/>
    <w:rPr>
      <w:rFonts w:ascii="Arial" w:hAnsi="Arial"/>
      <w:b/>
      <w:bCs/>
      <w:sz w:val="24"/>
      <w:szCs w:val="32"/>
    </w:rPr>
  </w:style>
  <w:style w:type="paragraph" w:customStyle="1" w:styleId="119">
    <w:name w:val="标题5"/>
    <w:basedOn w:val="7"/>
    <w:link w:val="118"/>
    <w:autoRedefine/>
    <w:qFormat/>
    <w:uiPriority w:val="0"/>
    <w:pPr>
      <w:keepNext/>
      <w:keepLines/>
      <w:widowControl w:val="0"/>
      <w:spacing w:before="260" w:after="260" w:line="413" w:lineRule="auto"/>
    </w:pPr>
    <w:rPr>
      <w:rFonts w:ascii="Arial" w:hAnsi="Arial"/>
      <w:szCs w:val="32"/>
    </w:rPr>
  </w:style>
  <w:style w:type="character" w:customStyle="1" w:styleId="120">
    <w:name w:val="Font Style127"/>
    <w:autoRedefine/>
    <w:unhideWhenUsed/>
    <w:qFormat/>
    <w:uiPriority w:val="99"/>
    <w:rPr>
      <w:rFonts w:hint="eastAsia" w:ascii="Times New Roman" w:hAnsi="Times New Roman" w:eastAsia="Times New Roman"/>
      <w:sz w:val="20"/>
    </w:rPr>
  </w:style>
  <w:style w:type="character" w:customStyle="1" w:styleId="121">
    <w:name w:val="页脚 Char1"/>
    <w:autoRedefine/>
    <w:semiHidden/>
    <w:qFormat/>
    <w:uiPriority w:val="99"/>
    <w:rPr>
      <w:rFonts w:ascii="Times New Roman" w:hAnsi="Times New Roman" w:eastAsia="宋体" w:cs="Times New Roman"/>
      <w:sz w:val="18"/>
      <w:szCs w:val="18"/>
    </w:rPr>
  </w:style>
  <w:style w:type="character" w:customStyle="1" w:styleId="122">
    <w:name w:val="纯文本 Char1"/>
    <w:autoRedefine/>
    <w:qFormat/>
    <w:uiPriority w:val="0"/>
    <w:rPr>
      <w:rFonts w:ascii="宋体" w:hAnsi="Courier New" w:eastAsia="宋体" w:cs="Courier New"/>
      <w:szCs w:val="21"/>
    </w:rPr>
  </w:style>
  <w:style w:type="character" w:customStyle="1" w:styleId="123">
    <w:name w:val="副标题 Char1"/>
    <w:autoRedefine/>
    <w:qFormat/>
    <w:uiPriority w:val="11"/>
    <w:rPr>
      <w:rFonts w:ascii="Cambria" w:hAnsi="Cambria" w:cs="Times New Roman"/>
      <w:b/>
      <w:bCs/>
      <w:kern w:val="28"/>
      <w:sz w:val="32"/>
      <w:szCs w:val="32"/>
    </w:rPr>
  </w:style>
  <w:style w:type="character" w:customStyle="1" w:styleId="124">
    <w:name w:val="批注主题 Char1"/>
    <w:autoRedefine/>
    <w:qFormat/>
    <w:uiPriority w:val="0"/>
    <w:rPr>
      <w:rFonts w:ascii="Times New Roman" w:hAnsi="Times New Roman" w:eastAsia="宋体" w:cs="Times New Roman"/>
      <w:b/>
      <w:bCs/>
      <w:szCs w:val="24"/>
    </w:rPr>
  </w:style>
  <w:style w:type="character" w:customStyle="1" w:styleId="125">
    <w:name w:val="标题 4 Char1"/>
    <w:autoRedefine/>
    <w:qFormat/>
    <w:uiPriority w:val="0"/>
    <w:rPr>
      <w:rFonts w:ascii="Arial" w:hAnsi="Arial" w:eastAsia="宋体" w:cs="Times New Roman"/>
      <w:b/>
      <w:bCs/>
      <w:szCs w:val="28"/>
    </w:rPr>
  </w:style>
  <w:style w:type="character" w:customStyle="1" w:styleId="126">
    <w:name w:val="正文文本 Char1"/>
    <w:autoRedefine/>
    <w:qFormat/>
    <w:uiPriority w:val="0"/>
    <w:rPr>
      <w:kern w:val="2"/>
      <w:sz w:val="21"/>
      <w:szCs w:val="22"/>
    </w:rPr>
  </w:style>
  <w:style w:type="character" w:customStyle="1" w:styleId="127">
    <w:name w:val="Font Style116"/>
    <w:autoRedefine/>
    <w:unhideWhenUsed/>
    <w:qFormat/>
    <w:uiPriority w:val="99"/>
    <w:rPr>
      <w:rFonts w:hint="eastAsia" w:ascii="宋体" w:hAnsi="宋体" w:eastAsia="宋体"/>
      <w:spacing w:val="-20"/>
      <w:sz w:val="24"/>
    </w:rPr>
  </w:style>
  <w:style w:type="character" w:customStyle="1" w:styleId="128">
    <w:name w:val="Font Style94"/>
    <w:autoRedefine/>
    <w:unhideWhenUsed/>
    <w:qFormat/>
    <w:uiPriority w:val="99"/>
    <w:rPr>
      <w:rFonts w:hint="eastAsia" w:ascii="Times New Roman" w:hAnsi="Times New Roman" w:eastAsia="Times New Roman"/>
      <w:sz w:val="28"/>
    </w:rPr>
  </w:style>
  <w:style w:type="character" w:customStyle="1" w:styleId="129">
    <w:name w:val="Font Style115"/>
    <w:autoRedefine/>
    <w:unhideWhenUsed/>
    <w:qFormat/>
    <w:uiPriority w:val="99"/>
    <w:rPr>
      <w:rFonts w:hint="eastAsia" w:ascii="Times New Roman" w:hAnsi="Times New Roman" w:eastAsia="Times New Roman"/>
      <w:sz w:val="16"/>
    </w:rPr>
  </w:style>
  <w:style w:type="paragraph" w:customStyle="1" w:styleId="130">
    <w:name w:val="Style5"/>
    <w:basedOn w:val="1"/>
    <w:autoRedefine/>
    <w:unhideWhenUsed/>
    <w:qFormat/>
    <w:uiPriority w:val="99"/>
    <w:rPr>
      <w:rFonts w:ascii="Calibri" w:hAnsi="Calibri"/>
    </w:rPr>
  </w:style>
  <w:style w:type="paragraph" w:customStyle="1" w:styleId="131">
    <w:name w:val="样式2"/>
    <w:basedOn w:val="5"/>
    <w:autoRedefine/>
    <w:qFormat/>
    <w:uiPriority w:val="0"/>
    <w:pPr>
      <w:jc w:val="left"/>
    </w:pPr>
    <w:rPr>
      <w:rFonts w:ascii="Times New Roman" w:hAnsi="Times New Roman"/>
      <w:b w:val="0"/>
      <w:bCs w:val="0"/>
      <w:kern w:val="2"/>
      <w:sz w:val="28"/>
      <w:szCs w:val="21"/>
    </w:rPr>
  </w:style>
  <w:style w:type="paragraph" w:customStyle="1" w:styleId="132">
    <w:name w:val="Char Char Char Char Char Char Char Char Char"/>
    <w:basedOn w:val="1"/>
    <w:autoRedefine/>
    <w:qFormat/>
    <w:uiPriority w:val="0"/>
    <w:pPr>
      <w:spacing w:line="360" w:lineRule="auto"/>
      <w:ind w:firstLine="200" w:firstLineChars="200"/>
    </w:pPr>
  </w:style>
  <w:style w:type="paragraph" w:customStyle="1" w:styleId="133">
    <w:name w:val="修订2"/>
    <w:autoRedefine/>
    <w:qFormat/>
    <w:uiPriority w:val="99"/>
    <w:rPr>
      <w:rFonts w:ascii="Calibri" w:hAnsi="Calibri" w:eastAsia="宋体" w:cs="Times New Roman"/>
      <w:kern w:val="2"/>
      <w:sz w:val="21"/>
      <w:szCs w:val="24"/>
      <w:lang w:val="en-US" w:eastAsia="zh-CN" w:bidi="ar-SA"/>
    </w:rPr>
  </w:style>
  <w:style w:type="paragraph" w:customStyle="1" w:styleId="134">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styleId="135">
    <w:name w:val="List Paragraph"/>
    <w:basedOn w:val="1"/>
    <w:autoRedefine/>
    <w:qFormat/>
    <w:uiPriority w:val="0"/>
    <w:pPr>
      <w:ind w:firstLine="420" w:firstLineChars="200"/>
    </w:pPr>
    <w:rPr>
      <w:rFonts w:ascii="Calibri" w:hAnsi="Calibri"/>
      <w:szCs w:val="22"/>
    </w:rPr>
  </w:style>
  <w:style w:type="paragraph" w:customStyle="1" w:styleId="136">
    <w:name w:val="列出段落1"/>
    <w:basedOn w:val="1"/>
    <w:autoRedefine/>
    <w:qFormat/>
    <w:uiPriority w:val="99"/>
    <w:pPr>
      <w:ind w:firstLine="420" w:firstLineChars="200"/>
    </w:pPr>
  </w:style>
  <w:style w:type="paragraph" w:customStyle="1" w:styleId="137">
    <w:name w:val="Style61"/>
    <w:basedOn w:val="1"/>
    <w:autoRedefine/>
    <w:unhideWhenUsed/>
    <w:qFormat/>
    <w:uiPriority w:val="99"/>
    <w:rPr>
      <w:rFonts w:ascii="Calibri" w:hAnsi="Calibri"/>
    </w:rPr>
  </w:style>
  <w:style w:type="paragraph" w:customStyle="1" w:styleId="138">
    <w:name w:val="Style34"/>
    <w:basedOn w:val="1"/>
    <w:autoRedefine/>
    <w:unhideWhenUsed/>
    <w:qFormat/>
    <w:uiPriority w:val="99"/>
    <w:pPr>
      <w:spacing w:line="375" w:lineRule="exact"/>
    </w:pPr>
    <w:rPr>
      <w:rFonts w:ascii="Calibri" w:hAnsi="Calibri"/>
    </w:rPr>
  </w:style>
  <w:style w:type="paragraph" w:customStyle="1" w:styleId="139">
    <w:name w:val="列出段落21"/>
    <w:basedOn w:val="1"/>
    <w:autoRedefine/>
    <w:qFormat/>
    <w:uiPriority w:val="0"/>
    <w:pPr>
      <w:ind w:firstLine="200" w:firstLineChars="200"/>
    </w:pPr>
    <w:rPr>
      <w:rFonts w:ascii="Calibri" w:hAnsi="Calibri"/>
      <w:szCs w:val="22"/>
    </w:rPr>
  </w:style>
  <w:style w:type="paragraph" w:customStyle="1" w:styleId="140">
    <w:name w:val="Char Char"/>
    <w:basedOn w:val="1"/>
    <w:autoRedefine/>
    <w:qFormat/>
    <w:uiPriority w:val="0"/>
  </w:style>
  <w:style w:type="paragraph" w:customStyle="1" w:styleId="141">
    <w:name w:val="Style72"/>
    <w:basedOn w:val="1"/>
    <w:autoRedefine/>
    <w:unhideWhenUsed/>
    <w:qFormat/>
    <w:uiPriority w:val="99"/>
    <w:rPr>
      <w:rFonts w:ascii="Calibri" w:hAnsi="Calibri"/>
    </w:rPr>
  </w:style>
  <w:style w:type="paragraph" w:customStyle="1" w:styleId="142">
    <w:name w:val="TOC 标题2"/>
    <w:basedOn w:val="5"/>
    <w:next w:val="1"/>
    <w:autoRedefine/>
    <w:qFormat/>
    <w:uiPriority w:val="0"/>
    <w:pPr>
      <w:keepLines/>
      <w:spacing w:before="340" w:after="330" w:line="576" w:lineRule="auto"/>
      <w:outlineLvl w:val="9"/>
    </w:pPr>
    <w:rPr>
      <w:rFonts w:ascii="Calibri" w:hAnsi="Calibri"/>
      <w:kern w:val="44"/>
      <w:sz w:val="44"/>
      <w:szCs w:val="44"/>
    </w:rPr>
  </w:style>
  <w:style w:type="paragraph" w:customStyle="1" w:styleId="143">
    <w:name w:val="Style53"/>
    <w:basedOn w:val="1"/>
    <w:autoRedefine/>
    <w:unhideWhenUsed/>
    <w:qFormat/>
    <w:uiPriority w:val="99"/>
    <w:pPr>
      <w:spacing w:line="533" w:lineRule="exact"/>
      <w:ind w:firstLine="581"/>
    </w:pPr>
    <w:rPr>
      <w:rFonts w:ascii="Calibri" w:hAnsi="Calibri"/>
    </w:rPr>
  </w:style>
  <w:style w:type="paragraph" w:customStyle="1" w:styleId="144">
    <w:name w:val="Style62"/>
    <w:basedOn w:val="1"/>
    <w:autoRedefine/>
    <w:unhideWhenUsed/>
    <w:qFormat/>
    <w:uiPriority w:val="99"/>
    <w:rPr>
      <w:rFonts w:ascii="Calibri" w:hAnsi="Calibri"/>
    </w:rPr>
  </w:style>
  <w:style w:type="paragraph" w:customStyle="1" w:styleId="145">
    <w:name w:val="Char2"/>
    <w:basedOn w:val="1"/>
    <w:autoRedefine/>
    <w:qFormat/>
    <w:uiPriority w:val="0"/>
    <w:pPr>
      <w:widowControl/>
      <w:spacing w:after="160" w:line="240" w:lineRule="exact"/>
      <w:jc w:val="left"/>
    </w:pPr>
    <w:rPr>
      <w:rFonts w:ascii="Calibri" w:hAnsi="Calibri"/>
    </w:rPr>
  </w:style>
  <w:style w:type="paragraph" w:customStyle="1" w:styleId="146">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har Char Char Char Char Char Char Char Char Char1"/>
    <w:basedOn w:val="1"/>
    <w:autoRedefine/>
    <w:qFormat/>
    <w:uiPriority w:val="0"/>
    <w:rPr>
      <w:rFonts w:ascii="Calibri" w:hAnsi="Calibri"/>
    </w:rPr>
  </w:style>
  <w:style w:type="paragraph" w:customStyle="1" w:styleId="148">
    <w:name w:val="Style77"/>
    <w:basedOn w:val="1"/>
    <w:autoRedefine/>
    <w:unhideWhenUsed/>
    <w:qFormat/>
    <w:uiPriority w:val="99"/>
    <w:rPr>
      <w:rFonts w:ascii="Calibri" w:hAnsi="Calibri"/>
    </w:rPr>
  </w:style>
  <w:style w:type="paragraph" w:customStyle="1" w:styleId="149">
    <w:name w:val="Style50"/>
    <w:basedOn w:val="1"/>
    <w:autoRedefine/>
    <w:unhideWhenUsed/>
    <w:qFormat/>
    <w:uiPriority w:val="99"/>
    <w:rPr>
      <w:rFonts w:ascii="Calibri" w:hAnsi="Calibri"/>
    </w:rPr>
  </w:style>
  <w:style w:type="paragraph" w:styleId="15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_Style 31"/>
    <w:basedOn w:val="1"/>
    <w:autoRedefine/>
    <w:qFormat/>
    <w:uiPriority w:val="0"/>
    <w:rPr>
      <w:rFonts w:ascii="仿宋_GB2312" w:eastAsia="仿宋_GB2312"/>
      <w:kern w:val="0"/>
      <w:szCs w:val="20"/>
    </w:rPr>
  </w:style>
  <w:style w:type="paragraph" w:customStyle="1" w:styleId="152">
    <w:name w:val="Char1 Char Char Char 字元 Char Char 字元 Char 字元 Char1 Char Char Char"/>
    <w:basedOn w:val="1"/>
    <w:autoRedefine/>
    <w:qFormat/>
    <w:uiPriority w:val="0"/>
  </w:style>
  <w:style w:type="paragraph" w:customStyle="1" w:styleId="153">
    <w:name w:val="TOC 标题1"/>
    <w:basedOn w:val="5"/>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154">
    <w:name w:val="Char Char Char Char Char Char Char Char Char Char"/>
    <w:basedOn w:val="1"/>
    <w:autoRedefine/>
    <w:qFormat/>
    <w:uiPriority w:val="0"/>
    <w:rPr>
      <w:rFonts w:ascii="Calibri" w:hAnsi="Calibri"/>
    </w:rPr>
  </w:style>
  <w:style w:type="paragraph" w:customStyle="1" w:styleId="155">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56">
    <w:name w:val="Style73"/>
    <w:basedOn w:val="1"/>
    <w:autoRedefine/>
    <w:unhideWhenUsed/>
    <w:qFormat/>
    <w:uiPriority w:val="99"/>
    <w:pPr>
      <w:spacing w:line="538" w:lineRule="exact"/>
      <w:ind w:firstLine="533"/>
    </w:pPr>
    <w:rPr>
      <w:rFonts w:ascii="Calibri" w:hAnsi="Calibri"/>
    </w:rPr>
  </w:style>
  <w:style w:type="paragraph" w:customStyle="1" w:styleId="157">
    <w:name w:val="Style76"/>
    <w:basedOn w:val="1"/>
    <w:autoRedefine/>
    <w:unhideWhenUsed/>
    <w:qFormat/>
    <w:uiPriority w:val="99"/>
    <w:rPr>
      <w:rFonts w:ascii="Calibri" w:hAnsi="Calibri"/>
    </w:rPr>
  </w:style>
  <w:style w:type="paragraph" w:customStyle="1" w:styleId="158">
    <w:name w:val="修订3"/>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59">
    <w:name w:val="样式1"/>
    <w:basedOn w:val="1"/>
    <w:autoRedefine/>
    <w:qFormat/>
    <w:uiPriority w:val="0"/>
    <w:pPr>
      <w:tabs>
        <w:tab w:val="right" w:leader="dot" w:pos="10142"/>
      </w:tabs>
      <w:autoSpaceDN w:val="0"/>
    </w:pPr>
    <w:rPr>
      <w:rFonts w:ascii="宋体" w:hAnsi="宋体"/>
      <w:sz w:val="28"/>
      <w:szCs w:val="20"/>
    </w:rPr>
  </w:style>
  <w:style w:type="paragraph" w:customStyle="1" w:styleId="160">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1">
    <w:name w:val="样式 标题 3 + (中文) 黑体 小四 非加粗 段前: 7.8 磅 段后: 0 磅 行距: 固定值 20 磅"/>
    <w:basedOn w:val="7"/>
    <w:autoRedefine/>
    <w:qFormat/>
    <w:uiPriority w:val="0"/>
    <w:pPr>
      <w:keepNext/>
      <w:keepLines/>
      <w:widowControl w:val="0"/>
      <w:spacing w:line="400" w:lineRule="exact"/>
    </w:pPr>
    <w:rPr>
      <w:rFonts w:eastAsia="黑体" w:cs="宋体"/>
      <w:b w:val="0"/>
      <w:bCs w:val="0"/>
      <w:kern w:val="2"/>
      <w:szCs w:val="20"/>
      <w:lang w:val="en-US"/>
    </w:rPr>
  </w:style>
  <w:style w:type="paragraph" w:customStyle="1" w:styleId="162">
    <w:name w:val="Style26"/>
    <w:basedOn w:val="1"/>
    <w:autoRedefine/>
    <w:unhideWhenUsed/>
    <w:qFormat/>
    <w:uiPriority w:val="99"/>
    <w:rPr>
      <w:rFonts w:ascii="Calibri" w:hAnsi="Calibri"/>
    </w:rPr>
  </w:style>
  <w:style w:type="paragraph" w:customStyle="1" w:styleId="163">
    <w:name w:val="标题 1 +"/>
    <w:basedOn w:val="5"/>
    <w:next w:val="1"/>
    <w:autoRedefine/>
    <w:qFormat/>
    <w:uiPriority w:val="0"/>
    <w:pPr>
      <w:keepLines/>
      <w:spacing w:before="0" w:after="0" w:line="600" w:lineRule="auto"/>
      <w:jc w:val="center"/>
    </w:pPr>
    <w:rPr>
      <w:rFonts w:ascii="Times New Roman" w:hAnsi="Times New Roman" w:eastAsia="黑体"/>
      <w:kern w:val="0"/>
    </w:rPr>
  </w:style>
  <w:style w:type="paragraph" w:customStyle="1" w:styleId="16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_Style 4"/>
    <w:basedOn w:val="1"/>
    <w:autoRedefine/>
    <w:qFormat/>
    <w:uiPriority w:val="34"/>
    <w:pPr>
      <w:widowControl/>
      <w:spacing w:line="120" w:lineRule="exact"/>
      <w:ind w:firstLine="420" w:firstLineChars="200"/>
      <w:jc w:val="left"/>
    </w:pPr>
    <w:rPr>
      <w:rFonts w:ascii="Calibri" w:hAnsi="Calibri"/>
      <w:sz w:val="18"/>
      <w:szCs w:val="18"/>
    </w:rPr>
  </w:style>
  <w:style w:type="paragraph" w:customStyle="1" w:styleId="166">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167">
    <w:name w:val="Style70"/>
    <w:basedOn w:val="1"/>
    <w:unhideWhenUsed/>
    <w:qFormat/>
    <w:uiPriority w:val="99"/>
    <w:pPr>
      <w:spacing w:line="549" w:lineRule="exact"/>
      <w:ind w:firstLine="686"/>
    </w:pPr>
    <w:rPr>
      <w:rFonts w:ascii="Calibri" w:hAnsi="Calibri"/>
    </w:rPr>
  </w:style>
  <w:style w:type="paragraph" w:customStyle="1" w:styleId="168">
    <w:name w:val="TOC 标题11"/>
    <w:basedOn w:val="5"/>
    <w:next w:val="1"/>
    <w:autoRedefine/>
    <w:qFormat/>
    <w:uiPriority w:val="39"/>
    <w:pPr>
      <w:keepLines/>
      <w:spacing w:before="340" w:after="330" w:line="578" w:lineRule="auto"/>
      <w:outlineLvl w:val="9"/>
    </w:pPr>
    <w:rPr>
      <w:rFonts w:ascii="Times New Roman" w:hAnsi="Times New Roman"/>
      <w:kern w:val="44"/>
      <w:sz w:val="44"/>
      <w:szCs w:val="44"/>
    </w:rPr>
  </w:style>
  <w:style w:type="paragraph" w:customStyle="1" w:styleId="169">
    <w:name w:val="_Style 167"/>
    <w:basedOn w:val="5"/>
    <w:next w:val="1"/>
    <w:unhideWhenUsed/>
    <w:qFormat/>
    <w:uiPriority w:val="39"/>
    <w:pPr>
      <w:keepLines/>
      <w:widowControl/>
      <w:spacing w:after="0" w:line="259" w:lineRule="auto"/>
      <w:jc w:val="left"/>
      <w:outlineLvl w:val="9"/>
    </w:pPr>
    <w:rPr>
      <w:rFonts w:ascii="等线 Light" w:hAnsi="等线 Light" w:eastAsia="等线 Light" w:cs="Times New Roman"/>
      <w:b w:val="0"/>
      <w:bCs w:val="0"/>
      <w:color w:val="2F5496"/>
      <w:kern w:val="0"/>
    </w:rPr>
  </w:style>
  <w:style w:type="paragraph" w:customStyle="1" w:styleId="170">
    <w:name w:val="Style27"/>
    <w:basedOn w:val="1"/>
    <w:autoRedefine/>
    <w:unhideWhenUsed/>
    <w:qFormat/>
    <w:uiPriority w:val="99"/>
    <w:rPr>
      <w:rFonts w:ascii="Calibri" w:hAnsi="Calibri"/>
    </w:rPr>
  </w:style>
  <w:style w:type="paragraph" w:customStyle="1" w:styleId="171">
    <w:name w:val="Style63"/>
    <w:basedOn w:val="1"/>
    <w:unhideWhenUsed/>
    <w:qFormat/>
    <w:uiPriority w:val="99"/>
    <w:pPr>
      <w:spacing w:line="564" w:lineRule="exact"/>
      <w:ind w:firstLine="682"/>
    </w:pPr>
    <w:rPr>
      <w:rFonts w:ascii="Calibri" w:hAnsi="Calibri"/>
    </w:rPr>
  </w:style>
  <w:style w:type="paragraph" w:customStyle="1" w:styleId="172">
    <w:name w:val="1 Char Char Char Char"/>
    <w:basedOn w:val="160"/>
    <w:autoRedefine/>
    <w:qFormat/>
    <w:uiPriority w:val="0"/>
  </w:style>
  <w:style w:type="paragraph" w:customStyle="1" w:styleId="173">
    <w:name w:val="Char Char Char Char Char Char Char1"/>
    <w:basedOn w:val="1"/>
    <w:autoRedefine/>
    <w:qFormat/>
    <w:uiPriority w:val="0"/>
    <w:pPr>
      <w:snapToGrid w:val="0"/>
      <w:spacing w:line="360" w:lineRule="auto"/>
      <w:ind w:firstLine="200" w:firstLineChars="200"/>
    </w:pPr>
    <w:rPr>
      <w:rFonts w:ascii="Calibri" w:hAnsi="Calibri" w:eastAsia="仿宋_GB2312"/>
      <w:sz w:val="24"/>
    </w:rPr>
  </w:style>
  <w:style w:type="paragraph" w:customStyle="1" w:styleId="17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5">
    <w:name w:val="Style52"/>
    <w:basedOn w:val="1"/>
    <w:unhideWhenUsed/>
    <w:qFormat/>
    <w:uiPriority w:val="99"/>
    <w:pPr>
      <w:spacing w:line="682" w:lineRule="exact"/>
      <w:ind w:firstLine="557"/>
    </w:pPr>
    <w:rPr>
      <w:rFonts w:ascii="Calibri" w:hAnsi="Calibri"/>
    </w:rPr>
  </w:style>
  <w:style w:type="paragraph" w:customStyle="1" w:styleId="176">
    <w:name w:val="Style36"/>
    <w:basedOn w:val="1"/>
    <w:autoRedefine/>
    <w:unhideWhenUsed/>
    <w:qFormat/>
    <w:uiPriority w:val="99"/>
    <w:rPr>
      <w:rFonts w:ascii="Calibri" w:hAnsi="Calibri"/>
    </w:rPr>
  </w:style>
  <w:style w:type="paragraph" w:customStyle="1" w:styleId="177">
    <w:name w:val="标题3"/>
    <w:basedOn w:val="5"/>
    <w:qFormat/>
    <w:uiPriority w:val="0"/>
    <w:pPr>
      <w:spacing w:beforeLines="50" w:afterLines="50" w:line="400" w:lineRule="exact"/>
    </w:pPr>
    <w:rPr>
      <w:rFonts w:ascii="宋体" w:hAnsi="宋体"/>
      <w:sz w:val="24"/>
    </w:rPr>
  </w:style>
  <w:style w:type="paragraph" w:customStyle="1" w:styleId="178">
    <w:name w:val="Style9"/>
    <w:basedOn w:val="1"/>
    <w:unhideWhenUsed/>
    <w:qFormat/>
    <w:uiPriority w:val="99"/>
    <w:rPr>
      <w:rFonts w:ascii="Calibri" w:hAnsi="Calibri"/>
    </w:rPr>
  </w:style>
  <w:style w:type="paragraph" w:customStyle="1" w:styleId="179">
    <w:name w:val="标题2"/>
    <w:basedOn w:val="38"/>
    <w:qFormat/>
    <w:uiPriority w:val="0"/>
    <w:pPr>
      <w:spacing w:after="240"/>
      <w:jc w:val="left"/>
    </w:pPr>
    <w:rPr>
      <w:sz w:val="30"/>
    </w:rPr>
  </w:style>
  <w:style w:type="paragraph" w:customStyle="1" w:styleId="180">
    <w:name w:val="样式3"/>
    <w:basedOn w:val="7"/>
    <w:qFormat/>
    <w:uiPriority w:val="0"/>
    <w:pPr>
      <w:jc w:val="left"/>
    </w:pPr>
    <w:rPr>
      <w:b w:val="0"/>
      <w:bCs w:val="0"/>
      <w:kern w:val="2"/>
      <w:sz w:val="28"/>
      <w:szCs w:val="28"/>
    </w:rPr>
  </w:style>
  <w:style w:type="paragraph" w:customStyle="1" w:styleId="181">
    <w:name w:val="_Style 179"/>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3">
    <w:name w:val="CM91"/>
    <w:basedOn w:val="1"/>
    <w:next w:val="1"/>
    <w:autoRedefine/>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184">
    <w:name w:val="Style46"/>
    <w:basedOn w:val="1"/>
    <w:autoRedefine/>
    <w:unhideWhenUsed/>
    <w:qFormat/>
    <w:uiPriority w:val="99"/>
    <w:pPr>
      <w:spacing w:line="672" w:lineRule="exact"/>
    </w:pPr>
    <w:rPr>
      <w:rFonts w:ascii="Calibri" w:hAnsi="Calibri"/>
    </w:rPr>
  </w:style>
  <w:style w:type="paragraph" w:customStyle="1" w:styleId="185">
    <w:name w:val="正文文本2"/>
    <w:basedOn w:val="1"/>
    <w:autoRedefine/>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6">
    <w:name w:val="Style28"/>
    <w:basedOn w:val="1"/>
    <w:unhideWhenUsed/>
    <w:qFormat/>
    <w:uiPriority w:val="99"/>
    <w:pPr>
      <w:spacing w:line="552" w:lineRule="exact"/>
      <w:ind w:firstLine="547"/>
    </w:pPr>
    <w:rPr>
      <w:rFonts w:ascii="Calibri" w:hAnsi="Calibri"/>
    </w:rPr>
  </w:style>
  <w:style w:type="paragraph" w:customStyle="1" w:styleId="187">
    <w:name w:val="Char"/>
    <w:basedOn w:val="1"/>
    <w:qFormat/>
    <w:uiPriority w:val="0"/>
    <w:rPr>
      <w:rFonts w:ascii="Tahoma" w:hAnsi="Tahoma" w:eastAsia="仿宋_GB2312"/>
      <w:sz w:val="24"/>
      <w:szCs w:val="20"/>
    </w:rPr>
  </w:style>
  <w:style w:type="paragraph" w:customStyle="1" w:styleId="18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9">
    <w:name w:val="Style12"/>
    <w:basedOn w:val="1"/>
    <w:autoRedefine/>
    <w:unhideWhenUsed/>
    <w:qFormat/>
    <w:uiPriority w:val="99"/>
    <w:pPr>
      <w:spacing w:line="564" w:lineRule="exact"/>
      <w:ind w:hanging="115"/>
    </w:pPr>
    <w:rPr>
      <w:rFonts w:ascii="Calibri" w:hAnsi="Calibri"/>
    </w:rPr>
  </w:style>
  <w:style w:type="paragraph" w:customStyle="1" w:styleId="190">
    <w:name w:val="Style11"/>
    <w:basedOn w:val="1"/>
    <w:autoRedefine/>
    <w:unhideWhenUsed/>
    <w:qFormat/>
    <w:uiPriority w:val="99"/>
    <w:pPr>
      <w:spacing w:line="559" w:lineRule="exact"/>
      <w:ind w:firstLine="590"/>
    </w:pPr>
    <w:rPr>
      <w:rFonts w:ascii="Calibri" w:hAnsi="Calibri"/>
    </w:rPr>
  </w:style>
  <w:style w:type="paragraph" w:customStyle="1" w:styleId="191">
    <w:name w:val="Style42"/>
    <w:basedOn w:val="1"/>
    <w:autoRedefine/>
    <w:unhideWhenUsed/>
    <w:qFormat/>
    <w:uiPriority w:val="99"/>
    <w:pPr>
      <w:spacing w:line="542" w:lineRule="exact"/>
      <w:ind w:firstLine="547"/>
    </w:pPr>
    <w:rPr>
      <w:rFonts w:ascii="Calibri" w:hAnsi="Calibri"/>
    </w:rPr>
  </w:style>
  <w:style w:type="paragraph" w:customStyle="1" w:styleId="192">
    <w:name w:val="Style69"/>
    <w:basedOn w:val="1"/>
    <w:autoRedefine/>
    <w:unhideWhenUsed/>
    <w:qFormat/>
    <w:uiPriority w:val="99"/>
    <w:pPr>
      <w:spacing w:line="557" w:lineRule="exact"/>
      <w:ind w:firstLine="1666"/>
    </w:pPr>
    <w:rPr>
      <w:rFonts w:ascii="Calibri" w:hAnsi="Calibri"/>
    </w:rPr>
  </w:style>
  <w:style w:type="paragraph" w:customStyle="1" w:styleId="193">
    <w:name w:val="Style41"/>
    <w:basedOn w:val="1"/>
    <w:unhideWhenUsed/>
    <w:qFormat/>
    <w:uiPriority w:val="99"/>
    <w:pPr>
      <w:spacing w:line="542" w:lineRule="exact"/>
      <w:ind w:firstLine="125"/>
    </w:pPr>
    <w:rPr>
      <w:rFonts w:ascii="Calibri" w:hAnsi="Calibri"/>
    </w:rPr>
  </w:style>
  <w:style w:type="paragraph" w:customStyle="1" w:styleId="194">
    <w:name w:val="Style48"/>
    <w:basedOn w:val="1"/>
    <w:autoRedefine/>
    <w:unhideWhenUsed/>
    <w:qFormat/>
    <w:uiPriority w:val="99"/>
    <w:pPr>
      <w:spacing w:line="542" w:lineRule="exact"/>
      <w:jc w:val="right"/>
    </w:pPr>
    <w:rPr>
      <w:rFonts w:ascii="Calibri" w:hAnsi="Calibri"/>
    </w:rPr>
  </w:style>
  <w:style w:type="paragraph" w:customStyle="1" w:styleId="195">
    <w:name w:val="Style78"/>
    <w:basedOn w:val="1"/>
    <w:autoRedefine/>
    <w:unhideWhenUsed/>
    <w:qFormat/>
    <w:uiPriority w:val="99"/>
    <w:rPr>
      <w:rFonts w:ascii="Calibri" w:hAnsi="Calibri"/>
    </w:rPr>
  </w:style>
  <w:style w:type="paragraph" w:customStyle="1" w:styleId="196">
    <w:name w:val="Style16"/>
    <w:basedOn w:val="1"/>
    <w:unhideWhenUsed/>
    <w:qFormat/>
    <w:uiPriority w:val="99"/>
    <w:pPr>
      <w:jc w:val="right"/>
    </w:pPr>
    <w:rPr>
      <w:rFonts w:ascii="Calibri" w:hAnsi="Calibri"/>
    </w:rPr>
  </w:style>
  <w:style w:type="paragraph" w:customStyle="1" w:styleId="197">
    <w:name w:val="Style8"/>
    <w:basedOn w:val="1"/>
    <w:autoRedefine/>
    <w:unhideWhenUsed/>
    <w:qFormat/>
    <w:uiPriority w:val="99"/>
    <w:pPr>
      <w:spacing w:line="566" w:lineRule="exact"/>
      <w:jc w:val="center"/>
    </w:pPr>
    <w:rPr>
      <w:rFonts w:ascii="Calibri" w:hAnsi="Calibri"/>
    </w:rPr>
  </w:style>
  <w:style w:type="paragraph" w:customStyle="1" w:styleId="198">
    <w:name w:val="默认段落字体 Para Char Char Char Char Char Char Char Char Char Char Char Char Char Char Char Char Char Char Char"/>
    <w:basedOn w:val="1"/>
    <w:qFormat/>
    <w:uiPriority w:val="0"/>
  </w:style>
  <w:style w:type="paragraph" w:customStyle="1" w:styleId="199">
    <w:name w:val="Aufzaehlung"/>
    <w:basedOn w:val="1"/>
    <w:autoRedefine/>
    <w:qFormat/>
    <w:uiPriority w:val="0"/>
    <w:pPr>
      <w:widowControl/>
      <w:spacing w:line="240" w:lineRule="atLeast"/>
      <w:ind w:left="284" w:hanging="284"/>
      <w:jc w:val="left"/>
    </w:pPr>
    <w:rPr>
      <w:rFonts w:ascii="Arial" w:hAnsi="Arial"/>
      <w:kern w:val="0"/>
      <w:sz w:val="22"/>
      <w:lang w:eastAsia="en-US"/>
    </w:rPr>
  </w:style>
  <w:style w:type="paragraph" w:customStyle="1" w:styleId="200">
    <w:name w:val="普通 (Web)"/>
    <w:basedOn w:val="1"/>
    <w:autoRedefine/>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202">
    <w:name w:val="Style10"/>
    <w:basedOn w:val="1"/>
    <w:unhideWhenUsed/>
    <w:qFormat/>
    <w:uiPriority w:val="99"/>
    <w:pPr>
      <w:spacing w:line="538" w:lineRule="exact"/>
    </w:pPr>
    <w:rPr>
      <w:rFonts w:ascii="Calibri" w:hAnsi="Calibri"/>
    </w:rPr>
  </w:style>
  <w:style w:type="paragraph" w:customStyle="1" w:styleId="203">
    <w:name w:val="样式 图表 + 五号"/>
    <w:basedOn w:val="1"/>
    <w:autoRedefine/>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04">
    <w:name w:val="Style71"/>
    <w:basedOn w:val="1"/>
    <w:unhideWhenUsed/>
    <w:qFormat/>
    <w:uiPriority w:val="99"/>
    <w:pPr>
      <w:spacing w:line="538" w:lineRule="exact"/>
      <w:ind w:firstLine="101"/>
    </w:pPr>
    <w:rPr>
      <w:rFonts w:ascii="Calibri" w:hAnsi="Calibri"/>
    </w:rPr>
  </w:style>
  <w:style w:type="paragraph" w:customStyle="1" w:styleId="205">
    <w:name w:val="_Style 36"/>
    <w:qFormat/>
    <w:uiPriority w:val="0"/>
    <w:rPr>
      <w:rFonts w:ascii="Times New Roman" w:hAnsi="Times New Roman" w:eastAsia="宋体" w:cs="Times New Roman"/>
      <w:kern w:val="2"/>
      <w:sz w:val="21"/>
      <w:szCs w:val="24"/>
      <w:lang w:val="en-US" w:eastAsia="zh-CN" w:bidi="ar-SA"/>
    </w:rPr>
  </w:style>
  <w:style w:type="paragraph" w:customStyle="1" w:styleId="206">
    <w:name w:val="Style64"/>
    <w:basedOn w:val="1"/>
    <w:unhideWhenUsed/>
    <w:qFormat/>
    <w:uiPriority w:val="99"/>
    <w:rPr>
      <w:rFonts w:ascii="Calibri" w:hAnsi="Calibri"/>
    </w:rPr>
  </w:style>
  <w:style w:type="paragraph" w:customStyle="1" w:styleId="207">
    <w:name w:val="Style68"/>
    <w:basedOn w:val="1"/>
    <w:autoRedefine/>
    <w:unhideWhenUsed/>
    <w:qFormat/>
    <w:uiPriority w:val="99"/>
    <w:pPr>
      <w:spacing w:line="547" w:lineRule="exact"/>
    </w:pPr>
    <w:rPr>
      <w:rFonts w:ascii="Calibri" w:hAnsi="Calibri"/>
    </w:rPr>
  </w:style>
  <w:style w:type="paragraph" w:customStyle="1" w:styleId="208">
    <w:name w:val="List Paragraph1"/>
    <w:basedOn w:val="1"/>
    <w:autoRedefine/>
    <w:qFormat/>
    <w:uiPriority w:val="0"/>
    <w:pPr>
      <w:ind w:firstLine="420" w:firstLineChars="200"/>
    </w:pPr>
    <w:rPr>
      <w:rFonts w:ascii="Calibri" w:hAnsi="Calibri"/>
      <w:szCs w:val="22"/>
    </w:rPr>
  </w:style>
  <w:style w:type="paragraph" w:customStyle="1" w:styleId="209">
    <w:name w:val="Style29"/>
    <w:basedOn w:val="1"/>
    <w:autoRedefine/>
    <w:unhideWhenUsed/>
    <w:qFormat/>
    <w:uiPriority w:val="99"/>
    <w:pPr>
      <w:spacing w:line="547" w:lineRule="exact"/>
      <w:ind w:firstLine="547"/>
    </w:pPr>
    <w:rPr>
      <w:rFonts w:ascii="Calibri" w:hAnsi="Calibri"/>
    </w:rPr>
  </w:style>
  <w:style w:type="paragraph" w:customStyle="1" w:styleId="21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11">
    <w:name w:val="正文_1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Style21"/>
    <w:basedOn w:val="1"/>
    <w:autoRedefine/>
    <w:unhideWhenUsed/>
    <w:qFormat/>
    <w:uiPriority w:val="99"/>
    <w:pPr>
      <w:spacing w:line="566" w:lineRule="exact"/>
      <w:ind w:firstLine="682"/>
    </w:pPr>
    <w:rPr>
      <w:rFonts w:ascii="Calibri" w:hAnsi="Calibri"/>
    </w:rPr>
  </w:style>
  <w:style w:type="paragraph" w:customStyle="1" w:styleId="213">
    <w:name w:val="Style15"/>
    <w:basedOn w:val="1"/>
    <w:autoRedefine/>
    <w:unhideWhenUsed/>
    <w:qFormat/>
    <w:uiPriority w:val="99"/>
    <w:pPr>
      <w:spacing w:line="557" w:lineRule="exact"/>
      <w:ind w:firstLine="672"/>
    </w:pPr>
    <w:rPr>
      <w:rFonts w:ascii="Calibri" w:hAnsi="Calibri"/>
    </w:rPr>
  </w:style>
  <w:style w:type="paragraph" w:customStyle="1" w:styleId="214">
    <w:name w:val="Style45"/>
    <w:basedOn w:val="1"/>
    <w:autoRedefine/>
    <w:unhideWhenUsed/>
    <w:qFormat/>
    <w:uiPriority w:val="99"/>
    <w:rPr>
      <w:rFonts w:ascii="Calibri" w:hAnsi="Calibri"/>
    </w:rPr>
  </w:style>
  <w:style w:type="paragraph" w:customStyle="1" w:styleId="215">
    <w:name w:val="修订21"/>
    <w:qFormat/>
    <w:uiPriority w:val="0"/>
    <w:rPr>
      <w:rFonts w:ascii="Times New Roman" w:hAnsi="Times New Roman" w:eastAsia="宋体" w:cs="Times New Roman"/>
      <w:kern w:val="2"/>
      <w:sz w:val="21"/>
      <w:szCs w:val="24"/>
      <w:lang w:val="en-US" w:eastAsia="zh-CN" w:bidi="ar-SA"/>
    </w:rPr>
  </w:style>
  <w:style w:type="paragraph" w:customStyle="1" w:styleId="216">
    <w:name w:val="Style24"/>
    <w:basedOn w:val="1"/>
    <w:unhideWhenUsed/>
    <w:qFormat/>
    <w:uiPriority w:val="99"/>
    <w:rPr>
      <w:rFonts w:ascii="Calibri" w:hAnsi="Calibri"/>
    </w:rPr>
  </w:style>
  <w:style w:type="paragraph" w:customStyle="1" w:styleId="217">
    <w:name w:val="Style23"/>
    <w:basedOn w:val="1"/>
    <w:autoRedefine/>
    <w:unhideWhenUsed/>
    <w:qFormat/>
    <w:uiPriority w:val="99"/>
    <w:rPr>
      <w:rFonts w:ascii="Calibri" w:hAnsi="Calibri"/>
    </w:rPr>
  </w:style>
  <w:style w:type="paragraph" w:customStyle="1" w:styleId="218">
    <w:name w:val="列出段落2"/>
    <w:basedOn w:val="1"/>
    <w:autoRedefine/>
    <w:qFormat/>
    <w:uiPriority w:val="0"/>
    <w:pPr>
      <w:ind w:firstLine="200" w:firstLineChars="200"/>
    </w:pPr>
    <w:rPr>
      <w:rFonts w:ascii="Calibri" w:hAnsi="Calibri"/>
      <w:szCs w:val="22"/>
    </w:rPr>
  </w:style>
  <w:style w:type="paragraph" w:customStyle="1" w:styleId="219">
    <w:name w:val="Style13"/>
    <w:basedOn w:val="1"/>
    <w:autoRedefine/>
    <w:unhideWhenUsed/>
    <w:qFormat/>
    <w:uiPriority w:val="99"/>
    <w:rPr>
      <w:rFonts w:ascii="Calibri" w:hAnsi="Calibri"/>
    </w:rPr>
  </w:style>
  <w:style w:type="paragraph" w:customStyle="1" w:styleId="220">
    <w:name w:val="Style44"/>
    <w:basedOn w:val="1"/>
    <w:autoRedefine/>
    <w:unhideWhenUsed/>
    <w:qFormat/>
    <w:uiPriority w:val="99"/>
    <w:rPr>
      <w:rFonts w:ascii="Calibri" w:hAnsi="Calibri"/>
    </w:rPr>
  </w:style>
  <w:style w:type="paragraph" w:customStyle="1" w:styleId="221">
    <w:name w:val="Style4"/>
    <w:basedOn w:val="1"/>
    <w:unhideWhenUsed/>
    <w:qFormat/>
    <w:uiPriority w:val="99"/>
    <w:rPr>
      <w:rFonts w:ascii="Calibri" w:hAnsi="Calibri"/>
    </w:rPr>
  </w:style>
  <w:style w:type="paragraph" w:customStyle="1" w:styleId="222">
    <w:name w:val="_Style 39"/>
    <w:basedOn w:val="160"/>
    <w:autoRedefine/>
    <w:qFormat/>
    <w:uiPriority w:val="0"/>
  </w:style>
  <w:style w:type="paragraph" w:customStyle="1" w:styleId="223">
    <w:name w:val="Default"/>
    <w:autoRedefine/>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224">
    <w:name w:val="Table Text"/>
    <w:basedOn w:val="1"/>
    <w:semiHidden/>
    <w:qFormat/>
    <w:uiPriority w:val="0"/>
    <w:rPr>
      <w:rFonts w:ascii="宋体" w:hAnsi="宋体" w:eastAsia="宋体" w:cs="宋体"/>
      <w:sz w:val="20"/>
      <w:szCs w:val="20"/>
      <w:lang w:val="en-US" w:eastAsia="en-US" w:bidi="ar-SA"/>
    </w:rPr>
  </w:style>
  <w:style w:type="table" w:customStyle="1" w:styleId="2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124</Pages>
  <Words>7173</Words>
  <Characters>7724</Characters>
  <Lines>776</Lines>
  <Paragraphs>218</Paragraphs>
  <TotalTime>28</TotalTime>
  <ScaleCrop>false</ScaleCrop>
  <LinksUpToDate>false</LinksUpToDate>
  <CharactersWithSpaces>8439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2021-08-16T10:42:00Z</dcterms:created>
  <dc:creator>User</dc:creator>
  <cp:lastModifiedBy>8199050607</cp:lastModifiedBy>
  <cp:lastPrinted>2024-11-28T01:31:00Z</cp:lastPrinted>
  <dcterms:modified xsi:type="dcterms:W3CDTF">2024-11-29T01:46:32Z</dcterms:modified>
  <dc:title>第二章  投标人须知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B4566B9242B14124ACF2761BCAA643AC_13</vt:lpwstr>
  </property>
</Properties>
</file>