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560" w:firstLineChars="200"/>
        <w:rPr>
          <w:rFonts w:eastAsia="仿宋_GB2312"/>
          <w:color w:val="auto"/>
          <w:sz w:val="28"/>
          <w:szCs w:val="28"/>
          <w:highlight w:val="none"/>
        </w:rPr>
      </w:pPr>
      <w:bookmarkStart w:id="0" w:name="_Toc300678060"/>
    </w:p>
    <w:p>
      <w:pPr>
        <w:ind w:firstLine="435"/>
        <w:rPr>
          <w:color w:val="auto"/>
          <w:highlight w:val="none"/>
        </w:rPr>
      </w:pPr>
    </w:p>
    <w:p>
      <w:pPr>
        <w:ind w:firstLine="435"/>
        <w:rPr>
          <w:color w:val="auto"/>
          <w:highlight w:val="none"/>
        </w:rPr>
      </w:pPr>
    </w:p>
    <w:p>
      <w:pPr>
        <w:ind w:firstLine="435"/>
        <w:rPr>
          <w:color w:val="auto"/>
          <w:highlight w:val="none"/>
        </w:rPr>
      </w:pPr>
    </w:p>
    <w:p>
      <w:pPr>
        <w:spacing w:line="540" w:lineRule="exact"/>
        <w:jc w:val="center"/>
        <w:rPr>
          <w:color w:val="auto"/>
          <w:sz w:val="28"/>
          <w:szCs w:val="28"/>
          <w:highlight w:val="none"/>
        </w:rPr>
      </w:pPr>
      <w:r>
        <w:rPr>
          <w:rFonts w:hint="eastAsia" w:eastAsia="黑体"/>
          <w:color w:val="auto"/>
          <w:sz w:val="28"/>
          <w:szCs w:val="28"/>
          <w:highlight w:val="none"/>
          <w:u w:val="single"/>
          <w:lang w:eastAsia="zh-CN"/>
        </w:rPr>
        <w:t>岳阳市审计局家属院老旧小区改造配套基础设施建设项目工程总承包</w:t>
      </w:r>
      <w:r>
        <w:rPr>
          <w:rFonts w:eastAsia="黑体"/>
          <w:color w:val="auto"/>
          <w:sz w:val="28"/>
          <w:szCs w:val="28"/>
          <w:highlight w:val="none"/>
        </w:rPr>
        <w:t>招标</w:t>
      </w:r>
    </w:p>
    <w:p>
      <w:pPr>
        <w:ind w:firstLine="435"/>
        <w:rPr>
          <w:color w:val="auto"/>
          <w:szCs w:val="21"/>
          <w:highlight w:val="none"/>
        </w:rPr>
      </w:pPr>
    </w:p>
    <w:p>
      <w:pPr>
        <w:pStyle w:val="37"/>
        <w:rPr>
          <w:color w:val="auto"/>
          <w:szCs w:val="21"/>
          <w:highlight w:val="none"/>
        </w:rPr>
      </w:pPr>
    </w:p>
    <w:p>
      <w:pPr>
        <w:rPr>
          <w:color w:val="auto"/>
          <w:szCs w:val="21"/>
          <w:highlight w:val="none"/>
        </w:rPr>
      </w:pPr>
    </w:p>
    <w:p>
      <w:pPr>
        <w:pStyle w:val="37"/>
      </w:pPr>
    </w:p>
    <w:p>
      <w:pPr>
        <w:ind w:firstLine="435"/>
        <w:rPr>
          <w:color w:val="auto"/>
          <w:szCs w:val="21"/>
          <w:highlight w:val="none"/>
        </w:rPr>
      </w:pPr>
    </w:p>
    <w:p>
      <w:pPr>
        <w:ind w:firstLine="435"/>
        <w:rPr>
          <w:color w:val="auto"/>
          <w:szCs w:val="21"/>
          <w:highlight w:val="none"/>
        </w:rPr>
      </w:pPr>
    </w:p>
    <w:p>
      <w:pPr>
        <w:ind w:firstLine="435"/>
        <w:rPr>
          <w:color w:val="auto"/>
          <w:szCs w:val="21"/>
          <w:highlight w:val="none"/>
        </w:rPr>
      </w:pPr>
    </w:p>
    <w:p>
      <w:pPr>
        <w:ind w:firstLine="435"/>
        <w:rPr>
          <w:color w:val="auto"/>
          <w:szCs w:val="21"/>
          <w:highlight w:val="none"/>
        </w:rPr>
      </w:pPr>
    </w:p>
    <w:p>
      <w:pPr>
        <w:ind w:firstLine="435"/>
        <w:rPr>
          <w:color w:val="auto"/>
          <w:szCs w:val="21"/>
          <w:highlight w:val="none"/>
        </w:rPr>
      </w:pPr>
    </w:p>
    <w:p>
      <w:pPr>
        <w:ind w:firstLine="435"/>
        <w:rPr>
          <w:color w:val="auto"/>
          <w:szCs w:val="21"/>
          <w:highlight w:val="none"/>
        </w:rPr>
      </w:pPr>
    </w:p>
    <w:p>
      <w:pPr>
        <w:jc w:val="center"/>
        <w:rPr>
          <w:rFonts w:eastAsia="黑体"/>
          <w:color w:val="auto"/>
          <w:sz w:val="72"/>
          <w:szCs w:val="72"/>
          <w:highlight w:val="none"/>
        </w:rPr>
      </w:pPr>
      <w:r>
        <w:rPr>
          <w:rFonts w:eastAsia="黑体"/>
          <w:color w:val="auto"/>
          <w:sz w:val="72"/>
          <w:szCs w:val="72"/>
          <w:highlight w:val="none"/>
        </w:rPr>
        <w:t>招  标  文  件</w:t>
      </w: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ind w:firstLine="435"/>
        <w:rPr>
          <w:color w:val="auto"/>
          <w:highlight w:val="none"/>
        </w:rPr>
      </w:pPr>
    </w:p>
    <w:p>
      <w:pPr>
        <w:spacing w:line="360" w:lineRule="auto"/>
        <w:ind w:firstLine="0"/>
        <w:jc w:val="center"/>
        <w:rPr>
          <w:rFonts w:eastAsia="黑体"/>
          <w:color w:val="auto"/>
          <w:sz w:val="28"/>
          <w:szCs w:val="28"/>
          <w:highlight w:val="none"/>
        </w:rPr>
      </w:pPr>
      <w:r>
        <w:rPr>
          <w:rFonts w:eastAsia="黑体"/>
          <w:color w:val="auto"/>
          <w:sz w:val="28"/>
          <w:szCs w:val="28"/>
          <w:highlight w:val="none"/>
        </w:rPr>
        <w:t>招标代理机构：</w:t>
      </w:r>
      <w:r>
        <w:rPr>
          <w:rFonts w:hint="eastAsia" w:eastAsia="黑体"/>
          <w:color w:val="auto"/>
          <w:sz w:val="28"/>
          <w:szCs w:val="28"/>
          <w:highlight w:val="none"/>
          <w:u w:val="single"/>
          <w:lang w:val="en-US" w:eastAsia="zh-CN"/>
        </w:rPr>
        <w:t>湖南大福信息技术咨询有限公司</w:t>
      </w:r>
    </w:p>
    <w:p>
      <w:pPr>
        <w:spacing w:line="360" w:lineRule="auto"/>
        <w:ind w:firstLine="1960" w:firstLineChars="700"/>
        <w:jc w:val="both"/>
        <w:rPr>
          <w:rFonts w:hint="eastAsia" w:ascii="Times New Roman" w:hAnsi="Times New Roman" w:eastAsia="黑体" w:cs="Times New Roman"/>
          <w:color w:val="auto"/>
          <w:sz w:val="28"/>
          <w:szCs w:val="28"/>
          <w:highlight w:val="none"/>
          <w:u w:val="single"/>
          <w:lang w:eastAsia="zh-CN"/>
        </w:rPr>
      </w:pPr>
      <w:r>
        <w:rPr>
          <w:rFonts w:hint="eastAsia" w:ascii="Times New Roman" w:hAnsi="Times New Roman" w:eastAsia="黑体" w:cs="Times New Roman"/>
          <w:color w:val="auto"/>
          <w:sz w:val="28"/>
          <w:szCs w:val="28"/>
          <w:highlight w:val="none"/>
          <w:u w:val="none"/>
        </w:rPr>
        <w:t xml:space="preserve">招 </w:t>
      </w:r>
      <w:r>
        <w:rPr>
          <w:rFonts w:hint="eastAsia" w:eastAsia="黑体" w:cs="Times New Roman"/>
          <w:color w:val="auto"/>
          <w:sz w:val="28"/>
          <w:szCs w:val="28"/>
          <w:highlight w:val="none"/>
          <w:u w:val="none"/>
          <w:lang w:val="en-US" w:eastAsia="zh-CN"/>
        </w:rPr>
        <w:t xml:space="preserve">  </w:t>
      </w:r>
      <w:r>
        <w:rPr>
          <w:rFonts w:hint="eastAsia" w:ascii="Times New Roman" w:hAnsi="Times New Roman" w:eastAsia="黑体" w:cs="Times New Roman"/>
          <w:color w:val="auto"/>
          <w:sz w:val="28"/>
          <w:szCs w:val="28"/>
          <w:highlight w:val="none"/>
          <w:u w:val="none"/>
        </w:rPr>
        <w:t xml:space="preserve">标 </w:t>
      </w:r>
      <w:r>
        <w:rPr>
          <w:rFonts w:hint="eastAsia" w:eastAsia="黑体" w:cs="Times New Roman"/>
          <w:color w:val="auto"/>
          <w:sz w:val="28"/>
          <w:szCs w:val="28"/>
          <w:highlight w:val="none"/>
          <w:u w:val="none"/>
          <w:lang w:val="en-US" w:eastAsia="zh-CN"/>
        </w:rPr>
        <w:t xml:space="preserve"> </w:t>
      </w:r>
      <w:r>
        <w:rPr>
          <w:rFonts w:hint="eastAsia" w:ascii="Times New Roman" w:hAnsi="Times New Roman" w:eastAsia="黑体" w:cs="Times New Roman"/>
          <w:color w:val="auto"/>
          <w:sz w:val="28"/>
          <w:szCs w:val="28"/>
          <w:highlight w:val="none"/>
          <w:u w:val="none"/>
        </w:rPr>
        <w:t>人</w:t>
      </w:r>
      <w:r>
        <w:rPr>
          <w:rFonts w:hint="eastAsia" w:ascii="Times New Roman" w:hAnsi="Times New Roman" w:eastAsia="黑体" w:cs="Times New Roman"/>
          <w:color w:val="auto"/>
          <w:sz w:val="28"/>
          <w:szCs w:val="28"/>
          <w:highlight w:val="none"/>
          <w:u w:val="none"/>
          <w:lang w:eastAsia="zh-CN"/>
        </w:rPr>
        <w:t>：</w:t>
      </w:r>
      <w:r>
        <w:rPr>
          <w:rFonts w:hint="eastAsia" w:eastAsia="黑体" w:cs="Times New Roman"/>
          <w:color w:val="auto"/>
          <w:spacing w:val="0"/>
          <w:sz w:val="28"/>
          <w:szCs w:val="28"/>
          <w:highlight w:val="none"/>
          <w:u w:val="single"/>
          <w:lang w:eastAsia="zh-CN"/>
        </w:rPr>
        <w:t>岳阳市</w:t>
      </w:r>
      <w:r>
        <w:rPr>
          <w:rFonts w:hint="eastAsia" w:eastAsia="黑体" w:cs="Times New Roman"/>
          <w:color w:val="auto"/>
          <w:spacing w:val="0"/>
          <w:sz w:val="28"/>
          <w:szCs w:val="28"/>
          <w:highlight w:val="none"/>
          <w:u w:val="single"/>
          <w:lang w:val="en-US" w:eastAsia="zh-CN"/>
        </w:rPr>
        <w:t>审计局</w:t>
      </w:r>
    </w:p>
    <w:p>
      <w:pPr>
        <w:spacing w:line="540" w:lineRule="exact"/>
        <w:ind w:firstLine="0"/>
        <w:jc w:val="center"/>
        <w:rPr>
          <w:rFonts w:eastAsia="黑体"/>
          <w:color w:val="auto"/>
          <w:sz w:val="28"/>
          <w:szCs w:val="28"/>
          <w:highlight w:val="none"/>
        </w:rPr>
      </w:pPr>
      <w:r>
        <w:rPr>
          <w:rFonts w:eastAsia="黑体"/>
          <w:color w:val="auto"/>
          <w:sz w:val="28"/>
          <w:szCs w:val="28"/>
          <w:highlight w:val="none"/>
        </w:rPr>
        <w:t>日 期：</w:t>
      </w:r>
      <w:r>
        <w:rPr>
          <w:rFonts w:eastAsia="黑体"/>
          <w:color w:val="auto"/>
          <w:sz w:val="28"/>
          <w:szCs w:val="28"/>
          <w:highlight w:val="none"/>
          <w:u w:val="single"/>
        </w:rPr>
        <w:t xml:space="preserve"> </w:t>
      </w:r>
      <w:r>
        <w:rPr>
          <w:rFonts w:hint="eastAsia" w:eastAsia="黑体"/>
          <w:color w:val="auto"/>
          <w:sz w:val="28"/>
          <w:szCs w:val="28"/>
          <w:highlight w:val="none"/>
          <w:u w:val="single"/>
          <w:lang w:val="en-US" w:eastAsia="zh-CN"/>
        </w:rPr>
        <w:t>2023</w:t>
      </w:r>
      <w:r>
        <w:rPr>
          <w:rFonts w:eastAsia="黑体"/>
          <w:color w:val="auto"/>
          <w:sz w:val="28"/>
          <w:szCs w:val="28"/>
          <w:highlight w:val="none"/>
          <w:u w:val="single"/>
        </w:rPr>
        <w:t xml:space="preserve"> </w:t>
      </w:r>
      <w:r>
        <w:rPr>
          <w:rFonts w:eastAsia="黑体"/>
          <w:color w:val="auto"/>
          <w:sz w:val="28"/>
          <w:szCs w:val="28"/>
          <w:highlight w:val="none"/>
        </w:rPr>
        <w:t>年</w:t>
      </w:r>
      <w:r>
        <w:rPr>
          <w:rFonts w:eastAsia="黑体"/>
          <w:color w:val="auto"/>
          <w:sz w:val="28"/>
          <w:szCs w:val="28"/>
          <w:highlight w:val="none"/>
          <w:u w:val="single"/>
        </w:rPr>
        <w:t xml:space="preserve"> </w:t>
      </w:r>
      <w:r>
        <w:rPr>
          <w:rFonts w:hint="eastAsia" w:eastAsia="黑体"/>
          <w:color w:val="auto"/>
          <w:sz w:val="28"/>
          <w:szCs w:val="28"/>
          <w:highlight w:val="none"/>
          <w:u w:val="single"/>
          <w:lang w:val="en-US" w:eastAsia="zh-CN"/>
        </w:rPr>
        <w:t>11</w:t>
      </w:r>
      <w:r>
        <w:rPr>
          <w:rFonts w:eastAsia="黑体"/>
          <w:color w:val="auto"/>
          <w:sz w:val="28"/>
          <w:szCs w:val="28"/>
          <w:highlight w:val="none"/>
          <w:u w:val="single"/>
        </w:rPr>
        <w:t xml:space="preserve"> </w:t>
      </w:r>
      <w:r>
        <w:rPr>
          <w:rFonts w:eastAsia="黑体"/>
          <w:color w:val="auto"/>
          <w:sz w:val="28"/>
          <w:szCs w:val="28"/>
          <w:highlight w:val="none"/>
        </w:rPr>
        <w:t>月</w:t>
      </w:r>
      <w:r>
        <w:rPr>
          <w:rFonts w:eastAsia="黑体"/>
          <w:color w:val="auto"/>
          <w:sz w:val="28"/>
          <w:szCs w:val="28"/>
          <w:highlight w:val="none"/>
          <w:u w:val="single"/>
        </w:rPr>
        <w:t xml:space="preserve"> </w:t>
      </w:r>
      <w:r>
        <w:rPr>
          <w:rFonts w:hint="eastAsia" w:eastAsia="黑体"/>
          <w:color w:val="auto"/>
          <w:sz w:val="28"/>
          <w:szCs w:val="28"/>
          <w:highlight w:val="none"/>
          <w:u w:val="single"/>
          <w:lang w:val="en-US" w:eastAsia="zh-CN"/>
        </w:rPr>
        <w:t xml:space="preserve">6 </w:t>
      </w:r>
      <w:r>
        <w:rPr>
          <w:rFonts w:eastAsia="黑体"/>
          <w:color w:val="auto"/>
          <w:sz w:val="28"/>
          <w:szCs w:val="28"/>
          <w:highlight w:val="none"/>
        </w:rPr>
        <w:t>日</w:t>
      </w:r>
    </w:p>
    <w:p>
      <w:pPr>
        <w:ind w:firstLine="435"/>
        <w:rPr>
          <w:color w:val="auto"/>
          <w:highlight w:val="none"/>
        </w:rPr>
      </w:pPr>
    </w:p>
    <w:p>
      <w:pPr>
        <w:spacing w:line="540" w:lineRule="exact"/>
        <w:jc w:val="center"/>
        <w:rPr>
          <w:rFonts w:eastAsia="黑体"/>
          <w:bCs/>
          <w:color w:val="auto"/>
          <w:sz w:val="36"/>
          <w:szCs w:val="36"/>
          <w:highlight w:val="none"/>
        </w:rPr>
        <w:sectPr>
          <w:footerReference r:id="rId3" w:type="first"/>
          <w:pgSz w:w="11906" w:h="16838"/>
          <w:pgMar w:top="1418" w:right="1418" w:bottom="1418" w:left="1418" w:header="851" w:footer="850" w:gutter="0"/>
          <w:pgNumType w:fmt="decimal"/>
          <w:cols w:space="720" w:num="1"/>
          <w:docGrid w:linePitch="306" w:charSpace="0"/>
        </w:sectPr>
      </w:pPr>
    </w:p>
    <w:p>
      <w:pPr>
        <w:pStyle w:val="32"/>
        <w:tabs>
          <w:tab w:val="right" w:leader="dot" w:pos="8891"/>
        </w:tabs>
        <w:rPr>
          <w:rFonts w:eastAsia="黑体"/>
          <w:color w:val="auto"/>
          <w:sz w:val="32"/>
          <w:szCs w:val="32"/>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0"/>
          <w:szCs w:val="30"/>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0"/>
          <w:szCs w:val="30"/>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0"/>
          <w:szCs w:val="30"/>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0"/>
          <w:szCs w:val="30"/>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0"/>
          <w:szCs w:val="30"/>
          <w:highlight w:val="none"/>
        </w:rPr>
      </w:pPr>
      <w:r>
        <w:rPr>
          <w:rFonts w:ascii="宋体" w:hAnsi="宋体" w:eastAsia="宋体"/>
          <w:b/>
          <w:bCs/>
          <w:color w:val="auto"/>
          <w:sz w:val="30"/>
          <w:szCs w:val="30"/>
          <w:highlight w:val="none"/>
        </w:rPr>
        <w:t>目</w:t>
      </w:r>
      <w:r>
        <w:rPr>
          <w:rFonts w:hint="eastAsia" w:ascii="宋体" w:hAnsi="宋体" w:eastAsia="宋体"/>
          <w:b/>
          <w:bCs/>
          <w:color w:val="auto"/>
          <w:sz w:val="30"/>
          <w:szCs w:val="30"/>
          <w:highlight w:val="none"/>
          <w:lang w:val="en-US" w:eastAsia="zh-CN"/>
        </w:rPr>
        <w:t xml:space="preserve">  </w:t>
      </w:r>
      <w:r>
        <w:rPr>
          <w:rFonts w:hint="eastAsia" w:ascii="宋体" w:hAnsi="宋体"/>
          <w:b/>
          <w:bCs/>
          <w:color w:val="auto"/>
          <w:sz w:val="30"/>
          <w:szCs w:val="30"/>
          <w:highlight w:val="none"/>
          <w:lang w:val="en-US" w:eastAsia="zh-CN"/>
        </w:rPr>
        <w:t xml:space="preserve">  </w:t>
      </w:r>
      <w:r>
        <w:rPr>
          <w:rFonts w:ascii="宋体" w:hAnsi="宋体" w:eastAsia="宋体"/>
          <w:b/>
          <w:bCs/>
          <w:color w:val="auto"/>
          <w:sz w:val="30"/>
          <w:szCs w:val="30"/>
          <w:highlight w:val="none"/>
        </w:rPr>
        <w:t>录</w:t>
      </w:r>
    </w:p>
    <w:p>
      <w:pPr>
        <w:pStyle w:val="67"/>
        <w:rPr>
          <w:rFonts w:ascii="宋体" w:hAnsi="宋体" w:eastAsia="宋体"/>
          <w:b/>
          <w:bCs/>
          <w:color w:val="auto"/>
          <w:sz w:val="30"/>
          <w:szCs w:val="30"/>
          <w:highlight w:val="none"/>
        </w:rPr>
      </w:pPr>
    </w:p>
    <w:p>
      <w:pPr>
        <w:pStyle w:val="67"/>
        <w:rPr>
          <w:rFonts w:ascii="宋体" w:hAnsi="宋体" w:eastAsia="宋体"/>
          <w:b/>
          <w:bCs/>
          <w:color w:val="auto"/>
          <w:sz w:val="30"/>
          <w:szCs w:val="30"/>
          <w:highlight w:val="none"/>
        </w:rPr>
      </w:pPr>
    </w:p>
    <w:p>
      <w:pPr>
        <w:pStyle w:val="307"/>
        <w:tabs>
          <w:tab w:val="right" w:leader="dot" w:pos="9070"/>
        </w:tabs>
        <w:spacing w:line="480" w:lineRule="auto"/>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b/>
          <w:color w:val="auto"/>
          <w:highlight w:val="none"/>
        </w:rPr>
        <w:fldChar w:fldCharType="begin"/>
      </w:r>
      <w:r>
        <w:rPr>
          <w:b/>
          <w:color w:val="auto"/>
          <w:highlight w:val="none"/>
        </w:rPr>
        <w:instrText xml:space="preserve"> HYPERLINK \l _Toc15213 </w:instrText>
      </w:r>
      <w:r>
        <w:rPr>
          <w:b/>
          <w:color w:val="auto"/>
          <w:highlight w:val="none"/>
        </w:rPr>
        <w:fldChar w:fldCharType="separate"/>
      </w:r>
      <w:r>
        <w:rPr>
          <w:rFonts w:ascii="Times New Roman" w:hAnsi="Times New Roman" w:eastAsia="黑体"/>
          <w:b/>
          <w:bCs/>
          <w:color w:val="auto"/>
          <w:szCs w:val="44"/>
          <w:highlight w:val="none"/>
        </w:rPr>
        <w:t>第  一  卷</w:t>
      </w:r>
      <w:r>
        <w:rPr>
          <w:b/>
          <w:color w:val="auto"/>
          <w:highlight w:val="none"/>
        </w:rPr>
        <w:tab/>
      </w:r>
      <w:r>
        <w:rPr>
          <w:b/>
          <w:color w:val="auto"/>
          <w:highlight w:val="none"/>
        </w:rPr>
        <w:fldChar w:fldCharType="begin"/>
      </w:r>
      <w:r>
        <w:rPr>
          <w:b/>
          <w:color w:val="auto"/>
          <w:highlight w:val="none"/>
        </w:rPr>
        <w:instrText xml:space="preserve"> PAGEREF _Toc15213 \h </w:instrText>
      </w:r>
      <w:r>
        <w:rPr>
          <w:b/>
          <w:color w:val="auto"/>
          <w:highlight w:val="none"/>
        </w:rPr>
        <w:fldChar w:fldCharType="separate"/>
      </w:r>
      <w:r>
        <w:rPr>
          <w:b/>
          <w:color w:val="auto"/>
          <w:highlight w:val="none"/>
        </w:rPr>
        <w:t>2</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_Toc18770 </w:instrText>
      </w:r>
      <w:r>
        <w:rPr>
          <w:b/>
          <w:color w:val="auto"/>
          <w:highlight w:val="none"/>
        </w:rPr>
        <w:fldChar w:fldCharType="separate"/>
      </w:r>
      <w:r>
        <w:rPr>
          <w:rFonts w:ascii="Times New Roman" w:hAnsi="Times New Roman" w:eastAsia="黑体"/>
          <w:b/>
          <w:bCs/>
          <w:color w:val="auto"/>
          <w:highlight w:val="none"/>
        </w:rPr>
        <w:t>第一章  招标公告（适用于</w:t>
      </w:r>
      <w:r>
        <w:rPr>
          <w:rFonts w:hint="eastAsia" w:ascii="Times New Roman" w:hAnsi="Times New Roman" w:eastAsia="黑体"/>
          <w:b/>
          <w:bCs/>
          <w:color w:val="auto"/>
          <w:highlight w:val="none"/>
        </w:rPr>
        <w:t>未进行资格预审的</w:t>
      </w:r>
      <w:r>
        <w:rPr>
          <w:rFonts w:ascii="Times New Roman" w:hAnsi="Times New Roman" w:eastAsia="黑体"/>
          <w:b/>
          <w:bCs/>
          <w:color w:val="auto"/>
          <w:highlight w:val="none"/>
        </w:rPr>
        <w:t>公开招标</w:t>
      </w:r>
      <w:r>
        <w:rPr>
          <w:rFonts w:hint="eastAsia" w:ascii="Times New Roman" w:hAnsi="Times New Roman" w:eastAsia="黑体"/>
          <w:b/>
          <w:bCs/>
          <w:color w:val="auto"/>
          <w:highlight w:val="none"/>
        </w:rPr>
        <w:t>项目</w:t>
      </w:r>
      <w:r>
        <w:rPr>
          <w:rFonts w:ascii="Times New Roman" w:hAnsi="Times New Roman" w:eastAsia="黑体"/>
          <w:b/>
          <w:bCs/>
          <w:color w:val="auto"/>
          <w:highlight w:val="none"/>
        </w:rPr>
        <w:t>）</w:t>
      </w:r>
      <w:r>
        <w:rPr>
          <w:b/>
          <w:color w:val="auto"/>
          <w:highlight w:val="none"/>
        </w:rPr>
        <w:tab/>
      </w:r>
      <w:r>
        <w:rPr>
          <w:b/>
          <w:color w:val="auto"/>
          <w:highlight w:val="none"/>
        </w:rPr>
        <w:fldChar w:fldCharType="begin"/>
      </w:r>
      <w:r>
        <w:rPr>
          <w:b/>
          <w:color w:val="auto"/>
          <w:highlight w:val="none"/>
        </w:rPr>
        <w:instrText xml:space="preserve"> PAGEREF _Toc18770 \h </w:instrText>
      </w:r>
      <w:r>
        <w:rPr>
          <w:b/>
          <w:color w:val="auto"/>
          <w:highlight w:val="none"/>
        </w:rPr>
        <w:fldChar w:fldCharType="separate"/>
      </w:r>
      <w:r>
        <w:rPr>
          <w:b/>
          <w:color w:val="auto"/>
          <w:highlight w:val="none"/>
        </w:rPr>
        <w:t>3</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_Toc11853 </w:instrText>
      </w:r>
      <w:r>
        <w:rPr>
          <w:b/>
          <w:color w:val="auto"/>
          <w:highlight w:val="none"/>
        </w:rPr>
        <w:fldChar w:fldCharType="separate"/>
      </w:r>
      <w:r>
        <w:rPr>
          <w:rFonts w:ascii="Times New Roman" w:hAnsi="Times New Roman" w:eastAsia="黑体"/>
          <w:b/>
          <w:bCs/>
          <w:color w:val="auto"/>
          <w:highlight w:val="none"/>
        </w:rPr>
        <w:t>第二章  投标人须知</w:t>
      </w:r>
      <w:r>
        <w:rPr>
          <w:b/>
          <w:color w:val="auto"/>
          <w:highlight w:val="none"/>
        </w:rPr>
        <w:tab/>
      </w:r>
      <w:r>
        <w:rPr>
          <w:b/>
          <w:color w:val="auto"/>
          <w:highlight w:val="none"/>
        </w:rPr>
        <w:fldChar w:fldCharType="begin"/>
      </w:r>
      <w:r>
        <w:rPr>
          <w:b/>
          <w:color w:val="auto"/>
          <w:highlight w:val="none"/>
        </w:rPr>
        <w:instrText xml:space="preserve"> PAGEREF _Toc11853 \h </w:instrText>
      </w:r>
      <w:r>
        <w:rPr>
          <w:b/>
          <w:color w:val="auto"/>
          <w:highlight w:val="none"/>
        </w:rPr>
        <w:fldChar w:fldCharType="separate"/>
      </w:r>
      <w:r>
        <w:rPr>
          <w:b/>
          <w:color w:val="auto"/>
          <w:highlight w:val="none"/>
        </w:rPr>
        <w:t>6</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_Toc18910 </w:instrText>
      </w:r>
      <w:r>
        <w:rPr>
          <w:b/>
          <w:color w:val="auto"/>
          <w:highlight w:val="none"/>
        </w:rPr>
        <w:fldChar w:fldCharType="separate"/>
      </w:r>
      <w:r>
        <w:rPr>
          <w:rFonts w:ascii="Times New Roman" w:hAnsi="Times New Roman" w:eastAsia="黑体"/>
          <w:b/>
          <w:bCs/>
          <w:color w:val="auto"/>
          <w:highlight w:val="none"/>
        </w:rPr>
        <w:t>第三章  评标办法</w:t>
      </w:r>
      <w:r>
        <w:rPr>
          <w:b/>
          <w:color w:val="auto"/>
          <w:highlight w:val="none"/>
        </w:rPr>
        <w:tab/>
      </w:r>
      <w:r>
        <w:rPr>
          <w:b/>
          <w:color w:val="auto"/>
          <w:highlight w:val="none"/>
        </w:rPr>
        <w:fldChar w:fldCharType="begin"/>
      </w:r>
      <w:r>
        <w:rPr>
          <w:b/>
          <w:color w:val="auto"/>
          <w:highlight w:val="none"/>
        </w:rPr>
        <w:instrText xml:space="preserve"> PAGEREF _Toc18910 \h </w:instrText>
      </w:r>
      <w:r>
        <w:rPr>
          <w:b/>
          <w:color w:val="auto"/>
          <w:highlight w:val="none"/>
        </w:rPr>
        <w:fldChar w:fldCharType="separate"/>
      </w:r>
      <w:r>
        <w:rPr>
          <w:b/>
          <w:color w:val="auto"/>
          <w:highlight w:val="none"/>
        </w:rPr>
        <w:t>30</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_Toc12498 </w:instrText>
      </w:r>
      <w:r>
        <w:rPr>
          <w:b/>
          <w:color w:val="auto"/>
          <w:highlight w:val="none"/>
        </w:rPr>
        <w:fldChar w:fldCharType="separate"/>
      </w:r>
      <w:r>
        <w:rPr>
          <w:rFonts w:ascii="Times New Roman" w:hAnsi="Times New Roman" w:eastAsia="黑体"/>
          <w:b/>
          <w:bCs/>
          <w:color w:val="auto"/>
          <w:highlight w:val="none"/>
        </w:rPr>
        <w:t>第四章  合同条款及格式</w:t>
      </w:r>
      <w:r>
        <w:rPr>
          <w:b/>
          <w:color w:val="auto"/>
          <w:highlight w:val="none"/>
        </w:rPr>
        <w:tab/>
      </w:r>
      <w:r>
        <w:rPr>
          <w:b/>
          <w:color w:val="auto"/>
          <w:highlight w:val="none"/>
        </w:rPr>
        <w:fldChar w:fldCharType="begin"/>
      </w:r>
      <w:r>
        <w:rPr>
          <w:b/>
          <w:color w:val="auto"/>
          <w:highlight w:val="none"/>
        </w:rPr>
        <w:instrText xml:space="preserve"> PAGEREF _Toc12498 \h </w:instrText>
      </w:r>
      <w:r>
        <w:rPr>
          <w:b/>
          <w:color w:val="auto"/>
          <w:highlight w:val="none"/>
        </w:rPr>
        <w:fldChar w:fldCharType="separate"/>
      </w:r>
      <w:r>
        <w:rPr>
          <w:b/>
          <w:color w:val="auto"/>
          <w:highlight w:val="none"/>
        </w:rPr>
        <w:t>55</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_Toc8135 </w:instrText>
      </w:r>
      <w:r>
        <w:rPr>
          <w:b/>
          <w:color w:val="auto"/>
          <w:highlight w:val="none"/>
        </w:rPr>
        <w:fldChar w:fldCharType="separate"/>
      </w:r>
      <w:r>
        <w:rPr>
          <w:rFonts w:hint="eastAsia" w:ascii="Times New Roman" w:hAnsi="Times New Roman" w:eastAsia="黑体"/>
          <w:b/>
          <w:bCs/>
          <w:color w:val="auto"/>
          <w:szCs w:val="44"/>
          <w:highlight w:val="none"/>
        </w:rPr>
        <w:t>第  二  卷</w:t>
      </w:r>
      <w:r>
        <w:rPr>
          <w:b/>
          <w:color w:val="auto"/>
          <w:highlight w:val="none"/>
        </w:rPr>
        <w:tab/>
      </w:r>
      <w:r>
        <w:rPr>
          <w:b/>
          <w:color w:val="auto"/>
          <w:highlight w:val="none"/>
        </w:rPr>
        <w:fldChar w:fldCharType="begin"/>
      </w:r>
      <w:r>
        <w:rPr>
          <w:b/>
          <w:color w:val="auto"/>
          <w:highlight w:val="none"/>
        </w:rPr>
        <w:instrText xml:space="preserve"> PAGEREF _Toc8135 \h </w:instrText>
      </w:r>
      <w:r>
        <w:rPr>
          <w:b/>
          <w:color w:val="auto"/>
          <w:highlight w:val="none"/>
        </w:rPr>
        <w:fldChar w:fldCharType="separate"/>
      </w:r>
      <w:r>
        <w:rPr>
          <w:b/>
          <w:color w:val="auto"/>
          <w:highlight w:val="none"/>
        </w:rPr>
        <w:t>85</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_Toc24596 </w:instrText>
      </w:r>
      <w:r>
        <w:rPr>
          <w:b/>
          <w:color w:val="auto"/>
          <w:highlight w:val="none"/>
        </w:rPr>
        <w:fldChar w:fldCharType="separate"/>
      </w:r>
      <w:r>
        <w:rPr>
          <w:rFonts w:ascii="Times New Roman" w:hAnsi="Times New Roman" w:eastAsia="黑体"/>
          <w:b/>
          <w:bCs/>
          <w:color w:val="auto"/>
          <w:highlight w:val="none"/>
        </w:rPr>
        <w:t>第</w:t>
      </w:r>
      <w:r>
        <w:rPr>
          <w:rFonts w:hint="eastAsia" w:ascii="Times New Roman" w:hAnsi="Times New Roman" w:eastAsia="黑体"/>
          <w:b/>
          <w:bCs/>
          <w:color w:val="auto"/>
          <w:highlight w:val="none"/>
        </w:rPr>
        <w:t>五</w:t>
      </w:r>
      <w:r>
        <w:rPr>
          <w:rFonts w:ascii="Times New Roman" w:hAnsi="Times New Roman" w:eastAsia="黑体"/>
          <w:b/>
          <w:bCs/>
          <w:color w:val="auto"/>
          <w:highlight w:val="none"/>
        </w:rPr>
        <w:t xml:space="preserve">章  </w:t>
      </w:r>
      <w:r>
        <w:rPr>
          <w:rFonts w:hint="eastAsia" w:ascii="Times New Roman" w:hAnsi="Times New Roman" w:eastAsia="黑体"/>
          <w:b/>
          <w:bCs/>
          <w:color w:val="auto"/>
          <w:highlight w:val="none"/>
        </w:rPr>
        <w:t>发包人要求</w:t>
      </w:r>
      <w:r>
        <w:rPr>
          <w:b/>
          <w:color w:val="auto"/>
          <w:highlight w:val="none"/>
        </w:rPr>
        <w:tab/>
      </w:r>
      <w:r>
        <w:rPr>
          <w:b/>
          <w:color w:val="auto"/>
          <w:highlight w:val="none"/>
        </w:rPr>
        <w:fldChar w:fldCharType="begin"/>
      </w:r>
      <w:r>
        <w:rPr>
          <w:b/>
          <w:color w:val="auto"/>
          <w:highlight w:val="none"/>
        </w:rPr>
        <w:instrText xml:space="preserve"> PAGEREF _Toc24596 \h </w:instrText>
      </w:r>
      <w:r>
        <w:rPr>
          <w:b/>
          <w:color w:val="auto"/>
          <w:highlight w:val="none"/>
        </w:rPr>
        <w:fldChar w:fldCharType="separate"/>
      </w:r>
      <w:r>
        <w:rPr>
          <w:b/>
          <w:color w:val="auto"/>
          <w:highlight w:val="none"/>
        </w:rPr>
        <w:t>86</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_Toc10620 </w:instrText>
      </w:r>
      <w:r>
        <w:rPr>
          <w:b/>
          <w:color w:val="auto"/>
          <w:highlight w:val="none"/>
        </w:rPr>
        <w:fldChar w:fldCharType="separate"/>
      </w:r>
      <w:r>
        <w:rPr>
          <w:rFonts w:hint="eastAsia" w:ascii="Times New Roman" w:hAnsi="Times New Roman" w:eastAsia="黑体"/>
          <w:b/>
          <w:bCs/>
          <w:color w:val="auto"/>
          <w:highlight w:val="none"/>
        </w:rPr>
        <w:t>第六章</w:t>
      </w:r>
      <w:r>
        <w:rPr>
          <w:rFonts w:ascii="Times New Roman" w:hAnsi="Times New Roman" w:eastAsia="黑体"/>
          <w:b/>
          <w:bCs/>
          <w:color w:val="auto"/>
          <w:highlight w:val="none"/>
        </w:rPr>
        <w:t xml:space="preserve">  </w:t>
      </w:r>
      <w:r>
        <w:rPr>
          <w:rFonts w:hint="eastAsia" w:ascii="Times New Roman" w:hAnsi="Times New Roman" w:eastAsia="黑体"/>
          <w:b/>
          <w:bCs/>
          <w:color w:val="auto"/>
          <w:highlight w:val="none"/>
        </w:rPr>
        <w:t>发包人提供的资料</w:t>
      </w:r>
      <w:r>
        <w:rPr>
          <w:b/>
          <w:color w:val="auto"/>
          <w:highlight w:val="none"/>
        </w:rPr>
        <w:tab/>
      </w:r>
      <w:r>
        <w:rPr>
          <w:b/>
          <w:color w:val="auto"/>
          <w:highlight w:val="none"/>
        </w:rPr>
        <w:fldChar w:fldCharType="begin"/>
      </w:r>
      <w:r>
        <w:rPr>
          <w:b/>
          <w:color w:val="auto"/>
          <w:highlight w:val="none"/>
        </w:rPr>
        <w:instrText xml:space="preserve"> PAGEREF _Toc10620 \h </w:instrText>
      </w:r>
      <w:r>
        <w:rPr>
          <w:b/>
          <w:color w:val="auto"/>
          <w:highlight w:val="none"/>
        </w:rPr>
        <w:fldChar w:fldCharType="separate"/>
      </w:r>
      <w:r>
        <w:rPr>
          <w:b/>
          <w:color w:val="auto"/>
          <w:highlight w:val="none"/>
        </w:rPr>
        <w:t>88</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_Toc13513 </w:instrText>
      </w:r>
      <w:r>
        <w:rPr>
          <w:b/>
          <w:color w:val="auto"/>
          <w:highlight w:val="none"/>
        </w:rPr>
        <w:fldChar w:fldCharType="separate"/>
      </w:r>
      <w:r>
        <w:rPr>
          <w:rFonts w:ascii="Times New Roman" w:hAnsi="Times New Roman" w:eastAsia="黑体"/>
          <w:b/>
          <w:bCs/>
          <w:color w:val="auto"/>
          <w:szCs w:val="44"/>
          <w:highlight w:val="none"/>
        </w:rPr>
        <w:t xml:space="preserve">第  </w:t>
      </w:r>
      <w:r>
        <w:rPr>
          <w:rFonts w:hint="eastAsia" w:ascii="Times New Roman" w:hAnsi="Times New Roman" w:eastAsia="黑体"/>
          <w:b/>
          <w:bCs/>
          <w:color w:val="auto"/>
          <w:szCs w:val="44"/>
          <w:highlight w:val="none"/>
        </w:rPr>
        <w:t>三</w:t>
      </w:r>
      <w:r>
        <w:rPr>
          <w:rFonts w:ascii="Times New Roman" w:hAnsi="Times New Roman" w:eastAsia="黑体"/>
          <w:b/>
          <w:bCs/>
          <w:color w:val="auto"/>
          <w:szCs w:val="44"/>
          <w:highlight w:val="none"/>
        </w:rPr>
        <w:t xml:space="preserve">  卷</w:t>
      </w:r>
      <w:r>
        <w:rPr>
          <w:b/>
          <w:color w:val="auto"/>
          <w:highlight w:val="none"/>
        </w:rPr>
        <w:tab/>
      </w:r>
      <w:r>
        <w:rPr>
          <w:b/>
          <w:color w:val="auto"/>
          <w:highlight w:val="none"/>
        </w:rPr>
        <w:fldChar w:fldCharType="begin"/>
      </w:r>
      <w:r>
        <w:rPr>
          <w:b/>
          <w:color w:val="auto"/>
          <w:highlight w:val="none"/>
        </w:rPr>
        <w:instrText xml:space="preserve"> PAGEREF _Toc13513 \h </w:instrText>
      </w:r>
      <w:r>
        <w:rPr>
          <w:b/>
          <w:color w:val="auto"/>
          <w:highlight w:val="none"/>
        </w:rPr>
        <w:fldChar w:fldCharType="separate"/>
      </w:r>
      <w:r>
        <w:rPr>
          <w:b/>
          <w:color w:val="auto"/>
          <w:highlight w:val="none"/>
        </w:rPr>
        <w:t>89</w:t>
      </w:r>
      <w:r>
        <w:rPr>
          <w:b/>
          <w:color w:val="auto"/>
          <w:highlight w:val="none"/>
        </w:rPr>
        <w:fldChar w:fldCharType="end"/>
      </w:r>
      <w:r>
        <w:rPr>
          <w:b/>
          <w:color w:val="auto"/>
          <w:highlight w:val="none"/>
        </w:rPr>
        <w:fldChar w:fldCharType="end"/>
      </w:r>
    </w:p>
    <w:p>
      <w:pPr>
        <w:pStyle w:val="307"/>
        <w:tabs>
          <w:tab w:val="right" w:leader="dot" w:pos="9070"/>
        </w:tabs>
        <w:spacing w:line="480" w:lineRule="auto"/>
        <w:rPr>
          <w:b/>
          <w:color w:val="auto"/>
          <w:highlight w:val="none"/>
        </w:rPr>
      </w:pPr>
      <w:r>
        <w:rPr>
          <w:b/>
          <w:color w:val="auto"/>
          <w:highlight w:val="none"/>
        </w:rPr>
        <w:fldChar w:fldCharType="begin"/>
      </w:r>
      <w:r>
        <w:rPr>
          <w:b/>
          <w:color w:val="auto"/>
          <w:highlight w:val="none"/>
        </w:rPr>
        <w:instrText xml:space="preserve"> HYPERLINK \l _Toc2311 </w:instrText>
      </w:r>
      <w:r>
        <w:rPr>
          <w:b/>
          <w:color w:val="auto"/>
          <w:highlight w:val="none"/>
        </w:rPr>
        <w:fldChar w:fldCharType="separate"/>
      </w:r>
      <w:r>
        <w:rPr>
          <w:rFonts w:ascii="Times New Roman" w:hAnsi="Times New Roman" w:eastAsia="黑体"/>
          <w:b/>
          <w:bCs/>
          <w:color w:val="auto"/>
          <w:highlight w:val="none"/>
        </w:rPr>
        <w:t>第</w:t>
      </w:r>
      <w:r>
        <w:rPr>
          <w:rFonts w:hint="eastAsia" w:ascii="Times New Roman" w:hAnsi="Times New Roman" w:eastAsia="黑体"/>
          <w:b/>
          <w:bCs/>
          <w:color w:val="auto"/>
          <w:highlight w:val="none"/>
        </w:rPr>
        <w:t>七</w:t>
      </w:r>
      <w:r>
        <w:rPr>
          <w:rFonts w:ascii="Times New Roman" w:hAnsi="Times New Roman" w:eastAsia="黑体"/>
          <w:b/>
          <w:bCs/>
          <w:color w:val="auto"/>
          <w:highlight w:val="none"/>
        </w:rPr>
        <w:t>章  投标文件格式</w:t>
      </w:r>
      <w:r>
        <w:rPr>
          <w:b/>
          <w:color w:val="auto"/>
          <w:highlight w:val="none"/>
        </w:rPr>
        <w:tab/>
      </w:r>
      <w:r>
        <w:rPr>
          <w:b/>
          <w:color w:val="auto"/>
          <w:highlight w:val="none"/>
        </w:rPr>
        <w:fldChar w:fldCharType="begin"/>
      </w:r>
      <w:r>
        <w:rPr>
          <w:b/>
          <w:color w:val="auto"/>
          <w:highlight w:val="none"/>
        </w:rPr>
        <w:instrText xml:space="preserve"> PAGEREF _Toc2311 \h </w:instrText>
      </w:r>
      <w:r>
        <w:rPr>
          <w:b/>
          <w:color w:val="auto"/>
          <w:highlight w:val="none"/>
        </w:rPr>
        <w:fldChar w:fldCharType="separate"/>
      </w:r>
      <w:r>
        <w:rPr>
          <w:b/>
          <w:color w:val="auto"/>
          <w:highlight w:val="none"/>
        </w:rPr>
        <w:t>90</w:t>
      </w:r>
      <w:r>
        <w:rPr>
          <w:b/>
          <w:color w:val="auto"/>
          <w:highlight w:val="none"/>
        </w:rPr>
        <w:fldChar w:fldCharType="end"/>
      </w:r>
      <w:r>
        <w:rPr>
          <w:b/>
          <w:color w:val="auto"/>
          <w:highlight w:val="none"/>
        </w:rPr>
        <w:fldChar w:fldCharType="end"/>
      </w:r>
    </w:p>
    <w:p>
      <w:pPr>
        <w:pStyle w:val="307"/>
        <w:tabs>
          <w:tab w:val="right" w:leader="dot" w:pos="9070"/>
        </w:tabs>
        <w:rPr>
          <w:b/>
          <w:color w:val="auto"/>
          <w:highlight w:val="none"/>
        </w:rPr>
      </w:pPr>
    </w:p>
    <w:p>
      <w:pPr>
        <w:rPr>
          <w:color w:val="auto"/>
          <w:highlight w:val="none"/>
        </w:rPr>
      </w:pPr>
      <w:r>
        <w:rPr>
          <w:b/>
          <w:color w:val="auto"/>
          <w:highlight w:val="none"/>
        </w:rPr>
        <w:fldChar w:fldCharType="end"/>
      </w:r>
    </w:p>
    <w:p>
      <w:pPr>
        <w:spacing w:line="340" w:lineRule="exact"/>
        <w:ind w:firstLine="437"/>
        <w:rPr>
          <w:color w:val="auto"/>
          <w:sz w:val="24"/>
          <w:highlight w:val="none"/>
        </w:rPr>
      </w:pPr>
      <w:r>
        <w:rPr>
          <w:color w:val="auto"/>
          <w:sz w:val="24"/>
          <w:highlight w:val="none"/>
        </w:rPr>
        <w:br w:type="page"/>
      </w: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pStyle w:val="5"/>
        <w:jc w:val="center"/>
        <w:rPr>
          <w:rFonts w:ascii="Times New Roman" w:hAnsi="Times New Roman" w:eastAsia="黑体"/>
          <w:b w:val="0"/>
          <w:bCs w:val="0"/>
          <w:color w:val="auto"/>
          <w:sz w:val="44"/>
          <w:szCs w:val="44"/>
          <w:highlight w:val="none"/>
        </w:rPr>
      </w:pPr>
      <w:bookmarkStart w:id="1" w:name="_Toc69199885"/>
      <w:bookmarkStart w:id="2" w:name="_Toc15213"/>
      <w:bookmarkStart w:id="3" w:name="_Toc300677959"/>
      <w:r>
        <w:rPr>
          <w:rFonts w:ascii="Times New Roman" w:hAnsi="Times New Roman" w:eastAsia="黑体"/>
          <w:b w:val="0"/>
          <w:bCs w:val="0"/>
          <w:color w:val="auto"/>
          <w:sz w:val="44"/>
          <w:szCs w:val="44"/>
          <w:highlight w:val="none"/>
        </w:rPr>
        <w:t>第  一  卷</w:t>
      </w:r>
      <w:bookmarkEnd w:id="1"/>
      <w:bookmarkEnd w:id="2"/>
      <w:bookmarkEnd w:id="3"/>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spacing w:after="240" w:afterLines="100" w:line="540" w:lineRule="exact"/>
        <w:rPr>
          <w:rFonts w:eastAsia="黑体"/>
          <w:color w:val="auto"/>
          <w:sz w:val="32"/>
          <w:szCs w:val="32"/>
          <w:highlight w:val="none"/>
        </w:rPr>
      </w:pPr>
    </w:p>
    <w:p>
      <w:pPr>
        <w:pStyle w:val="5"/>
        <w:spacing w:before="0" w:after="0"/>
        <w:jc w:val="center"/>
        <w:outlineLvl w:val="1"/>
        <w:rPr>
          <w:rFonts w:ascii="Times New Roman" w:hAnsi="Times New Roman" w:eastAsia="黑体"/>
          <w:b w:val="0"/>
          <w:bCs w:val="0"/>
          <w:color w:val="auto"/>
          <w:sz w:val="28"/>
          <w:szCs w:val="28"/>
          <w:highlight w:val="none"/>
        </w:rPr>
        <w:sectPr>
          <w:footerReference r:id="rId5" w:type="first"/>
          <w:footerReference r:id="rId4" w:type="default"/>
          <w:pgSz w:w="11906" w:h="16838"/>
          <w:pgMar w:top="1304" w:right="1417" w:bottom="1304" w:left="1417" w:header="851" w:footer="850" w:gutter="0"/>
          <w:pgNumType w:fmt="decimal" w:start="1"/>
          <w:cols w:space="0" w:num="1"/>
          <w:titlePg/>
          <w:rtlGutter w:val="0"/>
          <w:docGrid w:linePitch="306" w:charSpace="0"/>
        </w:sectPr>
      </w:pPr>
      <w:bookmarkStart w:id="4" w:name="_Toc18770"/>
      <w:bookmarkStart w:id="5" w:name="_Toc69199886"/>
      <w:bookmarkStart w:id="6" w:name="_Toc300677960"/>
    </w:p>
    <w:p>
      <w:pPr>
        <w:pStyle w:val="5"/>
        <w:spacing w:before="0" w:after="0"/>
        <w:jc w:val="center"/>
        <w:outlineLvl w:val="1"/>
        <w:rPr>
          <w:rFonts w:ascii="Times New Roman" w:hAnsi="Times New Roman" w:eastAsia="黑体"/>
          <w:b w:val="0"/>
          <w:bCs w:val="0"/>
          <w:color w:val="auto"/>
          <w:sz w:val="28"/>
          <w:szCs w:val="28"/>
          <w:highlight w:val="none"/>
        </w:rPr>
      </w:pPr>
      <w:r>
        <w:rPr>
          <w:rFonts w:ascii="Times New Roman" w:hAnsi="Times New Roman" w:eastAsia="黑体"/>
          <w:b w:val="0"/>
          <w:bCs w:val="0"/>
          <w:color w:val="auto"/>
          <w:sz w:val="28"/>
          <w:szCs w:val="28"/>
          <w:highlight w:val="none"/>
        </w:rPr>
        <w:t>第一章  招标公告（适用于</w:t>
      </w:r>
      <w:r>
        <w:rPr>
          <w:rFonts w:hint="eastAsia" w:ascii="Times New Roman" w:hAnsi="Times New Roman" w:eastAsia="黑体"/>
          <w:b w:val="0"/>
          <w:bCs w:val="0"/>
          <w:color w:val="auto"/>
          <w:sz w:val="28"/>
          <w:szCs w:val="28"/>
          <w:highlight w:val="none"/>
        </w:rPr>
        <w:t>未进行资格预审的</w:t>
      </w:r>
      <w:r>
        <w:rPr>
          <w:rFonts w:ascii="Times New Roman" w:hAnsi="Times New Roman" w:eastAsia="黑体"/>
          <w:b w:val="0"/>
          <w:bCs w:val="0"/>
          <w:color w:val="auto"/>
          <w:sz w:val="28"/>
          <w:szCs w:val="28"/>
          <w:highlight w:val="none"/>
        </w:rPr>
        <w:t>公开招标</w:t>
      </w:r>
      <w:r>
        <w:rPr>
          <w:rFonts w:hint="eastAsia" w:ascii="Times New Roman" w:hAnsi="Times New Roman" w:eastAsia="黑体"/>
          <w:b w:val="0"/>
          <w:bCs w:val="0"/>
          <w:color w:val="auto"/>
          <w:sz w:val="28"/>
          <w:szCs w:val="28"/>
          <w:highlight w:val="none"/>
        </w:rPr>
        <w:t>项目</w:t>
      </w:r>
      <w:r>
        <w:rPr>
          <w:rFonts w:ascii="Times New Roman" w:hAnsi="Times New Roman" w:eastAsia="黑体"/>
          <w:b w:val="0"/>
          <w:bCs w:val="0"/>
          <w:color w:val="auto"/>
          <w:sz w:val="28"/>
          <w:szCs w:val="28"/>
          <w:highlight w:val="none"/>
        </w:rPr>
        <w:t>）</w:t>
      </w:r>
      <w:bookmarkEnd w:id="4"/>
      <w:bookmarkEnd w:id="5"/>
      <w:bookmarkEnd w:id="6"/>
    </w:p>
    <w:p>
      <w:pPr>
        <w:rPr>
          <w:color w:val="auto"/>
          <w:sz w:val="28"/>
          <w:szCs w:val="28"/>
          <w:highlight w:val="none"/>
        </w:rPr>
      </w:pPr>
    </w:p>
    <w:p>
      <w:pPr>
        <w:jc w:val="center"/>
        <w:rPr>
          <w:rFonts w:hint="eastAsia" w:eastAsia="黑体"/>
          <w:color w:val="auto"/>
          <w:sz w:val="28"/>
          <w:szCs w:val="28"/>
          <w:highlight w:val="none"/>
          <w:u w:val="single"/>
          <w:lang w:eastAsia="zh-CN"/>
        </w:rPr>
      </w:pPr>
      <w:r>
        <w:rPr>
          <w:rFonts w:hint="eastAsia" w:eastAsia="黑体"/>
          <w:color w:val="auto"/>
          <w:sz w:val="28"/>
          <w:szCs w:val="28"/>
          <w:highlight w:val="none"/>
          <w:u w:val="single"/>
          <w:lang w:eastAsia="zh-CN"/>
        </w:rPr>
        <w:t>岳阳市审计局家属院老旧小区改造配套基础设施建设项目</w:t>
      </w:r>
    </w:p>
    <w:p>
      <w:pPr>
        <w:jc w:val="center"/>
        <w:rPr>
          <w:rFonts w:hint="eastAsia" w:eastAsia="黑体"/>
          <w:color w:val="auto"/>
          <w:sz w:val="28"/>
          <w:szCs w:val="28"/>
          <w:highlight w:val="none"/>
        </w:rPr>
      </w:pPr>
      <w:r>
        <w:rPr>
          <w:rFonts w:hint="eastAsia" w:eastAsia="黑体"/>
          <w:color w:val="auto"/>
          <w:sz w:val="28"/>
          <w:szCs w:val="28"/>
          <w:highlight w:val="none"/>
          <w:u w:val="single"/>
          <w:lang w:eastAsia="zh-CN"/>
        </w:rPr>
        <w:t>工程总承包</w:t>
      </w:r>
      <w:r>
        <w:rPr>
          <w:rFonts w:eastAsia="黑体"/>
          <w:color w:val="auto"/>
          <w:sz w:val="28"/>
          <w:szCs w:val="28"/>
          <w:highlight w:val="none"/>
        </w:rPr>
        <w:t>招标公告</w:t>
      </w:r>
    </w:p>
    <w:p>
      <w:pPr>
        <w:jc w:val="center"/>
        <w:rPr>
          <w:rFonts w:eastAsia="黑体"/>
          <w:color w:val="auto"/>
          <w:sz w:val="28"/>
          <w:highlight w:val="none"/>
        </w:rPr>
      </w:pPr>
    </w:p>
    <w:p>
      <w:pPr>
        <w:pStyle w:val="6"/>
        <w:spacing w:before="0" w:after="0" w:line="360" w:lineRule="auto"/>
        <w:ind w:firstLine="420" w:firstLineChars="200"/>
        <w:rPr>
          <w:rFonts w:ascii="Times New Roman" w:hAnsi="Times New Roman" w:eastAsia="黑体"/>
          <w:b w:val="0"/>
          <w:bCs w:val="0"/>
          <w:color w:val="auto"/>
          <w:sz w:val="21"/>
          <w:szCs w:val="21"/>
          <w:highlight w:val="none"/>
        </w:rPr>
      </w:pPr>
      <w:bookmarkStart w:id="7" w:name="_Toc300677961"/>
      <w:bookmarkStart w:id="8" w:name="_Toc25655"/>
      <w:bookmarkStart w:id="9" w:name="_Toc69199887"/>
      <w:bookmarkStart w:id="10" w:name="_Toc9178495"/>
      <w:r>
        <w:rPr>
          <w:rFonts w:ascii="Times New Roman" w:hAnsi="Times New Roman" w:eastAsia="黑体"/>
          <w:b w:val="0"/>
          <w:bCs w:val="0"/>
          <w:color w:val="auto"/>
          <w:sz w:val="21"/>
          <w:szCs w:val="21"/>
          <w:highlight w:val="none"/>
        </w:rPr>
        <w:t>1.</w:t>
      </w:r>
      <w:bookmarkEnd w:id="7"/>
      <w:r>
        <w:rPr>
          <w:rFonts w:ascii="Times New Roman" w:hAnsi="Times New Roman" w:eastAsia="黑体"/>
          <w:b w:val="0"/>
          <w:bCs w:val="0"/>
          <w:color w:val="auto"/>
          <w:sz w:val="21"/>
          <w:szCs w:val="21"/>
          <w:highlight w:val="none"/>
        </w:rPr>
        <w:t>项目概况</w:t>
      </w:r>
      <w:bookmarkEnd w:id="8"/>
      <w:bookmarkEnd w:id="9"/>
      <w:bookmarkEnd w:id="10"/>
    </w:p>
    <w:p>
      <w:pPr>
        <w:spacing w:line="360" w:lineRule="auto"/>
        <w:ind w:firstLine="420" w:firstLineChars="200"/>
        <w:rPr>
          <w:color w:val="auto"/>
          <w:sz w:val="21"/>
          <w:szCs w:val="21"/>
          <w:highlight w:val="none"/>
        </w:rPr>
      </w:pPr>
      <w:r>
        <w:rPr>
          <w:color w:val="auto"/>
          <w:sz w:val="21"/>
          <w:szCs w:val="21"/>
          <w:highlight w:val="none"/>
        </w:rPr>
        <w:t>1.1 审批、核准或备案情况</w:t>
      </w:r>
    </w:p>
    <w:p>
      <w:pPr>
        <w:spacing w:line="360" w:lineRule="auto"/>
        <w:ind w:firstLine="420" w:firstLineChars="200"/>
        <w:rPr>
          <w:color w:val="auto"/>
          <w:highlight w:val="none"/>
        </w:rPr>
      </w:pPr>
      <w:r>
        <w:rPr>
          <w:color w:val="auto"/>
          <w:highlight w:val="none"/>
        </w:rPr>
        <w:t>项目名称</w:t>
      </w:r>
      <w:r>
        <w:rPr>
          <w:rFonts w:hint="eastAsia" w:cs="Times New Roman"/>
          <w:color w:val="auto"/>
          <w:sz w:val="21"/>
          <w:szCs w:val="24"/>
          <w:highlight w:val="none"/>
          <w:u w:val="single"/>
          <w:lang w:val="en-US" w:eastAsia="zh-CN"/>
        </w:rPr>
        <w:t>岳阳市审计局家属院老旧小区改造配套基础设施建设项目工程总承包</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none"/>
        </w:rPr>
        <w:t>，项</w:t>
      </w:r>
      <w:r>
        <w:rPr>
          <w:color w:val="auto"/>
          <w:highlight w:val="none"/>
        </w:rPr>
        <w:t xml:space="preserve">目审批、核准或备案机关名称 </w:t>
      </w:r>
      <w:r>
        <w:rPr>
          <w:rFonts w:hint="eastAsia"/>
          <w:color w:val="auto"/>
          <w:highlight w:val="none"/>
          <w:u w:val="single"/>
          <w:lang w:val="en-US" w:eastAsia="zh-CN"/>
        </w:rPr>
        <w:t>岳阳市发展和改革委员会</w:t>
      </w:r>
      <w:r>
        <w:rPr>
          <w:color w:val="auto"/>
          <w:highlight w:val="none"/>
          <w:u w:val="single"/>
        </w:rPr>
        <w:t xml:space="preserve"> </w:t>
      </w:r>
      <w:r>
        <w:rPr>
          <w:color w:val="auto"/>
          <w:highlight w:val="none"/>
        </w:rPr>
        <w:t>批文名称及编号</w:t>
      </w:r>
      <w:r>
        <w:rPr>
          <w:rFonts w:hint="eastAsia"/>
          <w:color w:val="auto"/>
          <w:highlight w:val="none"/>
          <w:u w:val="single"/>
        </w:rPr>
        <w:t>《关于岳阳市审计局家属院老旧小区改造配套基础设施建设项目可行性研究报告的批复》，岳发改核审【202</w:t>
      </w:r>
      <w:r>
        <w:rPr>
          <w:rFonts w:hint="eastAsia"/>
          <w:color w:val="auto"/>
          <w:highlight w:val="none"/>
          <w:u w:val="single"/>
          <w:lang w:val="en-US" w:eastAsia="zh-CN"/>
        </w:rPr>
        <w:t>2</w:t>
      </w:r>
      <w:r>
        <w:rPr>
          <w:rFonts w:hint="eastAsia"/>
          <w:color w:val="auto"/>
          <w:highlight w:val="none"/>
          <w:u w:val="single"/>
        </w:rPr>
        <w:t>】</w:t>
      </w:r>
      <w:r>
        <w:rPr>
          <w:rFonts w:hint="eastAsia"/>
          <w:color w:val="auto"/>
          <w:highlight w:val="none"/>
          <w:u w:val="single"/>
          <w:lang w:val="en-US" w:eastAsia="zh-CN"/>
        </w:rPr>
        <w:t>157</w:t>
      </w:r>
      <w:r>
        <w:rPr>
          <w:rFonts w:hint="eastAsia"/>
          <w:color w:val="auto"/>
          <w:highlight w:val="none"/>
          <w:u w:val="single"/>
        </w:rPr>
        <w:t>号</w:t>
      </w:r>
      <w:r>
        <w:rPr>
          <w:color w:val="auto"/>
          <w:highlight w:val="none"/>
        </w:rPr>
        <w:t>，项目业主为</w:t>
      </w:r>
      <w:r>
        <w:rPr>
          <w:rFonts w:hint="eastAsia"/>
          <w:color w:val="auto"/>
          <w:highlight w:val="none"/>
          <w:u w:val="single"/>
          <w:lang w:val="en-US" w:eastAsia="zh-CN"/>
        </w:rPr>
        <w:t xml:space="preserve">岳阳市审计局 </w:t>
      </w:r>
      <w:r>
        <w:rPr>
          <w:color w:val="auto"/>
          <w:highlight w:val="none"/>
        </w:rPr>
        <w:t>，主要建设内容</w:t>
      </w:r>
      <w:r>
        <w:rPr>
          <w:rFonts w:hint="eastAsia"/>
          <w:color w:val="auto"/>
          <w:highlight w:val="none"/>
          <w:lang w:val="en-US" w:eastAsia="zh-CN"/>
        </w:rPr>
        <w:t>为</w:t>
      </w:r>
      <w:r>
        <w:rPr>
          <w:rFonts w:hint="eastAsia" w:cs="Times New Roman"/>
          <w:color w:val="auto"/>
          <w:sz w:val="21"/>
          <w:szCs w:val="24"/>
          <w:highlight w:val="none"/>
          <w:u w:val="single"/>
          <w:lang w:val="en-US" w:eastAsia="zh-CN"/>
        </w:rPr>
        <w:t>岳阳市审计局家属院老旧小区改造配套基础设施建设项目</w:t>
      </w:r>
      <w:r>
        <w:rPr>
          <w:color w:val="auto"/>
          <w:highlight w:val="none"/>
        </w:rPr>
        <w:t>，项目</w:t>
      </w:r>
      <w:r>
        <w:rPr>
          <w:rFonts w:hint="eastAsia"/>
          <w:color w:val="auto"/>
          <w:highlight w:val="none"/>
          <w:lang w:eastAsia="zh-CN"/>
        </w:rPr>
        <w:t>概算</w:t>
      </w:r>
      <w:r>
        <w:rPr>
          <w:color w:val="auto"/>
          <w:highlight w:val="none"/>
        </w:rPr>
        <w:t>总投资为</w:t>
      </w:r>
      <w:r>
        <w:rPr>
          <w:rFonts w:hint="eastAsia"/>
          <w:color w:val="auto"/>
          <w:highlight w:val="none"/>
          <w:u w:val="single"/>
          <w:lang w:val="en-US" w:eastAsia="zh-CN"/>
        </w:rPr>
        <w:t>约922.61</w:t>
      </w:r>
      <w:r>
        <w:rPr>
          <w:rFonts w:hint="eastAsia"/>
          <w:color w:val="auto"/>
          <w:highlight w:val="none"/>
          <w:u w:val="single"/>
        </w:rPr>
        <w:t>万元</w:t>
      </w:r>
      <w:r>
        <w:rPr>
          <w:rFonts w:hint="eastAsia"/>
          <w:color w:val="auto"/>
          <w:highlight w:val="none"/>
          <w:u w:val="single"/>
          <w:lang w:eastAsia="zh-CN"/>
        </w:rPr>
        <w:t>（</w:t>
      </w:r>
      <w:r>
        <w:rPr>
          <w:rFonts w:hint="eastAsia"/>
          <w:color w:val="auto"/>
          <w:highlight w:val="none"/>
          <w:u w:val="single"/>
          <w:lang w:val="en-US" w:eastAsia="zh-CN"/>
        </w:rPr>
        <w:t>其中建安费为805.46万元</w:t>
      </w:r>
      <w:r>
        <w:rPr>
          <w:rFonts w:hint="eastAsia"/>
          <w:color w:val="auto"/>
          <w:highlight w:val="none"/>
          <w:u w:val="single"/>
          <w:lang w:eastAsia="zh-CN"/>
        </w:rPr>
        <w:t>）</w:t>
      </w:r>
      <w:r>
        <w:rPr>
          <w:rFonts w:hint="eastAsia"/>
          <w:color w:val="auto"/>
          <w:highlight w:val="none"/>
          <w:u w:val="single"/>
        </w:rPr>
        <w:t xml:space="preserve"> </w:t>
      </w:r>
      <w:r>
        <w:rPr>
          <w:color w:val="auto"/>
          <w:highlight w:val="none"/>
        </w:rPr>
        <w:t>，资金来源</w:t>
      </w:r>
      <w:r>
        <w:rPr>
          <w:rFonts w:hint="eastAsia"/>
          <w:color w:val="auto"/>
          <w:highlight w:val="none"/>
        </w:rPr>
        <w:t>和落实情况</w:t>
      </w:r>
      <w:r>
        <w:rPr>
          <w:rFonts w:hint="eastAsia"/>
          <w:color w:val="auto"/>
          <w:highlight w:val="none"/>
          <w:u w:val="single"/>
          <w:lang w:val="en-US" w:eastAsia="zh-CN"/>
        </w:rPr>
        <w:t>资金来源为中央资金 520 万元，其余资金自筹，资金已落实</w:t>
      </w:r>
      <w:r>
        <w:rPr>
          <w:color w:val="auto"/>
          <w:highlight w:val="none"/>
        </w:rPr>
        <w:t>。</w:t>
      </w:r>
    </w:p>
    <w:p>
      <w:pPr>
        <w:spacing w:line="360" w:lineRule="auto"/>
        <w:ind w:firstLine="420" w:firstLineChars="200"/>
        <w:rPr>
          <w:color w:val="auto"/>
          <w:sz w:val="21"/>
          <w:szCs w:val="21"/>
          <w:highlight w:val="none"/>
        </w:rPr>
      </w:pPr>
      <w:r>
        <w:rPr>
          <w:color w:val="auto"/>
          <w:sz w:val="21"/>
          <w:szCs w:val="21"/>
          <w:highlight w:val="none"/>
        </w:rPr>
        <w:t>1.2招标项目概况</w:t>
      </w:r>
    </w:p>
    <w:p>
      <w:pPr>
        <w:snapToGrid w:val="0"/>
        <w:spacing w:line="360" w:lineRule="auto"/>
        <w:ind w:firstLine="420" w:firstLineChars="200"/>
        <w:rPr>
          <w:color w:val="auto"/>
          <w:sz w:val="21"/>
          <w:szCs w:val="21"/>
          <w:highlight w:val="none"/>
        </w:rPr>
      </w:pPr>
      <w:r>
        <w:rPr>
          <w:color w:val="auto"/>
          <w:sz w:val="21"/>
          <w:szCs w:val="21"/>
          <w:highlight w:val="none"/>
        </w:rPr>
        <w:t>1.2.1  招标项目或标段（以下简称：招标项目）名称：</w:t>
      </w:r>
      <w:r>
        <w:rPr>
          <w:rFonts w:hint="eastAsia" w:cs="Times New Roman"/>
          <w:color w:val="auto"/>
          <w:sz w:val="21"/>
          <w:szCs w:val="24"/>
          <w:highlight w:val="none"/>
          <w:u w:val="single"/>
          <w:lang w:val="en-US" w:eastAsia="zh-CN"/>
        </w:rPr>
        <w:t>岳阳市审计局家属院老旧小区改造配套基础设施建设项目工程总承包</w:t>
      </w:r>
      <w:r>
        <w:rPr>
          <w:color w:val="auto"/>
          <w:sz w:val="21"/>
          <w:szCs w:val="21"/>
          <w:highlight w:val="none"/>
        </w:rPr>
        <w:t>；</w:t>
      </w:r>
    </w:p>
    <w:p>
      <w:pPr>
        <w:snapToGrid w:val="0"/>
        <w:spacing w:line="360" w:lineRule="auto"/>
        <w:ind w:firstLine="420" w:firstLineChars="200"/>
        <w:rPr>
          <w:color w:val="auto"/>
          <w:sz w:val="21"/>
          <w:szCs w:val="21"/>
          <w:highlight w:val="none"/>
        </w:rPr>
      </w:pPr>
      <w:r>
        <w:rPr>
          <w:color w:val="auto"/>
          <w:sz w:val="21"/>
          <w:szCs w:val="21"/>
          <w:highlight w:val="none"/>
        </w:rPr>
        <w:t>1.2.2  建设地点：</w:t>
      </w:r>
      <w:r>
        <w:rPr>
          <w:rFonts w:hint="eastAsia"/>
          <w:color w:val="auto"/>
          <w:szCs w:val="21"/>
          <w:highlight w:val="none"/>
          <w:u w:val="single"/>
          <w:lang w:val="en-US" w:eastAsia="zh-CN"/>
        </w:rPr>
        <w:t>项目</w:t>
      </w:r>
      <w:r>
        <w:rPr>
          <w:rFonts w:hint="eastAsia"/>
          <w:color w:val="auto"/>
          <w:szCs w:val="21"/>
          <w:highlight w:val="none"/>
          <w:u w:val="single"/>
        </w:rPr>
        <w:t>位于岳阳楼区炮台山路 80号岳阳市审计局家属院</w:t>
      </w:r>
      <w:r>
        <w:rPr>
          <w:color w:val="auto"/>
          <w:sz w:val="21"/>
          <w:szCs w:val="21"/>
          <w:highlight w:val="none"/>
        </w:rPr>
        <w:t>；</w:t>
      </w:r>
    </w:p>
    <w:p>
      <w:pPr>
        <w:snapToGrid w:val="0"/>
        <w:spacing w:line="360" w:lineRule="auto"/>
        <w:ind w:firstLine="420" w:firstLineChars="200"/>
        <w:rPr>
          <w:color w:val="auto"/>
          <w:sz w:val="21"/>
          <w:szCs w:val="21"/>
          <w:highlight w:val="none"/>
        </w:rPr>
      </w:pPr>
      <w:r>
        <w:rPr>
          <w:color w:val="auto"/>
          <w:sz w:val="21"/>
          <w:szCs w:val="21"/>
          <w:highlight w:val="none"/>
        </w:rPr>
        <w:t>1.2.3  项目基本情况</w:t>
      </w:r>
    </w:p>
    <w:p>
      <w:pPr>
        <w:snapToGrid w:val="0"/>
        <w:spacing w:before="0" w:line="360" w:lineRule="auto"/>
        <w:ind w:left="0" w:right="0" w:firstLine="420" w:firstLineChars="200"/>
        <w:rPr>
          <w:rFonts w:hint="eastAsia" w:ascii="Times New Roman" w:hAnsi="Times New Roman" w:eastAsia="宋体" w:cs="Times New Roman"/>
          <w:color w:val="auto"/>
          <w:sz w:val="21"/>
          <w:szCs w:val="24"/>
          <w:highlight w:val="none"/>
          <w:u w:val="single"/>
          <w:lang w:eastAsia="zh-CN"/>
        </w:rPr>
      </w:pPr>
      <w:r>
        <w:rPr>
          <w:rFonts w:hint="eastAsia"/>
          <w:color w:val="auto"/>
          <w:szCs w:val="21"/>
          <w:highlight w:val="none"/>
          <w:u w:val="single"/>
        </w:rPr>
        <w:t>岳阳市审计局家属院始建于2002年，现有多层建筑4栋</w:t>
      </w:r>
      <w:r>
        <w:rPr>
          <w:rFonts w:hint="eastAsia"/>
          <w:color w:val="auto"/>
          <w:szCs w:val="21"/>
          <w:highlight w:val="none"/>
          <w:u w:val="single"/>
          <w:lang w:eastAsia="zh-CN"/>
        </w:rPr>
        <w:t>（</w:t>
      </w:r>
      <w:r>
        <w:rPr>
          <w:rFonts w:hint="eastAsia"/>
          <w:color w:val="auto"/>
          <w:szCs w:val="21"/>
          <w:highlight w:val="none"/>
          <w:u w:val="single"/>
          <w:lang w:val="en-US" w:eastAsia="zh-CN"/>
        </w:rPr>
        <w:t>层数均为6层</w:t>
      </w:r>
      <w:r>
        <w:rPr>
          <w:rFonts w:hint="eastAsia"/>
          <w:color w:val="auto"/>
          <w:szCs w:val="21"/>
          <w:highlight w:val="none"/>
          <w:u w:val="single"/>
          <w:lang w:eastAsia="zh-CN"/>
        </w:rPr>
        <w:t>）</w:t>
      </w:r>
      <w:r>
        <w:rPr>
          <w:rFonts w:hint="eastAsia"/>
          <w:color w:val="auto"/>
          <w:szCs w:val="21"/>
          <w:highlight w:val="none"/>
          <w:u w:val="single"/>
        </w:rPr>
        <w:t>，共计约93户</w:t>
      </w:r>
      <w:r>
        <w:rPr>
          <w:rFonts w:hint="eastAsia"/>
          <w:color w:val="auto"/>
          <w:szCs w:val="21"/>
          <w:highlight w:val="none"/>
          <w:u w:val="single"/>
          <w:lang w:eastAsia="zh-CN"/>
        </w:rPr>
        <w:t>。</w:t>
      </w:r>
      <w:r>
        <w:rPr>
          <w:color w:val="auto"/>
          <w:highlight w:val="none"/>
          <w:u w:val="single"/>
        </w:rPr>
        <w:t>；</w:t>
      </w:r>
      <w:r>
        <w:rPr>
          <w:rFonts w:hint="eastAsia"/>
          <w:color w:val="auto"/>
          <w:szCs w:val="21"/>
          <w:highlight w:val="none"/>
          <w:u w:val="single"/>
        </w:rPr>
        <w:t>本项目建设内容为:供排水设施工程、弱电入地工程、道路设施工程、环卫设施、消防设施、供气设施、新增汽车充电桩、便民设施、环境景观整治特色风貌等。</w:t>
      </w:r>
      <w:r>
        <w:rPr>
          <w:rFonts w:hint="eastAsia" w:cs="Times New Roman"/>
          <w:color w:val="auto"/>
          <w:sz w:val="21"/>
          <w:szCs w:val="24"/>
          <w:highlight w:val="none"/>
          <w:u w:val="single"/>
          <w:lang w:eastAsia="zh-CN"/>
        </w:rPr>
        <w:t>（</w:t>
      </w:r>
      <w:r>
        <w:rPr>
          <w:rFonts w:hint="eastAsia" w:ascii="Times New Roman" w:hAnsi="Times New Roman" w:eastAsia="宋体" w:cs="Times New Roman"/>
          <w:color w:val="auto"/>
          <w:sz w:val="21"/>
          <w:szCs w:val="24"/>
          <w:highlight w:val="none"/>
          <w:u w:val="single"/>
        </w:rPr>
        <w:t>具体建设内容详见图纸及概算资料</w:t>
      </w:r>
      <w:r>
        <w:rPr>
          <w:rFonts w:hint="eastAsia" w:cs="Times New Roman"/>
          <w:color w:val="auto"/>
          <w:sz w:val="21"/>
          <w:szCs w:val="24"/>
          <w:highlight w:val="none"/>
          <w:u w:val="single"/>
          <w:lang w:eastAsia="zh-CN"/>
        </w:rPr>
        <w:t>）</w:t>
      </w:r>
    </w:p>
    <w:p>
      <w:pPr>
        <w:snapToGrid/>
        <w:spacing w:line="360" w:lineRule="auto"/>
        <w:ind w:firstLine="420" w:firstLineChars="200"/>
        <w:rPr>
          <w:rFonts w:hint="eastAsia"/>
          <w:color w:val="auto"/>
          <w:sz w:val="21"/>
          <w:szCs w:val="21"/>
          <w:highlight w:val="none"/>
          <w:u w:val="single"/>
          <w:lang w:val="en-US" w:eastAsia="zh-CN"/>
        </w:rPr>
      </w:pPr>
      <w:r>
        <w:rPr>
          <w:color w:val="auto"/>
          <w:sz w:val="21"/>
          <w:szCs w:val="21"/>
          <w:highlight w:val="none"/>
        </w:rPr>
        <w:t>1.</w:t>
      </w:r>
      <w:r>
        <w:rPr>
          <w:rFonts w:hint="eastAsia"/>
          <w:color w:val="auto"/>
          <w:sz w:val="21"/>
          <w:szCs w:val="21"/>
          <w:highlight w:val="none"/>
        </w:rPr>
        <w:t>3</w:t>
      </w:r>
      <w:r>
        <w:rPr>
          <w:color w:val="auto"/>
          <w:sz w:val="21"/>
          <w:szCs w:val="21"/>
          <w:highlight w:val="none"/>
        </w:rPr>
        <w:t xml:space="preserve"> 工期要求：</w:t>
      </w:r>
      <w:r>
        <w:rPr>
          <w:rFonts w:hint="eastAsia"/>
          <w:color w:val="auto"/>
          <w:sz w:val="21"/>
          <w:szCs w:val="21"/>
          <w:highlight w:val="none"/>
          <w:u w:val="single"/>
          <w:lang w:val="en-US" w:eastAsia="zh-CN"/>
        </w:rPr>
        <w:t xml:space="preserve">  150 日历天</w:t>
      </w:r>
      <w:r>
        <w:rPr>
          <w:rFonts w:hint="eastAsia"/>
          <w:color w:val="auto"/>
          <w:sz w:val="21"/>
          <w:szCs w:val="21"/>
          <w:highlight w:val="none"/>
          <w:u w:val="single"/>
          <w:lang w:val="en-US" w:eastAsia="zh-CN"/>
        </w:rPr>
        <w:sym w:font="Wingdings 2" w:char="0052"/>
      </w:r>
      <w:r>
        <w:rPr>
          <w:rFonts w:hint="eastAsia"/>
          <w:color w:val="auto"/>
          <w:sz w:val="21"/>
          <w:szCs w:val="21"/>
          <w:highlight w:val="none"/>
          <w:u w:val="single"/>
          <w:lang w:val="en-US" w:eastAsia="zh-CN"/>
        </w:rPr>
        <w:t>天□月□年（其中设计工期为30日历天，施工工期为120日历天）</w:t>
      </w:r>
    </w:p>
    <w:p>
      <w:pPr>
        <w:snapToGrid/>
        <w:spacing w:line="360" w:lineRule="auto"/>
        <w:ind w:firstLine="420" w:firstLineChars="200"/>
        <w:rPr>
          <w:rFonts w:hint="eastAsia" w:ascii="宋体" w:hAnsi="宋体" w:eastAsia="宋体" w:cs="宋体"/>
          <w:color w:val="auto"/>
          <w:sz w:val="21"/>
          <w:szCs w:val="21"/>
          <w:highlight w:val="none"/>
          <w:u w:val="single"/>
          <w:lang w:val="zh-TW" w:eastAsia="zh-CN"/>
        </w:rPr>
      </w:pPr>
      <w:r>
        <w:rPr>
          <w:rFonts w:hint="eastAsia"/>
          <w:color w:val="auto"/>
          <w:sz w:val="21"/>
          <w:szCs w:val="21"/>
          <w:highlight w:val="none"/>
        </w:rPr>
        <w:t>1.4 招标范围：</w:t>
      </w:r>
      <w:r>
        <w:rPr>
          <w:rFonts w:hint="eastAsia" w:ascii="宋体" w:hAnsi="宋体" w:eastAsia="宋体" w:cs="Times New Roman"/>
          <w:color w:val="auto"/>
          <w:highlight w:val="none"/>
          <w:u w:val="single"/>
          <w:lang w:val="en-US" w:eastAsia="zh-CN"/>
        </w:rPr>
        <w:t>本次招标范围主要为</w:t>
      </w:r>
      <w:r>
        <w:rPr>
          <w:rFonts w:hint="eastAsia" w:cs="Times New Roman"/>
          <w:color w:val="auto"/>
          <w:sz w:val="21"/>
          <w:szCs w:val="24"/>
          <w:highlight w:val="none"/>
          <w:u w:val="single"/>
          <w:lang w:val="en-US" w:eastAsia="zh-CN"/>
        </w:rPr>
        <w:t>岳阳市审计局家属院老旧小区改造配套基础设施建设项目工程总承包</w:t>
      </w:r>
      <w:r>
        <w:rPr>
          <w:rFonts w:hint="eastAsia" w:ascii="宋体" w:hAnsi="宋体" w:eastAsia="宋体" w:cs="Times New Roman"/>
          <w:color w:val="auto"/>
          <w:highlight w:val="none"/>
          <w:u w:val="single"/>
          <w:lang w:val="en-US" w:eastAsia="zh-CN"/>
        </w:rPr>
        <w:t>的</w:t>
      </w:r>
      <w:r>
        <w:rPr>
          <w:rFonts w:hint="eastAsia" w:ascii="宋体" w:hAnsi="宋体" w:eastAsia="宋体" w:cs="Times New Roman"/>
          <w:color w:val="auto"/>
          <w:highlight w:val="none"/>
          <w:u w:val="single"/>
        </w:rPr>
        <w:t>施</w:t>
      </w:r>
      <w:r>
        <w:rPr>
          <w:rFonts w:ascii="宋体" w:hAnsi="宋体"/>
          <w:color w:val="auto"/>
          <w:highlight w:val="none"/>
          <w:u w:val="single"/>
        </w:rPr>
        <w:t>工图</w:t>
      </w:r>
      <w:r>
        <w:rPr>
          <w:rFonts w:hint="eastAsia" w:ascii="宋体" w:hAnsi="宋体"/>
          <w:color w:val="auto"/>
          <w:highlight w:val="none"/>
          <w:u w:val="single"/>
          <w:lang w:val="en-US" w:eastAsia="zh-CN"/>
        </w:rPr>
        <w:t>设计、</w:t>
      </w:r>
      <w:r>
        <w:rPr>
          <w:rFonts w:ascii="宋体" w:hAnsi="宋体"/>
          <w:color w:val="auto"/>
          <w:highlight w:val="none"/>
          <w:u w:val="single"/>
        </w:rPr>
        <w:t>预算编制</w:t>
      </w:r>
      <w:r>
        <w:rPr>
          <w:rFonts w:hint="eastAsia" w:ascii="宋体" w:hAnsi="宋体"/>
          <w:color w:val="auto"/>
          <w:highlight w:val="none"/>
          <w:u w:val="single"/>
          <w:lang w:val="en-US" w:eastAsia="zh-CN"/>
        </w:rPr>
        <w:t>及本项目</w:t>
      </w:r>
      <w:r>
        <w:rPr>
          <w:rFonts w:hint="eastAsia" w:ascii="宋体" w:hAnsi="宋体"/>
          <w:color w:val="auto"/>
          <w:highlight w:val="none"/>
          <w:u w:val="single"/>
        </w:rPr>
        <w:t>设计施工图范围内的全部工程</w:t>
      </w:r>
      <w:r>
        <w:rPr>
          <w:rFonts w:hint="eastAsia" w:ascii="宋体" w:hAnsi="宋体"/>
          <w:color w:val="auto"/>
          <w:highlight w:val="none"/>
          <w:u w:val="single"/>
          <w:lang w:eastAsia="zh-CN"/>
        </w:rPr>
        <w:t>。</w:t>
      </w:r>
      <w:r>
        <w:rPr>
          <w:rFonts w:ascii="宋体" w:hAnsi="宋体"/>
          <w:color w:val="auto"/>
          <w:highlight w:val="none"/>
          <w:u w:val="single"/>
        </w:rPr>
        <w:t>（</w:t>
      </w:r>
      <w:r>
        <w:rPr>
          <w:rFonts w:hint="eastAsia" w:ascii="宋体" w:hAnsi="宋体"/>
          <w:color w:val="auto"/>
          <w:highlight w:val="none"/>
          <w:u w:val="single"/>
          <w:lang w:eastAsia="zh-CN"/>
        </w:rPr>
        <w:t>注：</w:t>
      </w:r>
      <w:r>
        <w:rPr>
          <w:rFonts w:ascii="宋体" w:hAnsi="宋体"/>
          <w:color w:val="auto"/>
          <w:highlight w:val="none"/>
          <w:u w:val="single"/>
        </w:rPr>
        <w:t>具体</w:t>
      </w:r>
      <w:r>
        <w:rPr>
          <w:rFonts w:hint="eastAsia" w:ascii="宋体" w:hAnsi="宋体"/>
          <w:color w:val="auto"/>
          <w:highlight w:val="none"/>
          <w:u w:val="single"/>
          <w:lang w:val="en-US" w:eastAsia="zh-CN"/>
        </w:rPr>
        <w:t>详见</w:t>
      </w:r>
      <w:r>
        <w:rPr>
          <w:rFonts w:hint="eastAsia" w:ascii="Times New Roman" w:hAnsi="Times New Roman" w:eastAsia="宋体" w:cs="Times New Roman"/>
          <w:color w:val="auto"/>
          <w:spacing w:val="0"/>
          <w:sz w:val="21"/>
          <w:szCs w:val="24"/>
          <w:highlight w:val="none"/>
          <w:u w:val="single"/>
          <w:lang w:val="en-US" w:eastAsia="zh-CN"/>
        </w:rPr>
        <w:t>概算清单，最终</w:t>
      </w:r>
      <w:r>
        <w:rPr>
          <w:rFonts w:ascii="宋体" w:hAnsi="宋体"/>
          <w:color w:val="auto"/>
          <w:highlight w:val="none"/>
          <w:u w:val="single"/>
        </w:rPr>
        <w:t>以招标人按程序组织审定的施工图和工程量清单为准）</w:t>
      </w:r>
      <w:r>
        <w:rPr>
          <w:rFonts w:hint="eastAsia" w:cs="Times New Roman"/>
          <w:color w:val="auto"/>
          <w:highlight w:val="none"/>
          <w:u w:val="single"/>
          <w:lang w:eastAsia="zh-CN"/>
        </w:rPr>
        <w:t>。</w:t>
      </w:r>
    </w:p>
    <w:p>
      <w:pPr>
        <w:snapToGrid w:val="0"/>
        <w:spacing w:line="360" w:lineRule="auto"/>
        <w:ind w:firstLine="420" w:firstLineChars="200"/>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none"/>
        </w:rPr>
        <w:t>1.5质量要求：</w:t>
      </w:r>
      <w:r>
        <w:rPr>
          <w:rFonts w:hint="default" w:ascii="Times New Roman" w:hAnsi="Times New Roman" w:eastAsia="宋体" w:cs="Times New Roman"/>
          <w:color w:val="auto"/>
          <w:sz w:val="21"/>
          <w:szCs w:val="21"/>
          <w:highlight w:val="none"/>
          <w:u w:val="single"/>
          <w:lang w:val="zh-TW"/>
        </w:rPr>
        <w:t>设计要求的质量标准：</w:t>
      </w:r>
      <w:r>
        <w:rPr>
          <w:rFonts w:hint="eastAsia" w:ascii="Times New Roman" w:hAnsi="Times New Roman" w:eastAsia="宋体" w:cs="Times New Roman"/>
          <w:color w:val="auto"/>
          <w:sz w:val="21"/>
          <w:szCs w:val="21"/>
          <w:highlight w:val="none"/>
          <w:u w:val="single"/>
          <w:lang w:eastAsia="zh-CN"/>
        </w:rPr>
        <w:t>必须满足国家、省、市、行业规范及本项目建设单位要求，并进行限额设计,确保施工图预算不超中标合同上限价</w:t>
      </w:r>
      <w:r>
        <w:rPr>
          <w:rFonts w:hint="eastAsia" w:ascii="Times New Roman" w:hAnsi="Times New Roman" w:eastAsia="宋体" w:cs="Times New Roman"/>
          <w:color w:val="auto"/>
          <w:sz w:val="21"/>
          <w:szCs w:val="21"/>
          <w:highlight w:val="none"/>
          <w:u w:val="single"/>
          <w:lang w:val="en-US" w:eastAsia="zh-CN"/>
        </w:rPr>
        <w:t>；</w:t>
      </w:r>
    </w:p>
    <w:p>
      <w:pPr>
        <w:snapToGrid w:val="0"/>
        <w:spacing w:line="360" w:lineRule="auto"/>
        <w:ind w:firstLine="420" w:firstLineChars="20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rPr>
        <w:t>施工质量标准：</w:t>
      </w:r>
      <w:r>
        <w:rPr>
          <w:rFonts w:hint="default" w:ascii="Times New Roman" w:hAnsi="Times New Roman" w:eastAsia="宋体" w:cs="Times New Roman"/>
          <w:color w:val="auto"/>
          <w:sz w:val="21"/>
          <w:szCs w:val="21"/>
          <w:highlight w:val="none"/>
          <w:u w:val="single"/>
        </w:rPr>
        <w:t>达到《建设工程施工质量验收统一标准》及国家颁布的施工验收规范和质量检验标准，全部工程达到合格标准；</w:t>
      </w:r>
    </w:p>
    <w:p>
      <w:pPr>
        <w:snapToGrid w:val="0"/>
        <w:spacing w:line="360" w:lineRule="auto"/>
        <w:ind w:firstLine="420" w:firstLineChars="200"/>
        <w:rPr>
          <w:rFonts w:hint="eastAsia" w:eastAsia="宋体"/>
          <w:sz w:val="21"/>
          <w:szCs w:val="21"/>
          <w:lang w:eastAsia="zh-CN"/>
        </w:rPr>
      </w:pPr>
      <w:r>
        <w:rPr>
          <w:rFonts w:hint="default" w:ascii="Times New Roman" w:hAnsi="Times New Roman" w:eastAsia="宋体" w:cs="Times New Roman"/>
          <w:color w:val="auto"/>
          <w:sz w:val="21"/>
          <w:szCs w:val="21"/>
          <w:highlight w:val="none"/>
          <w:u w:val="none"/>
        </w:rPr>
        <w:t>设备及材料采购部分质量标准：</w:t>
      </w:r>
      <w:r>
        <w:rPr>
          <w:rFonts w:hint="default" w:ascii="Times New Roman" w:hAnsi="Times New Roman" w:eastAsia="宋体" w:cs="Times New Roman"/>
          <w:color w:val="auto"/>
          <w:sz w:val="21"/>
          <w:szCs w:val="21"/>
          <w:highlight w:val="none"/>
          <w:u w:val="single"/>
        </w:rPr>
        <w:t>设备质量符合国家、行业及地方现行相关法律法规、规范及技术标准并满足本项目的要求</w:t>
      </w:r>
      <w:r>
        <w:rPr>
          <w:rFonts w:hint="eastAsia" w:cs="Times New Roman"/>
          <w:color w:val="auto"/>
          <w:sz w:val="21"/>
          <w:szCs w:val="21"/>
          <w:highlight w:val="none"/>
          <w:u w:val="single"/>
          <w:lang w:eastAsia="zh-CN"/>
        </w:rPr>
        <w:t>；</w:t>
      </w:r>
    </w:p>
    <w:p>
      <w:pPr>
        <w:snapToGrid w:val="0"/>
        <w:spacing w:line="360" w:lineRule="auto"/>
        <w:ind w:firstLine="420" w:firstLineChars="20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1.6保修要求：按建设部【2000】年80号令保修；</w:t>
      </w:r>
    </w:p>
    <w:p>
      <w:pPr>
        <w:snapToGrid w:val="0"/>
        <w:spacing w:line="360" w:lineRule="auto"/>
        <w:ind w:firstLine="420" w:firstLineChars="20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1.7缺陷责任期：</w:t>
      </w:r>
      <w:r>
        <w:rPr>
          <w:rFonts w:hint="eastAsia" w:cs="Times New Roman"/>
          <w:color w:val="auto"/>
          <w:sz w:val="21"/>
          <w:szCs w:val="21"/>
          <w:highlight w:val="none"/>
          <w:u w:val="single"/>
          <w:lang w:val="en-US" w:eastAsia="zh-CN"/>
        </w:rPr>
        <w:t>24</w:t>
      </w:r>
      <w:r>
        <w:rPr>
          <w:rFonts w:hint="default" w:ascii="Times New Roman" w:hAnsi="Times New Roman" w:eastAsia="宋体" w:cs="Times New Roman"/>
          <w:color w:val="auto"/>
          <w:sz w:val="21"/>
          <w:szCs w:val="21"/>
          <w:highlight w:val="none"/>
          <w:u w:val="single"/>
        </w:rPr>
        <w:t xml:space="preserve">个月； </w:t>
      </w:r>
    </w:p>
    <w:p>
      <w:pPr>
        <w:snapToGrid w:val="0"/>
        <w:spacing w:line="360" w:lineRule="auto"/>
        <w:ind w:firstLine="420" w:firstLineChars="200"/>
        <w:rPr>
          <w:rFonts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1.8标段划分：</w:t>
      </w:r>
      <w:r>
        <w:rPr>
          <w:rFonts w:hint="eastAsia" w:ascii="Times New Roman" w:hAnsi="Times New Roman" w:eastAsia="宋体" w:cs="Times New Roman"/>
          <w:color w:val="auto"/>
          <w:sz w:val="21"/>
          <w:szCs w:val="21"/>
          <w:highlight w:val="none"/>
          <w:u w:val="single"/>
          <w:lang w:val="en-US" w:eastAsia="zh-CN"/>
        </w:rPr>
        <w:t>一个标段</w:t>
      </w:r>
      <w:r>
        <w:rPr>
          <w:rFonts w:hint="default" w:ascii="Times New Roman" w:hAnsi="Times New Roman" w:eastAsia="宋体" w:cs="Times New Roman"/>
          <w:color w:val="auto"/>
          <w:sz w:val="21"/>
          <w:szCs w:val="21"/>
          <w:highlight w:val="none"/>
          <w:u w:val="single"/>
        </w:rPr>
        <w:t>。</w:t>
      </w:r>
    </w:p>
    <w:p>
      <w:pPr>
        <w:pStyle w:val="6"/>
        <w:spacing w:before="0" w:after="0" w:line="360" w:lineRule="auto"/>
        <w:ind w:firstLine="420" w:firstLineChars="200"/>
        <w:rPr>
          <w:rFonts w:hint="eastAsia" w:ascii="Times New Roman" w:hAnsi="Times New Roman" w:eastAsia="黑体"/>
          <w:b w:val="0"/>
          <w:bCs w:val="0"/>
          <w:color w:val="auto"/>
          <w:sz w:val="21"/>
          <w:szCs w:val="21"/>
          <w:highlight w:val="none"/>
        </w:rPr>
      </w:pPr>
      <w:bookmarkStart w:id="11" w:name="_Toc300677963"/>
      <w:bookmarkStart w:id="12" w:name="_Toc69199888"/>
      <w:bookmarkStart w:id="13" w:name="_Toc9178496"/>
      <w:bookmarkStart w:id="14" w:name="_Toc8253"/>
      <w:r>
        <w:rPr>
          <w:rFonts w:ascii="Times New Roman" w:hAnsi="Times New Roman" w:eastAsia="黑体"/>
          <w:b w:val="0"/>
          <w:bCs w:val="0"/>
          <w:color w:val="auto"/>
          <w:sz w:val="21"/>
          <w:szCs w:val="21"/>
          <w:highlight w:val="none"/>
        </w:rPr>
        <w:t>2.资格要求</w:t>
      </w:r>
      <w:bookmarkEnd w:id="11"/>
      <w:bookmarkEnd w:id="12"/>
      <w:bookmarkEnd w:id="13"/>
      <w:bookmarkEnd w:id="14"/>
    </w:p>
    <w:p>
      <w:pPr>
        <w:spacing w:line="360" w:lineRule="auto"/>
        <w:ind w:firstLine="420" w:firstLineChars="200"/>
        <w:rPr>
          <w:color w:val="auto"/>
          <w:sz w:val="21"/>
          <w:szCs w:val="21"/>
          <w:highlight w:val="none"/>
        </w:rPr>
      </w:pPr>
      <w:r>
        <w:rPr>
          <w:color w:val="auto"/>
          <w:sz w:val="21"/>
          <w:szCs w:val="21"/>
          <w:highlight w:val="none"/>
        </w:rPr>
        <w:t>2.1  具有独立法人资格并依法取得企业营业执照，营业执照处于有效期；</w:t>
      </w:r>
    </w:p>
    <w:p>
      <w:pPr>
        <w:spacing w:line="360" w:lineRule="auto"/>
        <w:ind w:firstLine="420" w:firstLineChars="200"/>
        <w:rPr>
          <w:rFonts w:hint="eastAsia"/>
          <w:color w:val="auto"/>
          <w:sz w:val="21"/>
          <w:szCs w:val="21"/>
          <w:highlight w:val="none"/>
        </w:rPr>
      </w:pPr>
      <w:r>
        <w:rPr>
          <w:color w:val="auto"/>
          <w:sz w:val="21"/>
          <w:szCs w:val="21"/>
          <w:highlight w:val="none"/>
        </w:rPr>
        <w:t xml:space="preserve">2.2  </w:t>
      </w:r>
      <w:r>
        <w:rPr>
          <w:rFonts w:hint="eastAsia"/>
          <w:color w:val="auto"/>
          <w:sz w:val="21"/>
          <w:szCs w:val="21"/>
          <w:highlight w:val="none"/>
        </w:rPr>
        <w:t>须同时具备以下资质，资质证书处于有效期内：</w:t>
      </w:r>
    </w:p>
    <w:p>
      <w:pPr>
        <w:spacing w:line="360" w:lineRule="auto"/>
        <w:ind w:firstLine="420" w:firstLineChars="200"/>
        <w:rPr>
          <w:rFonts w:hint="eastAsia"/>
          <w:color w:val="auto"/>
          <w:sz w:val="21"/>
          <w:szCs w:val="21"/>
          <w:highlight w:val="none"/>
        </w:rPr>
      </w:pPr>
      <w:r>
        <w:rPr>
          <w:rFonts w:hint="eastAsia"/>
          <w:color w:val="auto"/>
          <w:sz w:val="21"/>
          <w:szCs w:val="21"/>
          <w:highlight w:val="none"/>
        </w:rPr>
        <w:t>（1）施工资质：</w:t>
      </w:r>
      <w:r>
        <w:rPr>
          <w:color w:val="auto"/>
          <w:sz w:val="21"/>
          <w:szCs w:val="21"/>
          <w:highlight w:val="none"/>
        </w:rPr>
        <w:t>具备</w:t>
      </w:r>
      <w:r>
        <w:rPr>
          <w:rFonts w:hint="eastAsia"/>
          <w:color w:val="auto"/>
          <w:sz w:val="21"/>
          <w:szCs w:val="21"/>
          <w:highlight w:val="none"/>
        </w:rPr>
        <w:t>住房城乡</w:t>
      </w:r>
      <w:r>
        <w:rPr>
          <w:color w:val="auto"/>
          <w:sz w:val="21"/>
          <w:szCs w:val="21"/>
          <w:highlight w:val="none"/>
        </w:rPr>
        <w:t>建设主管部门颁发的</w:t>
      </w:r>
      <w:r>
        <w:rPr>
          <w:rFonts w:hint="eastAsia" w:ascii="Times New Roman" w:hAnsi="Times New Roman" w:eastAsia="宋体" w:cs="Times New Roman"/>
          <w:color w:val="auto"/>
          <w:sz w:val="21"/>
          <w:szCs w:val="21"/>
          <w:highlight w:val="none"/>
          <w:u w:val="single"/>
        </w:rPr>
        <w:t>建筑工程施工总承包</w:t>
      </w:r>
      <w:r>
        <w:rPr>
          <w:rFonts w:hint="eastAsia" w:ascii="Times New Roman" w:hAnsi="Times New Roman" w:eastAsia="宋体" w:cs="Times New Roman"/>
          <w:color w:val="auto"/>
          <w:sz w:val="21"/>
          <w:szCs w:val="21"/>
          <w:highlight w:val="none"/>
          <w:u w:val="single"/>
          <w:lang w:val="en-US" w:eastAsia="zh-CN"/>
        </w:rPr>
        <w:t>三级及以上</w:t>
      </w:r>
      <w:r>
        <w:rPr>
          <w:color w:val="auto"/>
          <w:sz w:val="21"/>
          <w:szCs w:val="21"/>
          <w:highlight w:val="none"/>
        </w:rPr>
        <w:t>资质，</w:t>
      </w:r>
      <w:r>
        <w:rPr>
          <w:color w:val="auto"/>
          <w:sz w:val="21"/>
          <w:szCs w:val="21"/>
          <w:highlight w:val="none"/>
          <w:u w:val="single"/>
        </w:rPr>
        <w:t>安全生产许可证处于有效期</w:t>
      </w:r>
      <w:r>
        <w:rPr>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（2）设计资质：具备住房城乡</w:t>
      </w:r>
      <w:r>
        <w:rPr>
          <w:color w:val="auto"/>
          <w:sz w:val="21"/>
          <w:szCs w:val="21"/>
          <w:highlight w:val="none"/>
        </w:rPr>
        <w:t>建设主管部门颁发的</w:t>
      </w:r>
      <w:r>
        <w:rPr>
          <w:rFonts w:hint="default" w:ascii="Times New Roman" w:hAnsi="Times New Roman" w:eastAsia="宋体" w:cs="Times New Roman"/>
          <w:b w:val="0"/>
          <w:bCs w:val="0"/>
          <w:color w:val="auto"/>
          <w:sz w:val="21"/>
          <w:szCs w:val="21"/>
          <w:highlight w:val="none"/>
          <w:u w:val="single"/>
          <w:lang w:val="en-US" w:eastAsia="zh-CN"/>
        </w:rPr>
        <w:t>工程设计综合甲级资质或建筑工程设计行业丙级及以上或建筑工程设计专业丙级及以上</w:t>
      </w:r>
      <w:r>
        <w:rPr>
          <w:rFonts w:hint="eastAsia"/>
          <w:color w:val="auto"/>
          <w:sz w:val="21"/>
          <w:szCs w:val="21"/>
          <w:highlight w:val="none"/>
        </w:rPr>
        <w:t>资质。</w:t>
      </w:r>
    </w:p>
    <w:p>
      <w:pPr>
        <w:spacing w:line="360" w:lineRule="auto"/>
        <w:ind w:firstLine="420" w:firstLineChars="200"/>
        <w:rPr>
          <w:rFonts w:hint="eastAsia"/>
          <w:color w:val="auto"/>
          <w:sz w:val="21"/>
          <w:szCs w:val="21"/>
          <w:highlight w:val="none"/>
        </w:rPr>
      </w:pPr>
      <w:r>
        <w:rPr>
          <w:color w:val="auto"/>
          <w:sz w:val="21"/>
          <w:szCs w:val="21"/>
          <w:highlight w:val="none"/>
        </w:rPr>
        <w:t>2.3  拟任</w:t>
      </w:r>
      <w:r>
        <w:rPr>
          <w:rFonts w:hint="eastAsia"/>
          <w:color w:val="auto"/>
          <w:sz w:val="21"/>
          <w:szCs w:val="21"/>
          <w:highlight w:val="none"/>
        </w:rPr>
        <w:t>工程总承包项目负责人</w:t>
      </w:r>
      <w:r>
        <w:rPr>
          <w:color w:val="auto"/>
          <w:sz w:val="21"/>
          <w:szCs w:val="21"/>
          <w:highlight w:val="none"/>
        </w:rPr>
        <w:t>具备</w:t>
      </w:r>
      <w:r>
        <w:rPr>
          <w:rFonts w:hint="eastAsia"/>
          <w:color w:val="auto"/>
          <w:sz w:val="21"/>
          <w:szCs w:val="21"/>
          <w:highlight w:val="none"/>
          <w:u w:val="single"/>
        </w:rPr>
        <w:t>建筑工程</w:t>
      </w:r>
      <w:r>
        <w:rPr>
          <w:rFonts w:hint="eastAsia"/>
          <w:color w:val="auto"/>
          <w:sz w:val="21"/>
          <w:szCs w:val="21"/>
          <w:highlight w:val="none"/>
          <w:u w:val="single"/>
          <w:lang w:eastAsia="zh-CN"/>
        </w:rPr>
        <w:t>专业</w:t>
      </w:r>
      <w:r>
        <w:rPr>
          <w:rFonts w:hint="eastAsia"/>
          <w:b w:val="0"/>
          <w:bCs w:val="0"/>
          <w:color w:val="auto"/>
          <w:sz w:val="21"/>
          <w:szCs w:val="21"/>
          <w:highlight w:val="none"/>
          <w:u w:val="single"/>
          <w:lang w:val="en-US" w:eastAsia="zh-CN"/>
        </w:rPr>
        <w:t>贰</w:t>
      </w:r>
      <w:r>
        <w:rPr>
          <w:rFonts w:hint="eastAsia"/>
          <w:b w:val="0"/>
          <w:bCs w:val="0"/>
          <w:color w:val="auto"/>
          <w:sz w:val="21"/>
          <w:szCs w:val="21"/>
          <w:highlight w:val="none"/>
          <w:u w:val="single"/>
        </w:rPr>
        <w:t>级</w:t>
      </w:r>
      <w:r>
        <w:rPr>
          <w:rFonts w:hint="eastAsia"/>
          <w:color w:val="auto"/>
          <w:sz w:val="21"/>
          <w:szCs w:val="21"/>
          <w:highlight w:val="none"/>
          <w:u w:val="single"/>
          <w:lang w:val="en-US" w:eastAsia="zh-CN"/>
        </w:rPr>
        <w:t>及以上注册</w:t>
      </w:r>
      <w:r>
        <w:rPr>
          <w:rFonts w:hint="eastAsia"/>
          <w:color w:val="auto"/>
          <w:sz w:val="21"/>
          <w:szCs w:val="21"/>
          <w:highlight w:val="none"/>
          <w:u w:val="single"/>
          <w:lang w:eastAsia="zh-CN"/>
        </w:rPr>
        <w:t>建造师资格</w:t>
      </w:r>
      <w:r>
        <w:rPr>
          <w:rFonts w:hint="eastAsia"/>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rPr>
        <w:t>2.4</w:t>
      </w:r>
      <w:r>
        <w:rPr>
          <w:color w:val="auto"/>
          <w:sz w:val="21"/>
          <w:szCs w:val="21"/>
          <w:highlight w:val="none"/>
        </w:rPr>
        <w:t xml:space="preserve">  </w:t>
      </w:r>
      <w:r>
        <w:rPr>
          <w:rFonts w:hint="eastAsia"/>
          <w:color w:val="auto"/>
          <w:sz w:val="21"/>
          <w:szCs w:val="21"/>
          <w:highlight w:val="none"/>
        </w:rPr>
        <w:t>拟任施工项目负责人</w:t>
      </w:r>
      <w:r>
        <w:rPr>
          <w:color w:val="auto"/>
          <w:sz w:val="21"/>
          <w:szCs w:val="21"/>
          <w:highlight w:val="none"/>
        </w:rPr>
        <w:t>具备</w:t>
      </w:r>
      <w:r>
        <w:rPr>
          <w:rFonts w:hint="eastAsia"/>
          <w:color w:val="auto"/>
          <w:sz w:val="21"/>
          <w:szCs w:val="21"/>
          <w:highlight w:val="none"/>
          <w:u w:val="single"/>
        </w:rPr>
        <w:t>建筑工程</w:t>
      </w:r>
      <w:r>
        <w:rPr>
          <w:color w:val="auto"/>
          <w:sz w:val="21"/>
          <w:szCs w:val="21"/>
          <w:highlight w:val="none"/>
        </w:rPr>
        <w:t>专业</w:t>
      </w:r>
      <w:r>
        <w:rPr>
          <w:rFonts w:hint="eastAsia"/>
          <w:color w:val="auto"/>
          <w:sz w:val="21"/>
          <w:szCs w:val="21"/>
          <w:highlight w:val="none"/>
          <w:u w:val="single"/>
        </w:rPr>
        <w:t>贰级及以上注册建造师</w:t>
      </w:r>
      <w:r>
        <w:rPr>
          <w:color w:val="auto"/>
          <w:sz w:val="21"/>
          <w:szCs w:val="21"/>
          <w:highlight w:val="none"/>
        </w:rPr>
        <w:t>资格</w:t>
      </w:r>
      <w:r>
        <w:rPr>
          <w:rFonts w:hint="eastAsia"/>
          <w:color w:val="auto"/>
          <w:sz w:val="21"/>
          <w:szCs w:val="21"/>
          <w:highlight w:val="none"/>
        </w:rPr>
        <w:t>，</w:t>
      </w:r>
      <w:r>
        <w:rPr>
          <w:color w:val="auto"/>
          <w:sz w:val="21"/>
          <w:szCs w:val="21"/>
          <w:highlight w:val="none"/>
        </w:rPr>
        <w:t>具备项目负责人安全生产考核合格证书；</w:t>
      </w:r>
    </w:p>
    <w:p>
      <w:pPr>
        <w:spacing w:line="360" w:lineRule="auto"/>
        <w:ind w:firstLine="420" w:firstLineChars="200"/>
        <w:rPr>
          <w:rFonts w:hint="eastAsia"/>
          <w:color w:val="auto"/>
          <w:sz w:val="21"/>
          <w:szCs w:val="21"/>
          <w:highlight w:val="none"/>
        </w:rPr>
      </w:pPr>
      <w:r>
        <w:rPr>
          <w:color w:val="auto"/>
          <w:sz w:val="21"/>
          <w:szCs w:val="21"/>
          <w:highlight w:val="none"/>
        </w:rPr>
        <w:t>2.</w:t>
      </w:r>
      <w:r>
        <w:rPr>
          <w:rFonts w:hint="eastAsia"/>
          <w:color w:val="auto"/>
          <w:sz w:val="21"/>
          <w:szCs w:val="21"/>
          <w:highlight w:val="none"/>
        </w:rPr>
        <w:t>5  拟任设计项目</w:t>
      </w:r>
      <w:r>
        <w:rPr>
          <w:color w:val="auto"/>
          <w:sz w:val="21"/>
          <w:szCs w:val="21"/>
          <w:highlight w:val="none"/>
        </w:rPr>
        <w:t>负责人具备</w:t>
      </w:r>
      <w:r>
        <w:rPr>
          <w:color w:val="auto"/>
          <w:sz w:val="21"/>
          <w:szCs w:val="21"/>
          <w:highlight w:val="none"/>
          <w:u w:val="single"/>
        </w:rPr>
        <w:t xml:space="preserve"> </w:t>
      </w:r>
      <w:r>
        <w:rPr>
          <w:rFonts w:hint="eastAsia"/>
          <w:color w:val="auto"/>
          <w:sz w:val="21"/>
          <w:szCs w:val="21"/>
          <w:highlight w:val="none"/>
          <w:u w:val="single"/>
          <w:lang w:val="en-US" w:eastAsia="zh-CN"/>
        </w:rPr>
        <w:t>/</w:t>
      </w:r>
      <w:r>
        <w:rPr>
          <w:color w:val="auto"/>
          <w:sz w:val="21"/>
          <w:szCs w:val="21"/>
          <w:highlight w:val="none"/>
          <w:u w:val="single"/>
        </w:rPr>
        <w:t xml:space="preserve">  </w:t>
      </w:r>
      <w:r>
        <w:rPr>
          <w:color w:val="auto"/>
          <w:sz w:val="21"/>
          <w:szCs w:val="21"/>
          <w:highlight w:val="none"/>
        </w:rPr>
        <w:t>专业</w:t>
      </w:r>
      <w:r>
        <w:rPr>
          <w:rFonts w:hint="eastAsia"/>
          <w:color w:val="auto"/>
          <w:sz w:val="21"/>
          <w:szCs w:val="21"/>
          <w:highlight w:val="none"/>
          <w:u w:val="single"/>
          <w:lang w:val="en-US" w:eastAsia="zh-CN"/>
        </w:rPr>
        <w:t>贰</w:t>
      </w:r>
      <w:r>
        <w:rPr>
          <w:rFonts w:hint="eastAsia"/>
          <w:color w:val="auto"/>
          <w:sz w:val="21"/>
          <w:szCs w:val="21"/>
          <w:highlight w:val="none"/>
          <w:u w:val="single"/>
        </w:rPr>
        <w:t>级</w:t>
      </w:r>
      <w:r>
        <w:rPr>
          <w:rFonts w:hint="eastAsia"/>
          <w:color w:val="auto"/>
          <w:sz w:val="21"/>
          <w:szCs w:val="21"/>
          <w:highlight w:val="none"/>
          <w:u w:val="single"/>
          <w:lang w:val="en-US" w:eastAsia="zh-CN"/>
        </w:rPr>
        <w:t>及以上</w:t>
      </w:r>
      <w:r>
        <w:rPr>
          <w:rFonts w:hint="eastAsia"/>
          <w:color w:val="auto"/>
          <w:sz w:val="21"/>
          <w:szCs w:val="21"/>
          <w:highlight w:val="none"/>
          <w:u w:val="single"/>
        </w:rPr>
        <w:t>注册建筑师</w:t>
      </w:r>
      <w:r>
        <w:rPr>
          <w:color w:val="auto"/>
          <w:sz w:val="21"/>
          <w:szCs w:val="21"/>
          <w:highlight w:val="none"/>
          <w:u w:val="single"/>
        </w:rPr>
        <w:t xml:space="preserve"> </w:t>
      </w:r>
      <w:r>
        <w:rPr>
          <w:rFonts w:hint="eastAsia" w:ascii="Calibri" w:hAnsi="Calibri" w:cs="Calibri"/>
          <w:color w:val="auto"/>
          <w:sz w:val="21"/>
          <w:szCs w:val="21"/>
          <w:highlight w:val="none"/>
        </w:rPr>
        <w:sym w:font="Wingdings 2" w:char="0052"/>
      </w:r>
      <w:r>
        <w:rPr>
          <w:color w:val="auto"/>
          <w:sz w:val="21"/>
          <w:szCs w:val="21"/>
          <w:highlight w:val="none"/>
        </w:rPr>
        <w:t>资格</w:t>
      </w:r>
      <w:r>
        <w:rPr>
          <w:rFonts w:hint="eastAsia" w:ascii="宋体" w:hAnsi="宋体"/>
          <w:color w:val="auto"/>
          <w:sz w:val="21"/>
          <w:szCs w:val="21"/>
          <w:highlight w:val="none"/>
        </w:rPr>
        <w:sym w:font="Wingdings 2" w:char="00A3"/>
      </w:r>
      <w:r>
        <w:rPr>
          <w:rFonts w:hint="eastAsia"/>
          <w:color w:val="auto"/>
          <w:sz w:val="21"/>
          <w:szCs w:val="21"/>
          <w:highlight w:val="none"/>
        </w:rPr>
        <w:t>职称</w:t>
      </w:r>
      <w:r>
        <w:rPr>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6</w:t>
      </w:r>
      <w:r>
        <w:rPr>
          <w:color w:val="auto"/>
          <w:sz w:val="21"/>
          <w:szCs w:val="21"/>
          <w:highlight w:val="none"/>
        </w:rPr>
        <w:t xml:space="preserve">  本次招标</w:t>
      </w:r>
      <w:r>
        <w:rPr>
          <w:color w:val="auto"/>
          <w:sz w:val="21"/>
          <w:szCs w:val="21"/>
          <w:highlight w:val="none"/>
          <w:u w:val="single"/>
        </w:rPr>
        <w:t>接受</w:t>
      </w:r>
      <w:r>
        <w:rPr>
          <w:color w:val="auto"/>
          <w:sz w:val="21"/>
          <w:szCs w:val="21"/>
          <w:highlight w:val="none"/>
        </w:rPr>
        <w:t>联合体投标</w:t>
      </w:r>
      <w:r>
        <w:rPr>
          <w:rFonts w:hint="eastAsia"/>
          <w:color w:val="auto"/>
          <w:sz w:val="21"/>
          <w:szCs w:val="21"/>
          <w:highlight w:val="none"/>
        </w:rPr>
        <w:t>，联合体投标的相关要求见投标人须知前附表</w:t>
      </w:r>
    </w:p>
    <w:p>
      <w:pP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7</w:t>
      </w:r>
      <w:r>
        <w:rPr>
          <w:color w:val="auto"/>
          <w:sz w:val="21"/>
          <w:szCs w:val="21"/>
          <w:highlight w:val="none"/>
        </w:rPr>
        <w:t xml:space="preserve">  投标人可</w:t>
      </w:r>
      <w:r>
        <w:rPr>
          <w:rFonts w:hint="eastAsia"/>
          <w:color w:val="auto"/>
          <w:sz w:val="21"/>
          <w:szCs w:val="21"/>
          <w:highlight w:val="none"/>
        </w:rPr>
        <w:t>以</w:t>
      </w:r>
      <w:r>
        <w:rPr>
          <w:color w:val="auto"/>
          <w:sz w:val="21"/>
          <w:szCs w:val="21"/>
          <w:highlight w:val="none"/>
        </w:rPr>
        <w:t>就本招标项目上述标段中的</w:t>
      </w:r>
      <w:r>
        <w:rPr>
          <w:rFonts w:hint="eastAsia"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rPr>
        <w:t xml:space="preserve">  </w:t>
      </w:r>
      <w:r>
        <w:rPr>
          <w:color w:val="auto"/>
          <w:sz w:val="21"/>
          <w:szCs w:val="21"/>
          <w:highlight w:val="none"/>
        </w:rPr>
        <w:t>个标段投标，但最多允许中标</w:t>
      </w:r>
      <w:r>
        <w:rPr>
          <w:rFonts w:hint="eastAsia"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rPr>
        <w:t xml:space="preserve">  </w:t>
      </w:r>
      <w:r>
        <w:rPr>
          <w:color w:val="auto"/>
          <w:sz w:val="21"/>
          <w:szCs w:val="21"/>
          <w:highlight w:val="none"/>
        </w:rPr>
        <w:t>个标段（适用于分标段的招标项目）；</w:t>
      </w:r>
    </w:p>
    <w:p>
      <w:pP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8</w:t>
      </w: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类似工程业绩要求：</w:t>
      </w:r>
    </w:p>
    <w:p>
      <w:pPr>
        <w:spacing w:line="360" w:lineRule="auto"/>
        <w:ind w:firstLine="420" w:firstLineChars="200"/>
        <w:rPr>
          <w:color w:val="auto"/>
          <w:sz w:val="21"/>
          <w:szCs w:val="21"/>
          <w:highlight w:val="none"/>
        </w:rPr>
      </w:pPr>
      <w:r>
        <w:rPr>
          <w:rFonts w:hint="eastAsia" w:ascii="仿宋_GB2312" w:hAnsi="仿宋_GB2312" w:eastAsia="仿宋_GB2312" w:cs="仿宋_GB2312"/>
          <w:color w:val="auto"/>
          <w:sz w:val="21"/>
          <w:szCs w:val="21"/>
          <w:highlight w:val="none"/>
        </w:rPr>
        <w:sym w:font="Wingdings 2" w:char="0052"/>
      </w:r>
      <w:r>
        <w:rPr>
          <w:color w:val="auto"/>
          <w:sz w:val="21"/>
          <w:szCs w:val="21"/>
          <w:highlight w:val="none"/>
        </w:rPr>
        <w:t>不要求</w:t>
      </w:r>
    </w:p>
    <w:p>
      <w:pPr>
        <w:spacing w:line="360" w:lineRule="auto"/>
        <w:ind w:firstLine="420" w:firstLineChars="200"/>
        <w:rPr>
          <w:rFonts w:hint="eastAsia"/>
          <w:color w:val="auto"/>
          <w:sz w:val="21"/>
          <w:szCs w:val="21"/>
          <w:highlight w:val="none"/>
        </w:rPr>
      </w:pPr>
      <w:r>
        <w:rPr>
          <w:rFonts w:hint="eastAsia" w:ascii="Calibri" w:hAnsi="Calibri" w:cs="Calibri"/>
          <w:color w:val="auto"/>
          <w:sz w:val="21"/>
          <w:szCs w:val="21"/>
          <w:highlight w:val="none"/>
        </w:rPr>
        <w:sym w:font="Wingdings 2" w:char="00A3"/>
      </w:r>
      <w:r>
        <w:rPr>
          <w:color w:val="auto"/>
          <w:sz w:val="21"/>
          <w:szCs w:val="21"/>
          <w:highlight w:val="none"/>
        </w:rPr>
        <w:t>要求，企业承担过1项类似工程；</w:t>
      </w:r>
      <w:r>
        <w:rPr>
          <w:rFonts w:hint="eastAsia"/>
          <w:color w:val="auto"/>
          <w:sz w:val="21"/>
          <w:szCs w:val="21"/>
          <w:highlight w:val="none"/>
        </w:rPr>
        <w:t>类似工程业绩的相关要求见申请人须知前附表。</w:t>
      </w:r>
    </w:p>
    <w:p>
      <w:pPr>
        <w:spacing w:line="360" w:lineRule="auto"/>
        <w:ind w:firstLine="420" w:firstLineChars="200"/>
        <w:rPr>
          <w:color w:val="auto"/>
          <w:sz w:val="21"/>
          <w:szCs w:val="21"/>
          <w:highlight w:val="none"/>
        </w:rPr>
      </w:pPr>
      <w:r>
        <w:rPr>
          <w:rFonts w:hint="eastAsia"/>
          <w:color w:val="auto"/>
          <w:sz w:val="21"/>
          <w:szCs w:val="21"/>
          <w:highlight w:val="none"/>
        </w:rPr>
        <w:t>2.9  本项目的项目建议书、可行性研究报告、初步设计文件编制单位及其评估单位：</w:t>
      </w:r>
    </w:p>
    <w:p>
      <w:pPr>
        <w:spacing w:line="360" w:lineRule="auto"/>
        <w:ind w:firstLine="420" w:firstLineChars="200"/>
        <w:rPr>
          <w:color w:val="auto"/>
          <w:sz w:val="21"/>
          <w:szCs w:val="21"/>
          <w:highlight w:val="none"/>
        </w:rPr>
      </w:pPr>
      <w:r>
        <w:rPr>
          <w:rFonts w:hint="eastAsia" w:ascii="仿宋_GB2312" w:hAnsi="仿宋_GB2312" w:eastAsia="仿宋_GB2312" w:cs="仿宋_GB2312"/>
          <w:color w:val="auto"/>
          <w:sz w:val="21"/>
          <w:szCs w:val="21"/>
          <w:highlight w:val="none"/>
        </w:rPr>
        <w:sym w:font="Wingdings 2" w:char="00A3"/>
      </w:r>
      <w:r>
        <w:rPr>
          <w:rFonts w:hint="eastAsia"/>
          <w:color w:val="auto"/>
          <w:sz w:val="21"/>
          <w:szCs w:val="21"/>
          <w:highlight w:val="none"/>
        </w:rPr>
        <w:t>不得参加投标</w:t>
      </w:r>
    </w:p>
    <w:p>
      <w:pPr>
        <w:spacing w:line="360" w:lineRule="auto"/>
        <w:ind w:firstLine="420" w:firstLineChars="200"/>
        <w:rPr>
          <w:color w:val="auto"/>
          <w:sz w:val="21"/>
          <w:szCs w:val="21"/>
          <w:highlight w:val="none"/>
        </w:rPr>
      </w:pPr>
      <w:r>
        <w:rPr>
          <w:rFonts w:hint="eastAsia" w:ascii="Calibri" w:hAnsi="Calibri" w:cs="Calibri"/>
          <w:color w:val="auto"/>
          <w:sz w:val="21"/>
          <w:szCs w:val="21"/>
          <w:highlight w:val="none"/>
        </w:rPr>
        <w:sym w:font="Wingdings 2" w:char="0052"/>
      </w:r>
      <w:r>
        <w:rPr>
          <w:rFonts w:hint="eastAsia" w:ascii="宋体" w:hAnsi="宋体"/>
          <w:color w:val="auto"/>
          <w:sz w:val="21"/>
          <w:szCs w:val="21"/>
          <w:highlight w:val="none"/>
        </w:rPr>
        <w:t>允许参加投标，且招标人在发布招标文件时应同步公开已经完成的项目建议书、可行性研究报告、初步设计文件，其中设计图纸提供可编辑的CAD版本。</w:t>
      </w:r>
    </w:p>
    <w:p>
      <w:pPr>
        <w:snapToGrid w:val="0"/>
        <w:spacing w:line="360" w:lineRule="auto"/>
        <w:ind w:firstLine="420" w:firstLineChars="200"/>
        <w:rPr>
          <w:rFonts w:hint="eastAsia"/>
          <w:color w:val="auto"/>
          <w:sz w:val="21"/>
          <w:szCs w:val="21"/>
          <w:highlight w:val="none"/>
        </w:rPr>
      </w:pPr>
      <w:r>
        <w:rPr>
          <w:color w:val="auto"/>
          <w:sz w:val="21"/>
          <w:szCs w:val="21"/>
          <w:highlight w:val="none"/>
        </w:rPr>
        <w:t>2.</w:t>
      </w:r>
      <w:r>
        <w:rPr>
          <w:rFonts w:hint="eastAsia"/>
          <w:color w:val="auto"/>
          <w:sz w:val="21"/>
          <w:szCs w:val="21"/>
          <w:highlight w:val="none"/>
        </w:rPr>
        <w:t>10</w:t>
      </w:r>
      <w:r>
        <w:rPr>
          <w:color w:val="auto"/>
          <w:sz w:val="21"/>
          <w:szCs w:val="21"/>
          <w:highlight w:val="none"/>
        </w:rPr>
        <w:t xml:space="preserve">  其他要求：</w:t>
      </w:r>
      <w:r>
        <w:rPr>
          <w:rFonts w:hint="eastAsia"/>
          <w:b w:val="0"/>
          <w:bCs w:val="0"/>
          <w:color w:val="auto"/>
          <w:sz w:val="21"/>
          <w:szCs w:val="21"/>
          <w:highlight w:val="none"/>
          <w:u w:val="single"/>
          <w:lang w:val="en-US" w:eastAsia="zh-CN"/>
        </w:rPr>
        <w:t>本项目总承包项目负责人可兼任施工项目负责人</w:t>
      </w:r>
      <w:r>
        <w:rPr>
          <w:rFonts w:hint="eastAsia"/>
          <w:color w:val="auto"/>
          <w:sz w:val="21"/>
          <w:szCs w:val="21"/>
          <w:highlight w:val="none"/>
        </w:rPr>
        <w:t>。</w:t>
      </w:r>
    </w:p>
    <w:p>
      <w:pPr>
        <w:pStyle w:val="6"/>
        <w:spacing w:before="0" w:after="0" w:line="360" w:lineRule="auto"/>
        <w:ind w:firstLine="210" w:firstLineChars="100"/>
        <w:rPr>
          <w:rFonts w:hint="eastAsia" w:ascii="Times New Roman" w:hAnsi="Times New Roman" w:eastAsia="黑体"/>
          <w:b w:val="0"/>
          <w:bCs w:val="0"/>
          <w:color w:val="auto"/>
          <w:sz w:val="21"/>
          <w:szCs w:val="21"/>
          <w:highlight w:val="none"/>
        </w:rPr>
      </w:pPr>
      <w:bookmarkStart w:id="15" w:name="_Toc69199889"/>
      <w:bookmarkStart w:id="16" w:name="_Toc9178497"/>
      <w:bookmarkStart w:id="17" w:name="_Toc30398"/>
      <w:r>
        <w:rPr>
          <w:rFonts w:hint="eastAsia" w:ascii="Times New Roman" w:hAnsi="Times New Roman" w:eastAsia="黑体"/>
          <w:b w:val="0"/>
          <w:bCs w:val="0"/>
          <w:color w:val="auto"/>
          <w:sz w:val="21"/>
          <w:szCs w:val="21"/>
          <w:highlight w:val="none"/>
        </w:rPr>
        <w:t>3.</w:t>
      </w:r>
      <w:r>
        <w:rPr>
          <w:rFonts w:ascii="Times New Roman" w:hAnsi="Times New Roman" w:eastAsia="黑体"/>
          <w:b w:val="0"/>
          <w:bCs w:val="0"/>
          <w:color w:val="auto"/>
          <w:sz w:val="21"/>
          <w:szCs w:val="21"/>
          <w:highlight w:val="none"/>
        </w:rPr>
        <w:t>资格审查</w:t>
      </w:r>
      <w:bookmarkEnd w:id="15"/>
      <w:bookmarkEnd w:id="16"/>
      <w:bookmarkEnd w:id="17"/>
      <w:r>
        <w:rPr>
          <w:rFonts w:hint="eastAsia" w:ascii="Times New Roman" w:hAnsi="Times New Roman" w:eastAsia="黑体"/>
          <w:b w:val="0"/>
          <w:bCs w:val="0"/>
          <w:color w:val="auto"/>
          <w:sz w:val="21"/>
          <w:szCs w:val="21"/>
          <w:highlight w:val="none"/>
        </w:rPr>
        <w:t xml:space="preserve">    </w:t>
      </w:r>
    </w:p>
    <w:p>
      <w:pPr>
        <w:snapToGrid w:val="0"/>
        <w:spacing w:line="360" w:lineRule="auto"/>
        <w:ind w:firstLine="630" w:firstLineChars="300"/>
        <w:rPr>
          <w:rFonts w:hint="eastAsia" w:eastAsia="宋体"/>
          <w:color w:val="auto"/>
          <w:sz w:val="21"/>
          <w:szCs w:val="21"/>
          <w:highlight w:val="none"/>
          <w:lang w:eastAsia="zh-CN"/>
        </w:rPr>
      </w:pPr>
      <w:bookmarkStart w:id="18" w:name="_Toc9178161"/>
      <w:bookmarkStart w:id="19" w:name="_Toc9178302"/>
      <w:bookmarkStart w:id="20" w:name="_Toc9189272"/>
      <w:bookmarkStart w:id="21" w:name="_Toc9188856"/>
      <w:bookmarkStart w:id="22" w:name="_Toc9178498"/>
      <w:r>
        <w:rPr>
          <w:rFonts w:hint="eastAsia"/>
          <w:color w:val="auto"/>
          <w:sz w:val="21"/>
          <w:szCs w:val="21"/>
          <w:highlight w:val="none"/>
        </w:rPr>
        <w:t>采用</w:t>
      </w:r>
      <w:bookmarkEnd w:id="18"/>
      <w:bookmarkEnd w:id="19"/>
      <w:bookmarkEnd w:id="20"/>
      <w:bookmarkEnd w:id="21"/>
      <w:bookmarkEnd w:id="22"/>
      <w:bookmarkStart w:id="23" w:name="_Toc9178499"/>
      <w:bookmarkStart w:id="24" w:name="_Toc9189273"/>
      <w:bookmarkStart w:id="25" w:name="_Toc9178162"/>
      <w:bookmarkStart w:id="26" w:name="_Toc9188857"/>
      <w:bookmarkStart w:id="27" w:name="_Toc9178303"/>
      <w:r>
        <w:rPr>
          <w:rFonts w:hint="eastAsia"/>
          <w:color w:val="auto"/>
          <w:sz w:val="21"/>
          <w:szCs w:val="21"/>
          <w:highlight w:val="none"/>
          <w:u w:val="single"/>
        </w:rPr>
        <w:t>资格后审</w:t>
      </w:r>
      <w:r>
        <w:rPr>
          <w:rFonts w:hint="eastAsia"/>
          <w:color w:val="auto"/>
          <w:sz w:val="21"/>
          <w:szCs w:val="21"/>
          <w:highlight w:val="none"/>
        </w:rPr>
        <w:t>方式</w:t>
      </w:r>
      <w:bookmarkEnd w:id="23"/>
      <w:bookmarkEnd w:id="24"/>
      <w:bookmarkEnd w:id="25"/>
      <w:bookmarkEnd w:id="26"/>
      <w:bookmarkEnd w:id="27"/>
      <w:r>
        <w:rPr>
          <w:rFonts w:hint="eastAsia"/>
          <w:color w:val="auto"/>
          <w:sz w:val="21"/>
          <w:szCs w:val="21"/>
          <w:highlight w:val="none"/>
          <w:lang w:eastAsia="zh-CN"/>
        </w:rPr>
        <w:t>。</w:t>
      </w:r>
    </w:p>
    <w:p>
      <w:pPr>
        <w:pStyle w:val="6"/>
        <w:spacing w:before="0" w:after="0" w:line="360" w:lineRule="auto"/>
        <w:ind w:firstLine="210" w:firstLineChars="100"/>
        <w:rPr>
          <w:rFonts w:ascii="Times New Roman" w:hAnsi="Times New Roman" w:eastAsia="黑体"/>
          <w:b w:val="0"/>
          <w:bCs w:val="0"/>
          <w:color w:val="auto"/>
          <w:sz w:val="21"/>
          <w:szCs w:val="21"/>
          <w:highlight w:val="none"/>
        </w:rPr>
      </w:pPr>
      <w:bookmarkStart w:id="28" w:name="_Toc369"/>
      <w:bookmarkStart w:id="29" w:name="_Toc300677967"/>
      <w:bookmarkStart w:id="30" w:name="_Toc69199890"/>
      <w:bookmarkStart w:id="31" w:name="_Toc9178500"/>
      <w:r>
        <w:rPr>
          <w:rFonts w:ascii="Times New Roman" w:hAnsi="Times New Roman" w:eastAsia="黑体"/>
          <w:b w:val="0"/>
          <w:bCs w:val="0"/>
          <w:color w:val="auto"/>
          <w:sz w:val="21"/>
          <w:szCs w:val="21"/>
          <w:highlight w:val="none"/>
        </w:rPr>
        <w:t>4.评标办法</w:t>
      </w:r>
      <w:bookmarkEnd w:id="28"/>
      <w:bookmarkEnd w:id="29"/>
      <w:bookmarkEnd w:id="30"/>
      <w:bookmarkEnd w:id="31"/>
    </w:p>
    <w:p>
      <w:pPr>
        <w:spacing w:line="360" w:lineRule="auto"/>
        <w:ind w:firstLine="525" w:firstLineChars="250"/>
        <w:rPr>
          <w:color w:val="auto"/>
          <w:sz w:val="21"/>
          <w:szCs w:val="21"/>
          <w:highlight w:val="none"/>
        </w:rPr>
      </w:pPr>
      <w:r>
        <w:rPr>
          <w:rFonts w:hint="eastAsia" w:ascii="宋体" w:hAnsi="宋体"/>
          <w:color w:val="auto"/>
          <w:sz w:val="21"/>
          <w:szCs w:val="21"/>
          <w:highlight w:val="none"/>
        </w:rPr>
        <w:t>本招标项目采用</w:t>
      </w:r>
      <w:r>
        <w:rPr>
          <w:rFonts w:hint="eastAsia" w:ascii="宋体" w:hAnsi="宋体"/>
          <w:color w:val="auto"/>
          <w:sz w:val="21"/>
          <w:szCs w:val="21"/>
          <w:highlight w:val="none"/>
          <w:u w:val="single"/>
        </w:rPr>
        <w:t xml:space="preserve"> </w:t>
      </w:r>
      <w:r>
        <w:rPr>
          <w:rFonts w:hint="eastAsia" w:ascii="宋体" w:hAnsi="宋体" w:cs="仿宋_GB2312"/>
          <w:color w:val="auto"/>
          <w:sz w:val="21"/>
          <w:szCs w:val="21"/>
          <w:highlight w:val="none"/>
          <w:u w:val="single"/>
        </w:rPr>
        <w:t>湘建监督[</w:t>
      </w:r>
      <w:r>
        <w:rPr>
          <w:rFonts w:hint="eastAsia" w:ascii="宋体" w:hAnsi="宋体" w:cs="仿宋_GB2312"/>
          <w:color w:val="auto"/>
          <w:sz w:val="21"/>
          <w:szCs w:val="21"/>
          <w:highlight w:val="none"/>
          <w:u w:val="single"/>
          <w:lang w:val="en-US" w:eastAsia="zh-CN"/>
        </w:rPr>
        <w:t>2021</w:t>
      </w:r>
      <w:r>
        <w:rPr>
          <w:rFonts w:ascii="宋体" w:hAnsi="宋体" w:cs="仿宋_GB2312"/>
          <w:color w:val="auto"/>
          <w:sz w:val="21"/>
          <w:szCs w:val="21"/>
          <w:highlight w:val="none"/>
          <w:u w:val="single"/>
        </w:rPr>
        <w:t>]</w:t>
      </w:r>
      <w:r>
        <w:rPr>
          <w:rFonts w:hint="eastAsia" w:ascii="宋体" w:hAnsi="宋体" w:cs="仿宋_GB2312"/>
          <w:color w:val="auto"/>
          <w:sz w:val="21"/>
          <w:szCs w:val="21"/>
          <w:highlight w:val="none"/>
          <w:u w:val="single"/>
          <w:lang w:val="en-US" w:eastAsia="zh-CN"/>
        </w:rPr>
        <w:t>36</w:t>
      </w:r>
      <w:r>
        <w:rPr>
          <w:rFonts w:hint="eastAsia" w:ascii="宋体" w:hAnsi="宋体" w:cs="仿宋_GB2312"/>
          <w:color w:val="auto"/>
          <w:sz w:val="21"/>
          <w:szCs w:val="21"/>
          <w:highlight w:val="none"/>
          <w:u w:val="single"/>
        </w:rPr>
        <w:t xml:space="preserve">号 </w:t>
      </w:r>
      <w:r>
        <w:rPr>
          <w:rFonts w:hint="eastAsia" w:ascii="宋体" w:hAnsi="宋体"/>
          <w:color w:val="auto"/>
          <w:sz w:val="21"/>
          <w:szCs w:val="21"/>
          <w:highlight w:val="none"/>
        </w:rPr>
        <w:t>文件规定的</w:t>
      </w:r>
      <w:r>
        <w:rPr>
          <w:color w:val="auto"/>
          <w:sz w:val="21"/>
          <w:szCs w:val="21"/>
          <w:highlight w:val="none"/>
          <w:u w:val="single"/>
        </w:rPr>
        <w:t>综合评估法</w:t>
      </w:r>
      <w:r>
        <w:rPr>
          <w:color w:val="auto"/>
          <w:sz w:val="21"/>
          <w:szCs w:val="21"/>
          <w:highlight w:val="none"/>
        </w:rPr>
        <w:t>。</w:t>
      </w:r>
    </w:p>
    <w:p>
      <w:pPr>
        <w:pStyle w:val="6"/>
        <w:spacing w:before="0" w:after="0" w:line="360" w:lineRule="auto"/>
        <w:ind w:firstLine="210" w:firstLineChars="100"/>
        <w:rPr>
          <w:rFonts w:ascii="Times New Roman" w:hAnsi="Times New Roman" w:eastAsia="黑体"/>
          <w:b w:val="0"/>
          <w:bCs w:val="0"/>
          <w:color w:val="auto"/>
          <w:sz w:val="21"/>
          <w:szCs w:val="21"/>
          <w:highlight w:val="none"/>
        </w:rPr>
      </w:pPr>
      <w:bookmarkStart w:id="32" w:name="_Toc9178501"/>
      <w:bookmarkStart w:id="33" w:name="_Toc300677964"/>
      <w:bookmarkStart w:id="34" w:name="_Toc69199891"/>
      <w:bookmarkStart w:id="35" w:name="_Toc27873"/>
      <w:r>
        <w:rPr>
          <w:rFonts w:ascii="Times New Roman" w:hAnsi="Times New Roman" w:eastAsia="黑体"/>
          <w:b w:val="0"/>
          <w:bCs w:val="0"/>
          <w:color w:val="auto"/>
          <w:sz w:val="21"/>
          <w:szCs w:val="21"/>
          <w:highlight w:val="none"/>
        </w:rPr>
        <w:t>5.招标文件的获取</w:t>
      </w:r>
      <w:bookmarkEnd w:id="32"/>
      <w:bookmarkEnd w:id="33"/>
      <w:bookmarkEnd w:id="34"/>
      <w:bookmarkEnd w:id="35"/>
    </w:p>
    <w:p>
      <w:pPr>
        <w:spacing w:line="360" w:lineRule="auto"/>
        <w:ind w:firstLine="420" w:firstLineChars="200"/>
        <w:rPr>
          <w:color w:val="auto"/>
          <w:sz w:val="21"/>
          <w:szCs w:val="21"/>
          <w:highlight w:val="none"/>
        </w:rPr>
      </w:pPr>
      <w:r>
        <w:rPr>
          <w:color w:val="auto"/>
          <w:sz w:val="21"/>
          <w:szCs w:val="21"/>
          <w:highlight w:val="none"/>
        </w:rPr>
        <w:t>5.1 有投标意愿者请于</w:t>
      </w:r>
      <w:r>
        <w:rPr>
          <w:rFonts w:hint="eastAsia"/>
          <w:color w:val="auto"/>
          <w:sz w:val="21"/>
          <w:szCs w:val="21"/>
          <w:highlight w:val="none"/>
          <w:u w:val="single"/>
          <w:lang w:val="en-US" w:eastAsia="zh-CN"/>
        </w:rPr>
        <w:t>2023</w:t>
      </w:r>
      <w:r>
        <w:rPr>
          <w:color w:val="auto"/>
          <w:sz w:val="21"/>
          <w:szCs w:val="21"/>
          <w:highlight w:val="none"/>
        </w:rPr>
        <w:t>年</w:t>
      </w:r>
      <w:r>
        <w:rPr>
          <w:rFonts w:hint="eastAsia"/>
          <w:color w:val="auto"/>
          <w:sz w:val="21"/>
          <w:szCs w:val="21"/>
          <w:highlight w:val="none"/>
          <w:lang w:val="en-US" w:eastAsia="zh-CN"/>
        </w:rPr>
        <w:t>11</w:t>
      </w:r>
      <w:r>
        <w:rPr>
          <w:color w:val="auto"/>
          <w:sz w:val="21"/>
          <w:szCs w:val="21"/>
          <w:highlight w:val="none"/>
        </w:rPr>
        <w:t>月</w:t>
      </w:r>
      <w:r>
        <w:rPr>
          <w:rFonts w:hint="eastAsia" w:cs="Times New Roman"/>
          <w:color w:val="auto"/>
          <w:sz w:val="21"/>
          <w:szCs w:val="21"/>
          <w:highlight w:val="none"/>
          <w:u w:val="single"/>
          <w:lang w:val="en-US" w:eastAsia="zh-CN"/>
        </w:rPr>
        <w:t xml:space="preserve"> 6 </w:t>
      </w:r>
      <w:r>
        <w:rPr>
          <w:color w:val="auto"/>
          <w:sz w:val="21"/>
          <w:szCs w:val="21"/>
          <w:highlight w:val="none"/>
        </w:rPr>
        <w:t>日</w:t>
      </w:r>
      <w:r>
        <w:rPr>
          <w:rFonts w:hint="eastAsia"/>
          <w:color w:val="auto"/>
          <w:sz w:val="21"/>
          <w:szCs w:val="21"/>
          <w:highlight w:val="none"/>
          <w:lang w:val="en-US" w:eastAsia="zh-CN"/>
        </w:rPr>
        <w:t>至</w:t>
      </w:r>
      <w:r>
        <w:rPr>
          <w:rFonts w:hint="eastAsia"/>
          <w:color w:val="auto"/>
          <w:sz w:val="21"/>
          <w:szCs w:val="21"/>
          <w:highlight w:val="none"/>
          <w:u w:val="single"/>
          <w:lang w:val="en-US" w:eastAsia="zh-CN"/>
        </w:rPr>
        <w:t>2023年 11 月 13 日17时0</w:t>
      </w:r>
      <w:r>
        <w:rPr>
          <w:rFonts w:hint="eastAsia"/>
          <w:color w:val="auto"/>
          <w:sz w:val="21"/>
          <w:szCs w:val="21"/>
          <w:highlight w:val="none"/>
          <w:lang w:val="en-US" w:eastAsia="zh-CN"/>
        </w:rPr>
        <w:t>分止</w:t>
      </w:r>
      <w:r>
        <w:rPr>
          <w:color w:val="auto"/>
          <w:sz w:val="21"/>
          <w:szCs w:val="21"/>
          <w:highlight w:val="none"/>
        </w:rPr>
        <w:t>在</w:t>
      </w:r>
      <w:r>
        <w:rPr>
          <w:rFonts w:hint="eastAsia"/>
          <w:color w:val="auto"/>
          <w:sz w:val="21"/>
          <w:szCs w:val="21"/>
          <w:highlight w:val="none"/>
          <w:u w:val="single"/>
          <w:lang w:val="en-US" w:eastAsia="zh-CN"/>
        </w:rPr>
        <w:t>岳阳市公共资源交易中心电子招标投标交易平台</w:t>
      </w:r>
      <w:r>
        <w:rPr>
          <w:color w:val="auto"/>
          <w:sz w:val="21"/>
          <w:szCs w:val="21"/>
          <w:highlight w:val="none"/>
        </w:rPr>
        <w:t>下载</w:t>
      </w:r>
      <w:r>
        <w:rPr>
          <w:rFonts w:hint="eastAsia"/>
          <w:color w:val="auto"/>
          <w:sz w:val="21"/>
          <w:szCs w:val="21"/>
          <w:highlight w:val="none"/>
        </w:rPr>
        <w:t>数据电文形式的</w:t>
      </w:r>
      <w:r>
        <w:rPr>
          <w:color w:val="auto"/>
          <w:sz w:val="21"/>
          <w:szCs w:val="21"/>
          <w:highlight w:val="none"/>
        </w:rPr>
        <w:t>招标文件。</w:t>
      </w:r>
      <w:r>
        <w:rPr>
          <w:rFonts w:hint="eastAsia"/>
          <w:color w:val="auto"/>
          <w:sz w:val="21"/>
          <w:szCs w:val="21"/>
          <w:highlight w:val="none"/>
        </w:rPr>
        <w:t>招标人加载至招标投标交易平台的招标文件与其提供的</w:t>
      </w:r>
      <w:r>
        <w:rPr>
          <w:color w:val="auto"/>
          <w:sz w:val="21"/>
          <w:szCs w:val="21"/>
          <w:highlight w:val="none"/>
        </w:rPr>
        <w:t>书面招标文件具有同等效力。</w:t>
      </w:r>
    </w:p>
    <w:p>
      <w:pPr>
        <w:spacing w:line="360" w:lineRule="auto"/>
        <w:ind w:firstLine="420" w:firstLineChars="200"/>
        <w:rPr>
          <w:color w:val="auto"/>
          <w:sz w:val="21"/>
          <w:szCs w:val="21"/>
          <w:highlight w:val="none"/>
        </w:rPr>
      </w:pPr>
      <w:r>
        <w:rPr>
          <w:color w:val="auto"/>
          <w:sz w:val="21"/>
          <w:szCs w:val="21"/>
          <w:highlight w:val="none"/>
        </w:rPr>
        <w:t>5.2 本招标项目采用电子</w:t>
      </w:r>
      <w:r>
        <w:rPr>
          <w:rFonts w:hint="eastAsia"/>
          <w:color w:val="auto"/>
          <w:sz w:val="21"/>
          <w:szCs w:val="21"/>
          <w:highlight w:val="none"/>
        </w:rPr>
        <w:t>招标投标</w:t>
      </w:r>
      <w:r>
        <w:rPr>
          <w:color w:val="auto"/>
          <w:sz w:val="21"/>
          <w:szCs w:val="21"/>
          <w:highlight w:val="none"/>
        </w:rPr>
        <w:t>方式，投标人应当在</w:t>
      </w:r>
      <w:r>
        <w:rPr>
          <w:rFonts w:hint="eastAsia"/>
          <w:color w:val="auto"/>
          <w:sz w:val="21"/>
          <w:szCs w:val="21"/>
          <w:highlight w:val="none"/>
          <w:u w:val="single"/>
          <w:lang w:val="en-US" w:eastAsia="zh-CN"/>
        </w:rPr>
        <w:t>岳阳市公共资源交易中心电子招标投标交易平台</w:t>
      </w:r>
      <w:r>
        <w:rPr>
          <w:rFonts w:hint="eastAsia"/>
          <w:color w:val="auto"/>
          <w:sz w:val="21"/>
          <w:szCs w:val="21"/>
          <w:highlight w:val="none"/>
          <w:u w:val="single"/>
        </w:rPr>
        <w:t xml:space="preserve"> </w:t>
      </w:r>
      <w:r>
        <w:rPr>
          <w:color w:val="auto"/>
          <w:sz w:val="21"/>
          <w:szCs w:val="21"/>
          <w:highlight w:val="none"/>
        </w:rPr>
        <w:t>进行注册</w:t>
      </w:r>
      <w:r>
        <w:rPr>
          <w:rFonts w:hint="eastAsia"/>
          <w:color w:val="auto"/>
          <w:sz w:val="21"/>
          <w:szCs w:val="21"/>
          <w:highlight w:val="none"/>
        </w:rPr>
        <w:t>登记</w:t>
      </w:r>
      <w:r>
        <w:rPr>
          <w:color w:val="auto"/>
          <w:sz w:val="21"/>
          <w:szCs w:val="21"/>
          <w:highlight w:val="none"/>
        </w:rPr>
        <w:t>和CA认证。</w:t>
      </w:r>
    </w:p>
    <w:p>
      <w:pPr>
        <w:pStyle w:val="6"/>
        <w:spacing w:before="0" w:after="0" w:line="360" w:lineRule="auto"/>
        <w:rPr>
          <w:rFonts w:ascii="Times New Roman" w:hAnsi="Times New Roman" w:eastAsia="黑体"/>
          <w:b w:val="0"/>
          <w:bCs w:val="0"/>
          <w:color w:val="auto"/>
          <w:sz w:val="21"/>
          <w:szCs w:val="21"/>
          <w:highlight w:val="none"/>
        </w:rPr>
      </w:pPr>
      <w:bookmarkStart w:id="36" w:name="_Toc9178502"/>
      <w:bookmarkStart w:id="37" w:name="_Toc300677966"/>
      <w:r>
        <w:rPr>
          <w:rFonts w:hint="eastAsia" w:ascii="Times New Roman" w:hAnsi="Times New Roman" w:eastAsia="黑体"/>
          <w:b w:val="0"/>
          <w:bCs w:val="0"/>
          <w:color w:val="auto"/>
          <w:sz w:val="21"/>
          <w:szCs w:val="21"/>
          <w:highlight w:val="none"/>
        </w:rPr>
        <w:t xml:space="preserve"> </w:t>
      </w:r>
      <w:bookmarkStart w:id="38" w:name="_Toc9574"/>
      <w:bookmarkStart w:id="39" w:name="_Toc69199892"/>
      <w:r>
        <w:rPr>
          <w:rFonts w:hint="eastAsia" w:ascii="Times New Roman" w:hAnsi="Times New Roman" w:eastAsia="黑体"/>
          <w:b w:val="0"/>
          <w:bCs w:val="0"/>
          <w:color w:val="auto"/>
          <w:sz w:val="21"/>
          <w:szCs w:val="21"/>
          <w:highlight w:val="none"/>
          <w:lang w:val="en-US" w:eastAsia="zh-CN"/>
        </w:rPr>
        <w:t xml:space="preserve">  </w:t>
      </w:r>
      <w:r>
        <w:rPr>
          <w:rFonts w:ascii="Times New Roman" w:hAnsi="Times New Roman" w:eastAsia="黑体"/>
          <w:b w:val="0"/>
          <w:bCs w:val="0"/>
          <w:color w:val="auto"/>
          <w:sz w:val="21"/>
          <w:szCs w:val="21"/>
          <w:highlight w:val="none"/>
        </w:rPr>
        <w:t>6.投标文件的递交</w:t>
      </w:r>
      <w:bookmarkEnd w:id="36"/>
      <w:bookmarkEnd w:id="37"/>
      <w:bookmarkEnd w:id="38"/>
      <w:bookmarkEnd w:id="39"/>
    </w:p>
    <w:p>
      <w:pPr>
        <w:spacing w:line="360" w:lineRule="auto"/>
        <w:ind w:firstLine="420" w:firstLineChars="200"/>
        <w:rPr>
          <w:color w:val="auto"/>
          <w:sz w:val="21"/>
          <w:szCs w:val="21"/>
          <w:highlight w:val="none"/>
        </w:rPr>
      </w:pPr>
      <w:r>
        <w:rPr>
          <w:color w:val="auto"/>
          <w:sz w:val="21"/>
          <w:szCs w:val="21"/>
          <w:highlight w:val="none"/>
        </w:rPr>
        <w:t xml:space="preserve"> 6.1 电子投标文件递交的截止时间（即：投标截止时间，下同）及开标时间为</w:t>
      </w:r>
      <w:r>
        <w:rPr>
          <w:rFonts w:hint="eastAsia"/>
          <w:color w:val="auto"/>
          <w:sz w:val="21"/>
          <w:szCs w:val="21"/>
          <w:highlight w:val="none"/>
          <w:u w:val="single"/>
          <w:lang w:val="en-US" w:eastAsia="zh-CN"/>
        </w:rPr>
        <w:t>2023</w:t>
      </w:r>
      <w:r>
        <w:rPr>
          <w:color w:val="auto"/>
          <w:sz w:val="21"/>
          <w:szCs w:val="21"/>
          <w:highlight w:val="none"/>
        </w:rPr>
        <w:t>年</w:t>
      </w:r>
      <w:r>
        <w:rPr>
          <w:rFonts w:hint="eastAsia"/>
          <w:color w:val="auto"/>
          <w:sz w:val="21"/>
          <w:szCs w:val="21"/>
          <w:highlight w:val="none"/>
          <w:u w:val="single"/>
          <w:lang w:val="en-US" w:eastAsia="zh-CN"/>
        </w:rPr>
        <w:t xml:space="preserve"> 12  </w:t>
      </w:r>
      <w:r>
        <w:rPr>
          <w:color w:val="auto"/>
          <w:sz w:val="21"/>
          <w:szCs w:val="21"/>
          <w:highlight w:val="none"/>
        </w:rPr>
        <w:t>月</w:t>
      </w:r>
      <w:r>
        <w:rPr>
          <w:rFonts w:hint="eastAsia"/>
          <w:color w:val="auto"/>
          <w:sz w:val="21"/>
          <w:szCs w:val="21"/>
          <w:highlight w:val="none"/>
          <w:u w:val="single"/>
          <w:lang w:val="en-US" w:eastAsia="zh-CN"/>
        </w:rPr>
        <w:t xml:space="preserve">   </w:t>
      </w:r>
      <w:r>
        <w:rPr>
          <w:color w:val="auto"/>
          <w:sz w:val="21"/>
          <w:szCs w:val="21"/>
          <w:highlight w:val="none"/>
          <w:u w:val="single"/>
        </w:rPr>
        <w:t xml:space="preserve"> </w:t>
      </w:r>
      <w:r>
        <w:rPr>
          <w:rFonts w:hint="eastAsia"/>
          <w:color w:val="auto"/>
          <w:sz w:val="21"/>
          <w:szCs w:val="21"/>
          <w:highlight w:val="none"/>
          <w:u w:val="single"/>
          <w:lang w:val="en-US" w:eastAsia="zh-CN"/>
        </w:rPr>
        <w:t>4</w:t>
      </w:r>
      <w:r>
        <w:rPr>
          <w:color w:val="auto"/>
          <w:sz w:val="21"/>
          <w:szCs w:val="21"/>
          <w:highlight w:val="none"/>
        </w:rPr>
        <w:t>日</w:t>
      </w:r>
      <w:r>
        <w:rPr>
          <w:rFonts w:hint="eastAsia"/>
          <w:color w:val="auto"/>
          <w:sz w:val="21"/>
          <w:szCs w:val="21"/>
          <w:highlight w:val="none"/>
          <w:u w:val="single"/>
          <w:lang w:val="en-US" w:eastAsia="zh-CN"/>
        </w:rPr>
        <w:t xml:space="preserve"> 9</w:t>
      </w:r>
      <w:r>
        <w:rPr>
          <w:color w:val="auto"/>
          <w:sz w:val="21"/>
          <w:szCs w:val="21"/>
          <w:highlight w:val="none"/>
        </w:rPr>
        <w:t>时</w:t>
      </w:r>
      <w:r>
        <w:rPr>
          <w:rFonts w:hint="eastAsia"/>
          <w:color w:val="auto"/>
          <w:sz w:val="21"/>
          <w:szCs w:val="21"/>
          <w:highlight w:val="none"/>
          <w:u w:val="single"/>
          <w:lang w:val="en-US" w:eastAsia="zh-CN"/>
        </w:rPr>
        <w:t>30</w:t>
      </w:r>
      <w:r>
        <w:rPr>
          <w:color w:val="auto"/>
          <w:sz w:val="21"/>
          <w:szCs w:val="21"/>
          <w:highlight w:val="none"/>
        </w:rPr>
        <w:t>分。请投标人登录</w:t>
      </w:r>
      <w:r>
        <w:rPr>
          <w:rFonts w:hint="eastAsia"/>
          <w:color w:val="auto"/>
          <w:sz w:val="21"/>
          <w:szCs w:val="21"/>
          <w:highlight w:val="none"/>
          <w:u w:val="single"/>
          <w:lang w:val="en-US" w:eastAsia="zh-CN"/>
        </w:rPr>
        <w:t>岳阳市公共资源交易中心电子招标投标交易平台</w:t>
      </w:r>
      <w:r>
        <w:rPr>
          <w:color w:val="auto"/>
          <w:sz w:val="21"/>
          <w:szCs w:val="21"/>
          <w:highlight w:val="none"/>
        </w:rPr>
        <w:t>下载</w:t>
      </w:r>
      <w:r>
        <w:rPr>
          <w:rFonts w:hint="eastAsia"/>
          <w:color w:val="auto"/>
          <w:sz w:val="21"/>
          <w:szCs w:val="21"/>
          <w:highlight w:val="none"/>
        </w:rPr>
        <w:t>电子投标文件制作工具</w:t>
      </w:r>
      <w:r>
        <w:rPr>
          <w:color w:val="auto"/>
          <w:sz w:val="21"/>
          <w:szCs w:val="21"/>
          <w:highlight w:val="none"/>
        </w:rPr>
        <w:t>编制投标文件，</w:t>
      </w:r>
      <w:r>
        <w:rPr>
          <w:rFonts w:hint="eastAsia"/>
          <w:color w:val="auto"/>
          <w:sz w:val="21"/>
          <w:szCs w:val="21"/>
          <w:highlight w:val="none"/>
        </w:rPr>
        <w:t>投标人应</w:t>
      </w:r>
      <w:r>
        <w:rPr>
          <w:color w:val="auto"/>
          <w:sz w:val="21"/>
          <w:szCs w:val="21"/>
          <w:highlight w:val="none"/>
        </w:rPr>
        <w:t>在投标截止时间前通过</w:t>
      </w:r>
      <w:r>
        <w:rPr>
          <w:rFonts w:hint="eastAsia"/>
          <w:color w:val="auto"/>
          <w:sz w:val="21"/>
          <w:szCs w:val="21"/>
          <w:highlight w:val="none"/>
        </w:rPr>
        <w:t>电子招标投标交易平台</w:t>
      </w:r>
      <w:r>
        <w:rPr>
          <w:color w:val="auto"/>
          <w:sz w:val="21"/>
          <w:szCs w:val="21"/>
          <w:highlight w:val="none"/>
        </w:rPr>
        <w:t>递交</w:t>
      </w:r>
      <w:r>
        <w:rPr>
          <w:rFonts w:hint="eastAsia"/>
          <w:color w:val="auto"/>
          <w:sz w:val="21"/>
          <w:szCs w:val="21"/>
          <w:highlight w:val="none"/>
        </w:rPr>
        <w:t>数据电文形式的投标文件</w:t>
      </w:r>
      <w:r>
        <w:rPr>
          <w:color w:val="auto"/>
          <w:sz w:val="21"/>
          <w:szCs w:val="21"/>
          <w:highlight w:val="none"/>
        </w:rPr>
        <w:t>。逾期</w:t>
      </w:r>
      <w:r>
        <w:rPr>
          <w:rFonts w:hint="eastAsia"/>
          <w:color w:val="auto"/>
          <w:sz w:val="21"/>
          <w:szCs w:val="21"/>
          <w:highlight w:val="none"/>
        </w:rPr>
        <w:t>递交</w:t>
      </w:r>
      <w:r>
        <w:rPr>
          <w:color w:val="auto"/>
          <w:sz w:val="21"/>
          <w:szCs w:val="21"/>
          <w:highlight w:val="none"/>
        </w:rPr>
        <w:t>的投标文件，</w:t>
      </w:r>
      <w:r>
        <w:rPr>
          <w:rFonts w:hint="eastAsia"/>
          <w:color w:val="auto"/>
          <w:sz w:val="21"/>
          <w:szCs w:val="21"/>
          <w:highlight w:val="none"/>
        </w:rPr>
        <w:t>电子招标投标交易平台</w:t>
      </w:r>
      <w:r>
        <w:rPr>
          <w:color w:val="auto"/>
          <w:sz w:val="21"/>
          <w:szCs w:val="21"/>
          <w:highlight w:val="none"/>
        </w:rPr>
        <w:t>予以拒收。</w:t>
      </w:r>
    </w:p>
    <w:p>
      <w:pPr>
        <w:spacing w:line="360" w:lineRule="auto"/>
        <w:ind w:firstLine="420" w:firstLineChars="200"/>
        <w:rPr>
          <w:color w:val="auto"/>
          <w:sz w:val="21"/>
          <w:szCs w:val="21"/>
          <w:highlight w:val="none"/>
        </w:rPr>
      </w:pPr>
      <w:r>
        <w:rPr>
          <w:color w:val="auto"/>
          <w:sz w:val="21"/>
          <w:szCs w:val="21"/>
          <w:highlight w:val="none"/>
        </w:rPr>
        <w:t>电子投标文件的解密截止时间为投标截止时间后</w:t>
      </w:r>
      <w:r>
        <w:rPr>
          <w:color w:val="auto"/>
          <w:sz w:val="21"/>
          <w:szCs w:val="21"/>
          <w:highlight w:val="none"/>
          <w:u w:val="single"/>
        </w:rPr>
        <w:t xml:space="preserve"> </w:t>
      </w:r>
      <w:r>
        <w:rPr>
          <w:rFonts w:hint="eastAsia"/>
          <w:color w:val="auto"/>
          <w:sz w:val="21"/>
          <w:szCs w:val="21"/>
          <w:highlight w:val="none"/>
          <w:u w:val="single"/>
          <w:lang w:val="en-US" w:eastAsia="zh-CN"/>
        </w:rPr>
        <w:t>30</w:t>
      </w:r>
      <w:r>
        <w:rPr>
          <w:color w:val="auto"/>
          <w:sz w:val="21"/>
          <w:szCs w:val="21"/>
          <w:highlight w:val="none"/>
          <w:u w:val="single"/>
        </w:rPr>
        <w:t xml:space="preserve"> </w:t>
      </w:r>
      <w:r>
        <w:rPr>
          <w:color w:val="auto"/>
          <w:sz w:val="21"/>
          <w:szCs w:val="21"/>
          <w:highlight w:val="none"/>
        </w:rPr>
        <w:t>分钟。请投标人确保投标文件如期解密。在开标现场解密的，请投标人自备解密电脑和网络。</w:t>
      </w:r>
    </w:p>
    <w:p>
      <w:pPr>
        <w:pStyle w:val="6"/>
        <w:spacing w:before="0" w:after="0" w:line="360" w:lineRule="auto"/>
        <w:ind w:firstLine="210" w:firstLineChars="100"/>
        <w:rPr>
          <w:rFonts w:ascii="Times New Roman" w:hAnsi="Times New Roman" w:eastAsia="黑体"/>
          <w:b w:val="0"/>
          <w:bCs w:val="0"/>
          <w:color w:val="auto"/>
          <w:sz w:val="21"/>
          <w:szCs w:val="21"/>
          <w:highlight w:val="none"/>
        </w:rPr>
      </w:pPr>
      <w:bookmarkStart w:id="40" w:name="_Toc69199893"/>
      <w:bookmarkStart w:id="41" w:name="_Toc29446"/>
      <w:bookmarkStart w:id="42" w:name="_Toc300677969"/>
      <w:bookmarkStart w:id="43" w:name="_Toc9178503"/>
      <w:r>
        <w:rPr>
          <w:rFonts w:ascii="Times New Roman" w:hAnsi="Times New Roman" w:eastAsia="黑体"/>
          <w:b w:val="0"/>
          <w:bCs w:val="0"/>
          <w:color w:val="auto"/>
          <w:sz w:val="21"/>
          <w:szCs w:val="21"/>
          <w:highlight w:val="none"/>
        </w:rPr>
        <w:t>7.发布公告的媒介</w:t>
      </w:r>
      <w:bookmarkEnd w:id="40"/>
      <w:bookmarkEnd w:id="41"/>
      <w:bookmarkEnd w:id="42"/>
      <w:bookmarkEnd w:id="43"/>
    </w:p>
    <w:p>
      <w:pPr>
        <w:spacing w:line="360" w:lineRule="auto"/>
        <w:ind w:firstLine="420" w:firstLineChars="200"/>
        <w:rPr>
          <w:color w:val="auto"/>
          <w:sz w:val="21"/>
          <w:szCs w:val="21"/>
          <w:highlight w:val="none"/>
        </w:rPr>
      </w:pPr>
      <w:r>
        <w:rPr>
          <w:color w:val="auto"/>
          <w:sz w:val="21"/>
          <w:szCs w:val="21"/>
          <w:highlight w:val="none"/>
        </w:rPr>
        <w:t>本次招标公告同时在</w:t>
      </w:r>
      <w:r>
        <w:rPr>
          <w:rFonts w:hint="eastAsia" w:ascii="Times New Roman" w:hAnsi="Times New Roman" w:eastAsia="宋体" w:cs="Times New Roman"/>
          <w:color w:val="auto"/>
          <w:sz w:val="21"/>
          <w:szCs w:val="21"/>
          <w:highlight w:val="none"/>
          <w:u w:val="single"/>
        </w:rPr>
        <w:t xml:space="preserve"> </w:t>
      </w:r>
      <w:r>
        <w:rPr>
          <w:rFonts w:hint="eastAsia" w:ascii="Calibri" w:hAnsi="Calibri" w:cs="Calibri"/>
          <w:color w:val="auto"/>
          <w:szCs w:val="21"/>
          <w:highlight w:val="none"/>
          <w:u w:val="single"/>
          <w:lang w:val="en-US" w:eastAsia="zh-CN"/>
        </w:rPr>
        <w:t>湖南省招标投标监管网、岳阳市建设工程招标投标监管网、岳阳市公共资源交易网</w:t>
      </w:r>
      <w:r>
        <w:rPr>
          <w:rFonts w:hint="eastAsia" w:ascii="Calibri" w:hAnsi="Calibri" w:cs="Calibri"/>
          <w:color w:val="auto"/>
          <w:szCs w:val="21"/>
          <w:highlight w:val="none"/>
          <w:u w:val="single"/>
        </w:rPr>
        <w:t xml:space="preserve"> </w:t>
      </w:r>
      <w:r>
        <w:rPr>
          <w:rFonts w:hint="eastAsia" w:ascii="Calibri" w:hAnsi="Calibri" w:cs="Calibri"/>
          <w:color w:val="auto"/>
          <w:highlight w:val="none"/>
          <w:u w:val="single"/>
        </w:rPr>
        <w:t xml:space="preserve"> </w:t>
      </w:r>
      <w:r>
        <w:rPr>
          <w:color w:val="auto"/>
          <w:sz w:val="21"/>
          <w:szCs w:val="21"/>
          <w:highlight w:val="none"/>
        </w:rPr>
        <w:t>上发布。</w:t>
      </w:r>
    </w:p>
    <w:p>
      <w:pPr>
        <w:pStyle w:val="6"/>
        <w:spacing w:before="0" w:after="0" w:line="360" w:lineRule="auto"/>
        <w:ind w:firstLine="210" w:firstLineChars="100"/>
        <w:rPr>
          <w:rFonts w:ascii="Times New Roman" w:hAnsi="Times New Roman" w:eastAsia="黑体"/>
          <w:b w:val="0"/>
          <w:bCs w:val="0"/>
          <w:color w:val="auto"/>
          <w:sz w:val="21"/>
          <w:szCs w:val="21"/>
          <w:highlight w:val="none"/>
        </w:rPr>
      </w:pPr>
      <w:bookmarkStart w:id="44" w:name="_Toc69199894"/>
      <w:bookmarkStart w:id="45" w:name="_Toc11662"/>
      <w:bookmarkStart w:id="46" w:name="_Toc9178504"/>
      <w:bookmarkStart w:id="47" w:name="_Toc300677968"/>
      <w:r>
        <w:rPr>
          <w:rFonts w:ascii="Times New Roman" w:hAnsi="Times New Roman" w:eastAsia="黑体"/>
          <w:b w:val="0"/>
          <w:bCs w:val="0"/>
          <w:color w:val="auto"/>
          <w:sz w:val="21"/>
          <w:szCs w:val="21"/>
          <w:highlight w:val="none"/>
        </w:rPr>
        <w:t>8.行政监督</w:t>
      </w:r>
      <w:bookmarkEnd w:id="44"/>
      <w:bookmarkEnd w:id="45"/>
      <w:bookmarkEnd w:id="46"/>
      <w:bookmarkEnd w:id="47"/>
    </w:p>
    <w:p>
      <w:pPr>
        <w:snapToGrid w:val="0"/>
        <w:spacing w:line="360" w:lineRule="auto"/>
        <w:ind w:firstLine="420" w:firstLineChars="200"/>
        <w:rPr>
          <w:color w:val="auto"/>
          <w:sz w:val="21"/>
          <w:szCs w:val="21"/>
          <w:highlight w:val="none"/>
          <w:u w:val="none"/>
        </w:rPr>
      </w:pPr>
      <w:r>
        <w:rPr>
          <w:color w:val="auto"/>
          <w:sz w:val="21"/>
          <w:szCs w:val="21"/>
          <w:highlight w:val="none"/>
        </w:rPr>
        <w:t>本次招标项目招标投标监督机构为</w:t>
      </w:r>
      <w:r>
        <w:rPr>
          <w:rFonts w:hint="eastAsia"/>
          <w:color w:val="auto"/>
          <w:sz w:val="21"/>
          <w:szCs w:val="21"/>
          <w:highlight w:val="none"/>
          <w:u w:val="single"/>
        </w:rPr>
        <w:t xml:space="preserve">岳阳市建设工程招标投标管理办公室 </w:t>
      </w:r>
      <w:r>
        <w:rPr>
          <w:rFonts w:hint="eastAsia"/>
          <w:color w:val="auto"/>
          <w:sz w:val="21"/>
          <w:szCs w:val="21"/>
          <w:highlight w:val="none"/>
        </w:rPr>
        <w:t xml:space="preserve">，电话 </w:t>
      </w:r>
      <w:r>
        <w:rPr>
          <w:rFonts w:hint="eastAsia"/>
          <w:color w:val="auto"/>
          <w:sz w:val="21"/>
          <w:szCs w:val="21"/>
          <w:highlight w:val="none"/>
          <w:u w:val="single"/>
        </w:rPr>
        <w:t>0730-8216835。</w:t>
      </w:r>
    </w:p>
    <w:p>
      <w:pPr>
        <w:pStyle w:val="6"/>
        <w:snapToGrid w:val="0"/>
        <w:spacing w:before="0" w:after="0" w:line="360" w:lineRule="auto"/>
        <w:ind w:firstLine="210" w:firstLineChars="100"/>
        <w:rPr>
          <w:rFonts w:ascii="Times New Roman" w:hAnsi="Times New Roman" w:eastAsia="黑体"/>
          <w:b w:val="0"/>
          <w:bCs w:val="0"/>
          <w:color w:val="auto"/>
          <w:sz w:val="21"/>
          <w:szCs w:val="21"/>
          <w:highlight w:val="none"/>
        </w:rPr>
      </w:pPr>
      <w:bookmarkStart w:id="48" w:name="_Toc300677970"/>
      <w:bookmarkStart w:id="49" w:name="_Toc69199895"/>
      <w:bookmarkStart w:id="50" w:name="_Toc14574"/>
      <w:bookmarkStart w:id="51" w:name="_Toc9178505"/>
      <w:r>
        <w:rPr>
          <w:rFonts w:ascii="Times New Roman" w:hAnsi="Times New Roman" w:eastAsia="黑体"/>
          <w:b w:val="0"/>
          <w:bCs w:val="0"/>
          <w:color w:val="auto"/>
          <w:sz w:val="21"/>
          <w:szCs w:val="21"/>
          <w:highlight w:val="none"/>
        </w:rPr>
        <w:t>9.其它</w:t>
      </w:r>
      <w:bookmarkEnd w:id="48"/>
      <w:bookmarkEnd w:id="49"/>
      <w:bookmarkEnd w:id="50"/>
      <w:bookmarkEnd w:id="51"/>
    </w:p>
    <w:p>
      <w:pPr>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9.</w:t>
      </w:r>
      <w:r>
        <w:rPr>
          <w:color w:val="auto"/>
          <w:sz w:val="21"/>
          <w:szCs w:val="21"/>
          <w:highlight w:val="none"/>
        </w:rPr>
        <w:t>1</w:t>
      </w:r>
      <w:r>
        <w:rPr>
          <w:rFonts w:hint="eastAsia"/>
          <w:color w:val="auto"/>
          <w:sz w:val="21"/>
          <w:szCs w:val="21"/>
          <w:highlight w:val="none"/>
        </w:rPr>
        <w:t xml:space="preserve"> 本招标项目采用电子化招投标，投标人在投标前可在</w:t>
      </w:r>
      <w:r>
        <w:rPr>
          <w:rFonts w:hint="eastAsia"/>
          <w:color w:val="auto"/>
          <w:sz w:val="21"/>
          <w:szCs w:val="21"/>
          <w:highlight w:val="none"/>
          <w:u w:val="single"/>
        </w:rPr>
        <w:t xml:space="preserve"> </w:t>
      </w:r>
      <w:r>
        <w:rPr>
          <w:rFonts w:hint="eastAsia"/>
          <w:color w:val="auto"/>
          <w:sz w:val="21"/>
          <w:szCs w:val="21"/>
          <w:highlight w:val="none"/>
          <w:u w:val="single"/>
          <w:lang w:val="en-US" w:eastAsia="zh-CN"/>
        </w:rPr>
        <w:t>2023</w:t>
      </w:r>
      <w:r>
        <w:rPr>
          <w:color w:val="auto"/>
          <w:sz w:val="21"/>
          <w:szCs w:val="21"/>
          <w:highlight w:val="none"/>
          <w:u w:val="single"/>
        </w:rPr>
        <w:t>年</w:t>
      </w:r>
      <w:r>
        <w:rPr>
          <w:rFonts w:hint="eastAsia"/>
          <w:color w:val="auto"/>
          <w:sz w:val="21"/>
          <w:szCs w:val="21"/>
          <w:highlight w:val="none"/>
          <w:u w:val="single"/>
          <w:lang w:val="en-US" w:eastAsia="zh-CN"/>
        </w:rPr>
        <w:t xml:space="preserve">11 </w:t>
      </w:r>
      <w:r>
        <w:rPr>
          <w:color w:val="auto"/>
          <w:sz w:val="21"/>
          <w:szCs w:val="21"/>
          <w:highlight w:val="none"/>
          <w:u w:val="single"/>
        </w:rPr>
        <w:t>月</w:t>
      </w:r>
      <w:r>
        <w:rPr>
          <w:rFonts w:hint="eastAsia"/>
          <w:color w:val="auto"/>
          <w:sz w:val="21"/>
          <w:szCs w:val="21"/>
          <w:highlight w:val="none"/>
          <w:u w:val="single"/>
          <w:lang w:val="en-US" w:eastAsia="zh-CN"/>
        </w:rPr>
        <w:t xml:space="preserve"> 6</w:t>
      </w:r>
      <w:r>
        <w:rPr>
          <w:color w:val="auto"/>
          <w:sz w:val="21"/>
          <w:szCs w:val="21"/>
          <w:highlight w:val="none"/>
          <w:u w:val="single"/>
        </w:rPr>
        <w:t>日</w:t>
      </w:r>
      <w:r>
        <w:rPr>
          <w:rFonts w:hint="eastAsia"/>
          <w:color w:val="auto"/>
          <w:sz w:val="21"/>
          <w:szCs w:val="21"/>
          <w:highlight w:val="none"/>
          <w:u w:val="single"/>
          <w:lang w:val="en-US" w:eastAsia="zh-CN"/>
        </w:rPr>
        <w:t>至2023年11 月 13日17时0分止在岳阳市公共资源交易中心电子招标投标交易平台</w:t>
      </w:r>
      <w:r>
        <w:rPr>
          <w:rFonts w:hint="eastAsia"/>
          <w:color w:val="auto"/>
          <w:sz w:val="21"/>
          <w:szCs w:val="21"/>
          <w:highlight w:val="none"/>
        </w:rPr>
        <w:t>下载招标文件等相关资料。</w:t>
      </w:r>
    </w:p>
    <w:p>
      <w:pPr>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请各投标人及时下载安装正确版本软件，参与投标的投标人需使用电子标书编制软件制作投标文件。</w:t>
      </w:r>
    </w:p>
    <w:p>
      <w:pPr>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 xml:space="preserve">需要按照招标文件要求办理企业 CA 数字证书（含电子印章）、法人 CA 数字证书（含电子印章）、签字章等。 </w:t>
      </w:r>
    </w:p>
    <w:p>
      <w:pPr>
        <w:snapToGrid w:val="0"/>
        <w:spacing w:line="360" w:lineRule="auto"/>
        <w:ind w:firstLine="525" w:firstLineChars="250"/>
        <w:rPr>
          <w:color w:val="auto"/>
          <w:sz w:val="21"/>
          <w:szCs w:val="21"/>
          <w:highlight w:val="none"/>
        </w:rPr>
      </w:pPr>
      <w:r>
        <w:rPr>
          <w:rFonts w:hint="eastAsia"/>
          <w:color w:val="auto"/>
          <w:sz w:val="21"/>
          <w:szCs w:val="21"/>
          <w:highlight w:val="none"/>
        </w:rPr>
        <w:t>注：本项目投标过程中，电子系统</w:t>
      </w:r>
      <w:r>
        <w:rPr>
          <w:color w:val="auto"/>
          <w:sz w:val="21"/>
          <w:szCs w:val="21"/>
          <w:highlight w:val="none"/>
        </w:rPr>
        <w:t>使用操作遇到问题时可及时向软件公司咨询，咨询联系方式：</w:t>
      </w:r>
      <w:r>
        <w:rPr>
          <w:rFonts w:hint="eastAsia"/>
          <w:color w:val="auto"/>
          <w:sz w:val="21"/>
          <w:szCs w:val="21"/>
          <w:highlight w:val="none"/>
          <w:u w:val="single"/>
        </w:rPr>
        <w:t xml:space="preserve"> </w:t>
      </w:r>
      <w:r>
        <w:rPr>
          <w:rFonts w:hint="eastAsia"/>
          <w:color w:val="auto"/>
          <w:sz w:val="21"/>
          <w:szCs w:val="21"/>
          <w:highlight w:val="none"/>
          <w:u w:val="single"/>
          <w:lang w:val="en-US" w:eastAsia="zh-CN"/>
        </w:rPr>
        <w:t>岳阳</w:t>
      </w:r>
      <w:r>
        <w:rPr>
          <w:rFonts w:hint="eastAsia" w:ascii="Times New Roman" w:hAnsi="Times New Roman" w:eastAsia="宋体" w:cs="Times New Roman"/>
          <w:color w:val="auto"/>
          <w:sz w:val="21"/>
          <w:szCs w:val="21"/>
          <w:highlight w:val="none"/>
          <w:u w:val="single"/>
        </w:rPr>
        <w:t xml:space="preserve">市公共资源交易中心信息技术科0730-2966692 </w:t>
      </w:r>
      <w:r>
        <w:rPr>
          <w:color w:val="auto"/>
          <w:sz w:val="21"/>
          <w:szCs w:val="21"/>
          <w:highlight w:val="none"/>
        </w:rPr>
        <w:t>。</w:t>
      </w:r>
    </w:p>
    <w:p>
      <w:pPr>
        <w:pStyle w:val="67"/>
        <w:rPr>
          <w:rFonts w:hint="eastAsia"/>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9.2本项目不得将应当由一个承包单位完成的建筑工程肢解成若干部分发包给几个承包单位。</w:t>
      </w:r>
    </w:p>
    <w:p>
      <w:pPr>
        <w:pStyle w:val="6"/>
        <w:spacing w:before="0" w:after="0" w:line="360" w:lineRule="auto"/>
        <w:ind w:firstLine="210" w:firstLineChars="100"/>
        <w:rPr>
          <w:rFonts w:ascii="Times New Roman" w:hAnsi="Times New Roman" w:eastAsia="黑体"/>
          <w:b w:val="0"/>
          <w:bCs w:val="0"/>
          <w:color w:val="auto"/>
          <w:sz w:val="21"/>
          <w:szCs w:val="21"/>
          <w:highlight w:val="none"/>
        </w:rPr>
      </w:pPr>
      <w:bookmarkStart w:id="52" w:name="_Toc9178506"/>
      <w:bookmarkStart w:id="53" w:name="_Toc13905"/>
      <w:bookmarkStart w:id="54" w:name="_Toc300677971"/>
      <w:bookmarkStart w:id="55" w:name="_Toc69199896"/>
      <w:r>
        <w:rPr>
          <w:rFonts w:ascii="Times New Roman" w:hAnsi="Times New Roman" w:eastAsia="黑体"/>
          <w:b w:val="0"/>
          <w:bCs w:val="0"/>
          <w:color w:val="auto"/>
          <w:sz w:val="21"/>
          <w:szCs w:val="21"/>
          <w:highlight w:val="none"/>
        </w:rPr>
        <w:t>10.联系方式</w:t>
      </w:r>
      <w:bookmarkEnd w:id="52"/>
      <w:bookmarkEnd w:id="53"/>
      <w:bookmarkEnd w:id="54"/>
      <w:bookmarkEnd w:id="55"/>
    </w:p>
    <w:p>
      <w:pPr>
        <w:spacing w:line="360" w:lineRule="auto"/>
        <w:ind w:firstLine="420" w:firstLineChars="200"/>
        <w:rPr>
          <w:color w:val="auto"/>
          <w:sz w:val="21"/>
          <w:szCs w:val="21"/>
          <w:highlight w:val="none"/>
        </w:rPr>
      </w:pPr>
      <w:r>
        <w:rPr>
          <w:color w:val="auto"/>
          <w:sz w:val="21"/>
          <w:szCs w:val="21"/>
          <w:highlight w:val="none"/>
        </w:rPr>
        <w:t>招 标 人：</w:t>
      </w:r>
      <w:r>
        <w:rPr>
          <w:color w:val="auto"/>
          <w:sz w:val="21"/>
          <w:szCs w:val="21"/>
          <w:highlight w:val="none"/>
          <w:u w:val="single"/>
        </w:rPr>
        <w:t xml:space="preserve"> </w:t>
      </w:r>
      <w:r>
        <w:rPr>
          <w:rFonts w:hint="eastAsia" w:cs="Times New Roman"/>
          <w:color w:val="auto"/>
          <w:sz w:val="21"/>
          <w:szCs w:val="21"/>
          <w:highlight w:val="none"/>
          <w:u w:val="single"/>
          <w:lang w:eastAsia="zh-CN"/>
        </w:rPr>
        <w:t>岳阳市</w:t>
      </w:r>
      <w:r>
        <w:rPr>
          <w:rFonts w:hint="eastAsia" w:cs="Times New Roman"/>
          <w:color w:val="auto"/>
          <w:sz w:val="21"/>
          <w:szCs w:val="21"/>
          <w:highlight w:val="none"/>
          <w:u w:val="single"/>
          <w:lang w:val="en-US" w:eastAsia="zh-CN"/>
        </w:rPr>
        <w:t>审计局</w:t>
      </w:r>
      <w:r>
        <w:rPr>
          <w:color w:val="auto"/>
          <w:sz w:val="21"/>
          <w:szCs w:val="21"/>
          <w:highlight w:val="none"/>
        </w:rPr>
        <w:t>；</w:t>
      </w:r>
    </w:p>
    <w:p>
      <w:pPr>
        <w:spacing w:line="360" w:lineRule="auto"/>
        <w:ind w:firstLine="420" w:firstLineChars="200"/>
        <w:rPr>
          <w:rFonts w:hint="default" w:ascii="Times New Roman" w:hAnsi="Times New Roman" w:eastAsia="宋体" w:cs="Times New Roman"/>
          <w:color w:val="auto"/>
          <w:sz w:val="21"/>
          <w:szCs w:val="21"/>
          <w:highlight w:val="none"/>
          <w:u w:val="single"/>
          <w:lang w:val="en-US"/>
        </w:rPr>
      </w:pPr>
      <w:r>
        <w:rPr>
          <w:rFonts w:hint="eastAsia" w:ascii="Times New Roman" w:hAnsi="Times New Roman" w:eastAsia="宋体" w:cs="Times New Roman"/>
          <w:color w:val="auto"/>
          <w:sz w:val="21"/>
          <w:szCs w:val="21"/>
          <w:highlight w:val="none"/>
          <w:u w:val="none"/>
        </w:rPr>
        <w:t>地    址：</w:t>
      </w:r>
      <w:r>
        <w:rPr>
          <w:rFonts w:hint="eastAsia"/>
          <w:color w:val="auto"/>
          <w:szCs w:val="21"/>
          <w:highlight w:val="none"/>
          <w:u w:val="single"/>
        </w:rPr>
        <w:t>岳阳楼区炮台山路 80号</w:t>
      </w:r>
      <w:r>
        <w:rPr>
          <w:rFonts w:hint="eastAsia" w:cs="Times New Roman"/>
          <w:color w:val="auto"/>
          <w:sz w:val="21"/>
          <w:szCs w:val="21"/>
          <w:highlight w:val="none"/>
          <w:u w:val="none"/>
          <w:lang w:val="en-US" w:eastAsia="zh-CN"/>
        </w:rPr>
        <w:t>；</w:t>
      </w:r>
    </w:p>
    <w:p>
      <w:pPr>
        <w:spacing w:line="360" w:lineRule="auto"/>
        <w:ind w:firstLine="420" w:firstLineChars="200"/>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none"/>
        </w:rPr>
        <w:t>联 系 人：</w:t>
      </w:r>
      <w:r>
        <w:rPr>
          <w:rFonts w:hint="eastAsia" w:cs="Times New Roman"/>
          <w:color w:val="auto"/>
          <w:sz w:val="21"/>
          <w:szCs w:val="21"/>
          <w:highlight w:val="none"/>
          <w:u w:val="none"/>
          <w:lang w:val="en-US" w:eastAsia="zh-CN"/>
        </w:rPr>
        <w:t xml:space="preserve"> </w:t>
      </w:r>
      <w:r>
        <w:rPr>
          <w:rFonts w:hint="eastAsia" w:cs="Times New Roman"/>
          <w:color w:val="auto"/>
          <w:sz w:val="21"/>
          <w:szCs w:val="21"/>
          <w:highlight w:val="none"/>
          <w:u w:val="single"/>
          <w:lang w:val="en-US" w:eastAsia="zh-CN"/>
        </w:rPr>
        <w:t xml:space="preserve">  罗先生</w:t>
      </w:r>
      <w:r>
        <w:rPr>
          <w:rFonts w:hint="eastAsia"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none"/>
          <w:lang w:val="en-US" w:eastAsia="zh-CN"/>
        </w:rPr>
        <w:t>；</w:t>
      </w:r>
    </w:p>
    <w:p>
      <w:pPr>
        <w:spacing w:line="360" w:lineRule="auto"/>
        <w:ind w:firstLine="420" w:firstLineChars="200"/>
        <w:rPr>
          <w:rFonts w:hint="default" w:ascii="Times New Roman" w:hAnsi="Times New Roman" w:eastAsia="宋体" w:cs="Times New Roman"/>
          <w:color w:val="auto"/>
          <w:sz w:val="21"/>
          <w:szCs w:val="21"/>
          <w:highlight w:val="none"/>
          <w:u w:val="single"/>
          <w:lang w:val="en-US"/>
        </w:rPr>
      </w:pPr>
      <w:r>
        <w:rPr>
          <w:rFonts w:hint="eastAsia" w:ascii="Times New Roman" w:hAnsi="Times New Roman" w:eastAsia="宋体" w:cs="Times New Roman"/>
          <w:color w:val="auto"/>
          <w:sz w:val="21"/>
          <w:szCs w:val="21"/>
          <w:highlight w:val="none"/>
          <w:u w:val="none"/>
        </w:rPr>
        <w:t xml:space="preserve">电 </w:t>
      </w:r>
      <w:r>
        <w:rPr>
          <w:rFonts w:hint="eastAsia" w:cs="Times New Roman"/>
          <w:color w:val="auto"/>
          <w:sz w:val="21"/>
          <w:szCs w:val="21"/>
          <w:highlight w:val="none"/>
          <w:u w:val="none"/>
          <w:lang w:val="en-US" w:eastAsia="zh-CN"/>
        </w:rPr>
        <w:t xml:space="preserve">  </w:t>
      </w:r>
      <w:r>
        <w:rPr>
          <w:rFonts w:hint="eastAsia" w:ascii="Times New Roman" w:hAnsi="Times New Roman" w:eastAsia="宋体" w:cs="Times New Roman"/>
          <w:color w:val="auto"/>
          <w:sz w:val="21"/>
          <w:szCs w:val="21"/>
          <w:highlight w:val="none"/>
          <w:u w:val="none"/>
        </w:rPr>
        <w:t>话 ：</w:t>
      </w:r>
      <w:r>
        <w:rPr>
          <w:rFonts w:hint="eastAsia" w:cs="Times New Roman"/>
          <w:color w:val="auto"/>
          <w:sz w:val="21"/>
          <w:szCs w:val="21"/>
          <w:highlight w:val="none"/>
          <w:u w:val="single"/>
          <w:lang w:val="en-US" w:eastAsia="zh-CN"/>
        </w:rPr>
        <w:t xml:space="preserve"> 13762000028</w:t>
      </w:r>
      <w:r>
        <w:rPr>
          <w:rFonts w:hint="eastAsia" w:ascii="Times New Roman" w:hAnsi="Times New Roman" w:eastAsia="宋体" w:cs="Times New Roman"/>
          <w:color w:val="auto"/>
          <w:sz w:val="21"/>
          <w:szCs w:val="21"/>
          <w:highlight w:val="none"/>
          <w:u w:val="none"/>
          <w:lang w:val="en-US" w:eastAsia="zh-CN"/>
        </w:rPr>
        <w:t>；</w:t>
      </w:r>
    </w:p>
    <w:p>
      <w:pPr>
        <w:spacing w:line="360" w:lineRule="auto"/>
        <w:ind w:firstLine="420" w:firstLineChars="200"/>
        <w:rPr>
          <w:rFonts w:hint="default" w:ascii="Times New Roman" w:hAnsi="Times New Roman" w:eastAsia="宋体" w:cs="Times New Roman"/>
          <w:color w:val="auto"/>
          <w:sz w:val="21"/>
          <w:szCs w:val="21"/>
          <w:highlight w:val="none"/>
          <w:u w:val="none"/>
          <w:lang w:val="en-US"/>
        </w:rPr>
      </w:pPr>
      <w:r>
        <w:rPr>
          <w:rFonts w:hint="eastAsia" w:ascii="Times New Roman" w:hAnsi="Times New Roman" w:eastAsia="宋体" w:cs="Times New Roman"/>
          <w:color w:val="auto"/>
          <w:sz w:val="21"/>
          <w:szCs w:val="21"/>
          <w:highlight w:val="none"/>
          <w:u w:val="none"/>
        </w:rPr>
        <w:t>邮</w:t>
      </w:r>
      <w:r>
        <w:rPr>
          <w:rFonts w:hint="eastAsia" w:cs="Times New Roman"/>
          <w:color w:val="auto"/>
          <w:sz w:val="21"/>
          <w:szCs w:val="21"/>
          <w:highlight w:val="none"/>
          <w:u w:val="none"/>
          <w:lang w:val="en-US" w:eastAsia="zh-CN"/>
        </w:rPr>
        <w:t xml:space="preserve">  </w:t>
      </w:r>
      <w:r>
        <w:rPr>
          <w:rFonts w:hint="eastAsia" w:ascii="Times New Roman" w:hAnsi="Times New Roman" w:eastAsia="宋体" w:cs="Times New Roman"/>
          <w:color w:val="auto"/>
          <w:sz w:val="21"/>
          <w:szCs w:val="21"/>
          <w:highlight w:val="none"/>
          <w:u w:val="none"/>
        </w:rPr>
        <w:t xml:space="preserve"> 箱 ：</w:t>
      </w:r>
      <w:r>
        <w:rPr>
          <w:rFonts w:hint="eastAsia" w:cs="Times New Roman"/>
          <w:color w:val="auto"/>
          <w:sz w:val="21"/>
          <w:szCs w:val="21"/>
          <w:highlight w:val="none"/>
          <w:u w:val="single"/>
          <w:lang w:val="en-US" w:eastAsia="zh-CN"/>
        </w:rPr>
        <w:t xml:space="preserve">     /       </w:t>
      </w:r>
      <w:r>
        <w:rPr>
          <w:rFonts w:hint="eastAsia" w:cs="Times New Roman"/>
          <w:color w:val="auto"/>
          <w:sz w:val="21"/>
          <w:szCs w:val="21"/>
          <w:highlight w:val="none"/>
          <w:u w:val="none"/>
          <w:lang w:val="en-US" w:eastAsia="zh-CN"/>
        </w:rPr>
        <w:t>；</w:t>
      </w:r>
    </w:p>
    <w:p>
      <w:pPr>
        <w:spacing w:line="360" w:lineRule="auto"/>
        <w:ind w:firstLine="420" w:firstLineChars="200"/>
        <w:rPr>
          <w:color w:val="auto"/>
          <w:sz w:val="21"/>
          <w:szCs w:val="21"/>
          <w:highlight w:val="none"/>
        </w:rPr>
      </w:pPr>
      <w:r>
        <w:rPr>
          <w:color w:val="auto"/>
          <w:sz w:val="21"/>
          <w:szCs w:val="21"/>
          <w:highlight w:val="none"/>
        </w:rPr>
        <w:t>招标代理机构：</w:t>
      </w:r>
      <w:r>
        <w:rPr>
          <w:rFonts w:hint="eastAsia"/>
          <w:color w:val="auto"/>
          <w:sz w:val="21"/>
          <w:szCs w:val="21"/>
          <w:highlight w:val="none"/>
          <w:u w:val="single"/>
          <w:lang w:val="en-US" w:eastAsia="zh-CN"/>
        </w:rPr>
        <w:t xml:space="preserve">湖南大福信息技术咨询有限公司 </w:t>
      </w:r>
      <w:r>
        <w:rPr>
          <w:color w:val="auto"/>
          <w:sz w:val="21"/>
          <w:szCs w:val="21"/>
          <w:highlight w:val="none"/>
          <w:u w:val="single"/>
        </w:rPr>
        <w:t xml:space="preserve"> </w:t>
      </w:r>
      <w:r>
        <w:rPr>
          <w:color w:val="auto"/>
          <w:sz w:val="21"/>
          <w:szCs w:val="21"/>
          <w:highlight w:val="none"/>
        </w:rPr>
        <w:t>；</w:t>
      </w:r>
    </w:p>
    <w:p>
      <w:pPr>
        <w:spacing w:line="360" w:lineRule="auto"/>
        <w:ind w:firstLine="420" w:firstLineChars="200"/>
        <w:rPr>
          <w:color w:val="auto"/>
          <w:sz w:val="21"/>
          <w:szCs w:val="21"/>
          <w:highlight w:val="none"/>
        </w:rPr>
      </w:pPr>
      <w:r>
        <w:rPr>
          <w:color w:val="auto"/>
          <w:sz w:val="21"/>
          <w:szCs w:val="21"/>
          <w:highlight w:val="none"/>
        </w:rPr>
        <w:t>地    址：</w:t>
      </w:r>
      <w:r>
        <w:rPr>
          <w:rFonts w:hint="eastAsia" w:ascii="Times New Roman" w:hAnsi="Times New Roman" w:eastAsia="宋体" w:cs="Times New Roman"/>
          <w:color w:val="auto"/>
          <w:sz w:val="21"/>
          <w:szCs w:val="21"/>
          <w:highlight w:val="none"/>
          <w:u w:val="single"/>
        </w:rPr>
        <w:t xml:space="preserve"> 岳阳市岳阳楼区南湖大道421号岳阳数字产业园   </w:t>
      </w:r>
      <w:r>
        <w:rPr>
          <w:color w:val="auto"/>
          <w:sz w:val="21"/>
          <w:szCs w:val="21"/>
          <w:highlight w:val="none"/>
        </w:rPr>
        <w:t>；</w:t>
      </w:r>
    </w:p>
    <w:p>
      <w:pPr>
        <w:spacing w:line="360" w:lineRule="auto"/>
        <w:ind w:firstLine="420" w:firstLineChars="200"/>
        <w:rPr>
          <w:color w:val="auto"/>
          <w:sz w:val="21"/>
          <w:szCs w:val="21"/>
          <w:highlight w:val="none"/>
        </w:rPr>
      </w:pPr>
      <w:r>
        <w:rPr>
          <w:rFonts w:hint="eastAsia"/>
          <w:color w:val="auto"/>
          <w:sz w:val="21"/>
          <w:szCs w:val="21"/>
          <w:highlight w:val="none"/>
          <w:lang w:val="en-US" w:eastAsia="zh-CN"/>
        </w:rPr>
        <w:t>项目负责人</w:t>
      </w:r>
      <w:r>
        <w:rPr>
          <w:color w:val="auto"/>
          <w:sz w:val="21"/>
          <w:szCs w:val="21"/>
          <w:highlight w:val="none"/>
        </w:rPr>
        <w:t>：</w:t>
      </w:r>
      <w:r>
        <w:rPr>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蔡琪</w:t>
      </w:r>
      <w:r>
        <w:rPr>
          <w:rFonts w:hint="eastAsia"/>
          <w:color w:val="auto"/>
          <w:sz w:val="21"/>
          <w:szCs w:val="21"/>
          <w:highlight w:val="none"/>
          <w:u w:val="single"/>
          <w:lang w:val="en-US" w:eastAsia="zh-CN"/>
        </w:rPr>
        <w:t xml:space="preserve"> </w:t>
      </w:r>
      <w:r>
        <w:rPr>
          <w:color w:val="auto"/>
          <w:sz w:val="21"/>
          <w:szCs w:val="21"/>
          <w:highlight w:val="none"/>
        </w:rPr>
        <w:t>；</w:t>
      </w:r>
    </w:p>
    <w:p>
      <w:pPr>
        <w:spacing w:line="360" w:lineRule="auto"/>
        <w:ind w:firstLine="420" w:firstLineChars="200"/>
        <w:rPr>
          <w:rFonts w:hint="eastAsia"/>
          <w:color w:val="auto"/>
          <w:sz w:val="21"/>
          <w:szCs w:val="21"/>
          <w:highlight w:val="none"/>
        </w:rPr>
      </w:pPr>
      <w:r>
        <w:rPr>
          <w:color w:val="auto"/>
          <w:sz w:val="21"/>
          <w:szCs w:val="21"/>
          <w:highlight w:val="none"/>
        </w:rPr>
        <w:t>电    话：</w:t>
      </w:r>
      <w:r>
        <w:rPr>
          <w:color w:val="auto"/>
          <w:sz w:val="21"/>
          <w:szCs w:val="21"/>
          <w:highlight w:val="none"/>
          <w:u w:val="single"/>
        </w:rPr>
        <w:t xml:space="preserve">  </w:t>
      </w:r>
      <w:r>
        <w:rPr>
          <w:rFonts w:hint="eastAsia"/>
          <w:color w:val="auto"/>
          <w:sz w:val="21"/>
          <w:szCs w:val="21"/>
          <w:highlight w:val="none"/>
          <w:u w:val="single"/>
        </w:rPr>
        <w:t>17873006688</w:t>
      </w:r>
      <w:r>
        <w:rPr>
          <w:color w:val="auto"/>
          <w:sz w:val="21"/>
          <w:szCs w:val="21"/>
          <w:highlight w:val="none"/>
          <w:u w:val="single"/>
        </w:rPr>
        <w:t xml:space="preserve"> </w:t>
      </w:r>
      <w:r>
        <w:rPr>
          <w:rFonts w:hint="eastAsia"/>
          <w:color w:val="auto"/>
          <w:sz w:val="21"/>
          <w:szCs w:val="21"/>
          <w:highlight w:val="none"/>
        </w:rPr>
        <w:t>。</w:t>
      </w:r>
    </w:p>
    <w:p>
      <w:pPr>
        <w:spacing w:line="360" w:lineRule="auto"/>
        <w:ind w:firstLine="437"/>
        <w:jc w:val="right"/>
        <w:rPr>
          <w:color w:val="auto"/>
          <w:sz w:val="21"/>
          <w:szCs w:val="21"/>
          <w:highlight w:val="none"/>
        </w:rPr>
        <w:sectPr>
          <w:footerReference r:id="rId7" w:type="first"/>
          <w:footerReference r:id="rId6" w:type="default"/>
          <w:pgSz w:w="11906" w:h="16838"/>
          <w:pgMar w:top="1304" w:right="1417" w:bottom="1304" w:left="1417" w:header="851" w:footer="850" w:gutter="0"/>
          <w:pgNumType w:fmt="decimal" w:start="1"/>
          <w:cols w:space="0" w:num="1"/>
          <w:titlePg/>
          <w:rtlGutter w:val="0"/>
          <w:docGrid w:linePitch="306" w:charSpace="0"/>
        </w:sectPr>
      </w:pPr>
      <w:bookmarkStart w:id="56" w:name="_Hlk66101745"/>
    </w:p>
    <w:bookmarkEnd w:id="56"/>
    <w:p>
      <w:pPr>
        <w:pStyle w:val="5"/>
        <w:spacing w:before="0" w:after="0"/>
        <w:jc w:val="center"/>
        <w:outlineLvl w:val="1"/>
        <w:rPr>
          <w:rFonts w:ascii="Times New Roman" w:hAnsi="Times New Roman" w:eastAsia="黑体"/>
          <w:b w:val="0"/>
          <w:bCs w:val="0"/>
          <w:color w:val="auto"/>
          <w:highlight w:val="none"/>
        </w:rPr>
      </w:pPr>
      <w:bookmarkStart w:id="57" w:name="_Toc69199907"/>
      <w:bookmarkStart w:id="58" w:name="_Toc11853"/>
      <w:r>
        <w:rPr>
          <w:rFonts w:ascii="Times New Roman" w:hAnsi="Times New Roman" w:eastAsia="黑体"/>
          <w:b w:val="0"/>
          <w:bCs w:val="0"/>
          <w:color w:val="auto"/>
          <w:highlight w:val="none"/>
        </w:rPr>
        <w:t>第二章  投标人须知</w:t>
      </w:r>
      <w:bookmarkEnd w:id="57"/>
      <w:bookmarkEnd w:id="58"/>
    </w:p>
    <w:p>
      <w:pPr>
        <w:rPr>
          <w:color w:val="auto"/>
          <w:highlight w:val="none"/>
        </w:rPr>
      </w:pPr>
    </w:p>
    <w:p>
      <w:pPr>
        <w:snapToGrid w:val="0"/>
        <w:jc w:val="center"/>
        <w:rPr>
          <w:rFonts w:eastAsia="黑体"/>
          <w:color w:val="auto"/>
          <w:sz w:val="28"/>
          <w:szCs w:val="28"/>
          <w:highlight w:val="none"/>
        </w:rPr>
      </w:pPr>
      <w:bookmarkStart w:id="59" w:name="_Toc300677997"/>
      <w:r>
        <w:rPr>
          <w:rFonts w:eastAsia="黑体"/>
          <w:color w:val="auto"/>
          <w:sz w:val="28"/>
          <w:szCs w:val="28"/>
          <w:highlight w:val="none"/>
        </w:rPr>
        <w:t>投标人须知前附表</w:t>
      </w:r>
      <w:bookmarkEnd w:id="59"/>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645"/>
        <w:gridCol w:w="112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bCs/>
                <w:color w:val="auto"/>
                <w:szCs w:val="21"/>
                <w:highlight w:val="none"/>
              </w:rPr>
              <w:t>条款号</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bCs/>
                <w:color w:val="auto"/>
                <w:szCs w:val="21"/>
                <w:highlight w:val="none"/>
              </w:rPr>
            </w:pPr>
            <w:r>
              <w:rPr>
                <w:rFonts w:hint="default" w:ascii="Calibri" w:hAnsi="Calibri" w:cs="Calibri"/>
                <w:bCs/>
                <w:color w:val="auto"/>
                <w:szCs w:val="21"/>
                <w:highlight w:val="none"/>
              </w:rPr>
              <w:t>条款名称</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jc w:val="center"/>
              <w:rPr>
                <w:rFonts w:hint="default" w:ascii="Calibri" w:hAnsi="Calibri" w:cs="Calibri"/>
                <w:bCs/>
                <w:color w:val="auto"/>
                <w:szCs w:val="21"/>
                <w:highlight w:val="none"/>
              </w:rPr>
            </w:pPr>
            <w:r>
              <w:rPr>
                <w:rFonts w:hint="default" w:ascii="Calibri" w:hAnsi="Calibri" w:cs="Calibri"/>
                <w:bCs/>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1.1</w:t>
            </w:r>
            <w:r>
              <w:rPr>
                <w:rFonts w:hint="eastAsia" w:ascii="Calibri" w:hAnsi="Calibri" w:cs="Calibri"/>
                <w:color w:val="auto"/>
                <w:szCs w:val="21"/>
                <w:highlight w:val="none"/>
              </w:rPr>
              <w:t>.2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招标人</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u w:val="single"/>
              </w:rPr>
            </w:pPr>
            <w:r>
              <w:rPr>
                <w:rFonts w:hint="default" w:ascii="Calibri" w:hAnsi="Calibri" w:cs="Calibri"/>
                <w:color w:val="auto"/>
                <w:szCs w:val="21"/>
                <w:highlight w:val="none"/>
              </w:rPr>
              <w:t>名    称：</w:t>
            </w:r>
            <w:r>
              <w:rPr>
                <w:rFonts w:hint="eastAsia" w:cs="Times New Roman"/>
                <w:color w:val="auto"/>
                <w:sz w:val="21"/>
                <w:highlight w:val="none"/>
                <w:u w:val="single"/>
                <w:lang w:eastAsia="zh-CN"/>
              </w:rPr>
              <w:t>岳阳市</w:t>
            </w:r>
            <w:r>
              <w:rPr>
                <w:rFonts w:hint="eastAsia" w:cs="Times New Roman"/>
                <w:color w:val="auto"/>
                <w:sz w:val="21"/>
                <w:highlight w:val="none"/>
                <w:u w:val="single"/>
                <w:lang w:val="en-US" w:eastAsia="zh-CN"/>
              </w:rPr>
              <w:t>审计局</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Cs w:val="21"/>
                <w:highlight w:val="none"/>
                <w:u w:val="single"/>
                <w:lang w:val="en-US"/>
              </w:rPr>
            </w:pPr>
            <w:r>
              <w:rPr>
                <w:rFonts w:hint="default" w:ascii="Calibri" w:hAnsi="Calibri" w:cs="Calibri"/>
                <w:color w:val="auto"/>
                <w:szCs w:val="21"/>
                <w:highlight w:val="none"/>
              </w:rPr>
              <w:t>地    址：</w:t>
            </w:r>
            <w:r>
              <w:rPr>
                <w:rFonts w:hint="eastAsia" w:cs="Times New Roman"/>
                <w:color w:val="auto"/>
                <w:szCs w:val="21"/>
                <w:highlight w:val="none"/>
                <w:u w:val="single"/>
                <w:lang w:val="en-US" w:eastAsia="zh-CN"/>
              </w:rPr>
              <w:t xml:space="preserve"> </w:t>
            </w:r>
            <w:r>
              <w:rPr>
                <w:rFonts w:hint="eastAsia"/>
                <w:color w:val="auto"/>
                <w:szCs w:val="21"/>
                <w:highlight w:val="none"/>
                <w:u w:val="single"/>
              </w:rPr>
              <w:t>岳阳楼区炮台山路 80号</w:t>
            </w:r>
          </w:p>
          <w:p>
            <w:pPr>
              <w:keepNext w:val="0"/>
              <w:keepLines w:val="0"/>
              <w:suppressLineNumbers w:val="0"/>
              <w:spacing w:before="0" w:beforeAutospacing="0" w:after="0" w:afterAutospacing="0" w:line="360" w:lineRule="auto"/>
              <w:ind w:left="-103" w:leftChars="-49" w:right="0" w:firstLine="422" w:firstLineChars="201"/>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none"/>
              </w:rPr>
              <w:t>联 系 人：</w:t>
            </w:r>
            <w:r>
              <w:rPr>
                <w:rFonts w:hint="eastAsia" w:ascii="Times New Roman" w:hAnsi="Times New Roman" w:eastAsia="宋体" w:cs="Times New Roman"/>
                <w:color w:val="auto"/>
                <w:sz w:val="21"/>
                <w:szCs w:val="21"/>
                <w:highlight w:val="none"/>
                <w:u w:val="single"/>
                <w:lang w:val="en-US" w:eastAsia="zh-CN"/>
              </w:rPr>
              <w:t xml:space="preserve"> </w:t>
            </w:r>
            <w:r>
              <w:rPr>
                <w:rFonts w:hint="eastAsia" w:cs="Times New Roman"/>
                <w:color w:val="auto"/>
                <w:sz w:val="21"/>
                <w:szCs w:val="21"/>
                <w:highlight w:val="none"/>
                <w:u w:val="single"/>
                <w:lang w:val="en-US" w:eastAsia="zh-CN"/>
              </w:rPr>
              <w:t xml:space="preserve"> 罗先生  </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eastAsia="宋体" w:cs="Calibri"/>
                <w:color w:val="auto"/>
                <w:szCs w:val="21"/>
                <w:highlight w:val="none"/>
                <w:lang w:eastAsia="zh-CN"/>
              </w:rPr>
            </w:pPr>
            <w:r>
              <w:rPr>
                <w:rFonts w:hint="eastAsia" w:ascii="Times New Roman" w:hAnsi="Times New Roman" w:eastAsia="宋体" w:cs="Times New Roman"/>
                <w:color w:val="auto"/>
                <w:sz w:val="21"/>
                <w:szCs w:val="21"/>
                <w:highlight w:val="none"/>
                <w:u w:val="none"/>
              </w:rPr>
              <w:t xml:space="preserve">电 </w:t>
            </w:r>
            <w:r>
              <w:rPr>
                <w:rFonts w:hint="eastAsia" w:cs="Times New Roman"/>
                <w:color w:val="auto"/>
                <w:sz w:val="21"/>
                <w:szCs w:val="21"/>
                <w:highlight w:val="none"/>
                <w:u w:val="none"/>
                <w:lang w:val="en-US" w:eastAsia="zh-CN"/>
              </w:rPr>
              <w:t xml:space="preserve">  </w:t>
            </w:r>
            <w:r>
              <w:rPr>
                <w:rFonts w:hint="eastAsia" w:ascii="Times New Roman" w:hAnsi="Times New Roman" w:eastAsia="宋体" w:cs="Times New Roman"/>
                <w:color w:val="auto"/>
                <w:sz w:val="21"/>
                <w:szCs w:val="21"/>
                <w:highlight w:val="none"/>
                <w:u w:val="none"/>
              </w:rPr>
              <w:t>话 ：</w:t>
            </w:r>
            <w:r>
              <w:rPr>
                <w:rFonts w:hint="eastAsia" w:cs="Times New Roman"/>
                <w:color w:val="auto"/>
                <w:sz w:val="21"/>
                <w:szCs w:val="21"/>
                <w:highlight w:val="none"/>
                <w:u w:val="single"/>
                <w:lang w:val="en-US" w:eastAsia="zh-CN"/>
              </w:rPr>
              <w:t xml:space="preserve"> 13762000028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1.1.</w:t>
            </w:r>
            <w:r>
              <w:rPr>
                <w:rFonts w:hint="eastAsia" w:ascii="Calibri" w:hAnsi="Calibri" w:cs="Calibri"/>
                <w:color w:val="auto"/>
                <w:szCs w:val="21"/>
                <w:highlight w:val="none"/>
              </w:rPr>
              <w:t>3</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招标代理机构</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名    称：</w:t>
            </w:r>
            <w:r>
              <w:rPr>
                <w:rFonts w:hint="default" w:ascii="Calibri" w:hAnsi="Calibri" w:cs="Calibri"/>
                <w:color w:val="auto"/>
                <w:szCs w:val="21"/>
                <w:highlight w:val="none"/>
                <w:u w:val="single"/>
              </w:rPr>
              <w:t xml:space="preserve"> </w:t>
            </w:r>
            <w:r>
              <w:rPr>
                <w:rFonts w:hint="eastAsia"/>
                <w:color w:val="auto"/>
                <w:sz w:val="21"/>
                <w:szCs w:val="21"/>
                <w:highlight w:val="none"/>
                <w:u w:val="single"/>
                <w:lang w:val="en-US" w:eastAsia="zh-CN"/>
              </w:rPr>
              <w:t>湖南大福信息技术咨询有限公司</w:t>
            </w:r>
          </w:p>
          <w:p>
            <w:pPr>
              <w:keepNext w:val="0"/>
              <w:keepLines w:val="0"/>
              <w:suppressLineNumbers w:val="0"/>
              <w:spacing w:before="0" w:beforeAutospacing="0" w:after="0" w:afterAutospacing="0" w:line="360" w:lineRule="auto"/>
              <w:ind w:left="1346" w:leftChars="141" w:right="0" w:hanging="1050" w:hangingChars="500"/>
              <w:rPr>
                <w:rFonts w:hint="default" w:ascii="Calibri" w:hAnsi="Calibri" w:cs="Calibri"/>
                <w:color w:val="auto"/>
                <w:szCs w:val="21"/>
                <w:highlight w:val="none"/>
              </w:rPr>
            </w:pPr>
            <w:r>
              <w:rPr>
                <w:rFonts w:hint="default" w:ascii="Calibri" w:hAnsi="Calibri" w:cs="Calibri"/>
                <w:color w:val="auto"/>
                <w:szCs w:val="21"/>
                <w:highlight w:val="none"/>
              </w:rPr>
              <w:t>地    址：</w:t>
            </w:r>
            <w:r>
              <w:rPr>
                <w:rFonts w:hint="eastAsia" w:ascii="Times New Roman" w:hAnsi="Times New Roman" w:eastAsia="宋体" w:cs="Times New Roman"/>
                <w:color w:val="auto"/>
                <w:sz w:val="21"/>
                <w:szCs w:val="21"/>
                <w:highlight w:val="none"/>
                <w:u w:val="single"/>
              </w:rPr>
              <w:t>岳阳市岳阳楼区南湖大道421号岳阳数字产业园</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lang w:val="en-US"/>
              </w:rPr>
            </w:pPr>
            <w:r>
              <w:rPr>
                <w:rFonts w:hint="eastAsia" w:ascii="Calibri" w:hAnsi="Calibri" w:cs="Calibri"/>
                <w:color w:val="auto"/>
                <w:szCs w:val="21"/>
                <w:highlight w:val="none"/>
                <w:lang w:eastAsia="zh-CN"/>
              </w:rPr>
              <w:t>项目负责人</w:t>
            </w:r>
            <w:r>
              <w:rPr>
                <w:rFonts w:hint="default" w:ascii="Calibri" w:hAnsi="Calibri" w:cs="Calibri"/>
                <w:color w:val="auto"/>
                <w:szCs w:val="21"/>
                <w:highlight w:val="none"/>
              </w:rPr>
              <w:t>：</w:t>
            </w:r>
            <w:r>
              <w:rPr>
                <w:rFonts w:hint="eastAsia" w:ascii="Times New Roman" w:hAnsi="Times New Roman" w:eastAsia="宋体" w:cs="Times New Roman"/>
                <w:color w:val="auto"/>
                <w:sz w:val="21"/>
                <w:szCs w:val="21"/>
                <w:highlight w:val="none"/>
                <w:u w:val="single"/>
                <w:lang w:val="en-US" w:eastAsia="zh-CN"/>
              </w:rPr>
              <w:t>蔡琪</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电    话：</w:t>
            </w:r>
            <w:r>
              <w:rPr>
                <w:rFonts w:hint="default"/>
                <w:color w:val="auto"/>
                <w:sz w:val="21"/>
                <w:szCs w:val="21"/>
                <w:highlight w:val="none"/>
                <w:u w:val="single"/>
              </w:rPr>
              <w:t xml:space="preserve"> </w:t>
            </w:r>
            <w:r>
              <w:rPr>
                <w:rFonts w:hint="eastAsia"/>
                <w:color w:val="auto"/>
                <w:sz w:val="21"/>
                <w:szCs w:val="21"/>
                <w:highlight w:val="none"/>
                <w:u w:val="single"/>
              </w:rPr>
              <w:t>17873006688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1.1</w:t>
            </w:r>
            <w:r>
              <w:rPr>
                <w:rFonts w:hint="eastAsia" w:ascii="Calibri" w:hAnsi="Calibri" w:cs="Calibri"/>
                <w:color w:val="auto"/>
                <w:szCs w:val="21"/>
                <w:highlight w:val="none"/>
              </w:rPr>
              <w:t>.4</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招标项目名称</w:t>
            </w:r>
          </w:p>
        </w:tc>
        <w:tc>
          <w:tcPr>
            <w:tcW w:w="6096" w:type="dxa"/>
            <w:noWrap w:val="0"/>
            <w:vAlign w:val="center"/>
          </w:tcPr>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szCs w:val="21"/>
                <w:highlight w:val="none"/>
              </w:rPr>
            </w:pPr>
            <w:r>
              <w:rPr>
                <w:rFonts w:hint="eastAsia" w:cs="Times New Roman"/>
                <w:color w:val="auto"/>
                <w:sz w:val="21"/>
                <w:szCs w:val="24"/>
                <w:highlight w:val="none"/>
                <w:u w:val="single"/>
                <w:lang w:val="en-US" w:eastAsia="zh-CN"/>
              </w:rPr>
              <w:t>岳阳市审计局家属院老旧小区改造配套基础设施建设项目工程总承包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1.1</w:t>
            </w:r>
            <w:r>
              <w:rPr>
                <w:rFonts w:hint="eastAsia" w:ascii="Calibri" w:hAnsi="Calibri" w:cs="Calibri"/>
                <w:color w:val="auto"/>
                <w:szCs w:val="21"/>
                <w:highlight w:val="none"/>
              </w:rPr>
              <w:t>.5</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建设地点</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color w:val="auto"/>
                <w:szCs w:val="21"/>
                <w:highlight w:val="none"/>
                <w:u w:val="single"/>
                <w:lang w:val="en-US" w:eastAsia="zh-CN"/>
              </w:rPr>
              <w:t>项目</w:t>
            </w:r>
            <w:r>
              <w:rPr>
                <w:rFonts w:hint="eastAsia"/>
                <w:color w:val="auto"/>
                <w:szCs w:val="21"/>
                <w:highlight w:val="none"/>
                <w:u w:val="single"/>
              </w:rPr>
              <w:t>位于岳阳楼区炮台山路 80号岳阳市审计局家属院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3</w:t>
            </w:r>
            <w:r>
              <w:rPr>
                <w:rFonts w:hint="default"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招标范围</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color w:val="auto"/>
                <w:highlight w:val="none"/>
                <w:u w:val="none"/>
                <w:lang w:eastAsia="zh-CN"/>
              </w:rPr>
              <w:t>√</w:t>
            </w:r>
            <w:r>
              <w:rPr>
                <w:rFonts w:hint="default" w:ascii="Calibri" w:hAnsi="Calibri" w:cs="Calibri"/>
                <w:color w:val="auto"/>
                <w:szCs w:val="21"/>
                <w:highlight w:val="none"/>
              </w:rPr>
              <w:t>详见招标公告</w:t>
            </w:r>
            <w:r>
              <w:rPr>
                <w:rFonts w:hint="eastAsia" w:ascii="Calibri" w:hAnsi="Calibri" w:cs="Calibri"/>
                <w:color w:val="auto"/>
                <w:szCs w:val="21"/>
                <w:highlight w:val="none"/>
              </w:rPr>
              <w:t>（</w:t>
            </w:r>
            <w:r>
              <w:rPr>
                <w:rFonts w:hint="default" w:ascii="Calibri" w:hAnsi="Calibri" w:cs="Calibri"/>
                <w:color w:val="auto"/>
                <w:szCs w:val="21"/>
                <w:highlight w:val="none"/>
              </w:rPr>
              <w:t>适用于资格审查采用资格</w:t>
            </w:r>
            <w:r>
              <w:rPr>
                <w:rFonts w:hint="eastAsia" w:ascii="Calibri" w:hAnsi="Calibri" w:cs="Calibri"/>
                <w:color w:val="auto"/>
                <w:szCs w:val="21"/>
                <w:highlight w:val="none"/>
              </w:rPr>
              <w:t>后</w:t>
            </w:r>
            <w:r>
              <w:rPr>
                <w:rFonts w:hint="default" w:ascii="Calibri" w:hAnsi="Calibri" w:cs="Calibri"/>
                <w:color w:val="auto"/>
                <w:szCs w:val="21"/>
                <w:highlight w:val="none"/>
              </w:rPr>
              <w:t>审方式的</w:t>
            </w:r>
            <w:r>
              <w:rPr>
                <w:rFonts w:hint="eastAsia" w:ascii="Calibri" w:hAnsi="Calibri" w:cs="Calibri"/>
                <w:color w:val="auto"/>
                <w:szCs w:val="21"/>
                <w:highlight w:val="none"/>
              </w:rPr>
              <w:t>招标</w:t>
            </w:r>
            <w:r>
              <w:rPr>
                <w:rFonts w:hint="default" w:ascii="Calibri" w:hAnsi="Calibri" w:cs="Calibri"/>
                <w:color w:val="auto"/>
                <w:szCs w:val="21"/>
                <w:highlight w:val="none"/>
              </w:rPr>
              <w:t>项目</w:t>
            </w:r>
            <w:r>
              <w:rPr>
                <w:rFonts w:hint="eastAsia"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highlight w:val="none"/>
              </w:rPr>
              <w:t>□</w:t>
            </w:r>
            <w:r>
              <w:rPr>
                <w:rFonts w:hint="default" w:ascii="Calibri" w:hAnsi="Calibri" w:cs="Calibri"/>
                <w:color w:val="auto"/>
                <w:szCs w:val="21"/>
                <w:highlight w:val="none"/>
              </w:rPr>
              <w:t>投标邀请书（适用于邀请招标</w:t>
            </w:r>
            <w:r>
              <w:rPr>
                <w:rFonts w:hint="eastAsia" w:ascii="Calibri" w:hAnsi="Calibri" w:cs="Calibri"/>
                <w:color w:val="auto"/>
                <w:szCs w:val="21"/>
                <w:highlight w:val="none"/>
              </w:rPr>
              <w:t>项目</w:t>
            </w:r>
            <w:r>
              <w:rPr>
                <w:rFonts w:hint="default"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highlight w:val="none"/>
              </w:rPr>
              <w:t>□</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（适用于资格审查采用资格预审方式的</w:t>
            </w:r>
            <w:r>
              <w:rPr>
                <w:rFonts w:hint="eastAsia" w:ascii="Calibri" w:hAnsi="Calibri" w:cs="Calibri"/>
                <w:color w:val="auto"/>
                <w:szCs w:val="21"/>
                <w:highlight w:val="none"/>
              </w:rPr>
              <w:t>招标</w:t>
            </w:r>
            <w:r>
              <w:rPr>
                <w:rFonts w:hint="default" w:ascii="Calibri" w:hAnsi="Calibri" w:cs="Calibri"/>
                <w:color w:val="auto"/>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3</w:t>
            </w:r>
            <w:r>
              <w:rPr>
                <w:rFonts w:hint="default" w:ascii="Calibri" w:hAnsi="Calibri" w:cs="Calibri"/>
                <w:color w:val="auto"/>
                <w:szCs w:val="21"/>
                <w:highlight w:val="none"/>
              </w:rPr>
              <w:t>.2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计划工期</w:t>
            </w:r>
          </w:p>
        </w:tc>
        <w:tc>
          <w:tcPr>
            <w:tcW w:w="6096" w:type="dxa"/>
            <w:noWrap w:val="0"/>
            <w:vAlign w:val="center"/>
          </w:tcPr>
          <w:p>
            <w:pPr>
              <w:keepNext w:val="0"/>
              <w:keepLines w:val="0"/>
              <w:suppressLineNumbers w:val="0"/>
              <w:spacing w:before="0" w:beforeAutospacing="0" w:after="0" w:afterAutospacing="0" w:line="360" w:lineRule="auto"/>
              <w:ind w:left="0" w:right="0"/>
              <w:rPr>
                <w:rFonts w:hint="default" w:ascii="Calibri" w:hAnsi="Calibri" w:eastAsia="宋体" w:cs="Calibri"/>
                <w:color w:val="auto"/>
                <w:szCs w:val="21"/>
                <w:highlight w:val="none"/>
                <w:lang w:val="en-US" w:eastAsia="zh-CN"/>
              </w:rPr>
            </w:pP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150日历天</w:t>
            </w: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天</w:t>
            </w:r>
            <w:r>
              <w:rPr>
                <w:rFonts w:hint="eastAsia" w:ascii="宋体" w:hAnsi="宋体" w:cs="Calibri"/>
                <w:color w:val="auto"/>
                <w:szCs w:val="21"/>
                <w:highlight w:val="none"/>
              </w:rPr>
              <w:t>□月□年</w:t>
            </w:r>
            <w:r>
              <w:rPr>
                <w:rFonts w:hint="eastAsia" w:ascii="宋体" w:hAnsi="宋体" w:cs="Calibri"/>
                <w:color w:val="auto"/>
                <w:szCs w:val="21"/>
                <w:highlight w:val="none"/>
                <w:u w:val="single"/>
                <w:lang w:eastAsia="zh-CN"/>
              </w:rPr>
              <w:t>（</w:t>
            </w:r>
            <w:r>
              <w:rPr>
                <w:rFonts w:hint="eastAsia" w:ascii="宋体" w:hAnsi="宋体" w:cs="Calibri"/>
                <w:color w:val="auto"/>
                <w:szCs w:val="21"/>
                <w:highlight w:val="none"/>
                <w:u w:val="single"/>
                <w:lang w:val="en-US" w:eastAsia="zh-CN"/>
              </w:rPr>
              <w:t>其中设计工期为30日历天，施工工期为120日历天）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65" w:type="dxa"/>
            <w:vMerge w:val="restart"/>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.3</w:t>
            </w:r>
            <w:r>
              <w:rPr>
                <w:rFonts w:hint="default" w:ascii="Calibri" w:hAnsi="Calibri" w:cs="Calibri"/>
                <w:color w:val="auto"/>
                <w:szCs w:val="21"/>
                <w:highlight w:val="none"/>
              </w:rPr>
              <w:t>.3</w:t>
            </w:r>
          </w:p>
        </w:tc>
        <w:tc>
          <w:tcPr>
            <w:tcW w:w="1770" w:type="dxa"/>
            <w:gridSpan w:val="2"/>
            <w:vMerge w:val="restart"/>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质量标准和</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保修要求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lang w:eastAsia="zh-CN"/>
              </w:rPr>
            </w:pPr>
            <w:r>
              <w:rPr>
                <w:rFonts w:hint="eastAsia"/>
              </w:rPr>
              <w:t>设计要求的</w:t>
            </w:r>
            <w:r>
              <w:rPr>
                <w:rFonts w:hint="default"/>
              </w:rPr>
              <w:t xml:space="preserve">质量标准： </w:t>
            </w:r>
            <w:r>
              <w:rPr>
                <w:rFonts w:hint="default"/>
                <w:lang w:val="zh-TW"/>
              </w:rPr>
              <w:t>设计要求的质量标准：</w:t>
            </w:r>
            <w:r>
              <w:rPr>
                <w:rFonts w:hint="eastAsia"/>
                <w:lang w:eastAsia="zh-CN"/>
              </w:rPr>
              <w:t>必须满足国家、省、市、行业规范及本项目建设单位要求，进行限额设计,确保施工图预算不超中标合同上限价</w:t>
            </w:r>
            <w:r>
              <w:rPr>
                <w:rFonts w:hint="eastAsia"/>
                <w:lang w:val="en-US" w:eastAsia="zh-CN"/>
              </w:rPr>
              <w:t>；</w:t>
            </w:r>
          </w:p>
          <w:p>
            <w:pPr>
              <w:keepNext w:val="0"/>
              <w:keepLines w:val="0"/>
              <w:suppressLineNumbers w:val="0"/>
              <w:spacing w:before="0" w:beforeAutospacing="0" w:after="0" w:afterAutospacing="0" w:line="360" w:lineRule="auto"/>
              <w:ind w:left="-103" w:leftChars="-49" w:right="0" w:firstLine="422" w:firstLineChars="201"/>
              <w:rPr>
                <w:rFonts w:hint="eastAsia"/>
                <w:lang w:val="en-US" w:eastAsia="zh-CN"/>
              </w:rPr>
            </w:pPr>
            <w:r>
              <w:rPr>
                <w:rFonts w:hint="eastAsia"/>
              </w:rPr>
              <w:t>施工要求的质量标准：</w:t>
            </w:r>
            <w:r>
              <w:rPr>
                <w:rFonts w:hint="default"/>
              </w:rPr>
              <w:t>达到《建设工程施工质量验收统一标准》及国家颁布的施工验收规范和质量检验标准，全部工程达到合格标准</w:t>
            </w:r>
            <w:r>
              <w:rPr>
                <w:rFonts w:hint="eastAsia"/>
                <w:lang w:val="en-US" w:eastAsia="zh-CN"/>
              </w:rPr>
              <w:t xml:space="preserve">； </w:t>
            </w:r>
          </w:p>
          <w:p>
            <w:pPr>
              <w:pStyle w:val="25"/>
              <w:keepNext w:val="0"/>
              <w:keepLines w:val="0"/>
              <w:suppressLineNumbers w:val="0"/>
              <w:spacing w:before="0" w:beforeAutospacing="0" w:after="0" w:afterAutospacing="0"/>
              <w:ind w:left="0" w:right="0" w:firstLine="420" w:firstLineChars="200"/>
              <w:rPr>
                <w:rFonts w:hint="eastAsia"/>
                <w:lang w:val="en-US" w:eastAsia="zh-CN"/>
              </w:rPr>
            </w:pPr>
            <w:r>
              <w:rPr>
                <w:rFonts w:hint="eastAsia" w:ascii="Times New Roman" w:hAnsi="Times New Roman" w:eastAsia="宋体" w:cs="Times New Roman"/>
                <w:kern w:val="2"/>
                <w:sz w:val="21"/>
                <w:szCs w:val="24"/>
                <w:lang w:val="en-US" w:eastAsia="zh-CN" w:bidi="ar-SA"/>
              </w:rPr>
              <w:t>设备及材料采购部分质量标准：设备质量符合国家、行业及地方现行相关法律法规、规范及技术标准并满足本项目的要求。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65" w:type="dxa"/>
            <w:vMerge w:val="continue"/>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p>
        </w:tc>
        <w:tc>
          <w:tcPr>
            <w:tcW w:w="1770" w:type="dxa"/>
            <w:gridSpan w:val="2"/>
            <w:vMerge w:val="continue"/>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default" w:ascii="Calibri" w:hAnsi="Calibri" w:cs="Calibri"/>
                <w:color w:val="auto"/>
                <w:szCs w:val="21"/>
                <w:highlight w:val="none"/>
              </w:rPr>
              <w:t>保修要求：</w:t>
            </w:r>
            <w:r>
              <w:rPr>
                <w:rFonts w:hint="default" w:ascii="Times New Roman" w:hAnsi="Times New Roman" w:eastAsia="宋体" w:cs="Times New Roman"/>
                <w:color w:val="auto"/>
                <w:szCs w:val="24"/>
                <w:highlight w:val="none"/>
                <w:u w:val="single"/>
              </w:rPr>
              <w:t xml:space="preserve">按建设部【2000】年80号令保修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.4</w:t>
            </w:r>
            <w:r>
              <w:rPr>
                <w:rFonts w:hint="default"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资质条件</w:t>
            </w:r>
          </w:p>
        </w:tc>
        <w:tc>
          <w:tcPr>
            <w:tcW w:w="6096" w:type="dxa"/>
            <w:noWrap w:val="0"/>
            <w:vAlign w:val="center"/>
          </w:tcPr>
          <w:p>
            <w:pPr>
              <w:keepNext w:val="0"/>
              <w:keepLines w:val="0"/>
              <w:suppressLineNumbers w:val="0"/>
              <w:spacing w:before="0" w:beforeAutospacing="0" w:after="0" w:afterAutospacing="0" w:line="360" w:lineRule="auto"/>
              <w:ind w:left="0" w:right="0"/>
              <w:rPr>
                <w:rFonts w:hint="default"/>
              </w:rPr>
            </w:pPr>
            <w:r>
              <w:rPr>
                <w:rFonts w:hint="eastAsia"/>
              </w:rPr>
              <w:t>1.</w:t>
            </w:r>
            <w:r>
              <w:rPr>
                <w:rFonts w:hint="default"/>
              </w:rPr>
              <w:t xml:space="preserve">具有独立法人资格并依法取得企业营业执照，营业执照处于有效期； </w:t>
            </w:r>
          </w:p>
          <w:p>
            <w:pPr>
              <w:keepNext w:val="0"/>
              <w:keepLines w:val="0"/>
              <w:suppressLineNumbers w:val="0"/>
              <w:spacing w:before="0" w:beforeAutospacing="0" w:after="0" w:afterAutospacing="0" w:line="360" w:lineRule="auto"/>
              <w:ind w:left="0" w:right="0"/>
              <w:rPr>
                <w:rFonts w:hint="eastAsia"/>
              </w:rPr>
            </w:pPr>
            <w:r>
              <w:rPr>
                <w:rFonts w:hint="eastAsia"/>
              </w:rPr>
              <w:t>2. 须同时具备以下资质，资质证书处于有效期内：</w:t>
            </w:r>
          </w:p>
          <w:p>
            <w:pPr>
              <w:keepNext w:val="0"/>
              <w:keepLines w:val="0"/>
              <w:suppressLineNumbers w:val="0"/>
              <w:spacing w:before="0" w:beforeAutospacing="0" w:after="0" w:afterAutospacing="0" w:line="360" w:lineRule="auto"/>
              <w:ind w:left="0" w:right="0"/>
              <w:jc w:val="left"/>
              <w:rPr>
                <w:rFonts w:hint="eastAsia"/>
              </w:rPr>
            </w:pPr>
            <w:r>
              <w:rPr>
                <w:rFonts w:hint="eastAsia"/>
              </w:rPr>
              <w:t>（1）施工资质：</w:t>
            </w:r>
            <w:r>
              <w:rPr>
                <w:rFonts w:hint="default"/>
              </w:rPr>
              <w:t>具备</w:t>
            </w:r>
            <w:r>
              <w:rPr>
                <w:rFonts w:hint="eastAsia"/>
              </w:rPr>
              <w:t>住房城乡</w:t>
            </w:r>
            <w:r>
              <w:rPr>
                <w:rFonts w:hint="default"/>
              </w:rPr>
              <w:t>建设主管部门颁发的</w:t>
            </w:r>
            <w:r>
              <w:rPr>
                <w:rFonts w:hint="eastAsia"/>
              </w:rPr>
              <w:t>建筑工程施工总承包</w:t>
            </w:r>
            <w:r>
              <w:rPr>
                <w:rFonts w:hint="eastAsia"/>
                <w:lang w:val="en-US" w:eastAsia="zh-CN"/>
              </w:rPr>
              <w:t>三级及以上</w:t>
            </w:r>
            <w:r>
              <w:rPr>
                <w:rFonts w:hint="default"/>
              </w:rPr>
              <w:t>资质，安全生产许可证处于有效期；</w:t>
            </w:r>
          </w:p>
          <w:p>
            <w:pPr>
              <w:keepNext w:val="0"/>
              <w:keepLines w:val="0"/>
              <w:suppressLineNumbers w:val="0"/>
              <w:spacing w:before="0" w:beforeAutospacing="0" w:after="0" w:afterAutospacing="0" w:line="360" w:lineRule="auto"/>
              <w:ind w:left="0" w:right="0"/>
              <w:jc w:val="left"/>
              <w:rPr>
                <w:rFonts w:hint="eastAsia"/>
              </w:rPr>
            </w:pPr>
            <w:r>
              <w:rPr>
                <w:rFonts w:hint="eastAsia"/>
              </w:rPr>
              <w:t>（2）设计资质：</w:t>
            </w:r>
            <w:r>
              <w:rPr>
                <w:rFonts w:hint="eastAsia"/>
                <w:lang w:val="en-US" w:eastAsia="zh-CN"/>
              </w:rPr>
              <w:t>工程设计综合甲级资质或建筑工程设计行业丙级及以上或建筑工程设计专业丙级及以上</w:t>
            </w:r>
            <w:r>
              <w:rPr>
                <w:rFonts w:hint="eastAsia"/>
              </w:rPr>
              <w:t>；</w:t>
            </w:r>
          </w:p>
          <w:p>
            <w:pPr>
              <w:keepNext w:val="0"/>
              <w:keepLines w:val="0"/>
              <w:suppressLineNumbers w:val="0"/>
              <w:spacing w:before="0" w:beforeAutospacing="0" w:after="0" w:afterAutospacing="0" w:line="360" w:lineRule="auto"/>
              <w:ind w:left="0" w:right="0"/>
              <w:rPr>
                <w:rFonts w:hint="default"/>
              </w:rPr>
            </w:pPr>
            <w:r>
              <w:rPr>
                <w:rFonts w:hint="eastAsia"/>
              </w:rPr>
              <w:t>3.</w:t>
            </w:r>
            <w:r>
              <w:rPr>
                <w:rFonts w:hint="default"/>
              </w:rPr>
              <w:t xml:space="preserve"> 拟任</w:t>
            </w:r>
            <w:r>
              <w:rPr>
                <w:rFonts w:hint="eastAsia"/>
              </w:rPr>
              <w:t>工程总承包项目负责人</w:t>
            </w:r>
            <w:r>
              <w:rPr>
                <w:rFonts w:hint="default"/>
              </w:rPr>
              <w:t>具备</w:t>
            </w:r>
            <w:r>
              <w:rPr>
                <w:rFonts w:hint="eastAsia"/>
              </w:rPr>
              <w:t>建筑工程</w:t>
            </w:r>
            <w:r>
              <w:rPr>
                <w:rFonts w:hint="default"/>
              </w:rPr>
              <w:t>专业</w:t>
            </w:r>
            <w:r>
              <w:rPr>
                <w:rFonts w:hint="eastAsia"/>
                <w:lang w:val="en-US" w:eastAsia="zh-CN"/>
              </w:rPr>
              <w:t>贰级及以上注册建造师</w:t>
            </w:r>
            <w:r>
              <w:rPr>
                <w:rFonts w:hint="eastAsia"/>
              </w:rPr>
              <w:t>；</w:t>
            </w:r>
          </w:p>
          <w:p>
            <w:pPr>
              <w:keepNext w:val="0"/>
              <w:keepLines w:val="0"/>
              <w:suppressLineNumbers w:val="0"/>
              <w:spacing w:before="0" w:beforeAutospacing="0" w:after="0" w:afterAutospacing="0" w:line="360" w:lineRule="auto"/>
              <w:ind w:left="0" w:right="0"/>
              <w:rPr>
                <w:rFonts w:hint="default"/>
              </w:rPr>
            </w:pPr>
            <w:r>
              <w:rPr>
                <w:rFonts w:hint="eastAsia"/>
              </w:rPr>
              <w:t>4. 拟任施工项目负责人</w:t>
            </w:r>
            <w:r>
              <w:rPr>
                <w:rFonts w:hint="default"/>
              </w:rPr>
              <w:t>具备建筑工程专业</w:t>
            </w:r>
            <w:r>
              <w:rPr>
                <w:rFonts w:hint="default"/>
                <w:lang w:val="en-US" w:eastAsia="zh-CN"/>
              </w:rPr>
              <w:t>贰级及以上注册建造师</w:t>
            </w:r>
            <w:r>
              <w:rPr>
                <w:rFonts w:hint="default"/>
              </w:rPr>
              <w:t>资格</w:t>
            </w:r>
            <w:r>
              <w:rPr>
                <w:rFonts w:hint="eastAsia"/>
              </w:rPr>
              <w:t>，</w:t>
            </w:r>
            <w:r>
              <w:rPr>
                <w:rFonts w:hint="default"/>
              </w:rPr>
              <w:t>具备项目负责人安全生产考核合格证书</w:t>
            </w:r>
            <w:r>
              <w:rPr>
                <w:rFonts w:hint="eastAsia"/>
              </w:rPr>
              <w:t>；</w:t>
            </w:r>
          </w:p>
          <w:p>
            <w:pPr>
              <w:keepNext w:val="0"/>
              <w:keepLines w:val="0"/>
              <w:suppressLineNumbers w:val="0"/>
              <w:spacing w:before="0" w:beforeAutospacing="0" w:after="0" w:afterAutospacing="0" w:line="360" w:lineRule="auto"/>
              <w:ind w:left="0" w:right="0"/>
              <w:rPr>
                <w:rFonts w:hint="default"/>
              </w:rPr>
            </w:pPr>
            <w:r>
              <w:rPr>
                <w:rFonts w:hint="eastAsia"/>
              </w:rPr>
              <w:t>5. 拟任设计项目</w:t>
            </w:r>
            <w:r>
              <w:rPr>
                <w:rFonts w:hint="default"/>
              </w:rPr>
              <w:t>负责人具备</w:t>
            </w:r>
            <w:r>
              <w:rPr>
                <w:rFonts w:hint="default"/>
                <w:color w:val="auto"/>
                <w:sz w:val="21"/>
                <w:szCs w:val="21"/>
                <w:highlight w:val="none"/>
                <w:u w:val="single"/>
              </w:rPr>
              <w:t xml:space="preserve"> </w:t>
            </w:r>
            <w:r>
              <w:rPr>
                <w:rFonts w:hint="eastAsia"/>
                <w:color w:val="auto"/>
                <w:sz w:val="21"/>
                <w:szCs w:val="21"/>
                <w:highlight w:val="none"/>
                <w:u w:val="single"/>
                <w:lang w:val="en-US" w:eastAsia="zh-CN"/>
              </w:rPr>
              <w:t>/</w:t>
            </w:r>
            <w:r>
              <w:rPr>
                <w:rFonts w:hint="default"/>
                <w:color w:val="auto"/>
                <w:sz w:val="21"/>
                <w:szCs w:val="21"/>
                <w:highlight w:val="none"/>
                <w:u w:val="single"/>
              </w:rPr>
              <w:t xml:space="preserve">  </w:t>
            </w:r>
            <w:r>
              <w:rPr>
                <w:rFonts w:hint="default"/>
                <w:color w:val="auto"/>
                <w:sz w:val="21"/>
                <w:szCs w:val="21"/>
                <w:highlight w:val="none"/>
              </w:rPr>
              <w:t>专业</w:t>
            </w:r>
            <w:r>
              <w:rPr>
                <w:rFonts w:hint="eastAsia"/>
                <w:color w:val="auto"/>
                <w:sz w:val="21"/>
                <w:szCs w:val="21"/>
                <w:highlight w:val="none"/>
                <w:u w:val="single"/>
                <w:lang w:val="en-US" w:eastAsia="zh-CN"/>
              </w:rPr>
              <w:t>贰</w:t>
            </w:r>
            <w:r>
              <w:rPr>
                <w:rFonts w:hint="eastAsia"/>
                <w:color w:val="auto"/>
                <w:sz w:val="21"/>
                <w:szCs w:val="21"/>
                <w:highlight w:val="none"/>
                <w:u w:val="single"/>
              </w:rPr>
              <w:t>级</w:t>
            </w:r>
            <w:r>
              <w:rPr>
                <w:rFonts w:hint="eastAsia"/>
                <w:color w:val="auto"/>
                <w:sz w:val="21"/>
                <w:szCs w:val="21"/>
                <w:highlight w:val="none"/>
                <w:u w:val="single"/>
                <w:lang w:val="en-US" w:eastAsia="zh-CN"/>
              </w:rPr>
              <w:t>及以上</w:t>
            </w:r>
            <w:r>
              <w:rPr>
                <w:rFonts w:hint="eastAsia"/>
                <w:color w:val="auto"/>
                <w:sz w:val="21"/>
                <w:szCs w:val="21"/>
                <w:highlight w:val="none"/>
                <w:u w:val="single"/>
              </w:rPr>
              <w:t>注册建筑师</w:t>
            </w:r>
            <w:r>
              <w:rPr>
                <w:rFonts w:hint="default"/>
                <w:color w:val="auto"/>
                <w:sz w:val="21"/>
                <w:szCs w:val="21"/>
                <w:highlight w:val="none"/>
                <w:u w:val="single"/>
              </w:rPr>
              <w:t xml:space="preserve"> </w:t>
            </w:r>
            <w:r>
              <w:rPr>
                <w:rFonts w:hint="eastAsia" w:ascii="Calibri" w:hAnsi="Calibri" w:cs="Calibri"/>
                <w:color w:val="auto"/>
                <w:sz w:val="21"/>
                <w:szCs w:val="21"/>
                <w:highlight w:val="none"/>
              </w:rPr>
              <w:sym w:font="Wingdings 2" w:char="0052"/>
            </w:r>
            <w:r>
              <w:rPr>
                <w:rFonts w:hint="default"/>
                <w:color w:val="auto"/>
                <w:sz w:val="21"/>
                <w:szCs w:val="21"/>
                <w:highlight w:val="none"/>
              </w:rPr>
              <w:t>资格</w:t>
            </w:r>
            <w:r>
              <w:rPr>
                <w:rFonts w:hint="eastAsia" w:ascii="宋体" w:hAnsi="宋体"/>
                <w:color w:val="auto"/>
                <w:sz w:val="21"/>
                <w:szCs w:val="21"/>
                <w:highlight w:val="none"/>
              </w:rPr>
              <w:sym w:font="Wingdings 2" w:char="00A3"/>
            </w:r>
            <w:r>
              <w:rPr>
                <w:rFonts w:hint="eastAsia"/>
                <w:color w:val="auto"/>
                <w:sz w:val="21"/>
                <w:szCs w:val="21"/>
                <w:highlight w:val="none"/>
              </w:rPr>
              <w:t>职称</w:t>
            </w:r>
            <w:r>
              <w:rPr>
                <w:rFonts w:hint="default"/>
              </w:rPr>
              <w:t>；</w:t>
            </w:r>
          </w:p>
          <w:p>
            <w:pPr>
              <w:keepNext w:val="0"/>
              <w:keepLines w:val="0"/>
              <w:suppressLineNumbers w:val="0"/>
              <w:spacing w:before="0" w:beforeAutospacing="0" w:after="0" w:afterAutospacing="0" w:line="360" w:lineRule="auto"/>
              <w:ind w:left="0" w:right="0"/>
              <w:rPr>
                <w:rFonts w:hint="eastAsia"/>
              </w:rPr>
            </w:pPr>
            <w:r>
              <w:rPr>
                <w:rFonts w:hint="eastAsia"/>
              </w:rPr>
              <w:t>6</w:t>
            </w:r>
            <w:r>
              <w:rPr>
                <w:rFonts w:hint="default"/>
              </w:rPr>
              <w:t xml:space="preserve"> </w:t>
            </w:r>
            <w:r>
              <w:rPr>
                <w:rFonts w:hint="eastAsia"/>
              </w:rPr>
              <w:t>.</w:t>
            </w:r>
            <w:r>
              <w:rPr>
                <w:rFonts w:hint="default"/>
              </w:rPr>
              <w:t>类似工程业绩要求</w:t>
            </w:r>
            <w:r>
              <w:rPr>
                <w:rFonts w:hint="eastAsia"/>
              </w:rPr>
              <w:t>：具体要求</w:t>
            </w:r>
            <w:r>
              <w:rPr>
                <w:rFonts w:hint="default"/>
              </w:rPr>
              <w:t>详见本表第</w:t>
            </w:r>
            <w:r>
              <w:rPr>
                <w:rFonts w:hint="eastAsia"/>
              </w:rPr>
              <w:t>1</w:t>
            </w:r>
            <w:r>
              <w:rPr>
                <w:rFonts w:hint="default"/>
              </w:rPr>
              <w:t>0.1</w:t>
            </w:r>
            <w:r>
              <w:rPr>
                <w:rFonts w:hint="eastAsia"/>
              </w:rPr>
              <w:t>项；</w:t>
            </w:r>
          </w:p>
          <w:p>
            <w:pPr>
              <w:keepNext w:val="0"/>
              <w:keepLines w:val="0"/>
              <w:suppressLineNumbers w:val="0"/>
              <w:spacing w:before="0" w:beforeAutospacing="0" w:after="0" w:afterAutospacing="0" w:line="360" w:lineRule="auto"/>
              <w:ind w:left="0" w:right="0"/>
              <w:rPr>
                <w:rFonts w:hint="default"/>
              </w:rPr>
            </w:pPr>
            <w:r>
              <w:rPr>
                <w:rFonts w:hint="eastAsia"/>
              </w:rPr>
              <w:t>7.</w:t>
            </w:r>
            <w:r>
              <w:rPr>
                <w:rFonts w:hint="default"/>
              </w:rPr>
              <w:t xml:space="preserve"> </w:t>
            </w:r>
            <w:r>
              <w:rPr>
                <w:rFonts w:hint="eastAsia"/>
              </w:rPr>
              <w:t>本项目的项目建议书、可行性研究报告、初步设计文件编制单位及其评估单位：</w:t>
            </w:r>
          </w:p>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sym w:font="Wingdings 2" w:char="00A3"/>
            </w:r>
            <w:r>
              <w:rPr>
                <w:rFonts w:hint="eastAsia"/>
              </w:rPr>
              <w:t>不得参加投标</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sym w:font="Wingdings 2" w:char="0052"/>
            </w:r>
            <w:r>
              <w:rPr>
                <w:rFonts w:hint="eastAsia"/>
              </w:rPr>
              <w:t>允许参加投标，且招标人在发布招标文件时应同步公开已经完成的项目建议书、可行性研究报告、初步设计文件，其中设计图纸提供可编辑的CAD版本；</w:t>
            </w:r>
          </w:p>
          <w:p>
            <w:pPr>
              <w:keepNext w:val="0"/>
              <w:keepLines w:val="0"/>
              <w:numPr>
                <w:ilvl w:val="0"/>
                <w:numId w:val="10"/>
              </w:numPr>
              <w:suppressLineNumbers w:val="0"/>
              <w:snapToGrid w:val="0"/>
              <w:spacing w:before="0" w:beforeAutospacing="0" w:after="0" w:afterAutospacing="0" w:line="360" w:lineRule="auto"/>
              <w:ind w:left="0" w:right="0" w:firstLine="420" w:firstLineChars="200"/>
              <w:rPr>
                <w:rFonts w:hint="eastAsia"/>
              </w:rPr>
            </w:pPr>
            <w:r>
              <w:rPr>
                <w:rFonts w:hint="default"/>
              </w:rPr>
              <w:t>其他</w:t>
            </w:r>
          </w:p>
          <w:p>
            <w:pPr>
              <w:keepNext w:val="0"/>
              <w:keepLines w:val="0"/>
              <w:numPr>
                <w:ilvl w:val="1"/>
                <w:numId w:val="10"/>
              </w:numPr>
              <w:suppressLineNumbers w:val="0"/>
              <w:spacing w:before="0" w:beforeAutospacing="0" w:after="0" w:afterAutospacing="0" w:line="360" w:lineRule="auto"/>
              <w:ind w:left="0" w:right="0" w:firstLine="420" w:firstLineChars="200"/>
              <w:rPr>
                <w:rFonts w:hint="default"/>
                <w:color w:val="auto"/>
              </w:rPr>
            </w:pPr>
            <w:r>
              <w:rPr>
                <w:rFonts w:hint="eastAsia"/>
                <w:color w:val="auto"/>
                <w:lang w:val="en-US" w:eastAsia="zh-CN"/>
              </w:rPr>
              <w:t>本项目总承包项目负责人可兼任施工项目负责人</w:t>
            </w:r>
            <w:r>
              <w:rPr>
                <w:rFonts w:hint="eastAsia"/>
                <w:color w:val="auto"/>
              </w:rPr>
              <w:t>。</w:t>
            </w:r>
          </w:p>
          <w:p>
            <w:pPr>
              <w:keepNext w:val="0"/>
              <w:keepLines w:val="0"/>
              <w:numPr>
                <w:ilvl w:val="0"/>
                <w:numId w:val="0"/>
              </w:numPr>
              <w:suppressLineNumbers w:val="0"/>
              <w:spacing w:before="0" w:beforeAutospacing="0" w:after="0" w:afterAutospacing="0" w:line="360" w:lineRule="auto"/>
              <w:ind w:left="0" w:right="0" w:rightChars="0" w:firstLine="420" w:firstLineChars="200"/>
              <w:rPr>
                <w:rFonts w:hint="default"/>
              </w:rPr>
            </w:pPr>
            <w:r>
              <w:rPr>
                <w:rFonts w:hint="default"/>
                <w:color w:val="auto"/>
              </w:rPr>
              <w:t>8.2本项目不得将应当由一个承包单位完成的建筑工程肢解成若干部分发包给几个承包单位。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4</w:t>
            </w:r>
            <w:r>
              <w:rPr>
                <w:rFonts w:hint="default" w:ascii="Calibri" w:hAnsi="Calibri" w:cs="Calibri"/>
                <w:color w:val="auto"/>
                <w:szCs w:val="21"/>
                <w:highlight w:val="none"/>
              </w:rPr>
              <w:t>.2</w:t>
            </w:r>
          </w:p>
        </w:tc>
        <w:tc>
          <w:tcPr>
            <w:tcW w:w="1770" w:type="dxa"/>
            <w:gridSpan w:val="2"/>
            <w:noWrap w:val="0"/>
            <w:vAlign w:val="center"/>
          </w:tcPr>
          <w:p>
            <w:pPr>
              <w:keepNext w:val="0"/>
              <w:keepLines w:val="0"/>
              <w:suppressLineNumbers w:val="0"/>
              <w:spacing w:before="0" w:beforeAutospacing="0" w:after="0" w:afterAutospacing="0" w:line="360" w:lineRule="auto"/>
              <w:ind w:left="0" w:right="0" w:firstLine="210" w:firstLineChars="100"/>
              <w:rPr>
                <w:rFonts w:hint="default" w:ascii="Calibri" w:hAnsi="Calibri" w:cs="Calibri"/>
                <w:color w:val="auto"/>
                <w:szCs w:val="21"/>
                <w:highlight w:val="none"/>
              </w:rPr>
            </w:pPr>
            <w:r>
              <w:rPr>
                <w:rFonts w:hint="default" w:ascii="Calibri" w:hAnsi="Calibri" w:cs="Calibri"/>
                <w:color w:val="auto"/>
                <w:szCs w:val="21"/>
                <w:highlight w:val="none"/>
              </w:rPr>
              <w:t>是否接受</w:t>
            </w:r>
          </w:p>
          <w:p>
            <w:pPr>
              <w:keepNext w:val="0"/>
              <w:keepLines w:val="0"/>
              <w:suppressLineNumbers w:val="0"/>
              <w:spacing w:before="0" w:beforeAutospacing="0" w:after="0" w:afterAutospacing="0" w:line="360" w:lineRule="auto"/>
              <w:ind w:left="0" w:right="0" w:firstLine="105" w:firstLineChars="50"/>
              <w:rPr>
                <w:rFonts w:hint="default" w:ascii="Calibri" w:hAnsi="Calibri" w:cs="Calibri"/>
                <w:color w:val="auto"/>
                <w:szCs w:val="21"/>
                <w:highlight w:val="none"/>
              </w:rPr>
            </w:pPr>
            <w:r>
              <w:rPr>
                <w:rFonts w:hint="default" w:ascii="Calibri" w:hAnsi="Calibri" w:cs="Calibri"/>
                <w:color w:val="auto"/>
                <w:szCs w:val="21"/>
                <w:highlight w:val="none"/>
              </w:rPr>
              <w:t>联合体投标</w:t>
            </w:r>
          </w:p>
        </w:tc>
        <w:tc>
          <w:tcPr>
            <w:tcW w:w="6096" w:type="dxa"/>
            <w:noWrap w:val="0"/>
            <w:vAlign w:val="center"/>
          </w:tcPr>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接受，应满足下列要求：</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联合体成员不超过2家，联合体牵头单位须具有建筑工程施工总承包叁级及以上资质。联合体投标人除了需满足上述要求以外，同时需满足以下资格条件：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1、联合体各方均应具有独立的法人资格，并依法取得企业法人 </w:t>
            </w:r>
          </w:p>
          <w:p>
            <w:pPr>
              <w:pStyle w:val="3"/>
              <w:keepNext w:val="0"/>
              <w:keepLines w:val="0"/>
              <w:suppressLineNumbers w:val="0"/>
              <w:spacing w:before="0" w:beforeAutospacing="0" w:afterAutospacing="0"/>
              <w:ind w:left="0" w:right="0"/>
              <w:rPr>
                <w:rFonts w:hint="eastAsia" w:eastAsia="宋体"/>
                <w:lang w:val="en-US" w:eastAsia="zh-CN"/>
              </w:rPr>
            </w:pPr>
            <w:r>
              <w:rPr>
                <w:rFonts w:hint="eastAsia" w:eastAsia="宋体"/>
                <w:lang w:val="en-US" w:eastAsia="zh-CN"/>
              </w:rPr>
              <w:t xml:space="preserve">营业执照，企业法人营业执照应处于有效期。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2、联合体成员应按招标文件提供的格式签订联合体协议书，明确联合体牵头人和各方权利义务。各方联合体各成员在投标、签约与履行合同过程中，依法向招标人承担连带责任。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3、联合体中有二个设计单位的，联合体协议书应按照招标文件提供的格式必须明确各自承担设计职责分工及占比，未明确各自承担设计工作内容及占比视为无效投标。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4、联合体中有二个施工单位的，联合体协议书应按照招标文件提供的格式必须明确各自承担施工职责分工及占比，未明确各自承担施工工作内容及占比视为无效投标。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5、由同一专业的单位组成的联合体，按照资质等级较低的单位确定资质等级。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6、联合体协议书中必须明确联合体牵头人合法代表联合体各方 成员负责本标段投标活动，并处理与投标和中标有关的一切事物。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 xml:space="preserve">7、联合体成员签订联合体协议书后，不得再以自己的名义单独投标，也不得组成新的联合体或参加其他联合体在本标段中投标。 </w:t>
            </w:r>
          </w:p>
          <w:p>
            <w:pPr>
              <w:pStyle w:val="3"/>
              <w:keepNext w:val="0"/>
              <w:keepLines w:val="0"/>
              <w:suppressLineNumbers w:val="0"/>
              <w:spacing w:before="0" w:beforeAutospacing="0" w:afterAutospacing="0"/>
              <w:ind w:left="0" w:right="0" w:firstLine="210" w:firstLineChars="100"/>
              <w:rPr>
                <w:rFonts w:hint="eastAsia" w:eastAsia="宋体"/>
                <w:lang w:val="en-US" w:eastAsia="zh-CN"/>
              </w:rPr>
            </w:pPr>
            <w:r>
              <w:rPr>
                <w:rFonts w:hint="eastAsia" w:eastAsia="宋体"/>
                <w:lang w:val="en-US" w:eastAsia="zh-CN"/>
              </w:rPr>
              <w:t>8、以联合体形式投标的，应当以联合体牵头人名义提交投标保证金，对联合体各成员均具有约束力。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1.5</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费用承担和设计成果补偿</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宋体" w:hAnsi="宋体" w:cs="Calibri"/>
                <w:color w:val="auto"/>
                <w:szCs w:val="21"/>
                <w:highlight w:val="none"/>
              </w:rPr>
            </w:pPr>
            <w:r>
              <w:rPr>
                <w:rFonts w:hint="eastAsia" w:ascii="Calibri" w:hAnsi="Calibri" w:cs="Calibri"/>
                <w:color w:val="auto"/>
                <w:szCs w:val="21"/>
                <w:highlight w:val="none"/>
              </w:rPr>
              <w:sym w:font="Wingdings 2" w:char="0052"/>
            </w:r>
            <w:r>
              <w:rPr>
                <w:rFonts w:hint="eastAsia" w:ascii="宋体" w:hAnsi="宋体" w:cs="Calibri"/>
                <w:color w:val="auto"/>
                <w:szCs w:val="21"/>
                <w:highlight w:val="none"/>
              </w:rPr>
              <w:t>不补偿</w:t>
            </w:r>
          </w:p>
          <w:p>
            <w:pPr>
              <w:keepNext w:val="0"/>
              <w:keepLines w:val="0"/>
              <w:suppressLineNumbers w:val="0"/>
              <w:spacing w:before="0" w:beforeAutospacing="0" w:after="0" w:afterAutospacing="0" w:line="360" w:lineRule="auto"/>
              <w:ind w:left="-103" w:leftChars="-49" w:right="0" w:firstLine="422" w:firstLineChars="201"/>
              <w:rPr>
                <w:rFonts w:hint="eastAsia" w:ascii="宋体" w:hAnsi="宋体" w:cs="Calibri"/>
                <w:color w:val="auto"/>
                <w:szCs w:val="21"/>
                <w:highlight w:val="none"/>
              </w:rPr>
            </w:pPr>
            <w:r>
              <w:rPr>
                <w:rFonts w:hint="default" w:ascii="宋体" w:hAnsi="宋体" w:cs="Calibri"/>
                <w:color w:val="auto"/>
                <w:szCs w:val="21"/>
                <w:highlight w:val="none"/>
              </w:rPr>
              <w:t>□</w:t>
            </w:r>
            <w:r>
              <w:rPr>
                <w:rFonts w:hint="eastAsia" w:ascii="宋体" w:hAnsi="宋体" w:cs="Calibri"/>
                <w:color w:val="auto"/>
                <w:szCs w:val="21"/>
                <w:highlight w:val="none"/>
              </w:rPr>
              <w:t>补偿，补偿标准：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Calibri" w:hAnsi="Calibri" w:cs="Calibri"/>
                <w:color w:val="auto"/>
                <w:szCs w:val="21"/>
                <w:highlight w:val="none"/>
              </w:rPr>
              <w:t>9.1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踏勘现场</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宋体" w:hAnsi="宋体" w:cs="Calibri"/>
                <w:color w:val="auto"/>
                <w:highlight w:val="none"/>
              </w:rPr>
            </w:pPr>
            <w:r>
              <w:rPr>
                <w:rFonts w:hint="eastAsia" w:ascii="宋体" w:hAnsi="宋体" w:eastAsia="宋体" w:cs="宋体"/>
                <w:color w:val="auto"/>
                <w:szCs w:val="21"/>
                <w:highlight w:val="none"/>
              </w:rPr>
              <w:t>☑不</w:t>
            </w:r>
            <w:r>
              <w:rPr>
                <w:rFonts w:hint="default" w:ascii="Calibri" w:hAnsi="Calibri" w:cs="Calibri"/>
                <w:color w:val="auto"/>
                <w:highlight w:val="none"/>
              </w:rPr>
              <w:t>组织</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highlight w:val="none"/>
              </w:rPr>
              <w:t>□</w:t>
            </w:r>
            <w:r>
              <w:rPr>
                <w:rFonts w:hint="default" w:ascii="Calibri" w:hAnsi="Calibri" w:cs="Calibri"/>
                <w:color w:val="auto"/>
                <w:highlight w:val="none"/>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1.1</w:t>
            </w:r>
            <w:r>
              <w:rPr>
                <w:rFonts w:hint="default" w:ascii="Calibri" w:hAnsi="Calibri" w:cs="Calibri"/>
                <w:color w:val="auto"/>
                <w:szCs w:val="21"/>
                <w:highlight w:val="none"/>
              </w:rPr>
              <w:t>0</w:t>
            </w:r>
            <w:r>
              <w:rPr>
                <w:rFonts w:hint="eastAsia"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招标人规定由分包人承担的工作</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宋体" w:hAnsi="宋体" w:eastAsia="宋体" w:cs="Calibri"/>
                <w:color w:val="auto"/>
                <w:szCs w:val="21"/>
                <w:highlight w:val="none"/>
                <w:lang w:val="en-US" w:eastAsia="zh-CN"/>
              </w:rPr>
            </w:pPr>
            <w:r>
              <w:rPr>
                <w:rFonts w:hint="eastAsia" w:ascii="宋体" w:hAnsi="宋体" w:cs="Calibri"/>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default" w:ascii="Calibri" w:hAnsi="Calibri" w:cs="Calibri"/>
                <w:color w:val="auto"/>
                <w:szCs w:val="21"/>
                <w:highlight w:val="none"/>
              </w:rPr>
              <w:t>1.10</w:t>
            </w:r>
            <w:r>
              <w:rPr>
                <w:rFonts w:hint="eastAsia" w:ascii="Calibri" w:hAnsi="Calibri" w:cs="Calibri"/>
                <w:color w:val="auto"/>
                <w:szCs w:val="21"/>
                <w:highlight w:val="none"/>
              </w:rPr>
              <w:t>.2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投标人拟</w:t>
            </w:r>
            <w:r>
              <w:rPr>
                <w:rFonts w:hint="default" w:ascii="Calibri" w:hAnsi="Calibri" w:cs="Calibri"/>
                <w:color w:val="auto"/>
                <w:szCs w:val="21"/>
                <w:highlight w:val="none"/>
              </w:rPr>
              <w:t>分包</w:t>
            </w:r>
            <w:r>
              <w:rPr>
                <w:rFonts w:hint="eastAsia" w:ascii="Calibri" w:hAnsi="Calibri" w:cs="Calibri"/>
                <w:color w:val="auto"/>
                <w:szCs w:val="21"/>
                <w:highlight w:val="none"/>
              </w:rPr>
              <w:t>的工作</w:t>
            </w:r>
          </w:p>
        </w:tc>
        <w:tc>
          <w:tcPr>
            <w:tcW w:w="6096" w:type="dxa"/>
            <w:noWrap w:val="0"/>
            <w:vAlign w:val="center"/>
          </w:tcPr>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szCs w:val="21"/>
                <w:highlight w:val="none"/>
              </w:rPr>
            </w:pPr>
            <w:r>
              <w:rPr>
                <w:rFonts w:hint="eastAsia" w:ascii="宋体" w:hAnsi="宋体" w:cs="Calibri"/>
                <w:color w:val="auto"/>
                <w:highlight w:val="none"/>
              </w:rPr>
              <w:sym w:font="Wingdings 2" w:char="0052"/>
            </w:r>
            <w:r>
              <w:rPr>
                <w:rFonts w:hint="default" w:ascii="Calibri" w:hAnsi="Calibri" w:cs="Calibri"/>
                <w:color w:val="auto"/>
                <w:szCs w:val="21"/>
                <w:highlight w:val="none"/>
              </w:rPr>
              <w:t>不允许</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szCs w:val="21"/>
                <w:highlight w:val="none"/>
              </w:rPr>
            </w:pPr>
            <w:r>
              <w:rPr>
                <w:rFonts w:hint="eastAsia" w:ascii="Calibri" w:hAnsi="Calibri" w:cs="Calibri"/>
                <w:color w:val="auto"/>
                <w:szCs w:val="21"/>
                <w:highlight w:val="none"/>
              </w:rPr>
              <w:sym w:font="Wingdings 2" w:char="00A3"/>
            </w:r>
            <w:r>
              <w:rPr>
                <w:rFonts w:hint="default" w:ascii="Calibri" w:hAnsi="Calibri" w:cs="Calibri"/>
                <w:color w:val="auto"/>
                <w:szCs w:val="21"/>
                <w:highlight w:val="none"/>
              </w:rPr>
              <w:t>允许，分包内容要求：</w:t>
            </w:r>
            <w:r>
              <w:rPr>
                <w:rFonts w:hint="eastAsia" w:ascii="Calibri" w:hAnsi="Calibri" w:cs="Calibri"/>
                <w:color w:val="auto"/>
                <w:highlight w:val="none"/>
              </w:rPr>
              <w:t>非主体、非关键性工作</w:t>
            </w:r>
          </w:p>
          <w:p>
            <w:pPr>
              <w:keepNext w:val="0"/>
              <w:keepLines w:val="0"/>
              <w:suppressLineNumbers w:val="0"/>
              <w:spacing w:before="0" w:beforeAutospacing="0" w:after="0" w:afterAutospacing="0" w:line="360" w:lineRule="auto"/>
              <w:ind w:left="0" w:leftChars="0" w:right="0" w:firstLine="0" w:firstLineChars="0"/>
              <w:rPr>
                <w:rFonts w:hint="eastAsia" w:ascii="Calibri" w:hAnsi="Calibri" w:eastAsia="宋体" w:cs="Calibri"/>
                <w:color w:val="auto"/>
                <w:szCs w:val="21"/>
                <w:highlight w:val="none"/>
                <w:lang w:val="en-US" w:eastAsia="zh-CN"/>
              </w:rPr>
            </w:pPr>
            <w:r>
              <w:rPr>
                <w:rFonts w:hint="default" w:ascii="Calibri" w:hAnsi="Calibri" w:cs="Calibri"/>
                <w:color w:val="auto"/>
                <w:szCs w:val="21"/>
                <w:highlight w:val="none"/>
              </w:rPr>
              <w:t xml:space="preserve">       分包金额要求：</w:t>
            </w:r>
            <w:r>
              <w:rPr>
                <w:rFonts w:hint="eastAsia" w:ascii="Calibri" w:hAnsi="Calibri" w:cs="Calibri"/>
                <w:color w:val="auto"/>
                <w:szCs w:val="21"/>
                <w:highlight w:val="none"/>
                <w:lang w:val="en-US" w:eastAsia="zh-CN"/>
              </w:rPr>
              <w:t>/</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szCs w:val="21"/>
                <w:highlight w:val="none"/>
              </w:rPr>
            </w:pPr>
            <w:r>
              <w:rPr>
                <w:rFonts w:hint="default" w:ascii="Calibri" w:hAnsi="Calibri" w:cs="Calibri"/>
                <w:color w:val="auto"/>
                <w:szCs w:val="21"/>
                <w:highlight w:val="none"/>
              </w:rPr>
              <w:t xml:space="preserve">       接受分包的第三人资质要求：</w:t>
            </w:r>
            <w:r>
              <w:rPr>
                <w:rFonts w:hint="eastAsia" w:ascii="Calibri" w:hAnsi="Calibri" w:cs="Calibri"/>
                <w:color w:val="auto"/>
                <w:szCs w:val="21"/>
                <w:highlight w:val="none"/>
                <w:lang w:val="en-US" w:eastAsia="zh-CN"/>
              </w:rPr>
              <w:t>具有承担分包工程相应的资质等级，不得违法分包。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1.1</w:t>
            </w:r>
            <w:r>
              <w:rPr>
                <w:rFonts w:hint="default"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偏  离</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不允许</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szCs w:val="21"/>
                <w:highlight w:val="none"/>
              </w:rPr>
              <w:t>□</w:t>
            </w:r>
            <w:r>
              <w:rPr>
                <w:rFonts w:hint="default" w:ascii="Calibri" w:hAnsi="Calibri" w:cs="Calibri"/>
                <w:color w:val="auto"/>
                <w:szCs w:val="21"/>
                <w:highlight w:val="none"/>
              </w:rPr>
              <w:t>允许，偏差范围：            偏差幅度：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2.1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构成招标文件的其他资料</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eastAsia="宋体" w:cs="Calibri"/>
                <w:color w:val="auto"/>
                <w:szCs w:val="21"/>
                <w:highlight w:val="none"/>
                <w:lang w:val="en-US" w:eastAsia="zh-CN"/>
              </w:rPr>
            </w:pPr>
            <w:r>
              <w:rPr>
                <w:rFonts w:hint="eastAsia" w:ascii="Calibri" w:hAnsi="Calibri" w:cs="Calibri"/>
                <w:color w:val="auto"/>
                <w:szCs w:val="21"/>
                <w:highlight w:val="none"/>
                <w:lang w:val="en-US" w:eastAsia="zh-CN"/>
              </w:rPr>
              <w:t>初步设计资料、概算清单等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2.2.1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投标人要求澄清</w:t>
            </w:r>
            <w:r>
              <w:rPr>
                <w:rFonts w:hint="default" w:ascii="Calibri" w:hAnsi="Calibri" w:cs="Calibri"/>
                <w:color w:val="auto"/>
                <w:szCs w:val="21"/>
                <w:highlight w:val="none"/>
              </w:rPr>
              <w:t>招标文件的时间和方式</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截止时间：</w:t>
            </w:r>
            <w:r>
              <w:rPr>
                <w:rFonts w:hint="eastAsia" w:ascii="Calibri" w:hAnsi="Calibri" w:cs="Calibri"/>
                <w:color w:val="auto"/>
                <w:szCs w:val="21"/>
                <w:highlight w:val="none"/>
                <w:u w:val="single"/>
              </w:rPr>
              <w:t>在投标截止时间 15 日</w:t>
            </w:r>
            <w:r>
              <w:rPr>
                <w:rFonts w:hint="eastAsia" w:ascii="Calibri" w:hAnsi="Calibri" w:cs="Calibri"/>
                <w:color w:val="auto"/>
                <w:szCs w:val="21"/>
                <w:highlight w:val="none"/>
              </w:rPr>
              <w:t xml:space="preserve">  </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eastAsia="宋体" w:cs="Calibri"/>
                <w:color w:val="auto"/>
                <w:szCs w:val="21"/>
                <w:highlight w:val="none"/>
                <w:lang w:val="en-US" w:eastAsia="zh-CN"/>
              </w:rPr>
            </w:pPr>
            <w:r>
              <w:rPr>
                <w:rFonts w:hint="default" w:ascii="Calibri" w:hAnsi="Calibri" w:cs="Calibri"/>
                <w:color w:val="auto"/>
                <w:szCs w:val="21"/>
                <w:highlight w:val="none"/>
              </w:rPr>
              <w:t>网络方式,提交至</w:t>
            </w:r>
            <w:r>
              <w:rPr>
                <w:rFonts w:hint="eastAsia" w:ascii="Times New Roman" w:hAnsi="Times New Roman" w:eastAsia="宋体" w:cs="Times New Roman"/>
                <w:color w:val="auto"/>
                <w:szCs w:val="21"/>
                <w:highlight w:val="none"/>
                <w:u w:val="single"/>
                <w:lang w:val="en-US" w:eastAsia="zh-CN"/>
              </w:rPr>
              <w:t>岳阳市公共资源交易中心电</w:t>
            </w:r>
            <w:r>
              <w:rPr>
                <w:rFonts w:hint="eastAsia" w:ascii="Times New Roman" w:hAnsi="Times New Roman" w:eastAsia="宋体" w:cs="Times New Roman"/>
                <w:color w:val="auto"/>
                <w:szCs w:val="21"/>
                <w:highlight w:val="none"/>
                <w:u w:val="single"/>
              </w:rPr>
              <w:t>子招标投标交易平台</w:t>
            </w:r>
            <w:r>
              <w:rPr>
                <w:rFonts w:hint="eastAsia" w:cs="Times New Roman"/>
                <w:color w:val="auto"/>
                <w:szCs w:val="21"/>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2.2.2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投标截止时间</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2023</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年</w:t>
            </w:r>
            <w:r>
              <w:rPr>
                <w:rFonts w:hint="eastAsia" w:ascii="Calibri" w:hAnsi="Calibri" w:cs="Calibri"/>
                <w:color w:val="auto"/>
                <w:szCs w:val="21"/>
                <w:highlight w:val="none"/>
                <w:u w:val="single"/>
                <w:lang w:val="en-US" w:eastAsia="zh-CN"/>
              </w:rPr>
              <w:t xml:space="preserve"> 12 </w:t>
            </w:r>
            <w:r>
              <w:rPr>
                <w:rFonts w:hint="default" w:ascii="Calibri" w:hAnsi="Calibri" w:cs="Calibri"/>
                <w:color w:val="auto"/>
                <w:szCs w:val="21"/>
                <w:highlight w:val="none"/>
              </w:rPr>
              <w:t>月</w:t>
            </w:r>
            <w:r>
              <w:rPr>
                <w:rFonts w:hint="eastAsia" w:ascii="Calibri" w:hAnsi="Calibri" w:cs="Calibri"/>
                <w:color w:val="auto"/>
                <w:szCs w:val="21"/>
                <w:highlight w:val="none"/>
                <w:u w:val="single"/>
                <w:lang w:val="en-US" w:eastAsia="zh-CN"/>
              </w:rPr>
              <w:t xml:space="preserve"> 4 </w:t>
            </w:r>
            <w:r>
              <w:rPr>
                <w:rFonts w:hint="default" w:ascii="Calibri" w:hAnsi="Calibri" w:cs="Calibri"/>
                <w:color w:val="auto"/>
                <w:szCs w:val="21"/>
                <w:highlight w:val="none"/>
              </w:rPr>
              <w:t>日</w:t>
            </w:r>
            <w:r>
              <w:rPr>
                <w:rFonts w:hint="eastAsia" w:ascii="Calibri" w:hAnsi="Calibri" w:cs="Calibri"/>
                <w:color w:val="auto"/>
                <w:szCs w:val="21"/>
                <w:highlight w:val="none"/>
                <w:u w:val="single"/>
                <w:lang w:val="en-US" w:eastAsia="zh-CN"/>
              </w:rPr>
              <w:t>9</w:t>
            </w:r>
            <w:r>
              <w:rPr>
                <w:rFonts w:hint="default" w:ascii="Calibri" w:hAnsi="Calibri" w:cs="Calibri"/>
                <w:color w:val="auto"/>
                <w:szCs w:val="21"/>
                <w:highlight w:val="none"/>
              </w:rPr>
              <w:t>时</w:t>
            </w:r>
            <w:r>
              <w:rPr>
                <w:rFonts w:hint="eastAsia" w:ascii="Calibri" w:hAnsi="Calibri" w:cs="Calibri"/>
                <w:color w:val="auto"/>
                <w:szCs w:val="21"/>
                <w:highlight w:val="none"/>
                <w:u w:val="single"/>
                <w:lang w:val="en-US" w:eastAsia="zh-CN"/>
              </w:rPr>
              <w:t>30</w:t>
            </w:r>
            <w:r>
              <w:rPr>
                <w:rFonts w:hint="default" w:ascii="Calibri" w:hAnsi="Calibri" w:cs="Calibri"/>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2.2.3</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澄清</w:t>
            </w:r>
            <w:r>
              <w:rPr>
                <w:rFonts w:hint="eastAsia" w:ascii="Calibri" w:hAnsi="Calibri" w:cs="Calibri"/>
                <w:color w:val="auto"/>
                <w:szCs w:val="21"/>
                <w:highlight w:val="none"/>
              </w:rPr>
              <w:t>和</w:t>
            </w:r>
            <w:r>
              <w:rPr>
                <w:rFonts w:hint="default" w:ascii="Calibri" w:hAnsi="Calibri" w:cs="Calibri"/>
                <w:color w:val="auto"/>
                <w:szCs w:val="21"/>
                <w:highlight w:val="none"/>
              </w:rPr>
              <w:t>修改</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招标文件的</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方式</w:t>
            </w:r>
          </w:p>
        </w:tc>
        <w:tc>
          <w:tcPr>
            <w:tcW w:w="6096" w:type="dxa"/>
            <w:noWrap w:val="0"/>
            <w:vAlign w:val="center"/>
          </w:tcPr>
          <w:p>
            <w:pPr>
              <w:keepNext w:val="0"/>
              <w:keepLines w:val="0"/>
              <w:suppressLineNumbers w:val="0"/>
              <w:snapToGrid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在</w:t>
            </w:r>
            <w:r>
              <w:rPr>
                <w:rFonts w:hint="eastAsia" w:ascii="Calibri" w:hAnsi="Calibri" w:cs="Calibri"/>
                <w:color w:val="auto"/>
                <w:szCs w:val="21"/>
                <w:highlight w:val="none"/>
                <w:u w:val="single"/>
                <w:lang w:val="en-US" w:eastAsia="zh-CN"/>
              </w:rPr>
              <w:t>湖南省招标投标监管网、岳阳市建设工程招标投标监管网、岳阳市公共资源交易网</w:t>
            </w:r>
            <w:r>
              <w:rPr>
                <w:rFonts w:hint="eastAsia" w:ascii="Calibri" w:hAnsi="Calibri" w:cs="Calibri"/>
                <w:color w:val="auto"/>
                <w:szCs w:val="21"/>
                <w:highlight w:val="none"/>
                <w:u w:val="single"/>
              </w:rPr>
              <w:t xml:space="preserve"> </w:t>
            </w:r>
            <w:r>
              <w:rPr>
                <w:rFonts w:hint="eastAsia" w:ascii="Calibri" w:hAnsi="Calibri" w:cs="Calibri"/>
                <w:color w:val="auto"/>
                <w:highlight w:val="none"/>
                <w:u w:val="single"/>
              </w:rPr>
              <w:t xml:space="preserve"> </w:t>
            </w:r>
            <w:r>
              <w:rPr>
                <w:rFonts w:hint="default" w:ascii="Calibri" w:hAnsi="Calibri" w:cs="Calibri"/>
                <w:color w:val="auto"/>
                <w:szCs w:val="21"/>
                <w:highlight w:val="none"/>
              </w:rPr>
              <w:t>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3.1</w:t>
            </w:r>
            <w:r>
              <w:rPr>
                <w:rFonts w:hint="eastAsia"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构成投标文件的的其他材料</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eastAsia="宋体" w:cs="Calibri"/>
                <w:color w:val="auto"/>
                <w:szCs w:val="21"/>
                <w:highlight w:val="none"/>
                <w:lang w:val="en-US" w:eastAsia="zh-CN"/>
              </w:rPr>
            </w:pPr>
            <w:r>
              <w:rPr>
                <w:rFonts w:hint="eastAsia" w:ascii="Calibri" w:hAnsi="Calibri" w:cs="Calibri"/>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highlight w:val="none"/>
              </w:rPr>
              <w:t>3.2.4</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最高投标限价和其计算方法及编制依据</w:t>
            </w:r>
          </w:p>
        </w:tc>
        <w:tc>
          <w:tcPr>
            <w:tcW w:w="6096" w:type="dxa"/>
            <w:noWrap w:val="0"/>
            <w:vAlign w:val="center"/>
          </w:tcPr>
          <w:p>
            <w:pPr>
              <w:keepNext w:val="0"/>
              <w:keepLines w:val="0"/>
              <w:suppressLineNumbers w:val="0"/>
              <w:spacing w:before="0" w:beforeAutospacing="0" w:after="0" w:afterAutospacing="0" w:line="360" w:lineRule="auto"/>
              <w:ind w:left="307" w:leftChars="146" w:right="0" w:firstLine="0" w:firstLineChars="0"/>
              <w:rPr>
                <w:rFonts w:hint="default" w:ascii="Calibri" w:hAnsi="Calibri" w:eastAsia="宋体" w:cs="Calibri"/>
                <w:color w:val="auto"/>
                <w:highlight w:val="none"/>
                <w:lang w:val="en-US" w:eastAsia="zh-CN"/>
              </w:rPr>
            </w:pPr>
            <w:r>
              <w:rPr>
                <w:rFonts w:hint="eastAsia" w:ascii="Calibri" w:hAnsi="Calibri" w:cs="Calibri"/>
                <w:color w:val="auto"/>
                <w:szCs w:val="21"/>
                <w:highlight w:val="none"/>
                <w:lang w:val="en-US" w:eastAsia="zh-CN"/>
              </w:rPr>
              <w:t>本次招标最高投标限价为：</w:t>
            </w:r>
            <w:r>
              <w:rPr>
                <w:rFonts w:hint="eastAsia" w:ascii="Calibri" w:hAnsi="Calibri" w:cs="Calibri"/>
                <w:color w:val="auto"/>
                <w:szCs w:val="21"/>
                <w:highlight w:val="none"/>
                <w:u w:val="single"/>
                <w:lang w:val="en-US" w:eastAsia="zh-CN"/>
              </w:rPr>
              <w:t xml:space="preserve"> 874.1</w:t>
            </w:r>
            <w:r>
              <w:rPr>
                <w:rFonts w:hint="eastAsia" w:ascii="Calibri" w:hAnsi="Calibri" w:cs="Calibri"/>
                <w:color w:val="auto"/>
                <w:szCs w:val="21"/>
                <w:highlight w:val="none"/>
                <w:lang w:val="en-US" w:eastAsia="zh-CN"/>
              </w:rPr>
              <w:t>万元，（其中：工程建设费用805.46万元、工程设计费22.28万元、工程保险费2.42万元、预备费43.94万元</w:t>
            </w:r>
            <w:r>
              <w:rPr>
                <w:rFonts w:hint="eastAsia" w:ascii="Calibri" w:hAnsi="Calibri" w:cs="Calibri"/>
                <w:color w:val="auto"/>
                <w:highlight w:val="none"/>
                <w:lang w:val="en-US" w:eastAsia="zh-CN"/>
              </w:rPr>
              <w:t>）具体详见最高投标限价汇总表。</w:t>
            </w:r>
          </w:p>
          <w:p>
            <w:pPr>
              <w:keepNext w:val="0"/>
              <w:keepLines w:val="0"/>
              <w:suppressLineNumbers w:val="0"/>
              <w:spacing w:before="0" w:beforeAutospacing="0" w:after="0" w:afterAutospacing="0" w:line="360" w:lineRule="auto"/>
              <w:ind w:left="97" w:leftChars="46" w:right="0" w:firstLine="210" w:firstLineChars="100"/>
              <w:rPr>
                <w:rFonts w:hint="default" w:ascii="Calibri" w:hAnsi="Calibri" w:eastAsia="宋体" w:cs="Calibri"/>
                <w:color w:val="auto"/>
                <w:highlight w:val="none"/>
                <w:lang w:val="en-US" w:eastAsia="zh-CN"/>
              </w:rPr>
            </w:pPr>
            <w:r>
              <w:rPr>
                <w:rFonts w:hint="eastAsia" w:ascii="Calibri" w:hAnsi="Calibri" w:cs="Calibri"/>
                <w:color w:val="auto"/>
                <w:highlight w:val="none"/>
                <w:lang w:val="en-US" w:eastAsia="zh-CN"/>
              </w:rPr>
              <w:t>注：预备费、工程保险费为不可竞争费。</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eastAsia="宋体" w:cs="Calibri"/>
                <w:color w:val="auto"/>
                <w:szCs w:val="21"/>
                <w:highlight w:val="none"/>
                <w:lang w:val="en-US" w:eastAsia="zh-CN"/>
              </w:rPr>
            </w:pPr>
            <w:r>
              <w:rPr>
                <w:rFonts w:hint="eastAsia" w:ascii="Calibri" w:hAnsi="Calibri" w:cs="Calibri"/>
                <w:color w:val="auto"/>
                <w:szCs w:val="21"/>
                <w:highlight w:val="none"/>
                <w:lang w:val="en-US" w:eastAsia="zh-CN"/>
              </w:rPr>
              <w:t>计算方法及编制依据详见概算清单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highlight w:val="none"/>
              </w:rPr>
              <w:t>3.2.5</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投标报价的其他要求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eastAsia="宋体" w:cs="Calibri"/>
                <w:color w:val="auto"/>
                <w:szCs w:val="21"/>
                <w:highlight w:val="none"/>
                <w:lang w:val="en-US" w:eastAsia="zh-CN"/>
              </w:rPr>
            </w:pPr>
            <w:r>
              <w:rPr>
                <w:rFonts w:hint="eastAsia" w:ascii="Calibri" w:hAnsi="Calibri" w:cs="Calibri"/>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3.</w:t>
            </w:r>
            <w:r>
              <w:rPr>
                <w:rFonts w:hint="eastAsia" w:ascii="Calibri" w:hAnsi="Calibri" w:cs="Calibri"/>
                <w:color w:val="auto"/>
                <w:szCs w:val="21"/>
                <w:highlight w:val="none"/>
              </w:rPr>
              <w:t>3.1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投标有效期</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u w:val="single"/>
              </w:rPr>
            </w:pPr>
            <w:r>
              <w:rPr>
                <w:rFonts w:hint="default" w:ascii="Calibri" w:hAnsi="Calibri" w:cs="Calibri"/>
                <w:color w:val="auto"/>
                <w:szCs w:val="21"/>
                <w:highlight w:val="none"/>
              </w:rPr>
              <w:t>自投标截止之日起</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90</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3.4.1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投标保证</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szCs w:val="21"/>
                <w:highlight w:val="none"/>
              </w:rPr>
              <w:t>□</w:t>
            </w:r>
            <w:r>
              <w:rPr>
                <w:rFonts w:hint="default" w:ascii="Calibri" w:hAnsi="Calibri" w:cs="Calibri"/>
                <w:color w:val="auto"/>
                <w:szCs w:val="21"/>
                <w:highlight w:val="none"/>
              </w:rPr>
              <w:t>不要求提交投标担保</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要求提交投标担保</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 xml:space="preserve">1.形式： </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（1）</w:t>
            </w:r>
            <w:r>
              <w:rPr>
                <w:rFonts w:hint="eastAsia" w:ascii="宋体" w:hAnsi="宋体" w:cs="Calibri"/>
                <w:color w:val="auto"/>
                <w:szCs w:val="21"/>
                <w:highlight w:val="none"/>
              </w:rPr>
              <w:t>□</w:t>
            </w:r>
            <w:r>
              <w:rPr>
                <w:rFonts w:hint="default" w:ascii="Calibri" w:hAnsi="Calibri" w:cs="Calibri"/>
                <w:color w:val="auto"/>
                <w:szCs w:val="21"/>
                <w:highlight w:val="none"/>
              </w:rPr>
              <w:t>承诺</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（2）</w:t>
            </w: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现金</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（3）</w:t>
            </w: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保函：包括：银行业金融机构保函</w:t>
            </w:r>
            <w:r>
              <w:rPr>
                <w:rFonts w:hint="eastAsia" w:ascii="Calibri" w:hAnsi="Calibri" w:cs="Calibri"/>
                <w:color w:val="auto"/>
                <w:szCs w:val="21"/>
                <w:highlight w:val="none"/>
              </w:rPr>
              <w:t>、担保公司担保（</w:t>
            </w: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 xml:space="preserve">融资性担保公司保函  </w:t>
            </w:r>
            <w:r>
              <w:rPr>
                <w:rFonts w:hint="eastAsia" w:ascii="宋体" w:hAnsi="宋体" w:cs="Calibri"/>
                <w:color w:val="auto"/>
                <w:highlight w:val="none"/>
              </w:rPr>
              <w:t>□</w:t>
            </w:r>
            <w:r>
              <w:rPr>
                <w:rFonts w:hint="default" w:ascii="Calibri" w:hAnsi="Calibri" w:cs="Calibri"/>
                <w:color w:val="auto"/>
                <w:szCs w:val="21"/>
                <w:highlight w:val="none"/>
              </w:rPr>
              <w:t>非融资性担保公司保函</w:t>
            </w:r>
            <w:r>
              <w:rPr>
                <w:rFonts w:hint="eastAsia" w:ascii="Calibri" w:hAnsi="Calibri" w:cs="Calibri"/>
                <w:color w:val="auto"/>
                <w:szCs w:val="21"/>
                <w:highlight w:val="none"/>
              </w:rPr>
              <w:t>）、</w:t>
            </w:r>
            <w:r>
              <w:rPr>
                <w:rFonts w:hint="default" w:ascii="Calibri" w:hAnsi="Calibri" w:cs="Calibri"/>
                <w:color w:val="auto"/>
                <w:szCs w:val="21"/>
                <w:highlight w:val="none"/>
              </w:rPr>
              <w:t>保险公司保证保险</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eastAsia="宋体" w:cs="Calibri"/>
                <w:color w:val="auto"/>
                <w:szCs w:val="21"/>
                <w:highlight w:val="none"/>
                <w:lang w:eastAsia="zh-CN"/>
              </w:rPr>
            </w:pPr>
            <w:r>
              <w:rPr>
                <w:rFonts w:hint="default" w:ascii="Calibri" w:hAnsi="Calibri" w:cs="Calibri"/>
                <w:color w:val="auto"/>
                <w:szCs w:val="21"/>
                <w:highlight w:val="none"/>
              </w:rPr>
              <w:t>2.现金和保函的担保金额人民币</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壹拾壹万</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元（￥</w:t>
            </w:r>
            <w:r>
              <w:rPr>
                <w:rFonts w:hint="eastAsia" w:ascii="Calibri" w:hAnsi="Calibri" w:cs="Calibri"/>
                <w:color w:val="auto"/>
                <w:szCs w:val="21"/>
                <w:highlight w:val="none"/>
                <w:lang w:val="en-US" w:eastAsia="zh-CN"/>
              </w:rPr>
              <w:t>110000.00</w:t>
            </w:r>
            <w:r>
              <w:rPr>
                <w:rFonts w:hint="default" w:ascii="Calibri" w:hAnsi="Calibri" w:cs="Calibri"/>
                <w:color w:val="auto"/>
                <w:szCs w:val="21"/>
                <w:highlight w:val="none"/>
              </w:rPr>
              <w:t>元）。</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3.提交方式：</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3.提交方式：</w:t>
            </w:r>
          </w:p>
          <w:p>
            <w:pPr>
              <w:keepNext w:val="0"/>
              <w:keepLines w:val="0"/>
              <w:suppressLineNumbers w:val="0"/>
              <w:spacing w:before="0" w:beforeAutospacing="0" w:after="0" w:afterAutospacing="0" w:line="360" w:lineRule="auto"/>
              <w:ind w:left="420" w:leftChars="0" w:right="0" w:hanging="420" w:hangingChars="200"/>
              <w:rPr>
                <w:rFonts w:hint="default" w:ascii="Calibri" w:hAnsi="Calibri" w:cs="Calibri"/>
                <w:color w:val="auto"/>
                <w:highlight w:val="none"/>
              </w:rPr>
            </w:pPr>
            <w:r>
              <w:rPr>
                <w:rFonts w:hint="default" w:ascii="Calibri" w:hAnsi="Calibri" w:cs="Calibri"/>
                <w:color w:val="auto"/>
                <w:highlight w:val="none"/>
              </w:rPr>
              <w:t>（1）采用现金的，</w:t>
            </w:r>
            <w:r>
              <w:rPr>
                <w:rFonts w:hint="default" w:ascii="Calibri" w:hAnsi="Calibri" w:cs="Calibri"/>
                <w:color w:val="auto"/>
                <w:highlight w:val="none"/>
                <w:lang w:val="en-US" w:eastAsia="zh-CN"/>
              </w:rPr>
              <w:t xml:space="preserve">保证金到账时间在投标截止时间2023年 </w:t>
            </w:r>
            <w:r>
              <w:rPr>
                <w:rFonts w:hint="eastAsia" w:ascii="Calibri" w:hAnsi="Calibri" w:cs="Calibri"/>
                <w:color w:val="auto"/>
                <w:highlight w:val="none"/>
                <w:lang w:val="en-US" w:eastAsia="zh-CN"/>
              </w:rPr>
              <w:t>12</w:t>
            </w:r>
            <w:r>
              <w:rPr>
                <w:rFonts w:hint="default" w:ascii="Calibri" w:hAnsi="Calibri" w:cs="Calibri"/>
                <w:color w:val="auto"/>
                <w:highlight w:val="none"/>
                <w:lang w:val="en-US" w:eastAsia="zh-CN"/>
              </w:rPr>
              <w:t xml:space="preserve"> 月 </w:t>
            </w:r>
            <w:r>
              <w:rPr>
                <w:rFonts w:hint="eastAsia" w:ascii="Calibri" w:hAnsi="Calibri" w:cs="Calibri"/>
                <w:color w:val="auto"/>
                <w:highlight w:val="none"/>
                <w:lang w:val="en-US" w:eastAsia="zh-CN"/>
              </w:rPr>
              <w:t>4</w:t>
            </w:r>
            <w:r>
              <w:rPr>
                <w:rFonts w:hint="default" w:ascii="Calibri" w:hAnsi="Calibri" w:cs="Calibri"/>
                <w:color w:val="auto"/>
                <w:highlight w:val="none"/>
                <w:lang w:val="en-US" w:eastAsia="zh-CN"/>
              </w:rPr>
              <w:t>日9时30分</w:t>
            </w:r>
            <w:r>
              <w:rPr>
                <w:rFonts w:hint="default" w:ascii="Calibri" w:hAnsi="Calibri" w:cs="Calibri"/>
                <w:color w:val="auto"/>
                <w:highlight w:val="none"/>
              </w:rPr>
              <w:t>，由投标人通过其基本账户转账到达如下账户</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 xml:space="preserve">户    名： 岳阳市公共资源交易中心 </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开户银行： 投标人在网上可自行选择保证金专户银行账户</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 xml:space="preserve">账    号： 随机生成 </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（2）采用承诺或保函的，符合招标文件第七章投标文件格式第一节“投标函格式”规定。</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4..联合体投标的，由牵头人递交。</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5. 采用担保公司担保形式的，投标人应在投标文件中提供担保公司与湖南省行政区域内的银行签订的合作协议复印件、取得银行一定额度授信的证明材料复印件和担保公司营业执照复印件。</w:t>
            </w:r>
          </w:p>
          <w:p>
            <w:pPr>
              <w:keepNext w:val="0"/>
              <w:keepLines w:val="0"/>
              <w:suppressLineNumbers w:val="0"/>
              <w:spacing w:before="0" w:beforeAutospacing="0" w:after="0" w:afterAutospacing="0" w:line="360" w:lineRule="auto"/>
              <w:ind w:left="0" w:leftChars="0" w:right="0" w:firstLine="0" w:firstLineChars="0"/>
              <w:rPr>
                <w:rFonts w:hint="default" w:ascii="Calibri" w:hAnsi="Calibri" w:cs="Calibri"/>
                <w:color w:val="auto"/>
                <w:highlight w:val="none"/>
              </w:rPr>
            </w:pPr>
            <w:r>
              <w:rPr>
                <w:rFonts w:hint="default" w:ascii="Calibri" w:hAnsi="Calibri" w:cs="Calibri"/>
                <w:color w:val="auto"/>
                <w:highlight w:val="none"/>
              </w:rPr>
              <w:t xml:space="preserve">6.其他： </w:t>
            </w:r>
            <w:r>
              <w:rPr>
                <w:rFonts w:hint="default" w:ascii="Calibri" w:hAnsi="Calibri" w:cs="Calibri"/>
                <w:color w:val="auto"/>
                <w:highlight w:val="none"/>
                <w:lang w:val="en-US" w:eastAsia="zh-CN"/>
              </w:rPr>
              <w:t>6. 1 采用电子保函的，①投标保证采用电子保证保险方式的，投标人应登录岳阳市公共资源交易网，线上办理投保手续；②工程建设投标电子保证保险投保人操作流程详见岳阳市公共资源交易中心网站服务指南③采用电子保函的，投标人需在投标截止时间前选定电子保函作为保证方式。 6.2 本项目投标保证须在投标截止时间前（含）到账，以银行到账或保险保函投保成功时间为准。 6.3 采用纸质保函的，应当在投标截止时间前将保函原件递交到开标会场（本项目采用电子化招投标，采用纸质保函的，纸质保函原件扫描后，扫描件随投标文件一同提交）。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3.6</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是否允许递交备选投标方案</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不允许</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szCs w:val="21"/>
                <w:highlight w:val="none"/>
              </w:rPr>
              <w:t>□</w:t>
            </w:r>
            <w:r>
              <w:rPr>
                <w:rFonts w:hint="default" w:ascii="Calibri" w:hAnsi="Calibri" w:cs="Calibri"/>
                <w:color w:val="auto"/>
                <w:szCs w:val="21"/>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3.7.3</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签字和（或）盖章要求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t>投标文件</w:t>
            </w:r>
            <w:r>
              <w:rPr>
                <w:rFonts w:hint="default" w:ascii="Calibri" w:hAnsi="Calibri" w:cs="Calibri"/>
                <w:color w:val="auto"/>
                <w:szCs w:val="21"/>
                <w:highlight w:val="none"/>
              </w:rPr>
              <w:t>应当</w:t>
            </w:r>
            <w:r>
              <w:rPr>
                <w:rFonts w:hint="eastAsia" w:ascii="Calibri" w:hAnsi="Calibri" w:cs="Calibri"/>
                <w:color w:val="auto"/>
                <w:szCs w:val="21"/>
                <w:highlight w:val="none"/>
              </w:rPr>
              <w:t>由法定代表人（或其委托代理人）签名（或加盖印章），并</w:t>
            </w:r>
            <w:r>
              <w:rPr>
                <w:rFonts w:hint="default" w:ascii="Calibri" w:hAnsi="Calibri" w:cs="Calibri"/>
                <w:color w:val="auto"/>
                <w:szCs w:val="21"/>
                <w:highlight w:val="none"/>
              </w:rPr>
              <w:t>加盖</w:t>
            </w:r>
            <w:r>
              <w:rPr>
                <w:rFonts w:hint="eastAsia" w:ascii="Calibri" w:hAnsi="Calibri" w:cs="Calibri"/>
                <w:color w:val="auto"/>
                <w:szCs w:val="21"/>
                <w:highlight w:val="none"/>
              </w:rPr>
              <w:t>投标人的</w:t>
            </w:r>
            <w:r>
              <w:rPr>
                <w:rFonts w:hint="default" w:ascii="Calibri" w:hAnsi="Calibri" w:cs="Calibri"/>
                <w:color w:val="auto"/>
                <w:szCs w:val="21"/>
                <w:highlight w:val="none"/>
              </w:rPr>
              <w:t>单位公章</w:t>
            </w:r>
            <w:r>
              <w:rPr>
                <w:rFonts w:hint="eastAsia" w:ascii="Calibri" w:hAnsi="Calibri" w:cs="Calibri"/>
                <w:color w:val="auto"/>
                <w:szCs w:val="21"/>
                <w:highlight w:val="none"/>
              </w:rPr>
              <w:t>。</w:t>
            </w:r>
            <w:r>
              <w:rPr>
                <w:rFonts w:hint="default" w:ascii="Calibri" w:hAnsi="Calibri" w:cs="Calibri"/>
                <w:color w:val="auto"/>
                <w:szCs w:val="21"/>
                <w:highlight w:val="none"/>
              </w:rPr>
              <w:t>投标人加盖的单位公章与其营业执照的单位名称</w:t>
            </w:r>
            <w:r>
              <w:rPr>
                <w:rFonts w:hint="eastAsia" w:ascii="Calibri" w:hAnsi="Calibri" w:cs="Calibri"/>
                <w:color w:val="auto"/>
                <w:szCs w:val="21"/>
                <w:highlight w:val="none"/>
              </w:rPr>
              <w:t>应当</w:t>
            </w:r>
            <w:r>
              <w:rPr>
                <w:rFonts w:hint="default" w:ascii="Calibri" w:hAnsi="Calibri" w:cs="Calibri"/>
                <w:color w:val="auto"/>
                <w:szCs w:val="21"/>
                <w:highlight w:val="none"/>
              </w:rPr>
              <w:t>一致。</w:t>
            </w:r>
            <w:r>
              <w:rPr>
                <w:rFonts w:hint="eastAsia" w:ascii="Calibri" w:hAnsi="Calibri" w:cs="Calibri"/>
                <w:color w:val="auto"/>
                <w:szCs w:val="21"/>
                <w:highlight w:val="none"/>
              </w:rPr>
              <w:t>技术方案</w:t>
            </w:r>
            <w:r>
              <w:rPr>
                <w:rFonts w:hint="default" w:ascii="Calibri" w:hAnsi="Calibri" w:cs="Calibri"/>
                <w:bCs/>
                <w:color w:val="auto"/>
                <w:szCs w:val="21"/>
                <w:highlight w:val="none"/>
              </w:rPr>
              <w:t>采用暗标</w:t>
            </w:r>
            <w:r>
              <w:rPr>
                <w:rFonts w:hint="eastAsia" w:ascii="Calibri" w:hAnsi="Calibri" w:cs="Calibri"/>
                <w:bCs/>
                <w:color w:val="auto"/>
                <w:szCs w:val="21"/>
                <w:highlight w:val="none"/>
              </w:rPr>
              <w:t>评审</w:t>
            </w:r>
            <w:r>
              <w:rPr>
                <w:rFonts w:hint="default" w:ascii="Calibri" w:hAnsi="Calibri" w:cs="Calibri"/>
                <w:bCs/>
                <w:color w:val="auto"/>
                <w:szCs w:val="21"/>
                <w:highlight w:val="none"/>
              </w:rPr>
              <w:t>方式的，</w:t>
            </w:r>
            <w:r>
              <w:rPr>
                <w:rFonts w:hint="eastAsia" w:ascii="Calibri" w:hAnsi="Calibri" w:cs="Calibri"/>
                <w:bCs/>
                <w:color w:val="auto"/>
                <w:szCs w:val="21"/>
                <w:highlight w:val="none"/>
              </w:rPr>
              <w:t>详见</w:t>
            </w:r>
            <w:r>
              <w:rPr>
                <w:rFonts w:hint="eastAsia" w:ascii="宋体" w:hAnsi="宋体" w:cs="Calibri"/>
                <w:bCs/>
                <w:color w:val="auto"/>
                <w:szCs w:val="21"/>
                <w:highlight w:val="none"/>
              </w:rPr>
              <w:t>招标文件第七章第三节“技术方案格式（暗标）”的规定</w:t>
            </w:r>
            <w:r>
              <w:rPr>
                <w:rFonts w:hint="default"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3.7.4</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投标文件份数</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宋体" w:hAnsi="宋体" w:cs="Calibri"/>
                <w:color w:val="auto"/>
                <w:szCs w:val="21"/>
                <w:highlight w:val="none"/>
              </w:rPr>
            </w:pPr>
            <w:r>
              <w:rPr>
                <w:rFonts w:hint="eastAsia" w:ascii="宋体" w:hAnsi="宋体" w:cs="Calibri"/>
                <w:color w:val="auto"/>
                <w:szCs w:val="21"/>
                <w:highlight w:val="none"/>
              </w:rPr>
              <w:t>投标人登录</w:t>
            </w:r>
            <w:r>
              <w:rPr>
                <w:rFonts w:hint="eastAsia" w:ascii="宋体" w:hAnsi="宋体" w:cs="Calibri"/>
                <w:color w:val="auto"/>
                <w:szCs w:val="21"/>
                <w:highlight w:val="none"/>
                <w:u w:val="single"/>
              </w:rPr>
              <w:t xml:space="preserve"> </w:t>
            </w:r>
            <w:r>
              <w:rPr>
                <w:rFonts w:hint="eastAsia" w:ascii="宋体" w:hAnsi="宋体" w:cs="Calibri"/>
                <w:color w:val="auto"/>
                <w:szCs w:val="21"/>
                <w:highlight w:val="none"/>
                <w:u w:val="single"/>
                <w:lang w:val="en-US" w:eastAsia="zh-CN"/>
              </w:rPr>
              <w:t>岳阳市公共资源交易中心</w:t>
            </w:r>
            <w:r>
              <w:rPr>
                <w:rFonts w:hint="eastAsia" w:ascii="宋体" w:hAnsi="宋体" w:cs="Calibri"/>
                <w:color w:val="auto"/>
                <w:szCs w:val="21"/>
                <w:highlight w:val="none"/>
                <w:u w:val="single"/>
              </w:rPr>
              <w:t xml:space="preserve">电子招标投标交易平台  </w:t>
            </w:r>
            <w:r>
              <w:rPr>
                <w:rFonts w:hint="eastAsia" w:ascii="宋体" w:hAnsi="宋体" w:cs="Calibri"/>
                <w:color w:val="auto"/>
                <w:szCs w:val="21"/>
                <w:highlight w:val="none"/>
              </w:rPr>
              <w:t>上传电子投标文件（</w:t>
            </w:r>
            <w:r>
              <w:rPr>
                <w:rFonts w:hint="default" w:ascii="宋体" w:hAnsi="宋体" w:cs="Calibri"/>
                <w:color w:val="auto"/>
                <w:szCs w:val="21"/>
                <w:highlight w:val="none"/>
                <w:u w:val="single"/>
              </w:rPr>
              <w:t xml:space="preserve">  </w:t>
            </w:r>
            <w:r>
              <w:rPr>
                <w:rFonts w:hint="eastAsia" w:ascii="宋体" w:hAnsi="宋体" w:cs="Calibri"/>
                <w:color w:val="auto"/>
                <w:szCs w:val="21"/>
                <w:highlight w:val="none"/>
                <w:u w:val="single"/>
                <w:lang w:val="en-US" w:eastAsia="zh-CN"/>
              </w:rPr>
              <w:t>YYTF</w:t>
            </w:r>
            <w:r>
              <w:rPr>
                <w:rFonts w:hint="default" w:ascii="宋体" w:hAnsi="宋体" w:cs="Calibri"/>
                <w:color w:val="auto"/>
                <w:szCs w:val="21"/>
                <w:highlight w:val="none"/>
                <w:u w:val="single"/>
              </w:rPr>
              <w:t xml:space="preserve"> </w:t>
            </w:r>
            <w:r>
              <w:rPr>
                <w:rFonts w:hint="eastAsia" w:ascii="宋体" w:hAnsi="宋体" w:cs="Calibri"/>
                <w:color w:val="auto"/>
                <w:szCs w:val="21"/>
                <w:highlight w:val="none"/>
                <w:u w:val="single"/>
              </w:rPr>
              <w:t xml:space="preserve"> </w:t>
            </w:r>
            <w:r>
              <w:rPr>
                <w:rFonts w:hint="eastAsia" w:ascii="宋体" w:hAnsi="宋体" w:cs="Calibri"/>
                <w:color w:val="auto"/>
                <w:szCs w:val="21"/>
                <w:highlight w:val="none"/>
              </w:rPr>
              <w:t>格式）一份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4.1.1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bCs/>
                <w:color w:val="auto"/>
                <w:szCs w:val="21"/>
                <w:highlight w:val="none"/>
              </w:rPr>
            </w:pPr>
            <w:r>
              <w:rPr>
                <w:rFonts w:hint="default" w:ascii="Calibri" w:hAnsi="Calibri" w:cs="Calibri"/>
                <w:color w:val="auto"/>
                <w:szCs w:val="21"/>
                <w:highlight w:val="none"/>
              </w:rPr>
              <w:t>投标文件加密  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宋体" w:hAnsi="宋体" w:cs="Calibri"/>
                <w:bCs/>
                <w:color w:val="auto"/>
                <w:szCs w:val="21"/>
                <w:highlight w:val="none"/>
              </w:rPr>
              <w:t>电子交易系统自动加密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4.2.2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递交投标文件</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地点</w:t>
            </w:r>
          </w:p>
        </w:tc>
        <w:tc>
          <w:tcPr>
            <w:tcW w:w="6096" w:type="dxa"/>
            <w:noWrap w:val="0"/>
            <w:vAlign w:val="center"/>
          </w:tcPr>
          <w:p>
            <w:pPr>
              <w:keepNext w:val="0"/>
              <w:keepLines w:val="0"/>
              <w:suppressLineNumbers w:val="0"/>
              <w:snapToGrid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default" w:ascii="Calibri" w:hAnsi="Calibri" w:cs="Calibri"/>
                <w:color w:val="auto"/>
                <w:szCs w:val="21"/>
                <w:highlight w:val="none"/>
              </w:rPr>
              <w:t>电子投标文件递交至</w:t>
            </w:r>
            <w:r>
              <w:rPr>
                <w:rFonts w:hint="eastAsia" w:ascii="宋体" w:hAnsi="宋体" w:cs="Calibri"/>
                <w:color w:val="auto"/>
                <w:szCs w:val="21"/>
                <w:highlight w:val="none"/>
                <w:u w:val="single"/>
                <w:lang w:val="en-US" w:eastAsia="zh-CN"/>
              </w:rPr>
              <w:t>岳阳市公共资源交易中心</w:t>
            </w:r>
            <w:r>
              <w:rPr>
                <w:rFonts w:hint="eastAsia" w:ascii="Calibri" w:hAnsi="Calibri" w:cs="Calibri"/>
                <w:color w:val="auto"/>
                <w:highlight w:val="none"/>
                <w:u w:val="single"/>
              </w:rPr>
              <w:t>电子招标投标交易平台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4.2.3</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是否退还投标</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文件</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否</w:t>
            </w:r>
          </w:p>
          <w:p>
            <w:pPr>
              <w:keepNext w:val="0"/>
              <w:keepLines w:val="0"/>
              <w:suppressLineNumbers w:val="0"/>
              <w:snapToGrid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eastAsia" w:ascii="宋体" w:hAnsi="宋体" w:cs="Calibri"/>
                <w:color w:val="auto"/>
                <w:szCs w:val="21"/>
                <w:highlight w:val="none"/>
              </w:rPr>
              <w:t>□</w:t>
            </w:r>
            <w:r>
              <w:rPr>
                <w:rFonts w:hint="default" w:ascii="Calibri" w:hAnsi="Calibri" w:cs="Calibri"/>
                <w:color w:val="auto"/>
                <w:szCs w:val="21"/>
                <w:highlight w:val="none"/>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default" w:ascii="Calibri" w:hAnsi="Calibri" w:cs="Calibri"/>
                <w:color w:val="auto"/>
                <w:szCs w:val="21"/>
                <w:highlight w:val="none"/>
              </w:rPr>
              <w:t>5.</w:t>
            </w:r>
            <w:r>
              <w:rPr>
                <w:rFonts w:hint="eastAsia"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开标时间和地点</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u w:val="single"/>
              </w:rPr>
            </w:pPr>
            <w:r>
              <w:rPr>
                <w:rFonts w:hint="default" w:ascii="Calibri" w:hAnsi="Calibri" w:cs="Calibri"/>
                <w:color w:val="auto"/>
                <w:szCs w:val="21"/>
                <w:highlight w:val="none"/>
              </w:rPr>
              <w:t>开标时间：同投标截止时间</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开标地点：</w:t>
            </w:r>
            <w:r>
              <w:rPr>
                <w:rFonts w:hint="eastAsia" w:ascii="Calibri" w:hAnsi="Calibri" w:cs="Calibri"/>
                <w:color w:val="auto"/>
                <w:szCs w:val="21"/>
                <w:highlight w:val="none"/>
              </w:rPr>
              <w:t xml:space="preserve"> </w:t>
            </w:r>
            <w:r>
              <w:rPr>
                <w:rFonts w:hint="eastAsia" w:ascii="宋体" w:hAnsi="宋体" w:cs="Calibri"/>
                <w:color w:val="auto"/>
                <w:szCs w:val="21"/>
                <w:highlight w:val="none"/>
                <w:u w:val="single"/>
                <w:lang w:val="en-US" w:eastAsia="zh-CN"/>
              </w:rPr>
              <w:t>岳阳市公共资源交易中心</w:t>
            </w:r>
            <w:r>
              <w:rPr>
                <w:rFonts w:hint="eastAsia" w:ascii="Calibri" w:hAnsi="Calibri" w:cs="Calibri"/>
                <w:color w:val="auto"/>
                <w:highlight w:val="none"/>
                <w:u w:val="single"/>
              </w:rPr>
              <w:t>电子招标投标交易平台</w:t>
            </w:r>
            <w:r>
              <w:rPr>
                <w:rFonts w:hint="eastAsia" w:ascii="Calibri" w:hAnsi="Calibri" w:cs="Calibri"/>
                <w:color w:val="auto"/>
                <w:szCs w:val="21"/>
                <w:highlight w:val="none"/>
                <w:u w:val="single"/>
              </w:rPr>
              <w:t xml:space="preserve">  </w:t>
            </w:r>
            <w:r>
              <w:rPr>
                <w:rFonts w:hint="default" w:ascii="Calibri" w:hAnsi="Calibri" w:cs="Calibri"/>
                <w:color w:val="auto"/>
                <w:szCs w:val="21"/>
                <w:highlight w:val="none"/>
              </w:rPr>
              <w:t>举行，所有投标人应准时在线参加开标。</w:t>
            </w:r>
            <w:r>
              <w:rPr>
                <w:rFonts w:hint="eastAsia" w:ascii="Calibri" w:hAnsi="Calibri" w:cs="Calibri"/>
                <w:color w:val="auto"/>
                <w:szCs w:val="21"/>
                <w:highlight w:val="none"/>
              </w:rPr>
              <w:t>同时在</w:t>
            </w:r>
            <w:r>
              <w:rPr>
                <w:rFonts w:hint="eastAsia" w:ascii="宋体" w:hAnsi="宋体" w:cs="Calibri"/>
                <w:color w:val="auto"/>
                <w:szCs w:val="21"/>
                <w:highlight w:val="none"/>
                <w:u w:val="single"/>
                <w:lang w:val="en-US" w:eastAsia="zh-CN"/>
              </w:rPr>
              <w:t>岳阳市</w:t>
            </w:r>
            <w:r>
              <w:rPr>
                <w:rFonts w:hint="default" w:ascii="Calibri" w:hAnsi="Calibri" w:cs="Calibri"/>
                <w:color w:val="auto"/>
                <w:szCs w:val="21"/>
                <w:highlight w:val="none"/>
                <w:u w:val="single"/>
              </w:rPr>
              <w:t>公共资源交易中心</w:t>
            </w:r>
            <w:r>
              <w:rPr>
                <w:rFonts w:hint="eastAsia" w:ascii="Calibri" w:hAnsi="Calibri" w:cs="Calibri"/>
                <w:color w:val="auto"/>
                <w:szCs w:val="21"/>
                <w:highlight w:val="none"/>
              </w:rPr>
              <w:t>设立</w:t>
            </w:r>
            <w:r>
              <w:rPr>
                <w:rFonts w:hint="default" w:ascii="Calibri" w:hAnsi="Calibri" w:cs="Calibri"/>
                <w:color w:val="auto"/>
                <w:szCs w:val="21"/>
                <w:highlight w:val="none"/>
              </w:rPr>
              <w:t>开标会场</w:t>
            </w:r>
            <w:r>
              <w:rPr>
                <w:rFonts w:hint="eastAsia"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6.1.1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评标委员会的      组建</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评标委员会</w:t>
            </w:r>
            <w:r>
              <w:rPr>
                <w:rFonts w:hint="eastAsia" w:ascii="Calibri" w:hAnsi="Calibri" w:cs="Calibri"/>
                <w:color w:val="auto"/>
                <w:szCs w:val="21"/>
                <w:highlight w:val="none"/>
              </w:rPr>
              <w:t>构成：</w:t>
            </w:r>
            <w:r>
              <w:rPr>
                <w:rFonts w:hint="eastAsia" w:ascii="Calibri" w:hAnsi="Calibri" w:cs="Calibri"/>
                <w:color w:val="auto"/>
                <w:szCs w:val="21"/>
                <w:highlight w:val="none"/>
                <w:u w:val="single"/>
                <w:lang w:val="en-US" w:eastAsia="zh-CN"/>
              </w:rPr>
              <w:t>7</w:t>
            </w:r>
            <w:r>
              <w:rPr>
                <w:rFonts w:hint="eastAsia" w:ascii="Calibri" w:hAnsi="Calibri" w:cs="Calibri"/>
                <w:color w:val="auto"/>
                <w:szCs w:val="21"/>
                <w:highlight w:val="none"/>
                <w:u w:val="single"/>
              </w:rPr>
              <w:t xml:space="preserve"> </w:t>
            </w:r>
            <w:r>
              <w:rPr>
                <w:rFonts w:hint="default" w:ascii="Calibri" w:hAnsi="Calibri" w:cs="Calibri"/>
                <w:color w:val="auto"/>
                <w:szCs w:val="21"/>
                <w:highlight w:val="none"/>
              </w:rPr>
              <w:t>人</w:t>
            </w:r>
            <w:r>
              <w:rPr>
                <w:rFonts w:hint="eastAsia" w:ascii="Calibri" w:hAnsi="Calibri" w:cs="Calibri"/>
                <w:color w:val="auto"/>
                <w:szCs w:val="21"/>
                <w:highlight w:val="none"/>
              </w:rPr>
              <w:t>或以上单数</w:t>
            </w:r>
            <w:r>
              <w:rPr>
                <w:rFonts w:hint="default" w:ascii="Calibri" w:hAnsi="Calibri" w:cs="Calibri"/>
                <w:color w:val="auto"/>
                <w:szCs w:val="21"/>
                <w:highlight w:val="none"/>
              </w:rPr>
              <w:t>，其中招标人代表</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0</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人</w:t>
            </w:r>
            <w:r>
              <w:rPr>
                <w:rFonts w:hint="eastAsia"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评标专家确定方式：</w:t>
            </w:r>
            <w:r>
              <w:rPr>
                <w:rFonts w:hint="eastAsia"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 xml:space="preserve">从湖南省综合评标专家库随机抽取 </w:t>
            </w:r>
            <w:r>
              <w:rPr>
                <w:rFonts w:hint="eastAsia"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7.1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推荐中标候选人和</w:t>
            </w:r>
            <w:r>
              <w:rPr>
                <w:rFonts w:hint="eastAsia" w:ascii="Calibri" w:hAnsi="Calibri" w:cs="Calibri"/>
                <w:color w:val="auto"/>
                <w:szCs w:val="21"/>
                <w:highlight w:val="none"/>
              </w:rPr>
              <w:t xml:space="preserve">确定中标人 </w:t>
            </w:r>
            <w:r>
              <w:rPr>
                <w:rFonts w:hint="default" w:ascii="Calibri" w:hAnsi="Calibri" w:cs="Calibri"/>
                <w:color w:val="auto"/>
                <w:szCs w:val="21"/>
                <w:highlight w:val="none"/>
              </w:rPr>
              <w:t>方式</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A3"/>
            </w:r>
            <w:r>
              <w:rPr>
                <w:rFonts w:hint="eastAsia" w:ascii="Calibri" w:hAnsi="Calibri" w:cs="Calibri"/>
                <w:color w:val="auto"/>
                <w:szCs w:val="21"/>
                <w:highlight w:val="none"/>
              </w:rPr>
              <w:t>排序法，即：</w:t>
            </w:r>
            <w:r>
              <w:rPr>
                <w:rFonts w:hint="default" w:ascii="Calibri" w:hAnsi="Calibri" w:cs="Calibri"/>
                <w:color w:val="auto"/>
                <w:szCs w:val="21"/>
                <w:highlight w:val="none"/>
              </w:rPr>
              <w:t>由评标委员会推荐不超过</w:t>
            </w:r>
            <w:r>
              <w:rPr>
                <w:rFonts w:hint="eastAsia" w:ascii="Calibri" w:hAnsi="Calibri" w:cs="Calibri"/>
                <w:color w:val="auto"/>
                <w:szCs w:val="21"/>
                <w:highlight w:val="none"/>
              </w:rPr>
              <w:t>3</w:t>
            </w:r>
            <w:r>
              <w:rPr>
                <w:rFonts w:hint="default" w:ascii="Calibri" w:hAnsi="Calibri" w:cs="Calibri"/>
                <w:color w:val="auto"/>
                <w:szCs w:val="21"/>
                <w:highlight w:val="none"/>
              </w:rPr>
              <w:t>个有排序的中标候选人，公示期满后招标人</w:t>
            </w:r>
            <w:r>
              <w:rPr>
                <w:rFonts w:hint="eastAsia" w:ascii="Calibri" w:hAnsi="Calibri" w:cs="Calibri"/>
                <w:color w:val="auto"/>
                <w:szCs w:val="21"/>
                <w:highlight w:val="none"/>
              </w:rPr>
              <w:t>按照相关规定</w:t>
            </w:r>
            <w:r>
              <w:rPr>
                <w:rFonts w:hint="default" w:ascii="Calibri" w:hAnsi="Calibri" w:cs="Calibri"/>
                <w:color w:val="auto"/>
                <w:szCs w:val="21"/>
                <w:highlight w:val="none"/>
              </w:rPr>
              <w:t>确定中标人。</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仿宋_GB2312"/>
                <w:color w:val="auto"/>
                <w:szCs w:val="21"/>
                <w:highlight w:val="none"/>
              </w:rPr>
              <w:sym w:font="Wingdings 2" w:char="0052"/>
            </w:r>
            <w:r>
              <w:rPr>
                <w:rFonts w:hint="eastAsia" w:ascii="Calibri" w:hAnsi="Calibri" w:cs="Calibri"/>
                <w:color w:val="auto"/>
                <w:szCs w:val="21"/>
                <w:highlight w:val="none"/>
              </w:rPr>
              <w:t>评定分离法，即：</w:t>
            </w:r>
            <w:r>
              <w:rPr>
                <w:rFonts w:hint="default" w:ascii="Calibri" w:hAnsi="Calibri" w:cs="Calibri"/>
                <w:color w:val="auto"/>
                <w:szCs w:val="21"/>
                <w:highlight w:val="none"/>
              </w:rPr>
              <w:t>由评标委员会推荐</w:t>
            </w:r>
            <w:r>
              <w:rPr>
                <w:rFonts w:hint="eastAsia" w:ascii="Calibri" w:hAnsi="Calibri" w:cs="Calibri"/>
                <w:color w:val="auto"/>
                <w:szCs w:val="21"/>
                <w:highlight w:val="none"/>
              </w:rPr>
              <w:t>不超过</w:t>
            </w:r>
            <w:r>
              <w:rPr>
                <w:rFonts w:hint="default" w:ascii="Calibri" w:hAnsi="Calibri" w:cs="Calibri"/>
                <w:color w:val="auto"/>
                <w:szCs w:val="21"/>
                <w:highlight w:val="none"/>
              </w:rPr>
              <w:t>3个不排序的中标候选人，招标人按下列</w:t>
            </w:r>
            <w:r>
              <w:rPr>
                <w:rFonts w:hint="eastAsia" w:ascii="Calibri" w:hAnsi="Calibri" w:cs="Calibri"/>
                <w:color w:val="auto"/>
                <w:szCs w:val="21"/>
                <w:highlight w:val="none"/>
              </w:rPr>
              <w:t>第</w:t>
            </w:r>
            <w:r>
              <w:rPr>
                <w:rFonts w:hint="eastAsia"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1</w:t>
            </w:r>
            <w:r>
              <w:rPr>
                <w:rFonts w:hint="default" w:ascii="Calibri" w:hAnsi="Calibri" w:cs="Calibri"/>
                <w:color w:val="auto"/>
                <w:szCs w:val="21"/>
                <w:highlight w:val="none"/>
                <w:u w:val="single"/>
              </w:rPr>
              <w:t xml:space="preserve">  </w:t>
            </w:r>
            <w:r>
              <w:rPr>
                <w:rFonts w:hint="default" w:ascii="Calibri" w:hAnsi="Calibri" w:cs="Calibri"/>
                <w:color w:val="auto"/>
                <w:szCs w:val="21"/>
                <w:highlight w:val="none"/>
              </w:rPr>
              <w:t>方式确定中标人</w:t>
            </w:r>
            <w:r>
              <w:rPr>
                <w:rFonts w:hint="eastAsia"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t>（1）票决法：直接票决；</w:t>
            </w:r>
            <w:r>
              <w:rPr>
                <w:rFonts w:hint="eastAsia" w:ascii="宋体" w:hAnsi="宋体" w:cs="仿宋_GB2312"/>
                <w:color w:val="auto"/>
                <w:szCs w:val="21"/>
                <w:highlight w:val="none"/>
              </w:rPr>
              <w:t xml:space="preserve"> </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bCs/>
                <w:color w:val="auto"/>
                <w:szCs w:val="21"/>
                <w:highlight w:val="none"/>
              </w:rPr>
              <w:t>（2）报价竞争法：</w:t>
            </w:r>
            <w:r>
              <w:rPr>
                <w:rFonts w:hint="eastAsia" w:ascii="宋体" w:hAnsi="宋体" w:cs="仿宋_GB2312"/>
                <w:color w:val="auto"/>
                <w:szCs w:val="21"/>
                <w:highlight w:val="none"/>
              </w:rPr>
              <w:t>最低投标价法</w:t>
            </w:r>
            <w:r>
              <w:rPr>
                <w:rFonts w:hint="eastAsia" w:ascii="Calibri" w:hAnsi="Calibri" w:cs="Calibri"/>
                <w:color w:val="auto"/>
                <w:szCs w:val="21"/>
                <w:highlight w:val="none"/>
              </w:rPr>
              <w:t>；</w:t>
            </w:r>
            <w:r>
              <w:rPr>
                <w:rFonts w:hint="eastAsia" w:ascii="宋体" w:hAnsi="宋体" w:cs="仿宋_GB2312"/>
                <w:color w:val="auto"/>
                <w:szCs w:val="21"/>
                <w:highlight w:val="none"/>
              </w:rPr>
              <w:t xml:space="preserve"> </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color w:val="auto"/>
                <w:szCs w:val="21"/>
                <w:highlight w:val="none"/>
              </w:rPr>
              <w:t>（3）因素法：</w:t>
            </w:r>
            <w:r>
              <w:rPr>
                <w:rFonts w:hint="eastAsia" w:ascii="宋体" w:hAnsi="宋体" w:cs="仿宋_GB2312"/>
                <w:color w:val="auto"/>
                <w:szCs w:val="21"/>
                <w:highlight w:val="none"/>
              </w:rPr>
              <w:t>□</w:t>
            </w:r>
            <w:r>
              <w:rPr>
                <w:rFonts w:hint="eastAsia" w:ascii="Calibri" w:hAnsi="Calibri" w:cs="Calibri"/>
                <w:color w:val="auto"/>
                <w:szCs w:val="21"/>
                <w:highlight w:val="none"/>
              </w:rPr>
              <w:t>技术方案和企业资信及履约能力两</w:t>
            </w:r>
            <w:r>
              <w:rPr>
                <w:rFonts w:hint="eastAsia" w:ascii="宋体" w:hAnsi="宋体" w:cs="宋体"/>
                <w:color w:val="auto"/>
                <w:szCs w:val="21"/>
                <w:highlight w:val="none"/>
              </w:rPr>
              <w:t>项得分之和由高至低排序确定；</w:t>
            </w:r>
            <w:r>
              <w:rPr>
                <w:rFonts w:hint="eastAsia" w:ascii="宋体" w:hAnsi="宋体" w:cs="仿宋_GB2312"/>
                <w:color w:val="auto"/>
                <w:szCs w:val="21"/>
                <w:highlight w:val="none"/>
              </w:rPr>
              <w:sym w:font="Wingdings 2" w:char="00A3"/>
            </w:r>
            <w:r>
              <w:rPr>
                <w:rFonts w:hint="eastAsia" w:ascii="Calibri" w:hAnsi="Calibri" w:cs="Calibri"/>
                <w:color w:val="auto"/>
                <w:szCs w:val="21"/>
                <w:highlight w:val="none"/>
              </w:rPr>
              <w:t>企业资信及履约能力</w:t>
            </w:r>
            <w:r>
              <w:rPr>
                <w:rFonts w:hint="eastAsia" w:ascii="宋体" w:hAnsi="宋体" w:cs="宋体"/>
                <w:color w:val="auto"/>
                <w:szCs w:val="21"/>
                <w:highlight w:val="none"/>
              </w:rPr>
              <w:t>得分由高至低排序确定。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firstLine="210" w:firstLineChars="100"/>
              <w:rPr>
                <w:rFonts w:hint="default" w:ascii="Calibri" w:hAnsi="Calibri" w:cs="Calibri"/>
                <w:color w:val="auto"/>
                <w:szCs w:val="21"/>
                <w:highlight w:val="none"/>
              </w:rPr>
            </w:pPr>
            <w:r>
              <w:rPr>
                <w:rFonts w:hint="eastAsia" w:ascii="Calibri" w:hAnsi="Calibri" w:cs="Calibri"/>
                <w:color w:val="auto"/>
                <w:szCs w:val="21"/>
                <w:highlight w:val="none"/>
              </w:rPr>
              <w:t>7.3.1</w:t>
            </w:r>
          </w:p>
        </w:tc>
        <w:tc>
          <w:tcPr>
            <w:tcW w:w="1770" w:type="dxa"/>
            <w:gridSpan w:val="2"/>
            <w:noWrap w:val="0"/>
            <w:vAlign w:val="center"/>
          </w:tcPr>
          <w:p>
            <w:pPr>
              <w:keepNext w:val="0"/>
              <w:keepLines w:val="0"/>
              <w:suppressLineNumbers w:val="0"/>
              <w:spacing w:before="0" w:beforeAutospacing="0" w:after="0" w:afterAutospacing="0" w:line="360" w:lineRule="auto"/>
              <w:ind w:left="0" w:right="0" w:firstLine="420" w:firstLineChars="200"/>
              <w:rPr>
                <w:rFonts w:hint="default" w:ascii="Calibri" w:hAnsi="Calibri" w:cs="Calibri"/>
                <w:color w:val="auto"/>
                <w:szCs w:val="21"/>
                <w:highlight w:val="none"/>
              </w:rPr>
            </w:pPr>
            <w:r>
              <w:rPr>
                <w:rFonts w:hint="default" w:ascii="Calibri" w:hAnsi="Calibri" w:cs="Calibri"/>
                <w:color w:val="auto"/>
                <w:szCs w:val="21"/>
                <w:highlight w:val="none"/>
              </w:rPr>
              <w:t>履约担保</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宋体" w:hAnsi="宋体" w:cs="Calibri"/>
                <w:color w:val="auto"/>
                <w:szCs w:val="21"/>
                <w:highlight w:val="none"/>
              </w:rPr>
              <w:t>□</w:t>
            </w:r>
            <w:r>
              <w:rPr>
                <w:rFonts w:hint="default" w:ascii="Calibri" w:hAnsi="Calibri" w:cs="Calibri"/>
                <w:color w:val="auto"/>
                <w:szCs w:val="21"/>
                <w:highlight w:val="none"/>
              </w:rPr>
              <w:t>不要求提供履约担保；</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要求</w:t>
            </w:r>
            <w:r>
              <w:rPr>
                <w:rFonts w:hint="eastAsia" w:ascii="Calibri" w:hAnsi="Calibri" w:cs="Calibri"/>
                <w:color w:val="auto"/>
                <w:szCs w:val="21"/>
                <w:highlight w:val="none"/>
              </w:rPr>
              <w:t>提供</w:t>
            </w:r>
            <w:r>
              <w:rPr>
                <w:rFonts w:hint="default" w:ascii="Calibri" w:hAnsi="Calibri" w:cs="Calibri"/>
                <w:color w:val="auto"/>
                <w:szCs w:val="21"/>
                <w:highlight w:val="none"/>
              </w:rPr>
              <w:t>履约担保1.保函形式：银行业金融机构保函</w:t>
            </w:r>
            <w:r>
              <w:rPr>
                <w:rFonts w:hint="eastAsia" w:ascii="Calibri" w:hAnsi="Calibri" w:cs="Calibri"/>
                <w:color w:val="auto"/>
                <w:szCs w:val="21"/>
                <w:highlight w:val="none"/>
              </w:rPr>
              <w:t>、担保公司担保（</w:t>
            </w: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 xml:space="preserve">融资性担保公司保函  </w:t>
            </w:r>
            <w:r>
              <w:rPr>
                <w:rFonts w:hint="eastAsia" w:ascii="宋体" w:hAnsi="宋体" w:cs="仿宋_GB2312"/>
                <w:color w:val="auto"/>
                <w:szCs w:val="21"/>
                <w:highlight w:val="none"/>
              </w:rPr>
              <w:t>□</w:t>
            </w:r>
            <w:r>
              <w:rPr>
                <w:rFonts w:hint="default" w:ascii="Calibri" w:hAnsi="Calibri" w:cs="Calibri"/>
                <w:color w:val="auto"/>
                <w:szCs w:val="21"/>
                <w:highlight w:val="none"/>
              </w:rPr>
              <w:t>非融资性担保公司保函</w:t>
            </w:r>
            <w:r>
              <w:rPr>
                <w:rFonts w:hint="eastAsia" w:ascii="Calibri" w:hAnsi="Calibri" w:cs="Calibri"/>
                <w:color w:val="auto"/>
                <w:szCs w:val="21"/>
                <w:highlight w:val="none"/>
              </w:rPr>
              <w:t>）、</w:t>
            </w:r>
            <w:r>
              <w:rPr>
                <w:rFonts w:hint="default" w:ascii="Calibri" w:hAnsi="Calibri" w:cs="Calibri"/>
                <w:color w:val="auto"/>
                <w:szCs w:val="21"/>
                <w:highlight w:val="none"/>
              </w:rPr>
              <w:t>保险公司保证保险</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lang w:val="en-US"/>
              </w:rPr>
            </w:pPr>
            <w:r>
              <w:rPr>
                <w:rFonts w:hint="eastAsia" w:ascii="Calibri" w:hAnsi="Calibri" w:cs="Calibri"/>
                <w:color w:val="auto"/>
                <w:szCs w:val="21"/>
                <w:highlight w:val="none"/>
              </w:rPr>
              <w:t>2.</w:t>
            </w:r>
            <w:r>
              <w:rPr>
                <w:rFonts w:hint="default" w:ascii="Calibri" w:hAnsi="Calibri" w:cs="Calibri"/>
                <w:color w:val="auto"/>
                <w:szCs w:val="21"/>
                <w:highlight w:val="none"/>
              </w:rPr>
              <w:t xml:space="preserve"> 担保金额：</w:t>
            </w:r>
            <w:r>
              <w:rPr>
                <w:rFonts w:hint="eastAsia" w:ascii="Calibri" w:hAnsi="Calibri" w:cs="Calibri"/>
                <w:color w:val="auto"/>
                <w:szCs w:val="21"/>
                <w:highlight w:val="none"/>
                <w:u w:val="single"/>
                <w:lang w:val="en-US" w:eastAsia="zh-CN"/>
              </w:rPr>
              <w:t>中标金额的8%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931" w:type="dxa"/>
            <w:gridSpan w:val="4"/>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补充内容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bCs/>
                <w:color w:val="auto"/>
                <w:szCs w:val="21"/>
                <w:highlight w:val="none"/>
              </w:rPr>
            </w:pPr>
            <w:r>
              <w:rPr>
                <w:rFonts w:hint="default" w:ascii="Calibri" w:hAnsi="Calibri" w:cs="Calibri"/>
                <w:color w:val="auto"/>
                <w:szCs w:val="21"/>
                <w:highlight w:val="none"/>
              </w:rPr>
              <w:t>类似工程业绩</w:t>
            </w:r>
          </w:p>
        </w:tc>
        <w:tc>
          <w:tcPr>
            <w:tcW w:w="6096" w:type="dxa"/>
            <w:noWrap w:val="0"/>
            <w:vAlign w:val="center"/>
          </w:tcPr>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1.资格要求的类似工程业绩：</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宋体" w:hAnsi="宋体" w:cs="Calibri"/>
                <w:color w:val="auto"/>
                <w:szCs w:val="21"/>
                <w:highlight w:val="none"/>
              </w:rPr>
              <w:t>（1）</w:t>
            </w:r>
            <w:r>
              <w:rPr>
                <w:rFonts w:hint="eastAsia" w:ascii="宋体" w:hAnsi="宋体" w:cs="Calibri"/>
                <w:color w:val="auto"/>
                <w:highlight w:val="none"/>
              </w:rPr>
              <w:sym w:font="Wingdings 2" w:char="0052"/>
            </w:r>
            <w:r>
              <w:rPr>
                <w:rFonts w:hint="default" w:ascii="Calibri" w:hAnsi="Calibri" w:cs="Calibri"/>
                <w:color w:val="auto"/>
                <w:highlight w:val="none"/>
              </w:rPr>
              <w:t>不要求</w:t>
            </w:r>
          </w:p>
          <w:p>
            <w:pPr>
              <w:keepNext w:val="0"/>
              <w:keepLines w:val="0"/>
              <w:suppressLineNumbers w:val="0"/>
              <w:spacing w:before="0" w:beforeAutospacing="0" w:after="0" w:afterAutospacing="0" w:line="360" w:lineRule="auto"/>
              <w:ind w:left="0" w:right="0" w:firstLine="525" w:firstLineChars="250"/>
              <w:rPr>
                <w:rFonts w:hint="eastAsia" w:ascii="Calibri" w:hAnsi="Calibri" w:cs="Calibri"/>
                <w:color w:val="auto"/>
                <w:highlight w:val="none"/>
              </w:rPr>
            </w:pPr>
            <w:r>
              <w:rPr>
                <w:rFonts w:hint="eastAsia" w:ascii="Calibri" w:hAnsi="Calibri" w:cs="Calibri"/>
                <w:color w:val="auto"/>
                <w:szCs w:val="21"/>
                <w:highlight w:val="none"/>
              </w:rPr>
              <w:sym w:font="Wingdings 2" w:char="00A3"/>
            </w:r>
            <w:r>
              <w:rPr>
                <w:rFonts w:hint="default" w:ascii="Calibri" w:hAnsi="Calibri" w:cs="Calibri"/>
                <w:color w:val="auto"/>
                <w:highlight w:val="none"/>
              </w:rPr>
              <w:t>要求</w:t>
            </w:r>
            <w:r>
              <w:rPr>
                <w:rFonts w:hint="eastAsia" w:ascii="Calibri" w:hAnsi="Calibri" w:cs="Calibri"/>
                <w:color w:val="auto"/>
                <w:highlight w:val="none"/>
              </w:rPr>
              <w:t>，企业承担过1项类似工程；</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（2）</w:t>
            </w:r>
            <w:r>
              <w:rPr>
                <w:rFonts w:hint="default" w:ascii="Calibri" w:hAnsi="Calibri" w:cs="Calibri"/>
                <w:color w:val="auto"/>
                <w:highlight w:val="none"/>
              </w:rPr>
              <w:t>类似工程业绩应当符合以下</w:t>
            </w:r>
            <w:r>
              <w:rPr>
                <w:rFonts w:hint="eastAsia" w:ascii="Calibri" w:hAnsi="Calibri" w:cs="Calibri"/>
                <w:color w:val="auto"/>
                <w:highlight w:val="none"/>
              </w:rPr>
              <w:t>规定</w:t>
            </w:r>
            <w:r>
              <w:rPr>
                <w:rFonts w:hint="default" w:ascii="Calibri" w:hAnsi="Calibri" w:cs="Calibri"/>
                <w:color w:val="auto"/>
                <w:highlight w:val="none"/>
              </w:rPr>
              <w:t>：</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类似工程业绩：</w:t>
            </w:r>
            <w:r>
              <w:rPr>
                <w:rFonts w:hint="eastAsia" w:ascii="Calibri" w:hAnsi="Calibri" w:cs="Calibri"/>
                <w:color w:val="auto"/>
                <w:szCs w:val="21"/>
                <w:highlight w:val="none"/>
              </w:rPr>
              <w:sym w:font="Wingdings 2" w:char="00A3"/>
            </w:r>
            <w:r>
              <w:rPr>
                <w:rFonts w:hint="eastAsia" w:ascii="Calibri" w:hAnsi="Calibri" w:cs="Calibri"/>
                <w:color w:val="auto"/>
                <w:highlight w:val="none"/>
                <w:u w:val="single"/>
                <w:lang w:val="en-US" w:eastAsia="zh-CN"/>
              </w:rPr>
              <w:t xml:space="preserve">    /    </w:t>
            </w:r>
            <w:r>
              <w:rPr>
                <w:rFonts w:hint="eastAsia" w:ascii="Calibri" w:hAnsi="Calibri" w:cs="Calibri"/>
                <w:color w:val="auto"/>
                <w:highlight w:val="none"/>
              </w:rPr>
              <w:t>的施工或者设计或者工程总承包项目；</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宋体" w:hAnsi="宋体" w:cs="Calibri"/>
                <w:color w:val="auto"/>
                <w:highlight w:val="none"/>
              </w:rPr>
              <w:t>□</w:t>
            </w:r>
            <w:r>
              <w:rPr>
                <w:rFonts w:hint="eastAsia" w:ascii="宋体" w:hAnsi="宋体" w:cs="Calibri"/>
                <w:color w:val="auto"/>
                <w:highlight w:val="none"/>
                <w:u w:val="single"/>
              </w:rPr>
              <w:t xml:space="preserve"> </w:t>
            </w:r>
            <w:r>
              <w:rPr>
                <w:rFonts w:hint="default" w:ascii="宋体" w:hAnsi="宋体" w:cs="Calibri"/>
                <w:color w:val="auto"/>
                <w:highlight w:val="none"/>
                <w:u w:val="single"/>
              </w:rPr>
              <w:t xml:space="preserve">                       </w:t>
            </w:r>
            <w:r>
              <w:rPr>
                <w:rFonts w:hint="eastAsia" w:ascii="宋体" w:hAnsi="宋体" w:cs="Calibri"/>
                <w:color w:val="auto"/>
                <w:highlight w:val="none"/>
              </w:rPr>
              <w:t>（适用于设计</w:t>
            </w:r>
            <w:r>
              <w:rPr>
                <w:rFonts w:hint="eastAsia" w:ascii="Calibri" w:hAnsi="Calibri" w:cs="Calibri"/>
                <w:color w:val="auto"/>
                <w:highlight w:val="none"/>
              </w:rPr>
              <w:t>或者</w:t>
            </w:r>
            <w:r>
              <w:rPr>
                <w:rFonts w:hint="eastAsia" w:ascii="宋体" w:hAnsi="宋体" w:cs="Calibri"/>
                <w:color w:val="auto"/>
                <w:highlight w:val="none"/>
              </w:rPr>
              <w:t>施工</w:t>
            </w:r>
            <w:r>
              <w:rPr>
                <w:rFonts w:hint="eastAsia" w:ascii="Calibri" w:hAnsi="Calibri" w:cs="Calibri"/>
                <w:color w:val="auto"/>
                <w:highlight w:val="none"/>
              </w:rPr>
              <w:t>或者</w:t>
            </w:r>
            <w:r>
              <w:rPr>
                <w:rFonts w:hint="eastAsia" w:ascii="宋体" w:hAnsi="宋体" w:cs="Calibri"/>
                <w:color w:val="auto"/>
                <w:highlight w:val="none"/>
              </w:rPr>
              <w:t>工程总承包相关指标要求不一致的特殊项目）；</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2.企业资信及履约能力评审的类似工程业绩：</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（1）独立投标人（设计资质）或联合体中设计单位类似工程业绩：</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宋体" w:hAnsi="宋体" w:cs="Calibri"/>
                <w:color w:val="auto"/>
                <w:highlight w:val="none"/>
              </w:rPr>
              <w:t>①个数：□</w:t>
            </w:r>
            <w:r>
              <w:rPr>
                <w:rFonts w:hint="eastAsia" w:ascii="Calibri" w:hAnsi="Calibri" w:cs="Calibri"/>
                <w:color w:val="auto"/>
                <w:highlight w:val="none"/>
              </w:rPr>
              <w:t xml:space="preserve">0个  </w:t>
            </w:r>
            <w:r>
              <w:rPr>
                <w:rFonts w:hint="eastAsia" w:ascii="宋体" w:hAnsi="宋体" w:cs="Calibri"/>
                <w:color w:val="auto"/>
                <w:highlight w:val="none"/>
              </w:rPr>
              <w:sym w:font="Wingdings 2" w:char="00A3"/>
            </w:r>
            <w:r>
              <w:rPr>
                <w:rFonts w:hint="eastAsia" w:ascii="Calibri" w:hAnsi="Calibri" w:cs="Calibri"/>
                <w:color w:val="auto"/>
                <w:highlight w:val="none"/>
              </w:rPr>
              <w:t xml:space="preserve">1个  </w:t>
            </w:r>
            <w:r>
              <w:rPr>
                <w:rFonts w:hint="eastAsia" w:ascii="宋体" w:hAnsi="宋体" w:cs="Calibri"/>
                <w:color w:val="auto"/>
                <w:highlight w:val="none"/>
              </w:rPr>
              <w:sym w:font="Wingdings 2" w:char="0052"/>
            </w:r>
            <w:r>
              <w:rPr>
                <w:rFonts w:hint="eastAsia" w:ascii="Calibri" w:hAnsi="Calibri" w:cs="Calibri"/>
                <w:color w:val="auto"/>
                <w:highlight w:val="none"/>
              </w:rPr>
              <w:t>2个</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②</w:t>
            </w:r>
            <w:r>
              <w:rPr>
                <w:rFonts w:hint="default" w:ascii="Calibri" w:hAnsi="Calibri" w:cs="Calibri"/>
                <w:color w:val="auto"/>
                <w:highlight w:val="none"/>
              </w:rPr>
              <w:t>类似工程业绩应当符合以下</w:t>
            </w:r>
            <w:r>
              <w:rPr>
                <w:rFonts w:hint="eastAsia" w:ascii="Calibri" w:hAnsi="Calibri" w:cs="Calibri"/>
                <w:color w:val="auto"/>
                <w:highlight w:val="none"/>
              </w:rPr>
              <w:t>规定</w:t>
            </w:r>
            <w:r>
              <w:rPr>
                <w:rFonts w:hint="default" w:ascii="Calibri" w:hAnsi="Calibri" w:cs="Calibri"/>
                <w:color w:val="auto"/>
                <w:highlight w:val="none"/>
              </w:rPr>
              <w:t>：</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类似工程业绩：</w:t>
            </w:r>
            <w:r>
              <w:rPr>
                <w:rFonts w:hint="eastAsia" w:ascii="宋体" w:hAnsi="宋体" w:cs="Calibri"/>
                <w:color w:val="auto"/>
                <w:highlight w:val="none"/>
              </w:rPr>
              <w:sym w:font="Wingdings 2" w:char="0052"/>
            </w:r>
            <w:r>
              <w:rPr>
                <w:rFonts w:hint="eastAsia" w:ascii="宋体" w:hAnsi="宋体" w:cs="Calibri"/>
                <w:color w:val="auto"/>
                <w:highlight w:val="none"/>
                <w:u w:val="single"/>
                <w:lang w:val="en-US" w:eastAsia="zh-CN"/>
              </w:rPr>
              <w:t xml:space="preserve"> </w:t>
            </w:r>
            <w:r>
              <w:rPr>
                <w:rFonts w:hint="eastAsia" w:ascii="Calibri" w:hAnsi="Calibri" w:cs="Calibri"/>
                <w:color w:val="auto"/>
                <w:highlight w:val="none"/>
                <w:u w:val="single"/>
                <w:lang w:val="en-US" w:eastAsia="zh-CN"/>
              </w:rPr>
              <w:t xml:space="preserve">单项合同金额不少于610 万元的房屋建筑工程 </w:t>
            </w:r>
            <w:r>
              <w:rPr>
                <w:rFonts w:hint="eastAsia" w:ascii="Calibri" w:hAnsi="Calibri" w:cs="Calibri"/>
                <w:color w:val="auto"/>
                <w:highlight w:val="none"/>
              </w:rPr>
              <w:t>的设计或者工程总承包项目；</w:t>
            </w:r>
          </w:p>
          <w:p>
            <w:pPr>
              <w:keepNext w:val="0"/>
              <w:keepLines w:val="0"/>
              <w:suppressLineNumbers w:val="0"/>
              <w:spacing w:before="0" w:beforeAutospacing="0" w:after="0" w:afterAutospacing="0" w:line="360" w:lineRule="auto"/>
              <w:ind w:left="0" w:right="0"/>
              <w:rPr>
                <w:rFonts w:hint="default" w:ascii="宋体" w:hAnsi="宋体" w:cs="Calibri"/>
                <w:color w:val="auto"/>
                <w:highlight w:val="none"/>
              </w:rPr>
            </w:pPr>
            <w:r>
              <w:rPr>
                <w:rFonts w:hint="eastAsia" w:ascii="宋体" w:hAnsi="宋体" w:cs="Calibri"/>
                <w:color w:val="auto"/>
                <w:highlight w:val="none"/>
              </w:rPr>
              <w:t>□</w:t>
            </w:r>
            <w:r>
              <w:rPr>
                <w:rFonts w:hint="eastAsia" w:ascii="宋体" w:hAnsi="宋体" w:cs="Calibri"/>
                <w:color w:val="auto"/>
                <w:highlight w:val="none"/>
                <w:u w:val="single"/>
              </w:rPr>
              <w:t xml:space="preserve"> </w:t>
            </w:r>
            <w:r>
              <w:rPr>
                <w:rFonts w:hint="default" w:ascii="宋体" w:hAnsi="宋体" w:cs="Calibri"/>
                <w:color w:val="auto"/>
                <w:highlight w:val="none"/>
                <w:u w:val="single"/>
              </w:rPr>
              <w:t xml:space="preserve">                       </w:t>
            </w:r>
            <w:r>
              <w:rPr>
                <w:rFonts w:hint="eastAsia" w:ascii="宋体" w:hAnsi="宋体" w:cs="Calibri"/>
                <w:color w:val="auto"/>
                <w:highlight w:val="none"/>
              </w:rPr>
              <w:t>（适用于设计</w:t>
            </w:r>
            <w:r>
              <w:rPr>
                <w:rFonts w:hint="eastAsia" w:ascii="Calibri" w:hAnsi="Calibri" w:cs="Calibri"/>
                <w:color w:val="auto"/>
                <w:highlight w:val="none"/>
              </w:rPr>
              <w:t>或者</w:t>
            </w:r>
            <w:r>
              <w:rPr>
                <w:rFonts w:hint="eastAsia" w:ascii="宋体" w:hAnsi="宋体" w:cs="Calibri"/>
                <w:color w:val="auto"/>
                <w:highlight w:val="none"/>
              </w:rPr>
              <w:t>施工</w:t>
            </w:r>
            <w:r>
              <w:rPr>
                <w:rFonts w:hint="eastAsia" w:ascii="Calibri" w:hAnsi="Calibri" w:cs="Calibri"/>
                <w:color w:val="auto"/>
                <w:highlight w:val="none"/>
              </w:rPr>
              <w:t>或者</w:t>
            </w:r>
            <w:r>
              <w:rPr>
                <w:rFonts w:hint="eastAsia" w:ascii="宋体" w:hAnsi="宋体" w:cs="Calibri"/>
                <w:color w:val="auto"/>
                <w:highlight w:val="none"/>
              </w:rPr>
              <w:t>工程总承包相关指标要求不一致的特殊项目）；</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w:t>
            </w:r>
            <w:r>
              <w:rPr>
                <w:rFonts w:hint="default" w:ascii="Calibri" w:hAnsi="Calibri" w:cs="Calibri"/>
                <w:color w:val="auto"/>
                <w:highlight w:val="none"/>
              </w:rPr>
              <w:t>2</w:t>
            </w:r>
            <w:r>
              <w:rPr>
                <w:rFonts w:hint="eastAsia" w:ascii="Calibri" w:hAnsi="Calibri" w:cs="Calibri"/>
                <w:color w:val="auto"/>
                <w:highlight w:val="none"/>
              </w:rPr>
              <w:t>）独立投标人（施工资质）或联合体中施工单位类似工程业绩：</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宋体" w:hAnsi="宋体" w:cs="Calibri"/>
                <w:color w:val="auto"/>
                <w:highlight w:val="none"/>
              </w:rPr>
              <w:t>①个数：□</w:t>
            </w:r>
            <w:r>
              <w:rPr>
                <w:rFonts w:hint="eastAsia" w:ascii="Calibri" w:hAnsi="Calibri" w:cs="Calibri"/>
                <w:color w:val="auto"/>
                <w:highlight w:val="none"/>
              </w:rPr>
              <w:t xml:space="preserve">0个  </w:t>
            </w:r>
            <w:r>
              <w:rPr>
                <w:rFonts w:hint="eastAsia" w:ascii="宋体" w:hAnsi="宋体" w:cs="Calibri"/>
                <w:color w:val="auto"/>
                <w:highlight w:val="none"/>
              </w:rPr>
              <w:t>□</w:t>
            </w:r>
            <w:r>
              <w:rPr>
                <w:rFonts w:hint="eastAsia" w:ascii="Calibri" w:hAnsi="Calibri" w:cs="Calibri"/>
                <w:color w:val="auto"/>
                <w:highlight w:val="none"/>
              </w:rPr>
              <w:t xml:space="preserve">1个  </w:t>
            </w:r>
            <w:r>
              <w:rPr>
                <w:rFonts w:hint="eastAsia"/>
                <w:color w:val="auto"/>
                <w:highlight w:val="none"/>
                <w:u w:val="none"/>
                <w:lang w:eastAsia="zh-CN"/>
              </w:rPr>
              <w:t>√</w:t>
            </w:r>
            <w:r>
              <w:rPr>
                <w:rFonts w:hint="eastAsia" w:ascii="Calibri" w:hAnsi="Calibri" w:cs="Calibri"/>
                <w:color w:val="auto"/>
                <w:highlight w:val="none"/>
              </w:rPr>
              <w:t>2个</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②</w:t>
            </w:r>
            <w:r>
              <w:rPr>
                <w:rFonts w:hint="default" w:ascii="Calibri" w:hAnsi="Calibri" w:cs="Calibri"/>
                <w:color w:val="auto"/>
                <w:highlight w:val="none"/>
              </w:rPr>
              <w:t>类似工程业绩应当符合以下</w:t>
            </w:r>
            <w:r>
              <w:rPr>
                <w:rFonts w:hint="eastAsia" w:ascii="Calibri" w:hAnsi="Calibri" w:cs="Calibri"/>
                <w:color w:val="auto"/>
                <w:highlight w:val="none"/>
              </w:rPr>
              <w:t>规定</w:t>
            </w:r>
            <w:r>
              <w:rPr>
                <w:rFonts w:hint="default" w:ascii="Calibri" w:hAnsi="Calibri" w:cs="Calibri"/>
                <w:color w:val="auto"/>
                <w:highlight w:val="none"/>
              </w:rPr>
              <w:t>：</w:t>
            </w:r>
          </w:p>
          <w:p>
            <w:pPr>
              <w:keepNext w:val="0"/>
              <w:keepLines w:val="0"/>
              <w:suppressLineNumbers w:val="0"/>
              <w:spacing w:before="0" w:beforeAutospacing="0" w:after="0" w:afterAutospacing="0" w:line="360" w:lineRule="auto"/>
              <w:ind w:left="0" w:right="0" w:firstLine="0" w:firstLineChars="0"/>
              <w:rPr>
                <w:rFonts w:hint="default" w:ascii="Calibri" w:hAnsi="Calibri" w:cs="Calibri"/>
                <w:color w:val="auto"/>
                <w:highlight w:val="none"/>
              </w:rPr>
            </w:pPr>
            <w:r>
              <w:rPr>
                <w:rFonts w:hint="eastAsia" w:ascii="Calibri" w:hAnsi="Calibri" w:cs="Calibri"/>
                <w:color w:val="auto"/>
                <w:highlight w:val="none"/>
              </w:rPr>
              <w:t>类似工程业绩：</w:t>
            </w:r>
            <w:r>
              <w:rPr>
                <w:rFonts w:hint="eastAsia" w:ascii="Calibri" w:hAnsi="Calibri" w:cs="Calibri"/>
                <w:color w:val="auto"/>
                <w:szCs w:val="21"/>
                <w:highlight w:val="none"/>
              </w:rPr>
              <w:sym w:font="Wingdings 2" w:char="0052"/>
            </w:r>
            <w:r>
              <w:rPr>
                <w:rFonts w:hint="eastAsia" w:ascii="Calibri" w:hAnsi="Calibri" w:cs="Calibri"/>
                <w:color w:val="auto"/>
                <w:highlight w:val="none"/>
                <w:u w:val="single"/>
                <w:lang w:val="en-US" w:eastAsia="zh-CN"/>
              </w:rPr>
              <w:t xml:space="preserve">单项合同金额不少于 610万元的房屋建筑工程  </w:t>
            </w:r>
            <w:r>
              <w:rPr>
                <w:rFonts w:hint="eastAsia" w:ascii="Calibri" w:hAnsi="Calibri" w:cs="Calibri"/>
                <w:color w:val="auto"/>
                <w:highlight w:val="none"/>
              </w:rPr>
              <w:t>的施工或者工程总承包项目；</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宋体" w:hAnsi="宋体" w:cs="Calibri"/>
                <w:color w:val="auto"/>
                <w:highlight w:val="none"/>
              </w:rPr>
              <w:t>□</w:t>
            </w:r>
            <w:r>
              <w:rPr>
                <w:rFonts w:hint="eastAsia" w:ascii="宋体" w:hAnsi="宋体" w:cs="Calibri"/>
                <w:color w:val="auto"/>
                <w:highlight w:val="none"/>
                <w:u w:val="single"/>
              </w:rPr>
              <w:t xml:space="preserve"> </w:t>
            </w:r>
            <w:r>
              <w:rPr>
                <w:rFonts w:hint="default" w:ascii="宋体" w:hAnsi="宋体" w:cs="Calibri"/>
                <w:color w:val="auto"/>
                <w:highlight w:val="none"/>
                <w:u w:val="single"/>
              </w:rPr>
              <w:t xml:space="preserve">                       </w:t>
            </w:r>
            <w:r>
              <w:rPr>
                <w:rFonts w:hint="eastAsia" w:ascii="宋体" w:hAnsi="宋体" w:cs="Calibri"/>
                <w:color w:val="auto"/>
                <w:highlight w:val="none"/>
              </w:rPr>
              <w:t>（适用于设计或者施工或者工程总承包相关指标要求不一致的特殊项目）；</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t>（</w:t>
            </w:r>
            <w:r>
              <w:rPr>
                <w:rFonts w:hint="eastAsia" w:ascii="Calibri" w:hAnsi="Calibri" w:cs="Calibri"/>
                <w:color w:val="auto"/>
                <w:highlight w:val="none"/>
              </w:rPr>
              <w:t>由招标人根据招标项目的特点和实际需要提出要求，并符合以下规定：投标</w:t>
            </w:r>
            <w:r>
              <w:rPr>
                <w:rFonts w:hint="default" w:ascii="Calibri" w:hAnsi="Calibri" w:cs="Calibri"/>
                <w:color w:val="auto"/>
                <w:highlight w:val="none"/>
              </w:rPr>
              <w:t>人资格要求的类似工程业绩原则上</w:t>
            </w:r>
            <w:r>
              <w:rPr>
                <w:rFonts w:hint="eastAsia" w:ascii="Calibri" w:hAnsi="Calibri" w:cs="Calibri"/>
                <w:color w:val="auto"/>
                <w:highlight w:val="none"/>
              </w:rPr>
              <w:t>为</w:t>
            </w:r>
            <w:r>
              <w:rPr>
                <w:rFonts w:hint="default" w:ascii="Calibri" w:hAnsi="Calibri" w:cs="Calibri"/>
                <w:color w:val="auto"/>
                <w:highlight w:val="none"/>
              </w:rPr>
              <w:t>不超过招标项目相关指标的50%［四舍五入取整数，下同</w:t>
            </w:r>
            <w:r>
              <w:rPr>
                <w:rFonts w:hint="eastAsia" w:ascii="Calibri" w:hAnsi="Calibri" w:cs="Calibri"/>
                <w:color w:val="auto"/>
                <w:highlight w:val="none"/>
              </w:rPr>
              <w:t>］，用于企业资信及履约能力评审加分的类似工程业绩原则上为招标项目相关指标的70%。</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t>其中：</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t>房屋建筑工程，</w:t>
            </w:r>
            <w:r>
              <w:rPr>
                <w:rFonts w:hint="eastAsia" w:ascii="Calibri" w:hAnsi="Calibri" w:cs="Calibri"/>
                <w:color w:val="auto"/>
                <w:highlight w:val="none"/>
              </w:rPr>
              <w:t>采用</w:t>
            </w:r>
            <w:r>
              <w:rPr>
                <w:rFonts w:hint="default" w:ascii="Calibri" w:hAnsi="Calibri" w:cs="Calibri"/>
                <w:color w:val="auto"/>
                <w:highlight w:val="none"/>
              </w:rPr>
              <w:t>层数、</w:t>
            </w:r>
            <w:r>
              <w:rPr>
                <w:rFonts w:hint="eastAsia" w:ascii="Calibri" w:hAnsi="Calibri" w:cs="Calibri"/>
                <w:color w:val="auto"/>
                <w:highlight w:val="none"/>
              </w:rPr>
              <w:t>高度</w:t>
            </w:r>
            <w:r>
              <w:rPr>
                <w:rFonts w:hint="default" w:ascii="Calibri" w:hAnsi="Calibri" w:cs="Calibri"/>
                <w:color w:val="auto"/>
                <w:highlight w:val="none"/>
              </w:rPr>
              <w:t>、建筑面积、结构、跨度、单项合同额等指标中</w:t>
            </w:r>
            <w:r>
              <w:rPr>
                <w:rFonts w:hint="eastAsia" w:ascii="Calibri" w:hAnsi="Calibri" w:cs="Calibri"/>
                <w:color w:val="auto"/>
                <w:highlight w:val="none"/>
              </w:rPr>
              <w:t>的</w:t>
            </w:r>
            <w:r>
              <w:rPr>
                <w:rFonts w:hint="default" w:ascii="Calibri" w:hAnsi="Calibri" w:cs="Calibri"/>
                <w:color w:val="auto"/>
                <w:highlight w:val="none"/>
              </w:rPr>
              <w:t xml:space="preserve"> 1-2项。市政基础设施工程，</w:t>
            </w:r>
            <w:r>
              <w:rPr>
                <w:rFonts w:hint="eastAsia" w:ascii="Calibri" w:hAnsi="Calibri" w:cs="Calibri"/>
                <w:color w:val="auto"/>
                <w:highlight w:val="none"/>
              </w:rPr>
              <w:t>采用道路长度或者面积、桥梁长度或者面积或者跨度或者结构、管道直径或者压力、隧道和地下交通工程断面面积、供水能力、供气能力、供热能力、污水处理能力、垃圾处理能力、园林绿化规模以及单项合同额</w:t>
            </w:r>
            <w:r>
              <w:rPr>
                <w:rFonts w:hint="default" w:ascii="Calibri" w:hAnsi="Calibri" w:cs="Calibri"/>
                <w:color w:val="auto"/>
                <w:highlight w:val="none"/>
              </w:rPr>
              <w:t>等指标中</w:t>
            </w:r>
            <w:r>
              <w:rPr>
                <w:rFonts w:hint="eastAsia" w:ascii="Calibri" w:hAnsi="Calibri" w:cs="Calibri"/>
                <w:color w:val="auto"/>
                <w:highlight w:val="none"/>
              </w:rPr>
              <w:t>的</w:t>
            </w:r>
            <w:r>
              <w:rPr>
                <w:rFonts w:hint="default" w:ascii="Calibri" w:hAnsi="Calibri" w:cs="Calibri"/>
                <w:color w:val="auto"/>
                <w:highlight w:val="none"/>
              </w:rPr>
              <w:t>1-2 项</w:t>
            </w:r>
            <w:r>
              <w:rPr>
                <w:rFonts w:hint="eastAsia" w:ascii="Calibri" w:hAnsi="Calibri" w:cs="Calibri"/>
                <w:color w:val="auto"/>
                <w:highlight w:val="none"/>
              </w:rPr>
              <w:t>，</w:t>
            </w:r>
            <w:r>
              <w:rPr>
                <w:rFonts w:hint="default" w:ascii="Calibri" w:hAnsi="Calibri" w:cs="Calibri"/>
                <w:color w:val="auto"/>
                <w:highlight w:val="none"/>
              </w:rPr>
              <w:t>单项合同额</w:t>
            </w:r>
            <w:r>
              <w:rPr>
                <w:rFonts w:hint="eastAsia" w:ascii="Calibri" w:hAnsi="Calibri" w:cs="Calibri"/>
                <w:color w:val="auto"/>
                <w:highlight w:val="none"/>
              </w:rPr>
              <w:t>作为考核指标时，招标人应在招标文件中明确单项合同额所涵盖的范围</w:t>
            </w:r>
            <w:r>
              <w:rPr>
                <w:rFonts w:hint="default" w:ascii="Calibri" w:hAnsi="Calibri" w:cs="Calibri"/>
                <w:color w:val="auto"/>
                <w:highlight w:val="none"/>
              </w:rPr>
              <w:t>）。</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3.类似工程业绩的考核要求：</w:t>
            </w:r>
          </w:p>
          <w:p>
            <w:pPr>
              <w:keepNext w:val="0"/>
              <w:keepLines w:val="0"/>
              <w:suppressLineNumbers w:val="0"/>
              <w:spacing w:before="0" w:beforeAutospacing="0" w:after="0" w:afterAutospacing="0" w:line="360" w:lineRule="auto"/>
              <w:ind w:left="0" w:right="0"/>
              <w:rPr>
                <w:rFonts w:hint="eastAsia" w:ascii="Calibri" w:hAnsi="Calibri" w:cs="Calibri"/>
                <w:bCs/>
                <w:color w:val="auto"/>
                <w:highlight w:val="none"/>
              </w:rPr>
            </w:pPr>
            <w:r>
              <w:rPr>
                <w:rFonts w:hint="eastAsia" w:ascii="Calibri" w:hAnsi="Calibri" w:cs="Calibri"/>
                <w:bCs/>
                <w:color w:val="auto"/>
                <w:highlight w:val="none"/>
              </w:rPr>
              <w:t>（1）考核依据：以投标文件中提供的中标通知书（招标工程提交）、合同和竣工验收资料以及答疑文件明确可以作为考核依据的资料的复印件为准，并提供“湖南省智慧住建云—湖南省建筑市场监管公共服务平台”或者“全国建筑市场监管公共服务平台”上体现其作为设计人或承包人的项目网页截图。</w:t>
            </w:r>
          </w:p>
          <w:p>
            <w:pPr>
              <w:keepNext w:val="0"/>
              <w:keepLines w:val="0"/>
              <w:suppressLineNumbers w:val="0"/>
              <w:spacing w:before="0" w:beforeAutospacing="0" w:after="0" w:afterAutospacing="0" w:line="360" w:lineRule="auto"/>
              <w:ind w:left="0" w:right="0" w:firstLine="420" w:firstLineChars="200"/>
              <w:rPr>
                <w:rFonts w:hint="eastAsia" w:ascii="Calibri" w:hAnsi="Calibri" w:cs="Calibri"/>
                <w:color w:val="auto"/>
                <w:highlight w:val="none"/>
              </w:rPr>
            </w:pPr>
            <w:r>
              <w:rPr>
                <w:rFonts w:hint="eastAsia" w:ascii="Calibri" w:hAnsi="Calibri" w:cs="Calibri"/>
                <w:bCs/>
                <w:color w:val="auto"/>
                <w:highlight w:val="none"/>
              </w:rPr>
              <w:t>相关指标不一致时，依次按照中标通知书、合同、竣工验收资料的顺序认定。</w:t>
            </w:r>
            <w:r>
              <w:rPr>
                <w:rFonts w:hint="eastAsia" w:ascii="Calibri" w:hAnsi="Calibri" w:cs="Calibri"/>
                <w:color w:val="auto"/>
                <w:highlight w:val="none"/>
              </w:rPr>
              <w:t>竣工验收资料是指竣工验收备案表（经建设工程质量监督部门签字确认）或者竣工验收证明（由建设单位、施工单位、监理单位、设计单位盖章认可，下同）。</w:t>
            </w:r>
          </w:p>
          <w:p>
            <w:pPr>
              <w:keepNext w:val="0"/>
              <w:keepLines w:val="0"/>
              <w:suppressLineNumbers w:val="0"/>
              <w:spacing w:before="0" w:beforeAutospacing="0" w:after="0" w:afterAutospacing="0" w:line="360" w:lineRule="auto"/>
              <w:ind w:left="0" w:right="0"/>
              <w:rPr>
                <w:rFonts w:hint="default" w:ascii="Calibri" w:hAnsi="Calibri" w:eastAsia="宋体" w:cs="Calibri"/>
                <w:color w:val="auto"/>
                <w:highlight w:val="none"/>
                <w:lang w:val="en-US" w:eastAsia="zh-CN"/>
              </w:rPr>
            </w:pPr>
            <w:r>
              <w:rPr>
                <w:rFonts w:hint="eastAsia" w:ascii="Calibri" w:hAnsi="Calibri" w:cs="Calibri"/>
                <w:color w:val="auto"/>
                <w:highlight w:val="none"/>
              </w:rPr>
              <w:t xml:space="preserve">（2）考核期限： </w:t>
            </w:r>
            <w:r>
              <w:rPr>
                <w:rFonts w:hint="default" w:ascii="Calibri" w:hAnsi="Calibri" w:cs="Calibri"/>
                <w:color w:val="auto"/>
                <w:highlight w:val="none"/>
              </w:rPr>
              <w:t>1095</w:t>
            </w:r>
            <w:r>
              <w:rPr>
                <w:rFonts w:hint="eastAsia" w:ascii="Calibri" w:hAnsi="Calibri" w:cs="Calibri"/>
                <w:color w:val="auto"/>
                <w:highlight w:val="none"/>
              </w:rPr>
              <w:t>天，按工程竣工验收文件中建设单位签字之日起计算。类似工程业绩考核依据中竣工验收备案表未体现建设单位签字之日的以竣工验收备案表“竣工验收日期”栏中注明的时间为准。</w:t>
            </w:r>
            <w:r>
              <w:rPr>
                <w:rFonts w:hint="eastAsia" w:ascii="Calibri" w:hAnsi="Calibri" w:cs="Calibri"/>
                <w:color w:val="auto"/>
                <w:highlight w:val="none"/>
                <w:lang w:val="en-US" w:eastAsia="zh-CN"/>
              </w:rPr>
              <w:t xml:space="preserve">      </w:t>
            </w:r>
          </w:p>
          <w:p>
            <w:pPr>
              <w:keepNext w:val="0"/>
              <w:keepLines w:val="0"/>
              <w:suppressLineNumbers w:val="0"/>
              <w:spacing w:before="0" w:beforeAutospacing="0" w:after="0" w:afterAutospacing="0" w:line="360" w:lineRule="auto"/>
              <w:ind w:left="0" w:right="0"/>
              <w:rPr>
                <w:rFonts w:hint="eastAsia" w:ascii="Calibri" w:hAnsi="Calibri" w:cs="Calibri"/>
                <w:strike/>
                <w:color w:val="auto"/>
                <w:szCs w:val="21"/>
                <w:highlight w:val="none"/>
              </w:rPr>
            </w:pPr>
            <w:r>
              <w:rPr>
                <w:rFonts w:hint="eastAsia" w:ascii="Calibri" w:hAnsi="Calibri" w:cs="Calibri"/>
                <w:color w:val="auto"/>
                <w:highlight w:val="none"/>
              </w:rPr>
              <w:t>投标人提供的类似工程业绩不符合上述规定时，涉及投标人资格条件的，应当认定该投标人资格条件不符合招标文件要求，否决其投标；涉及企业资信及履约能力评审加分的，独立投标人（设计资质）或联合体中设计单位、独立投标人（施工资质）或联合体中施工单位类似工程业绩不予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w:t>
            </w:r>
            <w:r>
              <w:rPr>
                <w:rFonts w:hint="eastAsia" w:ascii="Calibri" w:hAnsi="Calibri" w:cs="Calibri"/>
                <w:color w:val="auto"/>
                <w:szCs w:val="21"/>
                <w:highlight w:val="none"/>
              </w:rPr>
              <w:t>2</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企业资信及履约能力评审的优良信息</w:t>
            </w:r>
          </w:p>
        </w:tc>
        <w:tc>
          <w:tcPr>
            <w:tcW w:w="6096" w:type="dxa"/>
            <w:noWrap w:val="0"/>
            <w:vAlign w:val="center"/>
          </w:tcPr>
          <w:p>
            <w:pPr>
              <w:keepNext w:val="0"/>
              <w:keepLines w:val="0"/>
              <w:suppressLineNumbers w:val="0"/>
              <w:spacing w:before="0" w:beforeAutospacing="0" w:after="0" w:afterAutospacing="0" w:line="360" w:lineRule="auto"/>
              <w:ind w:left="0" w:right="0"/>
              <w:rPr>
                <w:rFonts w:hint="eastAsia" w:ascii="Calibri" w:hAnsi="Calibri" w:cs="Calibri"/>
                <w:color w:val="auto"/>
                <w:szCs w:val="21"/>
                <w:highlight w:val="none"/>
              </w:rPr>
            </w:pPr>
            <w:r>
              <w:rPr>
                <w:rFonts w:hint="eastAsia" w:ascii="Calibri" w:hAnsi="Calibri" w:cs="Calibri"/>
                <w:color w:val="auto"/>
                <w:szCs w:val="21"/>
                <w:highlight w:val="none"/>
              </w:rPr>
              <w:t>1.</w:t>
            </w:r>
            <w:r>
              <w:rPr>
                <w:rFonts w:hint="eastAsia" w:ascii="Calibri" w:hAnsi="Calibri" w:cs="Calibri"/>
                <w:color w:val="auto"/>
                <w:highlight w:val="none"/>
              </w:rPr>
              <w:t xml:space="preserve"> 独立</w:t>
            </w:r>
            <w:r>
              <w:rPr>
                <w:rFonts w:hint="eastAsia" w:ascii="Calibri" w:hAnsi="Calibri" w:cs="Calibri"/>
                <w:color w:val="auto"/>
                <w:szCs w:val="21"/>
                <w:highlight w:val="none"/>
              </w:rPr>
              <w:t>投标人（设计资质）或联合体中设计单位的奖项加分个数：</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szCs w:val="21"/>
                <w:highlight w:val="none"/>
              </w:rPr>
              <w:t>（1）国家级设计奖项：</w:t>
            </w:r>
            <w:r>
              <w:rPr>
                <w:rFonts w:hint="eastAsia" w:ascii="Calibri" w:hAnsi="Calibri" w:cs="Calibri"/>
                <w:color w:val="auto"/>
                <w:szCs w:val="21"/>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sym w:font="Wingdings 2" w:char="00A3"/>
            </w:r>
            <w:r>
              <w:rPr>
                <w:rFonts w:hint="eastAsia" w:ascii="Calibri" w:hAnsi="Calibri" w:cs="Calibri"/>
                <w:color w:val="auto"/>
                <w:highlight w:val="none"/>
              </w:rPr>
              <w:t xml:space="preserve">1个  </w:t>
            </w:r>
            <w:r>
              <w:rPr>
                <w:rFonts w:hint="eastAsia" w:ascii="宋体" w:hAnsi="宋体" w:cs="Calibri"/>
                <w:color w:val="auto"/>
                <w:highlight w:val="none"/>
              </w:rPr>
              <w:sym w:font="Wingdings 2" w:char="00A3"/>
            </w:r>
            <w:r>
              <w:rPr>
                <w:rFonts w:hint="eastAsia" w:ascii="Calibri" w:hAnsi="Calibri" w:cs="Calibri"/>
                <w:color w:val="auto"/>
                <w:highlight w:val="none"/>
              </w:rPr>
              <w:t>2个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宋体" w:hAnsi="宋体" w:cs="Calibri"/>
                <w:color w:val="auto"/>
                <w:highlight w:val="none"/>
              </w:rPr>
              <w:t>□</w:t>
            </w:r>
            <w:r>
              <w:rPr>
                <w:rFonts w:hint="eastAsia" w:ascii="Calibri" w:hAnsi="Calibri" w:cs="Calibri"/>
                <w:color w:val="auto"/>
                <w:highlight w:val="none"/>
              </w:rPr>
              <w:t>三星绿色建筑标识</w:t>
            </w:r>
            <w:r>
              <w:rPr>
                <w:rFonts w:hint="eastAsia" w:ascii="Calibri" w:hAnsi="Calibri" w:cs="Calibri"/>
                <w:color w:val="auto"/>
                <w:szCs w:val="21"/>
                <w:highlight w:val="none"/>
              </w:rPr>
              <w:t>（</w:t>
            </w:r>
            <w:r>
              <w:rPr>
                <w:rFonts w:hint="eastAsia" w:ascii="Calibri" w:hAnsi="Calibri" w:cs="Calibri"/>
                <w:color w:val="auto"/>
                <w:highlight w:val="none"/>
              </w:rPr>
              <w:t>招标项目包含绿色建筑内容或要求的，招标人可将三星绿色建筑标识纳入国家级设计奖项）</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（2）省级设计奖项：</w:t>
            </w:r>
            <w:r>
              <w:rPr>
                <w:rFonts w:hint="eastAsia" w:ascii="Calibri" w:hAnsi="Calibri" w:cs="Calibri"/>
                <w:color w:val="auto"/>
                <w:szCs w:val="21"/>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sym w:font="Wingdings 2" w:char="00A3"/>
            </w:r>
            <w:r>
              <w:rPr>
                <w:rFonts w:hint="eastAsia" w:ascii="Calibri" w:hAnsi="Calibri" w:cs="Calibri"/>
                <w:color w:val="auto"/>
                <w:highlight w:val="none"/>
              </w:rPr>
              <w:t xml:space="preserve">1个  </w:t>
            </w:r>
            <w:r>
              <w:rPr>
                <w:rFonts w:hint="eastAsia" w:ascii="宋体" w:hAnsi="宋体" w:cs="Calibri"/>
                <w:color w:val="auto"/>
                <w:highlight w:val="none"/>
              </w:rPr>
              <w:sym w:font="Wingdings 2" w:char="00A3"/>
            </w:r>
            <w:r>
              <w:rPr>
                <w:rFonts w:hint="eastAsia" w:ascii="Calibri" w:hAnsi="Calibri" w:cs="Calibri"/>
                <w:color w:val="auto"/>
                <w:highlight w:val="none"/>
              </w:rPr>
              <w:t>2个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宋体" w:hAnsi="宋体" w:cs="Calibri"/>
                <w:color w:val="auto"/>
                <w:highlight w:val="none"/>
              </w:rPr>
              <w:t>□</w:t>
            </w:r>
            <w:r>
              <w:rPr>
                <w:rFonts w:hint="eastAsia" w:ascii="Calibri" w:hAnsi="Calibri" w:cs="Calibri"/>
                <w:color w:val="auto"/>
                <w:highlight w:val="none"/>
              </w:rPr>
              <w:t>二星绿色建筑标识（招标项目包含绿色建筑内容或要求的，招标人可将二星绿色建筑标识纳入省级设计设计奖项）</w:t>
            </w:r>
          </w:p>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highlight w:val="none"/>
              </w:rPr>
              <w:t>2</w:t>
            </w:r>
            <w:r>
              <w:rPr>
                <w:rFonts w:hint="default" w:ascii="Calibri" w:hAnsi="Calibri" w:cs="Calibri"/>
                <w:color w:val="auto"/>
                <w:highlight w:val="none"/>
              </w:rPr>
              <w:t>.</w:t>
            </w:r>
            <w:r>
              <w:rPr>
                <w:rFonts w:hint="eastAsia" w:ascii="Calibri" w:hAnsi="Calibri" w:cs="Calibri"/>
                <w:color w:val="auto"/>
                <w:szCs w:val="21"/>
                <w:highlight w:val="none"/>
              </w:rPr>
              <w:t xml:space="preserve"> 独立投标人（施工资质）或联合体中施工单位的奖项加分个数：</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（1）国家级施工奖项（鲁班奖、国家优质工程奖）：</w:t>
            </w:r>
            <w:r>
              <w:rPr>
                <w:rFonts w:hint="eastAsia" w:ascii="宋体" w:hAnsi="宋体" w:cs="Calibri"/>
                <w:color w:val="auto"/>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sym w:font="Wingdings 2" w:char="00A3"/>
            </w:r>
            <w:r>
              <w:rPr>
                <w:rFonts w:hint="eastAsia" w:ascii="Calibri" w:hAnsi="Calibri" w:cs="Calibri"/>
                <w:color w:val="auto"/>
                <w:highlight w:val="none"/>
              </w:rPr>
              <w:t xml:space="preserve">1个  </w:t>
            </w:r>
            <w:r>
              <w:rPr>
                <w:rFonts w:hint="eastAsia" w:ascii="Calibri" w:hAnsi="Calibri" w:cs="Calibri"/>
                <w:color w:val="auto"/>
                <w:szCs w:val="21"/>
                <w:highlight w:val="none"/>
              </w:rPr>
              <w:sym w:font="Wingdings 2" w:char="00A3"/>
            </w:r>
            <w:r>
              <w:rPr>
                <w:rFonts w:hint="eastAsia" w:ascii="Calibri" w:hAnsi="Calibri" w:cs="Calibri"/>
                <w:color w:val="auto"/>
                <w:highlight w:val="none"/>
              </w:rPr>
              <w:t xml:space="preserve">2个 </w:t>
            </w:r>
            <w:r>
              <w:rPr>
                <w:rFonts w:hint="default" w:ascii="Calibri" w:hAnsi="Calibri" w:cs="Calibri"/>
                <w:color w:val="auto"/>
                <w:highlight w:val="none"/>
              </w:rPr>
              <w:t xml:space="preserve"> </w:t>
            </w:r>
            <w:r>
              <w:rPr>
                <w:rFonts w:hint="eastAsia" w:ascii="宋体" w:hAnsi="宋体" w:cs="Calibri"/>
                <w:color w:val="auto"/>
                <w:highlight w:val="none"/>
              </w:rPr>
              <w:sym w:font="Wingdings 2" w:char="00A3"/>
            </w:r>
            <w:r>
              <w:rPr>
                <w:rFonts w:hint="default" w:ascii="Calibri" w:hAnsi="Calibri" w:cs="Calibri"/>
                <w:color w:val="auto"/>
                <w:highlight w:val="none"/>
              </w:rPr>
              <w:t>3</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（2）省级施工奖项（芙蓉奖、省优质工程奖）：</w:t>
            </w:r>
            <w:r>
              <w:rPr>
                <w:rFonts w:hint="eastAsia" w:ascii="宋体" w:hAnsi="宋体" w:cs="Calibri"/>
                <w:color w:val="auto"/>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sym w:font="Wingdings 2" w:char="00A3"/>
            </w:r>
            <w:r>
              <w:rPr>
                <w:rFonts w:hint="eastAsia" w:ascii="Calibri" w:hAnsi="Calibri" w:cs="Calibri"/>
                <w:color w:val="auto"/>
                <w:highlight w:val="none"/>
              </w:rPr>
              <w:t>1个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szCs w:val="21"/>
                <w:highlight w:val="none"/>
              </w:rPr>
              <w:sym w:font="Wingdings 2" w:char="00A3"/>
            </w:r>
            <w:r>
              <w:rPr>
                <w:rFonts w:hint="eastAsia" w:ascii="Calibri" w:hAnsi="Calibri" w:cs="Calibri"/>
                <w:color w:val="auto"/>
                <w:highlight w:val="none"/>
              </w:rPr>
              <w:t xml:space="preserve">2个 </w:t>
            </w:r>
            <w:r>
              <w:rPr>
                <w:rFonts w:hint="default" w:ascii="Calibri" w:hAnsi="Calibri" w:cs="Calibri"/>
                <w:color w:val="auto"/>
                <w:highlight w:val="none"/>
              </w:rPr>
              <w:t xml:space="preserve"> </w:t>
            </w:r>
            <w:r>
              <w:rPr>
                <w:rFonts w:hint="eastAsia" w:ascii="宋体" w:hAnsi="宋体" w:cs="Calibri"/>
                <w:color w:val="auto"/>
                <w:highlight w:val="none"/>
              </w:rPr>
              <w:t>□</w:t>
            </w:r>
            <w:r>
              <w:rPr>
                <w:rFonts w:hint="default" w:ascii="Calibri" w:hAnsi="Calibri" w:cs="Calibri"/>
                <w:color w:val="auto"/>
                <w:highlight w:val="none"/>
              </w:rPr>
              <w:t>3</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宋体" w:hAnsi="宋体" w:cs="Calibri"/>
                <w:color w:val="auto"/>
                <w:highlight w:val="none"/>
              </w:rPr>
              <w:t>□</w:t>
            </w:r>
            <w:r>
              <w:rPr>
                <w:rFonts w:hint="eastAsia" w:ascii="Calibri" w:hAnsi="Calibri" w:cs="Calibri"/>
                <w:color w:val="auto"/>
                <w:highlight w:val="none"/>
              </w:rPr>
              <w:t>省绿色施工工程（招标项目包含绿色施工内容或要求的，招标人可将省绿色施工工程纳入省级施工奖项）</w:t>
            </w:r>
          </w:p>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default" w:ascii="Calibri" w:hAnsi="Calibri" w:cs="Calibri"/>
                <w:color w:val="auto"/>
                <w:highlight w:val="none"/>
              </w:rPr>
              <w:t>3.</w:t>
            </w:r>
            <w:r>
              <w:rPr>
                <w:rFonts w:hint="eastAsia" w:ascii="Calibri" w:hAnsi="Calibri" w:cs="Calibri"/>
                <w:color w:val="auto"/>
                <w:highlight w:val="none"/>
              </w:rPr>
              <w:t>独立</w:t>
            </w:r>
            <w:r>
              <w:rPr>
                <w:rFonts w:hint="eastAsia" w:ascii="Calibri" w:hAnsi="Calibri" w:cs="Calibri"/>
                <w:color w:val="auto"/>
                <w:szCs w:val="21"/>
                <w:highlight w:val="none"/>
              </w:rPr>
              <w:t>投标人（施工资质）或联合体中施工单位的标准化工地加分个数：</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（1）国家级</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fldChar w:fldCharType="begin"/>
            </w:r>
            <w:r>
              <w:rPr>
                <w:rFonts w:hint="default" w:ascii="Calibri" w:hAnsi="Calibri" w:cs="Calibri"/>
                <w:color w:val="auto"/>
                <w:highlight w:val="none"/>
              </w:rPr>
              <w:instrText xml:space="preserve"> </w:instrText>
            </w:r>
            <w:r>
              <w:rPr>
                <w:rFonts w:hint="eastAsia" w:ascii="Calibri" w:hAnsi="Calibri" w:cs="Calibri"/>
                <w:color w:val="auto"/>
                <w:highlight w:val="none"/>
              </w:rPr>
              <w:instrText xml:space="preserve">= 1 \* GB3</w:instrText>
            </w:r>
            <w:r>
              <w:rPr>
                <w:rFonts w:hint="default" w:ascii="Calibri" w:hAnsi="Calibri" w:cs="Calibri"/>
                <w:color w:val="auto"/>
                <w:highlight w:val="none"/>
              </w:rPr>
              <w:instrText xml:space="preserve"> </w:instrText>
            </w:r>
            <w:r>
              <w:rPr>
                <w:rFonts w:hint="default" w:ascii="Calibri" w:hAnsi="Calibri" w:cs="Calibri"/>
                <w:color w:val="auto"/>
                <w:highlight w:val="none"/>
              </w:rPr>
              <w:fldChar w:fldCharType="separate"/>
            </w:r>
            <w:r>
              <w:rPr>
                <w:rFonts w:hint="eastAsia" w:ascii="Calibri" w:hAnsi="Calibri" w:cs="Calibri"/>
                <w:color w:val="auto"/>
                <w:highlight w:val="none"/>
              </w:rPr>
              <w:t>①</w:t>
            </w:r>
            <w:r>
              <w:rPr>
                <w:rFonts w:hint="default" w:ascii="Calibri" w:hAnsi="Calibri" w:cs="Calibri"/>
                <w:color w:val="auto"/>
                <w:highlight w:val="none"/>
              </w:rPr>
              <w:fldChar w:fldCharType="end"/>
            </w:r>
            <w:r>
              <w:rPr>
                <w:rFonts w:hint="eastAsia" w:ascii="Calibri" w:hAnsi="Calibri" w:cs="Calibri"/>
                <w:color w:val="auto"/>
                <w:highlight w:val="none"/>
              </w:rPr>
              <w:t>全国建设工程项目施工工地安全生产标准化学习交流项目：</w:t>
            </w:r>
            <w:r>
              <w:rPr>
                <w:rFonts w:hint="eastAsia" w:ascii="宋体" w:hAnsi="宋体" w:cs="Calibri"/>
                <w:color w:val="auto"/>
                <w:highlight w:val="none"/>
              </w:rPr>
              <w:sym w:font="Wingdings 2" w:char="0052"/>
            </w:r>
            <w:r>
              <w:rPr>
                <w:rFonts w:hint="eastAsia" w:ascii="Calibri" w:hAnsi="Calibri" w:cs="Calibri"/>
                <w:color w:val="auto"/>
                <w:highlight w:val="none"/>
              </w:rPr>
              <w:t xml:space="preserve">0个  </w:t>
            </w:r>
            <w:r>
              <w:rPr>
                <w:rFonts w:hint="eastAsia" w:ascii="Calibri" w:hAnsi="Calibri" w:cs="Calibri"/>
                <w:color w:val="auto"/>
                <w:szCs w:val="21"/>
                <w:highlight w:val="none"/>
              </w:rPr>
              <w:sym w:font="Wingdings 2" w:char="00A3"/>
            </w:r>
            <w:r>
              <w:rPr>
                <w:rFonts w:hint="eastAsia" w:ascii="Calibri" w:hAnsi="Calibri" w:cs="Calibri"/>
                <w:color w:val="auto"/>
                <w:highlight w:val="none"/>
              </w:rPr>
              <w:t xml:space="preserve">1个  </w:t>
            </w:r>
            <w:r>
              <w:rPr>
                <w:rFonts w:hint="eastAsia" w:ascii="宋体" w:hAnsi="宋体" w:cs="Calibri"/>
                <w:color w:val="auto"/>
                <w:highlight w:val="none"/>
              </w:rPr>
              <w:t>□</w:t>
            </w:r>
            <w:r>
              <w:rPr>
                <w:rFonts w:hint="eastAsia" w:ascii="Calibri" w:hAnsi="Calibri" w:cs="Calibri"/>
                <w:color w:val="auto"/>
                <w:highlight w:val="none"/>
              </w:rPr>
              <w:t>2个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（2）省级</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fldChar w:fldCharType="begin"/>
            </w:r>
            <w:r>
              <w:rPr>
                <w:rFonts w:hint="default" w:ascii="Calibri" w:hAnsi="Calibri" w:cs="Calibri"/>
                <w:color w:val="auto"/>
                <w:highlight w:val="none"/>
              </w:rPr>
              <w:instrText xml:space="preserve"> </w:instrText>
            </w:r>
            <w:r>
              <w:rPr>
                <w:rFonts w:hint="eastAsia" w:ascii="Calibri" w:hAnsi="Calibri" w:cs="Calibri"/>
                <w:color w:val="auto"/>
                <w:highlight w:val="none"/>
              </w:rPr>
              <w:instrText xml:space="preserve">= 1 \* GB3</w:instrText>
            </w:r>
            <w:r>
              <w:rPr>
                <w:rFonts w:hint="default" w:ascii="Calibri" w:hAnsi="Calibri" w:cs="Calibri"/>
                <w:color w:val="auto"/>
                <w:highlight w:val="none"/>
              </w:rPr>
              <w:instrText xml:space="preserve"> </w:instrText>
            </w:r>
            <w:r>
              <w:rPr>
                <w:rFonts w:hint="default" w:ascii="Calibri" w:hAnsi="Calibri" w:cs="Calibri"/>
                <w:color w:val="auto"/>
                <w:highlight w:val="none"/>
              </w:rPr>
              <w:fldChar w:fldCharType="separate"/>
            </w:r>
            <w:r>
              <w:rPr>
                <w:rFonts w:hint="eastAsia" w:ascii="Calibri" w:hAnsi="Calibri" w:cs="Calibri"/>
                <w:color w:val="auto"/>
                <w:highlight w:val="none"/>
              </w:rPr>
              <w:t>①</w:t>
            </w:r>
            <w:r>
              <w:rPr>
                <w:rFonts w:hint="default" w:ascii="Calibri" w:hAnsi="Calibri" w:cs="Calibri"/>
                <w:color w:val="auto"/>
                <w:highlight w:val="none"/>
              </w:rPr>
              <w:fldChar w:fldCharType="end"/>
            </w:r>
            <w:r>
              <w:rPr>
                <w:rFonts w:hint="eastAsia" w:ascii="Calibri" w:hAnsi="Calibri" w:cs="Calibri"/>
                <w:color w:val="auto"/>
                <w:highlight w:val="none"/>
              </w:rPr>
              <w:t>省建筑施工质量管理标准化年度项目考评优良工地：</w:t>
            </w:r>
            <w:r>
              <w:rPr>
                <w:rFonts w:hint="eastAsia" w:ascii="Calibri" w:hAnsi="Calibri" w:cs="Calibri"/>
                <w:color w:val="auto"/>
                <w:highlight w:val="none"/>
                <w:u w:val="single"/>
              </w:rPr>
              <w:t xml:space="preserve"> </w:t>
            </w:r>
            <w:r>
              <w:rPr>
                <w:rFonts w:hint="eastAsia" w:ascii="Calibri" w:hAnsi="Calibri" w:cs="Calibri"/>
                <w:color w:val="auto"/>
                <w:highlight w:val="none"/>
                <w:u w:val="single"/>
                <w:lang w:val="en-US" w:eastAsia="zh-CN"/>
              </w:rPr>
              <w:t>0</w:t>
            </w:r>
            <w:r>
              <w:rPr>
                <w:rFonts w:hint="eastAsia" w:ascii="Calibri" w:hAnsi="Calibri" w:cs="Calibri"/>
                <w:color w:val="auto"/>
                <w:highlight w:val="none"/>
              </w:rPr>
              <w:t>个（规定区间0-</w:t>
            </w:r>
            <w:r>
              <w:rPr>
                <w:rFonts w:hint="default" w:ascii="Calibri" w:hAnsi="Calibri" w:cs="Calibri"/>
                <w:color w:val="auto"/>
                <w:highlight w:val="none"/>
              </w:rPr>
              <w:t>20</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fldChar w:fldCharType="begin"/>
            </w:r>
            <w:r>
              <w:rPr>
                <w:rFonts w:hint="default" w:ascii="Calibri" w:hAnsi="Calibri" w:cs="Calibri"/>
                <w:color w:val="auto"/>
                <w:highlight w:val="none"/>
              </w:rPr>
              <w:instrText xml:space="preserve"> </w:instrText>
            </w:r>
            <w:r>
              <w:rPr>
                <w:rFonts w:hint="eastAsia" w:ascii="Calibri" w:hAnsi="Calibri" w:cs="Calibri"/>
                <w:color w:val="auto"/>
                <w:highlight w:val="none"/>
              </w:rPr>
              <w:instrText xml:space="preserve">= 2 \* GB3</w:instrText>
            </w:r>
            <w:r>
              <w:rPr>
                <w:rFonts w:hint="default" w:ascii="Calibri" w:hAnsi="Calibri" w:cs="Calibri"/>
                <w:color w:val="auto"/>
                <w:highlight w:val="none"/>
              </w:rPr>
              <w:instrText xml:space="preserve"> </w:instrText>
            </w:r>
            <w:r>
              <w:rPr>
                <w:rFonts w:hint="default" w:ascii="Calibri" w:hAnsi="Calibri" w:cs="Calibri"/>
                <w:color w:val="auto"/>
                <w:highlight w:val="none"/>
              </w:rPr>
              <w:fldChar w:fldCharType="separate"/>
            </w:r>
            <w:r>
              <w:rPr>
                <w:rFonts w:hint="eastAsia" w:ascii="Calibri" w:hAnsi="Calibri" w:cs="Calibri"/>
                <w:color w:val="auto"/>
                <w:highlight w:val="none"/>
              </w:rPr>
              <w:t>②</w:t>
            </w:r>
            <w:r>
              <w:rPr>
                <w:rFonts w:hint="default" w:ascii="Calibri" w:hAnsi="Calibri" w:cs="Calibri"/>
                <w:color w:val="auto"/>
                <w:highlight w:val="none"/>
              </w:rPr>
              <w:fldChar w:fldCharType="end"/>
            </w:r>
            <w:r>
              <w:rPr>
                <w:rFonts w:hint="eastAsia" w:ascii="Calibri" w:hAnsi="Calibri" w:cs="Calibri"/>
                <w:color w:val="auto"/>
                <w:highlight w:val="none"/>
              </w:rPr>
              <w:t>省建筑施工安全生产标准化年度项目考评优良工地：</w:t>
            </w:r>
            <w:r>
              <w:rPr>
                <w:rFonts w:hint="eastAsia" w:ascii="Calibri" w:hAnsi="Calibri" w:cs="Calibri"/>
                <w:color w:val="auto"/>
                <w:highlight w:val="none"/>
                <w:u w:val="single"/>
                <w:lang w:val="en-US" w:eastAsia="zh-CN"/>
              </w:rPr>
              <w:t>0</w:t>
            </w:r>
            <w:r>
              <w:rPr>
                <w:rFonts w:hint="eastAsia" w:ascii="Calibri" w:hAnsi="Calibri" w:cs="Calibri"/>
                <w:color w:val="auto"/>
                <w:highlight w:val="none"/>
              </w:rPr>
              <w:t>个（规定区间0-</w:t>
            </w:r>
            <w:r>
              <w:rPr>
                <w:rFonts w:hint="default" w:ascii="Calibri" w:hAnsi="Calibri" w:cs="Calibri"/>
                <w:color w:val="auto"/>
                <w:highlight w:val="none"/>
              </w:rPr>
              <w:t>20</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t>4.</w:t>
            </w:r>
            <w:r>
              <w:rPr>
                <w:rFonts w:hint="eastAsia" w:ascii="Calibri" w:hAnsi="Calibri" w:cs="Calibri"/>
                <w:color w:val="auto"/>
                <w:highlight w:val="none"/>
              </w:rPr>
              <w:t>园林绿化工程招标时施工优良信息加分规定</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独立</w:t>
            </w:r>
            <w:r>
              <w:rPr>
                <w:rFonts w:hint="eastAsia" w:ascii="Calibri" w:hAnsi="Calibri" w:cs="Calibri"/>
                <w:color w:val="auto"/>
                <w:szCs w:val="21"/>
                <w:highlight w:val="none"/>
              </w:rPr>
              <w:t>投标人（施工资质）或联合体中施工单位的奖项加分个数：</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Calibri" w:hAnsi="Calibri" w:cs="Calibri"/>
                <w:color w:val="auto"/>
                <w:highlight w:val="none"/>
              </w:rPr>
              <w:t>（1）国家级</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fldChar w:fldCharType="begin"/>
            </w:r>
            <w:r>
              <w:rPr>
                <w:rFonts w:hint="default" w:ascii="Calibri" w:hAnsi="Calibri" w:cs="Calibri"/>
                <w:color w:val="auto"/>
                <w:highlight w:val="none"/>
              </w:rPr>
              <w:instrText xml:space="preserve"> </w:instrText>
            </w:r>
            <w:r>
              <w:rPr>
                <w:rFonts w:hint="eastAsia" w:ascii="Calibri" w:hAnsi="Calibri" w:cs="Calibri"/>
                <w:color w:val="auto"/>
                <w:highlight w:val="none"/>
              </w:rPr>
              <w:instrText xml:space="preserve">= 1 \* GB3</w:instrText>
            </w:r>
            <w:r>
              <w:rPr>
                <w:rFonts w:hint="default" w:ascii="Calibri" w:hAnsi="Calibri" w:cs="Calibri"/>
                <w:color w:val="auto"/>
                <w:highlight w:val="none"/>
              </w:rPr>
              <w:instrText xml:space="preserve"> </w:instrText>
            </w:r>
            <w:r>
              <w:rPr>
                <w:rFonts w:hint="default" w:ascii="Calibri" w:hAnsi="Calibri" w:cs="Calibri"/>
                <w:color w:val="auto"/>
                <w:highlight w:val="none"/>
              </w:rPr>
              <w:fldChar w:fldCharType="separate"/>
            </w:r>
            <w:r>
              <w:rPr>
                <w:rFonts w:hint="eastAsia" w:ascii="Calibri" w:hAnsi="Calibri" w:cs="Calibri"/>
                <w:color w:val="auto"/>
                <w:highlight w:val="none"/>
              </w:rPr>
              <w:t>①</w:t>
            </w:r>
            <w:r>
              <w:rPr>
                <w:rFonts w:hint="default" w:ascii="Calibri" w:hAnsi="Calibri" w:cs="Calibri"/>
                <w:color w:val="auto"/>
                <w:highlight w:val="none"/>
              </w:rPr>
              <w:fldChar w:fldCharType="end"/>
            </w:r>
            <w:r>
              <w:rPr>
                <w:rFonts w:hint="eastAsia" w:ascii="Calibri" w:hAnsi="Calibri" w:cs="Calibri"/>
                <w:color w:val="auto"/>
                <w:highlight w:val="none"/>
              </w:rPr>
              <w:t>中国人居环境范例奖（园林绿化获奖项目）：</w:t>
            </w:r>
            <w:r>
              <w:rPr>
                <w:rFonts w:hint="eastAsia" w:ascii="Calibri" w:hAnsi="Calibri" w:cs="Calibri"/>
                <w:color w:val="auto"/>
                <w:szCs w:val="21"/>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t>□</w:t>
            </w:r>
            <w:r>
              <w:rPr>
                <w:rFonts w:hint="eastAsia" w:ascii="Calibri" w:hAnsi="Calibri" w:cs="Calibri"/>
                <w:color w:val="auto"/>
                <w:highlight w:val="none"/>
              </w:rPr>
              <w:t xml:space="preserve">1个  </w:t>
            </w:r>
            <w:r>
              <w:rPr>
                <w:rFonts w:hint="eastAsia" w:ascii="宋体" w:hAnsi="宋体" w:cs="Calibri"/>
                <w:color w:val="auto"/>
                <w:highlight w:val="none"/>
              </w:rPr>
              <w:t>□</w:t>
            </w:r>
            <w:r>
              <w:rPr>
                <w:rFonts w:hint="eastAsia" w:ascii="Calibri" w:hAnsi="Calibri" w:cs="Calibri"/>
                <w:color w:val="auto"/>
                <w:highlight w:val="none"/>
              </w:rPr>
              <w:t xml:space="preserve">2个  </w:t>
            </w:r>
            <w:r>
              <w:rPr>
                <w:rFonts w:hint="eastAsia" w:ascii="宋体" w:hAnsi="宋体" w:cs="Calibri"/>
                <w:color w:val="auto"/>
                <w:highlight w:val="none"/>
              </w:rPr>
              <w:t>□</w:t>
            </w:r>
            <w:r>
              <w:rPr>
                <w:rFonts w:hint="default" w:ascii="Calibri" w:hAnsi="Calibri" w:cs="Calibri"/>
                <w:color w:val="auto"/>
                <w:highlight w:val="none"/>
              </w:rPr>
              <w:t>3</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（2）省级</w:t>
            </w:r>
          </w:p>
          <w:p>
            <w:pPr>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fldChar w:fldCharType="begin"/>
            </w:r>
            <w:r>
              <w:rPr>
                <w:rFonts w:hint="default" w:ascii="Calibri" w:hAnsi="Calibri" w:cs="Calibri"/>
                <w:color w:val="auto"/>
                <w:highlight w:val="none"/>
              </w:rPr>
              <w:instrText xml:space="preserve"> </w:instrText>
            </w:r>
            <w:r>
              <w:rPr>
                <w:rFonts w:hint="eastAsia" w:ascii="Calibri" w:hAnsi="Calibri" w:cs="Calibri"/>
                <w:color w:val="auto"/>
                <w:highlight w:val="none"/>
              </w:rPr>
              <w:instrText xml:space="preserve">= 1 \* GB3</w:instrText>
            </w:r>
            <w:r>
              <w:rPr>
                <w:rFonts w:hint="default" w:ascii="Calibri" w:hAnsi="Calibri" w:cs="Calibri"/>
                <w:color w:val="auto"/>
                <w:highlight w:val="none"/>
              </w:rPr>
              <w:instrText xml:space="preserve"> </w:instrText>
            </w:r>
            <w:r>
              <w:rPr>
                <w:rFonts w:hint="default" w:ascii="Calibri" w:hAnsi="Calibri" w:cs="Calibri"/>
                <w:color w:val="auto"/>
                <w:highlight w:val="none"/>
              </w:rPr>
              <w:fldChar w:fldCharType="separate"/>
            </w:r>
            <w:r>
              <w:rPr>
                <w:rFonts w:hint="eastAsia" w:ascii="Calibri" w:hAnsi="Calibri" w:cs="Calibri"/>
                <w:color w:val="auto"/>
                <w:highlight w:val="none"/>
              </w:rPr>
              <w:t>①</w:t>
            </w:r>
            <w:r>
              <w:rPr>
                <w:rFonts w:hint="default" w:ascii="Calibri" w:hAnsi="Calibri" w:cs="Calibri"/>
                <w:color w:val="auto"/>
                <w:highlight w:val="none"/>
              </w:rPr>
              <w:fldChar w:fldCharType="end"/>
            </w:r>
            <w:r>
              <w:rPr>
                <w:rFonts w:hint="eastAsia" w:ascii="Calibri" w:hAnsi="Calibri" w:cs="Calibri"/>
                <w:color w:val="auto"/>
                <w:highlight w:val="none"/>
              </w:rPr>
              <w:t>湖南省园林优质奖：</w:t>
            </w:r>
            <w:r>
              <w:rPr>
                <w:rFonts w:hint="eastAsia" w:ascii="Calibri" w:hAnsi="Calibri" w:cs="Calibri"/>
                <w:color w:val="auto"/>
                <w:szCs w:val="21"/>
                <w:highlight w:val="none"/>
              </w:rPr>
              <w:sym w:font="Wingdings 2" w:char="0052"/>
            </w:r>
            <w:r>
              <w:rPr>
                <w:rFonts w:hint="eastAsia" w:ascii="Calibri" w:hAnsi="Calibri" w:cs="Calibri"/>
                <w:color w:val="auto"/>
                <w:highlight w:val="none"/>
              </w:rPr>
              <w:t xml:space="preserve">0个  </w:t>
            </w:r>
            <w:r>
              <w:rPr>
                <w:rFonts w:hint="eastAsia" w:ascii="宋体" w:hAnsi="宋体" w:cs="Calibri"/>
                <w:color w:val="auto"/>
                <w:highlight w:val="none"/>
              </w:rPr>
              <w:t>□</w:t>
            </w:r>
            <w:r>
              <w:rPr>
                <w:rFonts w:hint="eastAsia" w:ascii="Calibri" w:hAnsi="Calibri" w:cs="Calibri"/>
                <w:color w:val="auto"/>
                <w:highlight w:val="none"/>
              </w:rPr>
              <w:t xml:space="preserve">1个  </w:t>
            </w:r>
            <w:r>
              <w:rPr>
                <w:rFonts w:hint="eastAsia" w:ascii="宋体" w:hAnsi="宋体" w:cs="Calibri"/>
                <w:color w:val="auto"/>
                <w:highlight w:val="none"/>
              </w:rPr>
              <w:t>□</w:t>
            </w:r>
            <w:r>
              <w:rPr>
                <w:rFonts w:hint="eastAsia" w:ascii="Calibri" w:hAnsi="Calibri" w:cs="Calibri"/>
                <w:color w:val="auto"/>
                <w:highlight w:val="none"/>
              </w:rPr>
              <w:t xml:space="preserve">2个  </w:t>
            </w:r>
            <w:r>
              <w:rPr>
                <w:rFonts w:hint="eastAsia" w:ascii="宋体" w:hAnsi="宋体" w:cs="Calibri"/>
                <w:color w:val="auto"/>
                <w:highlight w:val="none"/>
              </w:rPr>
              <w:t>□</w:t>
            </w:r>
            <w:r>
              <w:rPr>
                <w:rFonts w:hint="default" w:ascii="Calibri" w:hAnsi="Calibri" w:cs="Calibri"/>
                <w:color w:val="auto"/>
                <w:highlight w:val="none"/>
              </w:rPr>
              <w:t>3</w:t>
            </w:r>
            <w:r>
              <w:rPr>
                <w:rFonts w:hint="eastAsia" w:ascii="Calibri" w:hAnsi="Calibri" w:cs="Calibri"/>
                <w:color w:val="auto"/>
                <w:highlight w:val="none"/>
              </w:rPr>
              <w:t>个</w:t>
            </w:r>
          </w:p>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（3）标准化工地均不加分。</w:t>
            </w:r>
          </w:p>
          <w:p>
            <w:pPr>
              <w:keepNext w:val="0"/>
              <w:keepLines w:val="0"/>
              <w:suppressLineNumbers w:val="0"/>
              <w:spacing w:before="0" w:beforeAutospacing="0" w:after="0" w:afterAutospacing="0" w:line="360" w:lineRule="auto"/>
              <w:ind w:left="0" w:right="0"/>
              <w:rPr>
                <w:rFonts w:hint="default" w:ascii="宋体" w:hAnsi="宋体" w:cs="Calibri"/>
                <w:strike/>
                <w:color w:val="auto"/>
                <w:szCs w:val="21"/>
                <w:highlight w:val="none"/>
              </w:rPr>
            </w:pPr>
            <w:r>
              <w:rPr>
                <w:rFonts w:hint="default" w:ascii="宋体" w:hAnsi="宋体" w:cs="Calibri"/>
                <w:color w:val="auto"/>
                <w:szCs w:val="21"/>
                <w:highlight w:val="none"/>
              </w:rPr>
              <w:t>5.</w:t>
            </w:r>
            <w:r>
              <w:rPr>
                <w:rFonts w:hint="eastAsia" w:ascii="宋体" w:hAnsi="宋体" w:cs="Calibri"/>
                <w:color w:val="auto"/>
                <w:szCs w:val="21"/>
                <w:highlight w:val="none"/>
              </w:rPr>
              <w:t>其他</w:t>
            </w:r>
            <w:r>
              <w:rPr>
                <w:rFonts w:hint="eastAsia" w:ascii="宋体" w:hAnsi="宋体" w:cs="Calibri"/>
                <w:color w:val="auto"/>
                <w:szCs w:val="21"/>
                <w:highlight w:val="none"/>
                <w:u w:val="single"/>
              </w:rPr>
              <w:t xml:space="preserve"> </w:t>
            </w:r>
            <w:r>
              <w:rPr>
                <w:rFonts w:hint="default" w:ascii="宋体" w:hAnsi="宋体" w:cs="Calibri"/>
                <w:color w:val="auto"/>
                <w:szCs w:val="21"/>
                <w:highlight w:val="none"/>
                <w:u w:val="single"/>
              </w:rPr>
              <w:t xml:space="preserve">   </w:t>
            </w:r>
            <w:r>
              <w:rPr>
                <w:rFonts w:hint="eastAsia" w:ascii="宋体" w:hAnsi="宋体" w:cs="Calibri"/>
                <w:color w:val="auto"/>
                <w:szCs w:val="21"/>
                <w:highlight w:val="none"/>
                <w:u w:val="single"/>
                <w:lang w:val="en-US" w:eastAsia="zh-CN"/>
              </w:rPr>
              <w:t>/</w:t>
            </w:r>
            <w:r>
              <w:rPr>
                <w:rFonts w:hint="default" w:ascii="宋体" w:hAnsi="宋体" w:cs="Calibri"/>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10.3</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企业资信及履约能力评审的</w:t>
            </w:r>
            <w:r>
              <w:rPr>
                <w:rFonts w:hint="eastAsia" w:ascii="宋体" w:hAnsi="宋体" w:cs="宋体"/>
                <w:color w:val="auto"/>
                <w:kern w:val="0"/>
                <w:szCs w:val="21"/>
                <w:highlight w:val="none"/>
              </w:rPr>
              <w:t>财务状况</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宋体" w:hAnsi="宋体" w:cs="Calibri"/>
                <w:color w:val="auto"/>
                <w:szCs w:val="21"/>
                <w:highlight w:val="none"/>
              </w:rPr>
            </w:pPr>
            <w:r>
              <w:rPr>
                <w:rFonts w:hint="eastAsia" w:ascii="宋体" w:hAnsi="宋体" w:cs="Calibri"/>
                <w:color w:val="auto"/>
                <w:szCs w:val="21"/>
                <w:highlight w:val="none"/>
              </w:rPr>
              <w:t>1.财务状况要求：</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eastAsia="宋体" w:cs="Calibri"/>
                <w:color w:val="auto"/>
                <w:szCs w:val="21"/>
                <w:highlight w:val="none"/>
                <w:u w:val="single"/>
                <w:lang w:val="en-US" w:eastAsia="zh-CN"/>
              </w:rPr>
            </w:pPr>
            <w:r>
              <w:rPr>
                <w:rFonts w:hint="eastAsia" w:ascii="宋体" w:hAnsi="宋体" w:cs="Calibri"/>
                <w:color w:val="auto"/>
                <w:szCs w:val="21"/>
                <w:highlight w:val="none"/>
              </w:rPr>
              <w:sym w:font="Wingdings 2" w:char="00A3"/>
            </w:r>
            <w:r>
              <w:rPr>
                <w:rFonts w:hint="eastAsia" w:ascii="Calibri" w:hAnsi="Calibri" w:cs="Calibri"/>
                <w:color w:val="auto"/>
                <w:szCs w:val="21"/>
                <w:highlight w:val="none"/>
              </w:rPr>
              <w:t>银行授信额度</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eastAsia="宋体" w:cs="Calibri"/>
                <w:color w:val="auto"/>
                <w:szCs w:val="21"/>
                <w:highlight w:val="none"/>
                <w:lang w:val="en-US" w:eastAsia="zh-CN"/>
              </w:rPr>
            </w:pPr>
            <w:r>
              <w:rPr>
                <w:rFonts w:hint="eastAsia" w:ascii="宋体" w:hAnsi="宋体" w:cs="Calibri"/>
                <w:color w:val="auto"/>
                <w:szCs w:val="21"/>
                <w:highlight w:val="none"/>
              </w:rPr>
              <w:sym w:font="Wingdings 2" w:char="0052"/>
            </w:r>
            <w:r>
              <w:rPr>
                <w:rFonts w:hint="eastAsia" w:ascii="Calibri" w:hAnsi="Calibri" w:cs="Calibri"/>
                <w:color w:val="auto"/>
                <w:szCs w:val="21"/>
                <w:highlight w:val="none"/>
              </w:rPr>
              <w:t>资产负债率</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u w:val="single"/>
              </w:rPr>
            </w:pPr>
            <w:r>
              <w:rPr>
                <w:rFonts w:hint="eastAsia" w:ascii="宋体" w:hAnsi="宋体" w:cs="Calibri"/>
                <w:color w:val="auto"/>
                <w:szCs w:val="21"/>
                <w:highlight w:val="none"/>
              </w:rPr>
              <w:sym w:font="Wingdings 2" w:char="00A3"/>
            </w:r>
            <w:r>
              <w:rPr>
                <w:rFonts w:hint="eastAsia" w:ascii="Calibri" w:hAnsi="Calibri" w:cs="Calibri"/>
                <w:color w:val="auto"/>
                <w:szCs w:val="21"/>
                <w:highlight w:val="none"/>
              </w:rPr>
              <w:t>净资产</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2.</w:t>
            </w:r>
            <w:r>
              <w:rPr>
                <w:rFonts w:hint="eastAsia" w:ascii="宋体" w:hAnsi="宋体" w:cs="Calibri"/>
                <w:color w:val="auto"/>
                <w:szCs w:val="21"/>
                <w:highlight w:val="none"/>
              </w:rPr>
              <w:t>财务状况的</w:t>
            </w:r>
            <w:r>
              <w:rPr>
                <w:rFonts w:hint="eastAsia" w:ascii="Calibri" w:hAnsi="Calibri" w:cs="Calibri"/>
                <w:color w:val="auto"/>
                <w:szCs w:val="21"/>
                <w:highlight w:val="none"/>
              </w:rPr>
              <w:t>考核依据：</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银行授信额度以企业与银行签订有效的年度授信协议书为准，多家银行的年度授信额度不能累加计算；净资产及资产负债率的评审依据以投标文件中提供的投标人上一年度经会计事务所审计的财务报表复印件为准，从每年的1月1日至4月30日，如投标人无法提供上一年度财务报表，则可以再上一年度的财务报表为准，否则相应评审项目不予计分；从每年的5月1日开始至12月31日，投标人应当提供上一年度财务报表，否则相应评审项目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dxa"/>
            <w:vMerge w:val="restart"/>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shd w:val="pct10" w:color="auto" w:fill="FFFFFF"/>
              </w:rPr>
            </w:pPr>
            <w:r>
              <w:rPr>
                <w:rFonts w:hint="eastAsia" w:ascii="Calibri" w:hAnsi="Calibri" w:cs="Calibri"/>
                <w:color w:val="auto"/>
                <w:szCs w:val="21"/>
                <w:highlight w:val="none"/>
              </w:rPr>
              <w:t xml:space="preserve">10. </w:t>
            </w:r>
            <w:r>
              <w:rPr>
                <w:rFonts w:hint="default" w:ascii="Calibri" w:hAnsi="Calibri" w:cs="Calibri"/>
                <w:color w:val="auto"/>
                <w:szCs w:val="21"/>
                <w:highlight w:val="none"/>
              </w:rPr>
              <w:t>4</w:t>
            </w:r>
          </w:p>
        </w:tc>
        <w:tc>
          <w:tcPr>
            <w:tcW w:w="645" w:type="dxa"/>
            <w:vMerge w:val="restart"/>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企业资信及履约能力评审，联合体信用评价的计分方式</w:t>
            </w:r>
          </w:p>
        </w:tc>
        <w:tc>
          <w:tcPr>
            <w:tcW w:w="1125" w:type="dxa"/>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以联合体投标，其中设计单位有两家（含两家）以上的</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jc w:val="left"/>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设计单位信用评价结果发布之前，招标评标过程中投标人信用评价分值统一计100分，若出现不良行为记录或列入湖南省公管办或湖南省住房和城乡建设厅发布的黑名单的，予以扣分。</w:t>
            </w:r>
          </w:p>
          <w:p>
            <w:pPr>
              <w:keepNext w:val="0"/>
              <w:keepLines w:val="0"/>
              <w:suppressLineNumbers w:val="0"/>
              <w:spacing w:before="0" w:beforeAutospacing="0" w:after="0" w:afterAutospacing="0" w:line="360" w:lineRule="auto"/>
              <w:ind w:left="-103" w:leftChars="-49" w:right="0" w:firstLine="361" w:firstLineChars="201"/>
              <w:jc w:val="left"/>
              <w:rPr>
                <w:rFonts w:hint="eastAsia" w:ascii="Calibri" w:hAnsi="Calibri" w:eastAsia="宋体" w:cs="Calibri"/>
                <w:color w:val="auto"/>
                <w:kern w:val="0"/>
                <w:sz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1065"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p>
        </w:tc>
        <w:tc>
          <w:tcPr>
            <w:tcW w:w="645" w:type="dxa"/>
            <w:vMerge w:val="continue"/>
            <w:noWrap w:val="0"/>
            <w:vAlign w:val="center"/>
          </w:tcPr>
          <w:p>
            <w:pPr>
              <w:keepNext w:val="0"/>
              <w:keepLines w:val="0"/>
              <w:suppressLineNumbers w:val="0"/>
              <w:spacing w:before="0" w:beforeAutospacing="0" w:after="0" w:afterAutospacing="0" w:line="360" w:lineRule="auto"/>
              <w:ind w:left="0" w:right="0"/>
              <w:rPr>
                <w:rFonts w:hint="eastAsia" w:ascii="Calibri" w:hAnsi="Calibri" w:cs="Calibri"/>
                <w:color w:val="auto"/>
                <w:szCs w:val="21"/>
                <w:highlight w:val="none"/>
              </w:rPr>
            </w:pPr>
          </w:p>
        </w:tc>
        <w:tc>
          <w:tcPr>
            <w:tcW w:w="1125" w:type="dxa"/>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以联合体投标的，其中施工单位有两家（含两家）以上的</w:t>
            </w:r>
          </w:p>
        </w:tc>
        <w:tc>
          <w:tcPr>
            <w:tcW w:w="6096" w:type="dxa"/>
            <w:noWrap w:val="0"/>
            <w:vAlign w:val="center"/>
          </w:tcPr>
          <w:p>
            <w:pPr>
              <w:keepNext w:val="0"/>
              <w:keepLines w:val="0"/>
              <w:suppressLineNumbers w:val="0"/>
              <w:spacing w:before="0" w:beforeAutospacing="0" w:after="0" w:afterAutospacing="0" w:line="360" w:lineRule="auto"/>
              <w:ind w:left="0" w:right="0"/>
              <w:jc w:val="left"/>
              <w:rPr>
                <w:rFonts w:hint="default" w:ascii="Calibri" w:hAnsi="Calibri" w:eastAsia="宋体" w:cs="Calibri"/>
                <w:color w:val="auto"/>
                <w:kern w:val="0"/>
                <w:sz w:val="18"/>
                <w:highlight w:val="none"/>
                <w:lang w:val="en-US" w:eastAsia="zh-CN"/>
              </w:rPr>
            </w:pPr>
            <w:r>
              <w:rPr>
                <w:rFonts w:hint="eastAsia" w:ascii="Calibri" w:hAnsi="Calibri" w:cs="Calibri"/>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5</w:t>
            </w:r>
          </w:p>
        </w:tc>
        <w:tc>
          <w:tcPr>
            <w:tcW w:w="1770" w:type="dxa"/>
            <w:gridSpan w:val="2"/>
            <w:noWrap w:val="0"/>
            <w:vAlign w:val="center"/>
          </w:tcPr>
          <w:p>
            <w:pPr>
              <w:keepNext w:val="0"/>
              <w:keepLines w:val="0"/>
              <w:suppressLineNumbers w:val="0"/>
              <w:spacing w:before="0" w:beforeAutospacing="0" w:after="0" w:afterAutospacing="0" w:line="360" w:lineRule="auto"/>
              <w:ind w:left="0" w:right="0" w:firstLine="210" w:firstLineChars="100"/>
              <w:rPr>
                <w:rFonts w:hint="eastAsia" w:ascii="Calibri" w:hAnsi="Calibri" w:cs="Calibri"/>
                <w:color w:val="auto"/>
                <w:szCs w:val="21"/>
                <w:highlight w:val="none"/>
              </w:rPr>
            </w:pPr>
            <w:r>
              <w:rPr>
                <w:rFonts w:hint="eastAsia" w:ascii="Calibri" w:hAnsi="Calibri" w:cs="Calibri"/>
                <w:color w:val="auto"/>
                <w:szCs w:val="21"/>
                <w:highlight w:val="none"/>
              </w:rPr>
              <w:t>企业资信及履约能力评审中</w:t>
            </w:r>
            <w:r>
              <w:rPr>
                <w:rFonts w:hint="default" w:ascii="Calibri" w:hAnsi="Calibri" w:cs="Calibri"/>
                <w:color w:val="auto"/>
                <w:szCs w:val="21"/>
                <w:highlight w:val="none"/>
              </w:rPr>
              <w:t>联合体</w:t>
            </w:r>
            <w:r>
              <w:rPr>
                <w:rFonts w:hint="eastAsia" w:ascii="Calibri" w:hAnsi="Calibri" w:cs="Calibri"/>
                <w:color w:val="auto"/>
                <w:szCs w:val="21"/>
                <w:highlight w:val="none"/>
              </w:rPr>
              <w:t>组成中施工单位有两家或两家以上的</w:t>
            </w:r>
            <w:r>
              <w:rPr>
                <w:rFonts w:hint="default" w:ascii="Calibri" w:hAnsi="Calibri" w:cs="Calibri"/>
                <w:color w:val="auto"/>
                <w:kern w:val="0"/>
                <w:szCs w:val="21"/>
                <w:highlight w:val="none"/>
              </w:rPr>
              <w:t>现场安全</w:t>
            </w:r>
            <w:r>
              <w:rPr>
                <w:rFonts w:hint="eastAsia" w:ascii="Calibri" w:hAnsi="Calibri" w:cs="Calibri"/>
                <w:color w:val="auto"/>
                <w:kern w:val="0"/>
                <w:szCs w:val="21"/>
                <w:highlight w:val="none"/>
              </w:rPr>
              <w:t>质量</w:t>
            </w:r>
            <w:r>
              <w:rPr>
                <w:rFonts w:hint="default" w:ascii="Calibri" w:hAnsi="Calibri" w:cs="Calibri"/>
                <w:color w:val="auto"/>
                <w:kern w:val="0"/>
                <w:szCs w:val="21"/>
                <w:highlight w:val="none"/>
              </w:rPr>
              <w:t>管理评价</w:t>
            </w:r>
            <w:r>
              <w:rPr>
                <w:rFonts w:hint="eastAsia" w:ascii="Calibri" w:hAnsi="Calibri" w:cs="Calibri"/>
                <w:color w:val="auto"/>
                <w:kern w:val="0"/>
                <w:szCs w:val="21"/>
                <w:highlight w:val="none"/>
              </w:rPr>
              <w:t>的计分</w:t>
            </w:r>
            <w:r>
              <w:rPr>
                <w:rFonts w:hint="default" w:ascii="Calibri" w:hAnsi="Calibri" w:cs="Calibri"/>
                <w:color w:val="auto"/>
                <w:szCs w:val="21"/>
                <w:highlight w:val="none"/>
              </w:rPr>
              <w:t>方式</w:t>
            </w:r>
          </w:p>
        </w:tc>
        <w:tc>
          <w:tcPr>
            <w:tcW w:w="6096" w:type="dxa"/>
            <w:noWrap w:val="0"/>
            <w:vAlign w:val="center"/>
          </w:tcPr>
          <w:p>
            <w:pPr>
              <w:keepNext w:val="0"/>
              <w:keepLines w:val="0"/>
              <w:suppressLineNumbers w:val="0"/>
              <w:spacing w:before="0" w:beforeAutospacing="0" w:after="0" w:afterAutospacing="0" w:line="360" w:lineRule="auto"/>
              <w:ind w:left="0" w:leftChars="0" w:right="0" w:firstLine="0" w:firstLineChars="0"/>
              <w:jc w:val="left"/>
              <w:rPr>
                <w:rFonts w:hint="default" w:ascii="Calibri" w:hAnsi="Calibri" w:eastAsia="宋体" w:cs="Calibri"/>
                <w:color w:val="auto"/>
                <w:szCs w:val="21"/>
                <w:highlight w:val="none"/>
                <w:lang w:val="en-US" w:eastAsia="zh-CN"/>
              </w:rPr>
            </w:pPr>
            <w:r>
              <w:rPr>
                <w:rFonts w:hint="eastAsia" w:ascii="Calibri" w:hAnsi="Calibri" w:cs="Calibri"/>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strike/>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6</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进入详细评审 阶段投标人数量的确定方式</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210" w:firstLineChars="100"/>
              <w:rPr>
                <w:rFonts w:hint="default" w:ascii="Calibri" w:hAnsi="Calibri" w:cs="Calibri"/>
                <w:bCs/>
                <w:color w:val="auto"/>
                <w:szCs w:val="21"/>
                <w:highlight w:val="none"/>
              </w:rPr>
            </w:pPr>
            <w:r>
              <w:rPr>
                <w:rFonts w:hint="eastAsia" w:ascii="Calibri" w:hAnsi="Calibri" w:cs="Calibri"/>
                <w:bCs/>
                <w:color w:val="auto"/>
                <w:szCs w:val="21"/>
                <w:highlight w:val="none"/>
              </w:rPr>
              <w:t>（1）进入详细评审的合格投标人未超过9家（不含本数）时，对初步评审合格的所有投标人提交的投标文件作进一步评审比较。</w:t>
            </w:r>
          </w:p>
          <w:p>
            <w:pPr>
              <w:keepNext w:val="0"/>
              <w:keepLines w:val="0"/>
              <w:suppressLineNumbers w:val="0"/>
              <w:spacing w:before="0" w:beforeAutospacing="0" w:after="0" w:afterAutospacing="0" w:line="360" w:lineRule="auto"/>
              <w:ind w:left="-103" w:leftChars="-49" w:right="0" w:firstLine="210" w:firstLineChars="100"/>
              <w:rPr>
                <w:rFonts w:hint="eastAsia" w:ascii="Calibri" w:hAnsi="Calibri" w:cs="Calibri"/>
                <w:bCs/>
                <w:color w:val="auto"/>
                <w:szCs w:val="21"/>
                <w:highlight w:val="none"/>
              </w:rPr>
            </w:pPr>
            <w:r>
              <w:rPr>
                <w:rFonts w:hint="eastAsia" w:ascii="Calibri" w:hAnsi="Calibri" w:cs="Calibri"/>
                <w:bCs/>
                <w:color w:val="auto"/>
                <w:szCs w:val="21"/>
                <w:highlight w:val="none"/>
              </w:rPr>
              <w:t>（2）进入详细评审的合格投标人超过9家（含本数）时，</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color w:val="auto"/>
                <w:szCs w:val="21"/>
                <w:highlight w:val="none"/>
              </w:rPr>
              <w:sym w:font="Wingdings 2" w:char="0052"/>
            </w:r>
            <w:r>
              <w:rPr>
                <w:rFonts w:hint="eastAsia" w:ascii="Calibri" w:hAnsi="Calibri" w:cs="Calibri"/>
                <w:bCs/>
                <w:color w:val="auto"/>
                <w:szCs w:val="21"/>
                <w:highlight w:val="none"/>
              </w:rPr>
              <w:t>对初步评审合格的所有投标人提交的投标文件作进一步评审比较。</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color w:val="auto"/>
                <w:szCs w:val="21"/>
                <w:highlight w:val="none"/>
              </w:rPr>
              <w:sym w:font="Wingdings 2" w:char="00A3"/>
            </w:r>
            <w:r>
              <w:rPr>
                <w:rFonts w:hint="eastAsia" w:ascii="Calibri" w:hAnsi="Calibri" w:cs="Calibri"/>
                <w:bCs/>
                <w:color w:val="auto"/>
                <w:szCs w:val="21"/>
                <w:highlight w:val="none"/>
              </w:rPr>
              <w:t>按照技术方案和企业资信及履约能力得分之和由高至低的顺序确定9名合格投标人进入后续评审。</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bCs/>
                <w:color w:val="auto"/>
                <w:szCs w:val="21"/>
                <w:highlight w:val="none"/>
              </w:rPr>
              <w:t>投标人的技术方案和企业资信及履约能力得分之和相同时，依次按照企业资信及履约能力得分、技术方案得分由高至低排</w:t>
            </w:r>
            <w:r>
              <w:rPr>
                <w:rFonts w:hint="default" w:ascii="Calibri" w:hAnsi="Calibri" w:cs="Calibri"/>
                <w:bCs/>
                <w:color w:val="auto"/>
                <w:szCs w:val="21"/>
                <w:highlight w:val="none"/>
              </w:rPr>
              <w:t>序</w:t>
            </w:r>
            <w:r>
              <w:rPr>
                <w:rFonts w:hint="eastAsia" w:ascii="Calibri" w:hAnsi="Calibri" w:cs="Calibri"/>
                <w:bCs/>
                <w:color w:val="auto"/>
                <w:szCs w:val="21"/>
                <w:highlight w:val="none"/>
              </w:rPr>
              <w:t>，和评委票决顺序确定。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strike/>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7</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技术方案</w:t>
            </w:r>
            <w:r>
              <w:rPr>
                <w:rFonts w:hint="default" w:ascii="Calibri" w:hAnsi="Calibri" w:cs="Calibri"/>
                <w:color w:val="auto"/>
                <w:szCs w:val="21"/>
                <w:highlight w:val="none"/>
              </w:rPr>
              <w:t>的</w:t>
            </w:r>
            <w:r>
              <w:rPr>
                <w:rFonts w:hint="eastAsia" w:ascii="Calibri" w:hAnsi="Calibri" w:cs="Calibri"/>
                <w:color w:val="auto"/>
                <w:szCs w:val="21"/>
                <w:highlight w:val="none"/>
              </w:rPr>
              <w:t>规定</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采用“暗标”评审方式，投标人应按照第</w:t>
            </w:r>
            <w:r>
              <w:rPr>
                <w:rFonts w:hint="eastAsia" w:ascii="Calibri" w:hAnsi="Calibri" w:cs="Calibri"/>
                <w:color w:val="auto"/>
                <w:szCs w:val="21"/>
                <w:highlight w:val="none"/>
              </w:rPr>
              <w:t>七</w:t>
            </w:r>
            <w:r>
              <w:rPr>
                <w:rFonts w:hint="default" w:ascii="Calibri" w:hAnsi="Calibri" w:cs="Calibri"/>
                <w:color w:val="auto"/>
                <w:szCs w:val="21"/>
                <w:highlight w:val="none"/>
              </w:rPr>
              <w:t>章投标文件格式</w:t>
            </w:r>
            <w:r>
              <w:rPr>
                <w:rFonts w:hint="eastAsia" w:ascii="Calibri" w:hAnsi="Calibri" w:cs="Calibri"/>
                <w:color w:val="auto"/>
                <w:szCs w:val="21"/>
                <w:highlight w:val="none"/>
              </w:rPr>
              <w:t>第三节“技术方案格式</w:t>
            </w:r>
            <w:r>
              <w:rPr>
                <w:rFonts w:hint="default" w:ascii="Calibri" w:hAnsi="Calibri" w:cs="Calibri"/>
                <w:color w:val="auto"/>
                <w:szCs w:val="21"/>
                <w:highlight w:val="none"/>
              </w:rPr>
              <w:t>（暗标）</w:t>
            </w:r>
            <w:r>
              <w:rPr>
                <w:rFonts w:hint="eastAsia" w:ascii="Calibri" w:hAnsi="Calibri" w:cs="Calibri"/>
                <w:color w:val="auto"/>
                <w:szCs w:val="21"/>
                <w:highlight w:val="none"/>
              </w:rPr>
              <w:t>的编制要求”进行</w:t>
            </w:r>
            <w:r>
              <w:rPr>
                <w:rFonts w:hint="default" w:ascii="Calibri" w:hAnsi="Calibri" w:cs="Calibri"/>
                <w:color w:val="auto"/>
                <w:szCs w:val="21"/>
                <w:highlight w:val="none"/>
              </w:rPr>
              <w:t>编制</w:t>
            </w:r>
            <w:r>
              <w:rPr>
                <w:rFonts w:hint="eastAsia"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default" w:ascii="Calibri" w:hAnsi="Calibri" w:cs="Calibri"/>
                <w:color w:val="auto"/>
                <w:szCs w:val="21"/>
                <w:highlight w:val="none"/>
              </w:rPr>
              <w:t>建筑信息模型</w:t>
            </w:r>
            <w:r>
              <w:rPr>
                <w:rFonts w:hint="eastAsia" w:ascii="Calibri" w:hAnsi="Calibri" w:cs="Calibri"/>
                <w:color w:val="auto"/>
                <w:szCs w:val="21"/>
                <w:highlight w:val="none"/>
              </w:rPr>
              <w:t>：</w:t>
            </w:r>
            <w:r>
              <w:rPr>
                <w:rFonts w:hint="eastAsia" w:ascii="Calibri" w:hAnsi="Calibri" w:cs="Calibri"/>
                <w:color w:val="auto"/>
                <w:szCs w:val="21"/>
                <w:highlight w:val="none"/>
              </w:rPr>
              <w:sym w:font="Wingdings 2" w:char="00A3"/>
            </w:r>
            <w:r>
              <w:rPr>
                <w:rFonts w:hint="eastAsia" w:ascii="Calibri" w:hAnsi="Calibri" w:cs="Calibri"/>
                <w:color w:val="auto"/>
                <w:szCs w:val="21"/>
                <w:highlight w:val="none"/>
              </w:rPr>
              <w:t>技术方案包括BIM技术应用；</w:t>
            </w:r>
          </w:p>
          <w:p>
            <w:pPr>
              <w:keepNext w:val="0"/>
              <w:keepLines w:val="0"/>
              <w:suppressLineNumbers w:val="0"/>
              <w:spacing w:before="0" w:beforeAutospacing="0" w:after="0" w:afterAutospacing="0" w:line="360" w:lineRule="auto"/>
              <w:ind w:left="-103" w:leftChars="-49" w:right="0" w:firstLine="1892" w:firstLineChars="901"/>
              <w:rPr>
                <w:rFonts w:hint="eastAsia" w:ascii="Calibri" w:hAnsi="Calibri" w:cs="Calibri"/>
                <w:color w:val="auto"/>
                <w:szCs w:val="21"/>
                <w:highlight w:val="none"/>
              </w:rPr>
            </w:pPr>
            <w:r>
              <w:rPr>
                <w:rFonts w:hint="eastAsia" w:ascii="Calibri" w:hAnsi="Calibri" w:cs="Calibri"/>
                <w:color w:val="auto"/>
                <w:szCs w:val="21"/>
                <w:highlight w:val="none"/>
              </w:rPr>
              <w:sym w:font="Wingdings 2" w:char="0052"/>
            </w:r>
            <w:r>
              <w:rPr>
                <w:rFonts w:hint="eastAsia" w:ascii="Calibri" w:hAnsi="Calibri" w:cs="Calibri"/>
                <w:color w:val="auto"/>
                <w:szCs w:val="21"/>
                <w:highlight w:val="none"/>
              </w:rPr>
              <w:t>技术方案不包括BIM技术应用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8</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拟任工程总承包项目负责人答辩要求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eastAsia" w:ascii="Calibri" w:hAnsi="Calibri" w:cs="Calibri"/>
                <w:color w:val="auto"/>
                <w:szCs w:val="21"/>
                <w:highlight w:val="none"/>
              </w:rPr>
              <w:t>不要求答辩</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color w:val="auto"/>
                <w:szCs w:val="21"/>
                <w:highlight w:val="none"/>
              </w:rPr>
              <w:t>□要求答辩，答辩范围包括：</w:t>
            </w:r>
            <w:r>
              <w:rPr>
                <w:rFonts w:hint="eastAsia" w:ascii="Calibri" w:hAnsi="Calibri" w:cs="Calibri"/>
                <w:color w:val="auto"/>
                <w:szCs w:val="21"/>
                <w:highlight w:val="none"/>
                <w:u w:val="single"/>
              </w:rPr>
              <w:t xml:space="preserve">  </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rPr>
              <w:t>（由招标人从</w:t>
            </w:r>
            <w:r>
              <w:rPr>
                <w:rFonts w:hint="eastAsia" w:ascii="Calibri" w:hAnsi="Calibri" w:cs="Calibri"/>
                <w:bCs/>
                <w:color w:val="auto"/>
                <w:szCs w:val="21"/>
                <w:highlight w:val="none"/>
              </w:rPr>
              <w:t>项目管理组织方案、项目安全、质量、费用管控和进度控制等方面，</w:t>
            </w:r>
            <w:r>
              <w:rPr>
                <w:rFonts w:hint="eastAsia" w:ascii="Calibri" w:hAnsi="Calibri" w:cs="Calibri"/>
                <w:color w:val="auto"/>
                <w:szCs w:val="21"/>
                <w:highlight w:val="none"/>
              </w:rPr>
              <w:t>根据招标项目具体特点、</w:t>
            </w:r>
            <w:r>
              <w:rPr>
                <w:rFonts w:hint="eastAsia" w:ascii="Calibri" w:hAnsi="Calibri" w:cs="Calibri"/>
                <w:bCs/>
                <w:color w:val="auto"/>
                <w:szCs w:val="21"/>
                <w:highlight w:val="none"/>
              </w:rPr>
              <w:t>相关规定和实际需要编写答辩范围</w:t>
            </w:r>
            <w:r>
              <w:rPr>
                <w:rFonts w:hint="eastAsia" w:ascii="Calibri" w:hAnsi="Calibri" w:cs="Calibri"/>
                <w:color w:val="auto"/>
                <w:szCs w:val="21"/>
                <w:highlight w:val="none"/>
              </w:rPr>
              <w:t>）</w:t>
            </w:r>
            <w:r>
              <w:rPr>
                <w:rFonts w:hint="eastAsia" w:ascii="Calibri" w:hAnsi="Calibri" w:cs="Calibri"/>
                <w:bCs/>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bCs/>
                <w:color w:val="auto"/>
                <w:szCs w:val="21"/>
                <w:highlight w:val="none"/>
              </w:rPr>
              <w:t>1、评标委员会根据答辩范围编写答辩题目，组织拟任</w:t>
            </w:r>
            <w:r>
              <w:rPr>
                <w:rFonts w:hint="eastAsia" w:ascii="Calibri" w:hAnsi="Calibri" w:cs="Calibri"/>
                <w:color w:val="auto"/>
                <w:szCs w:val="21"/>
                <w:highlight w:val="none"/>
              </w:rPr>
              <w:t>工程总承包项目负责人</w:t>
            </w:r>
            <w:r>
              <w:rPr>
                <w:rFonts w:hint="eastAsia" w:ascii="Calibri" w:hAnsi="Calibri" w:cs="Calibri"/>
                <w:bCs/>
                <w:color w:val="auto"/>
                <w:szCs w:val="21"/>
                <w:highlight w:val="none"/>
              </w:rPr>
              <w:t>答辩。</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bCs/>
                <w:color w:val="auto"/>
                <w:szCs w:val="21"/>
                <w:highlight w:val="none"/>
              </w:rPr>
            </w:pPr>
            <w:r>
              <w:rPr>
                <w:rFonts w:hint="eastAsia" w:ascii="Calibri" w:hAnsi="Calibri" w:cs="Calibri"/>
                <w:bCs/>
                <w:color w:val="auto"/>
                <w:szCs w:val="21"/>
                <w:highlight w:val="none"/>
              </w:rPr>
              <w:t>2、答辩方式：</w:t>
            </w:r>
          </w:p>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t>□现场答辩，具体要求为：</w:t>
            </w:r>
            <w:r>
              <w:rPr>
                <w:rFonts w:hint="eastAsia" w:ascii="Calibri" w:hAnsi="Calibri" w:cs="Calibri"/>
                <w:color w:val="auto"/>
                <w:szCs w:val="21"/>
                <w:highlight w:val="none"/>
                <w:u w:val="single"/>
              </w:rPr>
              <w:t xml:space="preserve"> </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rPr>
              <w:t>；</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□通过电子招标投标交易平台答辩，具体要求为：</w:t>
            </w:r>
            <w:r>
              <w:rPr>
                <w:rFonts w:hint="eastAsia" w:ascii="Calibri" w:hAnsi="Calibri" w:cs="Calibri"/>
                <w:color w:val="auto"/>
                <w:szCs w:val="21"/>
                <w:highlight w:val="none"/>
                <w:u w:val="single"/>
              </w:rPr>
              <w:t xml:space="preserve"> </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9</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投标报价计税</w:t>
            </w:r>
          </w:p>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方式</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宋体" w:hAnsi="宋体" w:cs="宋体"/>
                <w:color w:val="auto"/>
                <w:szCs w:val="21"/>
                <w:highlight w:val="none"/>
              </w:rPr>
            </w:pPr>
            <w:r>
              <w:rPr>
                <w:rFonts w:hint="eastAsia" w:ascii="Calibri" w:hAnsi="Calibri" w:cs="Calibri"/>
                <w:color w:val="auto"/>
                <w:szCs w:val="21"/>
                <w:highlight w:val="none"/>
              </w:rPr>
              <w:sym w:font="Wingdings 2" w:char="0052"/>
            </w:r>
            <w:r>
              <w:rPr>
                <w:rFonts w:hint="eastAsia" w:ascii="宋体" w:hAnsi="宋体" w:cs="宋体"/>
                <w:color w:val="auto"/>
                <w:szCs w:val="21"/>
                <w:highlight w:val="none"/>
              </w:rPr>
              <w:t>一般计税法</w:t>
            </w:r>
          </w:p>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w:t>
            </w:r>
            <w:r>
              <w:rPr>
                <w:rFonts w:hint="eastAsia" w:ascii="宋体" w:hAnsi="宋体" w:cs="宋体"/>
                <w:color w:val="auto"/>
                <w:szCs w:val="21"/>
                <w:highlight w:val="none"/>
              </w:rPr>
              <w:t>简易计税法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0</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是否</w:t>
            </w:r>
            <w:r>
              <w:rPr>
                <w:rFonts w:hint="eastAsia" w:ascii="Calibri" w:hAnsi="Calibri" w:cs="Calibri"/>
                <w:color w:val="auto"/>
                <w:szCs w:val="21"/>
                <w:highlight w:val="none"/>
              </w:rPr>
              <w:t>实行</w:t>
            </w:r>
          </w:p>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计算机辅助评标</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default" w:ascii="Calibri" w:hAnsi="Calibri" w:cs="Calibri"/>
                <w:color w:val="auto"/>
                <w:szCs w:val="21"/>
                <w:highlight w:val="none"/>
              </w:rPr>
            </w:pPr>
            <w:r>
              <w:rPr>
                <w:rFonts w:hint="eastAsia" w:ascii="Calibri" w:hAnsi="Calibri" w:cs="Calibri"/>
                <w:color w:val="auto"/>
                <w:szCs w:val="21"/>
                <w:highlight w:val="none"/>
              </w:rPr>
              <w:t>□</w:t>
            </w:r>
            <w:r>
              <w:rPr>
                <w:rFonts w:hint="default" w:ascii="Calibri" w:hAnsi="Calibri" w:cs="Calibri"/>
                <w:color w:val="auto"/>
                <w:szCs w:val="21"/>
                <w:highlight w:val="none"/>
              </w:rPr>
              <w:t>否</w:t>
            </w:r>
          </w:p>
          <w:p>
            <w:pPr>
              <w:keepNext w:val="0"/>
              <w:keepLines w:val="0"/>
              <w:suppressLineNumbers w:val="0"/>
              <w:snapToGrid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eastAsia" w:ascii="Calibri" w:hAnsi="Calibri" w:cs="Calibri"/>
                <w:color w:val="auto"/>
                <w:szCs w:val="21"/>
                <w:highlight w:val="none"/>
              </w:rPr>
              <w:sym w:font="Wingdings 2" w:char="0052"/>
            </w:r>
            <w:r>
              <w:rPr>
                <w:rFonts w:hint="default" w:ascii="Calibri" w:hAnsi="Calibri" w:cs="Calibri"/>
                <w:color w:val="auto"/>
                <w:szCs w:val="21"/>
                <w:highlight w:val="none"/>
              </w:rPr>
              <w:t>是，按</w:t>
            </w:r>
            <w:r>
              <w:rPr>
                <w:rFonts w:hint="eastAsia" w:ascii="Calibri" w:hAnsi="Calibri" w:cs="Calibri"/>
                <w:color w:val="auto"/>
                <w:szCs w:val="21"/>
                <w:highlight w:val="none"/>
              </w:rPr>
              <w:t>投标人</w:t>
            </w:r>
            <w:r>
              <w:rPr>
                <w:rFonts w:hint="default" w:ascii="Calibri" w:hAnsi="Calibri" w:cs="Calibri"/>
                <w:color w:val="auto"/>
                <w:szCs w:val="21"/>
                <w:highlight w:val="none"/>
              </w:rPr>
              <w:t>须知</w:t>
            </w:r>
            <w:r>
              <w:rPr>
                <w:rFonts w:hint="eastAsia" w:ascii="Calibri" w:hAnsi="Calibri" w:cs="Calibri"/>
                <w:color w:val="auto"/>
                <w:szCs w:val="21"/>
                <w:highlight w:val="none"/>
              </w:rPr>
              <w:t>附件2-1</w:t>
            </w:r>
            <w:r>
              <w:rPr>
                <w:rFonts w:hint="default" w:ascii="Calibri" w:hAnsi="Calibri" w:cs="Calibri"/>
                <w:color w:val="auto"/>
                <w:szCs w:val="21"/>
                <w:highlight w:val="none"/>
              </w:rPr>
              <w:t>“电子投标文件编制及报送要求”编制及报送电子投标文件。</w:t>
            </w:r>
            <w:r>
              <w:rPr>
                <w:rFonts w:hint="eastAsia" w:ascii="Calibri" w:hAnsi="Calibri" w:cs="Calibri"/>
                <w:color w:val="auto"/>
                <w:szCs w:val="21"/>
                <w:highlight w:val="none"/>
              </w:rPr>
              <w:t>采用</w:t>
            </w:r>
            <w:r>
              <w:rPr>
                <w:rFonts w:hint="default" w:ascii="Calibri" w:hAnsi="Calibri" w:cs="Calibri"/>
                <w:color w:val="auto"/>
                <w:szCs w:val="21"/>
                <w:highlight w:val="none"/>
              </w:rPr>
              <w:t>计算机辅助评标</w:t>
            </w:r>
            <w:r>
              <w:rPr>
                <w:rFonts w:hint="eastAsia" w:ascii="Calibri" w:hAnsi="Calibri" w:cs="Calibri"/>
                <w:color w:val="auto"/>
                <w:szCs w:val="21"/>
                <w:highlight w:val="none"/>
              </w:rPr>
              <w:t>，计算机辅助评标方法见投标人须知附件2-</w:t>
            </w:r>
            <w:r>
              <w:rPr>
                <w:rFonts w:hint="default" w:ascii="Calibri" w:hAnsi="Calibri" w:cs="Calibri"/>
                <w:color w:val="auto"/>
                <w:szCs w:val="21"/>
                <w:highlight w:val="none"/>
              </w:rPr>
              <w:t>3</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1</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委托代理人要求</w:t>
            </w:r>
          </w:p>
        </w:tc>
        <w:tc>
          <w:tcPr>
            <w:tcW w:w="6096" w:type="dxa"/>
            <w:noWrap w:val="0"/>
            <w:vAlign w:val="center"/>
          </w:tcPr>
          <w:p>
            <w:pPr>
              <w:keepNext w:val="0"/>
              <w:keepLines w:val="0"/>
              <w:suppressLineNumbers w:val="0"/>
              <w:spacing w:before="0" w:beforeAutospacing="0" w:after="0" w:afterAutospacing="0" w:line="360" w:lineRule="auto"/>
              <w:ind w:left="-103" w:leftChars="-49" w:right="0" w:firstLine="422" w:firstLineChars="201"/>
              <w:rPr>
                <w:rFonts w:hint="eastAsia" w:ascii="Calibri" w:hAnsi="Calibri" w:cs="Calibri"/>
                <w:color w:val="auto"/>
                <w:szCs w:val="21"/>
                <w:highlight w:val="none"/>
              </w:rPr>
            </w:pPr>
            <w:r>
              <w:rPr>
                <w:rFonts w:hint="eastAsia" w:ascii="Calibri" w:hAnsi="Calibri" w:cs="Calibri"/>
                <w:color w:val="auto"/>
                <w:szCs w:val="21"/>
                <w:highlight w:val="none"/>
              </w:rPr>
              <w:t>□委托代理人必须是本招标项目的拟任工程总承包项目负责人。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w:t>
            </w:r>
            <w:r>
              <w:rPr>
                <w:rFonts w:hint="default" w:ascii="Calibri" w:hAnsi="Calibri" w:cs="Calibri"/>
                <w:color w:val="auto"/>
                <w:szCs w:val="21"/>
                <w:highlight w:val="none"/>
              </w:rPr>
              <w:t>0.12</w:t>
            </w:r>
          </w:p>
        </w:tc>
        <w:tc>
          <w:tcPr>
            <w:tcW w:w="1770" w:type="dxa"/>
            <w:gridSpan w:val="2"/>
            <w:noWrap w:val="0"/>
            <w:vAlign w:val="center"/>
          </w:tcPr>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是否要求投标人代表出席现场开标会</w:t>
            </w:r>
          </w:p>
        </w:tc>
        <w:tc>
          <w:tcPr>
            <w:tcW w:w="6096" w:type="dxa"/>
            <w:noWrap w:val="0"/>
            <w:vAlign w:val="center"/>
          </w:tcPr>
          <w:p>
            <w:pPr>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3</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firstLine="420" w:firstLineChars="200"/>
              <w:jc w:val="left"/>
              <w:rPr>
                <w:rFonts w:hint="default" w:ascii="Calibri" w:hAnsi="Calibri" w:cs="Calibri"/>
                <w:color w:val="auto"/>
                <w:szCs w:val="21"/>
                <w:highlight w:val="none"/>
              </w:rPr>
            </w:pPr>
            <w:r>
              <w:rPr>
                <w:rFonts w:hint="default" w:ascii="Calibri" w:hAnsi="Calibri" w:cs="Calibri"/>
                <w:color w:val="auto"/>
                <w:szCs w:val="21"/>
                <w:highlight w:val="none"/>
              </w:rPr>
              <w:t>中标公示</w:t>
            </w:r>
          </w:p>
        </w:tc>
        <w:tc>
          <w:tcPr>
            <w:tcW w:w="6096" w:type="dxa"/>
            <w:noWrap w:val="0"/>
            <w:vAlign w:val="center"/>
          </w:tcPr>
          <w:p>
            <w:pPr>
              <w:keepNext w:val="0"/>
              <w:keepLines w:val="0"/>
              <w:widowControl/>
              <w:suppressLineNumbers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eastAsia" w:ascii="Calibri" w:hAnsi="Calibri" w:cs="Calibri"/>
                <w:color w:val="auto"/>
                <w:szCs w:val="21"/>
                <w:highlight w:val="none"/>
              </w:rPr>
              <w:t>招标人收到评标报告之日起3日内，</w:t>
            </w:r>
            <w:r>
              <w:rPr>
                <w:rFonts w:hint="default" w:ascii="Calibri" w:hAnsi="Calibri" w:cs="Calibri"/>
                <w:color w:val="auto"/>
                <w:szCs w:val="21"/>
                <w:highlight w:val="none"/>
              </w:rPr>
              <w:t>将中标候选人的情况在本招标项目招标公告发布的同一媒介予以公示，公示期不少于3个工作日。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w:t>
            </w:r>
            <w:r>
              <w:rPr>
                <w:rFonts w:hint="default" w:ascii="Calibri" w:hAnsi="Calibri" w:cs="Calibri"/>
                <w:color w:val="auto"/>
                <w:szCs w:val="21"/>
                <w:highlight w:val="none"/>
              </w:rPr>
              <w:t>0.14</w:t>
            </w:r>
          </w:p>
        </w:tc>
        <w:tc>
          <w:tcPr>
            <w:tcW w:w="1770" w:type="dxa"/>
            <w:gridSpan w:val="2"/>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highlight w:val="none"/>
              </w:rPr>
            </w:pPr>
            <w:r>
              <w:rPr>
                <w:rFonts w:hint="eastAsia" w:ascii="Calibri" w:hAnsi="Calibri" w:cs="Calibri"/>
                <w:color w:val="auto"/>
                <w:highlight w:val="none"/>
              </w:rPr>
              <w:t>省外入湘登记</w:t>
            </w:r>
          </w:p>
          <w:p>
            <w:pPr>
              <w:keepNext w:val="0"/>
              <w:keepLines w:val="0"/>
              <w:suppressLineNumbers w:val="0"/>
              <w:spacing w:before="0" w:beforeAutospacing="0" w:after="0" w:afterAutospacing="0" w:line="360" w:lineRule="auto"/>
              <w:ind w:left="0" w:right="0"/>
              <w:jc w:val="center"/>
              <w:rPr>
                <w:rFonts w:hint="eastAsia" w:ascii="Calibri" w:hAnsi="Calibri" w:cs="Calibri"/>
                <w:color w:val="auto"/>
                <w:highlight w:val="none"/>
              </w:rPr>
            </w:pPr>
            <w:r>
              <w:rPr>
                <w:rFonts w:hint="eastAsia" w:ascii="Calibri" w:hAnsi="Calibri" w:cs="Calibri"/>
                <w:color w:val="auto"/>
                <w:highlight w:val="none"/>
              </w:rPr>
              <w:t>要求</w:t>
            </w:r>
          </w:p>
        </w:tc>
        <w:tc>
          <w:tcPr>
            <w:tcW w:w="6096" w:type="dxa"/>
            <w:noWrap w:val="0"/>
            <w:vAlign w:val="center"/>
          </w:tcPr>
          <w:p>
            <w:pPr>
              <w:keepNext w:val="0"/>
              <w:keepLines w:val="0"/>
              <w:suppressLineNumbers w:val="0"/>
              <w:spacing w:before="0" w:beforeAutospacing="0" w:after="0" w:afterAutospacing="0" w:line="360" w:lineRule="auto"/>
              <w:ind w:left="0" w:right="0"/>
              <w:jc w:val="left"/>
              <w:rPr>
                <w:rFonts w:hint="eastAsia" w:ascii="Calibri" w:hAnsi="Calibri" w:cs="Calibri"/>
                <w:color w:val="auto"/>
                <w:highlight w:val="none"/>
              </w:rPr>
            </w:pPr>
            <w:r>
              <w:rPr>
                <w:rFonts w:hint="eastAsia" w:ascii="Calibri" w:hAnsi="Calibri" w:cs="Calibri"/>
                <w:color w:val="auto"/>
                <w:highlight w:val="none"/>
              </w:rPr>
              <w:t>省外</w:t>
            </w:r>
            <w:r>
              <w:rPr>
                <w:rFonts w:hint="eastAsia" w:ascii="Calibri" w:hAnsi="Calibri" w:cs="Calibri"/>
                <w:color w:val="auto"/>
                <w:szCs w:val="21"/>
                <w:highlight w:val="none"/>
              </w:rPr>
              <w:sym w:font="Wingdings 2" w:char="0052"/>
            </w:r>
            <w:r>
              <w:rPr>
                <w:rFonts w:hint="eastAsia" w:ascii="Calibri" w:hAnsi="Calibri" w:cs="Calibri"/>
                <w:color w:val="auto"/>
                <w:highlight w:val="none"/>
              </w:rPr>
              <w:t>施工、</w:t>
            </w:r>
            <w:r>
              <w:rPr>
                <w:rFonts w:hint="eastAsia" w:ascii="Calibri" w:hAnsi="Calibri" w:cs="Calibri"/>
                <w:color w:val="auto"/>
                <w:szCs w:val="21"/>
                <w:highlight w:val="none"/>
              </w:rPr>
              <w:sym w:font="Wingdings 2" w:char="0052"/>
            </w:r>
            <w:r>
              <w:rPr>
                <w:rFonts w:hint="eastAsia" w:ascii="Calibri" w:hAnsi="Calibri" w:cs="Calibri"/>
                <w:color w:val="auto"/>
                <w:highlight w:val="none"/>
              </w:rPr>
              <w:t>设计入湘企业在“湖南省住房和城乡建设网”进行基本信息登记（按照</w:t>
            </w:r>
            <w:r>
              <w:rPr>
                <w:rFonts w:hint="default" w:ascii="Calibri" w:hAnsi="Calibri" w:cs="Calibri"/>
                <w:color w:val="auto"/>
                <w:szCs w:val="21"/>
                <w:highlight w:val="none"/>
              </w:rPr>
              <w:t>招标文件第</w:t>
            </w:r>
            <w:r>
              <w:rPr>
                <w:rFonts w:hint="eastAsia" w:ascii="Calibri" w:hAnsi="Calibri" w:cs="Calibri"/>
                <w:color w:val="auto"/>
                <w:szCs w:val="21"/>
                <w:highlight w:val="none"/>
              </w:rPr>
              <w:t>七</w:t>
            </w:r>
            <w:r>
              <w:rPr>
                <w:rFonts w:hint="default" w:ascii="Calibri" w:hAnsi="Calibri" w:cs="Calibri"/>
                <w:color w:val="auto"/>
                <w:szCs w:val="21"/>
                <w:highlight w:val="none"/>
              </w:rPr>
              <w:t>章投标文件格式</w:t>
            </w:r>
            <w:r>
              <w:rPr>
                <w:rFonts w:hint="eastAsia" w:ascii="Calibri" w:hAnsi="Calibri" w:cs="Calibri"/>
                <w:color w:val="auto"/>
                <w:szCs w:val="21"/>
                <w:highlight w:val="none"/>
              </w:rPr>
              <w:t>第一节</w:t>
            </w:r>
            <w:r>
              <w:rPr>
                <w:rFonts w:hint="default" w:ascii="Calibri" w:hAnsi="Calibri" w:cs="Calibri"/>
                <w:color w:val="auto"/>
                <w:szCs w:val="21"/>
                <w:highlight w:val="none"/>
              </w:rPr>
              <w:t>“投标函</w:t>
            </w:r>
            <w:r>
              <w:rPr>
                <w:rFonts w:hint="eastAsia" w:ascii="Calibri" w:hAnsi="Calibri" w:cs="Calibri"/>
                <w:color w:val="auto"/>
                <w:szCs w:val="21"/>
                <w:highlight w:val="none"/>
              </w:rPr>
              <w:t>格式</w:t>
            </w:r>
            <w:r>
              <w:rPr>
                <w:rFonts w:hint="default" w:ascii="Calibri" w:hAnsi="Calibri" w:cs="Calibri"/>
                <w:color w:val="auto"/>
                <w:szCs w:val="21"/>
                <w:highlight w:val="none"/>
              </w:rPr>
              <w:t>”规定</w:t>
            </w:r>
            <w:r>
              <w:rPr>
                <w:rFonts w:hint="eastAsia" w:ascii="Calibri" w:hAnsi="Calibri" w:cs="Calibri"/>
                <w:color w:val="auto"/>
                <w:highlight w:val="none"/>
              </w:rPr>
              <w:t>提供查询网页截图）。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5</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知识产权</w:t>
            </w:r>
          </w:p>
        </w:tc>
        <w:tc>
          <w:tcPr>
            <w:tcW w:w="6096" w:type="dxa"/>
            <w:noWrap w:val="0"/>
            <w:vAlign w:val="center"/>
          </w:tcPr>
          <w:p>
            <w:pPr>
              <w:keepNext w:val="0"/>
              <w:keepLines w:val="0"/>
              <w:widowControl/>
              <w:suppressLineNumbers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default" w:ascii="Calibri" w:hAnsi="Calibri" w:cs="Calibri"/>
                <w:color w:val="auto"/>
                <w:szCs w:val="21"/>
                <w:highlight w:val="none"/>
              </w:rPr>
              <w:t>招标人全部或者部分使用未中标人投标文件中的</w:t>
            </w:r>
            <w:r>
              <w:rPr>
                <w:rFonts w:hint="default" w:ascii="Calibri" w:hAnsi="Calibri" w:cs="Calibri"/>
                <w:bCs/>
                <w:color w:val="auto"/>
                <w:szCs w:val="21"/>
                <w:highlight w:val="none"/>
              </w:rPr>
              <w:t>技术</w:t>
            </w:r>
            <w:r>
              <w:rPr>
                <w:rFonts w:hint="default" w:ascii="Calibri" w:hAnsi="Calibri" w:cs="Calibri"/>
                <w:color w:val="auto"/>
                <w:szCs w:val="21"/>
                <w:highlight w:val="none"/>
              </w:rPr>
              <w:t>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6</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同义词语</w:t>
            </w:r>
          </w:p>
        </w:tc>
        <w:tc>
          <w:tcPr>
            <w:tcW w:w="6096" w:type="dxa"/>
            <w:noWrap w:val="0"/>
            <w:vAlign w:val="center"/>
          </w:tcPr>
          <w:p>
            <w:pPr>
              <w:keepNext w:val="0"/>
              <w:keepLines w:val="0"/>
              <w:widowControl/>
              <w:suppressLineNumbers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default" w:ascii="Calibri" w:hAnsi="Calibri" w:cs="Calibri"/>
                <w:color w:val="auto"/>
                <w:szCs w:val="21"/>
                <w:highlight w:val="none"/>
              </w:rPr>
              <w:t>构成招标文件组成部分的“通用合同</w:t>
            </w:r>
            <w:r>
              <w:rPr>
                <w:rFonts w:hint="eastAsia" w:ascii="Calibri" w:hAnsi="Calibri" w:cs="Calibri"/>
                <w:color w:val="auto"/>
                <w:szCs w:val="21"/>
                <w:highlight w:val="none"/>
              </w:rPr>
              <w:t>条件</w:t>
            </w:r>
            <w:r>
              <w:rPr>
                <w:rFonts w:hint="default" w:ascii="Calibri" w:hAnsi="Calibri" w:cs="Calibri"/>
                <w:color w:val="auto"/>
                <w:szCs w:val="21"/>
                <w:highlight w:val="none"/>
              </w:rPr>
              <w:t>”、“专用合同</w:t>
            </w:r>
            <w:r>
              <w:rPr>
                <w:rFonts w:hint="eastAsia" w:ascii="Calibri" w:hAnsi="Calibri" w:cs="Calibri"/>
                <w:color w:val="auto"/>
                <w:szCs w:val="21"/>
                <w:highlight w:val="none"/>
              </w:rPr>
              <w:t>条件</w:t>
            </w:r>
            <w:r>
              <w:rPr>
                <w:rFonts w:hint="default" w:ascii="Calibri" w:hAnsi="Calibri" w:cs="Calibri"/>
                <w:color w:val="auto"/>
                <w:szCs w:val="21"/>
                <w:highlight w:val="none"/>
              </w:rPr>
              <w:t>”、“</w:t>
            </w:r>
            <w:r>
              <w:rPr>
                <w:rFonts w:hint="eastAsia" w:ascii="Calibri" w:hAnsi="Calibri" w:cs="Calibri"/>
                <w:color w:val="auto"/>
                <w:szCs w:val="21"/>
                <w:highlight w:val="none"/>
              </w:rPr>
              <w:t>发包人</w:t>
            </w:r>
            <w:r>
              <w:rPr>
                <w:rFonts w:hint="default" w:ascii="Calibri" w:hAnsi="Calibri" w:cs="Calibri"/>
                <w:color w:val="auto"/>
                <w:szCs w:val="21"/>
                <w:highlight w:val="none"/>
              </w:rPr>
              <w:t>要求等章节中出现的措辞“发包人”和“承包人”，在招标投标阶段应当分别按“招标人”和“投标人”进行理解。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7</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firstLine="420" w:firstLineChars="200"/>
              <w:jc w:val="left"/>
              <w:rPr>
                <w:rFonts w:hint="default" w:ascii="Calibri" w:hAnsi="Calibri" w:cs="Calibri"/>
                <w:color w:val="auto"/>
                <w:szCs w:val="21"/>
                <w:highlight w:val="none"/>
              </w:rPr>
            </w:pPr>
            <w:r>
              <w:rPr>
                <w:rFonts w:hint="default" w:ascii="Calibri" w:hAnsi="Calibri" w:cs="Calibri"/>
                <w:color w:val="auto"/>
                <w:szCs w:val="21"/>
                <w:highlight w:val="none"/>
              </w:rPr>
              <w:t>监  督</w:t>
            </w:r>
          </w:p>
        </w:tc>
        <w:tc>
          <w:tcPr>
            <w:tcW w:w="6096" w:type="dxa"/>
            <w:noWrap w:val="0"/>
            <w:vAlign w:val="center"/>
          </w:tcPr>
          <w:p>
            <w:pPr>
              <w:keepNext w:val="0"/>
              <w:keepLines w:val="0"/>
              <w:widowControl/>
              <w:suppressLineNumbers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default" w:ascii="Calibri" w:hAnsi="Calibri" w:cs="Calibri"/>
                <w:color w:val="auto"/>
                <w:szCs w:val="21"/>
                <w:highlight w:val="none"/>
              </w:rPr>
              <w:t>本项目的</w:t>
            </w:r>
            <w:r>
              <w:rPr>
                <w:rFonts w:hint="default" w:ascii="Calibri" w:hAnsi="Calibri" w:cs="Calibri"/>
                <w:bCs/>
                <w:color w:val="auto"/>
                <w:szCs w:val="21"/>
                <w:highlight w:val="none"/>
              </w:rPr>
              <w:t>招标</w:t>
            </w:r>
            <w:r>
              <w:rPr>
                <w:rFonts w:hint="default" w:ascii="Calibri" w:hAnsi="Calibri" w:cs="Calibri"/>
                <w:color w:val="auto"/>
                <w:szCs w:val="21"/>
                <w:highlight w:val="none"/>
              </w:rPr>
              <w:t>投标活动及其相关当事人应当接受有管辖权的建设工程招标投标行政监督部门依法实施的监督。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firstLine="105" w:firstLineChars="50"/>
              <w:rPr>
                <w:rFonts w:hint="eastAsia" w:ascii="Calibri" w:hAnsi="Calibri" w:cs="Calibri"/>
                <w:color w:val="auto"/>
                <w:szCs w:val="21"/>
                <w:highlight w:val="none"/>
              </w:rPr>
            </w:pPr>
            <w:r>
              <w:rPr>
                <w:rFonts w:hint="eastAsia" w:ascii="Calibri" w:hAnsi="Calibri" w:cs="Calibri"/>
                <w:color w:val="auto"/>
                <w:szCs w:val="21"/>
                <w:highlight w:val="none"/>
              </w:rPr>
              <w:t>10.1</w:t>
            </w:r>
            <w:r>
              <w:rPr>
                <w:rFonts w:hint="default" w:ascii="Calibri" w:hAnsi="Calibri" w:cs="Calibri"/>
                <w:color w:val="auto"/>
                <w:szCs w:val="21"/>
                <w:highlight w:val="none"/>
              </w:rPr>
              <w:t>8</w:t>
            </w:r>
          </w:p>
        </w:tc>
        <w:tc>
          <w:tcPr>
            <w:tcW w:w="1770" w:type="dxa"/>
            <w:gridSpan w:val="2"/>
            <w:noWrap w:val="0"/>
            <w:vAlign w:val="center"/>
          </w:tcPr>
          <w:p>
            <w:pPr>
              <w:keepNext w:val="0"/>
              <w:keepLines w:val="0"/>
              <w:widowControl/>
              <w:suppressLineNumbers w:val="0"/>
              <w:spacing w:before="0" w:beforeAutospacing="0" w:after="0" w:afterAutospacing="0" w:line="360" w:lineRule="auto"/>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解释权</w:t>
            </w:r>
          </w:p>
        </w:tc>
        <w:tc>
          <w:tcPr>
            <w:tcW w:w="6096" w:type="dxa"/>
            <w:noWrap w:val="0"/>
            <w:vAlign w:val="center"/>
          </w:tcPr>
          <w:p>
            <w:pPr>
              <w:keepNext w:val="0"/>
              <w:keepLines w:val="0"/>
              <w:widowControl/>
              <w:suppressLineNumbers w:val="0"/>
              <w:spacing w:before="0" w:beforeAutospacing="0" w:after="0" w:afterAutospacing="0" w:line="360" w:lineRule="auto"/>
              <w:ind w:left="-103" w:leftChars="-49" w:right="0" w:firstLine="422" w:firstLineChars="201"/>
              <w:jc w:val="left"/>
              <w:rPr>
                <w:rFonts w:hint="default" w:ascii="Calibri" w:hAnsi="Calibri" w:cs="Calibri"/>
                <w:color w:val="auto"/>
                <w:szCs w:val="21"/>
                <w:highlight w:val="none"/>
              </w:rPr>
            </w:pPr>
            <w:r>
              <w:rPr>
                <w:rFonts w:hint="default" w:ascii="Calibri" w:hAnsi="Calibri" w:cs="Calibri"/>
                <w:color w:val="auto"/>
                <w:szCs w:val="21"/>
                <w:highlight w:val="none"/>
              </w:rPr>
              <w:t>构成本招标文件的各个组成文件应互为解释，互为说明；如有不明确或不一致，构成合同文件组成内容，以合同文件约定内容为准，且以专用合同</w:t>
            </w:r>
            <w:r>
              <w:rPr>
                <w:rFonts w:hint="eastAsia" w:ascii="Calibri" w:hAnsi="Calibri" w:cs="Calibri"/>
                <w:color w:val="auto"/>
                <w:szCs w:val="21"/>
                <w:highlight w:val="none"/>
              </w:rPr>
              <w:t>条件</w:t>
            </w:r>
            <w:r>
              <w:rPr>
                <w:rFonts w:hint="default" w:ascii="Calibri" w:hAnsi="Calibri" w:cs="Calibri"/>
                <w:color w:val="auto"/>
                <w:szCs w:val="21"/>
                <w:highlight w:val="none"/>
              </w:rPr>
              <w:t>约定的合同文件优先顺序解释；除招标文件中有特别规定外，仅适用于招标投标阶段的规定，按招标公告（投标邀请书）、投标人须知、评标办法、投标文件格式的先后顺序</w:t>
            </w:r>
            <w:r>
              <w:rPr>
                <w:rFonts w:hint="default" w:ascii="Calibri" w:hAnsi="Calibri" w:cs="Calibri"/>
                <w:bCs/>
                <w:color w:val="auto"/>
                <w:szCs w:val="21"/>
                <w:highlight w:val="none"/>
              </w:rPr>
              <w:t>解释</w:t>
            </w:r>
            <w:r>
              <w:rPr>
                <w:rFonts w:hint="default" w:ascii="Calibri" w:hAnsi="Calibri" w:cs="Calibri"/>
                <w:color w:val="auto"/>
                <w:szCs w:val="21"/>
                <w:highlight w:val="none"/>
              </w:rPr>
              <w:t>；同一组成文件中就同一事项的规定或约定不一致的，以编排顺序在后者为准；同一组成文件不同版本之间有不一致的，以形成时间在后者为准。按本款前述规定仍不能形成结论的，由招标人负责解释。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931" w:type="dxa"/>
            <w:gridSpan w:val="4"/>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19其他补充内容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w:t>
            </w:r>
            <w:r>
              <w:rPr>
                <w:rFonts w:hint="eastAsia" w:ascii="Calibri" w:hAnsi="Calibri" w:cs="Calibri"/>
                <w:color w:val="auto"/>
                <w:szCs w:val="21"/>
                <w:highlight w:val="none"/>
              </w:rPr>
              <w:t>1</w:t>
            </w:r>
          </w:p>
        </w:tc>
        <w:tc>
          <w:tcPr>
            <w:tcW w:w="7866" w:type="dxa"/>
            <w:gridSpan w:val="3"/>
            <w:noWrap w:val="0"/>
            <w:vAlign w:val="center"/>
          </w:tcPr>
          <w:p>
            <w:pPr>
              <w:keepNext w:val="0"/>
              <w:keepLines w:val="0"/>
              <w:suppressLineNumbers w:val="0"/>
              <w:spacing w:before="0" w:beforeAutospacing="0" w:after="0" w:afterAutospacing="0" w:line="360" w:lineRule="auto"/>
              <w:ind w:left="0" w:right="0" w:firstLine="420" w:firstLineChars="200"/>
              <w:rPr>
                <w:rFonts w:hint="default" w:ascii="Calibri" w:hAnsi="Calibri" w:cs="Calibri"/>
                <w:bCs/>
                <w:color w:val="auto"/>
                <w:szCs w:val="21"/>
                <w:highlight w:val="none"/>
              </w:rPr>
            </w:pPr>
            <w:r>
              <w:rPr>
                <w:rFonts w:hint="default" w:ascii="Calibri" w:hAnsi="Calibri" w:cs="Calibri"/>
                <w:bCs/>
                <w:color w:val="auto"/>
                <w:szCs w:val="21"/>
                <w:highlight w:val="none"/>
              </w:rPr>
              <w:t>以暂估价形式包括在总承包范围内的工程、货物、服务属于依法必须进行招标的项目范围且达到国家规定规模标准的，应当依法进行招标。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65" w:type="dxa"/>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w:t>
            </w:r>
            <w:r>
              <w:rPr>
                <w:rFonts w:hint="eastAsia" w:ascii="Calibri" w:hAnsi="Calibri" w:cs="Calibri"/>
                <w:color w:val="auto"/>
                <w:szCs w:val="21"/>
                <w:highlight w:val="none"/>
              </w:rPr>
              <w:t>.2</w:t>
            </w:r>
          </w:p>
        </w:tc>
        <w:tc>
          <w:tcPr>
            <w:tcW w:w="7866" w:type="dxa"/>
            <w:gridSpan w:val="3"/>
            <w:noWrap w:val="0"/>
            <w:vAlign w:val="center"/>
          </w:tcPr>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1.招标文件中所设置的内容、条款及未尽事宜，以国家或省有关规定为准；</w:t>
            </w:r>
          </w:p>
          <w:p>
            <w:pPr>
              <w:keepNext w:val="0"/>
              <w:keepLines w:val="0"/>
              <w:suppressLineNumbers w:val="0"/>
              <w:spacing w:before="0" w:beforeAutospacing="0" w:after="0" w:afterAutospacing="0" w:line="360" w:lineRule="auto"/>
              <w:ind w:left="0" w:right="0"/>
              <w:rPr>
                <w:rFonts w:hint="eastAsia" w:ascii="Calibri" w:hAnsi="Calibri" w:cs="Calibri"/>
                <w:color w:val="auto"/>
                <w:szCs w:val="21"/>
                <w:highlight w:val="none"/>
              </w:rPr>
            </w:pPr>
            <w:r>
              <w:rPr>
                <w:rFonts w:hint="default" w:ascii="Calibri" w:hAnsi="Calibri" w:cs="Calibri"/>
                <w:color w:val="auto"/>
                <w:szCs w:val="21"/>
                <w:highlight w:val="none"/>
              </w:rPr>
              <w:t>2.</w:t>
            </w:r>
            <w:r>
              <w:rPr>
                <w:rFonts w:hint="eastAsia" w:ascii="Calibri" w:hAnsi="Calibri" w:cs="Calibri"/>
                <w:color w:val="auto"/>
                <w:szCs w:val="21"/>
                <w:highlight w:val="none"/>
              </w:rPr>
              <w:t>拟任工程总承包项目负责人及施工负责人在建情况以投标截止时在“湖南省建筑工程监管信息平台”查询信息为准，有在其他项目任关键岗位人员情形的，评标委员会应当否决其投标。</w:t>
            </w:r>
          </w:p>
          <w:p>
            <w:pPr>
              <w:keepNext w:val="0"/>
              <w:keepLines w:val="0"/>
              <w:suppressLineNumbers w:val="0"/>
              <w:spacing w:before="0" w:beforeAutospacing="0" w:after="0" w:afterAutospacing="0" w:line="360" w:lineRule="auto"/>
              <w:ind w:left="0" w:right="0"/>
              <w:rPr>
                <w:rFonts w:hint="eastAsia" w:ascii="Calibri" w:hAnsi="Calibri" w:cs="Calibri"/>
                <w:color w:val="auto"/>
                <w:szCs w:val="21"/>
                <w:highlight w:val="none"/>
              </w:rPr>
            </w:pPr>
            <w:r>
              <w:rPr>
                <w:rFonts w:hint="eastAsia" w:ascii="Calibri" w:hAnsi="Calibri" w:cs="Calibri"/>
                <w:color w:val="auto"/>
                <w:szCs w:val="21"/>
                <w:highlight w:val="none"/>
              </w:rPr>
              <w:t>以投标截止时为准，拟任工程总承包项目负责人及施工负责人在“湖南省建筑工程监管信息平台”之外有在其他项目任关键岗位人员情形的，应当在投标文件中如实注明，并承诺中标后能够从该项目按期撤离。评标期间，投标文件中注明有在建，但没有承诺能够按期撤离的，评标委员会应当否决其投标；中标候选公示期间，发现未如实注明有平台之外的在建情况的，招标人提请住房和城乡建设主管部门按规定予以信用评价扣分。</w:t>
            </w:r>
          </w:p>
          <w:p>
            <w:pPr>
              <w:keepNext w:val="0"/>
              <w:keepLines w:val="0"/>
              <w:suppressLineNumbers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中标候选人公示期满，拟任工程总承包项目负责人及施工负责人不能按时到岗履职的（含不能从其他项目按期撤离的），招标人取消其中标候选人资格，并提请住房和城乡建设主管部门按规定予以信用评价扣分。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65" w:type="dxa"/>
            <w:noWrap w:val="0"/>
            <w:vAlign w:val="center"/>
          </w:tcPr>
          <w:p>
            <w:pPr>
              <w:keepNext w:val="0"/>
              <w:keepLines w:val="0"/>
              <w:suppressLineNumbers w:val="0"/>
              <w:snapToGrid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w:t>
            </w:r>
            <w:r>
              <w:rPr>
                <w:rFonts w:hint="eastAsia" w:ascii="Calibri" w:hAnsi="Calibri" w:cs="Calibri"/>
                <w:color w:val="auto"/>
                <w:szCs w:val="21"/>
                <w:highlight w:val="none"/>
              </w:rPr>
              <w:t>.3</w:t>
            </w:r>
          </w:p>
        </w:tc>
        <w:tc>
          <w:tcPr>
            <w:tcW w:w="7866" w:type="dxa"/>
            <w:gridSpan w:val="3"/>
            <w:noWrap w:val="0"/>
            <w:vAlign w:val="center"/>
          </w:tcPr>
          <w:p>
            <w:pPr>
              <w:pStyle w:val="124"/>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default" w:ascii="Calibri" w:hAnsi="Calibri" w:cs="Calibri"/>
                <w:color w:val="auto"/>
                <w:highlight w:val="none"/>
              </w:rPr>
              <w:t>本招标文件要求的复印件是指复印件或扫描件或影印件。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065" w:type="dxa"/>
            <w:noWrap w:val="0"/>
            <w:vAlign w:val="center"/>
          </w:tcPr>
          <w:p>
            <w:pPr>
              <w:keepNext w:val="0"/>
              <w:keepLines w:val="0"/>
              <w:suppressLineNumbers w:val="0"/>
              <w:snapToGrid w:val="0"/>
              <w:spacing w:before="0" w:beforeAutospacing="0" w:after="0" w:afterAutospacing="0" w:line="360" w:lineRule="auto"/>
              <w:ind w:left="0" w:right="0"/>
              <w:rPr>
                <w:rFonts w:hint="default"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w:t>
            </w:r>
            <w:r>
              <w:rPr>
                <w:rFonts w:hint="eastAsia" w:ascii="Calibri" w:hAnsi="Calibri" w:cs="Calibri"/>
                <w:color w:val="auto"/>
                <w:szCs w:val="21"/>
                <w:highlight w:val="none"/>
              </w:rPr>
              <w:t>.4</w:t>
            </w:r>
          </w:p>
        </w:tc>
        <w:tc>
          <w:tcPr>
            <w:tcW w:w="7866" w:type="dxa"/>
            <w:gridSpan w:val="3"/>
            <w:noWrap w:val="0"/>
            <w:vAlign w:val="center"/>
          </w:tcPr>
          <w:p>
            <w:pPr>
              <w:pStyle w:val="124"/>
              <w:keepNext w:val="0"/>
              <w:keepLines w:val="0"/>
              <w:suppressLineNumbers w:val="0"/>
              <w:spacing w:before="0" w:beforeAutospacing="0" w:after="0" w:afterAutospacing="0" w:line="360" w:lineRule="auto"/>
              <w:ind w:left="0" w:right="0"/>
              <w:rPr>
                <w:rFonts w:hint="default" w:ascii="Calibri" w:hAnsi="Calibri" w:cs="Calibri"/>
                <w:color w:val="auto"/>
                <w:highlight w:val="none"/>
                <w:lang w:val="en-US"/>
              </w:rPr>
            </w:pPr>
            <w:r>
              <w:rPr>
                <w:rFonts w:hint="default" w:ascii="Calibri" w:hAnsi="Calibri" w:cs="Calibri"/>
                <w:color w:val="auto"/>
                <w:highlight w:val="none"/>
              </w:rPr>
              <w:t>招标代理服务费</w:t>
            </w:r>
            <w:r>
              <w:rPr>
                <w:rFonts w:hint="eastAsia" w:ascii="Calibri" w:hAnsi="Calibri" w:cs="Calibri"/>
                <w:color w:val="auto"/>
                <w:highlight w:val="none"/>
              </w:rPr>
              <w:t>：</w:t>
            </w:r>
            <w:r>
              <w:rPr>
                <w:rFonts w:hint="eastAsia" w:ascii="Calibri" w:hAnsi="Calibri" w:cs="Calibri"/>
                <w:color w:val="auto"/>
                <w:highlight w:val="none"/>
                <w:u w:val="single"/>
                <w:lang w:val="en-US" w:eastAsia="zh-CN"/>
              </w:rPr>
              <w:t>由中标人</w:t>
            </w:r>
            <w:r>
              <w:rPr>
                <w:rFonts w:hint="eastAsia" w:ascii="Calibri" w:hAnsi="Calibri" w:cs="Calibri"/>
                <w:color w:val="auto"/>
                <w:highlight w:val="none"/>
                <w:u w:val="single"/>
              </w:rPr>
              <w:t>按招标代理合同约定</w:t>
            </w:r>
            <w:r>
              <w:rPr>
                <w:rFonts w:hint="eastAsia" w:ascii="Calibri" w:hAnsi="Calibri" w:cs="Calibri"/>
                <w:color w:val="auto"/>
                <w:highlight w:val="none"/>
                <w:u w:val="single"/>
                <w:lang w:eastAsia="zh-CN"/>
              </w:rPr>
              <w:t>。</w:t>
            </w:r>
            <w:r>
              <w:rPr>
                <w:rFonts w:hint="eastAsia" w:ascii="Calibri" w:hAnsi="Calibri" w:cs="Calibri"/>
                <w:color w:val="auto"/>
                <w:highlight w:val="none"/>
                <w:u w:val="single"/>
                <w:lang w:val="en-US" w:eastAsia="zh-CN"/>
              </w:rPr>
              <w:t xml:space="preserve"> </w:t>
            </w:r>
          </w:p>
          <w:p>
            <w:pPr>
              <w:pStyle w:val="124"/>
              <w:keepNext w:val="0"/>
              <w:keepLines w:val="0"/>
              <w:suppressLineNumbers w:val="0"/>
              <w:spacing w:before="0" w:beforeAutospacing="0" w:after="0" w:afterAutospacing="0" w:line="360" w:lineRule="auto"/>
              <w:ind w:left="0" w:right="0"/>
              <w:rPr>
                <w:rFonts w:hint="eastAsia" w:ascii="Calibri" w:hAnsi="Calibri" w:cs="Calibri"/>
                <w:color w:val="auto"/>
                <w:highlight w:val="none"/>
              </w:rPr>
            </w:pPr>
            <w:r>
              <w:rPr>
                <w:rFonts w:hint="eastAsia" w:ascii="Calibri" w:hAnsi="Calibri" w:cs="Calibri"/>
                <w:color w:val="auto"/>
                <w:highlight w:val="none"/>
              </w:rPr>
              <w:t>交易服务费：</w:t>
            </w:r>
            <w:r>
              <w:rPr>
                <w:rFonts w:hint="eastAsia" w:ascii="Calibri" w:hAnsi="Calibri" w:cs="Calibri"/>
                <w:b w:val="0"/>
                <w:bCs w:val="0"/>
                <w:color w:val="auto"/>
                <w:szCs w:val="21"/>
                <w:highlight w:val="none"/>
                <w:u w:val="single"/>
              </w:rPr>
              <w:t>按湘发改价费〔</w:t>
            </w:r>
            <w:r>
              <w:rPr>
                <w:rFonts w:hint="default" w:ascii="Calibri" w:hAnsi="Calibri" w:cs="Calibri"/>
                <w:b w:val="0"/>
                <w:bCs w:val="0"/>
                <w:color w:val="auto"/>
                <w:szCs w:val="21"/>
                <w:highlight w:val="none"/>
                <w:u w:val="single"/>
              </w:rPr>
              <w:t>201</w:t>
            </w:r>
            <w:r>
              <w:rPr>
                <w:rFonts w:hint="eastAsia" w:ascii="Calibri" w:hAnsi="Calibri" w:cs="Calibri"/>
                <w:b w:val="0"/>
                <w:bCs w:val="0"/>
                <w:color w:val="auto"/>
                <w:szCs w:val="21"/>
                <w:highlight w:val="none"/>
                <w:u w:val="single"/>
              </w:rPr>
              <w:t>9〕366号文件规定</w:t>
            </w:r>
            <w:r>
              <w:rPr>
                <w:rFonts w:hint="eastAsia" w:ascii="Calibri" w:hAnsi="Calibri" w:cs="Calibri"/>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065" w:type="dxa"/>
            <w:noWrap w:val="0"/>
            <w:vAlign w:val="center"/>
          </w:tcPr>
          <w:p>
            <w:pPr>
              <w:keepNext w:val="0"/>
              <w:keepLines w:val="0"/>
              <w:suppressLineNumbers w:val="0"/>
              <w:snapToGrid w:val="0"/>
              <w:spacing w:before="0" w:beforeAutospacing="0" w:after="0" w:afterAutospacing="0" w:line="360" w:lineRule="auto"/>
              <w:ind w:left="0" w:right="0"/>
              <w:rPr>
                <w:rFonts w:hint="eastAsia" w:ascii="Calibri" w:hAnsi="Calibri" w:cs="Calibri"/>
                <w:color w:val="auto"/>
                <w:szCs w:val="21"/>
                <w:highlight w:val="none"/>
              </w:rPr>
            </w:pPr>
            <w:r>
              <w:rPr>
                <w:rFonts w:hint="eastAsia" w:ascii="Calibri" w:hAnsi="Calibri" w:cs="Calibri"/>
                <w:color w:val="auto"/>
                <w:szCs w:val="21"/>
                <w:highlight w:val="none"/>
              </w:rPr>
              <w:t>10.</w:t>
            </w:r>
            <w:r>
              <w:rPr>
                <w:rFonts w:hint="default" w:ascii="Calibri" w:hAnsi="Calibri" w:cs="Calibri"/>
                <w:color w:val="auto"/>
                <w:szCs w:val="21"/>
                <w:highlight w:val="none"/>
              </w:rPr>
              <w:t>19</w:t>
            </w:r>
            <w:r>
              <w:rPr>
                <w:rFonts w:hint="eastAsia" w:ascii="Calibri" w:hAnsi="Calibri" w:cs="Calibri"/>
                <w:color w:val="auto"/>
                <w:szCs w:val="21"/>
                <w:highlight w:val="none"/>
              </w:rPr>
              <w:t>.5</w:t>
            </w:r>
          </w:p>
        </w:tc>
        <w:tc>
          <w:tcPr>
            <w:tcW w:w="7866" w:type="dxa"/>
            <w:gridSpan w:val="3"/>
            <w:noWrap w:val="0"/>
            <w:vAlign w:val="center"/>
          </w:tcPr>
          <w:p>
            <w:pPr>
              <w:pStyle w:val="124"/>
              <w:keepNext w:val="0"/>
              <w:keepLines w:val="0"/>
              <w:widowControl w:val="0"/>
              <w:suppressLineNumbers w:val="0"/>
              <w:spacing w:before="0" w:beforeAutospacing="0" w:after="0" w:afterAutospacing="0" w:line="360" w:lineRule="auto"/>
              <w:ind w:left="0" w:right="0"/>
              <w:jc w:val="left"/>
              <w:rPr>
                <w:rFonts w:hint="eastAsia" w:ascii="宋体" w:hAnsi="宋体" w:cs="仿宋_GB2312"/>
                <w:color w:val="auto"/>
                <w:highlight w:val="none"/>
              </w:rPr>
            </w:pPr>
            <w:r>
              <w:rPr>
                <w:rFonts w:hint="eastAsia" w:ascii="宋体" w:hAnsi="宋体" w:cs="仿宋_GB2312"/>
                <w:color w:val="auto"/>
                <w:highlight w:val="none"/>
              </w:rPr>
              <w:t>招标人及招标代理机构承诺：</w:t>
            </w:r>
          </w:p>
          <w:p>
            <w:pPr>
              <w:pStyle w:val="124"/>
              <w:keepNext w:val="0"/>
              <w:keepLines w:val="0"/>
              <w:widowControl w:val="0"/>
              <w:suppressLineNumbers w:val="0"/>
              <w:spacing w:before="0" w:beforeAutospacing="0" w:after="0" w:afterAutospacing="0" w:line="360" w:lineRule="auto"/>
              <w:ind w:left="0" w:right="0"/>
              <w:jc w:val="left"/>
              <w:rPr>
                <w:rFonts w:hint="eastAsia" w:ascii="宋体" w:hAnsi="宋体" w:cs="仿宋_GB2312"/>
                <w:color w:val="auto"/>
                <w:highlight w:val="none"/>
              </w:rPr>
            </w:pPr>
            <w:r>
              <w:rPr>
                <w:rFonts w:hint="eastAsia" w:ascii="宋体" w:hAnsi="宋体" w:cs="仿宋_GB2312"/>
                <w:color w:val="auto"/>
                <w:highlight w:val="none"/>
              </w:rPr>
              <w:t>1.依法</w:t>
            </w:r>
            <w:r>
              <w:rPr>
                <w:rFonts w:hint="default" w:ascii="宋体" w:hAnsi="宋体" w:cs="仿宋_GB2312"/>
                <w:color w:val="auto"/>
                <w:highlight w:val="none"/>
              </w:rPr>
              <w:t>依规开展招投标活动，</w:t>
            </w:r>
            <w:r>
              <w:rPr>
                <w:rFonts w:hint="eastAsia" w:ascii="宋体" w:hAnsi="宋体" w:cs="仿宋_GB2312"/>
                <w:color w:val="auto"/>
                <w:highlight w:val="none"/>
              </w:rPr>
              <w:t>不以</w:t>
            </w:r>
            <w:r>
              <w:rPr>
                <w:rFonts w:hint="default" w:ascii="宋体" w:hAnsi="宋体" w:cs="仿宋_GB2312"/>
                <w:color w:val="auto"/>
                <w:highlight w:val="none"/>
              </w:rPr>
              <w:t>直接或者</w:t>
            </w:r>
            <w:bookmarkStart w:id="281" w:name="_GoBack"/>
            <w:bookmarkEnd w:id="281"/>
            <w:r>
              <w:rPr>
                <w:rFonts w:hint="default" w:ascii="宋体" w:hAnsi="宋体" w:cs="仿宋_GB2312"/>
                <w:color w:val="auto"/>
                <w:highlight w:val="none"/>
              </w:rPr>
              <w:t>间接、明示或者暗示的方式</w:t>
            </w:r>
            <w:r>
              <w:rPr>
                <w:rFonts w:hint="eastAsia" w:ascii="宋体" w:hAnsi="宋体" w:cs="仿宋_GB2312"/>
                <w:color w:val="auto"/>
                <w:highlight w:val="none"/>
              </w:rPr>
              <w:t>干预</w:t>
            </w:r>
            <w:r>
              <w:rPr>
                <w:rFonts w:hint="default" w:ascii="宋体" w:hAnsi="宋体" w:cs="仿宋_GB2312"/>
                <w:color w:val="auto"/>
                <w:highlight w:val="none"/>
              </w:rPr>
              <w:t>和</w:t>
            </w:r>
            <w:r>
              <w:rPr>
                <w:rFonts w:hint="eastAsia" w:ascii="宋体" w:hAnsi="宋体" w:cs="仿宋_GB2312"/>
                <w:color w:val="auto"/>
                <w:highlight w:val="none"/>
              </w:rPr>
              <w:t>影</w:t>
            </w:r>
            <w:r>
              <w:rPr>
                <w:rFonts w:hint="default" w:ascii="宋体" w:hAnsi="宋体" w:cs="仿宋_GB2312"/>
                <w:color w:val="auto"/>
                <w:highlight w:val="none"/>
              </w:rPr>
              <w:t>响</w:t>
            </w:r>
            <w:r>
              <w:rPr>
                <w:rFonts w:hint="eastAsia" w:ascii="宋体" w:hAnsi="宋体" w:cs="仿宋_GB2312"/>
                <w:color w:val="auto"/>
                <w:highlight w:val="none"/>
              </w:rPr>
              <w:t>招</w:t>
            </w:r>
            <w:r>
              <w:rPr>
                <w:rFonts w:hint="default" w:ascii="宋体" w:hAnsi="宋体" w:cs="仿宋_GB2312"/>
                <w:color w:val="auto"/>
                <w:highlight w:val="none"/>
              </w:rPr>
              <w:t>标投标活动正常</w:t>
            </w:r>
            <w:r>
              <w:rPr>
                <w:rFonts w:hint="eastAsia" w:ascii="宋体" w:hAnsi="宋体" w:cs="仿宋_GB2312"/>
                <w:color w:val="auto"/>
                <w:highlight w:val="none"/>
              </w:rPr>
              <w:t>的</w:t>
            </w:r>
            <w:r>
              <w:rPr>
                <w:rFonts w:hint="default" w:ascii="宋体" w:hAnsi="宋体" w:cs="仿宋_GB2312"/>
                <w:color w:val="auto"/>
                <w:highlight w:val="none"/>
              </w:rPr>
              <w:t>开展</w:t>
            </w:r>
            <w:r>
              <w:rPr>
                <w:rFonts w:hint="eastAsia" w:ascii="宋体" w:hAnsi="宋体" w:cs="仿宋_GB2312"/>
                <w:color w:val="auto"/>
                <w:highlight w:val="none"/>
              </w:rPr>
              <w:t>。招投</w:t>
            </w:r>
            <w:r>
              <w:rPr>
                <w:rFonts w:hint="default" w:ascii="宋体" w:hAnsi="宋体" w:cs="仿宋_GB2312"/>
                <w:color w:val="auto"/>
                <w:highlight w:val="none"/>
              </w:rPr>
              <w:t>标</w:t>
            </w:r>
            <w:r>
              <w:rPr>
                <w:rFonts w:hint="eastAsia" w:ascii="宋体" w:hAnsi="宋体" w:cs="仿宋_GB2312"/>
                <w:color w:val="auto"/>
                <w:highlight w:val="none"/>
              </w:rPr>
              <w:t>过程</w:t>
            </w:r>
            <w:r>
              <w:rPr>
                <w:rFonts w:hint="default" w:ascii="宋体" w:hAnsi="宋体" w:cs="仿宋_GB2312"/>
                <w:color w:val="auto"/>
                <w:highlight w:val="none"/>
              </w:rPr>
              <w:t>中，遇</w:t>
            </w:r>
            <w:r>
              <w:rPr>
                <w:rFonts w:hint="eastAsia" w:ascii="宋体" w:hAnsi="宋体" w:cs="仿宋_GB2312"/>
                <w:color w:val="auto"/>
                <w:highlight w:val="none"/>
              </w:rPr>
              <w:t>到被</w:t>
            </w:r>
            <w:r>
              <w:rPr>
                <w:rFonts w:hint="default" w:ascii="宋体" w:hAnsi="宋体" w:cs="仿宋_GB2312"/>
                <w:color w:val="auto"/>
                <w:highlight w:val="none"/>
              </w:rPr>
              <w:t>“打招呼”的情况，</w:t>
            </w:r>
            <w:r>
              <w:rPr>
                <w:rFonts w:hint="eastAsia" w:ascii="宋体" w:hAnsi="宋体" w:cs="仿宋_GB2312"/>
                <w:color w:val="auto"/>
                <w:highlight w:val="none"/>
              </w:rPr>
              <w:t>及</w:t>
            </w:r>
            <w:r>
              <w:rPr>
                <w:rFonts w:hint="default" w:ascii="宋体" w:hAnsi="宋体" w:cs="仿宋_GB2312"/>
                <w:color w:val="auto"/>
                <w:highlight w:val="none"/>
              </w:rPr>
              <w:t>时填写《工程建设项目招标投标“打招呼”登记表》，报告</w:t>
            </w:r>
            <w:r>
              <w:rPr>
                <w:rFonts w:hint="eastAsia" w:ascii="宋体" w:hAnsi="宋体" w:cs="仿宋_GB2312"/>
                <w:color w:val="auto"/>
                <w:highlight w:val="none"/>
              </w:rPr>
              <w:t>相</w:t>
            </w:r>
            <w:r>
              <w:rPr>
                <w:rFonts w:hint="default" w:ascii="宋体" w:hAnsi="宋体" w:cs="仿宋_GB2312"/>
                <w:color w:val="auto"/>
                <w:highlight w:val="none"/>
              </w:rPr>
              <w:t>关行政主管部门</w:t>
            </w:r>
            <w:r>
              <w:rPr>
                <w:rFonts w:hint="eastAsia" w:ascii="宋体" w:hAnsi="宋体" w:cs="仿宋_GB2312"/>
                <w:color w:val="auto"/>
                <w:highlight w:val="none"/>
              </w:rPr>
              <w:t>；</w:t>
            </w:r>
          </w:p>
          <w:p>
            <w:pPr>
              <w:pStyle w:val="124"/>
              <w:keepNext w:val="0"/>
              <w:keepLines w:val="0"/>
              <w:suppressLineNumbers w:val="0"/>
              <w:spacing w:before="0" w:beforeAutospacing="0" w:after="0" w:afterAutospacing="0" w:line="360" w:lineRule="auto"/>
              <w:ind w:left="0" w:right="0"/>
              <w:rPr>
                <w:rFonts w:hint="default" w:ascii="Calibri" w:hAnsi="Calibri" w:cs="Calibri"/>
                <w:color w:val="auto"/>
                <w:highlight w:val="none"/>
              </w:rPr>
            </w:pPr>
            <w:r>
              <w:rPr>
                <w:rFonts w:hint="eastAsia" w:ascii="宋体" w:hAnsi="宋体" w:cs="仿宋_GB2312"/>
                <w:color w:val="auto"/>
                <w:highlight w:val="none"/>
              </w:rPr>
              <w:t>2.本招标公告及招标文件没有排斥潜在投标人等违法违规问题。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065" w:type="dxa"/>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Calibri" w:hAnsi="Calibri" w:eastAsia="宋体" w:cs="Calibri"/>
                <w:color w:val="auto"/>
                <w:szCs w:val="21"/>
                <w:highlight w:val="none"/>
                <w:lang w:val="en-US" w:eastAsia="zh-CN"/>
              </w:rPr>
            </w:pPr>
            <w:r>
              <w:rPr>
                <w:rFonts w:hint="eastAsia" w:ascii="Calibri" w:hAnsi="Calibri" w:cs="Calibri"/>
                <w:color w:val="auto"/>
                <w:szCs w:val="21"/>
                <w:highlight w:val="none"/>
                <w:lang w:val="en-US" w:eastAsia="zh-CN"/>
              </w:rPr>
              <w:t>10.19.6</w:t>
            </w:r>
          </w:p>
        </w:tc>
        <w:tc>
          <w:tcPr>
            <w:tcW w:w="7866" w:type="dxa"/>
            <w:gridSpan w:val="3"/>
            <w:noWrap w:val="0"/>
            <w:vAlign w:val="center"/>
          </w:tcPr>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(1)工程款预付款和工程款支付担保：</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本项目按合同建安工程费的10%支付预付款。在承包人提供履约担保的30个工作日的同时，招标人提供工程款支付担保。</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(2)不良行为扣分有效期为180天，自湖南省住房和城乡建设厅公布之日起至投交投标文件截止之日止。</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不良行为记录包括工程质量、安全生产、市场行为等方面的情况。省住房和城乡建设厅发布的《湖南省建筑市场责任主体不良行为记录》是确认本省行政区域内不良行为记录的依据，其有效期限统一按省住房和城乡建设厅发布《湖南省建筑市场责任主体不良行为记录》的时间计算。</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(4)与我省签署了招标投标信息共享备忘录的省区市发布的相关不良行为记录按照备忘录要求执行。</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(5)中标通知书发出以前，中标候选人及其拟任项目总负责人，设计负责人的情况发生变化，致使其达不到合格投标人资格条件的，取消其中标候选人资格。</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投标人在投标文件中有隐瞒事实、弄虚作假的行为，或有不按招标文件的要求如实提供有关情况、文件、证明等资料的行为，或有所提供的有关情况、文件、证明等资料与经查实的事实不符的行为，且上述行为对该投标人有利的，按照不合格投标人处理。已被列为中标候选人的，取消其中标候选人资格。已中标的，依据有关法律法规规章的规定处理。</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(7)招标文件中所设置的内容、条款及未尽事宜，均以国家、省、市或建设行政主管部门颁发的招投标有关规定为准。法律、法规没有规定的，以招标人的解释为准。</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(8)投标人上传的投标文件相关证件应完整，清晰，如不完整，漏页或模糊不清无法辨认等造成的投标失败或其它不利后果由投标单位自行负责。</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(9)中标单位在领取中标通知书之前，需提供四套完整的纸质投标文件送至招标代理机构用于备案。当提供的纸质文件资料与岳阳市公共资源交易网记录的电子文件资料不一致时，以电子文件资料为准。</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(10)投标补偿：投标人自行承担所有与准备和参加投标有关的费用。招标人不给予任何补偿，对未中标投标人不做解释说明。</w:t>
            </w:r>
          </w:p>
          <w:p>
            <w:pPr>
              <w:keepNext w:val="0"/>
              <w:keepLines w:val="0"/>
              <w:suppressLineNumbers w:val="0"/>
              <w:snapToGrid w:val="0"/>
              <w:spacing w:before="0" w:beforeAutospacing="0" w:after="0" w:afterAutospacing="0"/>
              <w:ind w:left="0" w:right="0" w:firstLine="0" w:firstLineChars="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(11)本项目施工项目部关键岗位人员任职条件应当满足湖南省住房和城乡建设厅关于印发《湖南省建筑工程施工项目部和现场监理部关键岗位人员配备管理办法》的通知--湘建建(2020)208号文件要求。</w:t>
            </w:r>
          </w:p>
          <w:p>
            <w:pPr>
              <w:pStyle w:val="124"/>
              <w:keepNext w:val="0"/>
              <w:keepLines w:val="0"/>
              <w:numPr>
                <w:ilvl w:val="0"/>
                <w:numId w:val="0"/>
              </w:numPr>
              <w:suppressLineNumbers w:val="0"/>
              <w:spacing w:before="0" w:beforeAutospacing="0" w:after="0" w:afterAutospacing="0" w:line="360" w:lineRule="auto"/>
              <w:ind w:left="0" w:right="0" w:rightChars="0"/>
              <w:rPr>
                <w:rFonts w:hint="eastAsia"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(12)投标文件要求由投标人的法定代表人签字（或盖章）并加盖单位公章的，如为联合体投标，除联合体协议和授权委托书按要求签字盖章外，其余则由联合体牵头人的法定代表人签字（或盖章）并加盖联合体牵头人公章。</w:t>
            </w:r>
          </w:p>
        </w:tc>
      </w:tr>
    </w:tbl>
    <w:p>
      <w:pPr>
        <w:snapToGrid w:val="0"/>
        <w:jc w:val="center"/>
        <w:rPr>
          <w:rFonts w:eastAsia="黑体"/>
          <w:color w:val="auto"/>
          <w:sz w:val="28"/>
          <w:szCs w:val="28"/>
          <w:highlight w:val="none"/>
        </w:rPr>
      </w:pPr>
      <w:bookmarkStart w:id="60" w:name="_Toc300677998"/>
      <w:r>
        <w:rPr>
          <w:rFonts w:eastAsia="黑体"/>
          <w:color w:val="auto"/>
          <w:sz w:val="28"/>
          <w:szCs w:val="28"/>
          <w:highlight w:val="none"/>
        </w:rPr>
        <w:br w:type="page"/>
      </w:r>
      <w:r>
        <w:rPr>
          <w:rFonts w:eastAsia="黑体"/>
          <w:color w:val="auto"/>
          <w:sz w:val="28"/>
          <w:szCs w:val="28"/>
          <w:highlight w:val="none"/>
        </w:rPr>
        <w:t>投标人须知</w:t>
      </w:r>
      <w:bookmarkEnd w:id="60"/>
    </w:p>
    <w:p>
      <w:pPr>
        <w:pStyle w:val="124"/>
        <w:rPr>
          <w:rFonts w:eastAsia="黑体"/>
          <w:color w:val="auto"/>
          <w:highlight w:val="none"/>
        </w:rPr>
      </w:pPr>
    </w:p>
    <w:p>
      <w:pPr>
        <w:pStyle w:val="7"/>
        <w:keepNext/>
        <w:keepLines/>
        <w:widowControl w:val="0"/>
        <w:jc w:val="left"/>
        <w:rPr>
          <w:rFonts w:eastAsia="黑体"/>
          <w:b w:val="0"/>
          <w:bCs w:val="0"/>
          <w:color w:val="auto"/>
          <w:sz w:val="28"/>
          <w:szCs w:val="28"/>
          <w:highlight w:val="none"/>
        </w:rPr>
      </w:pPr>
      <w:bookmarkStart w:id="61" w:name="_Toc9178518"/>
      <w:bookmarkStart w:id="62" w:name="_Toc300677999"/>
      <w:bookmarkStart w:id="63" w:name="_Toc69199908"/>
      <w:r>
        <w:rPr>
          <w:rFonts w:eastAsia="黑体"/>
          <w:b w:val="0"/>
          <w:bCs w:val="0"/>
          <w:color w:val="auto"/>
          <w:sz w:val="28"/>
          <w:szCs w:val="28"/>
          <w:highlight w:val="none"/>
        </w:rPr>
        <w:t>1.总则</w:t>
      </w:r>
      <w:bookmarkEnd w:id="61"/>
      <w:bookmarkEnd w:id="62"/>
      <w:bookmarkEnd w:id="63"/>
    </w:p>
    <w:p>
      <w:pPr>
        <w:pStyle w:val="8"/>
        <w:rPr>
          <w:rFonts w:ascii="Times New Roman" w:hAnsi="Times New Roman" w:eastAsia="黑体"/>
          <w:b w:val="0"/>
          <w:bCs w:val="0"/>
          <w:color w:val="auto"/>
          <w:sz w:val="24"/>
          <w:highlight w:val="none"/>
        </w:rPr>
      </w:pPr>
      <w:bookmarkStart w:id="64" w:name="_Toc300678000"/>
      <w:r>
        <w:rPr>
          <w:rFonts w:ascii="Times New Roman" w:hAnsi="Times New Roman" w:eastAsia="黑体"/>
          <w:b w:val="0"/>
          <w:bCs w:val="0"/>
          <w:color w:val="auto"/>
          <w:sz w:val="24"/>
          <w:highlight w:val="none"/>
        </w:rPr>
        <w:t>1.1 项目概况</w:t>
      </w:r>
      <w:bookmarkEnd w:id="64"/>
    </w:p>
    <w:p>
      <w:pPr>
        <w:pStyle w:val="124"/>
        <w:spacing w:line="360" w:lineRule="auto"/>
        <w:ind w:firstLine="420" w:firstLineChars="200"/>
        <w:rPr>
          <w:color w:val="auto"/>
          <w:highlight w:val="none"/>
        </w:rPr>
      </w:pPr>
      <w:r>
        <w:rPr>
          <w:color w:val="auto"/>
          <w:highlight w:val="none"/>
        </w:rPr>
        <w:t>1.1.1  根据《 中华人民共和国招标投标法》、</w:t>
      </w:r>
      <w:r>
        <w:rPr>
          <w:color w:val="auto"/>
          <w:sz w:val="22"/>
          <w:szCs w:val="22"/>
          <w:highlight w:val="none"/>
        </w:rPr>
        <w:t>《中华人民共和国招标投标法实施条例》</w:t>
      </w:r>
      <w:r>
        <w:rPr>
          <w:color w:val="auto"/>
          <w:highlight w:val="none"/>
        </w:rPr>
        <w:t xml:space="preserve"> 等有关法律、法规和规章的规定，本招标项目已具备招标条件，现对</w:t>
      </w:r>
      <w:r>
        <w:rPr>
          <w:rFonts w:hint="eastAsia"/>
          <w:color w:val="auto"/>
          <w:highlight w:val="none"/>
        </w:rPr>
        <w:t>工程总承包</w:t>
      </w:r>
      <w:r>
        <w:rPr>
          <w:color w:val="auto"/>
          <w:highlight w:val="none"/>
        </w:rPr>
        <w:t>进行招标。</w:t>
      </w:r>
    </w:p>
    <w:p>
      <w:pPr>
        <w:pStyle w:val="124"/>
        <w:spacing w:line="360" w:lineRule="auto"/>
        <w:ind w:firstLine="420" w:firstLineChars="200"/>
        <w:rPr>
          <w:color w:val="auto"/>
          <w:highlight w:val="none"/>
        </w:rPr>
      </w:pPr>
      <w:r>
        <w:rPr>
          <w:color w:val="auto"/>
          <w:highlight w:val="none"/>
        </w:rPr>
        <w:t>1.1.2  招标人：见投标人须知前附表。</w:t>
      </w:r>
    </w:p>
    <w:p>
      <w:pPr>
        <w:pStyle w:val="124"/>
        <w:spacing w:line="360" w:lineRule="auto"/>
        <w:ind w:firstLine="420" w:firstLineChars="200"/>
        <w:rPr>
          <w:color w:val="auto"/>
          <w:highlight w:val="none"/>
        </w:rPr>
      </w:pPr>
      <w:r>
        <w:rPr>
          <w:color w:val="auto"/>
          <w:highlight w:val="none"/>
        </w:rPr>
        <w:t>1.1.3  招标代理机构：见投标人须知前附表。</w:t>
      </w:r>
    </w:p>
    <w:p>
      <w:pPr>
        <w:pStyle w:val="124"/>
        <w:spacing w:line="360" w:lineRule="auto"/>
        <w:ind w:firstLine="420" w:firstLineChars="200"/>
        <w:rPr>
          <w:color w:val="auto"/>
          <w:highlight w:val="none"/>
        </w:rPr>
      </w:pPr>
      <w:r>
        <w:rPr>
          <w:color w:val="auto"/>
          <w:highlight w:val="none"/>
        </w:rPr>
        <w:t xml:space="preserve">1.1.4  </w:t>
      </w:r>
      <w:r>
        <w:rPr>
          <w:rFonts w:hint="eastAsia"/>
          <w:color w:val="auto"/>
          <w:highlight w:val="none"/>
        </w:rPr>
        <w:t>招标</w:t>
      </w:r>
      <w:r>
        <w:rPr>
          <w:color w:val="auto"/>
          <w:highlight w:val="none"/>
        </w:rPr>
        <w:t>项目名称：见投标人须知前附表。</w:t>
      </w:r>
    </w:p>
    <w:p>
      <w:pPr>
        <w:pStyle w:val="124"/>
        <w:spacing w:line="360" w:lineRule="auto"/>
        <w:ind w:firstLine="420" w:firstLineChars="200"/>
        <w:rPr>
          <w:color w:val="auto"/>
          <w:highlight w:val="none"/>
        </w:rPr>
      </w:pPr>
      <w:r>
        <w:rPr>
          <w:color w:val="auto"/>
          <w:highlight w:val="none"/>
        </w:rPr>
        <w:t>1.1.5  建设地点：见投标人须知前附表。</w:t>
      </w:r>
    </w:p>
    <w:p>
      <w:pPr>
        <w:pStyle w:val="8"/>
        <w:rPr>
          <w:rFonts w:ascii="Times New Roman" w:hAnsi="Times New Roman" w:eastAsia="黑体"/>
          <w:b w:val="0"/>
          <w:bCs w:val="0"/>
          <w:color w:val="auto"/>
          <w:sz w:val="24"/>
          <w:highlight w:val="none"/>
        </w:rPr>
      </w:pPr>
      <w:bookmarkStart w:id="65" w:name="_Toc300678001"/>
      <w:r>
        <w:rPr>
          <w:rFonts w:ascii="Times New Roman" w:hAnsi="Times New Roman" w:eastAsia="黑体"/>
          <w:b w:val="0"/>
          <w:bCs w:val="0"/>
          <w:color w:val="auto"/>
          <w:sz w:val="24"/>
          <w:highlight w:val="none"/>
        </w:rPr>
        <w:t>1.2 资金来源和落实情况</w:t>
      </w:r>
      <w:bookmarkEnd w:id="65"/>
    </w:p>
    <w:p>
      <w:pPr>
        <w:pStyle w:val="124"/>
        <w:spacing w:line="360" w:lineRule="auto"/>
        <w:ind w:firstLine="420" w:firstLineChars="200"/>
        <w:rPr>
          <w:color w:val="auto"/>
          <w:highlight w:val="none"/>
        </w:rPr>
      </w:pPr>
      <w:r>
        <w:rPr>
          <w:color w:val="auto"/>
          <w:highlight w:val="none"/>
        </w:rPr>
        <w:t>详见招标公告或投标邀请书 。</w:t>
      </w:r>
    </w:p>
    <w:p>
      <w:pPr>
        <w:pStyle w:val="8"/>
        <w:rPr>
          <w:rFonts w:ascii="Times New Roman" w:hAnsi="Times New Roman" w:eastAsia="黑体"/>
          <w:b w:val="0"/>
          <w:bCs w:val="0"/>
          <w:color w:val="auto"/>
          <w:sz w:val="24"/>
          <w:highlight w:val="none"/>
        </w:rPr>
      </w:pPr>
      <w:bookmarkStart w:id="66" w:name="_Toc300678002"/>
      <w:r>
        <w:rPr>
          <w:rFonts w:ascii="Times New Roman" w:hAnsi="Times New Roman" w:eastAsia="黑体"/>
          <w:b w:val="0"/>
          <w:bCs w:val="0"/>
          <w:color w:val="auto"/>
          <w:sz w:val="24"/>
          <w:highlight w:val="none"/>
        </w:rPr>
        <w:t>1.3 招标范围、计划工期和质量要求</w:t>
      </w:r>
      <w:bookmarkEnd w:id="66"/>
    </w:p>
    <w:p>
      <w:pPr>
        <w:pStyle w:val="124"/>
        <w:spacing w:line="360" w:lineRule="auto"/>
        <w:ind w:firstLine="420" w:firstLineChars="200"/>
        <w:rPr>
          <w:color w:val="auto"/>
          <w:highlight w:val="none"/>
        </w:rPr>
      </w:pPr>
      <w:r>
        <w:rPr>
          <w:color w:val="auto"/>
          <w:highlight w:val="none"/>
        </w:rPr>
        <w:t>1.3.1  招标范围：见投标人须知前附表。</w:t>
      </w:r>
    </w:p>
    <w:p>
      <w:pPr>
        <w:pStyle w:val="124"/>
        <w:spacing w:line="360" w:lineRule="auto"/>
        <w:ind w:firstLine="420" w:firstLineChars="200"/>
        <w:rPr>
          <w:color w:val="auto"/>
          <w:highlight w:val="none"/>
        </w:rPr>
      </w:pPr>
      <w:r>
        <w:rPr>
          <w:color w:val="auto"/>
          <w:highlight w:val="none"/>
        </w:rPr>
        <w:t>1.3.2  计划工期：见投标人须知前附表。</w:t>
      </w:r>
    </w:p>
    <w:p>
      <w:pPr>
        <w:pStyle w:val="124"/>
        <w:spacing w:line="360" w:lineRule="auto"/>
        <w:ind w:firstLine="420" w:firstLineChars="200"/>
        <w:rPr>
          <w:color w:val="auto"/>
          <w:highlight w:val="none"/>
        </w:rPr>
      </w:pPr>
      <w:r>
        <w:rPr>
          <w:color w:val="auto"/>
          <w:highlight w:val="none"/>
        </w:rPr>
        <w:t>1.3.3  质量标准和保修要求：见投标人须知前附表。</w:t>
      </w:r>
    </w:p>
    <w:p>
      <w:pPr>
        <w:pStyle w:val="8"/>
        <w:rPr>
          <w:rFonts w:ascii="Times New Roman" w:hAnsi="Times New Roman" w:eastAsia="黑体"/>
          <w:b w:val="0"/>
          <w:bCs w:val="0"/>
          <w:color w:val="auto"/>
          <w:sz w:val="24"/>
          <w:highlight w:val="none"/>
        </w:rPr>
      </w:pPr>
      <w:bookmarkStart w:id="67" w:name="_Toc300678003"/>
      <w:r>
        <w:rPr>
          <w:rFonts w:ascii="Times New Roman" w:hAnsi="Times New Roman" w:eastAsia="黑体"/>
          <w:b w:val="0"/>
          <w:bCs w:val="0"/>
          <w:color w:val="auto"/>
          <w:sz w:val="24"/>
          <w:highlight w:val="none"/>
        </w:rPr>
        <w:t>1.4 投标人资格要求</w:t>
      </w:r>
    </w:p>
    <w:bookmarkEnd w:id="67"/>
    <w:p>
      <w:pPr>
        <w:pStyle w:val="124"/>
        <w:spacing w:line="360" w:lineRule="auto"/>
        <w:ind w:firstLine="420" w:firstLineChars="200"/>
        <w:rPr>
          <w:color w:val="auto"/>
          <w:highlight w:val="none"/>
        </w:rPr>
      </w:pPr>
      <w:r>
        <w:rPr>
          <w:color w:val="auto"/>
          <w:highlight w:val="none"/>
        </w:rPr>
        <w:t>1.4.1  投标人应具备承担本</w:t>
      </w:r>
      <w:r>
        <w:rPr>
          <w:rFonts w:hint="eastAsia"/>
          <w:color w:val="auto"/>
          <w:highlight w:val="none"/>
        </w:rPr>
        <w:t>工程总承包</w:t>
      </w:r>
      <w:r>
        <w:rPr>
          <w:color w:val="auto"/>
          <w:highlight w:val="none"/>
        </w:rPr>
        <w:t>的资质条件：见投标人须知前附表；</w:t>
      </w:r>
    </w:p>
    <w:p>
      <w:pPr>
        <w:pStyle w:val="124"/>
        <w:spacing w:line="360" w:lineRule="auto"/>
        <w:ind w:firstLine="420" w:firstLineChars="200"/>
        <w:rPr>
          <w:color w:val="auto"/>
          <w:highlight w:val="none"/>
        </w:rPr>
      </w:pPr>
      <w:r>
        <w:rPr>
          <w:color w:val="auto"/>
          <w:highlight w:val="none"/>
        </w:rPr>
        <w:t>1.4.2  投标人须知前附表规定接受联合体投标的，除应符合本</w:t>
      </w:r>
      <w:r>
        <w:rPr>
          <w:rFonts w:hint="eastAsia"/>
          <w:color w:val="auto"/>
          <w:highlight w:val="none"/>
        </w:rPr>
        <w:t>须知</w:t>
      </w:r>
      <w:r>
        <w:rPr>
          <w:color w:val="auto"/>
          <w:highlight w:val="none"/>
        </w:rPr>
        <w:t>第1.4.1项和投标人须知前附表的要求外，还应遵守以下规定：</w:t>
      </w:r>
    </w:p>
    <w:p>
      <w:pPr>
        <w:pStyle w:val="124"/>
        <w:spacing w:line="360" w:lineRule="auto"/>
        <w:ind w:firstLine="420" w:firstLineChars="200"/>
        <w:rPr>
          <w:bCs/>
          <w:color w:val="auto"/>
          <w:highlight w:val="none"/>
        </w:rPr>
      </w:pPr>
      <w:r>
        <w:rPr>
          <w:bCs/>
          <w:color w:val="auto"/>
          <w:highlight w:val="none"/>
        </w:rPr>
        <w:t>（1）联合体各方应按招标文件提供的格式签订联合体协议书，明确联合体牵头人和各方权利义务；</w:t>
      </w:r>
    </w:p>
    <w:p>
      <w:pPr>
        <w:pStyle w:val="124"/>
        <w:spacing w:line="360" w:lineRule="auto"/>
        <w:ind w:firstLine="420" w:firstLineChars="200"/>
        <w:rPr>
          <w:bCs/>
          <w:color w:val="auto"/>
          <w:highlight w:val="none"/>
        </w:rPr>
      </w:pPr>
      <w:r>
        <w:rPr>
          <w:bCs/>
          <w:color w:val="auto"/>
          <w:highlight w:val="none"/>
        </w:rPr>
        <w:t>（2）由同一专业的单位组成的联合体，</w:t>
      </w:r>
      <w:r>
        <w:rPr>
          <w:rFonts w:hint="eastAsia" w:ascii="宋体" w:hAnsi="宋体"/>
          <w:bCs/>
          <w:color w:val="auto"/>
          <w:highlight w:val="none"/>
        </w:rPr>
        <w:t>按照联合体各自承担的工作范围所对应的资质等级较低的单位确定资质等级</w:t>
      </w:r>
      <w:r>
        <w:rPr>
          <w:bCs/>
          <w:color w:val="auto"/>
          <w:highlight w:val="none"/>
        </w:rPr>
        <w:t>；</w:t>
      </w:r>
    </w:p>
    <w:p>
      <w:pPr>
        <w:pStyle w:val="124"/>
        <w:spacing w:line="360" w:lineRule="auto"/>
        <w:ind w:firstLine="420" w:firstLineChars="200"/>
        <w:rPr>
          <w:rFonts w:hint="eastAsia"/>
          <w:bCs/>
          <w:color w:val="auto"/>
          <w:highlight w:val="none"/>
        </w:rPr>
      </w:pPr>
      <w:r>
        <w:rPr>
          <w:bCs/>
          <w:color w:val="auto"/>
          <w:highlight w:val="none"/>
        </w:rPr>
        <w:t>（3）</w:t>
      </w:r>
      <w:r>
        <w:rPr>
          <w:rFonts w:hint="eastAsia"/>
          <w:bCs/>
          <w:color w:val="auto"/>
          <w:highlight w:val="none"/>
        </w:rPr>
        <w:t>通过资格预审的联合体，其各方组成结构或职责，以及资格条件不得改变；</w:t>
      </w:r>
    </w:p>
    <w:p>
      <w:pPr>
        <w:pStyle w:val="124"/>
        <w:spacing w:line="360" w:lineRule="auto"/>
        <w:ind w:firstLine="420" w:firstLineChars="200"/>
        <w:rPr>
          <w:bCs/>
          <w:color w:val="auto"/>
          <w:highlight w:val="none"/>
        </w:rPr>
      </w:pPr>
      <w:r>
        <w:rPr>
          <w:rFonts w:hint="eastAsia"/>
          <w:bCs/>
          <w:color w:val="auto"/>
          <w:highlight w:val="none"/>
        </w:rPr>
        <w:t>（4）</w:t>
      </w:r>
      <w:r>
        <w:rPr>
          <w:bCs/>
          <w:color w:val="auto"/>
          <w:highlight w:val="none"/>
        </w:rPr>
        <w:t>联合体各方不得再以自己名义单独或参加其他联合体在同一标段</w:t>
      </w:r>
      <w:r>
        <w:rPr>
          <w:rFonts w:hint="eastAsia"/>
          <w:bCs/>
          <w:color w:val="auto"/>
          <w:highlight w:val="none"/>
        </w:rPr>
        <w:t>或者未划分标段的同一项目</w:t>
      </w:r>
      <w:r>
        <w:rPr>
          <w:bCs/>
          <w:color w:val="auto"/>
          <w:highlight w:val="none"/>
        </w:rPr>
        <w:t>中投标。</w:t>
      </w:r>
    </w:p>
    <w:p>
      <w:pPr>
        <w:pStyle w:val="124"/>
        <w:spacing w:line="360" w:lineRule="auto"/>
        <w:ind w:firstLine="420" w:firstLineChars="200"/>
        <w:rPr>
          <w:bCs/>
          <w:color w:val="auto"/>
          <w:highlight w:val="none"/>
        </w:rPr>
      </w:pPr>
      <w:r>
        <w:rPr>
          <w:bCs/>
          <w:color w:val="auto"/>
          <w:highlight w:val="none"/>
        </w:rPr>
        <w:t>1.4.3 投标人不得存在下列情形之一：</w:t>
      </w:r>
    </w:p>
    <w:p>
      <w:pPr>
        <w:pStyle w:val="124"/>
        <w:spacing w:line="360" w:lineRule="auto"/>
        <w:ind w:firstLine="420" w:firstLineChars="200"/>
        <w:rPr>
          <w:bCs/>
          <w:color w:val="auto"/>
          <w:highlight w:val="none"/>
        </w:rPr>
      </w:pPr>
      <w:r>
        <w:rPr>
          <w:bCs/>
          <w:color w:val="auto"/>
          <w:highlight w:val="none"/>
        </w:rPr>
        <w:t>（l）为招标人不具有独立法人资格的附属机构</w:t>
      </w:r>
      <w:r>
        <w:rPr>
          <w:rFonts w:hint="eastAsia"/>
          <w:bCs/>
          <w:color w:val="auto"/>
          <w:highlight w:val="none"/>
        </w:rPr>
        <w:t>（</w:t>
      </w:r>
      <w:r>
        <w:rPr>
          <w:bCs/>
          <w:color w:val="auto"/>
          <w:highlight w:val="none"/>
        </w:rPr>
        <w:t>单位</w:t>
      </w:r>
      <w:r>
        <w:rPr>
          <w:rFonts w:hint="eastAsia"/>
          <w:bCs/>
          <w:color w:val="auto"/>
          <w:highlight w:val="none"/>
        </w:rPr>
        <w:t>）</w:t>
      </w:r>
      <w:r>
        <w:rPr>
          <w:bCs/>
          <w:color w:val="auto"/>
          <w:highlight w:val="none"/>
        </w:rPr>
        <w:t>；</w:t>
      </w:r>
    </w:p>
    <w:p>
      <w:pPr>
        <w:pStyle w:val="124"/>
        <w:spacing w:line="360" w:lineRule="auto"/>
        <w:ind w:firstLine="420" w:firstLineChars="200"/>
        <w:rPr>
          <w:bCs/>
          <w:color w:val="auto"/>
          <w:highlight w:val="none"/>
        </w:rPr>
      </w:pPr>
      <w:r>
        <w:rPr>
          <w:bCs/>
          <w:color w:val="auto"/>
          <w:highlight w:val="none"/>
        </w:rPr>
        <w:t>（2）</w:t>
      </w:r>
      <w:r>
        <w:rPr>
          <w:rFonts w:hint="eastAsia" w:ascii="宋体" w:hAnsi="宋体"/>
          <w:bCs/>
          <w:color w:val="auto"/>
          <w:highlight w:val="none"/>
        </w:rPr>
        <w:t>为本招标项目的代建单位；</w:t>
      </w:r>
      <w:r>
        <w:rPr>
          <w:bCs/>
          <w:color w:val="auto"/>
          <w:highlight w:val="none"/>
        </w:rPr>
        <w:t>；</w:t>
      </w:r>
    </w:p>
    <w:p>
      <w:pPr>
        <w:pStyle w:val="124"/>
        <w:spacing w:line="360" w:lineRule="auto"/>
        <w:ind w:firstLine="420" w:firstLineChars="200"/>
        <w:rPr>
          <w:bCs/>
          <w:color w:val="auto"/>
          <w:highlight w:val="none"/>
        </w:rPr>
      </w:pPr>
      <w:r>
        <w:rPr>
          <w:bCs/>
          <w:color w:val="auto"/>
          <w:highlight w:val="none"/>
        </w:rPr>
        <w:t>（3）为本招标项目的</w:t>
      </w:r>
      <w:r>
        <w:rPr>
          <w:rFonts w:hint="eastAsia"/>
          <w:bCs/>
          <w:color w:val="auto"/>
          <w:highlight w:val="none"/>
        </w:rPr>
        <w:t>项目管理单位</w:t>
      </w:r>
      <w:r>
        <w:rPr>
          <w:bCs/>
          <w:color w:val="auto"/>
          <w:highlight w:val="none"/>
        </w:rPr>
        <w:t>；</w:t>
      </w:r>
    </w:p>
    <w:p>
      <w:pPr>
        <w:pStyle w:val="124"/>
        <w:spacing w:line="360" w:lineRule="auto"/>
        <w:ind w:firstLine="420" w:firstLineChars="200"/>
        <w:rPr>
          <w:rFonts w:hint="eastAsia"/>
          <w:bCs/>
          <w:color w:val="auto"/>
          <w:highlight w:val="none"/>
        </w:rPr>
      </w:pPr>
      <w:r>
        <w:rPr>
          <w:bCs/>
          <w:color w:val="auto"/>
          <w:highlight w:val="none"/>
        </w:rPr>
        <w:t>（4）</w:t>
      </w:r>
      <w:r>
        <w:rPr>
          <w:rFonts w:ascii="宋体" w:hAnsi="宋体"/>
          <w:bCs/>
          <w:color w:val="auto"/>
          <w:highlight w:val="none"/>
        </w:rPr>
        <w:t>为本招标项目的</w:t>
      </w:r>
      <w:r>
        <w:rPr>
          <w:rFonts w:hint="eastAsia" w:ascii="宋体" w:hAnsi="宋体"/>
          <w:bCs/>
          <w:color w:val="auto"/>
          <w:highlight w:val="none"/>
        </w:rPr>
        <w:t>监理单位</w:t>
      </w:r>
      <w:r>
        <w:rPr>
          <w:rFonts w:ascii="宋体" w:hAnsi="宋体"/>
          <w:bCs/>
          <w:color w:val="auto"/>
          <w:highlight w:val="none"/>
        </w:rPr>
        <w:t>；</w:t>
      </w:r>
    </w:p>
    <w:p>
      <w:pPr>
        <w:pStyle w:val="124"/>
        <w:spacing w:line="360" w:lineRule="auto"/>
        <w:ind w:firstLine="420" w:firstLineChars="200"/>
        <w:rPr>
          <w:bCs/>
          <w:color w:val="auto"/>
          <w:highlight w:val="none"/>
        </w:rPr>
      </w:pPr>
      <w:r>
        <w:rPr>
          <w:rFonts w:hint="eastAsia"/>
          <w:bCs/>
          <w:color w:val="auto"/>
          <w:highlight w:val="none"/>
        </w:rPr>
        <w:t>（5）</w:t>
      </w:r>
      <w:r>
        <w:rPr>
          <w:bCs/>
          <w:color w:val="auto"/>
          <w:highlight w:val="none"/>
        </w:rPr>
        <w:t>为本招标项目的</w:t>
      </w:r>
      <w:r>
        <w:rPr>
          <w:rFonts w:hint="eastAsia"/>
          <w:bCs/>
          <w:color w:val="auto"/>
          <w:highlight w:val="none"/>
        </w:rPr>
        <w:t>造价咨询单位</w:t>
      </w:r>
      <w:r>
        <w:rPr>
          <w:bCs/>
          <w:color w:val="auto"/>
          <w:highlight w:val="none"/>
        </w:rPr>
        <w:t>；</w:t>
      </w:r>
    </w:p>
    <w:p>
      <w:pPr>
        <w:pStyle w:val="124"/>
        <w:spacing w:line="360" w:lineRule="auto"/>
        <w:ind w:firstLine="420" w:firstLineChars="200"/>
        <w:rPr>
          <w:bCs/>
          <w:color w:val="auto"/>
          <w:highlight w:val="none"/>
        </w:rPr>
      </w:pPr>
      <w:r>
        <w:rPr>
          <w:bCs/>
          <w:color w:val="auto"/>
          <w:highlight w:val="none"/>
        </w:rPr>
        <w:t>（</w:t>
      </w:r>
      <w:r>
        <w:rPr>
          <w:rFonts w:hint="eastAsia"/>
          <w:bCs/>
          <w:color w:val="auto"/>
          <w:highlight w:val="none"/>
        </w:rPr>
        <w:t>6</w:t>
      </w:r>
      <w:r>
        <w:rPr>
          <w:bCs/>
          <w:color w:val="auto"/>
          <w:highlight w:val="none"/>
        </w:rPr>
        <w:t>）为本招标项目的招标代理</w:t>
      </w:r>
      <w:r>
        <w:rPr>
          <w:rFonts w:hint="eastAsia"/>
          <w:bCs/>
          <w:color w:val="auto"/>
          <w:highlight w:val="none"/>
        </w:rPr>
        <w:t>单位</w:t>
      </w:r>
      <w:r>
        <w:rPr>
          <w:bCs/>
          <w:color w:val="auto"/>
          <w:highlight w:val="none"/>
        </w:rPr>
        <w:t>；</w:t>
      </w:r>
    </w:p>
    <w:p>
      <w:pPr>
        <w:pStyle w:val="124"/>
        <w:spacing w:line="360" w:lineRule="auto"/>
        <w:ind w:firstLine="420" w:firstLineChars="200"/>
        <w:rPr>
          <w:bCs/>
          <w:color w:val="auto"/>
          <w:highlight w:val="none"/>
        </w:rPr>
      </w:pPr>
      <w:r>
        <w:rPr>
          <w:bCs/>
          <w:color w:val="auto"/>
          <w:highlight w:val="none"/>
        </w:rPr>
        <w:t>（</w:t>
      </w:r>
      <w:r>
        <w:rPr>
          <w:rFonts w:hint="eastAsia"/>
          <w:bCs/>
          <w:color w:val="auto"/>
          <w:highlight w:val="none"/>
        </w:rPr>
        <w:t>7</w:t>
      </w:r>
      <w:r>
        <w:rPr>
          <w:bCs/>
          <w:color w:val="auto"/>
          <w:highlight w:val="none"/>
        </w:rPr>
        <w:t>）与本招标项目的</w:t>
      </w:r>
      <w:r>
        <w:rPr>
          <w:rFonts w:ascii="宋体" w:hAnsi="宋体"/>
          <w:bCs/>
          <w:color w:val="auto"/>
          <w:highlight w:val="none"/>
        </w:rPr>
        <w:t>代建</w:t>
      </w:r>
      <w:r>
        <w:rPr>
          <w:rFonts w:hint="eastAsia" w:ascii="宋体" w:hAnsi="宋体"/>
          <w:bCs/>
          <w:color w:val="auto"/>
          <w:highlight w:val="none"/>
        </w:rPr>
        <w:t>单位或项目管理单位或</w:t>
      </w:r>
      <w:r>
        <w:rPr>
          <w:rFonts w:ascii="宋体" w:hAnsi="宋体"/>
          <w:bCs/>
          <w:color w:val="auto"/>
          <w:highlight w:val="none"/>
        </w:rPr>
        <w:t>监理</w:t>
      </w:r>
      <w:r>
        <w:rPr>
          <w:rFonts w:hint="eastAsia" w:ascii="宋体" w:hAnsi="宋体"/>
          <w:bCs/>
          <w:color w:val="auto"/>
          <w:highlight w:val="none"/>
        </w:rPr>
        <w:t>单位</w:t>
      </w:r>
      <w:r>
        <w:rPr>
          <w:rFonts w:ascii="宋体" w:hAnsi="宋体"/>
          <w:bCs/>
          <w:color w:val="auto"/>
          <w:highlight w:val="none"/>
        </w:rPr>
        <w:t>或</w:t>
      </w:r>
      <w:r>
        <w:rPr>
          <w:rFonts w:hint="eastAsia" w:ascii="宋体" w:hAnsi="宋体"/>
          <w:bCs/>
          <w:color w:val="auto"/>
          <w:highlight w:val="none"/>
        </w:rPr>
        <w:t>造价咨询单位</w:t>
      </w:r>
      <w:r>
        <w:rPr>
          <w:rFonts w:ascii="宋体" w:hAnsi="宋体"/>
          <w:bCs/>
          <w:color w:val="auto"/>
          <w:highlight w:val="none"/>
        </w:rPr>
        <w:t>或招标代理</w:t>
      </w:r>
      <w:r>
        <w:rPr>
          <w:rFonts w:hint="eastAsia" w:ascii="宋体" w:hAnsi="宋体"/>
          <w:bCs/>
          <w:color w:val="auto"/>
          <w:highlight w:val="none"/>
        </w:rPr>
        <w:t>单位</w:t>
      </w:r>
      <w:r>
        <w:rPr>
          <w:bCs/>
          <w:color w:val="auto"/>
          <w:highlight w:val="none"/>
        </w:rPr>
        <w:t>同为一个法定代表人的；</w:t>
      </w:r>
    </w:p>
    <w:p>
      <w:pPr>
        <w:pStyle w:val="124"/>
        <w:spacing w:line="360" w:lineRule="auto"/>
        <w:ind w:firstLine="420" w:firstLineChars="200"/>
        <w:rPr>
          <w:bCs/>
          <w:color w:val="auto"/>
          <w:highlight w:val="none"/>
        </w:rPr>
      </w:pPr>
      <w:r>
        <w:rPr>
          <w:bCs/>
          <w:color w:val="auto"/>
          <w:highlight w:val="none"/>
        </w:rPr>
        <w:t>（</w:t>
      </w:r>
      <w:r>
        <w:rPr>
          <w:rFonts w:hint="eastAsia"/>
          <w:bCs/>
          <w:color w:val="auto"/>
          <w:highlight w:val="none"/>
        </w:rPr>
        <w:t>8</w:t>
      </w:r>
      <w:r>
        <w:rPr>
          <w:bCs/>
          <w:color w:val="auto"/>
          <w:highlight w:val="none"/>
        </w:rPr>
        <w:t>）与本招标项目的</w:t>
      </w:r>
      <w:r>
        <w:rPr>
          <w:rFonts w:ascii="宋体" w:hAnsi="宋体"/>
          <w:bCs/>
          <w:color w:val="auto"/>
          <w:highlight w:val="none"/>
        </w:rPr>
        <w:t>代建</w:t>
      </w:r>
      <w:r>
        <w:rPr>
          <w:rFonts w:hint="eastAsia" w:ascii="宋体" w:hAnsi="宋体"/>
          <w:bCs/>
          <w:color w:val="auto"/>
          <w:highlight w:val="none"/>
        </w:rPr>
        <w:t>单位或项目管理单位或</w:t>
      </w:r>
      <w:r>
        <w:rPr>
          <w:rFonts w:ascii="宋体" w:hAnsi="宋体"/>
          <w:bCs/>
          <w:color w:val="auto"/>
          <w:highlight w:val="none"/>
        </w:rPr>
        <w:t>监理</w:t>
      </w:r>
      <w:r>
        <w:rPr>
          <w:rFonts w:hint="eastAsia" w:ascii="宋体" w:hAnsi="宋体"/>
          <w:bCs/>
          <w:color w:val="auto"/>
          <w:highlight w:val="none"/>
        </w:rPr>
        <w:t>单位</w:t>
      </w:r>
      <w:r>
        <w:rPr>
          <w:rFonts w:ascii="宋体" w:hAnsi="宋体"/>
          <w:bCs/>
          <w:color w:val="auto"/>
          <w:highlight w:val="none"/>
        </w:rPr>
        <w:t>或</w:t>
      </w:r>
      <w:r>
        <w:rPr>
          <w:rFonts w:hint="eastAsia" w:ascii="宋体" w:hAnsi="宋体"/>
          <w:bCs/>
          <w:color w:val="auto"/>
          <w:highlight w:val="none"/>
        </w:rPr>
        <w:t>造价咨询单位</w:t>
      </w:r>
      <w:r>
        <w:rPr>
          <w:rFonts w:ascii="宋体" w:hAnsi="宋体"/>
          <w:bCs/>
          <w:color w:val="auto"/>
          <w:highlight w:val="none"/>
        </w:rPr>
        <w:t>或招标代理</w:t>
      </w:r>
      <w:r>
        <w:rPr>
          <w:rFonts w:hint="eastAsia" w:ascii="宋体" w:hAnsi="宋体"/>
          <w:bCs/>
          <w:color w:val="auto"/>
          <w:highlight w:val="none"/>
        </w:rPr>
        <w:t>单位</w:t>
      </w:r>
      <w:r>
        <w:rPr>
          <w:bCs/>
          <w:color w:val="auto"/>
          <w:highlight w:val="none"/>
        </w:rPr>
        <w:t>相互控股或参股的；</w:t>
      </w:r>
    </w:p>
    <w:p>
      <w:pPr>
        <w:pStyle w:val="124"/>
        <w:spacing w:line="360" w:lineRule="auto"/>
        <w:ind w:firstLine="420" w:firstLineChars="200"/>
        <w:rPr>
          <w:bCs/>
          <w:color w:val="auto"/>
          <w:highlight w:val="none"/>
        </w:rPr>
      </w:pPr>
      <w:r>
        <w:rPr>
          <w:bCs/>
          <w:color w:val="auto"/>
          <w:highlight w:val="none"/>
        </w:rPr>
        <w:t>（</w:t>
      </w:r>
      <w:r>
        <w:rPr>
          <w:rFonts w:hint="eastAsia"/>
          <w:bCs/>
          <w:color w:val="auto"/>
          <w:highlight w:val="none"/>
        </w:rPr>
        <w:t>9</w:t>
      </w:r>
      <w:r>
        <w:rPr>
          <w:bCs/>
          <w:color w:val="auto"/>
          <w:highlight w:val="none"/>
        </w:rPr>
        <w:t>）与本招标项目的</w:t>
      </w:r>
      <w:r>
        <w:rPr>
          <w:rFonts w:ascii="宋体" w:hAnsi="宋体"/>
          <w:bCs/>
          <w:color w:val="auto"/>
          <w:highlight w:val="none"/>
        </w:rPr>
        <w:t>代建</w:t>
      </w:r>
      <w:r>
        <w:rPr>
          <w:rFonts w:hint="eastAsia" w:ascii="宋体" w:hAnsi="宋体"/>
          <w:bCs/>
          <w:color w:val="auto"/>
          <w:highlight w:val="none"/>
        </w:rPr>
        <w:t>单位或项目管理单位或</w:t>
      </w:r>
      <w:r>
        <w:rPr>
          <w:rFonts w:ascii="宋体" w:hAnsi="宋体"/>
          <w:bCs/>
          <w:color w:val="auto"/>
          <w:highlight w:val="none"/>
        </w:rPr>
        <w:t>监理</w:t>
      </w:r>
      <w:r>
        <w:rPr>
          <w:rFonts w:hint="eastAsia" w:ascii="宋体" w:hAnsi="宋体"/>
          <w:bCs/>
          <w:color w:val="auto"/>
          <w:highlight w:val="none"/>
        </w:rPr>
        <w:t>单位</w:t>
      </w:r>
      <w:r>
        <w:rPr>
          <w:rFonts w:ascii="宋体" w:hAnsi="宋体"/>
          <w:bCs/>
          <w:color w:val="auto"/>
          <w:highlight w:val="none"/>
        </w:rPr>
        <w:t>或</w:t>
      </w:r>
      <w:r>
        <w:rPr>
          <w:rFonts w:hint="eastAsia" w:ascii="宋体" w:hAnsi="宋体"/>
          <w:bCs/>
          <w:color w:val="auto"/>
          <w:highlight w:val="none"/>
        </w:rPr>
        <w:t>造价咨询单位</w:t>
      </w:r>
      <w:r>
        <w:rPr>
          <w:rFonts w:ascii="宋体" w:hAnsi="宋体"/>
          <w:bCs/>
          <w:color w:val="auto"/>
          <w:highlight w:val="none"/>
        </w:rPr>
        <w:t>或招标代理</w:t>
      </w:r>
      <w:r>
        <w:rPr>
          <w:rFonts w:hint="eastAsia" w:ascii="宋体" w:hAnsi="宋体"/>
          <w:bCs/>
          <w:color w:val="auto"/>
          <w:highlight w:val="none"/>
        </w:rPr>
        <w:t>单位</w:t>
      </w:r>
      <w:r>
        <w:rPr>
          <w:bCs/>
          <w:color w:val="auto"/>
          <w:highlight w:val="none"/>
        </w:rPr>
        <w:t>相互任职或工作的；</w:t>
      </w:r>
    </w:p>
    <w:p>
      <w:pPr>
        <w:pStyle w:val="124"/>
        <w:spacing w:line="360" w:lineRule="auto"/>
        <w:ind w:firstLine="420" w:firstLineChars="200"/>
        <w:rPr>
          <w:bCs/>
          <w:color w:val="auto"/>
          <w:highlight w:val="none"/>
        </w:rPr>
      </w:pPr>
      <w:r>
        <w:rPr>
          <w:bCs/>
          <w:color w:val="auto"/>
          <w:highlight w:val="none"/>
        </w:rPr>
        <w:t>（</w:t>
      </w:r>
      <w:r>
        <w:rPr>
          <w:rFonts w:hint="eastAsia"/>
          <w:bCs/>
          <w:color w:val="auto"/>
          <w:highlight w:val="none"/>
        </w:rPr>
        <w:t>10</w:t>
      </w:r>
      <w:r>
        <w:rPr>
          <w:bCs/>
          <w:color w:val="auto"/>
          <w:highlight w:val="none"/>
        </w:rPr>
        <w:t>）被责令停业的；</w:t>
      </w:r>
    </w:p>
    <w:p>
      <w:pPr>
        <w:pStyle w:val="124"/>
        <w:spacing w:line="360" w:lineRule="auto"/>
        <w:ind w:firstLine="420" w:firstLineChars="200"/>
        <w:rPr>
          <w:bCs/>
          <w:color w:val="auto"/>
          <w:sz w:val="18"/>
          <w:szCs w:val="18"/>
          <w:highlight w:val="none"/>
        </w:rPr>
      </w:pPr>
      <w:r>
        <w:rPr>
          <w:bCs/>
          <w:color w:val="auto"/>
          <w:highlight w:val="none"/>
        </w:rPr>
        <w:t>（</w:t>
      </w:r>
      <w:r>
        <w:rPr>
          <w:rFonts w:hint="eastAsia"/>
          <w:bCs/>
          <w:color w:val="auto"/>
          <w:highlight w:val="none"/>
        </w:rPr>
        <w:t>11</w:t>
      </w:r>
      <w:r>
        <w:rPr>
          <w:bCs/>
          <w:color w:val="auto"/>
          <w:highlight w:val="none"/>
        </w:rPr>
        <w:t>）被住房城乡建设主管部门取消参加本地区依法必须招标项目投标资格</w:t>
      </w:r>
      <w:r>
        <w:rPr>
          <w:rFonts w:hint="eastAsia"/>
          <w:bCs/>
          <w:color w:val="auto"/>
          <w:highlight w:val="none"/>
        </w:rPr>
        <w:t>的</w:t>
      </w:r>
      <w:r>
        <w:rPr>
          <w:bCs/>
          <w:color w:val="auto"/>
          <w:highlight w:val="none"/>
        </w:rPr>
        <w:t>；</w:t>
      </w:r>
    </w:p>
    <w:p>
      <w:pPr>
        <w:spacing w:line="360" w:lineRule="auto"/>
        <w:ind w:firstLine="420" w:firstLineChars="200"/>
        <w:rPr>
          <w:bCs/>
          <w:color w:val="auto"/>
          <w:highlight w:val="none"/>
        </w:rPr>
      </w:pPr>
      <w:r>
        <w:rPr>
          <w:rFonts w:hint="eastAsia"/>
          <w:bCs/>
          <w:color w:val="auto"/>
          <w:highlight w:val="none"/>
        </w:rPr>
        <w:t>（12）与招标人存在利害关系可能影响招标公正性的法人、其他组织或者个人；</w:t>
      </w:r>
    </w:p>
    <w:p>
      <w:pPr>
        <w:spacing w:line="360" w:lineRule="auto"/>
        <w:ind w:firstLine="420" w:firstLineChars="200"/>
        <w:rPr>
          <w:bCs/>
          <w:color w:val="auto"/>
          <w:highlight w:val="none"/>
        </w:rPr>
      </w:pPr>
      <w:r>
        <w:rPr>
          <w:rFonts w:hint="eastAsia"/>
          <w:bCs/>
          <w:color w:val="auto"/>
          <w:highlight w:val="none"/>
        </w:rPr>
        <w:t>（13）单位负责人为同一人或者存在控股、管理关系的不同单位参加同一标段或者未划分标段的同一招标项目投标的</w:t>
      </w:r>
    </w:p>
    <w:p>
      <w:pPr>
        <w:spacing w:line="360" w:lineRule="auto"/>
        <w:ind w:firstLine="420" w:firstLineChars="200"/>
        <w:rPr>
          <w:bCs/>
          <w:color w:val="auto"/>
          <w:highlight w:val="none"/>
        </w:rPr>
      </w:pPr>
      <w:r>
        <w:rPr>
          <w:bCs/>
          <w:color w:val="auto"/>
          <w:szCs w:val="21"/>
          <w:highlight w:val="none"/>
        </w:rPr>
        <w:t>（14）</w:t>
      </w:r>
      <w:r>
        <w:rPr>
          <w:bCs/>
          <w:color w:val="auto"/>
          <w:highlight w:val="none"/>
        </w:rPr>
        <w:t>法律、法规规定的其他情形。</w:t>
      </w:r>
    </w:p>
    <w:p>
      <w:pPr>
        <w:pStyle w:val="8"/>
        <w:rPr>
          <w:rFonts w:hint="eastAsia" w:ascii="Times New Roman" w:hAnsi="Times New Roman" w:eastAsia="黑体"/>
          <w:b w:val="0"/>
          <w:bCs w:val="0"/>
          <w:color w:val="auto"/>
          <w:sz w:val="24"/>
          <w:highlight w:val="none"/>
        </w:rPr>
      </w:pPr>
      <w:bookmarkStart w:id="68" w:name="_Toc300678005"/>
      <w:r>
        <w:rPr>
          <w:rFonts w:ascii="Times New Roman" w:hAnsi="Times New Roman" w:eastAsia="黑体"/>
          <w:b w:val="0"/>
          <w:bCs w:val="0"/>
          <w:color w:val="auto"/>
          <w:sz w:val="24"/>
          <w:highlight w:val="none"/>
        </w:rPr>
        <w:t>1.5 费用承担</w:t>
      </w:r>
      <w:bookmarkEnd w:id="68"/>
      <w:r>
        <w:rPr>
          <w:rFonts w:hint="eastAsia" w:ascii="Times New Roman" w:hAnsi="Times New Roman" w:eastAsia="黑体"/>
          <w:b w:val="0"/>
          <w:bCs w:val="0"/>
          <w:color w:val="auto"/>
          <w:sz w:val="24"/>
          <w:highlight w:val="none"/>
        </w:rPr>
        <w:t>和设计成果补偿</w:t>
      </w:r>
    </w:p>
    <w:p>
      <w:pPr>
        <w:pStyle w:val="124"/>
        <w:spacing w:line="360" w:lineRule="auto"/>
        <w:ind w:firstLine="420" w:firstLineChars="200"/>
        <w:rPr>
          <w:rFonts w:hint="eastAsia"/>
          <w:color w:val="auto"/>
          <w:highlight w:val="none"/>
        </w:rPr>
      </w:pPr>
      <w:r>
        <w:rPr>
          <w:rFonts w:hint="eastAsia"/>
          <w:color w:val="auto"/>
          <w:highlight w:val="none"/>
        </w:rPr>
        <w:t>1.5.1</w:t>
      </w:r>
      <w:r>
        <w:rPr>
          <w:color w:val="auto"/>
          <w:highlight w:val="none"/>
        </w:rPr>
        <w:t>投标人准备和参加投标活动发生的费用自理。</w:t>
      </w:r>
    </w:p>
    <w:p>
      <w:pPr>
        <w:spacing w:line="400" w:lineRule="exact"/>
        <w:ind w:firstLine="420" w:firstLineChars="200"/>
        <w:rPr>
          <w:color w:val="auto"/>
          <w:highlight w:val="none"/>
        </w:rPr>
      </w:pPr>
      <w:r>
        <w:rPr>
          <w:rFonts w:hint="eastAsia"/>
          <w:color w:val="auto"/>
          <w:highlight w:val="none"/>
        </w:rPr>
        <w:t>1.5.2 招标人对符合招标文件规定的未中标人的设计成果进行补偿的，按投标人须知前附表规定给予补偿，并有权免费使用未中标人设计成果。</w:t>
      </w:r>
    </w:p>
    <w:p>
      <w:pPr>
        <w:pStyle w:val="8"/>
        <w:rPr>
          <w:rFonts w:ascii="Times New Roman" w:hAnsi="Times New Roman" w:eastAsia="黑体"/>
          <w:b w:val="0"/>
          <w:bCs w:val="0"/>
          <w:color w:val="auto"/>
          <w:sz w:val="24"/>
          <w:highlight w:val="none"/>
        </w:rPr>
      </w:pPr>
      <w:bookmarkStart w:id="69" w:name="_Toc300678006"/>
      <w:r>
        <w:rPr>
          <w:rFonts w:ascii="Times New Roman" w:hAnsi="Times New Roman" w:eastAsia="黑体"/>
          <w:b w:val="0"/>
          <w:bCs w:val="0"/>
          <w:color w:val="auto"/>
          <w:sz w:val="24"/>
          <w:highlight w:val="none"/>
        </w:rPr>
        <w:t>1.6 保密</w:t>
      </w:r>
      <w:bookmarkEnd w:id="69"/>
    </w:p>
    <w:p>
      <w:pPr>
        <w:pStyle w:val="124"/>
        <w:spacing w:line="360" w:lineRule="auto"/>
        <w:ind w:firstLine="420" w:firstLineChars="200"/>
        <w:rPr>
          <w:color w:val="auto"/>
          <w:highlight w:val="none"/>
        </w:rPr>
      </w:pPr>
      <w:r>
        <w:rPr>
          <w:color w:val="auto"/>
          <w:highlight w:val="none"/>
        </w:rPr>
        <w:t>参与招标投标活动的各方应对招标文件和投标文件中的商业和技术等秘密保密，违者应对由此造成的后果承担法律责任。</w:t>
      </w:r>
    </w:p>
    <w:p>
      <w:pPr>
        <w:pStyle w:val="8"/>
        <w:rPr>
          <w:rFonts w:ascii="Times New Roman" w:hAnsi="Times New Roman" w:eastAsia="黑体"/>
          <w:b w:val="0"/>
          <w:bCs w:val="0"/>
          <w:color w:val="auto"/>
          <w:sz w:val="24"/>
          <w:highlight w:val="none"/>
        </w:rPr>
      </w:pPr>
      <w:bookmarkStart w:id="70" w:name="_Toc300678007"/>
      <w:r>
        <w:rPr>
          <w:rFonts w:ascii="Times New Roman" w:hAnsi="Times New Roman" w:eastAsia="黑体"/>
          <w:b w:val="0"/>
          <w:bCs w:val="0"/>
          <w:color w:val="auto"/>
          <w:sz w:val="24"/>
          <w:highlight w:val="none"/>
        </w:rPr>
        <w:t>1.7 语言文字</w:t>
      </w:r>
      <w:bookmarkEnd w:id="70"/>
    </w:p>
    <w:p>
      <w:pPr>
        <w:pStyle w:val="124"/>
        <w:spacing w:line="360" w:lineRule="auto"/>
        <w:ind w:firstLine="420" w:firstLineChars="200"/>
        <w:rPr>
          <w:color w:val="auto"/>
          <w:highlight w:val="none"/>
        </w:rPr>
      </w:pPr>
      <w:r>
        <w:rPr>
          <w:color w:val="auto"/>
          <w:highlight w:val="none"/>
        </w:rPr>
        <w:t>除专用术语外，与招标投标有关的语言均使用中文。必要时专用术语应附有中文注释。</w:t>
      </w:r>
    </w:p>
    <w:p>
      <w:pPr>
        <w:pStyle w:val="8"/>
        <w:rPr>
          <w:rFonts w:ascii="Times New Roman" w:hAnsi="Times New Roman" w:eastAsia="黑体"/>
          <w:b w:val="0"/>
          <w:bCs w:val="0"/>
          <w:color w:val="auto"/>
          <w:sz w:val="24"/>
          <w:highlight w:val="none"/>
        </w:rPr>
      </w:pPr>
      <w:bookmarkStart w:id="71" w:name="_Toc300678008"/>
      <w:r>
        <w:rPr>
          <w:rFonts w:ascii="Times New Roman" w:hAnsi="Times New Roman" w:eastAsia="黑体"/>
          <w:b w:val="0"/>
          <w:bCs w:val="0"/>
          <w:color w:val="auto"/>
          <w:sz w:val="24"/>
          <w:highlight w:val="none"/>
        </w:rPr>
        <w:t>1.8 计量单位</w:t>
      </w:r>
      <w:bookmarkEnd w:id="71"/>
    </w:p>
    <w:p>
      <w:pPr>
        <w:pStyle w:val="124"/>
        <w:spacing w:line="360" w:lineRule="auto"/>
        <w:ind w:firstLine="420" w:firstLineChars="200"/>
        <w:rPr>
          <w:color w:val="auto"/>
          <w:highlight w:val="none"/>
        </w:rPr>
      </w:pPr>
      <w:r>
        <w:rPr>
          <w:color w:val="auto"/>
          <w:highlight w:val="none"/>
        </w:rPr>
        <w:t>所有计量均采用中华人民共和国法定计量单位。</w:t>
      </w:r>
    </w:p>
    <w:p>
      <w:pPr>
        <w:pStyle w:val="8"/>
        <w:rPr>
          <w:rFonts w:ascii="Times New Roman" w:hAnsi="Times New Roman" w:eastAsia="黑体"/>
          <w:b w:val="0"/>
          <w:bCs w:val="0"/>
          <w:color w:val="auto"/>
          <w:sz w:val="24"/>
          <w:highlight w:val="none"/>
        </w:rPr>
      </w:pPr>
      <w:bookmarkStart w:id="72" w:name="_Toc300678009"/>
      <w:r>
        <w:rPr>
          <w:rFonts w:ascii="Times New Roman" w:hAnsi="Times New Roman" w:eastAsia="黑体"/>
          <w:b w:val="0"/>
          <w:bCs w:val="0"/>
          <w:color w:val="auto"/>
          <w:sz w:val="24"/>
          <w:highlight w:val="none"/>
        </w:rPr>
        <w:t>1.9 踏勘现场</w:t>
      </w:r>
      <w:bookmarkEnd w:id="72"/>
    </w:p>
    <w:p>
      <w:pPr>
        <w:pStyle w:val="124"/>
        <w:spacing w:line="360" w:lineRule="auto"/>
        <w:ind w:firstLine="420" w:firstLineChars="200"/>
        <w:rPr>
          <w:color w:val="auto"/>
          <w:highlight w:val="none"/>
        </w:rPr>
      </w:pPr>
      <w:r>
        <w:rPr>
          <w:color w:val="auto"/>
          <w:highlight w:val="none"/>
        </w:rPr>
        <w:t>1.9.1  按投标人须知前附表的规定执行。</w:t>
      </w:r>
    </w:p>
    <w:p>
      <w:pPr>
        <w:pStyle w:val="124"/>
        <w:spacing w:line="360" w:lineRule="auto"/>
        <w:ind w:firstLine="420" w:firstLineChars="200"/>
        <w:rPr>
          <w:color w:val="auto"/>
          <w:highlight w:val="none"/>
        </w:rPr>
      </w:pPr>
      <w:r>
        <w:rPr>
          <w:color w:val="auto"/>
          <w:highlight w:val="none"/>
        </w:rPr>
        <w:t>1.9.2  投标人踏勘现场发生的费用自理。</w:t>
      </w:r>
    </w:p>
    <w:p>
      <w:pPr>
        <w:pStyle w:val="124"/>
        <w:spacing w:line="360" w:lineRule="auto"/>
        <w:ind w:firstLine="420" w:firstLineChars="200"/>
        <w:rPr>
          <w:color w:val="auto"/>
          <w:highlight w:val="none"/>
        </w:rPr>
      </w:pPr>
      <w:r>
        <w:rPr>
          <w:color w:val="auto"/>
          <w:highlight w:val="none"/>
        </w:rPr>
        <w:t>1.9.3  除招标人的原因外，投标人自行负责在踏勘现场中所发生的人员伤亡和财产损失。</w:t>
      </w:r>
    </w:p>
    <w:p>
      <w:pPr>
        <w:pStyle w:val="124"/>
        <w:spacing w:line="360" w:lineRule="auto"/>
        <w:ind w:firstLine="420" w:firstLineChars="200"/>
        <w:rPr>
          <w:color w:val="auto"/>
          <w:highlight w:val="none"/>
        </w:rPr>
      </w:pPr>
      <w:r>
        <w:rPr>
          <w:color w:val="auto"/>
          <w:highlight w:val="none"/>
        </w:rPr>
        <w:t>1.9.4  招标人在踏勘现场有关工程场地和相关环境等情况的介绍，供投标人参考。投标人对自身的判断和决策负责。</w:t>
      </w:r>
    </w:p>
    <w:p>
      <w:pPr>
        <w:pStyle w:val="8"/>
        <w:rPr>
          <w:rFonts w:ascii="Times New Roman" w:hAnsi="Times New Roman" w:eastAsia="黑体"/>
          <w:b w:val="0"/>
          <w:bCs w:val="0"/>
          <w:color w:val="auto"/>
          <w:sz w:val="24"/>
          <w:highlight w:val="none"/>
        </w:rPr>
      </w:pPr>
      <w:bookmarkStart w:id="73" w:name="_Toc300678011"/>
      <w:r>
        <w:rPr>
          <w:rFonts w:ascii="Times New Roman" w:hAnsi="Times New Roman" w:eastAsia="黑体"/>
          <w:b w:val="0"/>
          <w:bCs w:val="0"/>
          <w:color w:val="auto"/>
          <w:sz w:val="24"/>
          <w:highlight w:val="none"/>
        </w:rPr>
        <w:t>1.10 分包</w:t>
      </w:r>
      <w:bookmarkEnd w:id="73"/>
    </w:p>
    <w:p>
      <w:pPr>
        <w:pStyle w:val="124"/>
        <w:spacing w:line="360" w:lineRule="auto"/>
        <w:ind w:firstLine="420" w:firstLineChars="200"/>
        <w:rPr>
          <w:rFonts w:hint="eastAsia"/>
          <w:color w:val="auto"/>
          <w:highlight w:val="none"/>
        </w:rPr>
      </w:pPr>
      <w:r>
        <w:rPr>
          <w:rFonts w:hint="eastAsia"/>
          <w:color w:val="auto"/>
          <w:highlight w:val="none"/>
        </w:rPr>
        <w:t>1.1</w:t>
      </w:r>
      <w:r>
        <w:rPr>
          <w:color w:val="auto"/>
          <w:highlight w:val="none"/>
        </w:rPr>
        <w:t>0</w:t>
      </w:r>
      <w:r>
        <w:rPr>
          <w:rFonts w:hint="eastAsia"/>
          <w:color w:val="auto"/>
          <w:highlight w:val="none"/>
        </w:rPr>
        <w:t>.1 投标人须知前附表规定应当由分包人实施的非主体、非关键性工作，投标人应当按照第五章“发包人要求”的规定提供分包人侯选名单及其相应资料。</w:t>
      </w:r>
    </w:p>
    <w:p>
      <w:pPr>
        <w:pStyle w:val="124"/>
        <w:spacing w:line="360" w:lineRule="auto"/>
        <w:ind w:firstLine="420" w:firstLineChars="200"/>
        <w:rPr>
          <w:color w:val="auto"/>
          <w:highlight w:val="none"/>
        </w:rPr>
      </w:pPr>
      <w:r>
        <w:rPr>
          <w:rFonts w:hint="eastAsia"/>
          <w:color w:val="auto"/>
          <w:highlight w:val="none"/>
        </w:rPr>
        <w:t>1.1</w:t>
      </w:r>
      <w:r>
        <w:rPr>
          <w:color w:val="auto"/>
          <w:highlight w:val="none"/>
        </w:rPr>
        <w:t>0</w:t>
      </w:r>
      <w:r>
        <w:rPr>
          <w:rFonts w:hint="eastAsia"/>
          <w:color w:val="auto"/>
          <w:highlight w:val="none"/>
        </w:rPr>
        <w:t>.2 投标人拟在中标后将中标项目的部分非主体、非关键性工作进行分包的，应符合投标人须知前附表规定的分包内容、分包金额和资质要求等限制性条件。</w:t>
      </w:r>
    </w:p>
    <w:p>
      <w:pPr>
        <w:pStyle w:val="8"/>
        <w:rPr>
          <w:rFonts w:ascii="Times New Roman" w:hAnsi="Times New Roman" w:eastAsia="黑体"/>
          <w:b w:val="0"/>
          <w:bCs w:val="0"/>
          <w:color w:val="auto"/>
          <w:sz w:val="24"/>
          <w:highlight w:val="none"/>
        </w:rPr>
      </w:pPr>
      <w:bookmarkStart w:id="74" w:name="_Toc300678012"/>
      <w:r>
        <w:rPr>
          <w:rFonts w:ascii="Times New Roman" w:hAnsi="Times New Roman" w:eastAsia="黑体"/>
          <w:b w:val="0"/>
          <w:bCs w:val="0"/>
          <w:color w:val="auto"/>
          <w:sz w:val="24"/>
          <w:highlight w:val="none"/>
        </w:rPr>
        <w:t>1.11 偏离</w:t>
      </w:r>
      <w:bookmarkEnd w:id="74"/>
    </w:p>
    <w:p>
      <w:pPr>
        <w:pStyle w:val="124"/>
        <w:spacing w:line="360" w:lineRule="auto"/>
        <w:ind w:firstLine="420" w:firstLineChars="200"/>
        <w:rPr>
          <w:color w:val="auto"/>
          <w:highlight w:val="none"/>
        </w:rPr>
      </w:pPr>
      <w:r>
        <w:rPr>
          <w:color w:val="auto"/>
          <w:highlight w:val="none"/>
        </w:rPr>
        <w:t>投标人须知前附表允许投标文件偏离招标文件某些要求的，偏离应当符合招标文件规定的偏离范围和幅度。</w:t>
      </w:r>
    </w:p>
    <w:p>
      <w:pPr>
        <w:pStyle w:val="7"/>
        <w:keepNext/>
        <w:keepLines/>
        <w:widowControl w:val="0"/>
        <w:jc w:val="left"/>
        <w:rPr>
          <w:rFonts w:eastAsia="黑体"/>
          <w:b w:val="0"/>
          <w:bCs w:val="0"/>
          <w:color w:val="auto"/>
          <w:sz w:val="28"/>
          <w:szCs w:val="28"/>
          <w:highlight w:val="none"/>
        </w:rPr>
      </w:pPr>
      <w:bookmarkStart w:id="75" w:name="_Toc300678013"/>
      <w:bookmarkStart w:id="76" w:name="_Toc69199909"/>
      <w:bookmarkStart w:id="77" w:name="_Toc9178519"/>
      <w:r>
        <w:rPr>
          <w:rFonts w:eastAsia="黑体"/>
          <w:b w:val="0"/>
          <w:bCs w:val="0"/>
          <w:color w:val="auto"/>
          <w:sz w:val="28"/>
          <w:szCs w:val="28"/>
          <w:highlight w:val="none"/>
        </w:rPr>
        <w:t>2.招标文件</w:t>
      </w:r>
      <w:bookmarkEnd w:id="75"/>
      <w:bookmarkEnd w:id="76"/>
      <w:bookmarkEnd w:id="77"/>
    </w:p>
    <w:p>
      <w:pPr>
        <w:pStyle w:val="8"/>
        <w:rPr>
          <w:rFonts w:ascii="Times New Roman" w:hAnsi="Times New Roman" w:eastAsia="黑体"/>
          <w:b w:val="0"/>
          <w:bCs w:val="0"/>
          <w:color w:val="auto"/>
          <w:sz w:val="24"/>
          <w:highlight w:val="none"/>
        </w:rPr>
      </w:pPr>
      <w:bookmarkStart w:id="78" w:name="_Toc300678014"/>
      <w:r>
        <w:rPr>
          <w:rFonts w:ascii="Times New Roman" w:hAnsi="Times New Roman" w:eastAsia="黑体"/>
          <w:b w:val="0"/>
          <w:bCs w:val="0"/>
          <w:color w:val="auto"/>
          <w:sz w:val="24"/>
          <w:highlight w:val="none"/>
        </w:rPr>
        <w:t>2.1 招标文件的组成</w:t>
      </w:r>
      <w:bookmarkEnd w:id="78"/>
    </w:p>
    <w:p>
      <w:pPr>
        <w:pStyle w:val="124"/>
        <w:spacing w:line="360" w:lineRule="auto"/>
        <w:ind w:firstLine="420" w:firstLineChars="200"/>
        <w:rPr>
          <w:color w:val="auto"/>
          <w:highlight w:val="none"/>
        </w:rPr>
      </w:pPr>
      <w:r>
        <w:rPr>
          <w:color w:val="auto"/>
          <w:highlight w:val="none"/>
        </w:rPr>
        <w:t>本招标文件包括：</w:t>
      </w:r>
    </w:p>
    <w:p>
      <w:pPr>
        <w:pStyle w:val="124"/>
        <w:spacing w:line="360" w:lineRule="auto"/>
        <w:ind w:firstLine="420" w:firstLineChars="200"/>
        <w:rPr>
          <w:color w:val="auto"/>
          <w:highlight w:val="none"/>
        </w:rPr>
      </w:pPr>
      <w:r>
        <w:rPr>
          <w:color w:val="auto"/>
          <w:highlight w:val="none"/>
        </w:rPr>
        <w:t xml:space="preserve">（1）招标公告（或投标邀请书）； </w:t>
      </w:r>
    </w:p>
    <w:p>
      <w:pPr>
        <w:pStyle w:val="124"/>
        <w:spacing w:line="360" w:lineRule="auto"/>
        <w:ind w:firstLine="420" w:firstLineChars="200"/>
        <w:rPr>
          <w:color w:val="auto"/>
          <w:highlight w:val="none"/>
        </w:rPr>
      </w:pPr>
      <w:r>
        <w:rPr>
          <w:color w:val="auto"/>
          <w:highlight w:val="none"/>
        </w:rPr>
        <w:t>（2）投标人须知；</w:t>
      </w:r>
    </w:p>
    <w:p>
      <w:pPr>
        <w:pStyle w:val="124"/>
        <w:spacing w:line="360" w:lineRule="auto"/>
        <w:ind w:firstLine="420" w:firstLineChars="200"/>
        <w:rPr>
          <w:color w:val="auto"/>
          <w:highlight w:val="none"/>
        </w:rPr>
      </w:pPr>
      <w:r>
        <w:rPr>
          <w:color w:val="auto"/>
          <w:highlight w:val="none"/>
        </w:rPr>
        <w:t>（3）评标办法；</w:t>
      </w:r>
    </w:p>
    <w:p>
      <w:pPr>
        <w:pStyle w:val="124"/>
        <w:spacing w:line="360" w:lineRule="auto"/>
        <w:ind w:firstLine="420" w:firstLineChars="200"/>
        <w:rPr>
          <w:color w:val="auto"/>
          <w:highlight w:val="none"/>
        </w:rPr>
      </w:pPr>
      <w:r>
        <w:rPr>
          <w:color w:val="auto"/>
          <w:highlight w:val="none"/>
        </w:rPr>
        <w:t>（4）合同条款及格式；</w:t>
      </w:r>
    </w:p>
    <w:p>
      <w:pPr>
        <w:pStyle w:val="124"/>
        <w:spacing w:line="360" w:lineRule="auto"/>
        <w:ind w:firstLine="420" w:firstLineChars="200"/>
        <w:rPr>
          <w:color w:val="auto"/>
          <w:highlight w:val="none"/>
        </w:rPr>
      </w:pPr>
      <w:r>
        <w:rPr>
          <w:color w:val="auto"/>
          <w:highlight w:val="none"/>
        </w:rPr>
        <w:t>（5）</w:t>
      </w:r>
      <w:r>
        <w:rPr>
          <w:rFonts w:hint="eastAsia"/>
          <w:color w:val="auto"/>
          <w:highlight w:val="none"/>
        </w:rPr>
        <w:t>发包人要求</w:t>
      </w:r>
      <w:r>
        <w:rPr>
          <w:color w:val="auto"/>
          <w:highlight w:val="none"/>
        </w:rPr>
        <w:t>；</w:t>
      </w:r>
    </w:p>
    <w:p>
      <w:pPr>
        <w:pStyle w:val="124"/>
        <w:spacing w:line="360" w:lineRule="auto"/>
        <w:ind w:firstLine="420" w:firstLineChars="200"/>
        <w:rPr>
          <w:color w:val="auto"/>
          <w:highlight w:val="none"/>
        </w:rPr>
      </w:pPr>
      <w:r>
        <w:rPr>
          <w:color w:val="auto"/>
          <w:highlight w:val="none"/>
        </w:rPr>
        <w:t>（6）</w:t>
      </w:r>
      <w:r>
        <w:rPr>
          <w:rFonts w:hint="eastAsia"/>
          <w:color w:val="auto"/>
          <w:highlight w:val="none"/>
        </w:rPr>
        <w:t>发包人提供的资料和条件</w:t>
      </w:r>
      <w:r>
        <w:rPr>
          <w:color w:val="auto"/>
          <w:highlight w:val="none"/>
        </w:rPr>
        <w:t>；</w:t>
      </w:r>
    </w:p>
    <w:p>
      <w:pPr>
        <w:pStyle w:val="124"/>
        <w:spacing w:line="360" w:lineRule="auto"/>
        <w:ind w:firstLine="420" w:firstLineChars="200"/>
        <w:rPr>
          <w:color w:val="auto"/>
          <w:highlight w:val="none"/>
        </w:rPr>
      </w:pPr>
      <w:r>
        <w:rPr>
          <w:color w:val="auto"/>
          <w:highlight w:val="none"/>
        </w:rPr>
        <w:t>（7）投标文件格式；</w:t>
      </w:r>
    </w:p>
    <w:p>
      <w:pPr>
        <w:pStyle w:val="124"/>
        <w:widowControl w:val="0"/>
        <w:spacing w:line="360" w:lineRule="auto"/>
        <w:ind w:firstLine="420" w:firstLineChars="200"/>
        <w:rPr>
          <w:color w:val="auto"/>
          <w:highlight w:val="none"/>
        </w:rPr>
      </w:pPr>
      <w:r>
        <w:rPr>
          <w:color w:val="auto"/>
          <w:highlight w:val="none"/>
        </w:rPr>
        <w:t>（8）投标人须知前附表规定的其他材料。</w:t>
      </w:r>
    </w:p>
    <w:p>
      <w:pPr>
        <w:pStyle w:val="124"/>
        <w:widowControl w:val="0"/>
        <w:spacing w:line="360" w:lineRule="auto"/>
        <w:ind w:firstLine="420" w:firstLineChars="200"/>
        <w:rPr>
          <w:color w:val="auto"/>
          <w:highlight w:val="none"/>
        </w:rPr>
      </w:pPr>
      <w:r>
        <w:rPr>
          <w:color w:val="auto"/>
          <w:highlight w:val="none"/>
        </w:rPr>
        <w:t>根据本</w:t>
      </w:r>
      <w:r>
        <w:rPr>
          <w:rFonts w:hint="eastAsia"/>
          <w:color w:val="auto"/>
          <w:highlight w:val="none"/>
        </w:rPr>
        <w:t>须知</w:t>
      </w:r>
      <w:r>
        <w:rPr>
          <w:color w:val="auto"/>
          <w:highlight w:val="none"/>
        </w:rPr>
        <w:t xml:space="preserve">第2.2 </w:t>
      </w:r>
      <w:r>
        <w:rPr>
          <w:rFonts w:hint="eastAsia"/>
          <w:color w:val="auto"/>
          <w:highlight w:val="none"/>
        </w:rPr>
        <w:t>项</w:t>
      </w:r>
      <w:r>
        <w:rPr>
          <w:color w:val="auto"/>
          <w:highlight w:val="none"/>
        </w:rPr>
        <w:t>对招标文件所作的澄清和修改，构成招标文件的组成部分。</w:t>
      </w:r>
    </w:p>
    <w:p>
      <w:pPr>
        <w:pStyle w:val="8"/>
        <w:rPr>
          <w:rFonts w:ascii="Times New Roman" w:hAnsi="Times New Roman" w:eastAsia="黑体"/>
          <w:b w:val="0"/>
          <w:bCs w:val="0"/>
          <w:color w:val="auto"/>
          <w:sz w:val="24"/>
          <w:highlight w:val="none"/>
        </w:rPr>
      </w:pPr>
      <w:bookmarkStart w:id="79" w:name="_Toc300678015"/>
      <w:r>
        <w:rPr>
          <w:rFonts w:ascii="Times New Roman" w:hAnsi="Times New Roman" w:eastAsia="黑体"/>
          <w:b w:val="0"/>
          <w:bCs w:val="0"/>
          <w:color w:val="auto"/>
          <w:sz w:val="24"/>
          <w:highlight w:val="none"/>
        </w:rPr>
        <w:t>2.2 招标文件的澄清</w:t>
      </w:r>
      <w:bookmarkEnd w:id="79"/>
      <w:r>
        <w:rPr>
          <w:rFonts w:ascii="Times New Roman" w:hAnsi="Times New Roman" w:eastAsia="黑体"/>
          <w:b w:val="0"/>
          <w:bCs w:val="0"/>
          <w:color w:val="auto"/>
          <w:sz w:val="24"/>
          <w:highlight w:val="none"/>
        </w:rPr>
        <w:t>和修改</w:t>
      </w:r>
    </w:p>
    <w:p>
      <w:pPr>
        <w:pStyle w:val="124"/>
        <w:widowControl w:val="0"/>
        <w:spacing w:line="360" w:lineRule="auto"/>
        <w:ind w:firstLine="420" w:firstLineChars="200"/>
        <w:rPr>
          <w:rFonts w:hint="eastAsia"/>
          <w:color w:val="auto"/>
          <w:highlight w:val="none"/>
        </w:rPr>
      </w:pPr>
      <w:r>
        <w:rPr>
          <w:color w:val="auto"/>
          <w:highlight w:val="none"/>
        </w:rPr>
        <w:t>2.2.1  投标人应仔细阅读和检查招标文件的全部内容。如有疑问，应当在投标人须知前附表规定的时间之前，按照规定的方式，要求招标人澄清。</w:t>
      </w:r>
    </w:p>
    <w:p>
      <w:pPr>
        <w:pStyle w:val="124"/>
        <w:widowControl w:val="0"/>
        <w:spacing w:line="360" w:lineRule="auto"/>
        <w:ind w:firstLine="420" w:firstLineChars="200"/>
        <w:rPr>
          <w:color w:val="auto"/>
          <w:highlight w:val="none"/>
        </w:rPr>
      </w:pPr>
      <w:r>
        <w:rPr>
          <w:color w:val="auto"/>
          <w:highlight w:val="none"/>
        </w:rPr>
        <w:t>2.2.2  招标文件的澄清或者修改的内容可能影响投标文件编制的，由招标人在投标人须知前附表规定的投标截止时间至少15日前，在投标人须知前附表规定的媒介发布；</w:t>
      </w:r>
      <w:r>
        <w:rPr>
          <w:color w:val="auto"/>
          <w:szCs w:val="20"/>
          <w:highlight w:val="none"/>
        </w:rPr>
        <w:t>不足15日</w:t>
      </w:r>
      <w:r>
        <w:rPr>
          <w:color w:val="auto"/>
          <w:highlight w:val="none"/>
        </w:rPr>
        <w:t>，相应</w:t>
      </w:r>
      <w:r>
        <w:rPr>
          <w:color w:val="auto"/>
          <w:szCs w:val="20"/>
          <w:highlight w:val="none"/>
        </w:rPr>
        <w:t>顺延</w:t>
      </w:r>
      <w:r>
        <w:rPr>
          <w:color w:val="auto"/>
          <w:highlight w:val="none"/>
        </w:rPr>
        <w:t>投标截止时间。</w:t>
      </w:r>
    </w:p>
    <w:p>
      <w:pPr>
        <w:pStyle w:val="124"/>
        <w:widowControl w:val="0"/>
        <w:spacing w:line="360" w:lineRule="auto"/>
        <w:ind w:firstLine="420" w:firstLineChars="200"/>
        <w:rPr>
          <w:color w:val="auto"/>
          <w:highlight w:val="none"/>
        </w:rPr>
      </w:pPr>
      <w:r>
        <w:rPr>
          <w:color w:val="auto"/>
          <w:highlight w:val="none"/>
        </w:rPr>
        <w:t>2.2.3招标文件澄清或者修改的内容由投标人在投标人须知前附表规定的媒介上自行查阅。</w:t>
      </w:r>
    </w:p>
    <w:p>
      <w:pPr>
        <w:pStyle w:val="7"/>
        <w:keepLines/>
        <w:widowControl w:val="0"/>
        <w:jc w:val="left"/>
        <w:rPr>
          <w:rFonts w:eastAsia="黑体"/>
          <w:b w:val="0"/>
          <w:bCs w:val="0"/>
          <w:color w:val="auto"/>
          <w:sz w:val="28"/>
          <w:szCs w:val="28"/>
          <w:highlight w:val="none"/>
        </w:rPr>
      </w:pPr>
      <w:bookmarkStart w:id="80" w:name="_Toc9178520"/>
      <w:bookmarkStart w:id="81" w:name="_Toc300678017"/>
      <w:bookmarkStart w:id="82" w:name="_Toc69199910"/>
      <w:r>
        <w:rPr>
          <w:rFonts w:eastAsia="黑体"/>
          <w:b w:val="0"/>
          <w:bCs w:val="0"/>
          <w:color w:val="auto"/>
          <w:sz w:val="28"/>
          <w:szCs w:val="28"/>
          <w:highlight w:val="none"/>
        </w:rPr>
        <w:t>3.投标文件</w:t>
      </w:r>
      <w:bookmarkEnd w:id="80"/>
      <w:bookmarkEnd w:id="81"/>
      <w:bookmarkEnd w:id="82"/>
    </w:p>
    <w:p>
      <w:pPr>
        <w:pStyle w:val="8"/>
        <w:rPr>
          <w:rFonts w:ascii="Times New Roman" w:hAnsi="Times New Roman" w:eastAsia="黑体"/>
          <w:b w:val="0"/>
          <w:bCs w:val="0"/>
          <w:color w:val="auto"/>
          <w:sz w:val="24"/>
          <w:highlight w:val="none"/>
        </w:rPr>
      </w:pPr>
      <w:bookmarkStart w:id="83" w:name="_Toc300678018"/>
      <w:r>
        <w:rPr>
          <w:rFonts w:ascii="Times New Roman" w:hAnsi="Times New Roman" w:eastAsia="黑体"/>
          <w:b w:val="0"/>
          <w:bCs w:val="0"/>
          <w:color w:val="auto"/>
          <w:sz w:val="24"/>
          <w:highlight w:val="none"/>
        </w:rPr>
        <w:t>3.1 投标文件的组成</w:t>
      </w:r>
      <w:bookmarkEnd w:id="83"/>
    </w:p>
    <w:p>
      <w:pPr>
        <w:pStyle w:val="124"/>
        <w:widowControl w:val="0"/>
        <w:spacing w:line="360" w:lineRule="auto"/>
        <w:ind w:firstLine="420" w:firstLineChars="200"/>
        <w:rPr>
          <w:color w:val="auto"/>
          <w:kern w:val="0"/>
          <w:highlight w:val="none"/>
        </w:rPr>
      </w:pPr>
      <w:r>
        <w:rPr>
          <w:color w:val="auto"/>
          <w:highlight w:val="none"/>
        </w:rPr>
        <w:t>3.1.1  投标文件由投标函、投标报价、</w:t>
      </w:r>
      <w:r>
        <w:rPr>
          <w:rFonts w:hint="eastAsia"/>
          <w:color w:val="auto"/>
          <w:highlight w:val="none"/>
        </w:rPr>
        <w:t>技术方案</w:t>
      </w:r>
      <w:r>
        <w:rPr>
          <w:color w:val="auto"/>
          <w:highlight w:val="none"/>
        </w:rPr>
        <w:t>三部分内容</w:t>
      </w:r>
      <w:r>
        <w:rPr>
          <w:rFonts w:hint="eastAsia"/>
          <w:color w:val="auto"/>
          <w:highlight w:val="none"/>
        </w:rPr>
        <w:t>以及投标人须知前附表规定的其他资料</w:t>
      </w:r>
      <w:r>
        <w:rPr>
          <w:color w:val="auto"/>
          <w:highlight w:val="none"/>
        </w:rPr>
        <w:t>组成，具体内容详见第</w:t>
      </w:r>
      <w:r>
        <w:rPr>
          <w:rFonts w:hint="eastAsia"/>
          <w:color w:val="auto"/>
          <w:highlight w:val="none"/>
        </w:rPr>
        <w:t>七</w:t>
      </w:r>
      <w:r>
        <w:rPr>
          <w:color w:val="auto"/>
          <w:highlight w:val="none"/>
        </w:rPr>
        <w:t>章投标文件格式。</w:t>
      </w:r>
    </w:p>
    <w:p>
      <w:pPr>
        <w:pStyle w:val="124"/>
        <w:widowControl w:val="0"/>
        <w:spacing w:line="360" w:lineRule="auto"/>
        <w:ind w:firstLine="420" w:firstLineChars="200"/>
        <w:rPr>
          <w:color w:val="auto"/>
          <w:highlight w:val="none"/>
        </w:rPr>
      </w:pPr>
      <w:r>
        <w:rPr>
          <w:color w:val="auto"/>
          <w:highlight w:val="none"/>
        </w:rPr>
        <w:t>3.1.2  投标人须知前附表规定不接受联合体投标的，或投标人没有组成联合体的，投标文件不包括联合体协议书。</w:t>
      </w:r>
    </w:p>
    <w:p>
      <w:pPr>
        <w:pStyle w:val="8"/>
        <w:rPr>
          <w:rFonts w:ascii="Times New Roman" w:hAnsi="Times New Roman" w:eastAsia="黑体"/>
          <w:b w:val="0"/>
          <w:bCs w:val="0"/>
          <w:color w:val="auto"/>
          <w:sz w:val="24"/>
          <w:highlight w:val="none"/>
        </w:rPr>
      </w:pPr>
      <w:bookmarkStart w:id="84" w:name="_Toc300678019"/>
      <w:r>
        <w:rPr>
          <w:rFonts w:ascii="Times New Roman" w:hAnsi="Times New Roman" w:eastAsia="黑体"/>
          <w:b w:val="0"/>
          <w:bCs w:val="0"/>
          <w:color w:val="auto"/>
          <w:sz w:val="24"/>
          <w:highlight w:val="none"/>
        </w:rPr>
        <w:t>3.2 投标报价</w:t>
      </w:r>
      <w:bookmarkEnd w:id="84"/>
    </w:p>
    <w:p>
      <w:pPr>
        <w:spacing w:line="400" w:lineRule="exact"/>
        <w:ind w:firstLine="420" w:firstLineChars="200"/>
        <w:rPr>
          <w:rFonts w:hint="eastAsia"/>
          <w:color w:val="auto"/>
          <w:highlight w:val="none"/>
        </w:rPr>
      </w:pPr>
      <w:r>
        <w:rPr>
          <w:rFonts w:hint="eastAsia"/>
          <w:color w:val="auto"/>
          <w:highlight w:val="none"/>
        </w:rPr>
        <w:t>3.2.1 投标人应按第七章“投标文件格式”的要求填写投标报价。</w:t>
      </w:r>
    </w:p>
    <w:p>
      <w:pPr>
        <w:spacing w:line="440" w:lineRule="exact"/>
        <w:ind w:firstLine="420" w:firstLineChars="200"/>
        <w:rPr>
          <w:rFonts w:hint="eastAsia"/>
          <w:color w:val="auto"/>
          <w:szCs w:val="21"/>
          <w:highlight w:val="none"/>
        </w:rPr>
      </w:pPr>
      <w:r>
        <w:rPr>
          <w:rFonts w:hint="eastAsia"/>
          <w:color w:val="auto"/>
          <w:highlight w:val="none"/>
        </w:rPr>
        <w:t xml:space="preserve">3.2.2 </w:t>
      </w:r>
      <w:r>
        <w:rPr>
          <w:rFonts w:hint="eastAsia"/>
          <w:color w:val="auto"/>
          <w:szCs w:val="21"/>
          <w:highlight w:val="none"/>
        </w:rPr>
        <w:t>投标人应充分了解施工场地的</w:t>
      </w:r>
      <w:r>
        <w:rPr>
          <w:color w:val="auto"/>
          <w:szCs w:val="21"/>
          <w:highlight w:val="none"/>
        </w:rPr>
        <w:t>位置、周边</w:t>
      </w:r>
      <w:r>
        <w:rPr>
          <w:rFonts w:hint="eastAsia"/>
          <w:color w:val="auto"/>
          <w:szCs w:val="21"/>
          <w:highlight w:val="none"/>
        </w:rPr>
        <w:t>环境</w:t>
      </w:r>
      <w:r>
        <w:rPr>
          <w:color w:val="auto"/>
          <w:szCs w:val="21"/>
          <w:highlight w:val="none"/>
        </w:rPr>
        <w:t>、道路、装卸、保管、安装限制</w:t>
      </w:r>
      <w:r>
        <w:rPr>
          <w:rFonts w:hint="eastAsia"/>
          <w:color w:val="auto"/>
          <w:szCs w:val="21"/>
          <w:highlight w:val="none"/>
        </w:rPr>
        <w:t>以</w:t>
      </w:r>
      <w:r>
        <w:rPr>
          <w:color w:val="auto"/>
          <w:szCs w:val="21"/>
          <w:highlight w:val="none"/>
        </w:rPr>
        <w:t>及影响</w:t>
      </w:r>
      <w:r>
        <w:rPr>
          <w:rFonts w:hint="eastAsia"/>
          <w:color w:val="auto"/>
          <w:szCs w:val="21"/>
          <w:highlight w:val="none"/>
        </w:rPr>
        <w:t>投标报价的其他要素。投标人</w:t>
      </w:r>
      <w:r>
        <w:rPr>
          <w:color w:val="auto"/>
          <w:szCs w:val="21"/>
          <w:highlight w:val="none"/>
        </w:rPr>
        <w:t>根据</w:t>
      </w:r>
      <w:r>
        <w:rPr>
          <w:rFonts w:hint="eastAsia"/>
          <w:color w:val="auto"/>
          <w:szCs w:val="21"/>
          <w:highlight w:val="none"/>
        </w:rPr>
        <w:t>投标</w:t>
      </w:r>
      <w:r>
        <w:rPr>
          <w:color w:val="auto"/>
          <w:szCs w:val="21"/>
          <w:highlight w:val="none"/>
        </w:rPr>
        <w:t>设计</w:t>
      </w:r>
      <w:r>
        <w:rPr>
          <w:rFonts w:hint="eastAsia"/>
          <w:color w:val="auto"/>
          <w:szCs w:val="21"/>
          <w:highlight w:val="none"/>
        </w:rPr>
        <w:t>，结合</w:t>
      </w:r>
      <w:r>
        <w:rPr>
          <w:color w:val="auto"/>
          <w:szCs w:val="21"/>
          <w:highlight w:val="none"/>
        </w:rPr>
        <w:t>市场情况进行投标报价。</w:t>
      </w:r>
    </w:p>
    <w:p>
      <w:pPr>
        <w:spacing w:line="400" w:lineRule="exact"/>
        <w:ind w:firstLine="420" w:firstLineChars="200"/>
        <w:rPr>
          <w:rFonts w:hint="eastAsia"/>
          <w:color w:val="auto"/>
          <w:highlight w:val="none"/>
        </w:rPr>
      </w:pPr>
      <w:r>
        <w:rPr>
          <w:rFonts w:hint="eastAsia"/>
          <w:color w:val="auto"/>
          <w:highlight w:val="none"/>
        </w:rPr>
        <w:t>3.2.3 投标人在投标截止时间前修改投标函中的投标报价总额，应同时修改投标报价文件中的相应报价，投标报价总额为各分项金额之和。此修改须符合本章第4.3款的有关要求。</w:t>
      </w:r>
    </w:p>
    <w:p>
      <w:pPr>
        <w:spacing w:line="400" w:lineRule="exact"/>
        <w:ind w:firstLine="420" w:firstLineChars="200"/>
        <w:rPr>
          <w:color w:val="auto"/>
          <w:highlight w:val="none"/>
        </w:rPr>
      </w:pPr>
      <w:r>
        <w:rPr>
          <w:rFonts w:hint="eastAsia"/>
          <w:color w:val="auto"/>
          <w:highlight w:val="none"/>
        </w:rPr>
        <w:t>3.2.4 招标人设有最高投标限价的，投标人的投标报价不得超过最高投标限价，最高投标限价和其计算方法在投标人须知前附表中载明。</w:t>
      </w:r>
    </w:p>
    <w:p>
      <w:pPr>
        <w:spacing w:line="400" w:lineRule="exact"/>
        <w:ind w:firstLine="420" w:firstLineChars="200"/>
        <w:rPr>
          <w:rFonts w:hint="eastAsia"/>
          <w:color w:val="auto"/>
          <w:highlight w:val="none"/>
        </w:rPr>
      </w:pPr>
      <w:r>
        <w:rPr>
          <w:rFonts w:hint="eastAsia"/>
          <w:color w:val="auto"/>
          <w:highlight w:val="none"/>
        </w:rPr>
        <w:t>3</w:t>
      </w:r>
      <w:r>
        <w:rPr>
          <w:color w:val="auto"/>
          <w:highlight w:val="none"/>
        </w:rPr>
        <w:t xml:space="preserve">.2.5 </w:t>
      </w:r>
      <w:r>
        <w:rPr>
          <w:rFonts w:hint="eastAsia"/>
          <w:color w:val="auto"/>
          <w:highlight w:val="none"/>
        </w:rPr>
        <w:t>投标报价的其他要求见投标人须知前附表。</w:t>
      </w:r>
    </w:p>
    <w:p>
      <w:pPr>
        <w:pStyle w:val="8"/>
        <w:rPr>
          <w:rFonts w:ascii="Times New Roman" w:hAnsi="Times New Roman" w:eastAsia="黑体"/>
          <w:b w:val="0"/>
          <w:bCs w:val="0"/>
          <w:color w:val="auto"/>
          <w:sz w:val="24"/>
          <w:highlight w:val="none"/>
        </w:rPr>
      </w:pPr>
      <w:bookmarkStart w:id="85" w:name="_Toc300678020"/>
      <w:r>
        <w:rPr>
          <w:rFonts w:ascii="Times New Roman" w:hAnsi="Times New Roman" w:eastAsia="黑体"/>
          <w:b w:val="0"/>
          <w:bCs w:val="0"/>
          <w:color w:val="auto"/>
          <w:sz w:val="24"/>
          <w:highlight w:val="none"/>
        </w:rPr>
        <w:t>3.3 投标有效期</w:t>
      </w:r>
      <w:bookmarkEnd w:id="85"/>
    </w:p>
    <w:p>
      <w:pPr>
        <w:pStyle w:val="124"/>
        <w:widowControl w:val="0"/>
        <w:spacing w:line="360" w:lineRule="auto"/>
        <w:ind w:firstLine="420" w:firstLineChars="200"/>
        <w:rPr>
          <w:color w:val="auto"/>
          <w:highlight w:val="none"/>
        </w:rPr>
      </w:pPr>
      <w:r>
        <w:rPr>
          <w:color w:val="auto"/>
          <w:highlight w:val="none"/>
        </w:rPr>
        <w:t>3.3.1  在投标人须知前附表规定的投标有效期内，投标人不得要求撤销或修改其投标文件。</w:t>
      </w:r>
    </w:p>
    <w:p>
      <w:pPr>
        <w:pStyle w:val="124"/>
        <w:widowControl w:val="0"/>
        <w:spacing w:line="360" w:lineRule="auto"/>
        <w:ind w:firstLine="420" w:firstLineChars="200"/>
        <w:rPr>
          <w:color w:val="auto"/>
          <w:highlight w:val="none"/>
        </w:rPr>
      </w:pPr>
      <w:r>
        <w:rPr>
          <w:color w:val="auto"/>
          <w:highlight w:val="none"/>
        </w:rPr>
        <w:t>3.3.2  出现特殊情况需要延长投标有效期的，招标人以书面形式通知所有投标人延长投标有效期。投标人同意延长的，应相应延长其投标保证的有效期，且不得要求或被允许修改或撤销其投标文件；投标人拒绝延长的，其投标失效，投标人有权收回其投标保证。</w:t>
      </w:r>
    </w:p>
    <w:p>
      <w:pPr>
        <w:pStyle w:val="8"/>
        <w:rPr>
          <w:rFonts w:ascii="Times New Roman" w:hAnsi="Times New Roman" w:eastAsia="黑体"/>
          <w:b w:val="0"/>
          <w:bCs w:val="0"/>
          <w:color w:val="auto"/>
          <w:sz w:val="24"/>
          <w:highlight w:val="none"/>
        </w:rPr>
      </w:pPr>
      <w:bookmarkStart w:id="86" w:name="_Toc300678021"/>
      <w:r>
        <w:rPr>
          <w:rFonts w:ascii="Times New Roman" w:hAnsi="Times New Roman" w:eastAsia="黑体"/>
          <w:b w:val="0"/>
          <w:bCs w:val="0"/>
          <w:color w:val="auto"/>
          <w:sz w:val="24"/>
          <w:highlight w:val="none"/>
        </w:rPr>
        <w:t>3.4 投标保证</w:t>
      </w:r>
      <w:bookmarkEnd w:id="86"/>
    </w:p>
    <w:p>
      <w:pPr>
        <w:spacing w:line="360" w:lineRule="auto"/>
        <w:ind w:firstLine="420" w:firstLineChars="200"/>
        <w:rPr>
          <w:color w:val="auto"/>
          <w:szCs w:val="21"/>
          <w:highlight w:val="none"/>
        </w:rPr>
      </w:pPr>
      <w:r>
        <w:rPr>
          <w:color w:val="auto"/>
          <w:highlight w:val="none"/>
        </w:rPr>
        <w:t xml:space="preserve">3.4.1 </w:t>
      </w:r>
      <w:r>
        <w:rPr>
          <w:rFonts w:hint="eastAsia"/>
          <w:color w:val="auto"/>
          <w:highlight w:val="none"/>
        </w:rPr>
        <w:t>投标人在递交投标文件的同时，</w:t>
      </w:r>
      <w:r>
        <w:rPr>
          <w:color w:val="auto"/>
          <w:highlight w:val="none"/>
        </w:rPr>
        <w:t>应当按照投标人须知前附表的规定递交投标担保</w:t>
      </w:r>
      <w:r>
        <w:rPr>
          <w:rFonts w:hint="eastAsia"/>
          <w:color w:val="auto"/>
          <w:highlight w:val="none"/>
        </w:rPr>
        <w:t>，并作为投标文件的组成部分</w:t>
      </w:r>
      <w:r>
        <w:rPr>
          <w:color w:val="auto"/>
          <w:highlight w:val="none"/>
        </w:rPr>
        <w:t>。</w:t>
      </w:r>
    </w:p>
    <w:p>
      <w:pPr>
        <w:pStyle w:val="124"/>
        <w:widowControl w:val="0"/>
        <w:spacing w:line="360" w:lineRule="auto"/>
        <w:ind w:firstLine="420" w:firstLineChars="200"/>
        <w:rPr>
          <w:color w:val="auto"/>
          <w:highlight w:val="none"/>
        </w:rPr>
      </w:pPr>
      <w:r>
        <w:rPr>
          <w:color w:val="auto"/>
          <w:highlight w:val="none"/>
        </w:rPr>
        <w:t>3.4.2  投标人不按本</w:t>
      </w:r>
      <w:r>
        <w:rPr>
          <w:rFonts w:hint="eastAsia"/>
          <w:color w:val="auto"/>
          <w:highlight w:val="none"/>
        </w:rPr>
        <w:t>须知</w:t>
      </w:r>
      <w:r>
        <w:rPr>
          <w:color w:val="auto"/>
          <w:highlight w:val="none"/>
        </w:rPr>
        <w:t>第3.4.1 项要求提交投标担保的，应当否决其投标。</w:t>
      </w:r>
    </w:p>
    <w:p>
      <w:pPr>
        <w:pStyle w:val="124"/>
        <w:widowControl w:val="0"/>
        <w:spacing w:line="360" w:lineRule="auto"/>
        <w:ind w:firstLine="420" w:firstLineChars="200"/>
        <w:rPr>
          <w:color w:val="auto"/>
          <w:highlight w:val="none"/>
        </w:rPr>
      </w:pPr>
      <w:r>
        <w:rPr>
          <w:color w:val="auto"/>
          <w:highlight w:val="none"/>
        </w:rPr>
        <w:t xml:space="preserve">3.4.3 </w:t>
      </w:r>
      <w:r>
        <w:rPr>
          <w:color w:val="auto"/>
          <w:szCs w:val="32"/>
          <w:highlight w:val="none"/>
          <w:shd w:val="clear" w:color="auto" w:fill="FFFFFF"/>
        </w:rPr>
        <w:t>未中标的投标人的投标担保</w:t>
      </w:r>
      <w:r>
        <w:rPr>
          <w:color w:val="auto"/>
          <w:highlight w:val="none"/>
        </w:rPr>
        <w:t>于中标通知书发出之日起5个工作日内退还。</w:t>
      </w:r>
    </w:p>
    <w:p>
      <w:pPr>
        <w:pStyle w:val="124"/>
        <w:widowControl w:val="0"/>
        <w:spacing w:line="360" w:lineRule="auto"/>
        <w:ind w:firstLine="420" w:firstLineChars="200"/>
        <w:rPr>
          <w:color w:val="auto"/>
          <w:highlight w:val="none"/>
        </w:rPr>
      </w:pPr>
      <w:r>
        <w:rPr>
          <w:color w:val="auto"/>
          <w:highlight w:val="none"/>
        </w:rPr>
        <w:t>3.4.4 中标人的投标担保在招标人与中标人签订合同后5 个工作日内退还。</w:t>
      </w:r>
    </w:p>
    <w:p>
      <w:pPr>
        <w:pStyle w:val="124"/>
        <w:widowControl w:val="0"/>
        <w:spacing w:line="360" w:lineRule="auto"/>
        <w:ind w:firstLine="420" w:firstLineChars="200"/>
        <w:rPr>
          <w:color w:val="auto"/>
          <w:szCs w:val="32"/>
          <w:highlight w:val="none"/>
          <w:shd w:val="clear" w:color="auto" w:fill="FFFFFF"/>
        </w:rPr>
      </w:pPr>
      <w:r>
        <w:rPr>
          <w:color w:val="auto"/>
          <w:highlight w:val="none"/>
        </w:rPr>
        <w:t>3.4.5</w:t>
      </w:r>
      <w:r>
        <w:rPr>
          <w:color w:val="auto"/>
          <w:szCs w:val="32"/>
          <w:highlight w:val="none"/>
          <w:shd w:val="clear" w:color="auto" w:fill="FFFFFF"/>
        </w:rPr>
        <w:t>在投标截止时间前撤回已提交的投标文件的投标人的投标担保，自收到投标人书面撤回通知之日起5个工作日内退还；</w:t>
      </w:r>
    </w:p>
    <w:p>
      <w:pPr>
        <w:spacing w:line="360" w:lineRule="auto"/>
        <w:ind w:firstLine="420" w:firstLineChars="200"/>
        <w:rPr>
          <w:color w:val="auto"/>
          <w:highlight w:val="none"/>
        </w:rPr>
      </w:pPr>
      <w:r>
        <w:rPr>
          <w:color w:val="auto"/>
          <w:szCs w:val="32"/>
          <w:highlight w:val="none"/>
          <w:shd w:val="clear" w:color="auto" w:fill="FFFFFF"/>
        </w:rPr>
        <w:t>3.4.6 不接受招标人延长投标有效期的投标人的投标担保，自收到投标人不予接受延长投标有效期的书面通知之日起5个工作日内退还。</w:t>
      </w:r>
      <w:r>
        <w:rPr>
          <w:color w:val="auto"/>
          <w:highlight w:val="none"/>
        </w:rPr>
        <w:t xml:space="preserve">   </w:t>
      </w:r>
    </w:p>
    <w:p>
      <w:pPr>
        <w:pStyle w:val="124"/>
        <w:widowControl w:val="0"/>
        <w:spacing w:line="360" w:lineRule="auto"/>
        <w:ind w:firstLine="420" w:firstLineChars="200"/>
        <w:rPr>
          <w:color w:val="auto"/>
          <w:highlight w:val="none"/>
        </w:rPr>
      </w:pPr>
      <w:r>
        <w:rPr>
          <w:color w:val="auto"/>
          <w:highlight w:val="none"/>
        </w:rPr>
        <w:t>3.4.7 有下列情形之一的，将对投标人以现金形式提交的投标担保不予退还；采用投标承诺的，将提请住房城乡建设主管部门给予投标人不良行为记录；采用保函的，将要求保函开立人支付经济补偿金。</w:t>
      </w:r>
    </w:p>
    <w:p>
      <w:pPr>
        <w:pStyle w:val="124"/>
        <w:widowControl w:val="0"/>
        <w:spacing w:line="360" w:lineRule="auto"/>
        <w:ind w:firstLine="420" w:firstLineChars="200"/>
        <w:rPr>
          <w:color w:val="auto"/>
          <w:highlight w:val="none"/>
        </w:rPr>
      </w:pPr>
      <w:r>
        <w:rPr>
          <w:color w:val="auto"/>
          <w:highlight w:val="none"/>
        </w:rPr>
        <w:t>（1）</w:t>
      </w:r>
      <w:r>
        <w:rPr>
          <w:rFonts w:hint="eastAsia" w:ascii="宋体" w:hAnsi="宋体"/>
          <w:color w:val="auto"/>
          <w:highlight w:val="none"/>
        </w:rPr>
        <w:t>投标人在规定的投标有效期内撤销或修改其投标文件；</w:t>
      </w:r>
    </w:p>
    <w:p>
      <w:pPr>
        <w:pStyle w:val="124"/>
        <w:widowControl w:val="0"/>
        <w:spacing w:line="360" w:lineRule="auto"/>
        <w:ind w:firstLine="420" w:firstLineChars="200"/>
        <w:rPr>
          <w:color w:val="auto"/>
          <w:highlight w:val="none"/>
          <w:u w:val="single"/>
        </w:rPr>
      </w:pPr>
      <w:r>
        <w:rPr>
          <w:color w:val="auto"/>
          <w:highlight w:val="none"/>
        </w:rPr>
        <w:t>（2）投标人被确定为中标人后，无正当理由不与招标人订立合同，或者在签订合同时向招标人提出附加条件，或者不按招标文件要求提交履约担保。</w:t>
      </w:r>
    </w:p>
    <w:p>
      <w:pPr>
        <w:snapToGrid w:val="0"/>
        <w:spacing w:line="360" w:lineRule="auto"/>
        <w:ind w:firstLine="482" w:firstLineChars="200"/>
        <w:rPr>
          <w:rFonts w:eastAsia="黑体"/>
          <w:b/>
          <w:bCs/>
          <w:color w:val="auto"/>
          <w:sz w:val="24"/>
          <w:highlight w:val="none"/>
        </w:rPr>
      </w:pPr>
      <w:bookmarkStart w:id="87" w:name="_Toc300678022"/>
      <w:r>
        <w:rPr>
          <w:rFonts w:eastAsia="黑体"/>
          <w:b/>
          <w:bCs/>
          <w:color w:val="auto"/>
          <w:sz w:val="24"/>
          <w:highlight w:val="none"/>
        </w:rPr>
        <w:t>3.5资格审查资料</w:t>
      </w:r>
      <w:bookmarkEnd w:id="87"/>
      <w:bookmarkStart w:id="88" w:name="_Toc300678023"/>
    </w:p>
    <w:p>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采用资格预审方式的，</w:t>
      </w:r>
      <w:bookmarkEnd w:id="88"/>
      <w:r>
        <w:rPr>
          <w:rFonts w:ascii="宋体" w:hAnsi="宋体"/>
          <w:color w:val="auto"/>
          <w:szCs w:val="21"/>
          <w:highlight w:val="none"/>
        </w:rPr>
        <w:t xml:space="preserve"> 投标人在编制投标文件时，应</w:t>
      </w:r>
      <w:r>
        <w:rPr>
          <w:rFonts w:hint="eastAsia" w:ascii="宋体" w:hAnsi="宋体"/>
          <w:color w:val="auto"/>
          <w:szCs w:val="21"/>
          <w:highlight w:val="none"/>
        </w:rPr>
        <w:t>按新情况</w:t>
      </w:r>
      <w:r>
        <w:rPr>
          <w:rFonts w:ascii="宋体" w:hAnsi="宋体"/>
          <w:color w:val="auto"/>
          <w:szCs w:val="21"/>
          <w:highlight w:val="none"/>
        </w:rPr>
        <w:t>更新或补充其在申请资格预审时提供的资料，以证实其</w:t>
      </w:r>
      <w:r>
        <w:rPr>
          <w:rFonts w:hint="eastAsia" w:ascii="宋体" w:hAnsi="宋体"/>
          <w:color w:val="auto"/>
          <w:szCs w:val="21"/>
          <w:highlight w:val="none"/>
        </w:rPr>
        <w:t>各项</w:t>
      </w:r>
      <w:r>
        <w:rPr>
          <w:rFonts w:ascii="宋体" w:hAnsi="宋体"/>
          <w:color w:val="auto"/>
          <w:szCs w:val="21"/>
          <w:highlight w:val="none"/>
        </w:rPr>
        <w:t>资格条件</w:t>
      </w:r>
      <w:r>
        <w:rPr>
          <w:rFonts w:hint="eastAsia" w:ascii="宋体" w:hAnsi="宋体"/>
          <w:color w:val="auto"/>
          <w:szCs w:val="21"/>
          <w:highlight w:val="none"/>
        </w:rPr>
        <w:t>仍能</w:t>
      </w:r>
      <w:r>
        <w:rPr>
          <w:rFonts w:ascii="宋体" w:hAnsi="宋体"/>
          <w:color w:val="auto"/>
          <w:szCs w:val="21"/>
          <w:highlight w:val="none"/>
        </w:rPr>
        <w:t>继续满足资格预审文件的要求，具备承担本招标项目的资质条件、能力和信誉。</w:t>
      </w:r>
    </w:p>
    <w:p>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采用资格后审方式的，</w:t>
      </w:r>
      <w:r>
        <w:rPr>
          <w:rFonts w:hint="eastAsia" w:ascii="宋体" w:hAnsi="宋体"/>
          <w:color w:val="auto"/>
          <w:szCs w:val="21"/>
          <w:highlight w:val="none"/>
        </w:rPr>
        <w:t>按照本须知第1</w:t>
      </w:r>
      <w:r>
        <w:rPr>
          <w:rFonts w:ascii="宋体" w:hAnsi="宋体"/>
          <w:color w:val="auto"/>
          <w:szCs w:val="21"/>
          <w:highlight w:val="none"/>
        </w:rPr>
        <w:t>.4.1</w:t>
      </w:r>
      <w:r>
        <w:rPr>
          <w:rFonts w:hint="eastAsia" w:ascii="宋体" w:hAnsi="宋体"/>
          <w:color w:val="auto"/>
          <w:szCs w:val="21"/>
          <w:highlight w:val="none"/>
        </w:rPr>
        <w:t>项的规定提交资格审查资料，</w:t>
      </w:r>
      <w:r>
        <w:rPr>
          <w:rFonts w:ascii="宋体" w:hAnsi="宋体"/>
          <w:color w:val="auto"/>
          <w:szCs w:val="21"/>
          <w:highlight w:val="none"/>
        </w:rPr>
        <w:t>具体要求详见第</w:t>
      </w:r>
      <w:r>
        <w:rPr>
          <w:rFonts w:hint="eastAsia" w:ascii="宋体" w:hAnsi="宋体"/>
          <w:color w:val="auto"/>
          <w:szCs w:val="21"/>
          <w:highlight w:val="none"/>
        </w:rPr>
        <w:t>七</w:t>
      </w:r>
      <w:r>
        <w:rPr>
          <w:rFonts w:ascii="宋体" w:hAnsi="宋体"/>
          <w:color w:val="auto"/>
          <w:szCs w:val="21"/>
          <w:highlight w:val="none"/>
        </w:rPr>
        <w:t>章“投标文件</w:t>
      </w:r>
      <w:r>
        <w:rPr>
          <w:rFonts w:hint="eastAsia" w:ascii="宋体" w:hAnsi="宋体"/>
          <w:color w:val="auto"/>
          <w:szCs w:val="21"/>
          <w:highlight w:val="none"/>
        </w:rPr>
        <w:t>—投标函</w:t>
      </w:r>
      <w:r>
        <w:rPr>
          <w:rFonts w:ascii="宋体" w:hAnsi="宋体"/>
          <w:color w:val="auto"/>
          <w:szCs w:val="21"/>
          <w:highlight w:val="none"/>
        </w:rPr>
        <w:t>格式”。</w:t>
      </w:r>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3.6 备选投标方案</w:t>
      </w:r>
    </w:p>
    <w:p>
      <w:pPr>
        <w:pStyle w:val="124"/>
        <w:widowControl w:val="0"/>
        <w:spacing w:line="360" w:lineRule="auto"/>
        <w:ind w:firstLine="420" w:firstLineChars="200"/>
        <w:rPr>
          <w:color w:val="auto"/>
          <w:highlight w:val="none"/>
        </w:rPr>
      </w:pPr>
      <w:r>
        <w:rPr>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8"/>
        <w:rPr>
          <w:rFonts w:ascii="Times New Roman" w:hAnsi="Times New Roman" w:eastAsia="黑体"/>
          <w:b w:val="0"/>
          <w:bCs w:val="0"/>
          <w:color w:val="auto"/>
          <w:sz w:val="24"/>
          <w:highlight w:val="none"/>
        </w:rPr>
      </w:pPr>
      <w:bookmarkStart w:id="89" w:name="_Toc300678025"/>
      <w:r>
        <w:rPr>
          <w:rFonts w:ascii="Times New Roman" w:hAnsi="Times New Roman" w:eastAsia="黑体"/>
          <w:b w:val="0"/>
          <w:bCs w:val="0"/>
          <w:color w:val="auto"/>
          <w:sz w:val="24"/>
          <w:highlight w:val="none"/>
        </w:rPr>
        <w:t>3.7 投标文件的编制</w:t>
      </w:r>
      <w:bookmarkEnd w:id="89"/>
    </w:p>
    <w:p>
      <w:pPr>
        <w:pStyle w:val="124"/>
        <w:widowControl w:val="0"/>
        <w:spacing w:line="360" w:lineRule="auto"/>
        <w:ind w:firstLine="420" w:firstLineChars="200"/>
        <w:rPr>
          <w:color w:val="auto"/>
          <w:highlight w:val="none"/>
        </w:rPr>
      </w:pPr>
      <w:r>
        <w:rPr>
          <w:color w:val="auto"/>
          <w:highlight w:val="none"/>
        </w:rPr>
        <w:t>3.7.1  投标文件应按第</w:t>
      </w:r>
      <w:r>
        <w:rPr>
          <w:rFonts w:hint="eastAsia"/>
          <w:color w:val="auto"/>
          <w:highlight w:val="none"/>
        </w:rPr>
        <w:t>七</w:t>
      </w:r>
      <w:r>
        <w:rPr>
          <w:color w:val="auto"/>
          <w:highlight w:val="none"/>
        </w:rPr>
        <w:t>章“投标文件格式”编写。可以增加附页，作为投标文件的组成部分。其中，投标函附录在满足招标文件实质性要求的基础上，可以提出比招标文件要求更有利于招标人的承诺。</w:t>
      </w:r>
    </w:p>
    <w:p>
      <w:pPr>
        <w:pStyle w:val="124"/>
        <w:widowControl w:val="0"/>
        <w:spacing w:line="360" w:lineRule="auto"/>
        <w:ind w:firstLine="420" w:firstLineChars="200"/>
        <w:rPr>
          <w:color w:val="auto"/>
          <w:highlight w:val="none"/>
        </w:rPr>
      </w:pPr>
      <w:r>
        <w:rPr>
          <w:color w:val="auto"/>
          <w:highlight w:val="none"/>
        </w:rPr>
        <w:t>3.7.2  投标文件应当对招标文件有关工期、投标有效期、质量要求、</w:t>
      </w:r>
      <w:r>
        <w:rPr>
          <w:rFonts w:hint="eastAsia"/>
          <w:color w:val="auto"/>
          <w:highlight w:val="none"/>
        </w:rPr>
        <w:t>发包人</w:t>
      </w:r>
      <w:r>
        <w:rPr>
          <w:color w:val="auto"/>
          <w:highlight w:val="none"/>
        </w:rPr>
        <w:t>要求、招标范围等内容作出实质性响应。</w:t>
      </w:r>
    </w:p>
    <w:p>
      <w:pPr>
        <w:pStyle w:val="124"/>
        <w:spacing w:line="360" w:lineRule="auto"/>
        <w:ind w:firstLine="420" w:firstLineChars="200"/>
        <w:rPr>
          <w:rFonts w:hint="eastAsia"/>
          <w:color w:val="auto"/>
          <w:highlight w:val="none"/>
        </w:rPr>
      </w:pPr>
      <w:r>
        <w:rPr>
          <w:color w:val="auto"/>
          <w:highlight w:val="none"/>
        </w:rPr>
        <w:t xml:space="preserve">3.7.3  </w:t>
      </w:r>
      <w:bookmarkStart w:id="90" w:name="_Toc300678026"/>
      <w:bookmarkStart w:id="91" w:name="_Toc9178521"/>
      <w:r>
        <w:rPr>
          <w:rFonts w:hint="eastAsia"/>
          <w:color w:val="auto"/>
          <w:highlight w:val="none"/>
        </w:rPr>
        <w:t>投标文件全部采用电子文档，除投标人须知前附表另有规定外，投标文件所附证书证件均为原件扫描件，并采用单位和个人数字证书，按招标文件要求在相应位置加盖电子印章。由投标人的法定代表人签字或加盖电子印章的，投标文件应附法定代表人身份证明，由委托代理人签字或加盖电子印章的，投标文件应附法定代表人签署的授权委托书。签字或盖章的具体要求见投标人须知前附表。</w:t>
      </w:r>
    </w:p>
    <w:p>
      <w:pPr>
        <w:pStyle w:val="124"/>
        <w:widowControl w:val="0"/>
        <w:spacing w:line="360" w:lineRule="auto"/>
        <w:ind w:firstLine="420" w:firstLineChars="200"/>
        <w:rPr>
          <w:color w:val="auto"/>
          <w:highlight w:val="none"/>
        </w:rPr>
      </w:pPr>
      <w:r>
        <w:rPr>
          <w:rFonts w:hint="eastAsia"/>
          <w:color w:val="auto"/>
          <w:highlight w:val="none"/>
        </w:rPr>
        <w:t>3.7.4投标文件份数见投标人须知前附表。</w:t>
      </w:r>
    </w:p>
    <w:p>
      <w:pPr>
        <w:pStyle w:val="124"/>
        <w:widowControl w:val="0"/>
        <w:spacing w:line="360" w:lineRule="auto"/>
        <w:ind w:firstLine="562" w:firstLineChars="200"/>
        <w:rPr>
          <w:rFonts w:eastAsia="黑体"/>
          <w:b/>
          <w:bCs/>
          <w:color w:val="auto"/>
          <w:sz w:val="28"/>
          <w:szCs w:val="28"/>
          <w:highlight w:val="none"/>
        </w:rPr>
      </w:pPr>
      <w:r>
        <w:rPr>
          <w:rFonts w:eastAsia="黑体"/>
          <w:b/>
          <w:bCs/>
          <w:color w:val="auto"/>
          <w:sz w:val="28"/>
          <w:szCs w:val="28"/>
          <w:highlight w:val="none"/>
        </w:rPr>
        <w:t>4.投标</w:t>
      </w:r>
      <w:bookmarkEnd w:id="90"/>
      <w:bookmarkEnd w:id="91"/>
    </w:p>
    <w:p>
      <w:pPr>
        <w:pStyle w:val="8"/>
        <w:rPr>
          <w:rFonts w:ascii="Times New Roman" w:hAnsi="Times New Roman" w:eastAsia="黑体"/>
          <w:b w:val="0"/>
          <w:bCs w:val="0"/>
          <w:color w:val="auto"/>
          <w:sz w:val="24"/>
          <w:highlight w:val="none"/>
        </w:rPr>
      </w:pPr>
      <w:bookmarkStart w:id="92" w:name="_Toc300678027"/>
      <w:r>
        <w:rPr>
          <w:rFonts w:ascii="Times New Roman" w:hAnsi="Times New Roman" w:eastAsia="黑体"/>
          <w:b w:val="0"/>
          <w:bCs w:val="0"/>
          <w:color w:val="auto"/>
          <w:sz w:val="24"/>
          <w:highlight w:val="none"/>
        </w:rPr>
        <w:t>4.1 投标文件的密封和标记</w:t>
      </w:r>
      <w:bookmarkEnd w:id="92"/>
    </w:p>
    <w:p>
      <w:pPr>
        <w:pStyle w:val="124"/>
        <w:widowControl w:val="0"/>
        <w:spacing w:line="360" w:lineRule="auto"/>
        <w:ind w:firstLine="420" w:firstLineChars="200"/>
        <w:rPr>
          <w:color w:val="auto"/>
          <w:highlight w:val="none"/>
        </w:rPr>
      </w:pPr>
      <w:r>
        <w:rPr>
          <w:color w:val="auto"/>
          <w:highlight w:val="none"/>
        </w:rPr>
        <w:t>4.1.1投标人应当按照投标人须知前附表的规定加密投标文件。</w:t>
      </w:r>
    </w:p>
    <w:p>
      <w:pPr>
        <w:pStyle w:val="124"/>
        <w:widowControl w:val="0"/>
        <w:spacing w:line="360" w:lineRule="auto"/>
        <w:ind w:firstLine="420" w:firstLineChars="200"/>
        <w:rPr>
          <w:rFonts w:hint="eastAsia" w:ascii="宋体" w:hAnsi="宋体"/>
          <w:color w:val="auto"/>
          <w:highlight w:val="none"/>
        </w:rPr>
      </w:pPr>
      <w:r>
        <w:rPr>
          <w:color w:val="auto"/>
          <w:highlight w:val="none"/>
        </w:rPr>
        <w:t>4.1.2 未按本</w:t>
      </w:r>
      <w:r>
        <w:rPr>
          <w:rFonts w:hint="eastAsia"/>
          <w:color w:val="auto"/>
          <w:highlight w:val="none"/>
        </w:rPr>
        <w:t>须知</w:t>
      </w:r>
      <w:r>
        <w:rPr>
          <w:color w:val="auto"/>
          <w:highlight w:val="none"/>
        </w:rPr>
        <w:t>第4.1.1 项要求</w:t>
      </w:r>
      <w:r>
        <w:rPr>
          <w:rFonts w:hint="eastAsia"/>
          <w:color w:val="auto"/>
          <w:highlight w:val="none"/>
        </w:rPr>
        <w:t>加密</w:t>
      </w:r>
      <w:r>
        <w:rPr>
          <w:color w:val="auto"/>
          <w:highlight w:val="none"/>
        </w:rPr>
        <w:t>的投标文件，</w:t>
      </w:r>
      <w:r>
        <w:rPr>
          <w:rFonts w:hint="eastAsia"/>
          <w:color w:val="auto"/>
          <w:highlight w:val="none"/>
        </w:rPr>
        <w:t>电子招标投标交易平台</w:t>
      </w:r>
      <w:r>
        <w:rPr>
          <w:color w:val="auto"/>
          <w:highlight w:val="none"/>
        </w:rPr>
        <w:t>予以拒收。</w:t>
      </w:r>
    </w:p>
    <w:p>
      <w:pPr>
        <w:pStyle w:val="8"/>
        <w:rPr>
          <w:rFonts w:ascii="Times New Roman" w:hAnsi="Times New Roman" w:eastAsia="黑体"/>
          <w:b w:val="0"/>
          <w:bCs w:val="0"/>
          <w:color w:val="auto"/>
          <w:sz w:val="24"/>
          <w:highlight w:val="none"/>
        </w:rPr>
      </w:pPr>
      <w:bookmarkStart w:id="93" w:name="_Toc300678028"/>
      <w:r>
        <w:rPr>
          <w:rFonts w:ascii="Times New Roman" w:hAnsi="Times New Roman" w:eastAsia="黑体"/>
          <w:b w:val="0"/>
          <w:bCs w:val="0"/>
          <w:color w:val="auto"/>
          <w:sz w:val="24"/>
          <w:highlight w:val="none"/>
        </w:rPr>
        <w:t>4.2 投标文件的递交</w:t>
      </w:r>
      <w:bookmarkEnd w:id="93"/>
    </w:p>
    <w:p>
      <w:pPr>
        <w:pStyle w:val="124"/>
        <w:widowControl w:val="0"/>
        <w:spacing w:line="360" w:lineRule="auto"/>
        <w:ind w:firstLine="420" w:firstLineChars="200"/>
        <w:rPr>
          <w:color w:val="auto"/>
          <w:highlight w:val="none"/>
        </w:rPr>
      </w:pPr>
      <w:r>
        <w:rPr>
          <w:color w:val="auto"/>
          <w:highlight w:val="none"/>
        </w:rPr>
        <w:t>4.2.1  投标人应当在投标人须知前附表规定的投标截止时间前递交投标文件。</w:t>
      </w:r>
    </w:p>
    <w:p>
      <w:pPr>
        <w:pStyle w:val="124"/>
        <w:widowControl w:val="0"/>
        <w:spacing w:line="360" w:lineRule="auto"/>
        <w:ind w:firstLine="420" w:firstLineChars="200"/>
        <w:rPr>
          <w:color w:val="auto"/>
          <w:highlight w:val="none"/>
        </w:rPr>
      </w:pPr>
      <w:r>
        <w:rPr>
          <w:color w:val="auto"/>
          <w:highlight w:val="none"/>
        </w:rPr>
        <w:t>4.2.2  投标人通过</w:t>
      </w:r>
      <w:r>
        <w:rPr>
          <w:rFonts w:hint="eastAsia"/>
          <w:color w:val="auto"/>
          <w:highlight w:val="none"/>
        </w:rPr>
        <w:t>电子招标投标交易平台</w:t>
      </w:r>
      <w:r>
        <w:rPr>
          <w:color w:val="auto"/>
          <w:highlight w:val="none"/>
        </w:rPr>
        <w:t>递交电子投标文件。</w:t>
      </w:r>
    </w:p>
    <w:p>
      <w:pPr>
        <w:pStyle w:val="124"/>
        <w:widowControl w:val="0"/>
        <w:spacing w:line="360" w:lineRule="auto"/>
        <w:ind w:firstLine="420" w:firstLineChars="200"/>
        <w:rPr>
          <w:color w:val="auto"/>
          <w:highlight w:val="none"/>
        </w:rPr>
      </w:pPr>
      <w:r>
        <w:rPr>
          <w:color w:val="auto"/>
          <w:highlight w:val="none"/>
        </w:rPr>
        <w:t>4.2.3  除投标人须知前附表另有规定外，投标人所递交的投标文件不予退还。</w:t>
      </w:r>
    </w:p>
    <w:p>
      <w:pPr>
        <w:pStyle w:val="124"/>
        <w:widowControl w:val="0"/>
        <w:spacing w:line="360" w:lineRule="auto"/>
        <w:ind w:firstLine="420" w:firstLineChars="200"/>
        <w:rPr>
          <w:color w:val="auto"/>
          <w:highlight w:val="none"/>
        </w:rPr>
      </w:pPr>
      <w:r>
        <w:rPr>
          <w:color w:val="auto"/>
          <w:highlight w:val="none"/>
        </w:rPr>
        <w:t>4.2.4  逾期提交的投标文件，</w:t>
      </w:r>
      <w:r>
        <w:rPr>
          <w:rFonts w:hint="eastAsia"/>
          <w:color w:val="auto"/>
          <w:highlight w:val="none"/>
        </w:rPr>
        <w:t>电子招标投标交易平台</w:t>
      </w:r>
      <w:r>
        <w:rPr>
          <w:color w:val="auto"/>
          <w:highlight w:val="none"/>
        </w:rPr>
        <w:t>将</w:t>
      </w:r>
      <w:r>
        <w:rPr>
          <w:rFonts w:hint="eastAsia"/>
          <w:color w:val="auto"/>
          <w:highlight w:val="none"/>
        </w:rPr>
        <w:t>予以拒收</w:t>
      </w:r>
      <w:r>
        <w:rPr>
          <w:color w:val="auto"/>
          <w:highlight w:val="none"/>
        </w:rPr>
        <w:t>。</w:t>
      </w:r>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4.3 投标文件的修改与撤回</w:t>
      </w:r>
    </w:p>
    <w:p>
      <w:pPr>
        <w:pStyle w:val="124"/>
        <w:widowControl w:val="0"/>
        <w:spacing w:line="360" w:lineRule="auto"/>
        <w:ind w:firstLine="420" w:firstLineChars="200"/>
        <w:rPr>
          <w:color w:val="auto"/>
          <w:highlight w:val="none"/>
        </w:rPr>
      </w:pPr>
      <w:r>
        <w:rPr>
          <w:color w:val="auto"/>
          <w:highlight w:val="none"/>
        </w:rPr>
        <w:t>4.3.1  在投标人须知前附表规定的投标截止时间前，投标人可以修改或撤回已递交投标文件，但应以书面形式通知招标人。</w:t>
      </w:r>
    </w:p>
    <w:p>
      <w:pPr>
        <w:pStyle w:val="124"/>
        <w:widowControl w:val="0"/>
        <w:spacing w:line="360" w:lineRule="auto"/>
        <w:ind w:firstLine="420" w:firstLineChars="200"/>
        <w:rPr>
          <w:color w:val="auto"/>
          <w:highlight w:val="none"/>
        </w:rPr>
      </w:pPr>
      <w:r>
        <w:rPr>
          <w:color w:val="auto"/>
          <w:highlight w:val="none"/>
        </w:rPr>
        <w:t>4.3.2  投标人修改或撤回已递交投标文件的书面通知应按照本章第3.7.3 项的要求</w:t>
      </w:r>
      <w:r>
        <w:rPr>
          <w:rFonts w:hint="eastAsia"/>
          <w:color w:val="auto"/>
          <w:highlight w:val="none"/>
        </w:rPr>
        <w:t>加盖电子印章</w:t>
      </w:r>
      <w:r>
        <w:rPr>
          <w:color w:val="auto"/>
          <w:highlight w:val="none"/>
        </w:rPr>
        <w:t>。</w:t>
      </w:r>
      <w:r>
        <w:rPr>
          <w:rFonts w:hint="eastAsia"/>
          <w:color w:val="auto"/>
          <w:highlight w:val="none"/>
        </w:rPr>
        <w:t>电子招标投标交易平台收到通知后，即时向投标人发出确认回执通知。</w:t>
      </w:r>
    </w:p>
    <w:p>
      <w:pPr>
        <w:pStyle w:val="124"/>
        <w:widowControl w:val="0"/>
        <w:spacing w:line="360" w:lineRule="auto"/>
        <w:ind w:firstLine="420" w:firstLineChars="200"/>
        <w:rPr>
          <w:color w:val="auto"/>
          <w:highlight w:val="none"/>
        </w:rPr>
      </w:pPr>
      <w:r>
        <w:rPr>
          <w:color w:val="auto"/>
          <w:highlight w:val="none"/>
        </w:rPr>
        <w:t>4.3.3  修改的内容为投标文件的组成部分</w:t>
      </w:r>
      <w:r>
        <w:rPr>
          <w:rFonts w:hint="eastAsia"/>
          <w:color w:val="auto"/>
          <w:highlight w:val="none"/>
        </w:rPr>
        <w:t>的，</w:t>
      </w:r>
      <w:r>
        <w:rPr>
          <w:color w:val="auto"/>
          <w:highlight w:val="none"/>
        </w:rPr>
        <w:t>修改的投标文件应按照</w:t>
      </w:r>
      <w:r>
        <w:rPr>
          <w:rFonts w:hint="eastAsia"/>
          <w:color w:val="auto"/>
          <w:highlight w:val="none"/>
        </w:rPr>
        <w:t>本章</w:t>
      </w:r>
      <w:r>
        <w:rPr>
          <w:color w:val="auto"/>
          <w:highlight w:val="none"/>
        </w:rPr>
        <w:t>规定进行编制、密封、标记和递交，并标明“修改”字样。</w:t>
      </w:r>
    </w:p>
    <w:p>
      <w:pPr>
        <w:pStyle w:val="7"/>
        <w:keepLines/>
        <w:widowControl w:val="0"/>
        <w:jc w:val="left"/>
        <w:rPr>
          <w:rFonts w:eastAsia="黑体"/>
          <w:b w:val="0"/>
          <w:bCs w:val="0"/>
          <w:color w:val="auto"/>
          <w:sz w:val="28"/>
          <w:szCs w:val="28"/>
          <w:highlight w:val="none"/>
        </w:rPr>
      </w:pPr>
      <w:bookmarkStart w:id="94" w:name="_Toc300678029"/>
      <w:bookmarkStart w:id="95" w:name="_Toc9178522"/>
      <w:bookmarkStart w:id="96" w:name="_Toc69199911"/>
      <w:r>
        <w:rPr>
          <w:rFonts w:eastAsia="黑体"/>
          <w:b w:val="0"/>
          <w:bCs w:val="0"/>
          <w:color w:val="auto"/>
          <w:sz w:val="28"/>
          <w:szCs w:val="28"/>
          <w:highlight w:val="none"/>
        </w:rPr>
        <w:t>5.开标</w:t>
      </w:r>
      <w:bookmarkEnd w:id="94"/>
      <w:bookmarkEnd w:id="95"/>
      <w:bookmarkEnd w:id="96"/>
    </w:p>
    <w:p>
      <w:pPr>
        <w:pStyle w:val="8"/>
        <w:rPr>
          <w:rFonts w:ascii="Times New Roman" w:hAnsi="Times New Roman" w:eastAsia="黑体"/>
          <w:b w:val="0"/>
          <w:bCs w:val="0"/>
          <w:color w:val="auto"/>
          <w:sz w:val="24"/>
          <w:highlight w:val="none"/>
        </w:rPr>
      </w:pPr>
      <w:bookmarkStart w:id="97" w:name="_Toc300678030"/>
      <w:r>
        <w:rPr>
          <w:rFonts w:ascii="Times New Roman" w:hAnsi="Times New Roman" w:eastAsia="黑体"/>
          <w:b w:val="0"/>
          <w:bCs w:val="0"/>
          <w:color w:val="auto"/>
          <w:sz w:val="24"/>
          <w:highlight w:val="none"/>
        </w:rPr>
        <w:t>5.1 开标时间和地点</w:t>
      </w:r>
      <w:bookmarkEnd w:id="97"/>
    </w:p>
    <w:p>
      <w:pPr>
        <w:pStyle w:val="124"/>
        <w:widowControl w:val="0"/>
        <w:spacing w:line="360" w:lineRule="auto"/>
        <w:ind w:firstLine="420" w:firstLineChars="200"/>
        <w:rPr>
          <w:strike/>
          <w:color w:val="auto"/>
          <w:highlight w:val="none"/>
        </w:rPr>
      </w:pPr>
      <w:r>
        <w:rPr>
          <w:color w:val="auto"/>
          <w:highlight w:val="none"/>
        </w:rPr>
        <w:t>招标人在投标人须知前附表规定的</w:t>
      </w:r>
      <w:r>
        <w:rPr>
          <w:rFonts w:hint="eastAsia"/>
          <w:color w:val="auto"/>
          <w:highlight w:val="none"/>
        </w:rPr>
        <w:t>投标截止时间（开标</w:t>
      </w:r>
      <w:r>
        <w:rPr>
          <w:color w:val="auto"/>
          <w:highlight w:val="none"/>
        </w:rPr>
        <w:t>时间</w:t>
      </w:r>
      <w:r>
        <w:rPr>
          <w:rFonts w:hint="eastAsia"/>
          <w:color w:val="auto"/>
          <w:highlight w:val="none"/>
        </w:rPr>
        <w:t>），通过电子招标投标交易平台公开开标，所有投标人的法定代表人（单位负责人）或其委托代理人应当准时在线参加。</w:t>
      </w:r>
    </w:p>
    <w:p>
      <w:pPr>
        <w:pStyle w:val="8"/>
        <w:rPr>
          <w:rFonts w:ascii="Times New Roman" w:hAnsi="Times New Roman" w:eastAsia="黑体"/>
          <w:b w:val="0"/>
          <w:bCs w:val="0"/>
          <w:color w:val="auto"/>
          <w:sz w:val="24"/>
          <w:highlight w:val="none"/>
        </w:rPr>
      </w:pPr>
      <w:bookmarkStart w:id="98" w:name="_Toc300678031"/>
      <w:r>
        <w:rPr>
          <w:rFonts w:ascii="Times New Roman" w:hAnsi="Times New Roman" w:eastAsia="黑体"/>
          <w:b w:val="0"/>
          <w:bCs w:val="0"/>
          <w:color w:val="auto"/>
          <w:sz w:val="24"/>
          <w:highlight w:val="none"/>
        </w:rPr>
        <w:t>5.2 开标程序</w:t>
      </w:r>
      <w:bookmarkEnd w:id="98"/>
    </w:p>
    <w:p>
      <w:pPr>
        <w:pStyle w:val="124"/>
        <w:widowControl w:val="0"/>
        <w:spacing w:line="360" w:lineRule="auto"/>
        <w:ind w:firstLine="420" w:firstLineChars="200"/>
        <w:rPr>
          <w:color w:val="auto"/>
          <w:highlight w:val="none"/>
        </w:rPr>
      </w:pPr>
      <w:r>
        <w:rPr>
          <w:color w:val="auto"/>
          <w:highlight w:val="none"/>
        </w:rPr>
        <w:t>主持人按下列程序进行开标：</w:t>
      </w:r>
    </w:p>
    <w:p>
      <w:pPr>
        <w:pStyle w:val="124"/>
        <w:widowControl w:val="0"/>
        <w:spacing w:line="360" w:lineRule="auto"/>
        <w:ind w:firstLine="420" w:firstLineChars="200"/>
        <w:rPr>
          <w:color w:val="auto"/>
          <w:highlight w:val="none"/>
        </w:rPr>
      </w:pPr>
      <w:r>
        <w:rPr>
          <w:color w:val="auto"/>
          <w:highlight w:val="none"/>
        </w:rPr>
        <w:t>（l）宣布开标纪律；</w:t>
      </w:r>
    </w:p>
    <w:p>
      <w:pPr>
        <w:pStyle w:val="124"/>
        <w:widowControl w:val="0"/>
        <w:spacing w:line="360" w:lineRule="auto"/>
        <w:ind w:firstLine="420" w:firstLineChars="200"/>
        <w:rPr>
          <w:color w:val="auto"/>
          <w:highlight w:val="none"/>
        </w:rPr>
      </w:pPr>
      <w:r>
        <w:rPr>
          <w:color w:val="auto"/>
          <w:highlight w:val="none"/>
        </w:rPr>
        <w:t>（2）公布在投标截止时间前递交投标文件的投标人名称；</w:t>
      </w:r>
    </w:p>
    <w:p>
      <w:pPr>
        <w:pStyle w:val="124"/>
        <w:widowControl w:val="0"/>
        <w:spacing w:line="360" w:lineRule="auto"/>
        <w:ind w:firstLine="420" w:firstLineChars="200"/>
        <w:rPr>
          <w:color w:val="auto"/>
          <w:highlight w:val="none"/>
        </w:rPr>
      </w:pPr>
      <w:r>
        <w:rPr>
          <w:color w:val="auto"/>
          <w:highlight w:val="none"/>
        </w:rPr>
        <w:t>（3）宣布开标人、监督人等有关人员姓名；</w:t>
      </w:r>
    </w:p>
    <w:p>
      <w:pPr>
        <w:pStyle w:val="124"/>
        <w:spacing w:line="360" w:lineRule="auto"/>
        <w:ind w:firstLine="420" w:firstLineChars="200"/>
        <w:rPr>
          <w:color w:val="auto"/>
          <w:highlight w:val="none"/>
        </w:rPr>
      </w:pPr>
      <w:r>
        <w:rPr>
          <w:color w:val="auto"/>
          <w:highlight w:val="none"/>
        </w:rPr>
        <w:t>（</w:t>
      </w:r>
      <w:r>
        <w:rPr>
          <w:rFonts w:hint="eastAsia"/>
          <w:color w:val="auto"/>
          <w:highlight w:val="none"/>
        </w:rPr>
        <w:t>4</w:t>
      </w:r>
      <w:r>
        <w:rPr>
          <w:color w:val="auto"/>
          <w:highlight w:val="none"/>
        </w:rPr>
        <w:t>）由招标人在开标现场随机抽取投标报价基准价计算下浮点数</w:t>
      </w:r>
      <w:r>
        <w:rPr>
          <w:rFonts w:hint="eastAsia"/>
          <w:color w:val="auto"/>
          <w:highlight w:val="none"/>
        </w:rPr>
        <w:t>并记录在案</w:t>
      </w:r>
      <w:r>
        <w:rPr>
          <w:color w:val="auto"/>
          <w:highlight w:val="none"/>
        </w:rPr>
        <w:t>；</w:t>
      </w:r>
    </w:p>
    <w:p>
      <w:pPr>
        <w:pStyle w:val="124"/>
        <w:widowControl w:val="0"/>
        <w:spacing w:line="360" w:lineRule="auto"/>
        <w:ind w:firstLine="420" w:firstLineChars="200"/>
        <w:rPr>
          <w:color w:val="auto"/>
          <w:highlight w:val="none"/>
        </w:rPr>
      </w:pPr>
      <w:r>
        <w:rPr>
          <w:color w:val="auto"/>
          <w:highlight w:val="none"/>
        </w:rPr>
        <w:t>（5）投标人通过电子招标投标交易平台对已递交的电子投标文件进行解密，当众开标，公布投标人名称、标段名称、投标保证的递交情况、投标报价、质量目标、工期及其他内容，并记录在案；</w:t>
      </w:r>
      <w:bookmarkStart w:id="99" w:name="_Toc300678032"/>
      <w:bookmarkStart w:id="100" w:name="_Toc9178523"/>
      <w:r>
        <w:rPr>
          <w:rFonts w:hint="eastAsia"/>
          <w:color w:val="auto"/>
          <w:highlight w:val="none"/>
        </w:rPr>
        <w:t xml:space="preserve"> </w:t>
      </w:r>
    </w:p>
    <w:p>
      <w:pPr>
        <w:pStyle w:val="124"/>
        <w:widowControl w:val="0"/>
        <w:spacing w:line="360" w:lineRule="auto"/>
        <w:ind w:firstLine="420" w:firstLineChars="200"/>
        <w:rPr>
          <w:color w:val="auto"/>
          <w:highlight w:val="none"/>
        </w:rPr>
      </w:pPr>
      <w:r>
        <w:rPr>
          <w:color w:val="auto"/>
          <w:highlight w:val="none"/>
        </w:rPr>
        <w:t>（6）投标人</w:t>
      </w:r>
      <w:r>
        <w:rPr>
          <w:rFonts w:hint="eastAsia"/>
          <w:color w:val="auto"/>
          <w:highlight w:val="none"/>
        </w:rPr>
        <w:t>确认开标结果</w:t>
      </w:r>
      <w:r>
        <w:rPr>
          <w:color w:val="auto"/>
          <w:highlight w:val="none"/>
        </w:rPr>
        <w:t>；</w:t>
      </w:r>
    </w:p>
    <w:p>
      <w:pPr>
        <w:pStyle w:val="124"/>
        <w:widowControl w:val="0"/>
        <w:spacing w:line="360" w:lineRule="auto"/>
        <w:ind w:firstLine="420" w:firstLineChars="200"/>
        <w:rPr>
          <w:color w:val="auto"/>
          <w:highlight w:val="none"/>
        </w:rPr>
      </w:pPr>
      <w:r>
        <w:rPr>
          <w:color w:val="auto"/>
          <w:highlight w:val="none"/>
        </w:rPr>
        <w:t>（</w:t>
      </w:r>
      <w:r>
        <w:rPr>
          <w:rFonts w:hint="eastAsia"/>
          <w:color w:val="auto"/>
          <w:highlight w:val="none"/>
        </w:rPr>
        <w:t>7</w:t>
      </w:r>
      <w:r>
        <w:rPr>
          <w:color w:val="auto"/>
          <w:highlight w:val="none"/>
        </w:rPr>
        <w:t>）招标人在开标记录上确认；</w:t>
      </w:r>
    </w:p>
    <w:p>
      <w:pPr>
        <w:pStyle w:val="124"/>
        <w:widowControl w:val="0"/>
        <w:spacing w:line="360" w:lineRule="auto"/>
        <w:ind w:firstLine="420" w:firstLineChars="200"/>
        <w:rPr>
          <w:color w:val="auto"/>
          <w:highlight w:val="none"/>
        </w:rPr>
      </w:pPr>
      <w:r>
        <w:rPr>
          <w:color w:val="auto"/>
          <w:highlight w:val="none"/>
        </w:rPr>
        <w:t>（</w:t>
      </w:r>
      <w:r>
        <w:rPr>
          <w:rFonts w:hint="eastAsia"/>
          <w:color w:val="auto"/>
          <w:highlight w:val="none"/>
        </w:rPr>
        <w:t>8</w:t>
      </w:r>
      <w:r>
        <w:rPr>
          <w:color w:val="auto"/>
          <w:highlight w:val="none"/>
        </w:rPr>
        <w:t>）开标结束。</w:t>
      </w:r>
    </w:p>
    <w:p>
      <w:pPr>
        <w:pStyle w:val="7"/>
        <w:keepLines/>
        <w:widowControl w:val="0"/>
        <w:jc w:val="left"/>
        <w:rPr>
          <w:rFonts w:eastAsia="黑体"/>
          <w:b w:val="0"/>
          <w:bCs w:val="0"/>
          <w:color w:val="auto"/>
          <w:sz w:val="28"/>
          <w:szCs w:val="28"/>
          <w:highlight w:val="none"/>
        </w:rPr>
      </w:pPr>
      <w:bookmarkStart w:id="101" w:name="_Toc69199912"/>
      <w:r>
        <w:rPr>
          <w:rFonts w:eastAsia="黑体"/>
          <w:b w:val="0"/>
          <w:bCs w:val="0"/>
          <w:color w:val="auto"/>
          <w:sz w:val="28"/>
          <w:szCs w:val="28"/>
          <w:highlight w:val="none"/>
        </w:rPr>
        <w:t>6.评标</w:t>
      </w:r>
      <w:bookmarkEnd w:id="99"/>
      <w:bookmarkEnd w:id="100"/>
      <w:bookmarkEnd w:id="101"/>
    </w:p>
    <w:p>
      <w:pPr>
        <w:pStyle w:val="8"/>
        <w:rPr>
          <w:rFonts w:hint="eastAsia" w:ascii="Times New Roman" w:hAnsi="Times New Roman" w:eastAsia="黑体"/>
          <w:b w:val="0"/>
          <w:bCs w:val="0"/>
          <w:color w:val="auto"/>
          <w:sz w:val="24"/>
          <w:highlight w:val="none"/>
        </w:rPr>
      </w:pPr>
      <w:bookmarkStart w:id="102" w:name="_Toc300678033"/>
      <w:r>
        <w:rPr>
          <w:rFonts w:ascii="Times New Roman" w:hAnsi="Times New Roman" w:eastAsia="黑体"/>
          <w:b w:val="0"/>
          <w:bCs w:val="0"/>
          <w:color w:val="auto"/>
          <w:sz w:val="24"/>
          <w:highlight w:val="none"/>
        </w:rPr>
        <w:t>6.1 评标委员会</w:t>
      </w:r>
      <w:bookmarkEnd w:id="102"/>
    </w:p>
    <w:p>
      <w:pPr>
        <w:pStyle w:val="124"/>
        <w:widowControl w:val="0"/>
        <w:spacing w:line="360" w:lineRule="auto"/>
        <w:ind w:firstLine="420" w:firstLineChars="200"/>
        <w:rPr>
          <w:color w:val="auto"/>
          <w:highlight w:val="none"/>
        </w:rPr>
      </w:pPr>
      <w:r>
        <w:rPr>
          <w:color w:val="auto"/>
          <w:highlight w:val="none"/>
        </w:rPr>
        <w:t>6.1.1  评标由招标人依法组建的评标委员会负责。评标委员会成员人数以及技术、经济等方面专家的确定方式见投标人须知前附表。</w:t>
      </w:r>
    </w:p>
    <w:p>
      <w:pPr>
        <w:pStyle w:val="124"/>
        <w:widowControl w:val="0"/>
        <w:spacing w:line="360" w:lineRule="auto"/>
        <w:ind w:firstLine="420" w:firstLineChars="200"/>
        <w:rPr>
          <w:color w:val="auto"/>
          <w:highlight w:val="none"/>
        </w:rPr>
      </w:pPr>
      <w:r>
        <w:rPr>
          <w:color w:val="auto"/>
          <w:highlight w:val="none"/>
        </w:rPr>
        <w:t>6.1.2  有下列情形之一的，应当回避：</w:t>
      </w:r>
    </w:p>
    <w:p>
      <w:pPr>
        <w:pStyle w:val="124"/>
        <w:widowControl w:val="0"/>
        <w:spacing w:line="360" w:lineRule="auto"/>
        <w:ind w:firstLine="420" w:firstLineChars="200"/>
        <w:rPr>
          <w:color w:val="auto"/>
          <w:highlight w:val="none"/>
        </w:rPr>
      </w:pPr>
      <w:r>
        <w:rPr>
          <w:color w:val="auto"/>
          <w:highlight w:val="none"/>
        </w:rPr>
        <w:t>（1）评标委员会成员是投标人或投标人的主要负责人或拟任项目经理的近亲属；</w:t>
      </w:r>
    </w:p>
    <w:p>
      <w:pPr>
        <w:pStyle w:val="124"/>
        <w:widowControl w:val="0"/>
        <w:spacing w:line="360" w:lineRule="auto"/>
        <w:ind w:firstLine="420" w:firstLineChars="200"/>
        <w:rPr>
          <w:color w:val="auto"/>
          <w:highlight w:val="none"/>
        </w:rPr>
      </w:pPr>
      <w:r>
        <w:rPr>
          <w:color w:val="auto"/>
          <w:highlight w:val="none"/>
        </w:rPr>
        <w:t>（2）评标委员会成员是本项目招标投标行政监督部门的人员；</w:t>
      </w:r>
    </w:p>
    <w:p>
      <w:pPr>
        <w:pStyle w:val="124"/>
        <w:widowControl w:val="0"/>
        <w:spacing w:line="360" w:lineRule="auto"/>
        <w:ind w:firstLine="420" w:firstLineChars="200"/>
        <w:rPr>
          <w:color w:val="auto"/>
          <w:highlight w:val="none"/>
        </w:rPr>
      </w:pPr>
      <w:r>
        <w:rPr>
          <w:color w:val="auto"/>
          <w:highlight w:val="none"/>
        </w:rPr>
        <w:t>（3）评标委员会成员是招标人或者其下属单位或者招标项目上级主管部门的人员，但招标人代表除外；</w:t>
      </w:r>
    </w:p>
    <w:p>
      <w:pPr>
        <w:pStyle w:val="124"/>
        <w:widowControl w:val="0"/>
        <w:spacing w:line="360" w:lineRule="auto"/>
        <w:ind w:firstLine="420" w:firstLineChars="200"/>
        <w:rPr>
          <w:color w:val="auto"/>
          <w:highlight w:val="none"/>
        </w:rPr>
      </w:pPr>
      <w:r>
        <w:rPr>
          <w:color w:val="auto"/>
          <w:highlight w:val="none"/>
        </w:rPr>
        <w:t>（4）评标委员会成员曾参与投标人的投标文件编制或者对投标文件的编制实施指导；</w:t>
      </w:r>
    </w:p>
    <w:p>
      <w:pPr>
        <w:pStyle w:val="124"/>
        <w:widowControl w:val="0"/>
        <w:spacing w:line="360" w:lineRule="auto"/>
        <w:ind w:firstLine="420" w:firstLineChars="200"/>
        <w:rPr>
          <w:color w:val="auto"/>
          <w:highlight w:val="none"/>
        </w:rPr>
      </w:pPr>
      <w:r>
        <w:rPr>
          <w:color w:val="auto"/>
          <w:highlight w:val="none"/>
        </w:rPr>
        <w:t>（5）评标委员会成员与投标人有经济利益关系，可能影响对投标公正评审的</w:t>
      </w:r>
      <w:r>
        <w:rPr>
          <w:rFonts w:hint="eastAsia"/>
          <w:color w:val="auto"/>
          <w:highlight w:val="none"/>
        </w:rPr>
        <w:t>；</w:t>
      </w:r>
    </w:p>
    <w:p>
      <w:pPr>
        <w:pStyle w:val="124"/>
        <w:widowControl w:val="0"/>
        <w:spacing w:line="360" w:lineRule="auto"/>
        <w:ind w:firstLine="420" w:firstLineChars="200"/>
        <w:rPr>
          <w:color w:val="auto"/>
          <w:highlight w:val="none"/>
        </w:rPr>
      </w:pPr>
      <w:r>
        <w:rPr>
          <w:color w:val="auto"/>
          <w:highlight w:val="none"/>
        </w:rPr>
        <w:t>（6）评标委员会成员被主管部门禁止参加本地区依法必须招标项目评标或者取消担任评标委员会成员资格</w:t>
      </w:r>
      <w:r>
        <w:rPr>
          <w:rFonts w:hint="eastAsia"/>
          <w:color w:val="auto"/>
          <w:highlight w:val="none"/>
        </w:rPr>
        <w:t>。</w:t>
      </w:r>
    </w:p>
    <w:p>
      <w:pPr>
        <w:pStyle w:val="8"/>
        <w:rPr>
          <w:rFonts w:ascii="Times New Roman" w:hAnsi="Times New Roman" w:eastAsia="黑体"/>
          <w:b w:val="0"/>
          <w:bCs w:val="0"/>
          <w:color w:val="auto"/>
          <w:sz w:val="24"/>
          <w:highlight w:val="none"/>
        </w:rPr>
      </w:pPr>
      <w:bookmarkStart w:id="103" w:name="_Toc300678034"/>
      <w:r>
        <w:rPr>
          <w:rFonts w:ascii="Times New Roman" w:hAnsi="Times New Roman" w:eastAsia="黑体"/>
          <w:b w:val="0"/>
          <w:bCs w:val="0"/>
          <w:color w:val="auto"/>
          <w:sz w:val="24"/>
          <w:highlight w:val="none"/>
        </w:rPr>
        <w:t>6.2 评标原则</w:t>
      </w:r>
      <w:bookmarkEnd w:id="103"/>
    </w:p>
    <w:p>
      <w:pPr>
        <w:pStyle w:val="124"/>
        <w:widowControl w:val="0"/>
        <w:spacing w:line="360" w:lineRule="auto"/>
        <w:ind w:firstLine="420" w:firstLineChars="200"/>
        <w:rPr>
          <w:color w:val="auto"/>
          <w:highlight w:val="none"/>
        </w:rPr>
      </w:pPr>
      <w:r>
        <w:rPr>
          <w:color w:val="auto"/>
          <w:highlight w:val="none"/>
        </w:rPr>
        <w:t>评标活动遵循公平、公正、科学和择优的原则。</w:t>
      </w:r>
    </w:p>
    <w:p>
      <w:pPr>
        <w:pStyle w:val="8"/>
        <w:rPr>
          <w:rFonts w:ascii="Times New Roman" w:hAnsi="Times New Roman" w:eastAsia="黑体"/>
          <w:b w:val="0"/>
          <w:bCs w:val="0"/>
          <w:color w:val="auto"/>
          <w:sz w:val="24"/>
          <w:highlight w:val="none"/>
        </w:rPr>
      </w:pPr>
      <w:bookmarkStart w:id="104" w:name="_Toc300678035"/>
      <w:r>
        <w:rPr>
          <w:rFonts w:ascii="Times New Roman" w:hAnsi="Times New Roman" w:eastAsia="黑体"/>
          <w:b w:val="0"/>
          <w:bCs w:val="0"/>
          <w:color w:val="auto"/>
          <w:sz w:val="24"/>
          <w:highlight w:val="none"/>
        </w:rPr>
        <w:t>6.3 评标</w:t>
      </w:r>
      <w:bookmarkEnd w:id="104"/>
    </w:p>
    <w:p>
      <w:pPr>
        <w:pStyle w:val="124"/>
        <w:widowControl w:val="0"/>
        <w:spacing w:line="360" w:lineRule="auto"/>
        <w:ind w:firstLine="420" w:firstLineChars="200"/>
        <w:rPr>
          <w:color w:val="auto"/>
          <w:highlight w:val="none"/>
        </w:rPr>
      </w:pPr>
      <w:r>
        <w:rPr>
          <w:color w:val="auto"/>
          <w:highlight w:val="none"/>
        </w:rPr>
        <w:t>评标委员会按照第三章“评标办法”规定的评审标准和</w:t>
      </w:r>
      <w:r>
        <w:rPr>
          <w:rFonts w:hint="eastAsia"/>
          <w:color w:val="auto"/>
          <w:highlight w:val="none"/>
        </w:rPr>
        <w:t>评审</w:t>
      </w:r>
      <w:r>
        <w:rPr>
          <w:color w:val="auto"/>
          <w:highlight w:val="none"/>
        </w:rPr>
        <w:t>程序对投标文件进行评审。</w:t>
      </w:r>
      <w:r>
        <w:rPr>
          <w:rFonts w:hint="eastAsia" w:ascii="宋体" w:hAnsi="宋体"/>
          <w:color w:val="auto"/>
          <w:highlight w:val="none"/>
        </w:rPr>
        <w:t>第三章“评标办法”没有规定的方法、评审因素和标准，不作为评标依据。</w:t>
      </w:r>
    </w:p>
    <w:p>
      <w:pPr>
        <w:pStyle w:val="7"/>
        <w:keepLines/>
        <w:widowControl w:val="0"/>
        <w:jc w:val="left"/>
        <w:rPr>
          <w:rFonts w:eastAsia="黑体"/>
          <w:b w:val="0"/>
          <w:bCs w:val="0"/>
          <w:color w:val="auto"/>
          <w:sz w:val="28"/>
          <w:szCs w:val="28"/>
          <w:highlight w:val="none"/>
        </w:rPr>
      </w:pPr>
      <w:bookmarkStart w:id="105" w:name="_Toc9178524"/>
      <w:bookmarkStart w:id="106" w:name="_Toc300678036"/>
      <w:bookmarkStart w:id="107" w:name="_Toc69199913"/>
      <w:r>
        <w:rPr>
          <w:rFonts w:eastAsia="黑体"/>
          <w:b w:val="0"/>
          <w:bCs w:val="0"/>
          <w:color w:val="auto"/>
          <w:sz w:val="28"/>
          <w:szCs w:val="28"/>
          <w:highlight w:val="none"/>
        </w:rPr>
        <w:t>7.合同授予</w:t>
      </w:r>
      <w:bookmarkEnd w:id="105"/>
      <w:bookmarkEnd w:id="106"/>
      <w:bookmarkEnd w:id="107"/>
    </w:p>
    <w:p>
      <w:pPr>
        <w:pStyle w:val="8"/>
        <w:rPr>
          <w:rFonts w:ascii="Times New Roman" w:hAnsi="Times New Roman" w:eastAsia="黑体"/>
          <w:b w:val="0"/>
          <w:bCs w:val="0"/>
          <w:color w:val="auto"/>
          <w:sz w:val="24"/>
          <w:highlight w:val="none"/>
        </w:rPr>
      </w:pPr>
      <w:bookmarkStart w:id="108" w:name="_Toc300678037"/>
      <w:r>
        <w:rPr>
          <w:rFonts w:ascii="Times New Roman" w:hAnsi="Times New Roman" w:eastAsia="黑体"/>
          <w:b w:val="0"/>
          <w:bCs w:val="0"/>
          <w:color w:val="auto"/>
          <w:sz w:val="24"/>
          <w:highlight w:val="none"/>
        </w:rPr>
        <w:t>7.1 定标方式</w:t>
      </w:r>
      <w:bookmarkEnd w:id="108"/>
    </w:p>
    <w:p>
      <w:pPr>
        <w:spacing w:line="360" w:lineRule="auto"/>
        <w:ind w:firstLine="420" w:firstLineChars="200"/>
        <w:rPr>
          <w:color w:val="auto"/>
          <w:szCs w:val="21"/>
          <w:highlight w:val="none"/>
        </w:rPr>
      </w:pPr>
      <w:r>
        <w:rPr>
          <w:color w:val="auto"/>
          <w:szCs w:val="21"/>
          <w:highlight w:val="none"/>
        </w:rPr>
        <w:t>招标人依据评标委员会推荐的中标候选人确定中标人。评标委员会推荐中标候选人的数量以及招标人确定中标人的方式见投标人须知前附表。</w:t>
      </w:r>
      <w:bookmarkStart w:id="109" w:name="_Toc300678038"/>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7.2 中标通知</w:t>
      </w:r>
      <w:bookmarkEnd w:id="109"/>
    </w:p>
    <w:p>
      <w:pPr>
        <w:pStyle w:val="124"/>
        <w:widowControl w:val="0"/>
        <w:spacing w:line="360" w:lineRule="auto"/>
        <w:ind w:firstLine="420" w:firstLineChars="200"/>
        <w:rPr>
          <w:color w:val="auto"/>
          <w:highlight w:val="none"/>
        </w:rPr>
      </w:pPr>
      <w:r>
        <w:rPr>
          <w:color w:val="auto"/>
          <w:highlight w:val="none"/>
        </w:rPr>
        <w:t>在规定的投标有效期内，招标人以书面形式向中标人发出中标通知书，同时将中标结果通知未中标的投标人。</w:t>
      </w:r>
    </w:p>
    <w:p>
      <w:pPr>
        <w:pStyle w:val="8"/>
        <w:rPr>
          <w:rFonts w:ascii="Times New Roman" w:hAnsi="Times New Roman" w:eastAsia="黑体"/>
          <w:b w:val="0"/>
          <w:bCs w:val="0"/>
          <w:color w:val="auto"/>
          <w:sz w:val="24"/>
          <w:highlight w:val="none"/>
        </w:rPr>
      </w:pPr>
      <w:bookmarkStart w:id="110" w:name="_Toc300678039"/>
      <w:r>
        <w:rPr>
          <w:rFonts w:ascii="Times New Roman" w:hAnsi="Times New Roman" w:eastAsia="黑体"/>
          <w:b w:val="0"/>
          <w:bCs w:val="0"/>
          <w:color w:val="auto"/>
          <w:sz w:val="24"/>
          <w:highlight w:val="none"/>
        </w:rPr>
        <w:t>7.3 履约担保</w:t>
      </w:r>
      <w:bookmarkEnd w:id="110"/>
    </w:p>
    <w:p>
      <w:pPr>
        <w:pStyle w:val="124"/>
        <w:widowControl w:val="0"/>
        <w:spacing w:line="360" w:lineRule="auto"/>
        <w:ind w:firstLine="420" w:firstLineChars="200"/>
        <w:rPr>
          <w:color w:val="auto"/>
          <w:highlight w:val="none"/>
        </w:rPr>
      </w:pPr>
      <w:r>
        <w:rPr>
          <w:color w:val="auto"/>
          <w:highlight w:val="none"/>
        </w:rPr>
        <w:t>7.3.1  在签订合同前，中标人应按投标人须知前附表规定的金额、担保形式和招标文件第四章“合同条款及格式”规定的履约担保格式向招标人提交履约担保。联合体中标的，履约担保由牵头人递交。</w:t>
      </w:r>
    </w:p>
    <w:p>
      <w:pPr>
        <w:pStyle w:val="124"/>
        <w:widowControl w:val="0"/>
        <w:spacing w:line="360" w:lineRule="auto"/>
        <w:ind w:firstLine="420" w:firstLineChars="200"/>
        <w:rPr>
          <w:color w:val="auto"/>
          <w:highlight w:val="none"/>
        </w:rPr>
      </w:pPr>
      <w:r>
        <w:rPr>
          <w:color w:val="auto"/>
          <w:highlight w:val="none"/>
        </w:rPr>
        <w:t>7.3.2  中标人不能按本</w:t>
      </w:r>
      <w:r>
        <w:rPr>
          <w:rFonts w:hint="eastAsia"/>
          <w:color w:val="auto"/>
          <w:highlight w:val="none"/>
        </w:rPr>
        <w:t>须知</w:t>
      </w:r>
      <w:r>
        <w:rPr>
          <w:color w:val="auto"/>
          <w:highlight w:val="none"/>
        </w:rPr>
        <w:t>第7.3.1 项要求提交履约担保的，视为放弃中标。给招标人造成的损失超过投标保证数额的，中标人应当对超过部分予以赔偿。</w:t>
      </w:r>
    </w:p>
    <w:p>
      <w:pPr>
        <w:pStyle w:val="8"/>
        <w:rPr>
          <w:rFonts w:ascii="Times New Roman" w:hAnsi="Times New Roman" w:eastAsia="黑体"/>
          <w:b w:val="0"/>
          <w:bCs w:val="0"/>
          <w:color w:val="auto"/>
          <w:sz w:val="24"/>
          <w:highlight w:val="none"/>
        </w:rPr>
      </w:pPr>
      <w:bookmarkStart w:id="111" w:name="_Toc300678040"/>
      <w:r>
        <w:rPr>
          <w:rFonts w:ascii="Times New Roman" w:hAnsi="Times New Roman" w:eastAsia="黑体"/>
          <w:b w:val="0"/>
          <w:bCs w:val="0"/>
          <w:color w:val="auto"/>
          <w:sz w:val="24"/>
          <w:highlight w:val="none"/>
        </w:rPr>
        <w:t>7.4 签订合同</w:t>
      </w:r>
      <w:bookmarkEnd w:id="111"/>
    </w:p>
    <w:p>
      <w:pPr>
        <w:pStyle w:val="124"/>
        <w:widowControl w:val="0"/>
        <w:spacing w:line="360" w:lineRule="auto"/>
        <w:ind w:firstLine="420" w:firstLineChars="200"/>
        <w:rPr>
          <w:color w:val="auto"/>
          <w:highlight w:val="none"/>
        </w:rPr>
      </w:pPr>
      <w:r>
        <w:rPr>
          <w:color w:val="auto"/>
          <w:highlight w:val="none"/>
        </w:rPr>
        <w:t>7.4.1  自中标通知书发出之日起30 天内，招标人和中标人根据招标文件和中标人的投标文件订立书面合同。中标人无正当理由拒签合同的，招标人取消其中标资格；给招标人造成的损失超过投标保证数额的，中标人应当对超过部分予以赔偿。</w:t>
      </w:r>
    </w:p>
    <w:p>
      <w:pPr>
        <w:pStyle w:val="124"/>
        <w:widowControl w:val="0"/>
        <w:spacing w:line="360" w:lineRule="auto"/>
        <w:ind w:firstLine="420" w:firstLineChars="200"/>
        <w:rPr>
          <w:color w:val="auto"/>
          <w:highlight w:val="none"/>
        </w:rPr>
      </w:pPr>
      <w:r>
        <w:rPr>
          <w:color w:val="auto"/>
          <w:highlight w:val="none"/>
        </w:rPr>
        <w:t>7.4.2  发出中标通知书后，招标人无正当理由拒签合同的，招标人向中标人退还投标保证；给中标人造成损失的，还应当赔偿损失。</w:t>
      </w:r>
    </w:p>
    <w:p>
      <w:pPr>
        <w:pStyle w:val="7"/>
        <w:keepLines/>
        <w:widowControl w:val="0"/>
        <w:jc w:val="left"/>
        <w:rPr>
          <w:rFonts w:eastAsia="黑体"/>
          <w:b w:val="0"/>
          <w:bCs w:val="0"/>
          <w:color w:val="auto"/>
          <w:sz w:val="28"/>
          <w:szCs w:val="28"/>
          <w:highlight w:val="none"/>
        </w:rPr>
      </w:pPr>
      <w:bookmarkStart w:id="112" w:name="_Toc69199914"/>
      <w:bookmarkStart w:id="113" w:name="_Toc300678041"/>
      <w:bookmarkStart w:id="114" w:name="_Toc9178525"/>
      <w:r>
        <w:rPr>
          <w:rFonts w:eastAsia="黑体"/>
          <w:b w:val="0"/>
          <w:bCs w:val="0"/>
          <w:color w:val="auto"/>
          <w:sz w:val="28"/>
          <w:szCs w:val="28"/>
          <w:highlight w:val="none"/>
        </w:rPr>
        <w:t>8.重新招标和不再招标</w:t>
      </w:r>
      <w:bookmarkEnd w:id="112"/>
      <w:bookmarkEnd w:id="113"/>
      <w:bookmarkEnd w:id="114"/>
    </w:p>
    <w:p>
      <w:pPr>
        <w:pStyle w:val="8"/>
        <w:rPr>
          <w:rFonts w:ascii="Times New Roman" w:hAnsi="Times New Roman" w:eastAsia="黑体"/>
          <w:b w:val="0"/>
          <w:bCs w:val="0"/>
          <w:color w:val="auto"/>
          <w:sz w:val="24"/>
          <w:highlight w:val="none"/>
        </w:rPr>
      </w:pPr>
      <w:bookmarkStart w:id="115" w:name="_Toc300678042"/>
      <w:r>
        <w:rPr>
          <w:rFonts w:ascii="Times New Roman" w:hAnsi="Times New Roman" w:eastAsia="黑体"/>
          <w:b w:val="0"/>
          <w:bCs w:val="0"/>
          <w:color w:val="auto"/>
          <w:sz w:val="24"/>
          <w:highlight w:val="none"/>
        </w:rPr>
        <w:t>8.1 重新招标</w:t>
      </w:r>
      <w:bookmarkEnd w:id="115"/>
    </w:p>
    <w:p>
      <w:pPr>
        <w:pStyle w:val="124"/>
        <w:widowControl w:val="0"/>
        <w:spacing w:line="360" w:lineRule="auto"/>
        <w:ind w:firstLine="420" w:firstLineChars="200"/>
        <w:rPr>
          <w:color w:val="auto"/>
          <w:highlight w:val="none"/>
        </w:rPr>
      </w:pPr>
      <w:r>
        <w:rPr>
          <w:color w:val="auto"/>
          <w:highlight w:val="none"/>
        </w:rPr>
        <w:t>有下列情形之一的，招标人将重新招标：</w:t>
      </w:r>
    </w:p>
    <w:p>
      <w:pPr>
        <w:pStyle w:val="124"/>
        <w:widowControl w:val="0"/>
        <w:spacing w:line="360" w:lineRule="auto"/>
        <w:ind w:firstLine="420" w:firstLineChars="200"/>
        <w:rPr>
          <w:color w:val="auto"/>
          <w:highlight w:val="none"/>
        </w:rPr>
      </w:pPr>
      <w:r>
        <w:rPr>
          <w:color w:val="auto"/>
          <w:highlight w:val="none"/>
        </w:rPr>
        <w:t>（l）</w:t>
      </w:r>
      <w:r>
        <w:rPr>
          <w:rFonts w:hint="eastAsia"/>
          <w:color w:val="auto"/>
          <w:highlight w:val="none"/>
        </w:rPr>
        <w:t>获取资格预审文件或者招标文件的潜在投标人少于3个的</w:t>
      </w:r>
      <w:r>
        <w:rPr>
          <w:color w:val="auto"/>
          <w:highlight w:val="none"/>
        </w:rPr>
        <w:t>；</w:t>
      </w:r>
    </w:p>
    <w:p>
      <w:pPr>
        <w:pStyle w:val="124"/>
        <w:widowControl w:val="0"/>
        <w:spacing w:line="360" w:lineRule="auto"/>
        <w:ind w:firstLine="420" w:firstLineChars="200"/>
        <w:rPr>
          <w:color w:val="auto"/>
          <w:highlight w:val="none"/>
        </w:rPr>
      </w:pPr>
      <w:r>
        <w:rPr>
          <w:color w:val="auto"/>
          <w:highlight w:val="none"/>
        </w:rPr>
        <w:t>（2）</w:t>
      </w:r>
      <w:r>
        <w:rPr>
          <w:rFonts w:hint="eastAsia"/>
          <w:color w:val="auto"/>
          <w:highlight w:val="none"/>
        </w:rPr>
        <w:t>在投标截止时间之前提交投标文件的投标人少于3个的；</w:t>
      </w:r>
    </w:p>
    <w:p>
      <w:pPr>
        <w:pStyle w:val="124"/>
        <w:widowControl w:val="0"/>
        <w:spacing w:line="360" w:lineRule="auto"/>
        <w:ind w:firstLine="420" w:firstLineChars="200"/>
        <w:rPr>
          <w:color w:val="auto"/>
          <w:highlight w:val="none"/>
        </w:rPr>
      </w:pPr>
      <w:r>
        <w:rPr>
          <w:rFonts w:hint="eastAsia"/>
          <w:color w:val="auto"/>
          <w:highlight w:val="none"/>
        </w:rPr>
        <w:t>（3）通过资格预审的申请人少于3个的；</w:t>
      </w:r>
    </w:p>
    <w:p>
      <w:pPr>
        <w:pStyle w:val="124"/>
        <w:widowControl w:val="0"/>
        <w:spacing w:line="360" w:lineRule="auto"/>
        <w:ind w:firstLine="420" w:firstLineChars="200"/>
        <w:rPr>
          <w:color w:val="auto"/>
          <w:highlight w:val="none"/>
        </w:rPr>
      </w:pPr>
      <w:r>
        <w:rPr>
          <w:rFonts w:hint="eastAsia"/>
          <w:color w:val="auto"/>
          <w:highlight w:val="none"/>
        </w:rPr>
        <w:t>（4）经评标委员会评审，所有投标文件均被否决的；</w:t>
      </w:r>
    </w:p>
    <w:p>
      <w:pPr>
        <w:pStyle w:val="124"/>
        <w:widowControl w:val="0"/>
        <w:spacing w:line="360" w:lineRule="auto"/>
        <w:ind w:firstLine="420" w:firstLineChars="200"/>
        <w:rPr>
          <w:color w:val="auto"/>
          <w:highlight w:val="none"/>
        </w:rPr>
      </w:pPr>
      <w:r>
        <w:rPr>
          <w:rFonts w:hint="eastAsia"/>
          <w:color w:val="auto"/>
          <w:highlight w:val="none"/>
        </w:rPr>
        <w:t>（5）有效投标人不足3个，评标委员会认为投标明显缺乏竞争，否决本次招标的；</w:t>
      </w:r>
    </w:p>
    <w:p>
      <w:pPr>
        <w:pStyle w:val="124"/>
        <w:widowControl w:val="0"/>
        <w:spacing w:line="360" w:lineRule="auto"/>
        <w:ind w:firstLine="420" w:firstLineChars="200"/>
        <w:rPr>
          <w:rFonts w:hint="eastAsia"/>
          <w:color w:val="auto"/>
          <w:highlight w:val="none"/>
        </w:rPr>
      </w:pPr>
      <w:r>
        <w:rPr>
          <w:rFonts w:hint="eastAsia"/>
          <w:color w:val="auto"/>
          <w:highlight w:val="none"/>
        </w:rPr>
        <w:t>（6）所有中标候选人依法均不能确定为中标人的。</w:t>
      </w:r>
    </w:p>
    <w:p>
      <w:pPr>
        <w:pStyle w:val="8"/>
        <w:rPr>
          <w:rFonts w:ascii="Times New Roman" w:hAnsi="Times New Roman" w:eastAsia="黑体"/>
          <w:b w:val="0"/>
          <w:bCs w:val="0"/>
          <w:color w:val="auto"/>
          <w:sz w:val="24"/>
          <w:highlight w:val="none"/>
        </w:rPr>
      </w:pPr>
      <w:bookmarkStart w:id="116" w:name="_Toc300678043"/>
      <w:r>
        <w:rPr>
          <w:rFonts w:ascii="Times New Roman" w:hAnsi="Times New Roman" w:eastAsia="黑体"/>
          <w:b w:val="0"/>
          <w:bCs w:val="0"/>
          <w:color w:val="auto"/>
          <w:sz w:val="24"/>
          <w:highlight w:val="none"/>
        </w:rPr>
        <w:t>8.2 不再招标</w:t>
      </w:r>
      <w:bookmarkEnd w:id="116"/>
    </w:p>
    <w:p>
      <w:pPr>
        <w:pStyle w:val="124"/>
        <w:widowControl w:val="0"/>
        <w:spacing w:line="360" w:lineRule="auto"/>
        <w:ind w:firstLine="420" w:firstLineChars="200"/>
        <w:rPr>
          <w:color w:val="auto"/>
          <w:highlight w:val="none"/>
        </w:rPr>
      </w:pPr>
      <w:r>
        <w:rPr>
          <w:color w:val="auto"/>
          <w:highlight w:val="none"/>
        </w:rPr>
        <w:t>重新招标后投标人仍少于3 个或者所有投标被否决的，属于必须审批或核准的工程建设项目，经原审批或核准部门批准后不再进行招标。</w:t>
      </w:r>
    </w:p>
    <w:p>
      <w:pPr>
        <w:pStyle w:val="7"/>
        <w:keepLines/>
        <w:widowControl w:val="0"/>
        <w:jc w:val="left"/>
        <w:rPr>
          <w:rFonts w:eastAsia="黑体"/>
          <w:b w:val="0"/>
          <w:bCs w:val="0"/>
          <w:color w:val="auto"/>
          <w:sz w:val="28"/>
          <w:szCs w:val="28"/>
          <w:highlight w:val="none"/>
        </w:rPr>
      </w:pPr>
      <w:bookmarkStart w:id="117" w:name="_Toc69199915"/>
      <w:bookmarkStart w:id="118" w:name="_Toc9178526"/>
      <w:bookmarkStart w:id="119" w:name="_Toc300678044"/>
      <w:r>
        <w:rPr>
          <w:rFonts w:eastAsia="黑体"/>
          <w:b w:val="0"/>
          <w:bCs w:val="0"/>
          <w:color w:val="auto"/>
          <w:sz w:val="28"/>
          <w:szCs w:val="28"/>
          <w:highlight w:val="none"/>
        </w:rPr>
        <w:t>9.纪律和监督</w:t>
      </w:r>
      <w:bookmarkEnd w:id="117"/>
      <w:bookmarkEnd w:id="118"/>
      <w:bookmarkEnd w:id="119"/>
    </w:p>
    <w:p>
      <w:pPr>
        <w:pStyle w:val="8"/>
        <w:rPr>
          <w:rFonts w:ascii="Times New Roman" w:hAnsi="Times New Roman" w:eastAsia="黑体"/>
          <w:b w:val="0"/>
          <w:bCs w:val="0"/>
          <w:color w:val="auto"/>
          <w:sz w:val="24"/>
          <w:highlight w:val="none"/>
        </w:rPr>
      </w:pPr>
      <w:bookmarkStart w:id="120" w:name="_Toc300678046"/>
      <w:r>
        <w:rPr>
          <w:rFonts w:ascii="Times New Roman" w:hAnsi="Times New Roman" w:eastAsia="黑体"/>
          <w:b w:val="0"/>
          <w:bCs w:val="0"/>
          <w:color w:val="auto"/>
          <w:sz w:val="24"/>
          <w:highlight w:val="none"/>
        </w:rPr>
        <w:t>9.1对投标人的纪律要求</w:t>
      </w:r>
      <w:bookmarkEnd w:id="120"/>
    </w:p>
    <w:p>
      <w:pPr>
        <w:pStyle w:val="124"/>
        <w:widowControl w:val="0"/>
        <w:spacing w:line="360" w:lineRule="auto"/>
        <w:ind w:firstLine="420" w:firstLineChars="200"/>
        <w:rPr>
          <w:color w:val="auto"/>
          <w:highlight w:val="none"/>
        </w:rPr>
      </w:pPr>
      <w:r>
        <w:rPr>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8"/>
        <w:rPr>
          <w:rFonts w:ascii="Times New Roman" w:hAnsi="Times New Roman" w:eastAsia="黑体"/>
          <w:b w:val="0"/>
          <w:bCs w:val="0"/>
          <w:color w:val="auto"/>
          <w:sz w:val="24"/>
          <w:highlight w:val="none"/>
        </w:rPr>
      </w:pPr>
      <w:bookmarkStart w:id="121" w:name="_Toc300678047"/>
      <w:r>
        <w:rPr>
          <w:rFonts w:ascii="Times New Roman" w:hAnsi="Times New Roman" w:eastAsia="黑体"/>
          <w:b w:val="0"/>
          <w:bCs w:val="0"/>
          <w:color w:val="auto"/>
          <w:sz w:val="24"/>
          <w:highlight w:val="none"/>
        </w:rPr>
        <w:t>9.2对评标委员会成员的纪律要求</w:t>
      </w:r>
      <w:bookmarkEnd w:id="121"/>
    </w:p>
    <w:p>
      <w:pPr>
        <w:pStyle w:val="124"/>
        <w:widowControl w:val="0"/>
        <w:spacing w:line="360" w:lineRule="auto"/>
        <w:ind w:firstLine="420" w:firstLineChars="200"/>
        <w:rPr>
          <w:color w:val="auto"/>
          <w:highlight w:val="none"/>
        </w:rPr>
      </w:pPr>
      <w:r>
        <w:rPr>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w:t>
      </w:r>
    </w:p>
    <w:p>
      <w:pPr>
        <w:pStyle w:val="8"/>
        <w:rPr>
          <w:rFonts w:ascii="Times New Roman" w:hAnsi="Times New Roman" w:eastAsia="黑体"/>
          <w:b w:val="0"/>
          <w:bCs w:val="0"/>
          <w:color w:val="auto"/>
          <w:sz w:val="24"/>
          <w:highlight w:val="none"/>
        </w:rPr>
      </w:pPr>
      <w:bookmarkStart w:id="122" w:name="_Toc300678048"/>
      <w:r>
        <w:rPr>
          <w:rFonts w:ascii="Times New Roman" w:hAnsi="Times New Roman" w:eastAsia="黑体"/>
          <w:b w:val="0"/>
          <w:bCs w:val="0"/>
          <w:color w:val="auto"/>
          <w:sz w:val="24"/>
          <w:highlight w:val="none"/>
        </w:rPr>
        <w:t>9.</w:t>
      </w:r>
      <w:r>
        <w:rPr>
          <w:rFonts w:hint="eastAsia" w:ascii="Times New Roman" w:hAnsi="Times New Roman" w:eastAsia="黑体"/>
          <w:b w:val="0"/>
          <w:bCs w:val="0"/>
          <w:color w:val="auto"/>
          <w:sz w:val="24"/>
          <w:highlight w:val="none"/>
        </w:rPr>
        <w:t>3</w:t>
      </w:r>
      <w:r>
        <w:rPr>
          <w:rFonts w:ascii="Times New Roman" w:hAnsi="Times New Roman" w:eastAsia="黑体"/>
          <w:b w:val="0"/>
          <w:bCs w:val="0"/>
          <w:color w:val="auto"/>
          <w:sz w:val="24"/>
          <w:highlight w:val="none"/>
        </w:rPr>
        <w:t xml:space="preserve"> 对与评标活动有关的工作人员的纪律要求</w:t>
      </w:r>
      <w:bookmarkEnd w:id="122"/>
    </w:p>
    <w:p>
      <w:pPr>
        <w:pStyle w:val="124"/>
        <w:widowControl w:val="0"/>
        <w:spacing w:line="360" w:lineRule="auto"/>
        <w:ind w:firstLine="420" w:firstLineChars="200"/>
        <w:rPr>
          <w:color w:val="auto"/>
          <w:highlight w:val="none"/>
        </w:rPr>
      </w:pPr>
      <w:r>
        <w:rPr>
          <w:color w:val="auto"/>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pStyle w:val="8"/>
        <w:rPr>
          <w:rFonts w:hint="eastAsia" w:ascii="Calibri" w:hAnsi="Calibri"/>
          <w:b w:val="0"/>
          <w:color w:val="auto"/>
          <w:kern w:val="0"/>
          <w:szCs w:val="21"/>
          <w:highlight w:val="none"/>
        </w:rPr>
      </w:pPr>
      <w:bookmarkStart w:id="123" w:name="_Toc300678049"/>
      <w:r>
        <w:rPr>
          <w:rFonts w:ascii="Times New Roman" w:hAnsi="Times New Roman" w:eastAsia="黑体"/>
          <w:b w:val="0"/>
          <w:bCs w:val="0"/>
          <w:color w:val="auto"/>
          <w:sz w:val="24"/>
          <w:highlight w:val="none"/>
        </w:rPr>
        <w:t>9.</w:t>
      </w:r>
      <w:r>
        <w:rPr>
          <w:rFonts w:hint="eastAsia" w:ascii="Times New Roman" w:hAnsi="Times New Roman" w:eastAsia="黑体"/>
          <w:b w:val="0"/>
          <w:bCs w:val="0"/>
          <w:color w:val="auto"/>
          <w:sz w:val="24"/>
          <w:highlight w:val="none"/>
        </w:rPr>
        <w:t>4</w:t>
      </w:r>
      <w:r>
        <w:rPr>
          <w:rFonts w:ascii="Times New Roman" w:hAnsi="Times New Roman" w:eastAsia="黑体"/>
          <w:b w:val="0"/>
          <w:bCs w:val="0"/>
          <w:color w:val="auto"/>
          <w:sz w:val="24"/>
          <w:highlight w:val="none"/>
        </w:rPr>
        <w:t xml:space="preserve"> </w:t>
      </w:r>
      <w:r>
        <w:rPr>
          <w:rFonts w:hint="eastAsia" w:ascii="Calibri" w:hAnsi="Calibri"/>
          <w:b w:val="0"/>
          <w:color w:val="auto"/>
          <w:kern w:val="0"/>
          <w:szCs w:val="21"/>
          <w:highlight w:val="none"/>
        </w:rPr>
        <w:t>异议和投诉</w:t>
      </w:r>
      <w:bookmarkEnd w:id="123"/>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9.4.1投标人或者其他利害关系人就下列事项投诉的，应当按照相关规定向招标人提出异议：</w:t>
      </w:r>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(1)认为招标文件不符合相关法律法规规范性文件规定，应当在投标截止时间10日前向招标人提出异议；</w:t>
      </w:r>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(2)认为开标活动不符合相关法律法规规范性文件规定的，应当在开标现场提出异议；</w:t>
      </w:r>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(3)对评标结果有异议的，在中标候选人公示期以书面形式向招标人提出；</w:t>
      </w:r>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投标人或利害关系人不满意招标人的答复或者认为招标人处理不当的，可以向本项目的招标投标行政监督部门投诉。</w:t>
      </w:r>
      <w:bookmarkStart w:id="124" w:name="_Toc300678050"/>
    </w:p>
    <w:p>
      <w:pPr>
        <w:pStyle w:val="124"/>
        <w:widowControl w:val="0"/>
        <w:adjustRightInd w:val="0"/>
        <w:snapToGrid w:val="0"/>
        <w:spacing w:line="360" w:lineRule="auto"/>
        <w:ind w:firstLine="420" w:firstLineChars="200"/>
        <w:jc w:val="left"/>
        <w:rPr>
          <w:rFonts w:hint="eastAsia"/>
          <w:bCs/>
          <w:color w:val="auto"/>
          <w:kern w:val="0"/>
          <w:highlight w:val="none"/>
        </w:rPr>
      </w:pPr>
      <w:r>
        <w:rPr>
          <w:rFonts w:hint="eastAsia"/>
          <w:bCs/>
          <w:color w:val="auto"/>
          <w:kern w:val="0"/>
          <w:highlight w:val="none"/>
        </w:rPr>
        <w:t>9.4.2投标人或者其他利害关系人认为本次招标活动违反法律法规规范性文件规定的，可以在知道或者应当知道之日起10日内向本项目的招标投标行政监督部门投诉。</w:t>
      </w:r>
    </w:p>
    <w:p>
      <w:pPr>
        <w:pStyle w:val="124"/>
        <w:widowControl w:val="0"/>
        <w:adjustRightInd w:val="0"/>
        <w:snapToGrid w:val="0"/>
        <w:spacing w:line="360" w:lineRule="auto"/>
        <w:ind w:firstLine="420" w:firstLineChars="200"/>
        <w:jc w:val="left"/>
        <w:rPr>
          <w:rFonts w:hint="eastAsia"/>
          <w:bCs/>
          <w:color w:val="auto"/>
          <w:kern w:val="0"/>
          <w:highlight w:val="none"/>
          <w:shd w:val="clear" w:color="auto" w:fill="FFFFFF"/>
        </w:rPr>
      </w:pPr>
      <w:r>
        <w:rPr>
          <w:rFonts w:hint="eastAsia"/>
          <w:bCs/>
          <w:color w:val="auto"/>
          <w:kern w:val="0"/>
          <w:highlight w:val="none"/>
          <w:shd w:val="clear" w:color="auto" w:fill="FFFFFF"/>
        </w:rPr>
        <w:t>9.4.3有关信用评价信息弄虚作假的异议，经核实后影响到中标结果的，依法取消其中标资格；不影响到中标结果的，其信用评价弄虚作假行为按《湖南省房屋建筑和市政基础设施工程施工及监理招标投标信用评价管理暂行办法》处理。</w:t>
      </w:r>
    </w:p>
    <w:p>
      <w:pPr>
        <w:pStyle w:val="7"/>
        <w:keepLines/>
        <w:widowControl w:val="0"/>
        <w:jc w:val="left"/>
        <w:rPr>
          <w:rFonts w:eastAsia="黑体"/>
          <w:b w:val="0"/>
          <w:bCs w:val="0"/>
          <w:color w:val="auto"/>
          <w:sz w:val="28"/>
          <w:szCs w:val="28"/>
          <w:highlight w:val="none"/>
        </w:rPr>
      </w:pPr>
      <w:bookmarkStart w:id="125" w:name="_Toc69199916"/>
      <w:bookmarkStart w:id="126" w:name="_Toc9178527"/>
      <w:r>
        <w:rPr>
          <w:rFonts w:eastAsia="黑体"/>
          <w:b w:val="0"/>
          <w:bCs w:val="0"/>
          <w:color w:val="auto"/>
          <w:sz w:val="28"/>
          <w:szCs w:val="28"/>
          <w:highlight w:val="none"/>
        </w:rPr>
        <w:t>10.需要补充的其他内容</w:t>
      </w:r>
      <w:bookmarkEnd w:id="124"/>
      <w:bookmarkEnd w:id="125"/>
      <w:bookmarkEnd w:id="126"/>
    </w:p>
    <w:p>
      <w:pPr>
        <w:pStyle w:val="124"/>
        <w:widowControl w:val="0"/>
        <w:spacing w:line="360" w:lineRule="auto"/>
        <w:ind w:firstLine="420" w:firstLineChars="200"/>
        <w:rPr>
          <w:color w:val="auto"/>
          <w:highlight w:val="none"/>
        </w:rPr>
      </w:pPr>
      <w:r>
        <w:rPr>
          <w:color w:val="auto"/>
          <w:highlight w:val="none"/>
        </w:rPr>
        <w:t>需要补充的其他内容：见投标人须知前附表。</w:t>
      </w:r>
    </w:p>
    <w:p>
      <w:pPr>
        <w:spacing w:line="360" w:lineRule="auto"/>
        <w:ind w:firstLine="420" w:firstLineChars="200"/>
        <w:rPr>
          <w:color w:val="auto"/>
          <w:highlight w:val="none"/>
        </w:rPr>
      </w:pPr>
    </w:p>
    <w:p>
      <w:pPr>
        <w:spacing w:line="400" w:lineRule="exact"/>
        <w:rPr>
          <w:color w:val="auto"/>
          <w:sz w:val="24"/>
          <w:highlight w:val="none"/>
        </w:rPr>
      </w:pPr>
      <w:bookmarkStart w:id="127" w:name="_Toc300678051"/>
    </w:p>
    <w:p>
      <w:pPr>
        <w:spacing w:line="400" w:lineRule="exact"/>
        <w:rPr>
          <w:rStyle w:val="72"/>
          <w:rFonts w:ascii="Times New Roman" w:hAnsi="Times New Roman" w:eastAsia="黑体"/>
          <w:b w:val="0"/>
          <w:color w:val="auto"/>
          <w:sz w:val="24"/>
          <w:highlight w:val="none"/>
        </w:rPr>
        <w:sectPr>
          <w:footerReference r:id="rId8" w:type="even"/>
          <w:pgSz w:w="11907" w:h="16840"/>
          <w:pgMar w:top="1418" w:right="1418" w:bottom="1418" w:left="1418" w:header="851" w:footer="850" w:gutter="0"/>
          <w:pgNumType w:fmt="decimal"/>
          <w:cols w:space="720" w:num="1"/>
          <w:docGrid w:linePitch="312" w:charSpace="0"/>
        </w:sectPr>
      </w:pPr>
    </w:p>
    <w:bookmarkEnd w:id="127"/>
    <w:p>
      <w:pPr>
        <w:snapToGrid w:val="0"/>
        <w:spacing w:line="360" w:lineRule="auto"/>
        <w:jc w:val="left"/>
        <w:rPr>
          <w:rStyle w:val="72"/>
          <w:rFonts w:ascii="Times New Roman" w:hAnsi="Times New Roman" w:eastAsia="黑体"/>
          <w:b w:val="0"/>
          <w:color w:val="auto"/>
          <w:sz w:val="24"/>
          <w:highlight w:val="none"/>
        </w:rPr>
      </w:pPr>
      <w:bookmarkStart w:id="128" w:name="_Toc300678057"/>
      <w:r>
        <w:rPr>
          <w:rStyle w:val="72"/>
          <w:rFonts w:ascii="Times New Roman" w:hAnsi="Times New Roman" w:eastAsia="黑体"/>
          <w:b w:val="0"/>
          <w:color w:val="auto"/>
          <w:sz w:val="24"/>
          <w:highlight w:val="none"/>
        </w:rPr>
        <w:t>附件2-1：电子投标文件编制及报送要求</w:t>
      </w:r>
      <w:bookmarkEnd w:id="128"/>
    </w:p>
    <w:p>
      <w:pPr>
        <w:spacing w:before="360" w:beforeLines="150" w:after="360" w:afterLines="150" w:line="420" w:lineRule="exact"/>
        <w:jc w:val="center"/>
        <w:rPr>
          <w:rFonts w:eastAsia="黑体"/>
          <w:color w:val="auto"/>
          <w:sz w:val="28"/>
          <w:szCs w:val="28"/>
          <w:highlight w:val="none"/>
        </w:rPr>
      </w:pPr>
      <w:r>
        <w:rPr>
          <w:rFonts w:eastAsia="黑体"/>
          <w:color w:val="auto"/>
          <w:sz w:val="28"/>
          <w:szCs w:val="28"/>
          <w:highlight w:val="none"/>
        </w:rPr>
        <w:t>电子投标文件编制及报送要求</w:t>
      </w:r>
    </w:p>
    <w:p>
      <w:pPr>
        <w:spacing w:line="312" w:lineRule="auto"/>
        <w:ind w:firstLine="360" w:firstLineChars="200"/>
        <w:rPr>
          <w:color w:val="auto"/>
          <w:sz w:val="18"/>
          <w:szCs w:val="18"/>
          <w:highlight w:val="none"/>
        </w:rPr>
      </w:pPr>
      <w:r>
        <w:rPr>
          <w:rFonts w:hint="eastAsia"/>
          <w:color w:val="auto"/>
          <w:sz w:val="18"/>
          <w:szCs w:val="18"/>
          <w:highlight w:val="none"/>
        </w:rPr>
        <w:t>说明</w:t>
      </w:r>
      <w:r>
        <w:rPr>
          <w:color w:val="auto"/>
          <w:sz w:val="18"/>
          <w:szCs w:val="18"/>
          <w:highlight w:val="none"/>
        </w:rPr>
        <w:t>：采用计算机辅助评标，包括采用电子化招标投标的，本附表应当作为“投标人须知”的附件，由招标人根据各地和招标项目的具体情况给予规定。</w:t>
      </w:r>
    </w:p>
    <w:p>
      <w:pPr>
        <w:spacing w:line="312" w:lineRule="auto"/>
        <w:rPr>
          <w:color w:val="auto"/>
          <w:sz w:val="18"/>
          <w:szCs w:val="18"/>
          <w:highlight w:val="none"/>
        </w:rPr>
      </w:pPr>
      <w:r>
        <w:rPr>
          <w:rFonts w:eastAsia="楷体_GB2312"/>
          <w:color w:val="auto"/>
          <w:highlight w:val="none"/>
        </w:rPr>
        <w:br w:type="page"/>
      </w:r>
      <w:bookmarkStart w:id="129" w:name="_Toc300678058"/>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附件2-2：否决投标</w:t>
      </w:r>
      <w:r>
        <w:rPr>
          <w:rFonts w:hint="eastAsia" w:ascii="Times New Roman" w:hAnsi="Times New Roman" w:eastAsia="黑体"/>
          <w:b w:val="0"/>
          <w:bCs w:val="0"/>
          <w:color w:val="auto"/>
          <w:sz w:val="24"/>
          <w:highlight w:val="none"/>
        </w:rPr>
        <w:t>的</w:t>
      </w:r>
      <w:r>
        <w:rPr>
          <w:rFonts w:ascii="Times New Roman" w:hAnsi="Times New Roman" w:eastAsia="黑体"/>
          <w:b w:val="0"/>
          <w:bCs w:val="0"/>
          <w:color w:val="auto"/>
          <w:sz w:val="24"/>
          <w:highlight w:val="none"/>
        </w:rPr>
        <w:t>情形</w:t>
      </w:r>
    </w:p>
    <w:p>
      <w:pPr>
        <w:pStyle w:val="8"/>
        <w:ind w:firstLine="3609" w:firstLineChars="1289"/>
        <w:rPr>
          <w:rFonts w:ascii="Times New Roman" w:hAnsi="Times New Roman" w:eastAsia="黑体"/>
          <w:b w:val="0"/>
          <w:bCs w:val="0"/>
          <w:color w:val="auto"/>
          <w:sz w:val="24"/>
          <w:highlight w:val="none"/>
        </w:rPr>
      </w:pPr>
      <w:r>
        <w:rPr>
          <w:rFonts w:ascii="Times New Roman" w:hAnsi="Times New Roman" w:eastAsia="黑体"/>
          <w:b w:val="0"/>
          <w:color w:val="auto"/>
          <w:sz w:val="28"/>
          <w:highlight w:val="none"/>
        </w:rPr>
        <w:t>否决投标</w:t>
      </w:r>
      <w:r>
        <w:rPr>
          <w:rFonts w:hint="eastAsia" w:ascii="Times New Roman" w:hAnsi="Times New Roman" w:eastAsia="黑体"/>
          <w:b w:val="0"/>
          <w:color w:val="auto"/>
          <w:sz w:val="28"/>
          <w:highlight w:val="none"/>
        </w:rPr>
        <w:t>的</w:t>
      </w:r>
      <w:r>
        <w:rPr>
          <w:rFonts w:ascii="Times New Roman" w:hAnsi="Times New Roman" w:eastAsia="黑体"/>
          <w:b w:val="0"/>
          <w:color w:val="auto"/>
          <w:sz w:val="28"/>
          <w:highlight w:val="none"/>
        </w:rPr>
        <w:t>情形</w:t>
      </w:r>
    </w:p>
    <w:p>
      <w:pPr>
        <w:adjustRightInd w:val="0"/>
        <w:snapToGrid w:val="0"/>
        <w:spacing w:line="360" w:lineRule="auto"/>
        <w:ind w:firstLine="420" w:firstLineChars="200"/>
        <w:rPr>
          <w:color w:val="auto"/>
          <w:szCs w:val="21"/>
          <w:highlight w:val="none"/>
        </w:rPr>
      </w:pPr>
      <w:r>
        <w:rPr>
          <w:color w:val="auto"/>
          <w:szCs w:val="21"/>
          <w:highlight w:val="none"/>
        </w:rPr>
        <w:t>本附件所集中列示的否决投标情形，是“评标办法”的组成部分，是对“投标人须知”和评标办法规定的否决投标情形的总结和补充，如果出现相互矛盾的情况，以本附件所集中列示</w:t>
      </w:r>
      <w:r>
        <w:rPr>
          <w:rFonts w:hint="eastAsia"/>
          <w:color w:val="auto"/>
          <w:szCs w:val="21"/>
          <w:highlight w:val="none"/>
        </w:rPr>
        <w:t>的</w:t>
      </w:r>
      <w:r>
        <w:rPr>
          <w:color w:val="auto"/>
          <w:szCs w:val="21"/>
          <w:highlight w:val="none"/>
        </w:rPr>
        <w:t>为准。</w:t>
      </w:r>
    </w:p>
    <w:p>
      <w:pPr>
        <w:pStyle w:val="271"/>
        <w:adjustRightInd w:val="0"/>
        <w:snapToGrid w:val="0"/>
        <w:spacing w:line="360" w:lineRule="auto"/>
        <w:ind w:firstLineChars="0"/>
        <w:rPr>
          <w:rFonts w:ascii="Times New Roman" w:hAnsi="Times New Roman"/>
          <w:color w:val="auto"/>
          <w:szCs w:val="21"/>
          <w:highlight w:val="none"/>
        </w:rPr>
      </w:pPr>
      <w:r>
        <w:rPr>
          <w:rFonts w:ascii="Times New Roman" w:hAnsi="Times New Roman"/>
          <w:color w:val="auto"/>
          <w:szCs w:val="21"/>
          <w:highlight w:val="none"/>
        </w:rPr>
        <w:t>投标人或其投标文件有下列情形之一的，其投标应当予以否决：</w:t>
      </w:r>
    </w:p>
    <w:p>
      <w:pPr>
        <w:adjustRightInd w:val="0"/>
        <w:snapToGrid w:val="0"/>
        <w:spacing w:line="360" w:lineRule="auto"/>
        <w:ind w:left="404"/>
        <w:rPr>
          <w:color w:val="auto"/>
          <w:szCs w:val="21"/>
          <w:highlight w:val="none"/>
        </w:rPr>
      </w:pPr>
      <w:r>
        <w:rPr>
          <w:color w:val="auto"/>
          <w:highlight w:val="none"/>
        </w:rPr>
        <w:t>1.1 有本章“投标人须知”第1.4.3项规定的任何一种情形的；</w:t>
      </w:r>
    </w:p>
    <w:p>
      <w:pPr>
        <w:adjustRightInd w:val="0"/>
        <w:snapToGrid w:val="0"/>
        <w:spacing w:line="360" w:lineRule="auto"/>
        <w:ind w:left="404"/>
        <w:rPr>
          <w:color w:val="auto"/>
          <w:highlight w:val="none"/>
        </w:rPr>
      </w:pPr>
      <w:r>
        <w:rPr>
          <w:color w:val="auto"/>
          <w:highlight w:val="none"/>
        </w:rPr>
        <w:t>1.2 投标人以他人名义投标、串通投标、以行贿手段谋取中标的；</w:t>
      </w:r>
    </w:p>
    <w:p>
      <w:pPr>
        <w:adjustRightInd w:val="0"/>
        <w:snapToGrid w:val="0"/>
        <w:spacing w:line="360" w:lineRule="auto"/>
        <w:ind w:firstLine="420" w:firstLineChars="200"/>
        <w:rPr>
          <w:color w:val="auto"/>
          <w:szCs w:val="21"/>
          <w:highlight w:val="none"/>
        </w:rPr>
      </w:pPr>
      <w:r>
        <w:rPr>
          <w:color w:val="auto"/>
          <w:highlight w:val="none"/>
        </w:rPr>
        <w:t xml:space="preserve">1.3 </w:t>
      </w:r>
      <w:r>
        <w:rPr>
          <w:rFonts w:hint="eastAsia"/>
          <w:color w:val="auto"/>
          <w:highlight w:val="none"/>
        </w:rPr>
        <w:t>资格评审时，投标人资格条件不符合国家有关规定或者招标文件要求的，或者拒不按照要求对投标文件</w:t>
      </w:r>
      <w:r>
        <w:rPr>
          <w:color w:val="auto"/>
          <w:highlight w:val="none"/>
        </w:rPr>
        <w:t>进行澄清、说明或补正，或者其</w:t>
      </w:r>
      <w:r>
        <w:rPr>
          <w:rFonts w:hint="eastAsia"/>
          <w:color w:val="auto"/>
          <w:highlight w:val="none"/>
        </w:rPr>
        <w:t>澄清、</w:t>
      </w:r>
      <w:r>
        <w:rPr>
          <w:color w:val="auto"/>
          <w:highlight w:val="none"/>
        </w:rPr>
        <w:t>说明</w:t>
      </w:r>
      <w:r>
        <w:rPr>
          <w:rFonts w:hint="eastAsia"/>
          <w:color w:val="auto"/>
          <w:highlight w:val="none"/>
        </w:rPr>
        <w:t>、</w:t>
      </w:r>
      <w:r>
        <w:rPr>
          <w:color w:val="auto"/>
          <w:highlight w:val="none"/>
        </w:rPr>
        <w:t>补正无法证明其为合格投标人的；</w:t>
      </w:r>
    </w:p>
    <w:p>
      <w:pPr>
        <w:adjustRightInd w:val="0"/>
        <w:snapToGrid w:val="0"/>
        <w:spacing w:line="360" w:lineRule="auto"/>
        <w:ind w:firstLine="420" w:firstLineChars="200"/>
        <w:rPr>
          <w:color w:val="auto"/>
          <w:szCs w:val="21"/>
          <w:highlight w:val="none"/>
        </w:rPr>
      </w:pPr>
      <w:r>
        <w:rPr>
          <w:color w:val="auto"/>
          <w:highlight w:val="none"/>
        </w:rPr>
        <w:t>1.4 在形式评审、资格评审、响应性评审中，评标委员会认定投标文件不符合评标办法前附表规定</w:t>
      </w:r>
      <w:r>
        <w:rPr>
          <w:rFonts w:hint="eastAsia"/>
          <w:color w:val="auto"/>
          <w:highlight w:val="none"/>
        </w:rPr>
        <w:t>的任何一项</w:t>
      </w:r>
      <w:r>
        <w:rPr>
          <w:color w:val="auto"/>
          <w:highlight w:val="none"/>
        </w:rPr>
        <w:t>评审标准的；</w:t>
      </w:r>
    </w:p>
    <w:p>
      <w:pPr>
        <w:adjustRightInd w:val="0"/>
        <w:snapToGrid w:val="0"/>
        <w:spacing w:line="360" w:lineRule="auto"/>
        <w:ind w:firstLine="420" w:firstLineChars="200"/>
        <w:rPr>
          <w:rFonts w:hint="eastAsia"/>
          <w:color w:val="auto"/>
          <w:szCs w:val="21"/>
          <w:highlight w:val="none"/>
        </w:rPr>
      </w:pPr>
      <w:r>
        <w:rPr>
          <w:color w:val="auto"/>
          <w:highlight w:val="none"/>
        </w:rPr>
        <w:t>1.5 已进行资格预审的，当投标人资格申请文件的内容发生重大变化时，其在投标文件中更新的资料，未能通过资格评审的；</w:t>
      </w:r>
    </w:p>
    <w:p>
      <w:pPr>
        <w:adjustRightInd w:val="0"/>
        <w:snapToGrid w:val="0"/>
        <w:spacing w:line="360" w:lineRule="auto"/>
        <w:ind w:firstLine="420" w:firstLineChars="200"/>
        <w:rPr>
          <w:color w:val="auto"/>
          <w:highlight w:val="none"/>
        </w:rPr>
      </w:pPr>
      <w:r>
        <w:rPr>
          <w:color w:val="auto"/>
          <w:highlight w:val="none"/>
        </w:rPr>
        <w:t>1.</w:t>
      </w:r>
      <w:r>
        <w:rPr>
          <w:rFonts w:hint="eastAsia"/>
          <w:color w:val="auto"/>
          <w:highlight w:val="none"/>
        </w:rPr>
        <w:t>6</w:t>
      </w:r>
      <w:r>
        <w:rPr>
          <w:color w:val="auto"/>
          <w:highlight w:val="none"/>
        </w:rPr>
        <w:t>评标委员会认定投标人以低于成本报价竞标的；</w:t>
      </w:r>
    </w:p>
    <w:p>
      <w:pPr>
        <w:adjustRightInd w:val="0"/>
        <w:snapToGrid w:val="0"/>
        <w:spacing w:line="360" w:lineRule="auto"/>
        <w:ind w:firstLine="420" w:firstLineChars="200"/>
        <w:rPr>
          <w:rFonts w:ascii="宋体" w:hAnsi="宋体"/>
          <w:color w:val="auto"/>
          <w:highlight w:val="none"/>
        </w:rPr>
      </w:pPr>
      <w:r>
        <w:rPr>
          <w:rFonts w:ascii="宋体" w:hAnsi="宋体"/>
          <w:color w:val="auto"/>
          <w:szCs w:val="21"/>
          <w:highlight w:val="none"/>
        </w:rPr>
        <w:sym w:font="Wingdings 2" w:char="00A3"/>
      </w:r>
      <w:r>
        <w:rPr>
          <w:rFonts w:ascii="宋体" w:hAnsi="宋体"/>
          <w:color w:val="auto"/>
          <w:highlight w:val="none"/>
        </w:rPr>
        <w:t>1.7</w:t>
      </w:r>
      <w:r>
        <w:rPr>
          <w:rFonts w:hint="eastAsia" w:ascii="宋体" w:hAnsi="宋体"/>
          <w:color w:val="auto"/>
          <w:highlight w:val="none"/>
        </w:rPr>
        <w:t>投标</w:t>
      </w:r>
      <w:r>
        <w:rPr>
          <w:rFonts w:ascii="宋体" w:hAnsi="宋体"/>
          <w:color w:val="auto"/>
          <w:highlight w:val="none"/>
        </w:rPr>
        <w:t>人</w:t>
      </w:r>
      <w:r>
        <w:rPr>
          <w:rFonts w:hint="eastAsia"/>
          <w:color w:val="auto"/>
          <w:szCs w:val="21"/>
          <w:highlight w:val="none"/>
        </w:rPr>
        <w:t>委托代理人不符合</w:t>
      </w:r>
      <w:r>
        <w:rPr>
          <w:rFonts w:ascii="宋体" w:hAnsi="宋体"/>
          <w:color w:val="auto"/>
          <w:highlight w:val="none"/>
        </w:rPr>
        <w:t>“</w:t>
      </w:r>
      <w:r>
        <w:rPr>
          <w:rFonts w:hint="eastAsia" w:ascii="宋体" w:hAnsi="宋体"/>
          <w:color w:val="auto"/>
          <w:highlight w:val="none"/>
        </w:rPr>
        <w:t>投标</w:t>
      </w:r>
      <w:r>
        <w:rPr>
          <w:rFonts w:ascii="宋体" w:hAnsi="宋体"/>
          <w:color w:val="auto"/>
          <w:highlight w:val="none"/>
        </w:rPr>
        <w:t>人须知前附表”规定的；</w:t>
      </w:r>
    </w:p>
    <w:p>
      <w:pPr>
        <w:adjustRightInd w:val="0"/>
        <w:snapToGrid w:val="0"/>
        <w:spacing w:line="360" w:lineRule="auto"/>
        <w:ind w:firstLine="420" w:firstLineChars="200"/>
        <w:rPr>
          <w:color w:val="auto"/>
          <w:szCs w:val="21"/>
          <w:highlight w:val="none"/>
        </w:rPr>
      </w:pPr>
      <w:r>
        <w:rPr>
          <w:color w:val="auto"/>
          <w:highlight w:val="none"/>
        </w:rPr>
        <w:t>1.8投标报价有错误的，评标委员会按评标办法</w:t>
      </w:r>
      <w:r>
        <w:rPr>
          <w:rFonts w:hint="eastAsia"/>
          <w:color w:val="auto"/>
          <w:highlight w:val="none"/>
        </w:rPr>
        <w:t>“</w:t>
      </w:r>
      <w:r>
        <w:rPr>
          <w:color w:val="auto"/>
          <w:highlight w:val="none"/>
        </w:rPr>
        <w:t>附件3</w:t>
      </w:r>
      <w:r>
        <w:rPr>
          <w:color w:val="auto"/>
          <w:sz w:val="18"/>
          <w:szCs w:val="21"/>
          <w:highlight w:val="none"/>
        </w:rPr>
        <w:t>-</w:t>
      </w:r>
      <w:r>
        <w:rPr>
          <w:color w:val="auto"/>
          <w:highlight w:val="none"/>
        </w:rPr>
        <w:t>1评标详细程序</w:t>
      </w:r>
      <w:r>
        <w:rPr>
          <w:rFonts w:hint="eastAsia"/>
          <w:color w:val="auto"/>
          <w:highlight w:val="none"/>
        </w:rPr>
        <w:t>”</w:t>
      </w:r>
      <w:r>
        <w:rPr>
          <w:color w:val="auto"/>
          <w:highlight w:val="none"/>
        </w:rPr>
        <w:t>的有关规定对投标报价进行修正，</w:t>
      </w:r>
      <w:r>
        <w:rPr>
          <w:bCs/>
          <w:color w:val="auto"/>
          <w:highlight w:val="none"/>
        </w:rPr>
        <w:t>并要求投标人</w:t>
      </w:r>
      <w:r>
        <w:rPr>
          <w:rFonts w:hint="eastAsia"/>
          <w:bCs/>
          <w:color w:val="auto"/>
          <w:highlight w:val="none"/>
        </w:rPr>
        <w:t>作出</w:t>
      </w:r>
      <w:r>
        <w:rPr>
          <w:bCs/>
          <w:color w:val="auto"/>
          <w:highlight w:val="none"/>
        </w:rPr>
        <w:t>书面澄清</w:t>
      </w:r>
      <w:r>
        <w:rPr>
          <w:rFonts w:hint="eastAsia"/>
          <w:bCs/>
          <w:color w:val="auto"/>
          <w:highlight w:val="none"/>
        </w:rPr>
        <w:t>说明和</w:t>
      </w:r>
      <w:r>
        <w:rPr>
          <w:bCs/>
          <w:color w:val="auto"/>
          <w:highlight w:val="none"/>
        </w:rPr>
        <w:t>确认</w:t>
      </w:r>
      <w:r>
        <w:rPr>
          <w:rFonts w:hint="eastAsia"/>
          <w:bCs/>
          <w:color w:val="auto"/>
          <w:highlight w:val="none"/>
        </w:rPr>
        <w:t>，</w:t>
      </w:r>
      <w:r>
        <w:rPr>
          <w:bCs/>
          <w:color w:val="auto"/>
          <w:highlight w:val="none"/>
        </w:rPr>
        <w:t>投标人拒不</w:t>
      </w:r>
      <w:r>
        <w:rPr>
          <w:rFonts w:hint="eastAsia"/>
          <w:bCs/>
          <w:color w:val="auto"/>
          <w:highlight w:val="none"/>
        </w:rPr>
        <w:t>作出</w:t>
      </w:r>
      <w:r>
        <w:rPr>
          <w:bCs/>
          <w:color w:val="auto"/>
          <w:highlight w:val="none"/>
        </w:rPr>
        <w:t>澄清</w:t>
      </w:r>
      <w:r>
        <w:rPr>
          <w:rFonts w:hint="eastAsia"/>
          <w:bCs/>
          <w:color w:val="auto"/>
          <w:highlight w:val="none"/>
        </w:rPr>
        <w:t>说明和</w:t>
      </w:r>
      <w:r>
        <w:rPr>
          <w:bCs/>
          <w:color w:val="auto"/>
          <w:highlight w:val="none"/>
        </w:rPr>
        <w:t>确认的</w:t>
      </w:r>
      <w:r>
        <w:rPr>
          <w:color w:val="auto"/>
          <w:highlight w:val="none"/>
        </w:rPr>
        <w:t>；</w:t>
      </w:r>
    </w:p>
    <w:p>
      <w:pPr>
        <w:adjustRightInd w:val="0"/>
        <w:snapToGrid w:val="0"/>
        <w:spacing w:line="360" w:lineRule="auto"/>
        <w:ind w:firstLine="420" w:firstLineChars="200"/>
        <w:rPr>
          <w:rFonts w:hint="eastAsia"/>
          <w:bCs/>
          <w:color w:val="auto"/>
          <w:highlight w:val="none"/>
        </w:rPr>
      </w:pPr>
      <w:r>
        <w:rPr>
          <w:color w:val="auto"/>
          <w:highlight w:val="none"/>
        </w:rPr>
        <w:t xml:space="preserve">1.9 </w:t>
      </w:r>
      <w:r>
        <w:rPr>
          <w:rFonts w:hint="eastAsia"/>
          <w:bCs/>
          <w:color w:val="auto"/>
          <w:highlight w:val="none"/>
        </w:rPr>
        <w:t>投标文件存在弄虚作假或者隐瞒事实，或者未按照招标文件要求如实提供有关情况和文件，以及证明资料且对投标人有利的，应当否决其投标。被列为中标候选人的，应当取消其中标候选人资格；</w:t>
      </w:r>
    </w:p>
    <w:p>
      <w:pPr>
        <w:adjustRightInd w:val="0"/>
        <w:snapToGrid w:val="0"/>
        <w:spacing w:line="360" w:lineRule="auto"/>
        <w:ind w:firstLine="420" w:firstLineChars="200"/>
        <w:rPr>
          <w:color w:val="auto"/>
          <w:highlight w:val="none"/>
        </w:rPr>
      </w:pPr>
      <w:r>
        <w:rPr>
          <w:rFonts w:hint="eastAsia"/>
          <w:color w:val="auto"/>
          <w:highlight w:val="none"/>
        </w:rPr>
        <w:sym w:font="Wingdings 2" w:char="00A3"/>
      </w:r>
      <w:r>
        <w:rPr>
          <w:rFonts w:hint="eastAsia"/>
          <w:color w:val="auto"/>
          <w:highlight w:val="none"/>
        </w:rPr>
        <w:t>1.1</w:t>
      </w:r>
      <w:r>
        <w:rPr>
          <w:color w:val="auto"/>
          <w:highlight w:val="none"/>
        </w:rPr>
        <w:t>0</w:t>
      </w:r>
      <w:r>
        <w:rPr>
          <w:rFonts w:hint="eastAsia"/>
          <w:color w:val="auto"/>
          <w:highlight w:val="none"/>
        </w:rPr>
        <w:t>本项目的项目建议书编制单位、可行性研究报告编制单位、初步设计文件编制单位及其评估单位参与投标的；</w:t>
      </w:r>
    </w:p>
    <w:p>
      <w:pPr>
        <w:adjustRightInd w:val="0"/>
        <w:snapToGrid w:val="0"/>
        <w:spacing w:line="360" w:lineRule="auto"/>
        <w:ind w:firstLine="420" w:firstLineChars="200"/>
        <w:rPr>
          <w:rFonts w:hint="eastAsia"/>
          <w:bCs/>
          <w:color w:val="auto"/>
          <w:highlight w:val="none"/>
        </w:rPr>
      </w:pPr>
      <w:r>
        <w:rPr>
          <w:rFonts w:hint="eastAsia"/>
          <w:color w:val="auto"/>
          <w:highlight w:val="none"/>
        </w:rPr>
        <w:t>1</w:t>
      </w:r>
      <w:r>
        <w:rPr>
          <w:color w:val="auto"/>
          <w:highlight w:val="none"/>
        </w:rPr>
        <w:t>.11</w:t>
      </w:r>
      <w:r>
        <w:rPr>
          <w:rFonts w:hint="eastAsia"/>
          <w:color w:val="auto"/>
          <w:highlight w:val="none"/>
        </w:rPr>
        <w:t>省外</w:t>
      </w:r>
      <w:r>
        <w:rPr>
          <w:rFonts w:hint="eastAsia" w:ascii="宋体" w:hAnsi="宋体"/>
          <w:color w:val="auto"/>
          <w:szCs w:val="21"/>
          <w:highlight w:val="none"/>
        </w:rPr>
        <w:sym w:font="Wingdings 2" w:char="0052"/>
      </w:r>
      <w:r>
        <w:rPr>
          <w:rFonts w:hint="eastAsia"/>
          <w:color w:val="auto"/>
          <w:highlight w:val="none"/>
        </w:rPr>
        <w:t>施工、</w:t>
      </w:r>
      <w:r>
        <w:rPr>
          <w:rFonts w:hint="eastAsia" w:ascii="宋体" w:hAnsi="宋体"/>
          <w:color w:val="auto"/>
          <w:szCs w:val="21"/>
          <w:highlight w:val="none"/>
        </w:rPr>
        <w:sym w:font="Wingdings 2" w:char="0052"/>
      </w:r>
      <w:r>
        <w:rPr>
          <w:rFonts w:hint="eastAsia"/>
          <w:color w:val="auto"/>
          <w:highlight w:val="none"/>
        </w:rPr>
        <w:t>设计入湘企业未按照“申请人须知前附表”规定在“湖南省住房和城乡建设网”进行基本信息登记的。</w:t>
      </w:r>
    </w:p>
    <w:p>
      <w:pPr>
        <w:spacing w:line="360" w:lineRule="auto"/>
        <w:ind w:firstLine="420" w:firstLineChars="200"/>
        <w:rPr>
          <w:bCs/>
          <w:color w:val="auto"/>
          <w:highlight w:val="none"/>
        </w:rPr>
      </w:pPr>
      <w:r>
        <w:rPr>
          <w:bCs/>
          <w:color w:val="auto"/>
          <w:highlight w:val="none"/>
        </w:rPr>
        <w:t xml:space="preserve"> ……</w:t>
      </w:r>
    </w:p>
    <w:p>
      <w:pPr>
        <w:widowControl/>
        <w:jc w:val="left"/>
        <w:rPr>
          <w:rFonts w:eastAsia="黑体"/>
          <w:color w:val="auto"/>
          <w:sz w:val="30"/>
          <w:szCs w:val="30"/>
          <w:highlight w:val="none"/>
        </w:rPr>
      </w:pPr>
      <w:r>
        <w:rPr>
          <w:rFonts w:eastAsia="楷体_GB2312"/>
          <w:color w:val="auto"/>
          <w:szCs w:val="21"/>
          <w:highlight w:val="none"/>
        </w:rPr>
        <w:br w:type="page"/>
      </w:r>
      <w:r>
        <w:rPr>
          <w:rFonts w:eastAsia="黑体"/>
          <w:bCs/>
          <w:color w:val="auto"/>
          <w:sz w:val="24"/>
          <w:highlight w:val="none"/>
        </w:rPr>
        <w:t xml:space="preserve"> </w:t>
      </w:r>
      <w:bookmarkEnd w:id="129"/>
      <w:bookmarkStart w:id="130" w:name="_Toc300678059"/>
    </w:p>
    <w:p>
      <w:pPr>
        <w:snapToGrid w:val="0"/>
        <w:spacing w:line="360" w:lineRule="auto"/>
        <w:jc w:val="left"/>
        <w:rPr>
          <w:rStyle w:val="72"/>
          <w:rFonts w:ascii="Times New Roman" w:hAnsi="Times New Roman" w:eastAsia="黑体"/>
          <w:b w:val="0"/>
          <w:color w:val="auto"/>
          <w:sz w:val="24"/>
          <w:highlight w:val="none"/>
        </w:rPr>
      </w:pPr>
      <w:r>
        <w:rPr>
          <w:rStyle w:val="72"/>
          <w:rFonts w:ascii="Times New Roman" w:hAnsi="Times New Roman" w:eastAsia="黑体"/>
          <w:b w:val="0"/>
          <w:color w:val="auto"/>
          <w:sz w:val="24"/>
          <w:highlight w:val="none"/>
        </w:rPr>
        <w:t>附件2-</w:t>
      </w:r>
      <w:r>
        <w:rPr>
          <w:rStyle w:val="72"/>
          <w:rFonts w:hint="eastAsia" w:eastAsia="黑体"/>
          <w:b w:val="0"/>
          <w:color w:val="auto"/>
          <w:sz w:val="24"/>
          <w:highlight w:val="none"/>
        </w:rPr>
        <w:t>3</w:t>
      </w:r>
      <w:r>
        <w:rPr>
          <w:rStyle w:val="72"/>
          <w:rFonts w:ascii="Times New Roman" w:hAnsi="Times New Roman" w:eastAsia="黑体"/>
          <w:b w:val="0"/>
          <w:color w:val="auto"/>
          <w:sz w:val="24"/>
          <w:highlight w:val="none"/>
        </w:rPr>
        <w:t>：</w:t>
      </w:r>
      <w:r>
        <w:rPr>
          <w:rStyle w:val="72"/>
          <w:rFonts w:hint="eastAsia" w:eastAsia="黑体"/>
          <w:b w:val="0"/>
          <w:color w:val="auto"/>
          <w:sz w:val="24"/>
          <w:highlight w:val="none"/>
        </w:rPr>
        <w:t>计算机辅助评标办法</w:t>
      </w: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snapToGrid w:val="0"/>
        <w:spacing w:line="360" w:lineRule="auto"/>
        <w:jc w:val="left"/>
        <w:rPr>
          <w:rStyle w:val="72"/>
          <w:rFonts w:eastAsia="黑体"/>
          <w:b w:val="0"/>
          <w:color w:val="auto"/>
          <w:sz w:val="28"/>
          <w:highlight w:val="none"/>
        </w:rPr>
      </w:pPr>
      <w:r>
        <w:rPr>
          <w:rFonts w:hint="eastAsia" w:eastAsia="黑体"/>
          <w:color w:val="auto"/>
          <w:sz w:val="30"/>
          <w:szCs w:val="30"/>
          <w:highlight w:val="none"/>
        </w:rPr>
        <w:t xml:space="preserve">                  </w:t>
      </w:r>
      <w:r>
        <w:rPr>
          <w:rFonts w:hint="eastAsia" w:eastAsia="黑体"/>
          <w:color w:val="auto"/>
          <w:sz w:val="28"/>
          <w:szCs w:val="28"/>
          <w:highlight w:val="none"/>
        </w:rPr>
        <w:t xml:space="preserve">    </w:t>
      </w:r>
      <w:r>
        <w:rPr>
          <w:rStyle w:val="72"/>
          <w:rFonts w:hint="eastAsia" w:eastAsia="黑体"/>
          <w:b w:val="0"/>
          <w:color w:val="auto"/>
          <w:sz w:val="28"/>
          <w:highlight w:val="none"/>
        </w:rPr>
        <w:t>计算机辅助评标办法</w:t>
      </w:r>
    </w:p>
    <w:p>
      <w:pPr>
        <w:snapToGrid w:val="0"/>
        <w:spacing w:line="360" w:lineRule="auto"/>
        <w:jc w:val="left"/>
        <w:rPr>
          <w:rStyle w:val="72"/>
          <w:rFonts w:eastAsia="黑体"/>
          <w:b w:val="0"/>
          <w:color w:val="auto"/>
          <w:sz w:val="28"/>
          <w:highlight w:val="none"/>
        </w:rPr>
      </w:pPr>
    </w:p>
    <w:p>
      <w:pPr>
        <w:snapToGrid w:val="0"/>
        <w:spacing w:line="360" w:lineRule="auto"/>
        <w:jc w:val="left"/>
        <w:rPr>
          <w:rStyle w:val="72"/>
          <w:rFonts w:eastAsia="黑体"/>
          <w:b w:val="0"/>
          <w:color w:val="auto"/>
          <w:sz w:val="28"/>
          <w:highlight w:val="none"/>
        </w:rPr>
      </w:pPr>
      <w:r>
        <w:rPr>
          <w:rStyle w:val="72"/>
          <w:rFonts w:hint="eastAsia" w:eastAsia="黑体"/>
          <w:b w:val="0"/>
          <w:color w:val="auto"/>
          <w:sz w:val="28"/>
          <w:highlight w:val="none"/>
        </w:rPr>
        <w:t xml:space="preserve"> </w:t>
      </w:r>
      <w:r>
        <w:rPr>
          <w:rStyle w:val="72"/>
          <w:rFonts w:hint="eastAsia" w:eastAsia="黑体"/>
          <w:b w:val="0"/>
          <w:bCs w:val="0"/>
          <w:color w:val="auto"/>
          <w:sz w:val="28"/>
          <w:highlight w:val="none"/>
        </w:rPr>
        <w:t xml:space="preserve"> </w:t>
      </w:r>
      <w:r>
        <w:rPr>
          <w:rStyle w:val="72"/>
          <w:rFonts w:hint="eastAsia" w:ascii="宋体" w:hAnsi="宋体" w:cs="宋体"/>
          <w:b w:val="0"/>
          <w:bCs w:val="0"/>
          <w:color w:val="auto"/>
          <w:szCs w:val="21"/>
          <w:highlight w:val="none"/>
        </w:rPr>
        <w:t>说明：</w:t>
      </w:r>
      <w:r>
        <w:rPr>
          <w:rStyle w:val="72"/>
          <w:rFonts w:hint="eastAsia" w:ascii="宋体" w:hAnsi="宋体" w:cs="宋体"/>
          <w:b w:val="0"/>
          <w:color w:val="auto"/>
          <w:szCs w:val="21"/>
          <w:highlight w:val="none"/>
        </w:rPr>
        <w:t>本附件的具体内容根据招标项目的具体情况自行编写</w:t>
      </w: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widowControl/>
        <w:jc w:val="left"/>
        <w:rPr>
          <w:rFonts w:hint="eastAsia" w:eastAsia="黑体"/>
          <w:color w:val="auto"/>
          <w:sz w:val="30"/>
          <w:szCs w:val="30"/>
          <w:highlight w:val="none"/>
        </w:rPr>
      </w:pPr>
    </w:p>
    <w:p>
      <w:pPr>
        <w:pStyle w:val="3"/>
        <w:rPr>
          <w:rFonts w:hint="eastAsia" w:eastAsia="黑体"/>
          <w:color w:val="auto"/>
          <w:sz w:val="30"/>
          <w:szCs w:val="30"/>
          <w:highlight w:val="none"/>
        </w:rPr>
      </w:pPr>
    </w:p>
    <w:p>
      <w:pPr>
        <w:rPr>
          <w:rFonts w:hint="eastAsia" w:eastAsia="黑体"/>
          <w:color w:val="auto"/>
          <w:sz w:val="30"/>
          <w:szCs w:val="30"/>
          <w:highlight w:val="none"/>
        </w:rPr>
      </w:pPr>
    </w:p>
    <w:p>
      <w:pPr>
        <w:pStyle w:val="3"/>
        <w:rPr>
          <w:rFonts w:hint="eastAsia" w:eastAsia="黑体"/>
          <w:color w:val="auto"/>
          <w:sz w:val="30"/>
          <w:szCs w:val="30"/>
          <w:highlight w:val="none"/>
        </w:rPr>
      </w:pPr>
    </w:p>
    <w:p>
      <w:pPr>
        <w:rPr>
          <w:rFonts w:hint="eastAsia" w:eastAsia="黑体"/>
          <w:color w:val="auto"/>
          <w:sz w:val="30"/>
          <w:szCs w:val="30"/>
          <w:highlight w:val="none"/>
        </w:rPr>
      </w:pPr>
    </w:p>
    <w:p>
      <w:pPr>
        <w:pStyle w:val="3"/>
        <w:rPr>
          <w:rFonts w:hint="eastAsia" w:eastAsia="黑体"/>
          <w:color w:val="auto"/>
          <w:sz w:val="30"/>
          <w:szCs w:val="30"/>
          <w:highlight w:val="none"/>
        </w:rPr>
      </w:pPr>
    </w:p>
    <w:p>
      <w:pPr>
        <w:rPr>
          <w:rFonts w:hint="eastAsia" w:eastAsia="黑体"/>
          <w:color w:val="auto"/>
          <w:sz w:val="30"/>
          <w:szCs w:val="30"/>
          <w:highlight w:val="none"/>
        </w:rPr>
      </w:pPr>
    </w:p>
    <w:p>
      <w:pPr>
        <w:pStyle w:val="3"/>
        <w:rPr>
          <w:rFonts w:hint="eastAsia" w:eastAsia="黑体"/>
          <w:color w:val="auto"/>
          <w:sz w:val="30"/>
          <w:szCs w:val="30"/>
          <w:highlight w:val="none"/>
        </w:rPr>
      </w:pPr>
    </w:p>
    <w:p>
      <w:pPr>
        <w:rPr>
          <w:rFonts w:hint="eastAsia" w:eastAsia="黑体"/>
          <w:color w:val="auto"/>
          <w:sz w:val="30"/>
          <w:szCs w:val="30"/>
          <w:highlight w:val="none"/>
        </w:rPr>
      </w:pPr>
    </w:p>
    <w:p>
      <w:pPr>
        <w:pStyle w:val="3"/>
        <w:rPr>
          <w:rFonts w:hint="eastAsia" w:eastAsia="黑体"/>
          <w:color w:val="auto"/>
          <w:sz w:val="30"/>
          <w:szCs w:val="30"/>
          <w:highlight w:val="none"/>
        </w:rPr>
      </w:pPr>
    </w:p>
    <w:p>
      <w:pPr>
        <w:rPr>
          <w:rFonts w:hint="eastAsia"/>
        </w:rPr>
      </w:pPr>
    </w:p>
    <w:p>
      <w:pPr>
        <w:rPr>
          <w:rStyle w:val="72"/>
          <w:rFonts w:ascii="Times New Roman" w:hAnsi="Times New Roman" w:eastAsia="黑体"/>
          <w:b w:val="0"/>
          <w:color w:val="auto"/>
          <w:sz w:val="24"/>
          <w:highlight w:val="none"/>
        </w:rPr>
      </w:pPr>
    </w:p>
    <w:p>
      <w:pPr>
        <w:snapToGrid w:val="0"/>
        <w:spacing w:line="360" w:lineRule="auto"/>
        <w:jc w:val="left"/>
        <w:rPr>
          <w:rStyle w:val="72"/>
          <w:rFonts w:ascii="Times New Roman" w:hAnsi="Times New Roman" w:eastAsia="黑体"/>
          <w:b w:val="0"/>
          <w:color w:val="auto"/>
          <w:sz w:val="24"/>
          <w:highlight w:val="none"/>
        </w:rPr>
      </w:pPr>
      <w:r>
        <w:rPr>
          <w:rStyle w:val="72"/>
          <w:rFonts w:ascii="Times New Roman" w:hAnsi="Times New Roman" w:eastAsia="黑体"/>
          <w:b w:val="0"/>
          <w:color w:val="auto"/>
          <w:sz w:val="24"/>
          <w:highlight w:val="none"/>
        </w:rPr>
        <w:t>附件2-4：</w:t>
      </w:r>
      <w:r>
        <w:rPr>
          <w:rStyle w:val="72"/>
          <w:rFonts w:hint="eastAsia" w:ascii="Times New Roman" w:hAnsi="Times New Roman" w:eastAsia="黑体"/>
          <w:b w:val="0"/>
          <w:color w:val="auto"/>
          <w:sz w:val="24"/>
          <w:highlight w:val="none"/>
        </w:rPr>
        <w:t>评定分离工作方案</w:t>
      </w:r>
    </w:p>
    <w:p>
      <w:pPr>
        <w:widowControl/>
        <w:jc w:val="left"/>
        <w:rPr>
          <w:rFonts w:eastAsia="黑体"/>
          <w:color w:val="auto"/>
          <w:sz w:val="30"/>
          <w:szCs w:val="30"/>
          <w:highlight w:val="none"/>
        </w:rPr>
      </w:pPr>
    </w:p>
    <w:p>
      <w:pPr>
        <w:widowControl/>
        <w:jc w:val="left"/>
        <w:rPr>
          <w:rFonts w:eastAsia="黑体"/>
          <w:color w:val="auto"/>
          <w:sz w:val="30"/>
          <w:szCs w:val="30"/>
          <w:highlight w:val="none"/>
        </w:rPr>
      </w:pPr>
    </w:p>
    <w:p>
      <w:pPr>
        <w:snapToGrid w:val="0"/>
        <w:spacing w:line="360" w:lineRule="auto"/>
        <w:jc w:val="left"/>
        <w:rPr>
          <w:rFonts w:eastAsia="黑体"/>
          <w:color w:val="auto"/>
          <w:sz w:val="28"/>
          <w:szCs w:val="28"/>
          <w:highlight w:val="none"/>
        </w:rPr>
      </w:pPr>
      <w:r>
        <w:rPr>
          <w:rFonts w:hint="eastAsia" w:eastAsia="黑体"/>
          <w:color w:val="auto"/>
          <w:sz w:val="30"/>
          <w:szCs w:val="30"/>
          <w:highlight w:val="none"/>
        </w:rPr>
        <w:t xml:space="preserve">                  </w:t>
      </w:r>
      <w:r>
        <w:rPr>
          <w:rFonts w:hint="eastAsia" w:eastAsia="黑体"/>
          <w:color w:val="auto"/>
          <w:sz w:val="28"/>
          <w:szCs w:val="28"/>
          <w:highlight w:val="none"/>
        </w:rPr>
        <w:t xml:space="preserve">     </w:t>
      </w:r>
      <w:r>
        <w:rPr>
          <w:rFonts w:hint="eastAsia" w:eastAsia="黑体"/>
          <w:color w:val="auto"/>
          <w:sz w:val="28"/>
          <w:szCs w:val="28"/>
          <w:highlight w:val="none"/>
        </w:rPr>
        <w:sym w:font="Wingdings 2" w:char="0052"/>
      </w:r>
      <w:r>
        <w:rPr>
          <w:rFonts w:hint="eastAsia" w:eastAsia="黑体"/>
          <w:color w:val="auto"/>
          <w:sz w:val="28"/>
          <w:szCs w:val="28"/>
          <w:highlight w:val="none"/>
        </w:rPr>
        <w:t>评定分离工作方案</w:t>
      </w:r>
    </w:p>
    <w:p>
      <w:pPr>
        <w:snapToGrid w:val="0"/>
        <w:spacing w:line="360" w:lineRule="auto"/>
        <w:jc w:val="center"/>
        <w:rPr>
          <w:rFonts w:hint="eastAsia" w:eastAsia="黑体"/>
          <w:color w:val="auto"/>
          <w:sz w:val="28"/>
          <w:szCs w:val="28"/>
          <w:highlight w:val="none"/>
        </w:rPr>
      </w:pPr>
      <w:r>
        <w:rPr>
          <w:rFonts w:hint="eastAsia" w:eastAsia="黑体"/>
          <w:color w:val="auto"/>
          <w:sz w:val="28"/>
          <w:szCs w:val="28"/>
          <w:highlight w:val="none"/>
        </w:rPr>
        <w:t>（适用采用评定分离方式确定中标人的项目）</w:t>
      </w:r>
    </w:p>
    <w:p>
      <w:pPr>
        <w:pStyle w:val="42"/>
        <w:widowControl/>
        <w:spacing w:beforeAutospacing="0" w:afterAutospacing="0" w:line="600" w:lineRule="exact"/>
        <w:jc w:val="center"/>
        <w:rPr>
          <w:rFonts w:ascii="Times New Roman" w:hAnsi="Times New Roman" w:eastAsia="方正小标宋简体"/>
          <w:color w:val="auto"/>
          <w:sz w:val="44"/>
          <w:szCs w:val="44"/>
        </w:rPr>
      </w:pPr>
      <w:r>
        <w:rPr>
          <w:rFonts w:hint="eastAsia" w:ascii="方正小标宋简体" w:hAnsi="方正小标宋简体" w:eastAsia="方正小标宋简体" w:cs="方正小标宋简体"/>
          <w:color w:val="auto"/>
          <w:sz w:val="44"/>
          <w:szCs w:val="44"/>
          <w:shd w:val="clear" w:color="auto" w:fill="FFFFFF"/>
          <w:lang w:eastAsia="zh-CN"/>
        </w:rPr>
        <w:t>岳阳市审计局家属院老旧小区改造配套基础设施建设项目工程总承包</w:t>
      </w:r>
      <w:r>
        <w:rPr>
          <w:rFonts w:hint="eastAsia" w:ascii="方正小标宋简体" w:hAnsi="方正小标宋简体" w:eastAsia="方正小标宋简体" w:cs="方正小标宋简体"/>
          <w:color w:val="auto"/>
          <w:sz w:val="44"/>
          <w:szCs w:val="44"/>
          <w:shd w:val="clear" w:color="auto" w:fill="FFFFFF"/>
        </w:rPr>
        <w:t>评定分离</w:t>
      </w:r>
      <w:r>
        <w:rPr>
          <w:rFonts w:ascii="方正小标宋简体" w:hAnsi="方正小标宋简体" w:eastAsia="方正小标宋简体" w:cs="方正小标宋简体"/>
          <w:color w:val="auto"/>
          <w:sz w:val="44"/>
          <w:szCs w:val="44"/>
          <w:shd w:val="clear" w:color="auto" w:fill="FFFFFF"/>
        </w:rPr>
        <w:t>定标</w:t>
      </w:r>
      <w:r>
        <w:rPr>
          <w:rFonts w:hint="eastAsia" w:ascii="方正小标宋简体" w:hAnsi="方正小标宋简体" w:eastAsia="方正小标宋简体" w:cs="方正小标宋简体"/>
          <w:color w:val="auto"/>
          <w:sz w:val="44"/>
          <w:szCs w:val="44"/>
          <w:shd w:val="clear" w:color="auto" w:fill="FFFFFF"/>
          <w:lang w:val="en-US" w:eastAsia="zh-CN"/>
        </w:rPr>
        <w:t>工作</w:t>
      </w:r>
      <w:r>
        <w:rPr>
          <w:rFonts w:hint="eastAsia" w:ascii="方正小标宋简体" w:hAnsi="方正小标宋简体" w:eastAsia="方正小标宋简体" w:cs="方正小标宋简体"/>
          <w:color w:val="auto"/>
          <w:sz w:val="44"/>
          <w:szCs w:val="44"/>
          <w:shd w:val="clear" w:color="auto" w:fill="FFFFFF"/>
        </w:rPr>
        <w:t>方案</w:t>
      </w:r>
    </w:p>
    <w:p>
      <w:pPr>
        <w:pStyle w:val="42"/>
        <w:widowControl/>
        <w:spacing w:beforeAutospacing="0" w:afterAutospacing="0" w:line="600" w:lineRule="exact"/>
        <w:jc w:val="center"/>
        <w:rPr>
          <w:rFonts w:ascii="楷体" w:hAnsi="楷体" w:eastAsia="楷体" w:cs="楷体"/>
          <w:color w:val="auto"/>
          <w:sz w:val="32"/>
          <w:szCs w:val="32"/>
          <w:shd w:val="clear" w:color="auto" w:fill="FFFFFF"/>
        </w:rPr>
      </w:pP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根据</w:t>
      </w:r>
      <w:r>
        <w:rPr>
          <w:rFonts w:hint="eastAsia" w:ascii="仿宋" w:hAnsi="仿宋" w:eastAsia="仿宋" w:cs="仿宋"/>
          <w:color w:val="auto"/>
          <w:sz w:val="32"/>
          <w:szCs w:val="32"/>
        </w:rPr>
        <w:t>《湖南省房屋建筑和市政基础设施工程总承包招标评标暂行办法》（湘建监督〔2021〕36号）及《湖南省房屋建筑和市政基础设施工程标准工程总承包招标文件》，结合项目实际情况，制定</w:t>
      </w:r>
      <w:r>
        <w:rPr>
          <w:rFonts w:hint="eastAsia" w:ascii="仿宋" w:hAnsi="仿宋" w:eastAsia="仿宋" w:cs="仿宋"/>
          <w:color w:val="auto"/>
          <w:sz w:val="32"/>
          <w:szCs w:val="32"/>
          <w:lang w:val="en-US" w:eastAsia="zh-CN"/>
        </w:rPr>
        <w:t>定标工作方</w:t>
      </w:r>
      <w:r>
        <w:rPr>
          <w:rFonts w:hint="eastAsia" w:ascii="仿宋" w:hAnsi="仿宋" w:eastAsia="仿宋" w:cs="仿宋"/>
          <w:color w:val="auto"/>
          <w:sz w:val="32"/>
          <w:szCs w:val="32"/>
        </w:rPr>
        <w:t>案如下：</w:t>
      </w:r>
    </w:p>
    <w:p>
      <w:pPr>
        <w:pStyle w:val="42"/>
        <w:widowControl/>
        <w:spacing w:beforeAutospacing="0" w:afterAutospacing="0" w:line="600" w:lineRule="exact"/>
        <w:ind w:left="640"/>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一、项目基本情况</w:t>
      </w:r>
    </w:p>
    <w:p>
      <w:pPr>
        <w:spacing w:line="600" w:lineRule="exact"/>
        <w:ind w:firstLine="64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岳阳市审计局家属院始建于2002年，现有多层建筑4栋，共计约93户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本项目建设内容为:供排水设施工程、弱电入地工程、道路设施工程、环卫设施、消防设施、供气设施、新增汽车充电桩、便民设施、环境景观整治特色风貌等。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具体建设内容详见图纸及概算资料</w:t>
      </w:r>
      <w:r>
        <w:rPr>
          <w:rFonts w:hint="eastAsia" w:ascii="仿宋" w:hAnsi="仿宋" w:eastAsia="仿宋" w:cs="仿宋"/>
          <w:color w:val="auto"/>
          <w:sz w:val="32"/>
          <w:szCs w:val="32"/>
          <w:lang w:eastAsia="zh-CN"/>
        </w:rPr>
        <w:t>）</w:t>
      </w:r>
    </w:p>
    <w:p>
      <w:pPr>
        <w:pStyle w:val="42"/>
        <w:widowControl/>
        <w:spacing w:beforeAutospacing="0" w:afterAutospacing="0" w:line="600" w:lineRule="exact"/>
        <w:ind w:firstLine="640" w:firstLineChars="200"/>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二、项目定标方式</w:t>
      </w:r>
    </w:p>
    <w:p>
      <w:pPr>
        <w:spacing w:line="60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根据《湖南省房屋建筑和市政基础设施工程总承包招标评标暂行办法》（湘建监督〔2021〕36号）第三十二条规定，本项目采用</w:t>
      </w:r>
      <w:r>
        <w:rPr>
          <w:rFonts w:hint="eastAsia" w:ascii="仿宋" w:hAnsi="仿宋" w:eastAsia="仿宋" w:cs="仿宋"/>
          <w:color w:val="auto"/>
          <w:sz w:val="32"/>
          <w:szCs w:val="32"/>
          <w:lang w:val="en-US" w:eastAsia="zh-CN"/>
        </w:rPr>
        <w:t>评标委员会</w:t>
      </w:r>
      <w:r>
        <w:rPr>
          <w:rFonts w:hint="eastAsia" w:ascii="仿宋" w:hAnsi="仿宋" w:eastAsia="仿宋" w:cs="仿宋"/>
          <w:color w:val="auto"/>
          <w:sz w:val="32"/>
          <w:szCs w:val="32"/>
        </w:rPr>
        <w:t>推荐不超过3个不排序的中标候选人，由招标人确定中标人的定标方式，即“评定分离法”确定中标人。</w:t>
      </w:r>
    </w:p>
    <w:p>
      <w:pPr>
        <w:spacing w:line="60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根据《湖南省房屋建筑和市政基础设施工程标准工程总承包招标文件》，评定分离的方式分为三种，分别为票决法、报价竞争法和因素法。本项目招标文件评定分离法选择采用票决法。采用票决定标法的，应当组建定标委员会，定标委员会由5人或以上单数组成和2名监督委员，定标委员会成员</w:t>
      </w:r>
      <w:r>
        <w:rPr>
          <w:rFonts w:hint="eastAsia" w:ascii="仿宋" w:hAnsi="仿宋" w:eastAsia="仿宋" w:cs="仿宋"/>
          <w:color w:val="auto"/>
          <w:sz w:val="32"/>
          <w:szCs w:val="32"/>
          <w:lang w:val="en-US" w:eastAsia="zh-CN"/>
        </w:rPr>
        <w:t>可以</w:t>
      </w:r>
      <w:r>
        <w:rPr>
          <w:rFonts w:hint="eastAsia" w:ascii="仿宋" w:hAnsi="仿宋" w:eastAsia="仿宋" w:cs="仿宋"/>
          <w:color w:val="auto"/>
          <w:sz w:val="32"/>
          <w:szCs w:val="32"/>
        </w:rPr>
        <w:t>遵循择优与价格竞争的原则，独立行使投票权。</w:t>
      </w:r>
    </w:p>
    <w:p>
      <w:pPr>
        <w:pStyle w:val="42"/>
        <w:widowControl/>
        <w:spacing w:beforeAutospacing="0" w:afterAutospacing="0" w:line="600" w:lineRule="exact"/>
        <w:ind w:left="640"/>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三、具体实施方案</w:t>
      </w:r>
    </w:p>
    <w:p>
      <w:pPr>
        <w:pStyle w:val="42"/>
        <w:widowControl/>
        <w:spacing w:beforeAutospacing="0" w:afterAutospacing="0" w:line="600" w:lineRule="exact"/>
        <w:ind w:firstLine="643" w:firstLineChars="200"/>
        <w:jc w:val="both"/>
        <w:rPr>
          <w:rFonts w:ascii="楷体" w:hAnsi="楷体" w:eastAsia="楷体" w:cs="仿宋"/>
          <w:b/>
          <w:bCs/>
          <w:color w:val="auto"/>
          <w:sz w:val="32"/>
          <w:szCs w:val="32"/>
          <w:shd w:val="clear" w:color="auto" w:fill="FFFFFF"/>
        </w:rPr>
      </w:pPr>
      <w:r>
        <w:rPr>
          <w:rFonts w:hint="eastAsia" w:ascii="楷体" w:hAnsi="楷体" w:eastAsia="楷体" w:cs="仿宋"/>
          <w:b/>
          <w:bCs/>
          <w:color w:val="auto"/>
          <w:sz w:val="32"/>
          <w:szCs w:val="32"/>
          <w:shd w:val="clear" w:color="auto" w:fill="FFFFFF"/>
        </w:rPr>
        <w:t>（一）推荐中标候选人</w:t>
      </w:r>
    </w:p>
    <w:p>
      <w:pPr>
        <w:pStyle w:val="42"/>
        <w:widowControl/>
        <w:spacing w:beforeAutospacing="0" w:afterAutospacing="0" w:line="600" w:lineRule="exact"/>
        <w:ind w:firstLine="640" w:firstLineChars="200"/>
        <w:jc w:val="both"/>
        <w:rPr>
          <w:rFonts w:hint="default"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rPr>
        <w:t>本项目采用湘建监督〔2021〕36号文件规定的综合评估法，评标委员会共7人，经评标委员会认真评审，推荐了不排序的3名中标候选人</w:t>
      </w:r>
      <w:r>
        <w:rPr>
          <w:rFonts w:hint="eastAsia" w:ascii="仿宋" w:hAnsi="仿宋" w:eastAsia="仿宋" w:cs="仿宋"/>
          <w:color w:val="auto"/>
          <w:sz w:val="32"/>
          <w:szCs w:val="32"/>
          <w:shd w:val="clear" w:color="auto" w:fill="FFFFFF"/>
          <w:lang w:eastAsia="zh-CN"/>
        </w:rPr>
        <w:t>，</w:t>
      </w:r>
      <w:r>
        <w:rPr>
          <w:rFonts w:hint="eastAsia" w:ascii="仿宋" w:hAnsi="仿宋" w:eastAsia="仿宋" w:cs="仿宋"/>
          <w:color w:val="auto"/>
          <w:sz w:val="32"/>
          <w:szCs w:val="32"/>
          <w:shd w:val="clear" w:color="auto" w:fill="FFFFFF"/>
          <w:lang w:val="en-US" w:eastAsia="zh-CN"/>
        </w:rPr>
        <w:t>名单如下（中标候选人公示结束后附名单）：</w:t>
      </w:r>
    </w:p>
    <w:p>
      <w:pPr>
        <w:pStyle w:val="42"/>
        <w:widowControl/>
        <w:spacing w:beforeAutospacing="0" w:afterAutospacing="0" w:line="600" w:lineRule="exact"/>
        <w:ind w:firstLine="643" w:firstLineChars="200"/>
        <w:jc w:val="both"/>
        <w:rPr>
          <w:rFonts w:ascii="楷体" w:hAnsi="楷体" w:eastAsia="楷体" w:cs="仿宋"/>
          <w:b/>
          <w:bCs/>
          <w:color w:val="auto"/>
          <w:sz w:val="32"/>
          <w:szCs w:val="32"/>
          <w:shd w:val="clear" w:color="auto" w:fill="FFFFFF"/>
        </w:rPr>
      </w:pPr>
    </w:p>
    <w:p>
      <w:pPr>
        <w:pStyle w:val="42"/>
        <w:widowControl/>
        <w:spacing w:beforeAutospacing="0" w:afterAutospacing="0" w:line="600" w:lineRule="exact"/>
        <w:ind w:firstLine="643" w:firstLineChars="200"/>
        <w:jc w:val="both"/>
        <w:rPr>
          <w:rFonts w:ascii="楷体" w:hAnsi="楷体" w:eastAsia="楷体" w:cs="仿宋"/>
          <w:b/>
          <w:bCs/>
          <w:color w:val="auto"/>
          <w:sz w:val="32"/>
          <w:szCs w:val="32"/>
          <w:shd w:val="clear" w:color="auto" w:fill="FFFFFF"/>
        </w:rPr>
      </w:pPr>
      <w:r>
        <w:rPr>
          <w:rFonts w:hint="eastAsia" w:ascii="楷体" w:hAnsi="楷体" w:eastAsia="楷体" w:cs="仿宋"/>
          <w:b/>
          <w:bCs/>
          <w:color w:val="auto"/>
          <w:sz w:val="32"/>
          <w:szCs w:val="32"/>
          <w:shd w:val="clear" w:color="auto" w:fill="FFFFFF"/>
        </w:rPr>
        <w:t>（二）成立定标委员会</w:t>
      </w:r>
    </w:p>
    <w:p>
      <w:pPr>
        <w:pStyle w:val="42"/>
        <w:widowControl/>
        <w:spacing w:beforeAutospacing="0" w:afterAutospacing="0" w:line="600" w:lineRule="exact"/>
        <w:ind w:firstLine="640"/>
        <w:jc w:val="both"/>
        <w:rPr>
          <w:rFonts w:hint="default"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定标会议前成立定标委员会</w:t>
      </w:r>
    </w:p>
    <w:p>
      <w:pPr>
        <w:pStyle w:val="42"/>
        <w:widowControl/>
        <w:spacing w:beforeAutospacing="0" w:afterAutospacing="0" w:line="600" w:lineRule="exact"/>
        <w:ind w:firstLine="643" w:firstLineChars="200"/>
        <w:jc w:val="both"/>
        <w:rPr>
          <w:rFonts w:ascii="楷体" w:hAnsi="楷体" w:eastAsia="楷体" w:cs="仿宋"/>
          <w:b/>
          <w:bCs/>
          <w:color w:val="auto"/>
          <w:sz w:val="32"/>
          <w:szCs w:val="32"/>
          <w:shd w:val="clear" w:color="auto" w:fill="FFFFFF"/>
        </w:rPr>
      </w:pPr>
      <w:r>
        <w:rPr>
          <w:rFonts w:hint="eastAsia" w:ascii="楷体" w:hAnsi="楷体" w:eastAsia="楷体" w:cs="仿宋"/>
          <w:b/>
          <w:bCs/>
          <w:color w:val="auto"/>
          <w:sz w:val="32"/>
          <w:szCs w:val="32"/>
          <w:shd w:val="clear" w:color="auto" w:fill="FFFFFF"/>
        </w:rPr>
        <w:t>（三）召开定标会议</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会议议程安排如下：</w:t>
      </w:r>
    </w:p>
    <w:p>
      <w:pPr>
        <w:pStyle w:val="42"/>
        <w:widowControl/>
        <w:spacing w:beforeAutospacing="0" w:afterAutospacing="0" w:line="600" w:lineRule="exact"/>
        <w:ind w:firstLine="64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rPr>
        <w:t>主持人：</w:t>
      </w:r>
      <w:r>
        <w:rPr>
          <w:rFonts w:hint="eastAsia" w:ascii="仿宋" w:hAnsi="仿宋" w:eastAsia="仿宋" w:cs="仿宋"/>
          <w:color w:val="auto"/>
          <w:sz w:val="32"/>
          <w:szCs w:val="32"/>
          <w:shd w:val="clear" w:color="auto" w:fill="FFFFFF"/>
          <w:lang w:val="en-US" w:eastAsia="zh-CN"/>
        </w:rPr>
        <w:t>湖南大福信息技术咨询有限公司</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1.宣读定标委员会组建情况及监督委员、主任委员、成员名单。</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2.宣读定标纪律。</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3.签订廉洁自律承诺书（见附件）。</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4.定标委员会主</w:t>
      </w:r>
      <w:r>
        <w:rPr>
          <w:rFonts w:hint="eastAsia" w:ascii="仿宋" w:hAnsi="仿宋" w:eastAsia="仿宋" w:cs="仿宋"/>
          <w:color w:val="auto"/>
          <w:sz w:val="32"/>
          <w:szCs w:val="32"/>
          <w:shd w:val="clear" w:color="auto" w:fill="FFFFFF"/>
          <w:lang w:val="en-US" w:eastAsia="zh-CN"/>
        </w:rPr>
        <w:t>任</w:t>
      </w:r>
      <w:r>
        <w:rPr>
          <w:rFonts w:hint="eastAsia" w:ascii="仿宋" w:hAnsi="仿宋" w:eastAsia="仿宋" w:cs="仿宋"/>
          <w:color w:val="auto"/>
          <w:sz w:val="32"/>
          <w:szCs w:val="32"/>
          <w:shd w:val="clear" w:color="auto" w:fill="FFFFFF"/>
        </w:rPr>
        <w:t>委员组织查阅有关中标侯选人的投标文件、评标报告、中标候选人信息等资料。</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5.投票。按照招标文件规定的投票规则进行投票。</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6.唱票。宣读定标委员会成员投票结果及投票理由。</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7.定标。根据定标结果形成书面定标报告。</w:t>
      </w:r>
    </w:p>
    <w:p>
      <w:pPr>
        <w:pStyle w:val="42"/>
        <w:widowControl/>
        <w:spacing w:beforeAutospacing="0" w:afterAutospacing="0" w:line="600" w:lineRule="exact"/>
        <w:ind w:firstLine="643" w:firstLineChars="200"/>
        <w:jc w:val="both"/>
        <w:rPr>
          <w:rFonts w:ascii="楷体" w:hAnsi="楷体" w:eastAsia="楷体" w:cs="仿宋"/>
          <w:b/>
          <w:bCs/>
          <w:color w:val="auto"/>
          <w:sz w:val="32"/>
          <w:szCs w:val="32"/>
          <w:shd w:val="clear" w:color="auto" w:fill="FFFFFF"/>
        </w:rPr>
      </w:pPr>
      <w:r>
        <w:rPr>
          <w:rFonts w:hint="eastAsia" w:ascii="楷体" w:hAnsi="楷体" w:eastAsia="楷体" w:cs="仿宋"/>
          <w:b/>
          <w:bCs/>
          <w:color w:val="auto"/>
          <w:sz w:val="32"/>
          <w:szCs w:val="32"/>
          <w:shd w:val="clear" w:color="auto" w:fill="FFFFFF"/>
        </w:rPr>
        <w:t>（四）定标纪律</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1</w:t>
      </w:r>
      <w:r>
        <w:rPr>
          <w:rFonts w:ascii="仿宋" w:hAnsi="仿宋" w:eastAsia="仿宋" w:cs="仿宋"/>
          <w:color w:val="auto"/>
          <w:sz w:val="32"/>
          <w:szCs w:val="32"/>
          <w:shd w:val="clear" w:color="auto" w:fill="FFFFFF"/>
        </w:rPr>
        <w:t>.</w:t>
      </w:r>
      <w:r>
        <w:rPr>
          <w:rFonts w:hint="eastAsia" w:ascii="仿宋" w:hAnsi="仿宋" w:eastAsia="仿宋" w:cs="仿宋"/>
          <w:color w:val="auto"/>
          <w:sz w:val="32"/>
          <w:szCs w:val="32"/>
          <w:shd w:val="clear" w:color="auto" w:fill="FFFFFF"/>
        </w:rPr>
        <w:t>以科学公正的态度参加定标工作，在定标过程中不受任何干扰，客观、公正地履行职责，各评委独立为本工程提供定标意见,并对自已的定标意见承担责任。</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2</w:t>
      </w:r>
      <w:r>
        <w:rPr>
          <w:rFonts w:ascii="仿宋" w:hAnsi="仿宋" w:eastAsia="仿宋" w:cs="仿宋"/>
          <w:color w:val="auto"/>
          <w:sz w:val="32"/>
          <w:szCs w:val="32"/>
          <w:shd w:val="clear" w:color="auto" w:fill="FFFFFF"/>
        </w:rPr>
        <w:t>.</w:t>
      </w:r>
      <w:r>
        <w:rPr>
          <w:rFonts w:hint="eastAsia" w:ascii="仿宋" w:hAnsi="仿宋" w:eastAsia="仿宋" w:cs="仿宋"/>
          <w:color w:val="auto"/>
          <w:sz w:val="32"/>
          <w:szCs w:val="32"/>
          <w:shd w:val="clear" w:color="auto" w:fill="FFFFFF"/>
        </w:rPr>
        <w:t>定标委员会委员与各中标候选人存在直接利害关系可能影响定标客观公正的,应主动回避，招标人补充相应委员。</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3</w:t>
      </w:r>
      <w:r>
        <w:rPr>
          <w:rFonts w:ascii="仿宋" w:hAnsi="仿宋" w:eastAsia="仿宋" w:cs="仿宋"/>
          <w:color w:val="auto"/>
          <w:sz w:val="32"/>
          <w:szCs w:val="32"/>
          <w:shd w:val="clear" w:color="auto" w:fill="FFFFFF"/>
        </w:rPr>
        <w:t>.</w:t>
      </w:r>
      <w:r>
        <w:rPr>
          <w:rFonts w:hint="eastAsia" w:ascii="仿宋" w:hAnsi="仿宋" w:eastAsia="仿宋" w:cs="仿宋"/>
          <w:color w:val="auto"/>
          <w:sz w:val="32"/>
          <w:szCs w:val="32"/>
          <w:shd w:val="clear" w:color="auto" w:fill="FFFFFF"/>
        </w:rPr>
        <w:t>严格遵守定标工作纪律，不得向外泄露定标情况及涉及中标候选人商业秘密的信息。</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4</w:t>
      </w:r>
      <w:r>
        <w:rPr>
          <w:rFonts w:ascii="仿宋" w:hAnsi="仿宋" w:eastAsia="仿宋" w:cs="仿宋"/>
          <w:color w:val="auto"/>
          <w:sz w:val="32"/>
          <w:szCs w:val="32"/>
          <w:shd w:val="clear" w:color="auto" w:fill="FFFFFF"/>
        </w:rPr>
        <w:t>.</w:t>
      </w:r>
      <w:r>
        <w:rPr>
          <w:rFonts w:hint="eastAsia" w:ascii="仿宋" w:hAnsi="仿宋" w:eastAsia="仿宋" w:cs="仿宋"/>
          <w:color w:val="auto"/>
          <w:sz w:val="32"/>
          <w:szCs w:val="32"/>
          <w:shd w:val="clear" w:color="auto" w:fill="FFFFFF"/>
        </w:rPr>
        <w:t>发现中标候选人有不正当竞争或弄虚作假等违规行为，应及时向监督部门报告。</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5</w:t>
      </w:r>
      <w:r>
        <w:rPr>
          <w:rFonts w:ascii="仿宋" w:hAnsi="仿宋" w:eastAsia="仿宋" w:cs="仿宋"/>
          <w:color w:val="auto"/>
          <w:sz w:val="32"/>
          <w:szCs w:val="32"/>
          <w:shd w:val="clear" w:color="auto" w:fill="FFFFFF"/>
        </w:rPr>
        <w:t>.</w:t>
      </w:r>
      <w:r>
        <w:rPr>
          <w:rFonts w:hint="eastAsia" w:ascii="仿宋" w:hAnsi="仿宋" w:eastAsia="仿宋" w:cs="仿宋"/>
          <w:color w:val="auto"/>
          <w:sz w:val="32"/>
          <w:szCs w:val="32"/>
          <w:shd w:val="clear" w:color="auto" w:fill="FFFFFF"/>
        </w:rPr>
        <w:t>在定标活动中自觉接受监督部门的监督和管理。</w:t>
      </w:r>
    </w:p>
    <w:p>
      <w:pPr>
        <w:pStyle w:val="42"/>
        <w:widowControl/>
        <w:spacing w:beforeAutospacing="0" w:afterAutospacing="0" w:line="600" w:lineRule="exact"/>
        <w:ind w:firstLine="640"/>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四、注意事项</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为保证定标会议的顺利进行，需注意以下事项：</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1.关于定标委员会成员的组建，除招标人领导班子成员担任定标委员会成员外，定标委员会成员需具备相应专业能力。</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2.定标会议全程录音录像</w:t>
      </w:r>
      <w:r>
        <w:rPr>
          <w:rFonts w:hint="eastAsia" w:ascii="仿宋" w:hAnsi="仿宋" w:eastAsia="仿宋" w:cs="仿宋"/>
          <w:color w:val="auto"/>
          <w:sz w:val="32"/>
          <w:szCs w:val="32"/>
          <w:shd w:val="clear" w:color="auto" w:fill="FFFFFF"/>
          <w:lang w:eastAsia="zh-CN"/>
        </w:rPr>
        <w:t>，</w:t>
      </w:r>
      <w:r>
        <w:rPr>
          <w:rFonts w:hint="eastAsia" w:ascii="仿宋" w:hAnsi="仿宋" w:eastAsia="仿宋" w:cs="仿宋"/>
          <w:color w:val="auto"/>
          <w:sz w:val="32"/>
          <w:szCs w:val="32"/>
          <w:shd w:val="clear" w:color="auto" w:fill="FFFFFF"/>
        </w:rPr>
        <w:t>参加定标会议的相关人员将手机关机，并在定标过程中，不得将手机拿出。</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3.监督人员、定标委员会成员与中标候选人存在利害关系的，应主动申请回避。</w:t>
      </w:r>
    </w:p>
    <w:p>
      <w:pPr>
        <w:pStyle w:val="42"/>
        <w:widowControl/>
        <w:spacing w:beforeAutospacing="0" w:afterAutospacing="0" w:line="600" w:lineRule="exact"/>
        <w:ind w:firstLine="64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4.招标人、定标委员会成员及相关工作人员应当严格遵守保密规定，不得以任何形式向外透露定标委员会成员名单、中标人推荐以及与定标有关的其他情况。</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附件一：</w:t>
      </w:r>
      <w:r>
        <w:rPr>
          <w:rFonts w:ascii="仿宋" w:hAnsi="仿宋" w:eastAsia="仿宋" w:cs="仿宋"/>
          <w:color w:val="auto"/>
          <w:sz w:val="32"/>
          <w:szCs w:val="32"/>
          <w:shd w:val="clear" w:color="auto" w:fill="FFFFFF"/>
        </w:rPr>
        <w:t>廉洁自律承诺书</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附件二：定标监督委员情况登记表</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附件三：定标委员会委员情况登记表</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附件四：票决定标投票表</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附件五：定标委员会委员定标投票统计表</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附件六：定标报告</w:t>
      </w:r>
    </w:p>
    <w:p>
      <w:pPr>
        <w:pStyle w:val="42"/>
        <w:widowControl/>
        <w:spacing w:before="110" w:beforeAutospacing="0" w:afterAutospacing="0" w:line="600" w:lineRule="exact"/>
        <w:ind w:firstLine="640" w:firstLineChars="200"/>
        <w:jc w:val="both"/>
        <w:rPr>
          <w:rFonts w:ascii="仿宋" w:hAnsi="仿宋" w:eastAsia="仿宋" w:cs="仿宋"/>
          <w:color w:val="auto"/>
          <w:sz w:val="32"/>
          <w:szCs w:val="32"/>
          <w:shd w:val="clear" w:color="auto" w:fill="FFFFFF"/>
        </w:rPr>
      </w:pP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附件一：</w:t>
      </w:r>
    </w:p>
    <w:p>
      <w:pPr>
        <w:pStyle w:val="42"/>
        <w:widowControl/>
        <w:spacing w:before="110" w:beforeAutospacing="0" w:afterAutospacing="0" w:line="600" w:lineRule="exact"/>
        <w:jc w:val="center"/>
        <w:rPr>
          <w:rFonts w:ascii="Times New Roman" w:hAnsi="Times New Roman"/>
          <w:color w:val="auto"/>
          <w:sz w:val="44"/>
          <w:szCs w:val="44"/>
        </w:rPr>
      </w:pPr>
      <w:r>
        <w:rPr>
          <w:rFonts w:ascii="方正小标宋简体" w:hAnsi="方正小标宋简体" w:eastAsia="方正小标宋简体" w:cs="方正小标宋简体"/>
          <w:color w:val="auto"/>
          <w:sz w:val="44"/>
          <w:szCs w:val="44"/>
          <w:shd w:val="clear" w:color="auto" w:fill="FFFFFF"/>
        </w:rPr>
        <w:t>廉洁自律承诺书</w:t>
      </w:r>
    </w:p>
    <w:p>
      <w:pPr>
        <w:pStyle w:val="42"/>
        <w:widowControl/>
        <w:spacing w:beforeAutospacing="0" w:afterAutospacing="0" w:line="600" w:lineRule="exact"/>
        <w:ind w:firstLine="640" w:firstLineChars="20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为进一步提高廉洁自律意识，客观公正地履行职责，本人作为</w:t>
      </w:r>
      <w:r>
        <w:rPr>
          <w:rFonts w:hint="eastAsia" w:ascii="仿宋" w:hAnsi="仿宋" w:eastAsia="仿宋" w:cs="仿宋"/>
          <w:color w:val="auto"/>
          <w:sz w:val="32"/>
          <w:szCs w:val="32"/>
          <w:u w:val="single"/>
          <w:shd w:val="clear" w:color="auto" w:fill="FFFFFF"/>
          <w:lang w:eastAsia="zh-CN"/>
        </w:rPr>
        <w:t>岳阳市审计局家属院老旧小区改造配套基础设施建设项目工程总承包</w:t>
      </w:r>
      <w:r>
        <w:rPr>
          <w:rFonts w:hint="eastAsia" w:ascii="仿宋" w:hAnsi="仿宋" w:eastAsia="仿宋" w:cs="仿宋"/>
          <w:color w:val="auto"/>
          <w:sz w:val="32"/>
          <w:szCs w:val="32"/>
          <w:shd w:val="clear" w:color="auto" w:fill="FFFFFF"/>
        </w:rPr>
        <w:t>定标委员会委员，郑重承诺:</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1.严格遵守《中华人民共和国招标投标法》《中华人民共和国保守国家秘密法》等相关法律及有关部门关于招投标的法规、规章，维护国家利益、公共利益。</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2.客观公正地履行职责,遵守职业道德,严格按照招标文件规定的方法和标准进行定标,并对定标意见承担责任。</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3.履行保密义务,遵守定标纪律,不私下接触中标侯选人,不收受他人财物或者其他好处,不泄露定标会议的任何情况。</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4.严格遵守定标回避制度,当发现自已与投标人存在直接利害关系时,主动回避。</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5.自觉抵制招投标违法违规行为,积极配合有关部门的调查取证工作。</w:t>
      </w:r>
    </w:p>
    <w:p>
      <w:pPr>
        <w:pStyle w:val="42"/>
        <w:widowControl/>
        <w:spacing w:beforeAutospacing="0" w:afterAutospacing="0" w:line="600" w:lineRule="exact"/>
        <w:ind w:firstLine="640"/>
        <w:jc w:val="both"/>
        <w:rPr>
          <w:rFonts w:ascii="Times New Roman" w:hAnsi="Times New Roman"/>
          <w:color w:val="auto"/>
          <w:sz w:val="32"/>
          <w:szCs w:val="32"/>
        </w:rPr>
      </w:pPr>
      <w:r>
        <w:rPr>
          <w:rFonts w:hint="eastAsia" w:ascii="仿宋" w:hAnsi="仿宋" w:eastAsia="仿宋" w:cs="仿宋"/>
          <w:color w:val="auto"/>
          <w:sz w:val="32"/>
          <w:szCs w:val="32"/>
          <w:shd w:val="clear" w:color="auto" w:fill="FFFFFF"/>
        </w:rPr>
        <w:t>6.自觉服从监督部门的监督。</w:t>
      </w:r>
    </w:p>
    <w:p>
      <w:pPr>
        <w:pStyle w:val="42"/>
        <w:widowControl/>
        <w:spacing w:beforeAutospacing="0" w:afterAutospacing="0" w:line="600" w:lineRule="exact"/>
        <w:rPr>
          <w:rFonts w:ascii="仿宋" w:hAnsi="仿宋" w:eastAsia="仿宋" w:cs="仿宋"/>
          <w:color w:val="auto"/>
          <w:sz w:val="32"/>
          <w:szCs w:val="32"/>
          <w:shd w:val="clear" w:color="auto" w:fill="FFFFFF"/>
        </w:rPr>
      </w:pPr>
    </w:p>
    <w:p>
      <w:pPr>
        <w:pStyle w:val="42"/>
        <w:widowControl/>
        <w:spacing w:beforeAutospacing="0" w:afterAutospacing="0" w:line="600" w:lineRule="exact"/>
        <w:ind w:firstLine="4480" w:firstLineChars="1400"/>
        <w:jc w:val="both"/>
        <w:rPr>
          <w:rFonts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rPr>
        <w:t>承诺人:</w:t>
      </w:r>
    </w:p>
    <w:p>
      <w:pPr>
        <w:pStyle w:val="42"/>
        <w:widowControl/>
        <w:spacing w:beforeAutospacing="0" w:afterAutospacing="0" w:line="600" w:lineRule="exact"/>
        <w:ind w:firstLine="4480" w:firstLineChars="1400"/>
        <w:jc w:val="both"/>
        <w:rPr>
          <w:color w:val="auto"/>
          <w:sz w:val="32"/>
          <w:szCs w:val="32"/>
        </w:rPr>
      </w:pPr>
      <w:r>
        <w:rPr>
          <w:rFonts w:hint="eastAsia" w:ascii="仿宋" w:hAnsi="仿宋" w:eastAsia="仿宋" w:cs="仿宋"/>
          <w:color w:val="auto"/>
          <w:sz w:val="32"/>
          <w:szCs w:val="32"/>
          <w:shd w:val="clear" w:color="auto" w:fill="FFFFFF"/>
        </w:rPr>
        <w:t xml:space="preserve">承诺日期:  </w:t>
      </w:r>
      <w:r>
        <w:rPr>
          <w:rFonts w:ascii="仿宋" w:hAnsi="仿宋" w:eastAsia="仿宋" w:cs="仿宋"/>
          <w:color w:val="auto"/>
          <w:sz w:val="32"/>
          <w:szCs w:val="32"/>
          <w:shd w:val="clear" w:color="auto" w:fill="FFFFFF"/>
        </w:rPr>
        <w:t xml:space="preserve"> </w:t>
      </w:r>
      <w:r>
        <w:rPr>
          <w:rFonts w:hint="eastAsia" w:ascii="仿宋" w:hAnsi="仿宋" w:eastAsia="仿宋" w:cs="仿宋"/>
          <w:color w:val="auto"/>
          <w:sz w:val="32"/>
          <w:szCs w:val="32"/>
          <w:shd w:val="clear" w:color="auto" w:fill="FFFFFF"/>
        </w:rPr>
        <w:t xml:space="preserve">年  </w:t>
      </w:r>
      <w:r>
        <w:rPr>
          <w:rFonts w:ascii="仿宋" w:hAnsi="仿宋" w:eastAsia="仿宋" w:cs="仿宋"/>
          <w:color w:val="auto"/>
          <w:sz w:val="32"/>
          <w:szCs w:val="32"/>
          <w:shd w:val="clear" w:color="auto" w:fill="FFFFFF"/>
        </w:rPr>
        <w:t xml:space="preserve"> </w:t>
      </w:r>
      <w:r>
        <w:rPr>
          <w:rFonts w:hint="eastAsia" w:ascii="仿宋" w:hAnsi="仿宋" w:eastAsia="仿宋" w:cs="仿宋"/>
          <w:color w:val="auto"/>
          <w:sz w:val="32"/>
          <w:szCs w:val="32"/>
          <w:shd w:val="clear" w:color="auto" w:fill="FFFFFF"/>
        </w:rPr>
        <w:t>月  日</w:t>
      </w: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p>
    <w:p>
      <w:pPr>
        <w:pStyle w:val="42"/>
        <w:widowControl/>
        <w:spacing w:beforeAutospacing="0" w:afterAutospacing="0" w:line="600" w:lineRule="exact"/>
        <w:jc w:val="both"/>
        <w:rPr>
          <w:rFonts w:hint="eastAsia" w:ascii="黑体" w:hAnsi="黑体" w:eastAsia="黑体" w:cs="黑体"/>
          <w:color w:val="auto"/>
          <w:sz w:val="32"/>
          <w:szCs w:val="32"/>
          <w:shd w:val="clear" w:color="auto" w:fill="FFFFFF"/>
        </w:rPr>
      </w:pP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附件二：</w:t>
      </w:r>
    </w:p>
    <w:p>
      <w:pPr>
        <w:pStyle w:val="42"/>
        <w:widowControl/>
        <w:spacing w:before="110" w:beforeAutospacing="0" w:afterAutospacing="0" w:line="600" w:lineRule="exact"/>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定标监督委员情况登记表</w:t>
      </w:r>
    </w:p>
    <w:tbl>
      <w:tblPr>
        <w:tblStyle w:val="48"/>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427"/>
        <w:gridCol w:w="2004"/>
        <w:gridCol w:w="1776"/>
        <w:gridCol w:w="1177"/>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招标人</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lang w:val="en-US" w:eastAsia="zh-CN"/>
              </w:rPr>
            </w:pPr>
            <w:r>
              <w:rPr>
                <w:rFonts w:hint="eastAsia" w:ascii="仿宋" w:hAnsi="仿宋" w:eastAsia="仿宋" w:cs="仿宋"/>
                <w:bCs/>
                <w:color w:val="auto"/>
                <w:lang w:val="en-US" w:eastAsia="zh-CN"/>
              </w:rPr>
              <w:t>岳阳市审计局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招标代理机构</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color w:val="auto"/>
                <w:sz w:val="32"/>
                <w:szCs w:val="32"/>
                <w:shd w:val="clear" w:color="auto" w:fill="FFFFFF"/>
                <w:lang w:val="en-US" w:eastAsia="zh-CN"/>
              </w:rPr>
              <w:t>湖南大福信息技术咨询有限公司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招标工程名称</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bCs/>
                <w:color w:val="auto"/>
                <w:lang w:eastAsia="zh-CN"/>
              </w:rPr>
            </w:pPr>
            <w:r>
              <w:rPr>
                <w:rFonts w:hint="eastAsia" w:ascii="仿宋" w:hAnsi="仿宋" w:eastAsia="仿宋" w:cs="仿宋"/>
                <w:bCs/>
                <w:color w:val="auto"/>
                <w:lang w:eastAsia="zh-CN"/>
              </w:rPr>
              <w:t>岳阳市审计局家属院老旧小区改造配套基础设施建设项目工程总承包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right="0"/>
              <w:jc w:val="both"/>
              <w:rPr>
                <w:rFonts w:hint="default" w:ascii="仿宋" w:hAnsi="仿宋" w:eastAsia="仿宋" w:cs="仿宋"/>
                <w:bCs/>
                <w:color w:val="auto"/>
              </w:rPr>
            </w:pPr>
            <w:r>
              <w:rPr>
                <w:rFonts w:hint="eastAsia" w:ascii="仿宋" w:hAnsi="仿宋" w:eastAsia="仿宋" w:cs="仿宋"/>
                <w:bCs/>
                <w:color w:val="auto"/>
              </w:rPr>
              <w:t>定标时间</w:t>
            </w:r>
          </w:p>
        </w:tc>
        <w:tc>
          <w:tcPr>
            <w:tcW w:w="6630" w:type="dxa"/>
            <w:gridSpan w:val="4"/>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2023年</w:t>
            </w:r>
            <w:r>
              <w:rPr>
                <w:rFonts w:hint="eastAsia" w:ascii="仿宋" w:hAnsi="仿宋" w:eastAsia="仿宋" w:cs="仿宋"/>
                <w:bCs/>
                <w:color w:val="auto"/>
                <w:lang w:val="en-US" w:eastAsia="zh-CN"/>
              </w:rPr>
              <w:t xml:space="preserve"> </w:t>
            </w:r>
            <w:r>
              <w:rPr>
                <w:rFonts w:hint="eastAsia" w:ascii="仿宋" w:hAnsi="仿宋" w:eastAsia="仿宋" w:cs="仿宋"/>
                <w:bCs/>
                <w:color w:val="auto"/>
              </w:rPr>
              <w:t xml:space="preserve">月 </w:t>
            </w:r>
            <w:r>
              <w:rPr>
                <w:rFonts w:hint="eastAsia" w:ascii="仿宋" w:hAnsi="仿宋" w:eastAsia="仿宋" w:cs="仿宋"/>
                <w:bCs/>
                <w:color w:val="auto"/>
                <w:lang w:val="en-US" w:eastAsia="zh-CN"/>
              </w:rPr>
              <w:t xml:space="preserve"> </w:t>
            </w:r>
            <w:r>
              <w:rPr>
                <w:rFonts w:hint="eastAsia" w:ascii="仿宋" w:hAnsi="仿宋" w:eastAsia="仿宋" w:cs="仿宋"/>
                <w:bCs/>
                <w:color w:va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54" w:type="dxa"/>
            <w:gridSpan w:val="6"/>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监督委员情况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997"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序号</w:t>
            </w:r>
          </w:p>
        </w:tc>
        <w:tc>
          <w:tcPr>
            <w:tcW w:w="1427"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姓名</w:t>
            </w:r>
          </w:p>
        </w:tc>
        <w:tc>
          <w:tcPr>
            <w:tcW w:w="200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工作单位及职务</w:t>
            </w:r>
          </w:p>
        </w:tc>
        <w:tc>
          <w:tcPr>
            <w:tcW w:w="1776"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联系电话</w:t>
            </w:r>
          </w:p>
        </w:tc>
        <w:tc>
          <w:tcPr>
            <w:tcW w:w="1177"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到场情况</w:t>
            </w:r>
          </w:p>
        </w:tc>
        <w:tc>
          <w:tcPr>
            <w:tcW w:w="1673" w:type="dxa"/>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97" w:type="dxa"/>
            <w:vAlign w:val="center"/>
          </w:tcPr>
          <w:p>
            <w:pPr>
              <w:pStyle w:val="67"/>
              <w:keepNext w:val="0"/>
              <w:keepLines w:val="0"/>
              <w:suppressLineNumbers w:val="0"/>
              <w:spacing w:before="0" w:beforeAutospacing="0" w:after="0" w:afterAutospacing="0"/>
              <w:ind w:left="0" w:right="0"/>
              <w:jc w:val="both"/>
              <w:rPr>
                <w:rFonts w:hint="default" w:ascii="仿宋" w:hAnsi="仿宋" w:eastAsia="仿宋" w:cs="仿宋"/>
                <w:bCs/>
                <w:color w:val="auto"/>
              </w:rPr>
            </w:pPr>
            <w:r>
              <w:rPr>
                <w:rFonts w:hint="eastAsia" w:ascii="仿宋" w:hAnsi="仿宋" w:eastAsia="仿宋" w:cs="仿宋"/>
                <w:bCs/>
                <w:color w:val="auto"/>
              </w:rPr>
              <w:t>1</w:t>
            </w:r>
          </w:p>
        </w:tc>
        <w:tc>
          <w:tcPr>
            <w:tcW w:w="142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97" w:type="dxa"/>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2</w:t>
            </w:r>
          </w:p>
        </w:tc>
        <w:tc>
          <w:tcPr>
            <w:tcW w:w="142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054" w:type="dxa"/>
            <w:gridSpan w:val="6"/>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r>
              <w:rPr>
                <w:rFonts w:hint="eastAsia" w:ascii="仿宋" w:hAnsi="仿宋" w:eastAsia="仿宋" w:cs="仿宋"/>
                <w:bCs/>
                <w:color w:val="auto"/>
              </w:rPr>
              <w:t>招标代理机构（签字/时间）</w:t>
            </w:r>
          </w:p>
        </w:tc>
      </w:tr>
    </w:tbl>
    <w:p>
      <w:pPr>
        <w:pStyle w:val="67"/>
        <w:ind w:firstLine="0"/>
        <w:jc w:val="left"/>
        <w:rPr>
          <w:rFonts w:ascii="仿宋" w:hAnsi="仿宋" w:eastAsia="仿宋" w:cs="仿宋"/>
          <w:b/>
          <w:color w:val="auto"/>
        </w:rPr>
      </w:pPr>
    </w:p>
    <w:p>
      <w:pPr>
        <w:pStyle w:val="67"/>
        <w:ind w:firstLine="0"/>
        <w:jc w:val="left"/>
        <w:rPr>
          <w:rFonts w:ascii="仿宋" w:hAnsi="仿宋" w:eastAsia="仿宋" w:cs="仿宋"/>
          <w:bCs/>
          <w:color w:val="auto"/>
        </w:rPr>
      </w:pPr>
    </w:p>
    <w:p>
      <w:pPr>
        <w:pStyle w:val="67"/>
        <w:jc w:val="right"/>
        <w:rPr>
          <w:rFonts w:ascii="仿宋" w:hAnsi="仿宋" w:eastAsia="仿宋" w:cs="仿宋"/>
          <w:bCs/>
          <w:color w:val="auto"/>
        </w:rPr>
        <w:sectPr>
          <w:footerReference r:id="rId9" w:type="default"/>
          <w:type w:val="continuous"/>
          <w:pgSz w:w="11906" w:h="16838"/>
          <w:pgMar w:top="1440" w:right="1800" w:bottom="1134" w:left="1800" w:header="851" w:footer="992" w:gutter="0"/>
          <w:pgNumType w:fmt="numberInDash" w:start="2"/>
          <w:cols w:space="0" w:num="1"/>
          <w:docGrid w:type="lines" w:linePitch="312" w:charSpace="0"/>
        </w:sectPr>
      </w:pPr>
      <w:r>
        <w:rPr>
          <w:rFonts w:hint="eastAsia" w:ascii="仿宋" w:hAnsi="仿宋" w:eastAsia="仿宋" w:cs="仿宋"/>
          <w:bCs/>
          <w:color w:val="auto"/>
        </w:rPr>
        <w:t>日期：2023年</w:t>
      </w:r>
      <w:r>
        <w:rPr>
          <w:rFonts w:hint="eastAsia" w:ascii="仿宋" w:hAnsi="仿宋" w:eastAsia="仿宋" w:cs="仿宋"/>
          <w:bCs/>
          <w:color w:val="auto"/>
          <w:lang w:val="en-US" w:eastAsia="zh-CN"/>
        </w:rPr>
        <w:t xml:space="preserve"> </w:t>
      </w:r>
      <w:r>
        <w:rPr>
          <w:rFonts w:hint="eastAsia" w:ascii="仿宋" w:hAnsi="仿宋" w:eastAsia="仿宋" w:cs="仿宋"/>
          <w:bCs/>
          <w:color w:val="auto"/>
        </w:rPr>
        <w:t>月</w:t>
      </w:r>
      <w:r>
        <w:rPr>
          <w:rFonts w:hint="eastAsia" w:ascii="仿宋" w:hAnsi="仿宋" w:eastAsia="仿宋" w:cs="仿宋"/>
          <w:bCs/>
          <w:color w:val="auto"/>
          <w:lang w:val="en-US" w:eastAsia="zh-CN"/>
        </w:rPr>
        <w:t xml:space="preserve"> </w:t>
      </w:r>
      <w:r>
        <w:rPr>
          <w:rFonts w:hint="eastAsia" w:ascii="仿宋" w:hAnsi="仿宋" w:eastAsia="仿宋" w:cs="仿宋"/>
          <w:bCs/>
          <w:color w:val="auto"/>
        </w:rPr>
        <w:t>日</w:t>
      </w: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附件三：</w:t>
      </w:r>
    </w:p>
    <w:p>
      <w:pPr>
        <w:pStyle w:val="42"/>
        <w:widowControl/>
        <w:spacing w:before="110" w:beforeAutospacing="0" w:afterAutospacing="0" w:line="600" w:lineRule="exact"/>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定标委员会委员情况登记表</w:t>
      </w:r>
    </w:p>
    <w:tbl>
      <w:tblPr>
        <w:tblStyle w:val="48"/>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90"/>
        <w:gridCol w:w="2004"/>
        <w:gridCol w:w="1776"/>
        <w:gridCol w:w="1177"/>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招标人</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lang w:val="en-US" w:eastAsia="zh-CN"/>
              </w:rPr>
              <w:t>岳阳市审计局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招标代理机构</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kern w:val="2"/>
                <w:sz w:val="28"/>
                <w:szCs w:val="28"/>
                <w:lang w:val="en-US" w:eastAsia="zh-CN" w:bidi="ar-SA"/>
              </w:rPr>
            </w:pPr>
            <w:r>
              <w:rPr>
                <w:rFonts w:hint="eastAsia" w:ascii="仿宋" w:hAnsi="仿宋" w:eastAsia="仿宋" w:cs="仿宋"/>
                <w:color w:val="auto"/>
                <w:sz w:val="32"/>
                <w:szCs w:val="32"/>
                <w:shd w:val="clear" w:color="auto" w:fill="FFFFFF"/>
                <w:lang w:val="en-US" w:eastAsia="zh-CN"/>
              </w:rPr>
              <w:t>湖南大福信息技术咨询有限公司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招标工程名称</w:t>
            </w:r>
          </w:p>
        </w:tc>
        <w:tc>
          <w:tcPr>
            <w:tcW w:w="6630" w:type="dxa"/>
            <w:gridSpan w:val="4"/>
            <w:vAlign w:val="center"/>
          </w:tcPr>
          <w:p>
            <w:pPr>
              <w:pStyle w:val="67"/>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bCs/>
                <w:color w:val="auto"/>
                <w:kern w:val="2"/>
                <w:sz w:val="28"/>
                <w:szCs w:val="28"/>
                <w:lang w:val="en-US" w:eastAsia="zh-CN" w:bidi="ar-SA"/>
              </w:rPr>
            </w:pPr>
            <w:r>
              <w:rPr>
                <w:rFonts w:hint="eastAsia" w:ascii="仿宋" w:hAnsi="仿宋" w:eastAsia="仿宋" w:cs="仿宋"/>
                <w:bCs/>
                <w:color w:val="auto"/>
                <w:lang w:eastAsia="zh-CN"/>
              </w:rPr>
              <w:t>岳阳市审计局家属院老旧小区改造配套基础设施建设项目工程总承包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定标时间</w:t>
            </w:r>
          </w:p>
        </w:tc>
        <w:tc>
          <w:tcPr>
            <w:tcW w:w="6630" w:type="dxa"/>
            <w:gridSpan w:val="4"/>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2023年</w:t>
            </w:r>
            <w:r>
              <w:rPr>
                <w:rFonts w:hint="eastAsia" w:ascii="仿宋" w:hAnsi="仿宋" w:eastAsia="仿宋" w:cs="仿宋"/>
                <w:bCs/>
                <w:color w:val="auto"/>
                <w:lang w:val="en-US" w:eastAsia="zh-CN"/>
              </w:rPr>
              <w:t xml:space="preserve"> </w:t>
            </w:r>
            <w:r>
              <w:rPr>
                <w:rFonts w:hint="eastAsia" w:ascii="仿宋" w:hAnsi="仿宋" w:eastAsia="仿宋" w:cs="仿宋"/>
                <w:bCs/>
                <w:color w:val="auto"/>
              </w:rPr>
              <w:t xml:space="preserve">月 </w:t>
            </w:r>
            <w:r>
              <w:rPr>
                <w:rFonts w:hint="eastAsia" w:ascii="仿宋" w:hAnsi="仿宋" w:eastAsia="仿宋" w:cs="仿宋"/>
                <w:bCs/>
                <w:color w:val="auto"/>
                <w:lang w:val="en-US" w:eastAsia="zh-CN"/>
              </w:rPr>
              <w:t xml:space="preserve"> </w:t>
            </w:r>
            <w:r>
              <w:rPr>
                <w:rFonts w:hint="eastAsia" w:ascii="仿宋" w:hAnsi="仿宋" w:eastAsia="仿宋" w:cs="仿宋"/>
                <w:bCs/>
                <w:color w:val="auto"/>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24" w:type="dxa"/>
            <w:gridSpan w:val="2"/>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招标文件要求</w:t>
            </w:r>
          </w:p>
        </w:tc>
        <w:tc>
          <w:tcPr>
            <w:tcW w:w="6630" w:type="dxa"/>
            <w:gridSpan w:val="4"/>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定标委员会由5人或以上单数组成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54" w:type="dxa"/>
            <w:gridSpan w:val="6"/>
            <w:vAlign w:val="center"/>
          </w:tcPr>
          <w:p>
            <w:pPr>
              <w:pStyle w:val="67"/>
              <w:keepNext w:val="0"/>
              <w:keepLines w:val="0"/>
              <w:suppressLineNumbers w:val="0"/>
              <w:spacing w:before="0" w:beforeAutospacing="0" w:after="0" w:afterAutospacing="0"/>
              <w:ind w:left="0" w:right="0" w:firstLine="0"/>
              <w:jc w:val="center"/>
              <w:rPr>
                <w:rFonts w:hint="default" w:ascii="仿宋" w:hAnsi="仿宋" w:eastAsia="仿宋" w:cs="仿宋"/>
                <w:bCs/>
                <w:color w:val="auto"/>
              </w:rPr>
            </w:pPr>
            <w:r>
              <w:rPr>
                <w:rFonts w:hint="eastAsia" w:ascii="仿宋" w:hAnsi="仿宋" w:eastAsia="仿宋" w:cs="仿宋"/>
                <w:bCs/>
                <w:color w:val="auto"/>
              </w:rPr>
              <w:t>定标成员情况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序号</w:t>
            </w:r>
          </w:p>
        </w:tc>
        <w:tc>
          <w:tcPr>
            <w:tcW w:w="1590"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姓名</w:t>
            </w:r>
          </w:p>
        </w:tc>
        <w:tc>
          <w:tcPr>
            <w:tcW w:w="200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工作单位及职务</w:t>
            </w:r>
          </w:p>
        </w:tc>
        <w:tc>
          <w:tcPr>
            <w:tcW w:w="1776"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联系电话</w:t>
            </w:r>
          </w:p>
        </w:tc>
        <w:tc>
          <w:tcPr>
            <w:tcW w:w="1177"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到场情况</w:t>
            </w:r>
          </w:p>
        </w:tc>
        <w:tc>
          <w:tcPr>
            <w:tcW w:w="1673"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备注</w:t>
            </w:r>
          </w:p>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（主任委员、成员）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1</w:t>
            </w:r>
          </w:p>
        </w:tc>
        <w:tc>
          <w:tcPr>
            <w:tcW w:w="1590"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2</w:t>
            </w:r>
          </w:p>
        </w:tc>
        <w:tc>
          <w:tcPr>
            <w:tcW w:w="1590"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3</w:t>
            </w:r>
          </w:p>
        </w:tc>
        <w:tc>
          <w:tcPr>
            <w:tcW w:w="1590"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4</w:t>
            </w:r>
          </w:p>
        </w:tc>
        <w:tc>
          <w:tcPr>
            <w:tcW w:w="1590"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4" w:type="dxa"/>
            <w:vAlign w:val="center"/>
          </w:tcPr>
          <w:p>
            <w:pPr>
              <w:pStyle w:val="67"/>
              <w:keepNext w:val="0"/>
              <w:keepLines w:val="0"/>
              <w:suppressLineNumbers w:val="0"/>
              <w:spacing w:before="0" w:beforeAutospacing="0" w:after="0" w:afterAutospacing="0"/>
              <w:ind w:left="0" w:leftChars="0" w:right="0" w:firstLine="0" w:firstLineChars="0"/>
              <w:jc w:val="both"/>
              <w:rPr>
                <w:rFonts w:hint="default" w:ascii="仿宋" w:hAnsi="仿宋" w:eastAsia="仿宋" w:cs="仿宋"/>
                <w:bCs/>
                <w:color w:val="auto"/>
              </w:rPr>
            </w:pPr>
            <w:r>
              <w:rPr>
                <w:rFonts w:hint="eastAsia" w:ascii="仿宋" w:hAnsi="仿宋" w:eastAsia="仿宋" w:cs="仿宋"/>
                <w:bCs/>
                <w:color w:val="auto"/>
              </w:rPr>
              <w:t>5</w:t>
            </w:r>
          </w:p>
        </w:tc>
        <w:tc>
          <w:tcPr>
            <w:tcW w:w="1590"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2004"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776"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177"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c>
          <w:tcPr>
            <w:tcW w:w="1673" w:type="dxa"/>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054" w:type="dxa"/>
            <w:gridSpan w:val="6"/>
          </w:tcPr>
          <w:p>
            <w:pPr>
              <w:pStyle w:val="67"/>
              <w:keepNext w:val="0"/>
              <w:keepLines w:val="0"/>
              <w:suppressLineNumbers w:val="0"/>
              <w:spacing w:before="0" w:beforeAutospacing="0" w:after="0" w:afterAutospacing="0"/>
              <w:ind w:left="0" w:right="0"/>
              <w:jc w:val="left"/>
              <w:rPr>
                <w:rFonts w:hint="default" w:ascii="仿宋" w:hAnsi="仿宋" w:eastAsia="仿宋" w:cs="仿宋"/>
                <w:bCs/>
                <w:color w:val="auto"/>
              </w:rPr>
            </w:pPr>
            <w:r>
              <w:rPr>
                <w:rFonts w:hint="eastAsia" w:ascii="仿宋" w:hAnsi="仿宋" w:eastAsia="仿宋" w:cs="仿宋"/>
                <w:bCs/>
                <w:color w:val="auto"/>
              </w:rPr>
              <w:t>招标代理机构（签字/时间）</w:t>
            </w:r>
          </w:p>
        </w:tc>
      </w:tr>
    </w:tbl>
    <w:p>
      <w:pPr>
        <w:pStyle w:val="67"/>
        <w:ind w:firstLine="0"/>
        <w:jc w:val="left"/>
        <w:rPr>
          <w:rFonts w:ascii="仿宋" w:hAnsi="仿宋" w:eastAsia="仿宋" w:cs="仿宋"/>
          <w:b/>
          <w:color w:val="auto"/>
        </w:rPr>
      </w:pPr>
    </w:p>
    <w:p>
      <w:pPr>
        <w:pStyle w:val="67"/>
        <w:ind w:firstLine="0"/>
        <w:jc w:val="left"/>
        <w:rPr>
          <w:rFonts w:ascii="仿宋" w:hAnsi="仿宋" w:eastAsia="仿宋" w:cs="仿宋"/>
          <w:bCs/>
          <w:color w:val="auto"/>
        </w:rPr>
      </w:pPr>
      <w:r>
        <w:rPr>
          <w:rFonts w:hint="eastAsia" w:ascii="仿宋" w:hAnsi="仿宋" w:eastAsia="仿宋" w:cs="仿宋"/>
          <w:bCs/>
          <w:color w:val="auto"/>
        </w:rPr>
        <w:t>监督人签字：</w:t>
      </w:r>
    </w:p>
    <w:p>
      <w:pPr>
        <w:pStyle w:val="67"/>
        <w:ind w:right="960" w:firstLine="0"/>
        <w:rPr>
          <w:rFonts w:ascii="仿宋" w:hAnsi="仿宋" w:eastAsia="仿宋" w:cs="仿宋"/>
          <w:bCs/>
          <w:color w:val="auto"/>
        </w:rPr>
        <w:sectPr>
          <w:pgSz w:w="11906" w:h="16838"/>
          <w:pgMar w:top="1440" w:right="1800" w:bottom="1134" w:left="1800" w:header="851" w:footer="992" w:gutter="0"/>
          <w:pgNumType w:fmt="numberInDash"/>
          <w:cols w:space="0" w:num="1"/>
          <w:docGrid w:type="lines" w:linePitch="312" w:charSpace="0"/>
        </w:sectPr>
      </w:pPr>
      <w:r>
        <w:rPr>
          <w:rFonts w:hint="eastAsia" w:ascii="仿宋" w:hAnsi="仿宋" w:eastAsia="仿宋" w:cs="仿宋"/>
          <w:bCs/>
          <w:color w:val="auto"/>
        </w:rPr>
        <w:t>日期：2023年</w:t>
      </w:r>
      <w:r>
        <w:rPr>
          <w:rFonts w:hint="eastAsia" w:ascii="仿宋" w:hAnsi="仿宋" w:eastAsia="仿宋" w:cs="仿宋"/>
          <w:bCs/>
          <w:color w:val="auto"/>
          <w:lang w:val="en-US" w:eastAsia="zh-CN"/>
        </w:rPr>
        <w:t xml:space="preserve"> </w:t>
      </w:r>
      <w:r>
        <w:rPr>
          <w:rFonts w:hint="eastAsia" w:ascii="仿宋" w:hAnsi="仿宋" w:eastAsia="仿宋" w:cs="仿宋"/>
          <w:bCs/>
          <w:color w:val="auto"/>
        </w:rPr>
        <w:t>月</w:t>
      </w:r>
      <w:r>
        <w:rPr>
          <w:rFonts w:hint="eastAsia" w:ascii="仿宋" w:hAnsi="仿宋" w:eastAsia="仿宋" w:cs="仿宋"/>
          <w:bCs/>
          <w:color w:val="auto"/>
          <w:lang w:val="en-US" w:eastAsia="zh-CN"/>
        </w:rPr>
        <w:t xml:space="preserve"> </w:t>
      </w:r>
      <w:r>
        <w:rPr>
          <w:rFonts w:hint="eastAsia" w:ascii="仿宋" w:hAnsi="仿宋" w:eastAsia="仿宋" w:cs="仿宋"/>
          <w:bCs/>
          <w:color w:val="auto"/>
        </w:rPr>
        <w:t>日</w:t>
      </w: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附件四：</w:t>
      </w:r>
    </w:p>
    <w:p>
      <w:pPr>
        <w:pStyle w:val="42"/>
        <w:widowControl/>
        <w:spacing w:before="110" w:beforeAutospacing="0" w:afterAutospacing="0" w:line="600" w:lineRule="exact"/>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票决定标投票表</w:t>
      </w:r>
    </w:p>
    <w:p>
      <w:pPr>
        <w:pStyle w:val="67"/>
        <w:rPr>
          <w:color w:val="auto"/>
        </w:rPr>
      </w:pPr>
    </w:p>
    <w:tbl>
      <w:tblPr>
        <w:tblStyle w:val="48"/>
        <w:tblW w:w="9439"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7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328" w:type="dxa"/>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rPr>
            </w:pPr>
            <w:r>
              <w:rPr>
                <w:rFonts w:hint="eastAsia" w:ascii="仿宋" w:hAnsi="仿宋" w:eastAsia="仿宋" w:cs="仿宋"/>
                <w:color w:val="auto"/>
                <w:sz w:val="24"/>
              </w:rPr>
              <w:t>工程名称</w:t>
            </w:r>
          </w:p>
        </w:tc>
        <w:tc>
          <w:tcPr>
            <w:tcW w:w="7111"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rPr>
            </w:pPr>
            <w:r>
              <w:rPr>
                <w:rFonts w:hint="eastAsia" w:ascii="仿宋" w:hAnsi="仿宋" w:eastAsia="仿宋" w:cs="仿宋"/>
                <w:bCs/>
                <w:color w:val="auto"/>
                <w:lang w:eastAsia="zh-CN"/>
              </w:rPr>
              <w:t>岳阳市审计局家属院老旧小区改造配套基础设施建设项目工程总承包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32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sz w:val="24"/>
              </w:rPr>
              <w:t>不排序的中标候选人</w:t>
            </w:r>
          </w:p>
        </w:tc>
        <w:tc>
          <w:tcPr>
            <w:tcW w:w="7111"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32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p>
        </w:tc>
        <w:tc>
          <w:tcPr>
            <w:tcW w:w="7111"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2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p>
        </w:tc>
        <w:tc>
          <w:tcPr>
            <w:tcW w:w="7111" w:type="dxa"/>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232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4"/>
              </w:rPr>
            </w:pPr>
            <w:r>
              <w:rPr>
                <w:rFonts w:hint="eastAsia" w:ascii="仿宋" w:hAnsi="仿宋" w:eastAsia="仿宋" w:cs="仿宋"/>
                <w:color w:val="auto"/>
                <w:sz w:val="24"/>
              </w:rPr>
              <w:t>推荐中标人及理由</w:t>
            </w:r>
          </w:p>
        </w:tc>
        <w:tc>
          <w:tcPr>
            <w:tcW w:w="7111" w:type="dxa"/>
            <w:vAlign w:val="center"/>
          </w:tcPr>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r>
              <w:rPr>
                <w:rFonts w:hint="eastAsia" w:ascii="仿宋" w:hAnsi="仿宋" w:eastAsia="仿宋" w:cs="仿宋"/>
                <w:color w:val="auto"/>
                <w:sz w:val="24"/>
              </w:rPr>
              <w:t>投票推荐中标人为：</w:t>
            </w: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r>
              <w:rPr>
                <w:rFonts w:hint="eastAsia" w:ascii="仿宋" w:hAnsi="仿宋" w:eastAsia="仿宋" w:cs="仿宋"/>
                <w:color w:val="auto"/>
                <w:sz w:val="24"/>
              </w:rPr>
              <w:t>投票理由：</w:t>
            </w: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p>
            <w:pPr>
              <w:keepNext w:val="0"/>
              <w:keepLines w:val="0"/>
              <w:suppressLineNumbers w:val="0"/>
              <w:spacing w:before="0" w:beforeAutospacing="0" w:after="0" w:afterAutospacing="0" w:line="360" w:lineRule="auto"/>
              <w:ind w:left="0" w:right="0"/>
              <w:jc w:val="left"/>
              <w:rPr>
                <w:rFonts w:hint="default" w:ascii="仿宋" w:hAnsi="仿宋" w:eastAsia="仿宋" w:cs="仿宋"/>
                <w:color w:val="auto"/>
                <w:sz w:val="24"/>
              </w:rPr>
            </w:pPr>
          </w:p>
        </w:tc>
      </w:tr>
    </w:tbl>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定标委员签字:                        </w:t>
      </w:r>
    </w:p>
    <w:p>
      <w:pPr>
        <w:spacing w:line="360" w:lineRule="auto"/>
        <w:jc w:val="left"/>
        <w:rPr>
          <w:rFonts w:ascii="仿宋" w:hAnsi="仿宋" w:eastAsia="仿宋" w:cs="仿宋"/>
          <w:color w:val="auto"/>
          <w:sz w:val="24"/>
        </w:rPr>
      </w:pPr>
      <w:r>
        <w:rPr>
          <w:rFonts w:hint="eastAsia" w:ascii="仿宋" w:hAnsi="仿宋" w:eastAsia="仿宋" w:cs="仿宋"/>
          <w:color w:val="auto"/>
          <w:sz w:val="24"/>
        </w:rPr>
        <w:t>2023年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p>
    <w:p>
      <w:pPr>
        <w:rPr>
          <w:rFonts w:ascii="仿宋" w:hAnsi="仿宋" w:eastAsia="仿宋" w:cs="仿宋"/>
          <w:b/>
          <w:bCs/>
          <w:color w:val="auto"/>
          <w:sz w:val="24"/>
        </w:rPr>
      </w:pP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p>
    <w:p>
      <w:pPr>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br w:type="page"/>
      </w:r>
    </w:p>
    <w:p>
      <w:pPr>
        <w:pStyle w:val="42"/>
        <w:widowControl/>
        <w:spacing w:beforeAutospacing="0" w:afterAutospacing="0" w:line="600" w:lineRule="exact"/>
        <w:jc w:val="both"/>
        <w:rPr>
          <w:rFonts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附件五：</w:t>
      </w:r>
    </w:p>
    <w:p>
      <w:pPr>
        <w:pStyle w:val="42"/>
        <w:widowControl/>
        <w:spacing w:before="110" w:beforeAutospacing="0" w:afterAutospacing="0" w:line="600" w:lineRule="exact"/>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定标委员会委员定标投票统计表</w:t>
      </w:r>
    </w:p>
    <w:p>
      <w:pPr>
        <w:pStyle w:val="2"/>
        <w:ind w:firstLine="0" w:firstLineChars="0"/>
        <w:rPr>
          <w:rFonts w:ascii="仿宋" w:hAnsi="仿宋" w:eastAsia="仿宋" w:cs="仿宋"/>
          <w:b/>
          <w:bCs/>
          <w:color w:val="auto"/>
          <w:sz w:val="24"/>
        </w:rPr>
      </w:pPr>
    </w:p>
    <w:p>
      <w:pPr>
        <w:pStyle w:val="2"/>
        <w:ind w:firstLine="0" w:firstLineChars="0"/>
        <w:rPr>
          <w:rFonts w:ascii="仿宋" w:hAnsi="仿宋" w:eastAsia="仿宋" w:cs="仿宋"/>
          <w:b/>
          <w:color w:val="auto"/>
          <w:sz w:val="24"/>
        </w:rPr>
      </w:pPr>
      <w:r>
        <w:rPr>
          <w:rFonts w:hint="eastAsia" w:ascii="仿宋" w:hAnsi="仿宋" w:eastAsia="仿宋" w:cs="仿宋"/>
          <w:b/>
          <w:color w:val="auto"/>
          <w:sz w:val="24"/>
        </w:rPr>
        <w:t xml:space="preserve">项目名称： </w:t>
      </w:r>
    </w:p>
    <w:tbl>
      <w:tblPr>
        <w:tblStyle w:val="48"/>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819"/>
        <w:gridCol w:w="1819"/>
        <w:gridCol w:w="181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1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Autospacing="0" w:line="240" w:lineRule="auto"/>
              <w:ind w:left="0" w:right="0" w:firstLine="0" w:firstLineChars="0"/>
              <w:jc w:val="center"/>
              <mc:AlternateContent>
                <mc:Choice Requires="wpsCustomData">
                  <wpsCustomData:diagonalParaType/>
                </mc:Choice>
              </mc:AlternateContent>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定标委员</w:t>
            </w:r>
          </w:p>
          <w:p>
            <w:pPr>
              <w:pStyle w:val="2"/>
              <w:keepNext w:val="0"/>
              <w:keepLines w:val="0"/>
              <w:suppressLineNumbers w:val="0"/>
              <w:spacing w:before="0" w:beforeAutospacing="0" w:afterAutospacing="0"/>
              <w:ind w:left="0" w:right="0" w:firstLine="0" w:firstLineChars="0"/>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中标</w:t>
            </w:r>
          </w:p>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候选人</w:t>
            </w: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r>
              <w:rPr>
                <w:rFonts w:hint="eastAsia" w:ascii="仿宋" w:hAnsi="仿宋" w:eastAsia="仿宋" w:cs="仿宋"/>
                <w:bCs/>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r>
              <w:rPr>
                <w:rFonts w:hint="eastAsia" w:ascii="仿宋" w:hAnsi="仿宋" w:eastAsia="仿宋" w:cs="仿宋"/>
                <w:bCs/>
                <w:color w:val="auto"/>
                <w:sz w:val="24"/>
              </w:rPr>
              <w:t>主任委员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c>
          <w:tcPr>
            <w:tcW w:w="1820"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r>
              <w:rPr>
                <w:rFonts w:hint="eastAsia" w:ascii="仿宋" w:hAnsi="仿宋" w:eastAsia="仿宋" w:cs="仿宋"/>
                <w:bCs/>
                <w:color w:val="auto"/>
                <w:sz w:val="24"/>
              </w:rPr>
              <w:t>得票数</w:t>
            </w:r>
          </w:p>
        </w:tc>
        <w:tc>
          <w:tcPr>
            <w:tcW w:w="1819"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r>
              <w:rPr>
                <w:rFonts w:hint="eastAsia" w:ascii="仿宋" w:hAnsi="仿宋" w:eastAsia="仿宋" w:cs="仿宋"/>
                <w:bCs/>
                <w:color w:val="auto"/>
                <w:sz w:val="24"/>
                <w:lang w:val="en-US" w:eastAsia="zh-CN"/>
              </w:rPr>
              <w:t xml:space="preserve"> </w:t>
            </w:r>
            <w:r>
              <w:rPr>
                <w:rFonts w:hint="eastAsia" w:ascii="仿宋" w:hAnsi="仿宋" w:eastAsia="仿宋" w:cs="仿宋"/>
                <w:bCs/>
                <w:color w:val="auto"/>
                <w:sz w:val="24"/>
              </w:rPr>
              <w:t>票</w:t>
            </w:r>
          </w:p>
        </w:tc>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r>
              <w:rPr>
                <w:rFonts w:hint="eastAsia" w:ascii="仿宋" w:hAnsi="仿宋" w:eastAsia="仿宋" w:cs="仿宋"/>
                <w:bCs/>
                <w:color w:val="auto"/>
                <w:sz w:val="24"/>
                <w:lang w:val="en-US" w:eastAsia="zh-CN"/>
              </w:rPr>
              <w:t xml:space="preserve"> </w:t>
            </w:r>
            <w:r>
              <w:rPr>
                <w:rFonts w:hint="eastAsia" w:ascii="仿宋" w:hAnsi="仿宋" w:eastAsia="仿宋" w:cs="仿宋"/>
                <w:bCs/>
                <w:color w:val="auto"/>
                <w:sz w:val="24"/>
              </w:rPr>
              <w:t>票</w:t>
            </w:r>
          </w:p>
        </w:tc>
        <w:tc>
          <w:tcPr>
            <w:tcW w:w="181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rPr>
            </w:pPr>
            <w:r>
              <w:rPr>
                <w:rFonts w:hint="eastAsia" w:ascii="仿宋" w:hAnsi="仿宋" w:eastAsia="仿宋" w:cs="仿宋"/>
                <w:bCs/>
                <w:color w:val="auto"/>
                <w:sz w:val="24"/>
                <w:lang w:val="en-US" w:eastAsia="zh-CN"/>
              </w:rPr>
              <w:t xml:space="preserve"> </w:t>
            </w:r>
            <w:r>
              <w:rPr>
                <w:rFonts w:hint="eastAsia" w:ascii="仿宋" w:hAnsi="仿宋" w:eastAsia="仿宋" w:cs="仿宋"/>
                <w:bCs/>
                <w:color w:val="auto"/>
                <w:sz w:val="24"/>
              </w:rPr>
              <w:t>票</w:t>
            </w:r>
          </w:p>
        </w:tc>
        <w:tc>
          <w:tcPr>
            <w:tcW w:w="1820" w:type="dxa"/>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819"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r>
              <w:rPr>
                <w:rFonts w:hint="eastAsia" w:ascii="仿宋" w:hAnsi="仿宋" w:eastAsia="仿宋" w:cs="仿宋"/>
                <w:bCs/>
                <w:color w:val="auto"/>
                <w:sz w:val="24"/>
              </w:rPr>
              <w:t>中标人</w:t>
            </w:r>
          </w:p>
        </w:tc>
        <w:tc>
          <w:tcPr>
            <w:tcW w:w="7277" w:type="dxa"/>
            <w:gridSpan w:val="4"/>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1819" w:type="dxa"/>
            <w:vAlign w:val="center"/>
          </w:tcPr>
          <w:p>
            <w:pPr>
              <w:pStyle w:val="2"/>
              <w:keepNext w:val="0"/>
              <w:keepLines w:val="0"/>
              <w:suppressLineNumbers w:val="0"/>
              <w:spacing w:before="0" w:beforeAutospacing="0" w:afterAutospacing="0"/>
              <w:ind w:left="0" w:right="0" w:firstLine="0" w:firstLineChars="0"/>
              <w:jc w:val="center"/>
              <w:rPr>
                <w:rFonts w:hint="default" w:ascii="仿宋" w:hAnsi="仿宋" w:eastAsia="仿宋" w:cs="仿宋"/>
                <w:bCs/>
                <w:color w:val="auto"/>
                <w:sz w:val="24"/>
              </w:rPr>
            </w:pPr>
            <w:r>
              <w:rPr>
                <w:rFonts w:hint="eastAsia" w:ascii="仿宋" w:hAnsi="仿宋" w:eastAsia="仿宋" w:cs="仿宋"/>
                <w:bCs/>
                <w:color w:val="auto"/>
                <w:sz w:val="24"/>
              </w:rPr>
              <w:t>定标委员会委员（签名）</w:t>
            </w:r>
          </w:p>
        </w:tc>
        <w:tc>
          <w:tcPr>
            <w:tcW w:w="7277" w:type="dxa"/>
            <w:gridSpan w:val="4"/>
            <w:vAlign w:val="center"/>
          </w:tcPr>
          <w:p>
            <w:pPr>
              <w:pStyle w:val="2"/>
              <w:keepNext w:val="0"/>
              <w:keepLines w:val="0"/>
              <w:suppressLineNumbers w:val="0"/>
              <w:spacing w:before="0" w:beforeAutospacing="0" w:afterAutospacing="0"/>
              <w:ind w:left="0" w:right="0" w:firstLine="240"/>
              <w:jc w:val="center"/>
              <w:rPr>
                <w:rFonts w:hint="default" w:ascii="仿宋" w:hAnsi="仿宋" w:eastAsia="仿宋" w:cs="仿宋"/>
                <w:bCs/>
                <w:color w:val="auto"/>
                <w:sz w:val="24"/>
              </w:rPr>
            </w:pPr>
          </w:p>
        </w:tc>
      </w:tr>
    </w:tbl>
    <w:p>
      <w:pPr>
        <w:pStyle w:val="2"/>
        <w:ind w:firstLine="0" w:firstLineChars="0"/>
        <w:rPr>
          <w:rFonts w:ascii="仿宋" w:hAnsi="仿宋" w:eastAsia="仿宋" w:cs="仿宋"/>
          <w:bCs/>
          <w:color w:val="auto"/>
          <w:sz w:val="24"/>
        </w:rPr>
      </w:pPr>
    </w:p>
    <w:p>
      <w:pPr>
        <w:pStyle w:val="2"/>
        <w:ind w:firstLine="0" w:firstLineChars="0"/>
        <w:rPr>
          <w:rFonts w:hint="eastAsia" w:ascii="仿宋" w:hAnsi="仿宋" w:eastAsia="仿宋" w:cs="仿宋"/>
          <w:bCs/>
          <w:color w:val="auto"/>
          <w:sz w:val="24"/>
          <w:lang w:eastAsia="zh-CN"/>
        </w:rPr>
      </w:pPr>
      <w:r>
        <w:rPr>
          <w:rFonts w:hint="eastAsia" w:ascii="仿宋" w:hAnsi="仿宋" w:eastAsia="仿宋" w:cs="仿宋"/>
          <w:bCs/>
          <w:color w:val="auto"/>
          <w:sz w:val="24"/>
        </w:rPr>
        <w:t>主任委员（签字）：                        监督人员（签字）</w:t>
      </w:r>
      <w:r>
        <w:rPr>
          <w:rFonts w:hint="eastAsia" w:ascii="仿宋" w:hAnsi="仿宋" w:eastAsia="仿宋" w:cs="仿宋"/>
          <w:bCs/>
          <w:color w:val="auto"/>
          <w:sz w:val="24"/>
          <w:lang w:eastAsia="zh-CN"/>
        </w:rPr>
        <w:t>：</w:t>
      </w:r>
    </w:p>
    <w:p>
      <w:pPr>
        <w:pStyle w:val="2"/>
        <w:ind w:firstLine="0" w:firstLineChars="0"/>
        <w:rPr>
          <w:rFonts w:ascii="仿宋" w:hAnsi="仿宋" w:eastAsia="仿宋" w:cs="仿宋"/>
          <w:bCs/>
          <w:color w:val="auto"/>
          <w:sz w:val="24"/>
        </w:rPr>
      </w:pPr>
    </w:p>
    <w:p>
      <w:pPr>
        <w:pStyle w:val="2"/>
        <w:ind w:firstLine="0" w:firstLineChars="0"/>
        <w:jc w:val="right"/>
        <w:rPr>
          <w:rFonts w:ascii="仿宋" w:hAnsi="仿宋" w:eastAsia="仿宋" w:cs="仿宋"/>
          <w:bCs/>
          <w:color w:val="auto"/>
          <w:sz w:val="24"/>
        </w:rPr>
      </w:pPr>
      <w:r>
        <w:rPr>
          <w:rFonts w:hint="eastAsia" w:ascii="仿宋" w:hAnsi="仿宋" w:eastAsia="仿宋" w:cs="仿宋"/>
          <w:bCs/>
          <w:color w:val="auto"/>
          <w:sz w:val="24"/>
        </w:rPr>
        <w:t>日期：2023年月日</w:t>
      </w:r>
    </w:p>
    <w:p>
      <w:pPr>
        <w:rPr>
          <w:rFonts w:hint="eastAsia" w:ascii="黑体" w:hAnsi="黑体" w:eastAsia="黑体" w:cs="黑体"/>
          <w:color w:val="auto"/>
          <w:sz w:val="32"/>
          <w:szCs w:val="32"/>
          <w:shd w:val="clear" w:color="auto" w:fill="FFFFFF"/>
        </w:rPr>
      </w:pPr>
    </w:p>
    <w:p>
      <w:pPr>
        <w:pStyle w:val="42"/>
        <w:widowControl/>
        <w:spacing w:beforeAutospacing="0" w:afterAutospacing="0" w:line="600" w:lineRule="exact"/>
        <w:jc w:val="both"/>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附件六：</w:t>
      </w:r>
    </w:p>
    <w:p>
      <w:pPr>
        <w:pStyle w:val="42"/>
        <w:widowControl/>
        <w:spacing w:before="110" w:beforeAutospacing="0" w:afterAutospacing="0" w:line="600" w:lineRule="exact"/>
        <w:jc w:val="center"/>
        <w:rPr>
          <w:rFonts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定标报告</w:t>
      </w:r>
    </w:p>
    <w:tbl>
      <w:tblPr>
        <w:tblStyle w:val="48"/>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3495"/>
        <w:gridCol w:w="1335"/>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工程名称</w:t>
            </w:r>
          </w:p>
        </w:tc>
        <w:tc>
          <w:tcPr>
            <w:tcW w:w="7490" w:type="dxa"/>
            <w:gridSpan w:val="3"/>
            <w:vAlign w:val="center"/>
          </w:tcPr>
          <w:p>
            <w:pPr>
              <w:keepNext w:val="0"/>
              <w:keepLines w:val="0"/>
              <w:suppressLineNumbers w:val="0"/>
              <w:spacing w:before="0" w:beforeAutospacing="0" w:after="0" w:afterAutospacing="0"/>
              <w:ind w:left="0" w:right="0"/>
              <w:jc w:val="both"/>
              <w:rPr>
                <w:rFonts w:hint="eastAsia" w:ascii="仿宋" w:hAnsi="仿宋" w:eastAsia="仿宋" w:cs="仿宋"/>
                <w:color w:val="auto"/>
                <w:sz w:val="24"/>
                <w:shd w:val="clear" w:color="auto" w:fill="FFFFFF"/>
                <w:lang w:val="en-US" w:eastAsia="zh-CN"/>
              </w:rPr>
            </w:pPr>
            <w:r>
              <w:rPr>
                <w:rFonts w:hint="eastAsia" w:ascii="仿宋" w:hAnsi="仿宋" w:eastAsia="仿宋" w:cs="仿宋"/>
                <w:bCs/>
                <w:color w:val="auto"/>
                <w:lang w:eastAsia="zh-CN"/>
              </w:rPr>
              <w:t>岳阳市审计局家属院老旧小区改造配套基础设施建设项目工程总承包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评标办法</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4"/>
                <w:shd w:val="clear" w:color="auto" w:fill="FFFFFF"/>
                <w:lang w:eastAsia="zh-CN"/>
              </w:rPr>
            </w:pPr>
            <w:r>
              <w:rPr>
                <w:rFonts w:hint="eastAsia" w:ascii="仿宋" w:hAnsi="仿宋" w:eastAsia="仿宋" w:cs="仿宋"/>
                <w:color w:val="auto"/>
                <w:sz w:val="24"/>
                <w:shd w:val="clear" w:color="auto" w:fill="FFFFFF"/>
              </w:rPr>
              <w:t>中标候选人名单</w:t>
            </w:r>
            <w:r>
              <w:rPr>
                <w:rFonts w:hint="eastAsia" w:ascii="仿宋" w:hAnsi="仿宋" w:eastAsia="仿宋" w:cs="仿宋"/>
                <w:color w:val="auto"/>
                <w:sz w:val="24"/>
                <w:shd w:val="clear" w:color="auto" w:fill="FFFFFF"/>
                <w:lang w:eastAsia="zh-CN"/>
              </w:rPr>
              <w:t>（</w:t>
            </w:r>
            <w:r>
              <w:rPr>
                <w:rFonts w:hint="eastAsia" w:ascii="仿宋" w:hAnsi="仿宋" w:eastAsia="仿宋" w:cs="仿宋"/>
                <w:color w:val="auto"/>
                <w:sz w:val="24"/>
                <w:shd w:val="clear" w:color="auto" w:fill="FFFFFF"/>
                <w:lang w:val="en-US" w:eastAsia="zh-CN"/>
              </w:rPr>
              <w:t>不排序</w:t>
            </w:r>
            <w:r>
              <w:rPr>
                <w:rFonts w:hint="eastAsia" w:ascii="仿宋" w:hAnsi="仿宋" w:eastAsia="仿宋" w:cs="仿宋"/>
                <w:color w:val="auto"/>
                <w:sz w:val="24"/>
                <w:shd w:val="clear" w:color="auto" w:fill="FFFFFF"/>
                <w:lang w:eastAsia="zh-CN"/>
              </w:rPr>
              <w:t>）</w:t>
            </w:r>
          </w:p>
        </w:tc>
        <w:tc>
          <w:tcPr>
            <w:tcW w:w="3495"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color w:val="auto"/>
                <w:sz w:val="24"/>
                <w:shd w:val="clear" w:color="auto" w:fill="FFFFFF"/>
                <w:lang w:val="en-US" w:eastAsia="zh-CN"/>
              </w:rPr>
            </w:pPr>
          </w:p>
        </w:tc>
        <w:tc>
          <w:tcPr>
            <w:tcW w:w="1335" w:type="dxa"/>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公示时间</w:t>
            </w:r>
          </w:p>
        </w:tc>
        <w:tc>
          <w:tcPr>
            <w:tcW w:w="2660" w:type="dxa"/>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 xml:space="preserve">      起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定标方法</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评定分离（票决法）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定标时间、地点</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定标成员名单</w:t>
            </w:r>
          </w:p>
        </w:tc>
        <w:tc>
          <w:tcPr>
            <w:tcW w:w="7490" w:type="dxa"/>
            <w:gridSpan w:val="3"/>
            <w:vAlign w:val="center"/>
          </w:tcPr>
          <w:p>
            <w:pPr>
              <w:keepNext w:val="0"/>
              <w:keepLines w:val="0"/>
              <w:suppressLineNumbers w:val="0"/>
              <w:spacing w:before="0" w:beforeAutospacing="0" w:after="0" w:afterAutospacing="0"/>
              <w:ind w:left="0" w:right="0"/>
              <w:jc w:val="both"/>
              <w:rPr>
                <w:rFonts w:hint="eastAsia" w:ascii="仿宋" w:hAnsi="仿宋" w:eastAsia="仿宋" w:cs="仿宋"/>
                <w:color w:val="auto"/>
                <w:sz w:val="24"/>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投票情况</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lang w:val="en-US" w:eastAsia="zh-CN"/>
              </w:rPr>
            </w:pPr>
            <w:r>
              <w:rPr>
                <w:rFonts w:hint="eastAsia" w:ascii="仿宋" w:hAnsi="仿宋" w:eastAsia="仿宋" w:cs="仿宋"/>
                <w:color w:val="auto"/>
                <w:sz w:val="24"/>
                <w:shd w:val="clear" w:color="auto" w:fill="FFFFFF"/>
                <w:lang w:val="en-US" w:eastAsia="zh-CN"/>
              </w:rPr>
              <w:t>定标结果</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定标办法操作概况</w:t>
            </w:r>
          </w:p>
        </w:tc>
        <w:tc>
          <w:tcPr>
            <w:tcW w:w="7490" w:type="dxa"/>
            <w:gridSpan w:val="3"/>
            <w:vAlign w:val="center"/>
          </w:tcPr>
          <w:p>
            <w:pPr>
              <w:keepNext w:val="0"/>
              <w:keepLines w:val="0"/>
              <w:suppressLineNumbers w:val="0"/>
              <w:spacing w:before="0" w:beforeAutospacing="0" w:after="0" w:afterAutospacing="0"/>
              <w:ind w:left="0" w:right="0" w:firstLine="240" w:firstLineChars="100"/>
              <w:jc w:val="both"/>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807"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其它需要说明的事情</w:t>
            </w:r>
          </w:p>
        </w:tc>
        <w:tc>
          <w:tcPr>
            <w:tcW w:w="7490" w:type="dxa"/>
            <w:gridSpan w:val="3"/>
            <w:vAlign w:val="center"/>
          </w:tcPr>
          <w:p>
            <w:pPr>
              <w:keepNext w:val="0"/>
              <w:keepLines w:val="0"/>
              <w:suppressLineNumbers w:val="0"/>
              <w:spacing w:before="0" w:beforeAutospacing="0" w:after="0" w:afterAutospacing="0"/>
              <w:ind w:left="0" w:right="0"/>
              <w:jc w:val="both"/>
              <w:rPr>
                <w:rFonts w:hint="default" w:ascii="仿宋" w:hAnsi="仿宋" w:eastAsia="仿宋" w:cs="仿宋"/>
                <w:color w:val="auto"/>
                <w:sz w:val="24"/>
                <w:shd w:val="clear" w:color="auto" w:fill="FFFFFF"/>
              </w:rPr>
            </w:pPr>
          </w:p>
        </w:tc>
      </w:tr>
    </w:tbl>
    <w:p>
      <w:pPr>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招标人（盖</w:t>
      </w:r>
      <w:r>
        <w:rPr>
          <w:rFonts w:hint="eastAsia" w:ascii="仿宋" w:hAnsi="仿宋" w:eastAsia="仿宋" w:cs="仿宋"/>
          <w:color w:val="auto"/>
          <w:sz w:val="28"/>
          <w:szCs w:val="28"/>
          <w:shd w:val="clear" w:color="auto" w:fill="FFFFFF"/>
          <w:lang w:val="en-US" w:eastAsia="zh-CN"/>
        </w:rPr>
        <w:t>行政公章</w:t>
      </w:r>
      <w:r>
        <w:rPr>
          <w:rFonts w:hint="eastAsia" w:ascii="仿宋" w:hAnsi="仿宋" w:eastAsia="仿宋" w:cs="仿宋"/>
          <w:color w:val="auto"/>
          <w:sz w:val="28"/>
          <w:szCs w:val="28"/>
          <w:shd w:val="clear" w:color="auto" w:fill="FFFFFF"/>
        </w:rPr>
        <w:t>）：</w:t>
      </w:r>
    </w:p>
    <w:p>
      <w:pPr>
        <w:rPr>
          <w:rFonts w:hint="eastAsia"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定标委员会主任（签名）：</w:t>
      </w:r>
    </w:p>
    <w:p>
      <w:pPr>
        <w:rPr>
          <w:rFonts w:hint="eastAsia" w:ascii="仿宋" w:hAnsi="仿宋" w:eastAsia="仿宋" w:cs="仿宋"/>
          <w:color w:val="auto"/>
          <w:sz w:val="28"/>
          <w:szCs w:val="28"/>
          <w:shd w:val="clear" w:color="auto" w:fill="FFFFFF"/>
          <w:lang w:val="en-US" w:eastAsia="zh-CN"/>
        </w:rPr>
      </w:pPr>
      <w:r>
        <w:rPr>
          <w:rFonts w:hint="eastAsia" w:ascii="仿宋" w:hAnsi="仿宋" w:eastAsia="仿宋" w:cs="仿宋"/>
          <w:color w:val="auto"/>
          <w:sz w:val="28"/>
          <w:szCs w:val="28"/>
          <w:shd w:val="clear" w:color="auto" w:fill="FFFFFF"/>
          <w:lang w:val="en-US" w:eastAsia="zh-CN"/>
        </w:rPr>
        <w:t>监督人员</w:t>
      </w:r>
      <w:r>
        <w:rPr>
          <w:rFonts w:hint="eastAsia" w:ascii="仿宋" w:hAnsi="仿宋" w:eastAsia="仿宋" w:cs="仿宋"/>
          <w:color w:val="auto"/>
          <w:sz w:val="28"/>
          <w:szCs w:val="28"/>
          <w:shd w:val="clear" w:color="auto" w:fill="FFFFFF"/>
        </w:rPr>
        <w:t>（签名）</w:t>
      </w:r>
      <w:r>
        <w:rPr>
          <w:rFonts w:hint="eastAsia" w:ascii="仿宋" w:hAnsi="仿宋" w:eastAsia="仿宋" w:cs="仿宋"/>
          <w:color w:val="auto"/>
          <w:sz w:val="28"/>
          <w:szCs w:val="28"/>
          <w:shd w:val="clear" w:color="auto" w:fill="FFFFFF"/>
          <w:lang w:val="en-US" w:eastAsia="zh-CN"/>
        </w:rPr>
        <w:t>：</w:t>
      </w:r>
    </w:p>
    <w:p>
      <w:pPr>
        <w:rPr>
          <w:rFonts w:hint="eastAsia" w:ascii="仿宋" w:hAnsi="仿宋" w:eastAsia="仿宋" w:cs="仿宋"/>
          <w:color w:val="auto"/>
          <w:sz w:val="28"/>
          <w:szCs w:val="28"/>
          <w:shd w:val="clear" w:color="auto" w:fill="FFFFFF"/>
          <w:lang w:val="en-US" w:eastAsia="zh-CN"/>
        </w:rPr>
      </w:pPr>
    </w:p>
    <w:p>
      <w:pPr>
        <w:ind w:firstLine="4480" w:firstLineChars="1600"/>
        <w:rPr>
          <w:rFonts w:ascii="仿宋" w:hAnsi="仿宋" w:eastAsia="仿宋" w:cs="仿宋"/>
          <w:color w:val="auto"/>
          <w:sz w:val="28"/>
          <w:szCs w:val="28"/>
          <w:shd w:val="clear" w:color="auto" w:fill="FFFFFF"/>
        </w:rPr>
      </w:pPr>
      <w:r>
        <w:rPr>
          <w:rFonts w:hint="eastAsia" w:ascii="仿宋" w:hAnsi="仿宋" w:eastAsia="仿宋" w:cs="仿宋"/>
          <w:color w:val="auto"/>
          <w:sz w:val="28"/>
          <w:szCs w:val="28"/>
          <w:shd w:val="clear" w:color="auto" w:fill="FFFFFF"/>
        </w:rPr>
        <w:t>日期</w:t>
      </w:r>
      <w:r>
        <w:rPr>
          <w:rFonts w:hint="eastAsia" w:ascii="仿宋" w:hAnsi="仿宋" w:eastAsia="仿宋" w:cs="仿宋"/>
          <w:color w:val="auto"/>
          <w:sz w:val="28"/>
          <w:szCs w:val="28"/>
          <w:shd w:val="clear" w:color="auto" w:fill="FFFFFF"/>
          <w:lang w:val="en-US" w:eastAsia="zh-CN"/>
        </w:rPr>
        <w:t xml:space="preserve">   </w:t>
      </w:r>
      <w:r>
        <w:rPr>
          <w:rFonts w:hint="eastAsia" w:ascii="仿宋" w:hAnsi="仿宋" w:eastAsia="仿宋" w:cs="仿宋"/>
          <w:color w:val="auto"/>
          <w:sz w:val="28"/>
          <w:szCs w:val="28"/>
          <w:shd w:val="clear" w:color="auto" w:fill="FFFFFF"/>
        </w:rPr>
        <w:t>：2023年</w:t>
      </w:r>
      <w:r>
        <w:rPr>
          <w:rFonts w:hint="eastAsia" w:ascii="仿宋" w:hAnsi="仿宋" w:eastAsia="仿宋" w:cs="仿宋"/>
          <w:color w:val="auto"/>
          <w:sz w:val="28"/>
          <w:szCs w:val="28"/>
          <w:shd w:val="clear" w:color="auto" w:fill="FFFFFF"/>
          <w:lang w:val="en-US" w:eastAsia="zh-CN"/>
        </w:rPr>
        <w:t xml:space="preserve">   </w:t>
      </w:r>
      <w:r>
        <w:rPr>
          <w:rFonts w:hint="eastAsia" w:ascii="仿宋" w:hAnsi="仿宋" w:eastAsia="仿宋" w:cs="仿宋"/>
          <w:color w:val="auto"/>
          <w:sz w:val="28"/>
          <w:szCs w:val="28"/>
          <w:shd w:val="clear" w:color="auto" w:fill="FFFFFF"/>
        </w:rPr>
        <w:t>月</w:t>
      </w:r>
      <w:r>
        <w:rPr>
          <w:rFonts w:hint="eastAsia" w:ascii="仿宋" w:hAnsi="仿宋" w:eastAsia="仿宋" w:cs="仿宋"/>
          <w:color w:val="auto"/>
          <w:sz w:val="28"/>
          <w:szCs w:val="28"/>
          <w:shd w:val="clear" w:color="auto" w:fill="FFFFFF"/>
          <w:lang w:val="en-US" w:eastAsia="zh-CN"/>
        </w:rPr>
        <w:t xml:space="preserve">    </w:t>
      </w:r>
      <w:r>
        <w:rPr>
          <w:rFonts w:hint="eastAsia" w:ascii="仿宋" w:hAnsi="仿宋" w:eastAsia="仿宋" w:cs="仿宋"/>
          <w:color w:val="auto"/>
          <w:sz w:val="28"/>
          <w:szCs w:val="28"/>
          <w:shd w:val="clear" w:color="auto" w:fill="FFFFFF"/>
        </w:rPr>
        <w:t>日</w:t>
      </w:r>
    </w:p>
    <w:p>
      <w:pPr>
        <w:pStyle w:val="2"/>
      </w:pPr>
    </w:p>
    <w:bookmarkEnd w:id="0"/>
    <w:bookmarkEnd w:id="130"/>
    <w:p>
      <w:pPr>
        <w:rPr>
          <w:rFonts w:ascii="Times New Roman" w:hAnsi="Times New Roman" w:eastAsia="黑体"/>
          <w:b w:val="0"/>
          <w:bCs w:val="0"/>
          <w:color w:val="auto"/>
          <w:highlight w:val="none"/>
        </w:rPr>
      </w:pPr>
      <w:bookmarkStart w:id="131" w:name="_Toc300678125"/>
      <w:bookmarkStart w:id="132" w:name="_Toc18910"/>
      <w:bookmarkStart w:id="133" w:name="_Toc69199917"/>
      <w:r>
        <w:rPr>
          <w:rFonts w:ascii="Times New Roman" w:hAnsi="Times New Roman" w:eastAsia="黑体"/>
          <w:b w:val="0"/>
          <w:bCs w:val="0"/>
          <w:color w:val="auto"/>
          <w:highlight w:val="none"/>
        </w:rPr>
        <w:br w:type="page"/>
      </w:r>
    </w:p>
    <w:p>
      <w:pPr>
        <w:pStyle w:val="5"/>
        <w:spacing w:before="0" w:after="0"/>
        <w:ind w:firstLine="2880" w:firstLineChars="900"/>
        <w:jc w:val="both"/>
        <w:outlineLvl w:val="1"/>
        <w:rPr>
          <w:rFonts w:ascii="Times New Roman" w:hAnsi="Times New Roman" w:eastAsia="黑体"/>
          <w:b w:val="0"/>
          <w:bCs w:val="0"/>
          <w:color w:val="auto"/>
          <w:highlight w:val="none"/>
        </w:rPr>
      </w:pPr>
      <w:r>
        <w:rPr>
          <w:rFonts w:ascii="Times New Roman" w:hAnsi="Times New Roman" w:eastAsia="黑体"/>
          <w:b w:val="0"/>
          <w:bCs w:val="0"/>
          <w:color w:val="auto"/>
          <w:highlight w:val="none"/>
        </w:rPr>
        <w:t>第三章  评标办法</w:t>
      </w:r>
      <w:bookmarkEnd w:id="131"/>
      <w:bookmarkEnd w:id="132"/>
      <w:bookmarkEnd w:id="133"/>
      <w:bookmarkStart w:id="134" w:name="_Toc300678126"/>
    </w:p>
    <w:p>
      <w:pPr>
        <w:spacing w:line="312" w:lineRule="auto"/>
        <w:jc w:val="center"/>
        <w:rPr>
          <w:rFonts w:eastAsia="黑体"/>
          <w:bCs/>
          <w:color w:val="auto"/>
          <w:sz w:val="30"/>
          <w:highlight w:val="none"/>
        </w:rPr>
      </w:pPr>
      <w:r>
        <w:rPr>
          <w:rFonts w:eastAsia="黑体"/>
          <w:bCs/>
          <w:color w:val="auto"/>
          <w:sz w:val="30"/>
          <w:highlight w:val="none"/>
        </w:rPr>
        <w:t>评标办法前附表</w:t>
      </w:r>
    </w:p>
    <w:bookmarkEnd w:id="134"/>
    <w:tbl>
      <w:tblPr>
        <w:tblStyle w:val="47"/>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3195"/>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blHeader/>
          <w:jc w:val="center"/>
        </w:trPr>
        <w:tc>
          <w:tcPr>
            <w:tcW w:w="1092"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条款号</w:t>
            </w: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评审因素</w:t>
            </w:r>
          </w:p>
        </w:tc>
        <w:tc>
          <w:tcPr>
            <w:tcW w:w="5271"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w:t>
            </w:r>
            <w:r>
              <w:rPr>
                <w:rFonts w:hint="default" w:ascii="Calibri" w:hAnsi="Calibri" w:cs="Calibri"/>
                <w:color w:val="auto"/>
                <w:szCs w:val="21"/>
                <w:highlight w:val="none"/>
              </w:rPr>
              <w:t xml:space="preserve">.1.1 </w:t>
            </w:r>
          </w:p>
        </w:tc>
        <w:tc>
          <w:tcPr>
            <w:tcW w:w="8466"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形式评审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投标人名称</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与营业执照、资质证书、安全生产许可证上的名称一致；省外企业名称与在“湖南省住房和城乡建设网”登记的一致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投标文件签字盖章</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由法定代表人（或其委托代理人）签名（或加盖印章），并</w:t>
            </w:r>
            <w:r>
              <w:rPr>
                <w:rFonts w:hint="default" w:ascii="Calibri" w:hAnsi="Calibri" w:cs="Calibri"/>
                <w:color w:val="auto"/>
                <w:szCs w:val="21"/>
                <w:highlight w:val="none"/>
              </w:rPr>
              <w:t>加盖</w:t>
            </w:r>
            <w:r>
              <w:rPr>
                <w:rFonts w:hint="eastAsia" w:ascii="Calibri" w:hAnsi="Calibri" w:cs="Calibri"/>
                <w:color w:val="auto"/>
                <w:szCs w:val="21"/>
                <w:highlight w:val="none"/>
              </w:rPr>
              <w:t>投标人的</w:t>
            </w:r>
            <w:r>
              <w:rPr>
                <w:rFonts w:hint="default" w:ascii="Calibri" w:hAnsi="Calibri" w:cs="Calibri"/>
                <w:color w:val="auto"/>
                <w:szCs w:val="21"/>
                <w:highlight w:val="none"/>
              </w:rPr>
              <w:t>单位公章</w:t>
            </w:r>
            <w:r>
              <w:rPr>
                <w:rFonts w:hint="eastAsia" w:ascii="Calibri" w:hAnsi="Calibri" w:cs="Calibri"/>
                <w:color w:val="auto"/>
                <w:szCs w:val="21"/>
                <w:highlight w:val="none"/>
              </w:rPr>
              <w:t>。</w:t>
            </w:r>
            <w:r>
              <w:rPr>
                <w:rFonts w:hint="default" w:ascii="Calibri" w:hAnsi="Calibri" w:cs="Calibri"/>
                <w:color w:val="auto"/>
                <w:szCs w:val="21"/>
                <w:highlight w:val="none"/>
              </w:rPr>
              <w:t>投标人加盖的单位公章与其营业执照的单位名称</w:t>
            </w:r>
            <w:r>
              <w:rPr>
                <w:rFonts w:hint="eastAsia" w:ascii="Calibri" w:hAnsi="Calibri" w:cs="Calibri"/>
                <w:color w:val="auto"/>
                <w:szCs w:val="21"/>
                <w:highlight w:val="none"/>
              </w:rPr>
              <w:t>应当</w:t>
            </w:r>
            <w:r>
              <w:rPr>
                <w:rFonts w:hint="default" w:ascii="Calibri" w:hAnsi="Calibri" w:cs="Calibri"/>
                <w:color w:val="auto"/>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投标文件</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同一</w:t>
            </w:r>
            <w:r>
              <w:rPr>
                <w:rFonts w:hint="default" w:ascii="Calibri" w:hAnsi="Calibri" w:cs="Calibri"/>
                <w:color w:val="auto"/>
                <w:szCs w:val="21"/>
                <w:highlight w:val="none"/>
              </w:rPr>
              <w:t>投标人</w:t>
            </w:r>
            <w:r>
              <w:rPr>
                <w:rFonts w:hint="eastAsia" w:ascii="Calibri" w:hAnsi="Calibri" w:cs="Calibri"/>
                <w:color w:val="auto"/>
                <w:szCs w:val="21"/>
                <w:highlight w:val="none"/>
              </w:rPr>
              <w:t>未</w:t>
            </w:r>
            <w:r>
              <w:rPr>
                <w:rFonts w:hint="default" w:ascii="Calibri" w:hAnsi="Calibri" w:cs="Calibri"/>
                <w:color w:val="auto"/>
                <w:szCs w:val="21"/>
                <w:highlight w:val="none"/>
              </w:rPr>
              <w:t>提交两份以上</w:t>
            </w:r>
            <w:r>
              <w:rPr>
                <w:rFonts w:hint="eastAsia" w:ascii="Calibri" w:hAnsi="Calibri" w:cs="Calibri"/>
                <w:color w:val="auto"/>
                <w:szCs w:val="21"/>
                <w:highlight w:val="none"/>
              </w:rPr>
              <w:t>不同内容</w:t>
            </w:r>
            <w:r>
              <w:rPr>
                <w:rFonts w:hint="default" w:ascii="Calibri" w:hAnsi="Calibri" w:cs="Calibri"/>
                <w:color w:val="auto"/>
                <w:szCs w:val="21"/>
                <w:highlight w:val="none"/>
              </w:rPr>
              <w:t>的投标文件</w:t>
            </w:r>
            <w:r>
              <w:rPr>
                <w:rFonts w:hint="eastAsia" w:ascii="Calibri" w:hAnsi="Calibri" w:cs="Calibri"/>
                <w:color w:val="auto"/>
                <w:szCs w:val="21"/>
                <w:highlight w:val="none"/>
              </w:rPr>
              <w:t>，</w:t>
            </w:r>
            <w:r>
              <w:rPr>
                <w:rFonts w:hint="default" w:ascii="Calibri" w:hAnsi="Calibri" w:cs="Calibri"/>
                <w:color w:val="auto"/>
                <w:szCs w:val="21"/>
                <w:highlight w:val="none"/>
              </w:rPr>
              <w:t>但招标文件要求提交备选投标的除外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投标报价</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同一</w:t>
            </w:r>
            <w:r>
              <w:rPr>
                <w:rFonts w:hint="default" w:ascii="Calibri" w:hAnsi="Calibri" w:cs="Calibri"/>
                <w:color w:val="auto"/>
                <w:szCs w:val="21"/>
                <w:highlight w:val="none"/>
              </w:rPr>
              <w:t>投标人</w:t>
            </w:r>
            <w:r>
              <w:rPr>
                <w:rFonts w:hint="eastAsia" w:ascii="Calibri" w:hAnsi="Calibri" w:cs="Calibri"/>
                <w:color w:val="auto"/>
                <w:szCs w:val="21"/>
                <w:highlight w:val="none"/>
              </w:rPr>
              <w:t>未</w:t>
            </w:r>
            <w:r>
              <w:rPr>
                <w:rFonts w:hint="default" w:ascii="Calibri" w:hAnsi="Calibri" w:cs="Calibri"/>
                <w:color w:val="auto"/>
                <w:szCs w:val="21"/>
                <w:highlight w:val="none"/>
              </w:rPr>
              <w:t>提交两份</w:t>
            </w:r>
            <w:r>
              <w:rPr>
                <w:rFonts w:hint="default" w:ascii="Calibri" w:hAnsi="Calibri" w:cs="Calibri"/>
                <w:bCs/>
                <w:color w:val="auto"/>
                <w:szCs w:val="21"/>
                <w:highlight w:val="none"/>
              </w:rPr>
              <w:t>以</w:t>
            </w:r>
            <w:r>
              <w:rPr>
                <w:rFonts w:hint="default" w:ascii="Calibri" w:hAnsi="Calibri" w:cs="Calibri"/>
                <w:color w:val="auto"/>
                <w:szCs w:val="21"/>
                <w:highlight w:val="none"/>
              </w:rPr>
              <w:t>上</w:t>
            </w:r>
            <w:r>
              <w:rPr>
                <w:rFonts w:hint="eastAsia" w:ascii="Calibri" w:hAnsi="Calibri" w:cs="Calibri"/>
                <w:color w:val="auto"/>
                <w:szCs w:val="21"/>
                <w:highlight w:val="none"/>
              </w:rPr>
              <w:t>不同内容</w:t>
            </w:r>
            <w:r>
              <w:rPr>
                <w:rFonts w:hint="default" w:ascii="Calibri" w:hAnsi="Calibri" w:cs="Calibri"/>
                <w:color w:val="auto"/>
                <w:szCs w:val="21"/>
                <w:highlight w:val="none"/>
              </w:rPr>
              <w:t>的投标</w:t>
            </w:r>
            <w:r>
              <w:rPr>
                <w:rFonts w:hint="eastAsia" w:ascii="Calibri" w:hAnsi="Calibri" w:cs="Calibri"/>
                <w:color w:val="auto"/>
                <w:szCs w:val="21"/>
                <w:highlight w:val="none"/>
              </w:rPr>
              <w:t>报价，</w:t>
            </w:r>
            <w:r>
              <w:rPr>
                <w:rFonts w:hint="default" w:ascii="Calibri" w:hAnsi="Calibri" w:cs="Calibri"/>
                <w:color w:val="auto"/>
                <w:szCs w:val="21"/>
                <w:highlight w:val="none"/>
              </w:rPr>
              <w:t>但招标文件要求提交备选投标的除外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color w:val="auto"/>
                <w:sz w:val="18"/>
                <w:szCs w:val="18"/>
                <w:highlight w:val="none"/>
              </w:rPr>
            </w:pPr>
            <w:r>
              <w:rPr>
                <w:rFonts w:hint="default" w:ascii="Calibri" w:hAnsi="Calibri" w:cs="Calibri"/>
                <w:color w:val="auto"/>
                <w:szCs w:val="21"/>
                <w:highlight w:val="none"/>
              </w:rPr>
              <w:sym w:font="Wingdings 2" w:char="00A3"/>
            </w:r>
            <w:r>
              <w:rPr>
                <w:rFonts w:hint="eastAsia" w:ascii="Calibri" w:hAnsi="Calibri" w:cs="Calibri"/>
                <w:color w:val="auto"/>
                <w:szCs w:val="21"/>
                <w:highlight w:val="none"/>
              </w:rPr>
              <w:t>委托代理人</w:t>
            </w:r>
          </w:p>
        </w:tc>
        <w:tc>
          <w:tcPr>
            <w:tcW w:w="5271" w:type="dxa"/>
            <w:noWrap w:val="0"/>
            <w:vAlign w:val="center"/>
          </w:tcPr>
          <w:p>
            <w:pPr>
              <w:keepNext w:val="0"/>
              <w:keepLines w:val="0"/>
              <w:suppressLineNumbers w:val="0"/>
              <w:snapToGrid w:val="0"/>
              <w:spacing w:before="0" w:beforeAutospacing="0" w:after="0" w:afterAutospacing="0"/>
              <w:ind w:left="0" w:right="0"/>
              <w:jc w:val="left"/>
              <w:rPr>
                <w:rFonts w:hint="eastAsia" w:ascii="宋体" w:hAnsi="宋体" w:cs="Calibri"/>
                <w:color w:val="auto"/>
                <w:sz w:val="18"/>
                <w:szCs w:val="18"/>
                <w:highlight w:val="none"/>
              </w:rPr>
            </w:pPr>
            <w:r>
              <w:rPr>
                <w:rFonts w:hint="eastAsia" w:ascii="Calibri" w:hAnsi="Calibri" w:cs="Calibri"/>
                <w:color w:val="auto"/>
                <w:szCs w:val="21"/>
                <w:highlight w:val="none"/>
              </w:rPr>
              <w:t>委托代理人为本招标项目的拟任工程总承包项目负责人。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联合体投标人</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提交共同投标协议，且明确了牵头人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w:t>
            </w:r>
          </w:p>
        </w:tc>
        <w:tc>
          <w:tcPr>
            <w:tcW w:w="5271"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092"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w:t>
            </w:r>
            <w:r>
              <w:rPr>
                <w:rFonts w:hint="default" w:ascii="Calibri" w:hAnsi="Calibri" w:cs="Calibri"/>
                <w:color w:val="auto"/>
                <w:szCs w:val="21"/>
                <w:highlight w:val="none"/>
              </w:rPr>
              <w:t xml:space="preserve">.1.2 </w:t>
            </w:r>
          </w:p>
        </w:tc>
        <w:tc>
          <w:tcPr>
            <w:tcW w:w="8466"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资格评审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营业执照</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资质等级</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安全生产许可证</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sym w:font="Wingdings 2" w:char="0052"/>
            </w:r>
            <w:r>
              <w:rPr>
                <w:rFonts w:hint="default" w:ascii="Calibri" w:hAnsi="Calibri" w:cs="Calibri"/>
                <w:color w:val="auto"/>
                <w:szCs w:val="21"/>
                <w:highlight w:val="none"/>
              </w:rPr>
              <w:t>类似</w:t>
            </w:r>
            <w:r>
              <w:rPr>
                <w:rFonts w:hint="eastAsia" w:ascii="Calibri" w:hAnsi="Calibri" w:cs="Calibri"/>
                <w:color w:val="auto"/>
                <w:szCs w:val="21"/>
                <w:highlight w:val="none"/>
              </w:rPr>
              <w:t>工程</w:t>
            </w:r>
            <w:r>
              <w:rPr>
                <w:rFonts w:hint="default" w:ascii="Calibri" w:hAnsi="Calibri" w:cs="Calibri"/>
                <w:color w:val="auto"/>
                <w:szCs w:val="21"/>
                <w:highlight w:val="none"/>
              </w:rPr>
              <w:t>业绩</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color w:val="auto"/>
                <w:szCs w:val="21"/>
                <w:highlight w:val="none"/>
              </w:rPr>
            </w:pPr>
            <w:r>
              <w:rPr>
                <w:rFonts w:hint="eastAsia" w:ascii="宋体" w:hAnsi="宋体" w:cs="Calibri"/>
                <w:color w:val="auto"/>
                <w:szCs w:val="21"/>
                <w:highlight w:val="none"/>
              </w:rPr>
              <w:t>拟任工程总承包项目负责人资格</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color w:val="auto"/>
                <w:szCs w:val="21"/>
                <w:highlight w:val="none"/>
              </w:rPr>
            </w:pPr>
            <w:r>
              <w:rPr>
                <w:rFonts w:hint="eastAsia" w:ascii="宋体" w:hAnsi="宋体" w:cs="Calibri"/>
                <w:color w:val="auto"/>
                <w:szCs w:val="21"/>
                <w:highlight w:val="none"/>
              </w:rPr>
              <w:t>拟任施工项目负责人资格</w:t>
            </w:r>
          </w:p>
        </w:tc>
        <w:tc>
          <w:tcPr>
            <w:tcW w:w="5271" w:type="dxa"/>
            <w:noWrap w:val="0"/>
            <w:vAlign w:val="center"/>
          </w:tcPr>
          <w:p>
            <w:pPr>
              <w:keepNext w:val="0"/>
              <w:keepLines w:val="0"/>
              <w:suppressLineNumbers w:val="0"/>
              <w:snapToGrid w:val="0"/>
              <w:spacing w:before="0" w:beforeAutospacing="0" w:after="0" w:afterAutospacing="0"/>
              <w:ind w:left="0" w:right="0"/>
              <w:jc w:val="left"/>
              <w:rPr>
                <w:rFonts w:hint="eastAsia"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color w:val="auto"/>
                <w:szCs w:val="21"/>
                <w:highlight w:val="none"/>
              </w:rPr>
            </w:pPr>
            <w:r>
              <w:rPr>
                <w:rFonts w:hint="eastAsia" w:ascii="宋体" w:hAnsi="宋体" w:cs="Calibri"/>
                <w:color w:val="auto"/>
                <w:szCs w:val="21"/>
                <w:highlight w:val="none"/>
              </w:rPr>
              <w:t>拟任设计项目负责人资格</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其他要求</w:t>
            </w:r>
          </w:p>
        </w:tc>
        <w:tc>
          <w:tcPr>
            <w:tcW w:w="5271" w:type="dxa"/>
            <w:noWrap w:val="0"/>
            <w:vAlign w:val="center"/>
          </w:tcPr>
          <w:p>
            <w:pPr>
              <w:keepNext w:val="0"/>
              <w:keepLines w:val="0"/>
              <w:suppressLineNumbers w:val="0"/>
              <w:snapToGrid w:val="0"/>
              <w:spacing w:before="0" w:beforeAutospacing="0" w:after="0" w:afterAutospacing="0"/>
              <w:ind w:left="0" w:right="0"/>
              <w:jc w:val="left"/>
              <w:rPr>
                <w:rFonts w:hint="eastAsia" w:ascii="Calibri" w:hAnsi="Calibri" w:cs="Calibri"/>
                <w:color w:val="auto"/>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w:t>
            </w:r>
          </w:p>
        </w:tc>
        <w:tc>
          <w:tcPr>
            <w:tcW w:w="5271"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8466" w:type="dxa"/>
            <w:gridSpan w:val="2"/>
            <w:noWrap w:val="0"/>
            <w:vAlign w:val="center"/>
          </w:tcPr>
          <w:p>
            <w:pPr>
              <w:keepNext w:val="0"/>
              <w:keepLines w:val="0"/>
              <w:suppressLineNumbers w:val="0"/>
              <w:snapToGrid w:val="0"/>
              <w:spacing w:before="0" w:beforeAutospacing="0" w:after="0" w:afterAutospacing="0"/>
              <w:ind w:left="0" w:right="0"/>
              <w:jc w:val="left"/>
              <w:rPr>
                <w:rFonts w:hint="default" w:ascii="Calibri" w:hAnsi="Calibri" w:cs="Calibri"/>
                <w:color w:val="auto"/>
                <w:szCs w:val="21"/>
                <w:highlight w:val="none"/>
              </w:rPr>
            </w:pPr>
            <w:r>
              <w:rPr>
                <w:rFonts w:hint="default" w:ascii="Calibri" w:hAnsi="Calibri" w:cs="Calibri"/>
                <w:color w:val="auto"/>
                <w:szCs w:val="21"/>
                <w:highlight w:val="none"/>
              </w:rPr>
              <w:t>1.已进行资格预审的，评标委员会一般不再对</w:t>
            </w:r>
            <w:r>
              <w:rPr>
                <w:rFonts w:hint="eastAsia" w:ascii="Calibri" w:hAnsi="Calibri" w:cs="Calibri"/>
                <w:color w:val="auto"/>
                <w:szCs w:val="21"/>
                <w:highlight w:val="none"/>
              </w:rPr>
              <w:t>投标人</w:t>
            </w:r>
            <w:r>
              <w:rPr>
                <w:rFonts w:hint="default" w:ascii="Calibri" w:hAnsi="Calibri" w:cs="Calibri"/>
                <w:color w:val="auto"/>
                <w:szCs w:val="21"/>
                <w:highlight w:val="none"/>
              </w:rPr>
              <w:t>资格进行评审。投标人资格预审申请文件的内容发生</w:t>
            </w:r>
            <w:r>
              <w:rPr>
                <w:rFonts w:hint="eastAsia" w:ascii="Calibri" w:hAnsi="Calibri" w:cs="Calibri"/>
                <w:color w:val="auto"/>
                <w:szCs w:val="21"/>
                <w:highlight w:val="none"/>
              </w:rPr>
              <w:t>了</w:t>
            </w:r>
            <w:r>
              <w:rPr>
                <w:rFonts w:hint="default" w:ascii="Calibri" w:hAnsi="Calibri" w:cs="Calibri"/>
                <w:color w:val="auto"/>
                <w:szCs w:val="21"/>
                <w:highlight w:val="none"/>
              </w:rPr>
              <w:t>重大变化</w:t>
            </w:r>
            <w:r>
              <w:rPr>
                <w:rFonts w:hint="eastAsia" w:ascii="Calibri" w:hAnsi="Calibri" w:cs="Calibri"/>
                <w:color w:val="auto"/>
                <w:szCs w:val="21"/>
                <w:highlight w:val="none"/>
              </w:rPr>
              <w:t>的</w:t>
            </w:r>
            <w:r>
              <w:rPr>
                <w:rFonts w:hint="default" w:ascii="Calibri" w:hAnsi="Calibri" w:cs="Calibri"/>
                <w:color w:val="auto"/>
                <w:szCs w:val="21"/>
                <w:highlight w:val="none"/>
              </w:rPr>
              <w:t>，由评标委员会依据资格预审文件中规定的标准和方法，对照投标人资格预审申请文件中的资料以及开标前更新的资料，对其更新的资料进行评审，其变化后的资格条件不得低于原有资格条件要求。</w:t>
            </w:r>
          </w:p>
          <w:p>
            <w:pPr>
              <w:keepNext w:val="0"/>
              <w:keepLines w:val="0"/>
              <w:suppressLineNumbers w:val="0"/>
              <w:snapToGrid w:val="0"/>
              <w:spacing w:before="0" w:beforeAutospacing="0" w:after="0" w:afterAutospacing="0"/>
              <w:ind w:left="0" w:right="0"/>
              <w:jc w:val="left"/>
              <w:rPr>
                <w:rFonts w:hint="default" w:ascii="Calibri" w:hAnsi="Calibri" w:cs="Calibri"/>
                <w:color w:val="auto"/>
                <w:szCs w:val="21"/>
                <w:highlight w:val="none"/>
              </w:rPr>
            </w:pPr>
            <w:r>
              <w:rPr>
                <w:rFonts w:hint="default" w:ascii="Calibri" w:hAnsi="Calibri" w:cs="Calibri"/>
                <w:color w:val="auto"/>
                <w:szCs w:val="21"/>
                <w:highlight w:val="none"/>
              </w:rPr>
              <w:t>2.未进行资格预审的，由评标委员会根据评审标准，对投标人资格进行评审。</w:t>
            </w:r>
          </w:p>
          <w:p>
            <w:pPr>
              <w:keepNext w:val="0"/>
              <w:keepLines w:val="0"/>
              <w:suppressLineNumbers w:val="0"/>
              <w:snapToGrid w:val="0"/>
              <w:spacing w:before="0" w:beforeAutospacing="0" w:after="0" w:afterAutospacing="0"/>
              <w:ind w:left="0" w:right="0"/>
              <w:jc w:val="left"/>
              <w:rPr>
                <w:rFonts w:hint="default" w:ascii="Calibri" w:hAnsi="Calibri" w:cs="Calibri"/>
                <w:color w:val="auto"/>
                <w:szCs w:val="21"/>
                <w:highlight w:val="none"/>
              </w:rPr>
            </w:pPr>
            <w:r>
              <w:rPr>
                <w:rFonts w:hint="eastAsia" w:ascii="Calibri" w:hAnsi="Calibri" w:cs="Calibri"/>
                <w:bCs/>
                <w:color w:val="auto"/>
                <w:szCs w:val="21"/>
                <w:highlight w:val="none"/>
              </w:rPr>
              <w:t>3.资格评审过程中，评标委员会发现投标人提交的资格审查资料不全时，应当听取该投标人的说明。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w:t>
            </w:r>
            <w:r>
              <w:rPr>
                <w:rFonts w:hint="default" w:ascii="Calibri" w:hAnsi="Calibri" w:cs="Calibri"/>
                <w:color w:val="auto"/>
                <w:szCs w:val="21"/>
                <w:highlight w:val="none"/>
              </w:rPr>
              <w:t xml:space="preserve">.1.3 </w:t>
            </w:r>
          </w:p>
        </w:tc>
        <w:tc>
          <w:tcPr>
            <w:tcW w:w="8466"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响应性评审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投标内容</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kern w:val="0"/>
                <w:szCs w:val="21"/>
                <w:highlight w:val="none"/>
              </w:rPr>
              <w:t>投标文件载明的投标范围不小于招标文件规定的招标范围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投标报价</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投标报价未超过招标文件规定的最高投标限价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工期</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kern w:val="0"/>
                <w:szCs w:val="21"/>
                <w:highlight w:val="none"/>
              </w:rPr>
              <w:t>投标文件载明的招标项目完成期限未超过招标文件要求的期限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工程质量和保修</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kern w:val="0"/>
                <w:szCs w:val="21"/>
                <w:highlight w:val="none"/>
              </w:rPr>
              <w:t>投标文件载明的质量标准</w:t>
            </w:r>
            <w:r>
              <w:rPr>
                <w:rFonts w:hint="eastAsia" w:ascii="Calibri" w:hAnsi="Calibri" w:cs="Calibri"/>
                <w:color w:val="auto"/>
                <w:kern w:val="0"/>
                <w:szCs w:val="21"/>
                <w:highlight w:val="none"/>
              </w:rPr>
              <w:t>和</w:t>
            </w:r>
            <w:r>
              <w:rPr>
                <w:rFonts w:hint="default" w:ascii="Calibri" w:hAnsi="Calibri" w:cs="Calibri"/>
                <w:color w:val="auto"/>
                <w:kern w:val="0"/>
                <w:szCs w:val="21"/>
                <w:highlight w:val="none"/>
              </w:rPr>
              <w:t>保修承诺不低于招标文件的要求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主要人员配备</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kern w:val="0"/>
                <w:szCs w:val="21"/>
                <w:highlight w:val="none"/>
              </w:rPr>
            </w:pPr>
            <w:r>
              <w:rPr>
                <w:rFonts w:hint="eastAsia" w:ascii="Calibri" w:hAnsi="Calibri" w:cs="Calibri"/>
                <w:color w:val="auto"/>
                <w:kern w:val="0"/>
                <w:szCs w:val="21"/>
                <w:highlight w:val="none"/>
              </w:rPr>
              <w:t>工程总承包拟任工程总承包项目负责人及其项目的设计项目负责人、施工项目负责人等</w:t>
            </w:r>
            <w:r>
              <w:rPr>
                <w:rFonts w:hint="default" w:ascii="Calibri" w:hAnsi="Calibri" w:cs="Calibri"/>
                <w:color w:val="auto"/>
                <w:kern w:val="0"/>
                <w:szCs w:val="21"/>
                <w:highlight w:val="none"/>
              </w:rPr>
              <w:t>的</w:t>
            </w:r>
            <w:r>
              <w:rPr>
                <w:rFonts w:hint="eastAsia" w:ascii="Calibri" w:hAnsi="Calibri" w:cs="Calibri"/>
                <w:color w:val="auto"/>
                <w:kern w:val="0"/>
                <w:szCs w:val="21"/>
                <w:highlight w:val="none"/>
              </w:rPr>
              <w:t>配备符合</w:t>
            </w:r>
            <w:r>
              <w:rPr>
                <w:rFonts w:hint="default" w:ascii="Calibri" w:hAnsi="Calibri" w:cs="Calibri"/>
                <w:color w:val="auto"/>
                <w:kern w:val="0"/>
                <w:szCs w:val="21"/>
                <w:highlight w:val="none"/>
              </w:rPr>
              <w:t>国家或省有关规定及招标文件要求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省外入湘企业基本信息登记（仅省外企业）</w:t>
            </w:r>
          </w:p>
        </w:tc>
        <w:tc>
          <w:tcPr>
            <w:tcW w:w="5271" w:type="dxa"/>
            <w:noWrap w:val="0"/>
            <w:vAlign w:val="center"/>
          </w:tcPr>
          <w:p>
            <w:pPr>
              <w:keepNext w:val="0"/>
              <w:keepLines w:val="0"/>
              <w:suppressLineNumbers w:val="0"/>
              <w:snapToGrid w:val="0"/>
              <w:spacing w:before="0" w:beforeAutospacing="0" w:after="0" w:afterAutospacing="0"/>
              <w:ind w:left="0" w:right="0"/>
              <w:rPr>
                <w:rFonts w:hint="eastAsia" w:ascii="Calibri" w:hAnsi="Calibri" w:cs="Calibri"/>
                <w:color w:val="auto"/>
                <w:kern w:val="0"/>
                <w:szCs w:val="21"/>
                <w:highlight w:val="none"/>
              </w:rPr>
            </w:pPr>
            <w:r>
              <w:rPr>
                <w:rFonts w:hint="eastAsia" w:ascii="Calibri" w:hAnsi="Calibri" w:cs="Calibri"/>
                <w:color w:val="auto"/>
                <w:szCs w:val="21"/>
                <w:highlight w:val="none"/>
              </w:rPr>
              <w:t>符合第二章“投标人须知”的规定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投标保证</w:t>
            </w:r>
          </w:p>
        </w:tc>
        <w:tc>
          <w:tcPr>
            <w:tcW w:w="5271" w:type="dxa"/>
            <w:noWrap w:val="0"/>
            <w:vAlign w:val="center"/>
          </w:tcPr>
          <w:p>
            <w:pPr>
              <w:keepNext w:val="0"/>
              <w:keepLines w:val="0"/>
              <w:suppressLineNumbers w:val="0"/>
              <w:snapToGrid w:val="0"/>
              <w:spacing w:before="0" w:beforeAutospacing="0" w:after="0" w:afterAutospacing="0"/>
              <w:ind w:left="0" w:right="0"/>
              <w:rPr>
                <w:rFonts w:hint="eastAsia" w:ascii="Calibri" w:hAnsi="Calibri" w:cs="Calibri"/>
                <w:color w:val="auto"/>
                <w:kern w:val="0"/>
                <w:szCs w:val="21"/>
                <w:highlight w:val="none"/>
              </w:rPr>
            </w:pPr>
            <w:r>
              <w:rPr>
                <w:rFonts w:hint="eastAsia" w:ascii="Calibri" w:hAnsi="Calibri" w:cs="Calibri"/>
                <w:color w:val="auto"/>
                <w:szCs w:val="21"/>
                <w:highlight w:val="none"/>
              </w:rPr>
              <w:t>符合第二章“投标人须知”第3.4.1项规定，保函受益人和投标人的全称与招标人和投标人名称一致；保函有效期起始时间应为本项目投标截止时间之前；保函有效期应不短于投标有效期。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投标有效期</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投标有效期不</w:t>
            </w:r>
            <w:r>
              <w:rPr>
                <w:rFonts w:hint="eastAsia" w:ascii="Calibri" w:hAnsi="Calibri" w:cs="Calibri"/>
                <w:color w:val="auto"/>
                <w:szCs w:val="21"/>
                <w:highlight w:val="none"/>
              </w:rPr>
              <w:t>短</w:t>
            </w:r>
            <w:r>
              <w:rPr>
                <w:rFonts w:hint="default" w:ascii="Calibri" w:hAnsi="Calibri" w:cs="Calibri"/>
                <w:color w:val="auto"/>
                <w:szCs w:val="21"/>
                <w:highlight w:val="none"/>
              </w:rPr>
              <w:t>于投标人须知前附表的</w:t>
            </w:r>
            <w:r>
              <w:rPr>
                <w:rFonts w:hint="default" w:ascii="Calibri" w:hAnsi="Calibri" w:cs="Calibri"/>
                <w:color w:val="auto"/>
                <w:kern w:val="0"/>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权利义务</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Calibri" w:hAnsi="Calibri" w:cs="Calibri"/>
                <w:color w:val="auto"/>
                <w:szCs w:val="21"/>
                <w:highlight w:val="none"/>
              </w:rPr>
              <w:t>符合第四章“合同条款及格式”规定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p>
        </w:tc>
        <w:tc>
          <w:tcPr>
            <w:tcW w:w="8466"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default" w:ascii="Calibri" w:hAnsi="Calibri" w:cs="Calibri"/>
                <w:color w:val="auto"/>
                <w:szCs w:val="21"/>
                <w:highlight w:val="none"/>
              </w:rPr>
              <w:t>其他响应招标文件提出的实质性要求和条件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092"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条款号</w:t>
            </w: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条款内容</w:t>
            </w:r>
          </w:p>
        </w:tc>
        <w:tc>
          <w:tcPr>
            <w:tcW w:w="5271"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b/>
                <w:color w:val="auto"/>
                <w:szCs w:val="21"/>
                <w:highlight w:val="none"/>
              </w:rPr>
            </w:pPr>
            <w:r>
              <w:rPr>
                <w:rFonts w:hint="default" w:ascii="Calibri" w:hAnsi="Calibri" w:cs="Calibri"/>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exact"/>
          <w:jc w:val="center"/>
        </w:trPr>
        <w:tc>
          <w:tcPr>
            <w:tcW w:w="1092" w:type="dxa"/>
            <w:noWrap w:val="0"/>
            <w:vAlign w:val="center"/>
          </w:tcPr>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1.2.2</w:t>
            </w:r>
          </w:p>
        </w:tc>
        <w:tc>
          <w:tcPr>
            <w:tcW w:w="3195" w:type="dxa"/>
            <w:noWrap w:val="0"/>
            <w:vAlign w:val="center"/>
          </w:tcPr>
          <w:p>
            <w:pPr>
              <w:keepNext w:val="0"/>
              <w:keepLines w:val="0"/>
              <w:suppressLineNumbers w:val="0"/>
              <w:snapToGrid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权值构成</w:t>
            </w:r>
          </w:p>
          <w:p>
            <w:pPr>
              <w:keepNext w:val="0"/>
              <w:keepLines w:val="0"/>
              <w:suppressLineNumbers w:val="0"/>
              <w:snapToGrid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（总权值1）</w:t>
            </w:r>
          </w:p>
        </w:tc>
        <w:tc>
          <w:tcPr>
            <w:tcW w:w="5271" w:type="dxa"/>
            <w:noWrap w:val="0"/>
            <w:vAlign w:val="center"/>
          </w:tcPr>
          <w:p>
            <w:pPr>
              <w:keepNext w:val="0"/>
              <w:keepLines w:val="0"/>
              <w:suppressLineNumbers w:val="0"/>
              <w:snapToGrid w:val="0"/>
              <w:spacing w:before="0" w:beforeAutospacing="0" w:after="0" w:afterAutospacing="0"/>
              <w:ind w:left="0" w:right="0"/>
              <w:rPr>
                <w:rFonts w:hint="default" w:ascii="宋体" w:hAnsi="宋体" w:cs="Calibri"/>
                <w:color w:val="auto"/>
                <w:szCs w:val="21"/>
                <w:highlight w:val="none"/>
                <w:u w:val="single"/>
                <w:lang w:val="en-US" w:eastAsia="zh-CN"/>
              </w:rPr>
            </w:pPr>
            <w:r>
              <w:rPr>
                <w:rFonts w:hint="eastAsia" w:ascii="Calibri" w:hAnsi="Calibri" w:cs="Calibri"/>
                <w:color w:val="auto"/>
                <w:szCs w:val="21"/>
                <w:highlight w:val="none"/>
              </w:rPr>
              <w:t>技术方案</w:t>
            </w:r>
            <w:r>
              <w:rPr>
                <w:rFonts w:hint="default" w:ascii="Calibri" w:hAnsi="Calibri" w:cs="Calibri"/>
                <w:color w:val="auto"/>
                <w:szCs w:val="21"/>
                <w:highlight w:val="none"/>
              </w:rPr>
              <w:t>权重</w:t>
            </w:r>
            <w:r>
              <w:rPr>
                <w:rFonts w:hint="eastAsia" w:ascii="Calibri" w:hAnsi="Calibri" w:cs="Calibri"/>
                <w:color w:val="auto"/>
                <w:szCs w:val="21"/>
                <w:highlight w:val="none"/>
              </w:rPr>
              <w:t>J1</w:t>
            </w:r>
            <w:r>
              <w:rPr>
                <w:rFonts w:hint="default" w:ascii="Calibri" w:hAnsi="Calibri" w:cs="Calibri"/>
                <w:color w:val="auto"/>
                <w:szCs w:val="21"/>
                <w:highlight w:val="none"/>
              </w:rPr>
              <w:t>（取值范围：</w:t>
            </w:r>
            <w:r>
              <w:rPr>
                <w:rFonts w:hint="default" w:ascii="宋体" w:hAnsi="宋体" w:cs="Calibri"/>
                <w:color w:val="auto"/>
                <w:szCs w:val="21"/>
                <w:highlight w:val="none"/>
              </w:rPr>
              <w:t>0.05-0.</w:t>
            </w:r>
            <w:r>
              <w:rPr>
                <w:rFonts w:hint="eastAsia" w:ascii="宋体" w:hAnsi="宋体" w:cs="Calibri"/>
                <w:color w:val="auto"/>
                <w:szCs w:val="21"/>
                <w:highlight w:val="none"/>
              </w:rPr>
              <w:t>3</w:t>
            </w:r>
            <w:r>
              <w:rPr>
                <w:rFonts w:hint="default" w:ascii="宋体" w:hAnsi="宋体" w:cs="Calibri"/>
                <w:color w:val="auto"/>
                <w:szCs w:val="21"/>
                <w:highlight w:val="none"/>
              </w:rPr>
              <w:t>0）：</w:t>
            </w:r>
            <w:r>
              <w:rPr>
                <w:rFonts w:hint="eastAsia" w:ascii="宋体" w:hAnsi="宋体" w:cs="Calibri"/>
                <w:color w:val="auto"/>
                <w:szCs w:val="21"/>
                <w:highlight w:val="none"/>
                <w:u w:val="single"/>
                <w:lang w:val="en-US" w:eastAsia="zh-CN"/>
              </w:rPr>
              <w:t>0.30</w:t>
            </w:r>
          </w:p>
          <w:p>
            <w:pPr>
              <w:keepNext w:val="0"/>
              <w:keepLines w:val="0"/>
              <w:suppressLineNumbers w:val="0"/>
              <w:snapToGrid w:val="0"/>
              <w:spacing w:before="0" w:beforeAutospacing="0" w:after="0" w:afterAutospacing="0"/>
              <w:ind w:left="0" w:right="0"/>
              <w:rPr>
                <w:rFonts w:hint="default" w:ascii="宋体" w:hAnsi="宋体" w:cs="Calibri"/>
                <w:color w:val="auto"/>
                <w:szCs w:val="21"/>
                <w:highlight w:val="none"/>
                <w:u w:val="single"/>
              </w:rPr>
            </w:pPr>
            <w:r>
              <w:rPr>
                <w:rFonts w:hint="eastAsia" w:ascii="宋体" w:hAnsi="宋体" w:cs="Calibri"/>
                <w:color w:val="auto"/>
                <w:szCs w:val="21"/>
                <w:highlight w:val="none"/>
              </w:rPr>
              <w:t>企业资信及履约能力</w:t>
            </w:r>
            <w:r>
              <w:rPr>
                <w:rFonts w:hint="eastAsia" w:ascii="Calibri" w:hAnsi="Calibri" w:cs="Calibri"/>
                <w:color w:val="auto"/>
                <w:szCs w:val="21"/>
                <w:highlight w:val="none"/>
              </w:rPr>
              <w:t>J2</w:t>
            </w:r>
            <w:r>
              <w:rPr>
                <w:rFonts w:hint="default" w:ascii="宋体" w:hAnsi="宋体" w:cs="Calibri"/>
                <w:color w:val="auto"/>
                <w:szCs w:val="21"/>
                <w:highlight w:val="none"/>
              </w:rPr>
              <w:t>（取值范围：0.</w:t>
            </w:r>
            <w:r>
              <w:rPr>
                <w:rFonts w:hint="eastAsia" w:ascii="宋体" w:hAnsi="宋体" w:cs="Calibri"/>
                <w:color w:val="auto"/>
                <w:szCs w:val="21"/>
                <w:highlight w:val="none"/>
              </w:rPr>
              <w:t>35-</w:t>
            </w:r>
            <w:r>
              <w:rPr>
                <w:rFonts w:hint="default" w:ascii="宋体" w:hAnsi="宋体" w:cs="Calibri"/>
                <w:color w:val="auto"/>
                <w:szCs w:val="21"/>
                <w:highlight w:val="none"/>
              </w:rPr>
              <w:t>0.45）：</w:t>
            </w:r>
            <w:r>
              <w:rPr>
                <w:rFonts w:hint="default" w:ascii="宋体" w:hAnsi="宋体" w:cs="Calibri"/>
                <w:color w:val="auto"/>
                <w:szCs w:val="21"/>
                <w:highlight w:val="none"/>
                <w:u w:val="single"/>
              </w:rPr>
              <w:t xml:space="preserve"> </w:t>
            </w:r>
            <w:r>
              <w:rPr>
                <w:rFonts w:hint="eastAsia" w:ascii="宋体" w:hAnsi="宋体" w:cs="Calibri"/>
                <w:color w:val="auto"/>
                <w:szCs w:val="21"/>
                <w:highlight w:val="none"/>
                <w:u w:val="single"/>
                <w:lang w:val="en-US" w:eastAsia="zh-CN"/>
              </w:rPr>
              <w:t>0.35</w:t>
            </w:r>
            <w:r>
              <w:rPr>
                <w:rFonts w:hint="default" w:ascii="宋体" w:hAnsi="宋体" w:cs="Calibri"/>
                <w:color w:val="auto"/>
                <w:szCs w:val="21"/>
                <w:highlight w:val="none"/>
                <w:u w:val="single"/>
              </w:rPr>
              <w:t xml:space="preserve">  </w:t>
            </w:r>
          </w:p>
          <w:p>
            <w:pPr>
              <w:keepNext w:val="0"/>
              <w:keepLines w:val="0"/>
              <w:suppressLineNumbers w:val="0"/>
              <w:snapToGrid w:val="0"/>
              <w:spacing w:before="0" w:beforeAutospacing="0" w:after="0" w:afterAutospacing="0"/>
              <w:ind w:left="0" w:right="0"/>
              <w:rPr>
                <w:rFonts w:hint="default" w:ascii="Calibri" w:hAnsi="Calibri" w:cs="Calibri"/>
                <w:color w:val="auto"/>
                <w:szCs w:val="21"/>
                <w:highlight w:val="none"/>
              </w:rPr>
            </w:pPr>
            <w:r>
              <w:rPr>
                <w:rFonts w:hint="default" w:ascii="宋体" w:hAnsi="宋体" w:cs="Calibri"/>
                <w:color w:val="auto"/>
                <w:szCs w:val="21"/>
                <w:highlight w:val="none"/>
              </w:rPr>
              <w:t>投标报价权重</w:t>
            </w:r>
            <w:r>
              <w:rPr>
                <w:rFonts w:hint="eastAsia" w:ascii="Calibri" w:hAnsi="Calibri" w:cs="Calibri"/>
                <w:color w:val="auto"/>
                <w:szCs w:val="21"/>
                <w:highlight w:val="none"/>
              </w:rPr>
              <w:t>J3</w:t>
            </w:r>
            <w:r>
              <w:rPr>
                <w:rFonts w:hint="default" w:ascii="宋体" w:hAnsi="宋体" w:cs="Calibri"/>
                <w:color w:val="auto"/>
                <w:szCs w:val="21"/>
                <w:highlight w:val="none"/>
              </w:rPr>
              <w:t>（取值范围：0.</w:t>
            </w:r>
            <w:r>
              <w:rPr>
                <w:rFonts w:hint="eastAsia" w:ascii="宋体" w:hAnsi="宋体" w:cs="Calibri"/>
                <w:color w:val="auto"/>
                <w:szCs w:val="21"/>
                <w:highlight w:val="none"/>
              </w:rPr>
              <w:t>3</w:t>
            </w:r>
            <w:r>
              <w:rPr>
                <w:rFonts w:hint="default" w:ascii="宋体" w:hAnsi="宋体" w:cs="Calibri"/>
                <w:color w:val="auto"/>
                <w:szCs w:val="21"/>
                <w:highlight w:val="none"/>
              </w:rPr>
              <w:t>5-0.5</w:t>
            </w:r>
            <w:r>
              <w:rPr>
                <w:rFonts w:hint="default" w:ascii="宋体" w:hAnsi="宋体" w:cs="Calibri"/>
                <w:color w:val="auto"/>
                <w:szCs w:val="21"/>
                <w:highlight w:val="none"/>
                <w:lang w:val="en-US"/>
              </w:rPr>
              <w:t>0</w:t>
            </w:r>
            <w:r>
              <w:rPr>
                <w:rFonts w:hint="default" w:ascii="宋体" w:hAnsi="宋体" w:cs="Calibri"/>
                <w:color w:val="auto"/>
                <w:szCs w:val="21"/>
                <w:highlight w:val="none"/>
              </w:rPr>
              <w:t>）</w:t>
            </w:r>
            <w:r>
              <w:rPr>
                <w:rFonts w:hint="default" w:ascii="Calibri" w:hAnsi="Calibri" w:cs="Calibri"/>
                <w:color w:val="auto"/>
                <w:szCs w:val="21"/>
                <w:highlight w:val="none"/>
              </w:rPr>
              <w:t>：</w:t>
            </w:r>
            <w:r>
              <w:rPr>
                <w:rFonts w:hint="default" w:ascii="Calibri" w:hAnsi="Calibri" w:cs="Calibri"/>
                <w:color w:val="auto"/>
                <w:szCs w:val="21"/>
                <w:highlight w:val="none"/>
                <w:u w:val="single"/>
              </w:rPr>
              <w:t xml:space="preserve"> </w:t>
            </w:r>
            <w:r>
              <w:rPr>
                <w:rFonts w:hint="eastAsia" w:ascii="Calibri" w:hAnsi="Calibri" w:cs="Calibri"/>
                <w:color w:val="auto"/>
                <w:szCs w:val="21"/>
                <w:highlight w:val="none"/>
                <w:u w:val="single"/>
                <w:lang w:val="en-US" w:eastAsia="zh-CN"/>
              </w:rPr>
              <w:t>0.35</w:t>
            </w:r>
            <w:r>
              <w:rPr>
                <w:rFonts w:hint="default" w:ascii="Calibri" w:hAnsi="Calibri" w:cs="Calibri"/>
                <w:color w:val="auto"/>
                <w:szCs w:val="21"/>
                <w:highlight w:val="none"/>
                <w:u w:val="single"/>
              </w:rPr>
              <w:t xml:space="preserve"> </w:t>
            </w:r>
          </w:p>
        </w:tc>
      </w:tr>
    </w:tbl>
    <w:p>
      <w:pPr>
        <w:jc w:val="center"/>
        <w:rPr>
          <w:rFonts w:hint="eastAsia"/>
          <w:color w:val="auto"/>
          <w:sz w:val="18"/>
          <w:highlight w:val="none"/>
        </w:rPr>
      </w:pPr>
    </w:p>
    <w:p>
      <w:pPr>
        <w:spacing w:line="400" w:lineRule="exact"/>
        <w:rPr>
          <w:color w:val="auto"/>
          <w:sz w:val="18"/>
          <w:highlight w:val="none"/>
        </w:rPr>
      </w:pPr>
    </w:p>
    <w:p>
      <w:pPr>
        <w:spacing w:line="400" w:lineRule="exact"/>
        <w:rPr>
          <w:color w:val="auto"/>
          <w:szCs w:val="21"/>
          <w:highlight w:val="none"/>
        </w:rPr>
      </w:pPr>
      <w:r>
        <w:rPr>
          <w:color w:val="auto"/>
          <w:highlight w:val="none"/>
        </w:rPr>
        <w:br w:type="page"/>
      </w:r>
      <w:r>
        <w:rPr>
          <w:color w:val="auto"/>
          <w:szCs w:val="21"/>
          <w:highlight w:val="none"/>
        </w:rPr>
        <w:t>承前页：</w:t>
      </w:r>
      <w:r>
        <w:rPr>
          <w:rFonts w:hint="eastAsia" w:ascii="宋体" w:hAnsi="宋体"/>
          <w:color w:val="auto"/>
          <w:szCs w:val="21"/>
          <w:highlight w:val="none"/>
        </w:rPr>
        <w:sym w:font="Wingdings 2" w:char="0052"/>
      </w:r>
      <w:r>
        <w:rPr>
          <w:rFonts w:hint="eastAsia" w:ascii="宋体" w:hAnsi="宋体"/>
          <w:color w:val="auto"/>
          <w:szCs w:val="21"/>
          <w:highlight w:val="none"/>
        </w:rPr>
        <w:t>适用于初步设计完成后启动的招标</w:t>
      </w:r>
      <w:r>
        <w:rPr>
          <w:rFonts w:hint="eastAsia"/>
          <w:color w:val="auto"/>
          <w:szCs w:val="21"/>
          <w:highlight w:val="none"/>
        </w:rPr>
        <w:t>；技术方案采用暗标评审方式。</w:t>
      </w:r>
    </w:p>
    <w:tbl>
      <w:tblPr>
        <w:tblStyle w:val="47"/>
        <w:tblW w:w="54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425"/>
        <w:gridCol w:w="992"/>
        <w:gridCol w:w="2128"/>
        <w:gridCol w:w="4166"/>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default" w:ascii="宋体" w:hAnsi="宋体" w:cs="Calibri"/>
                <w:b/>
                <w:bCs/>
                <w:color w:val="auto"/>
                <w:szCs w:val="21"/>
                <w:highlight w:val="none"/>
              </w:rPr>
              <w:t>条款号</w:t>
            </w:r>
          </w:p>
        </w:tc>
        <w:tc>
          <w:tcPr>
            <w:tcW w:w="230"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eastAsia" w:ascii="宋体" w:hAnsi="宋体" w:cs="Calibri"/>
                <w:b/>
                <w:bCs/>
                <w:color w:val="auto"/>
                <w:szCs w:val="21"/>
                <w:highlight w:val="none"/>
              </w:rPr>
              <w:t>序号</w:t>
            </w:r>
          </w:p>
        </w:tc>
        <w:tc>
          <w:tcPr>
            <w:tcW w:w="1686" w:type="pct"/>
            <w:gridSpan w:val="2"/>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b/>
                <w:bCs/>
                <w:color w:val="auto"/>
                <w:szCs w:val="21"/>
                <w:highlight w:val="none"/>
              </w:rPr>
            </w:pPr>
            <w:r>
              <w:rPr>
                <w:rFonts w:hint="eastAsia" w:ascii="宋体" w:hAnsi="宋体" w:cs="Calibri"/>
                <w:b/>
                <w:bCs/>
                <w:color w:val="auto"/>
                <w:szCs w:val="21"/>
                <w:highlight w:val="none"/>
              </w:rPr>
              <w:t>评审项目及</w:t>
            </w:r>
          </w:p>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eastAsia" w:ascii="宋体" w:hAnsi="宋体" w:cs="Calibri"/>
                <w:b/>
                <w:bCs/>
                <w:color w:val="auto"/>
                <w:szCs w:val="21"/>
                <w:highlight w:val="none"/>
              </w:rPr>
              <w:t>取值范围</w:t>
            </w:r>
          </w:p>
        </w:tc>
        <w:tc>
          <w:tcPr>
            <w:tcW w:w="2252"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default" w:ascii="宋体" w:hAnsi="宋体" w:cs="Calibri"/>
                <w:b/>
                <w:bCs/>
                <w:color w:val="auto"/>
                <w:szCs w:val="21"/>
                <w:highlight w:val="none"/>
              </w:rPr>
              <w:t>评审标准</w:t>
            </w:r>
          </w:p>
        </w:tc>
        <w:tc>
          <w:tcPr>
            <w:tcW w:w="423" w:type="pc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Calibri"/>
                <w:b/>
                <w:bCs/>
                <w:color w:val="auto"/>
                <w:szCs w:val="21"/>
                <w:highlight w:val="none"/>
              </w:rPr>
            </w:pPr>
            <w:r>
              <w:rPr>
                <w:rFonts w:hint="eastAsia" w:ascii="宋体" w:hAnsi="宋体" w:cs="Calibri"/>
                <w:b/>
                <w:bCs/>
                <w:color w:val="auto"/>
                <w:szCs w:val="21"/>
                <w:highlight w:val="none"/>
              </w:rPr>
              <w:t>评审</w:t>
            </w:r>
          </w:p>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eastAsia" w:ascii="宋体" w:hAnsi="宋体" w:cs="Calibri"/>
                <w:b/>
                <w:bCs/>
                <w:color w:val="auto"/>
                <w:szCs w:val="21"/>
                <w:highlight w:val="none"/>
              </w:rPr>
              <w:t>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r>
              <w:rPr>
                <w:rFonts w:hint="eastAsia" w:ascii="Calibri" w:hAnsi="Calibri" w:cs="Calibri"/>
                <w:color w:val="auto"/>
                <w:szCs w:val="21"/>
                <w:highlight w:val="none"/>
              </w:rPr>
              <w:t xml:space="preserve">1.2.1 </w:t>
            </w:r>
            <w:r>
              <w:rPr>
                <w:rFonts w:hint="default" w:ascii="Calibri" w:hAnsi="Calibri" w:cs="Calibri"/>
                <w:color w:val="auto"/>
                <w:szCs w:val="21"/>
                <w:highlight w:val="none"/>
              </w:rPr>
              <w:t>(1)</w:t>
            </w:r>
          </w:p>
        </w:tc>
        <w:tc>
          <w:tcPr>
            <w:tcW w:w="4168" w:type="pct"/>
            <w:gridSpan w:val="4"/>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r>
              <w:rPr>
                <w:rFonts w:hint="eastAsia" w:ascii="宋体" w:hAnsi="宋体" w:cs="Calibri"/>
                <w:b/>
                <w:color w:val="auto"/>
                <w:szCs w:val="21"/>
                <w:highlight w:val="none"/>
              </w:rPr>
              <w:t>技术方案评审</w:t>
            </w:r>
          </w:p>
        </w:tc>
        <w:tc>
          <w:tcPr>
            <w:tcW w:w="423"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r>
              <w:rPr>
                <w:rFonts w:hint="eastAsia" w:ascii="宋体" w:hAnsi="宋体" w:cs="Calibri"/>
                <w:color w:val="auto"/>
                <w:szCs w:val="21"/>
                <w:highlight w:val="none"/>
              </w:rPr>
              <w:t>1</w:t>
            </w:r>
          </w:p>
        </w:tc>
        <w:tc>
          <w:tcPr>
            <w:tcW w:w="536" w:type="pct"/>
            <w:vMerge w:val="restar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总承包方案（</w:t>
            </w:r>
            <w:r>
              <w:rPr>
                <w:rFonts w:hint="default" w:ascii="宋体" w:hAnsi="宋体" w:cs="宋体"/>
                <w:color w:val="auto"/>
                <w:kern w:val="0"/>
                <w:szCs w:val="21"/>
                <w:highlight w:val="none"/>
              </w:rPr>
              <w:t>16</w:t>
            </w:r>
            <w:r>
              <w:rPr>
                <w:rFonts w:hint="eastAsia" w:ascii="宋体" w:hAnsi="宋体" w:cs="宋体"/>
                <w:color w:val="auto"/>
                <w:kern w:val="0"/>
                <w:szCs w:val="21"/>
                <w:highlight w:val="none"/>
              </w:rPr>
              <w:t>-</w:t>
            </w:r>
            <w:r>
              <w:rPr>
                <w:rFonts w:hint="default" w:ascii="宋体" w:hAnsi="宋体" w:cs="宋体"/>
                <w:color w:val="auto"/>
                <w:kern w:val="0"/>
                <w:szCs w:val="21"/>
                <w:highlight w:val="none"/>
              </w:rPr>
              <w:t>20</w:t>
            </w:r>
            <w:r>
              <w:rPr>
                <w:rFonts w:hint="eastAsia" w:ascii="宋体" w:hAnsi="宋体" w:cs="宋体"/>
                <w:color w:val="auto"/>
                <w:kern w:val="0"/>
                <w:szCs w:val="21"/>
                <w:highlight w:val="none"/>
              </w:rPr>
              <w:t>分）</w:t>
            </w:r>
          </w:p>
          <w:p>
            <w:pPr>
              <w:keepNext w:val="0"/>
              <w:keepLines w:val="0"/>
              <w:widowControl/>
              <w:suppressLineNumbers w:val="0"/>
              <w:spacing w:before="0" w:beforeAutospacing="0" w:after="0" w:afterAutospacing="0"/>
              <w:ind w:left="-109" w:leftChars="-52" w:right="-105" w:rightChars="-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20</w:t>
            </w:r>
            <w:r>
              <w:rPr>
                <w:rFonts w:hint="default" w:ascii="宋体" w:hAnsi="宋体" w:cs="宋体"/>
                <w:color w:val="auto"/>
                <w:kern w:val="0"/>
                <w:szCs w:val="21"/>
                <w:highlight w:val="none"/>
                <w:u w:val="single"/>
              </w:rPr>
              <w:t xml:space="preserve"> </w:t>
            </w:r>
          </w:p>
        </w:tc>
        <w:tc>
          <w:tcPr>
            <w:tcW w:w="1150" w:type="pc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总承包管理方案及措施                 （</w:t>
            </w:r>
            <w:r>
              <w:rPr>
                <w:rFonts w:hint="default" w:ascii="宋体" w:hAnsi="宋体" w:cs="宋体"/>
                <w:color w:val="auto"/>
                <w:kern w:val="0"/>
                <w:szCs w:val="21"/>
                <w:highlight w:val="none"/>
              </w:rPr>
              <w:t>8</w:t>
            </w:r>
            <w:r>
              <w:rPr>
                <w:rFonts w:hint="eastAsia" w:ascii="宋体" w:hAnsi="宋体" w:cs="宋体"/>
                <w:color w:val="auto"/>
                <w:kern w:val="0"/>
                <w:szCs w:val="21"/>
                <w:highlight w:val="none"/>
              </w:rPr>
              <w:t>-1</w:t>
            </w:r>
            <w:r>
              <w:rPr>
                <w:rFonts w:hint="default" w:ascii="宋体" w:hAnsi="宋体" w:cs="宋体"/>
                <w:color w:val="auto"/>
                <w:kern w:val="0"/>
                <w:szCs w:val="21"/>
                <w:highlight w:val="none"/>
              </w:rPr>
              <w:t>0</w:t>
            </w:r>
            <w:r>
              <w:rPr>
                <w:rFonts w:hint="eastAsia" w:ascii="宋体" w:hAnsi="宋体" w:cs="宋体"/>
                <w:color w:val="auto"/>
                <w:kern w:val="0"/>
                <w:szCs w:val="21"/>
                <w:highlight w:val="none"/>
              </w:rPr>
              <w:t>分）</w:t>
            </w:r>
          </w:p>
          <w:p>
            <w:pPr>
              <w:keepNext w:val="0"/>
              <w:keepLines w:val="0"/>
              <w:widowControl/>
              <w:suppressLineNumbers w:val="0"/>
              <w:spacing w:before="0" w:beforeAutospacing="0" w:after="0" w:afterAutospacing="0"/>
              <w:ind w:left="-109" w:leftChars="-52" w:right="-105" w:rightChars="-5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10</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总承包管理方案是否清晰并切实可行；内容是否全面、完整；部署及措施是否合理、先进、可靠；能否满足项目管理需要等。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0" w:type="pc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总承包管理重点、难点分析（</w:t>
            </w:r>
            <w:r>
              <w:rPr>
                <w:rFonts w:hint="default" w:ascii="宋体" w:hAnsi="宋体" w:cs="宋体"/>
                <w:color w:val="auto"/>
                <w:kern w:val="0"/>
                <w:szCs w:val="21"/>
                <w:highlight w:val="none"/>
              </w:rPr>
              <w:t>8</w:t>
            </w:r>
            <w:r>
              <w:rPr>
                <w:rFonts w:hint="eastAsia" w:ascii="宋体" w:hAnsi="宋体" w:cs="宋体"/>
                <w:color w:val="auto"/>
                <w:kern w:val="0"/>
                <w:szCs w:val="21"/>
                <w:highlight w:val="none"/>
              </w:rPr>
              <w:t>-</w:t>
            </w:r>
            <w:r>
              <w:rPr>
                <w:rFonts w:hint="default" w:ascii="宋体" w:hAnsi="宋体" w:cs="宋体"/>
                <w:color w:val="auto"/>
                <w:kern w:val="0"/>
                <w:szCs w:val="21"/>
                <w:highlight w:val="none"/>
              </w:rPr>
              <w:t>10</w:t>
            </w:r>
            <w:r>
              <w:rPr>
                <w:rFonts w:hint="eastAsia" w:ascii="宋体" w:hAnsi="宋体" w:cs="宋体"/>
                <w:color w:val="auto"/>
                <w:kern w:val="0"/>
                <w:szCs w:val="21"/>
                <w:highlight w:val="none"/>
              </w:rPr>
              <w:t>）</w:t>
            </w:r>
          </w:p>
          <w:p>
            <w:pPr>
              <w:keepNext w:val="0"/>
              <w:keepLines w:val="0"/>
              <w:widowControl/>
              <w:suppressLineNumbers w:val="0"/>
              <w:spacing w:before="0" w:beforeAutospacing="0" w:after="0" w:afterAutospacing="0"/>
              <w:ind w:left="-109" w:leftChars="-52" w:right="-105" w:rightChars="-50"/>
              <w:jc w:val="left"/>
              <w:rPr>
                <w:rFonts w:hint="default" w:ascii="宋体" w:hAnsi="宋体" w:cs="宋体"/>
                <w:color w:val="auto"/>
                <w:kern w:val="0"/>
                <w:szCs w:val="21"/>
                <w:highlight w:val="none"/>
                <w:lang w:val="en-US"/>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10</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总承包管理重难点控制是否得当；处置措施是否具备针对性；能否满足项目需要等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r>
              <w:rPr>
                <w:rFonts w:hint="eastAsia" w:ascii="宋体" w:hAnsi="宋体" w:cs="Calibri"/>
                <w:color w:val="auto"/>
                <w:szCs w:val="21"/>
                <w:highlight w:val="none"/>
              </w:rPr>
              <w:t>2</w:t>
            </w:r>
          </w:p>
        </w:tc>
        <w:tc>
          <w:tcPr>
            <w:tcW w:w="536" w:type="pct"/>
            <w:vMerge w:val="restart"/>
            <w:noWrap w:val="0"/>
            <w:vAlign w:val="center"/>
          </w:tcPr>
          <w:p>
            <w:pPr>
              <w:keepNext w:val="0"/>
              <w:keepLines w:val="0"/>
              <w:widowControl/>
              <w:suppressLineNumbers w:val="0"/>
              <w:spacing w:before="0" w:beforeAutospacing="0" w:after="0" w:afterAutospacing="0"/>
              <w:ind w:left="-109" w:leftChars="-52" w:right="-105" w:rightChars="-5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设计方案（</w:t>
            </w:r>
            <w:r>
              <w:rPr>
                <w:rFonts w:hint="default" w:ascii="宋体" w:hAnsi="宋体" w:cs="宋体"/>
                <w:color w:val="auto"/>
                <w:kern w:val="0"/>
                <w:szCs w:val="21"/>
                <w:highlight w:val="none"/>
              </w:rPr>
              <w:t>20</w:t>
            </w:r>
            <w:r>
              <w:rPr>
                <w:rFonts w:hint="eastAsia" w:ascii="宋体" w:hAnsi="宋体" w:cs="宋体"/>
                <w:color w:val="auto"/>
                <w:kern w:val="0"/>
                <w:szCs w:val="21"/>
                <w:highlight w:val="none"/>
              </w:rPr>
              <w:t>-</w:t>
            </w:r>
            <w:r>
              <w:rPr>
                <w:rFonts w:hint="default" w:ascii="宋体" w:hAnsi="宋体" w:cs="宋体"/>
                <w:color w:val="auto"/>
                <w:kern w:val="0"/>
                <w:szCs w:val="21"/>
                <w:highlight w:val="none"/>
              </w:rPr>
              <w:t>28</w:t>
            </w:r>
            <w:r>
              <w:rPr>
                <w:rFonts w:hint="eastAsia" w:ascii="宋体" w:hAnsi="宋体" w:cs="宋体"/>
                <w:color w:val="auto"/>
                <w:kern w:val="0"/>
                <w:szCs w:val="21"/>
                <w:highlight w:val="none"/>
              </w:rPr>
              <w:t>分）本项目分值为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28</w:t>
            </w:r>
            <w:r>
              <w:rPr>
                <w:rFonts w:hint="default" w:ascii="宋体" w:hAnsi="宋体" w:cs="宋体"/>
                <w:color w:val="auto"/>
                <w:kern w:val="0"/>
                <w:szCs w:val="21"/>
                <w:highlight w:val="none"/>
                <w:u w:val="single"/>
              </w:rPr>
              <w:t xml:space="preserve">   </w:t>
            </w:r>
          </w:p>
        </w:tc>
        <w:tc>
          <w:tcPr>
            <w:tcW w:w="1150" w:type="pct"/>
            <w:noWrap w:val="0"/>
            <w:vAlign w:val="center"/>
          </w:tcPr>
          <w:p>
            <w:pPr>
              <w:keepNext w:val="0"/>
              <w:keepLines w:val="0"/>
              <w:widowControl/>
              <w:suppressLineNumbers w:val="0"/>
              <w:spacing w:before="0" w:beforeAutospacing="0" w:after="0" w:afterAutospacing="0"/>
              <w:ind w:left="-99" w:leftChars="-47" w:right="-101" w:rightChars="-48"/>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设计说明                （</w:t>
            </w:r>
            <w:r>
              <w:rPr>
                <w:rFonts w:hint="default" w:ascii="宋体" w:hAnsi="宋体" w:cs="宋体"/>
                <w:color w:val="auto"/>
                <w:kern w:val="0"/>
                <w:szCs w:val="21"/>
                <w:highlight w:val="none"/>
              </w:rPr>
              <w:t>8</w:t>
            </w:r>
            <w:r>
              <w:rPr>
                <w:rFonts w:hint="eastAsia" w:ascii="宋体" w:hAnsi="宋体" w:cs="宋体"/>
                <w:color w:val="auto"/>
                <w:kern w:val="0"/>
                <w:szCs w:val="21"/>
                <w:highlight w:val="none"/>
              </w:rPr>
              <w:t>-1</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分）</w:t>
            </w:r>
          </w:p>
          <w:p>
            <w:pPr>
              <w:keepNext w:val="0"/>
              <w:keepLines w:val="0"/>
              <w:widowControl/>
              <w:suppressLineNumbers w:val="0"/>
              <w:spacing w:before="0" w:beforeAutospacing="0" w:after="0" w:afterAutospacing="0"/>
              <w:ind w:left="-99" w:leftChars="-47" w:right="-101" w:rightChars="-48"/>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12</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各专业设计说明是否完整、充分、准确。</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widowControl/>
              <w:suppressLineNumbers w:val="0"/>
              <w:snapToGrid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优化设计          （</w:t>
            </w:r>
            <w:r>
              <w:rPr>
                <w:rFonts w:hint="default" w:ascii="宋体" w:hAnsi="宋体" w:cs="宋体"/>
                <w:color w:val="auto"/>
                <w:kern w:val="0"/>
                <w:szCs w:val="21"/>
                <w:highlight w:val="none"/>
              </w:rPr>
              <w:t>12</w:t>
            </w:r>
            <w:r>
              <w:rPr>
                <w:rFonts w:hint="eastAsia" w:ascii="宋体" w:hAnsi="宋体" w:cs="宋体"/>
                <w:color w:val="auto"/>
                <w:kern w:val="0"/>
                <w:szCs w:val="21"/>
                <w:highlight w:val="none"/>
              </w:rPr>
              <w:t>-1</w:t>
            </w:r>
            <w:r>
              <w:rPr>
                <w:rFonts w:hint="default" w:ascii="宋体" w:hAnsi="宋体" w:cs="宋体"/>
                <w:color w:val="auto"/>
                <w:kern w:val="0"/>
                <w:szCs w:val="21"/>
                <w:highlight w:val="none"/>
              </w:rPr>
              <w:t>6</w:t>
            </w:r>
            <w:r>
              <w:rPr>
                <w:rFonts w:hint="eastAsia" w:ascii="宋体" w:hAnsi="宋体" w:cs="宋体"/>
                <w:color w:val="auto"/>
                <w:kern w:val="0"/>
                <w:szCs w:val="21"/>
                <w:highlight w:val="none"/>
              </w:rPr>
              <w:t>分）</w:t>
            </w:r>
          </w:p>
          <w:p>
            <w:pPr>
              <w:keepNext w:val="0"/>
              <w:keepLines w:val="0"/>
              <w:widowControl/>
              <w:suppressLineNumbers w:val="0"/>
              <w:snapToGrid w:val="0"/>
              <w:spacing w:before="0" w:beforeAutospacing="0" w:after="0" w:afterAutospacing="0"/>
              <w:ind w:left="-109" w:leftChars="-52" w:right="-105" w:rightChars="-5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16</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合理化建议是否可行，对项目特点难点准确把握、关键问题解决方案是否完整可行；优化设计是否能实现初步设计的各项指标且控制在工程概算内；新技术、新材料、新设备、新工艺的采用是否可行、可靠且经济等，如使用各类节能环保产品（如建筑垃圾再生产品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r>
              <w:rPr>
                <w:rFonts w:hint="eastAsia" w:ascii="宋体" w:hAnsi="宋体" w:cs="Calibri"/>
                <w:color w:val="auto"/>
                <w:szCs w:val="21"/>
                <w:highlight w:val="none"/>
              </w:rPr>
              <w:t>3</w:t>
            </w:r>
          </w:p>
        </w:tc>
        <w:tc>
          <w:tcPr>
            <w:tcW w:w="536" w:type="pct"/>
            <w:vMerge w:val="restar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施工组织设计（</w:t>
            </w:r>
            <w:r>
              <w:rPr>
                <w:rFonts w:hint="default" w:ascii="宋体" w:hAnsi="宋体" w:cs="宋体"/>
                <w:color w:val="auto"/>
                <w:kern w:val="0"/>
                <w:szCs w:val="21"/>
                <w:highlight w:val="none"/>
              </w:rPr>
              <w:t>42</w:t>
            </w:r>
            <w:r>
              <w:rPr>
                <w:rFonts w:hint="eastAsia" w:ascii="宋体" w:hAnsi="宋体" w:cs="宋体"/>
                <w:color w:val="auto"/>
                <w:kern w:val="0"/>
                <w:szCs w:val="21"/>
                <w:highlight w:val="none"/>
              </w:rPr>
              <w:t>-</w:t>
            </w:r>
            <w:r>
              <w:rPr>
                <w:rFonts w:hint="default" w:ascii="宋体" w:hAnsi="宋体" w:cs="宋体"/>
                <w:color w:val="auto"/>
                <w:kern w:val="0"/>
                <w:szCs w:val="21"/>
                <w:highlight w:val="none"/>
              </w:rPr>
              <w:t>54</w:t>
            </w:r>
            <w:r>
              <w:rPr>
                <w:rFonts w:hint="eastAsia" w:ascii="宋体" w:hAnsi="宋体" w:cs="宋体"/>
                <w:color w:val="auto"/>
                <w:kern w:val="0"/>
                <w:szCs w:val="21"/>
                <w:highlight w:val="none"/>
              </w:rPr>
              <w:t>分）</w:t>
            </w:r>
          </w:p>
          <w:p>
            <w:pPr>
              <w:keepNext w:val="0"/>
              <w:keepLines w:val="0"/>
              <w:widowControl/>
              <w:suppressLineNumbers w:val="0"/>
              <w:spacing w:before="0" w:beforeAutospacing="0" w:after="0" w:afterAutospacing="0"/>
              <w:ind w:left="-109" w:leftChars="-52" w:right="-105" w:rightChars="-5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52</w:t>
            </w:r>
            <w:r>
              <w:rPr>
                <w:rFonts w:hint="default" w:ascii="宋体" w:hAnsi="宋体" w:cs="宋体"/>
                <w:color w:val="auto"/>
                <w:kern w:val="0"/>
                <w:szCs w:val="21"/>
                <w:highlight w:val="none"/>
                <w:u w:val="single"/>
              </w:rPr>
              <w:t xml:space="preserve"> </w:t>
            </w:r>
          </w:p>
        </w:tc>
        <w:tc>
          <w:tcPr>
            <w:tcW w:w="1150" w:type="pc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施工方案与技术措施</w:t>
            </w:r>
          </w:p>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（9-12分）</w:t>
            </w:r>
          </w:p>
          <w:p>
            <w:pPr>
              <w:keepNext w:val="0"/>
              <w:keepLines w:val="0"/>
              <w:widowControl/>
              <w:suppressLineNumbers w:val="0"/>
              <w:spacing w:before="0" w:beforeAutospacing="0" w:after="0" w:afterAutospacing="0"/>
              <w:ind w:left="-109" w:leftChars="-52" w:right="-105" w:rightChars="-5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10</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对项目总体概况表述是否清晰、完整；部署及措施是否先进、可靠；针对项目的重点、难点分析是否透彻，解决方案是否切实可行；施工平面布置是否有针对性、合理，较好满足施工需要，是否符合安全、文明生产要求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质量管理体系与措施</w:t>
            </w:r>
          </w:p>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（9-12分）</w:t>
            </w:r>
          </w:p>
          <w:p>
            <w:pPr>
              <w:keepNext w:val="0"/>
              <w:keepLines w:val="0"/>
              <w:suppressLineNumbers w:val="0"/>
              <w:snapToGrid w:val="0"/>
              <w:spacing w:before="0" w:beforeAutospacing="0" w:after="0" w:afterAutospacing="0"/>
              <w:ind w:left="0" w:right="0"/>
              <w:jc w:val="left"/>
              <w:rPr>
                <w:rFonts w:hint="default" w:ascii="宋体" w:hAnsi="宋体" w:cs="宋体"/>
                <w:color w:val="auto"/>
                <w:kern w:val="0"/>
                <w:szCs w:val="21"/>
                <w:highlight w:val="none"/>
                <w:lang w:val="en-US"/>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12</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质量目标是否明确，是否优于招标文件的要求；管理机构是否健全，职责分工是否明确；管理制度是否齐全；实施与监控措施是否全面、有效等。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widowControl/>
              <w:suppressLineNumbers w:val="0"/>
              <w:spacing w:before="0" w:beforeAutospacing="0" w:after="0" w:afterAutospacing="0"/>
              <w:ind w:left="-109" w:leftChars="-52" w:right="-105" w:rightChars="-5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安全管理体系与措施</w:t>
            </w:r>
          </w:p>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（9-12分）</w:t>
            </w:r>
          </w:p>
          <w:p>
            <w:pPr>
              <w:keepNext w:val="0"/>
              <w:keepLines w:val="0"/>
              <w:suppressLineNumbers w:val="0"/>
              <w:snapToGrid w:val="0"/>
              <w:spacing w:before="0" w:beforeAutospacing="0" w:after="0" w:afterAutospacing="0"/>
              <w:ind w:left="0" w:right="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12</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安全目标是否明确，是否优于招标文件的要求；管理机构是否健全，职责分工是否明确；管理制度是否齐全；实施与监控措施是否全面、有效等。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环境保护管理体系与措施（</w:t>
            </w:r>
            <w:r>
              <w:rPr>
                <w:rFonts w:hint="default" w:ascii="宋体" w:hAnsi="宋体" w:cs="宋体"/>
                <w:color w:val="auto"/>
                <w:kern w:val="0"/>
                <w:szCs w:val="21"/>
                <w:highlight w:val="none"/>
              </w:rPr>
              <w:t>6</w:t>
            </w:r>
            <w:r>
              <w:rPr>
                <w:rFonts w:hint="eastAsia" w:ascii="宋体" w:hAnsi="宋体" w:cs="宋体"/>
                <w:color w:val="auto"/>
                <w:kern w:val="0"/>
                <w:szCs w:val="21"/>
                <w:highlight w:val="none"/>
              </w:rPr>
              <w:t>-</w:t>
            </w:r>
            <w:r>
              <w:rPr>
                <w:rFonts w:hint="default" w:ascii="宋体" w:hAnsi="宋体" w:cs="宋体"/>
                <w:color w:val="auto"/>
                <w:kern w:val="0"/>
                <w:szCs w:val="21"/>
                <w:highlight w:val="none"/>
              </w:rPr>
              <w:t>7</w:t>
            </w:r>
            <w:r>
              <w:rPr>
                <w:rFonts w:hint="eastAsia" w:ascii="宋体" w:hAnsi="宋体" w:cs="宋体"/>
                <w:color w:val="auto"/>
                <w:kern w:val="0"/>
                <w:szCs w:val="21"/>
                <w:highlight w:val="none"/>
              </w:rPr>
              <w:t>分）</w:t>
            </w:r>
          </w:p>
          <w:p>
            <w:pPr>
              <w:keepNext w:val="0"/>
              <w:keepLines w:val="0"/>
              <w:suppressLineNumbers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7</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环境管理目标是否明确，是否优于招标文件的要求；管理机构是否健全，职责分工是否明确；管理制度是否齐全；实施与监控措施是否全面、有效等。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工程进度计划与保证措施（</w:t>
            </w:r>
            <w:r>
              <w:rPr>
                <w:rFonts w:hint="default" w:ascii="宋体" w:hAnsi="宋体" w:cs="宋体"/>
                <w:color w:val="auto"/>
                <w:kern w:val="0"/>
                <w:szCs w:val="21"/>
                <w:highlight w:val="none"/>
              </w:rPr>
              <w:t>6</w:t>
            </w:r>
            <w:r>
              <w:rPr>
                <w:rFonts w:hint="eastAsia" w:ascii="宋体" w:hAnsi="宋体" w:cs="宋体"/>
                <w:color w:val="auto"/>
                <w:kern w:val="0"/>
                <w:szCs w:val="21"/>
                <w:highlight w:val="none"/>
              </w:rPr>
              <w:t>-</w:t>
            </w:r>
            <w:r>
              <w:rPr>
                <w:rFonts w:hint="default" w:ascii="宋体" w:hAnsi="宋体" w:cs="宋体"/>
                <w:color w:val="auto"/>
                <w:kern w:val="0"/>
                <w:szCs w:val="21"/>
                <w:highlight w:val="none"/>
              </w:rPr>
              <w:t>7</w:t>
            </w:r>
            <w:r>
              <w:rPr>
                <w:rFonts w:hint="eastAsia" w:ascii="宋体" w:hAnsi="宋体" w:cs="宋体"/>
                <w:color w:val="auto"/>
                <w:kern w:val="0"/>
                <w:szCs w:val="21"/>
                <w:highlight w:val="none"/>
              </w:rPr>
              <w:t>分）</w:t>
            </w:r>
          </w:p>
          <w:p>
            <w:pPr>
              <w:keepNext w:val="0"/>
              <w:keepLines w:val="0"/>
              <w:suppressLineNumbers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7</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总工期及节点工期是否满足招标文件要求；施工进度计划内容是否全面，线路是否清晰、准确、完整，计划编制是否合理、可行；措施是否有力、合理、可行等。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p>
        </w:tc>
        <w:tc>
          <w:tcPr>
            <w:tcW w:w="1150" w:type="pc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资源配备计划           （</w:t>
            </w:r>
            <w:r>
              <w:rPr>
                <w:rFonts w:hint="default" w:ascii="宋体" w:hAnsi="宋体" w:cs="宋体"/>
                <w:color w:val="auto"/>
                <w:kern w:val="0"/>
                <w:szCs w:val="21"/>
                <w:highlight w:val="none"/>
              </w:rPr>
              <w:t>3</w:t>
            </w:r>
            <w:r>
              <w:rPr>
                <w:rFonts w:hint="eastAsia" w:ascii="宋体" w:hAnsi="宋体" w:cs="宋体"/>
                <w:color w:val="auto"/>
                <w:kern w:val="0"/>
                <w:szCs w:val="21"/>
                <w:highlight w:val="none"/>
              </w:rPr>
              <w:t>-</w:t>
            </w:r>
            <w:r>
              <w:rPr>
                <w:rFonts w:hint="default" w:ascii="宋体" w:hAnsi="宋体" w:cs="宋体"/>
                <w:color w:val="auto"/>
                <w:kern w:val="0"/>
                <w:szCs w:val="21"/>
                <w:highlight w:val="none"/>
              </w:rPr>
              <w:t>4</w:t>
            </w:r>
            <w:r>
              <w:rPr>
                <w:rFonts w:hint="eastAsia" w:ascii="宋体" w:hAnsi="宋体" w:cs="宋体"/>
                <w:color w:val="auto"/>
                <w:kern w:val="0"/>
                <w:szCs w:val="21"/>
                <w:highlight w:val="none"/>
              </w:rPr>
              <w:t>分）</w:t>
            </w:r>
          </w:p>
          <w:p>
            <w:pPr>
              <w:keepNext w:val="0"/>
              <w:keepLines w:val="0"/>
              <w:suppressLineNumbers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rPr>
              <w:t xml:space="preserve"> </w:t>
            </w:r>
            <w:r>
              <w:rPr>
                <w:rFonts w:hint="default"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4</w:t>
            </w:r>
            <w:r>
              <w:rPr>
                <w:rFonts w:hint="default" w:ascii="宋体" w:hAnsi="宋体" w:cs="宋体"/>
                <w:color w:val="auto"/>
                <w:kern w:val="0"/>
                <w:szCs w:val="21"/>
                <w:highlight w:val="none"/>
                <w:u w:val="single"/>
              </w:rPr>
              <w:t xml:space="preserve"> </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资源投入计划、施工部署、施工方法与进度计划是否能够相互呼应并较好的满足施工需要；调配投入计划是否合理、准确等。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r>
              <w:rPr>
                <w:rFonts w:hint="eastAsia" w:ascii="宋体" w:hAnsi="宋体" w:cs="Calibri"/>
                <w:color w:val="auto"/>
                <w:szCs w:val="21"/>
                <w:highlight w:val="none"/>
              </w:rPr>
              <w:t>4</w:t>
            </w:r>
          </w:p>
        </w:tc>
        <w:tc>
          <w:tcPr>
            <w:tcW w:w="53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bCs/>
                <w:color w:val="auto"/>
                <w:kern w:val="0"/>
                <w:szCs w:val="21"/>
                <w:highlight w:val="none"/>
              </w:rPr>
            </w:pPr>
            <w:r>
              <w:rPr>
                <w:rFonts w:hint="eastAsia" w:ascii="宋体" w:hAnsi="宋体" w:cs="宋体"/>
                <w:bCs/>
                <w:color w:val="auto"/>
                <w:kern w:val="0"/>
                <w:szCs w:val="21"/>
                <w:highlight w:val="none"/>
              </w:rPr>
              <w:t>建筑信息模型及其他（0-1</w:t>
            </w:r>
            <w:r>
              <w:rPr>
                <w:rFonts w:hint="default" w:ascii="宋体" w:hAnsi="宋体" w:cs="宋体"/>
                <w:bCs/>
                <w:color w:val="auto"/>
                <w:kern w:val="0"/>
                <w:szCs w:val="21"/>
                <w:highlight w:val="none"/>
              </w:rPr>
              <w:t>8</w:t>
            </w:r>
            <w:r>
              <w:rPr>
                <w:rFonts w:hint="eastAsia" w:ascii="宋体" w:hAnsi="宋体" w:cs="宋体"/>
                <w:bCs/>
                <w:color w:val="auto"/>
                <w:kern w:val="0"/>
                <w:szCs w:val="21"/>
                <w:highlight w:val="none"/>
              </w:rPr>
              <w:t>分）</w:t>
            </w:r>
          </w:p>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r>
              <w:rPr>
                <w:rFonts w:hint="eastAsia" w:ascii="宋体" w:hAnsi="宋体" w:cs="宋体"/>
                <w:color w:val="auto"/>
                <w:kern w:val="0"/>
                <w:szCs w:val="21"/>
                <w:highlight w:val="none"/>
              </w:rPr>
              <w:t>本项目分值为</w:t>
            </w:r>
            <w:r>
              <w:rPr>
                <w:rFonts w:hint="eastAsia" w:ascii="宋体" w:hAnsi="宋体" w:cs="宋体"/>
                <w:color w:val="auto"/>
                <w:kern w:val="0"/>
                <w:szCs w:val="21"/>
                <w:highlight w:val="none"/>
                <w:u w:val="single"/>
                <w:lang w:val="en-US" w:eastAsia="zh-CN"/>
              </w:rPr>
              <w:t>0分</w:t>
            </w:r>
          </w:p>
        </w:tc>
        <w:tc>
          <w:tcPr>
            <w:tcW w:w="1150" w:type="pct"/>
            <w:noWrap w:val="0"/>
            <w:vAlign w:val="center"/>
          </w:tcPr>
          <w:p>
            <w:pPr>
              <w:keepNext w:val="0"/>
              <w:keepLines w:val="0"/>
              <w:widowControl/>
              <w:suppressLineNumbers w:val="0"/>
              <w:snapToGrid w:val="0"/>
              <w:spacing w:before="0" w:beforeAutospacing="0" w:after="0" w:afterAutospacing="0"/>
              <w:ind w:left="-99" w:leftChars="-47" w:right="-101" w:rightChars="-48"/>
              <w:jc w:val="center"/>
              <w:rPr>
                <w:rFonts w:hint="eastAsia" w:ascii="宋体" w:hAnsi="宋体" w:cs="宋体"/>
                <w:bCs/>
                <w:color w:val="auto"/>
                <w:kern w:val="0"/>
                <w:szCs w:val="21"/>
                <w:highlight w:val="none"/>
              </w:rPr>
            </w:pPr>
            <w:r>
              <w:rPr>
                <w:rFonts w:hint="eastAsia" w:ascii="宋体" w:hAnsi="宋体" w:cs="宋体"/>
                <w:bCs/>
                <w:color w:val="auto"/>
                <w:kern w:val="0"/>
                <w:szCs w:val="21"/>
                <w:highlight w:val="none"/>
              </w:rPr>
              <w:t>BIM技术应用                 （0-10分）</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纳入评审，本项目分值为</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rPr>
              <w:t xml:space="preserve"> </w:t>
            </w:r>
          </w:p>
          <w:p>
            <w:pPr>
              <w:keepNext w:val="0"/>
              <w:keepLines w:val="0"/>
              <w:widowControl/>
              <w:suppressLineNumbers w:val="0"/>
              <w:snapToGrid w:val="0"/>
              <w:spacing w:before="0" w:beforeAutospacing="0" w:after="0" w:afterAutospacing="0"/>
              <w:ind w:left="-99" w:leftChars="-47" w:right="-101" w:rightChars="-48"/>
              <w:jc w:val="left"/>
              <w:rPr>
                <w:rFonts w:hint="default" w:ascii="宋体" w:hAnsi="宋体" w:cs="Calibri"/>
                <w:color w:val="auto"/>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不纳入评审</w:t>
            </w:r>
          </w:p>
        </w:tc>
        <w:tc>
          <w:tcPr>
            <w:tcW w:w="2252" w:type="pc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BIM技术应用管理体系健全、管理制度、保障措施是否齐全；BIM应用流程与计划是否完整、有效；重点工艺节点及施工流程BIM三维模型是否科学、合理等。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09"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23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53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Calibri"/>
                <w:color w:val="auto"/>
                <w:szCs w:val="21"/>
                <w:highlight w:val="none"/>
              </w:rPr>
            </w:pPr>
          </w:p>
        </w:tc>
        <w:tc>
          <w:tcPr>
            <w:tcW w:w="1150" w:type="pc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其他（0-</w:t>
            </w:r>
            <w:r>
              <w:rPr>
                <w:rFonts w:hint="default" w:ascii="宋体" w:hAnsi="宋体" w:cs="宋体"/>
                <w:bCs/>
                <w:color w:val="auto"/>
                <w:kern w:val="0"/>
                <w:szCs w:val="21"/>
                <w:highlight w:val="none"/>
              </w:rPr>
              <w:t>8</w:t>
            </w:r>
            <w:r>
              <w:rPr>
                <w:rFonts w:hint="eastAsia" w:ascii="宋体" w:hAnsi="宋体" w:cs="宋体"/>
                <w:bCs/>
                <w:color w:val="auto"/>
                <w:kern w:val="0"/>
                <w:szCs w:val="21"/>
                <w:highlight w:val="none"/>
              </w:rPr>
              <w:t>分）</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纳入评审，本项目分值为</w:t>
            </w:r>
            <w:r>
              <w:rPr>
                <w:rFonts w:hint="eastAsia" w:ascii="宋体" w:hAnsi="宋体" w:cs="宋体"/>
                <w:color w:val="auto"/>
                <w:kern w:val="0"/>
                <w:szCs w:val="21"/>
                <w:highlight w:val="none"/>
                <w:u w:val="single"/>
                <w:lang w:val="en-US" w:eastAsia="zh-CN"/>
              </w:rPr>
              <w:t>/</w:t>
            </w:r>
            <w:r>
              <w:rPr>
                <w:rFonts w:hint="default" w:ascii="宋体" w:hAnsi="宋体" w:cs="宋体"/>
                <w:color w:val="auto"/>
                <w:kern w:val="0"/>
                <w:szCs w:val="21"/>
                <w:highlight w:val="none"/>
                <w:u w:val="single"/>
              </w:rPr>
              <w:t xml:space="preserve"> </w:t>
            </w:r>
          </w:p>
          <w:p>
            <w:pPr>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不纳入评审</w:t>
            </w:r>
          </w:p>
        </w:tc>
        <w:tc>
          <w:tcPr>
            <w:tcW w:w="2252"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r>
              <w:rPr>
                <w:rFonts w:hint="eastAsia" w:ascii="宋体" w:hAnsi="宋体" w:cs="宋体"/>
                <w:color w:val="auto"/>
                <w:kern w:val="0"/>
                <w:szCs w:val="21"/>
                <w:highlight w:val="none"/>
              </w:rPr>
              <w:t>招标人其他要求（如有）</w:t>
            </w:r>
          </w:p>
        </w:tc>
        <w:tc>
          <w:tcPr>
            <w:tcW w:w="423" w:type="pct"/>
            <w:noWrap w:val="0"/>
            <w:vAlign w:val="center"/>
          </w:tcPr>
          <w:p>
            <w:pPr>
              <w:keepNext w:val="0"/>
              <w:keepLines w:val="0"/>
              <w:suppressLineNumbers w:val="0"/>
              <w:snapToGrid w:val="0"/>
              <w:spacing w:before="0" w:beforeAutospacing="0" w:after="0" w:afterAutospacing="0"/>
              <w:ind w:left="0" w:right="0"/>
              <w:jc w:val="left"/>
              <w:rPr>
                <w:rFonts w:hint="default" w:ascii="宋体" w:hAnsi="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000" w:type="pct"/>
            <w:gridSpan w:val="6"/>
            <w:noWrap w:val="0"/>
            <w:vAlign w:val="center"/>
          </w:tcPr>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宋体" w:hAnsi="宋体" w:cs="Calibri"/>
                <w:color w:val="auto"/>
                <w:highlight w:val="none"/>
              </w:rPr>
            </w:pPr>
            <w:r>
              <w:rPr>
                <w:rFonts w:hint="eastAsia" w:ascii="宋体" w:hAnsi="宋体" w:cs="Calibri"/>
                <w:color w:val="auto"/>
                <w:highlight w:val="none"/>
              </w:rPr>
              <w:t>注：</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1.技术方案评审标准编制要求</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1.1招标人应根据项目的特点在分值范围内设置各评审项目的具体分值，各项分值之和为100分；</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1.2计分表中的评审标准为通用模板，招标人可根据项目的实际情况在评审标准的招标人其他要求中进行补充；</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1.3专业工程、园林绿化工程招标时，招标人可根据项目实际情况对评审计分表中的评审项目、评审标准进行适当调整；</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2.技术方案评审要求</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2.1由评标委员会独立评审计分。</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2.2投标文件的“技术方案暗标”内出现投标人名称或者出现任何能直接判断出投标人名称的内容的，技术方案评审计零分。</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宋体"/>
                <w:color w:val="auto"/>
                <w:highlight w:val="none"/>
              </w:rPr>
            </w:pPr>
            <w:r>
              <w:rPr>
                <w:rFonts w:hint="eastAsia" w:ascii="宋体" w:hAnsi="宋体" w:cs="宋体"/>
                <w:color w:val="auto"/>
                <w:highlight w:val="none"/>
              </w:rPr>
              <w:t>2.3技术方案缺失某项评审项目的，该项计零分；</w:t>
            </w:r>
          </w:p>
          <w:p>
            <w:pPr>
              <w:keepNext w:val="0"/>
              <w:keepLines w:val="0"/>
              <w:suppressLineNumbers w:val="0"/>
              <w:snapToGrid w:val="0"/>
              <w:spacing w:before="0" w:beforeAutospacing="0" w:after="0" w:afterAutospacing="0" w:line="360" w:lineRule="auto"/>
              <w:ind w:left="0" w:right="0" w:firstLine="420" w:firstLineChars="200"/>
              <w:jc w:val="left"/>
              <w:rPr>
                <w:rFonts w:hint="default" w:ascii="宋体" w:hAnsi="宋体" w:cs="宋体"/>
                <w:color w:val="auto"/>
                <w:highlight w:val="none"/>
              </w:rPr>
            </w:pPr>
            <w:r>
              <w:rPr>
                <w:rFonts w:hint="eastAsia" w:ascii="宋体" w:hAnsi="宋体" w:cs="宋体"/>
                <w:color w:val="auto"/>
                <w:highlight w:val="none"/>
              </w:rPr>
              <w:t>2.4评标委员会成员对单项评审项目评审应当在规定的区间内计分，评标委员会成员对各项因素的评分不得低于招标文件规定该因素满分值的80%；评分低于满分值85%的或高于满分分值95%的，评标委员会成员应当在评标报告中作出说明。</w:t>
            </w:r>
          </w:p>
          <w:p>
            <w:pPr>
              <w:keepNext w:val="0"/>
              <w:keepLines w:val="0"/>
              <w:suppressLineNumbers w:val="0"/>
              <w:snapToGrid w:val="0"/>
              <w:spacing w:before="0" w:beforeAutospacing="0" w:after="0" w:afterAutospacing="0" w:line="360" w:lineRule="auto"/>
              <w:ind w:left="0" w:right="0" w:firstLine="420" w:firstLineChars="200"/>
              <w:jc w:val="left"/>
              <w:rPr>
                <w:rFonts w:hint="eastAsia" w:ascii="宋体" w:hAnsi="宋体" w:cs="Calibri"/>
                <w:color w:val="auto"/>
                <w:szCs w:val="21"/>
                <w:highlight w:val="none"/>
              </w:rPr>
            </w:pPr>
            <w:r>
              <w:rPr>
                <w:rFonts w:hint="eastAsia" w:ascii="宋体" w:hAnsi="宋体" w:cs="宋体"/>
                <w:color w:val="auto"/>
                <w:highlight w:val="none"/>
              </w:rPr>
              <w:t>2.5技术方案第1项和第4项为</w:t>
            </w:r>
            <w:r>
              <w:rPr>
                <w:rFonts w:hint="default" w:ascii="宋体" w:hAnsi="宋体" w:cs="宋体"/>
                <w:color w:val="auto"/>
                <w:highlight w:val="none"/>
              </w:rPr>
              <w:t>全体评标委员会成员</w:t>
            </w:r>
            <w:r>
              <w:rPr>
                <w:rFonts w:hint="eastAsia" w:ascii="宋体" w:hAnsi="宋体" w:cs="宋体"/>
                <w:color w:val="auto"/>
                <w:highlight w:val="none"/>
              </w:rPr>
              <w:t>的评审计分去掉一个最高分和一个最低分后的算术平均值。第2项设计方案、第3项施工组织设计分组评审时，第2项、第3项得分分别为该组成员评审计分去掉一个最高分和一个最低分后的算术平均值，其中参与评分</w:t>
            </w:r>
            <w:r>
              <w:rPr>
                <w:rFonts w:hint="default" w:ascii="宋体" w:hAnsi="宋体" w:cs="宋体"/>
                <w:color w:val="auto"/>
                <w:highlight w:val="none"/>
              </w:rPr>
              <w:t>的</w:t>
            </w:r>
            <w:r>
              <w:rPr>
                <w:rFonts w:hint="eastAsia" w:ascii="宋体" w:hAnsi="宋体" w:cs="宋体"/>
                <w:color w:val="auto"/>
                <w:highlight w:val="none"/>
              </w:rPr>
              <w:t>成</w:t>
            </w:r>
            <w:r>
              <w:rPr>
                <w:rFonts w:hint="default" w:ascii="宋体" w:hAnsi="宋体" w:cs="宋体"/>
                <w:color w:val="auto"/>
                <w:highlight w:val="none"/>
              </w:rPr>
              <w:t>员</w:t>
            </w:r>
            <w:r>
              <w:rPr>
                <w:rFonts w:hint="eastAsia" w:ascii="宋体" w:hAnsi="宋体" w:cs="宋体"/>
                <w:color w:val="auto"/>
                <w:highlight w:val="none"/>
              </w:rPr>
              <w:t>人数少于或等于5人的，不去掉最高分和最低分。</w:t>
            </w:r>
          </w:p>
        </w:tc>
      </w:tr>
    </w:tbl>
    <w:p>
      <w:pPr>
        <w:spacing w:line="400" w:lineRule="exact"/>
        <w:rPr>
          <w:color w:val="auto"/>
          <w:highlight w:val="none"/>
        </w:rPr>
      </w:pPr>
      <w:r>
        <w:rPr>
          <w:color w:val="auto"/>
          <w:highlight w:val="none"/>
        </w:rPr>
        <w:br w:type="page"/>
      </w:r>
      <w:r>
        <w:rPr>
          <w:color w:val="auto"/>
          <w:szCs w:val="21"/>
          <w:highlight w:val="none"/>
        </w:rPr>
        <w:t>承前页：</w:t>
      </w:r>
      <w:r>
        <w:rPr>
          <w:color w:val="auto"/>
          <w:highlight w:val="none"/>
        </w:rPr>
        <w:t xml:space="preserve"> </w:t>
      </w:r>
    </w:p>
    <w:tbl>
      <w:tblPr>
        <w:tblStyle w:val="47"/>
        <w:tblW w:w="10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427"/>
        <w:gridCol w:w="207"/>
        <w:gridCol w:w="436"/>
        <w:gridCol w:w="700"/>
        <w:gridCol w:w="562"/>
        <w:gridCol w:w="627"/>
        <w:gridCol w:w="209"/>
        <w:gridCol w:w="2962"/>
        <w:gridCol w:w="1181"/>
        <w:gridCol w:w="692"/>
        <w:gridCol w:w="693"/>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2"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427"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43" w:type="dxa"/>
            <w:gridSpan w:val="3"/>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56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最高       分值</w:t>
            </w:r>
          </w:p>
        </w:tc>
        <w:tc>
          <w:tcPr>
            <w:tcW w:w="3798" w:type="dxa"/>
            <w:gridSpan w:val="3"/>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评审标准</w:t>
            </w:r>
          </w:p>
        </w:tc>
        <w:tc>
          <w:tcPr>
            <w:tcW w:w="1181"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选取方式</w:t>
            </w:r>
          </w:p>
        </w:tc>
        <w:tc>
          <w:tcPr>
            <w:tcW w:w="2099"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计分方式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b/>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b/>
                <w:color w:val="auto"/>
                <w:kern w:val="0"/>
                <w:szCs w:val="21"/>
                <w:highlight w:val="none"/>
              </w:rPr>
            </w:pPr>
          </w:p>
        </w:tc>
        <w:tc>
          <w:tcPr>
            <w:tcW w:w="1343" w:type="dxa"/>
            <w:gridSpan w:val="3"/>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b/>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b/>
                <w:color w:val="auto"/>
                <w:kern w:val="0"/>
                <w:szCs w:val="21"/>
                <w:highlight w:val="none"/>
              </w:rPr>
            </w:pPr>
          </w:p>
        </w:tc>
        <w:tc>
          <w:tcPr>
            <w:tcW w:w="836"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类别</w:t>
            </w:r>
          </w:p>
        </w:tc>
        <w:tc>
          <w:tcPr>
            <w:tcW w:w="2962"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数量和分值</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b/>
                <w:color w:val="auto"/>
                <w:kern w:val="0"/>
                <w:szCs w:val="21"/>
                <w:highlight w:val="none"/>
              </w:rPr>
            </w:pPr>
          </w:p>
        </w:tc>
        <w:tc>
          <w:tcPr>
            <w:tcW w:w="692"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计分制</w:t>
            </w:r>
          </w:p>
        </w:tc>
        <w:tc>
          <w:tcPr>
            <w:tcW w:w="693"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最低分</w:t>
            </w:r>
          </w:p>
        </w:tc>
        <w:tc>
          <w:tcPr>
            <w:tcW w:w="714"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最高分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42" w:type="dxa"/>
            <w:vMerge w:val="restar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Calibri" w:hAnsi="Calibri" w:cs="Calibri"/>
                <w:color w:val="auto"/>
                <w:szCs w:val="21"/>
                <w:highlight w:val="none"/>
              </w:rPr>
              <w:t xml:space="preserve">1.2.1 </w:t>
            </w:r>
            <w:r>
              <w:rPr>
                <w:rFonts w:hint="default" w:ascii="Calibri" w:hAnsi="Calibri" w:cs="Calibri"/>
                <w:color w:val="auto"/>
                <w:szCs w:val="21"/>
                <w:highlight w:val="none"/>
              </w:rPr>
              <w:t>(</w:t>
            </w:r>
            <w:r>
              <w:rPr>
                <w:rFonts w:hint="eastAsia" w:ascii="Calibri" w:hAnsi="Calibri" w:cs="Calibri"/>
                <w:color w:val="auto"/>
                <w:szCs w:val="21"/>
                <w:highlight w:val="none"/>
              </w:rPr>
              <w:t>2</w:t>
            </w:r>
            <w:r>
              <w:rPr>
                <w:rFonts w:hint="default" w:ascii="Calibri" w:hAnsi="Calibri" w:cs="Calibri"/>
                <w:color w:val="auto"/>
                <w:szCs w:val="21"/>
                <w:highlight w:val="none"/>
              </w:rPr>
              <w:t>)</w:t>
            </w:r>
          </w:p>
        </w:tc>
        <w:tc>
          <w:tcPr>
            <w:tcW w:w="9410" w:type="dxa"/>
            <w:gridSpan w:val="12"/>
            <w:noWrap w:val="0"/>
            <w:vAlign w:val="center"/>
          </w:tcPr>
          <w:p>
            <w:pPr>
              <w:keepNext w:val="0"/>
              <w:keepLines w:val="0"/>
              <w:widowControl/>
              <w:suppressLineNumbers w:val="0"/>
              <w:spacing w:before="0" w:beforeAutospacing="0" w:after="0" w:afterAutospacing="0"/>
              <w:ind w:left="0" w:right="-134" w:rightChars="-64"/>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企业资信及履约能力评审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restar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w:t>
            </w:r>
          </w:p>
        </w:tc>
        <w:tc>
          <w:tcPr>
            <w:tcW w:w="643" w:type="dxa"/>
            <w:gridSpan w:val="2"/>
            <w:vMerge w:val="restart"/>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 w:val="20"/>
                <w:szCs w:val="20"/>
                <w:highlight w:val="none"/>
              </w:rPr>
              <w:t>独立投标人或联合体牵头人</w:t>
            </w:r>
          </w:p>
        </w:tc>
        <w:tc>
          <w:tcPr>
            <w:tcW w:w="700"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财务</w:t>
            </w:r>
          </w:p>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状况</w:t>
            </w:r>
          </w:p>
        </w:tc>
        <w:tc>
          <w:tcPr>
            <w:tcW w:w="562"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3</w:t>
            </w:r>
          </w:p>
        </w:tc>
        <w:tc>
          <w:tcPr>
            <w:tcW w:w="836" w:type="dxa"/>
            <w:gridSpan w:val="2"/>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银行授</w:t>
            </w:r>
          </w:p>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信额度</w:t>
            </w:r>
          </w:p>
        </w:tc>
        <w:tc>
          <w:tcPr>
            <w:tcW w:w="2962" w:type="dxa"/>
            <w:noWrap w:val="0"/>
            <w:vAlign w:val="center"/>
          </w:tcPr>
          <w:p>
            <w:pPr>
              <w:keepNext w:val="0"/>
              <w:keepLines w:val="0"/>
              <w:widowControl/>
              <w:suppressLineNumbers w:val="0"/>
              <w:spacing w:before="0" w:beforeAutospacing="0" w:after="0" w:afterAutospacing="0" w:line="240" w:lineRule="exact"/>
              <w:ind w:left="-128" w:leftChars="-61" w:right="-143" w:rightChars="-68"/>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银行授信额度＞最高投标限价2倍时，得3分；</w:t>
            </w:r>
          </w:p>
          <w:p>
            <w:pPr>
              <w:keepNext w:val="0"/>
              <w:keepLines w:val="0"/>
              <w:widowControl/>
              <w:suppressLineNumbers w:val="0"/>
              <w:spacing w:before="0" w:beforeAutospacing="0" w:after="0" w:afterAutospacing="0" w:line="240" w:lineRule="exact"/>
              <w:ind w:left="-128" w:leftChars="-61" w:right="-143" w:rightChars="-68"/>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最高投标限价≤银行授信额度≤最高投标限价2倍时，得1.5分；</w:t>
            </w:r>
          </w:p>
          <w:p>
            <w:pPr>
              <w:keepNext w:val="0"/>
              <w:keepLines w:val="0"/>
              <w:widowControl/>
              <w:suppressLineNumbers w:val="0"/>
              <w:spacing w:before="0" w:beforeAutospacing="0" w:after="0" w:afterAutospacing="0" w:line="24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 w:val="20"/>
                <w:szCs w:val="20"/>
                <w:highlight w:val="none"/>
              </w:rPr>
              <w:t>银行授信额度＜最高投标限价时，得0分。</w:t>
            </w:r>
          </w:p>
        </w:tc>
        <w:tc>
          <w:tcPr>
            <w:tcW w:w="118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招标人根据项目规模及评标办法相关规定，确定是否纳入评审</w:t>
            </w:r>
          </w:p>
        </w:tc>
        <w:tc>
          <w:tcPr>
            <w:tcW w:w="692" w:type="dxa"/>
            <w:vMerge w:val="restart"/>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加分制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836" w:type="dxa"/>
            <w:gridSpan w:val="2"/>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资产</w:t>
            </w:r>
          </w:p>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u w:val="single"/>
              </w:rPr>
            </w:pPr>
            <w:r>
              <w:rPr>
                <w:rFonts w:hint="eastAsia" w:ascii="宋体" w:hAnsi="宋体" w:cs="宋体"/>
                <w:color w:val="auto"/>
                <w:kern w:val="0"/>
                <w:sz w:val="20"/>
                <w:szCs w:val="20"/>
                <w:highlight w:val="none"/>
              </w:rPr>
              <w:t>负债率</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资产负债率＜70%时，得3分；</w:t>
            </w:r>
          </w:p>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70%≤资产负债率≤80%时，得1.5分；</w:t>
            </w:r>
          </w:p>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Cs w:val="21"/>
                <w:highlight w:val="none"/>
                <w:u w:val="single"/>
              </w:rPr>
            </w:pPr>
            <w:r>
              <w:rPr>
                <w:rFonts w:hint="eastAsia" w:ascii="宋体" w:hAnsi="宋体" w:cs="宋体"/>
                <w:color w:val="auto"/>
                <w:kern w:val="0"/>
                <w:sz w:val="20"/>
                <w:szCs w:val="20"/>
                <w:highlight w:val="none"/>
              </w:rPr>
              <w:t>资产负债率＞80%时，得0分。</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836"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u w:val="single"/>
              </w:rPr>
            </w:pPr>
            <w:r>
              <w:rPr>
                <w:rFonts w:hint="eastAsia" w:ascii="宋体" w:hAnsi="宋体" w:cs="宋体"/>
                <w:color w:val="auto"/>
                <w:kern w:val="0"/>
                <w:sz w:val="20"/>
                <w:szCs w:val="20"/>
                <w:highlight w:val="none"/>
              </w:rPr>
              <w:t>净资产</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净资产＞最高投标限价2倍时，得3分；</w:t>
            </w:r>
          </w:p>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最高投标限价≤净资产≤最高投标限价2倍时，得1.5分；</w:t>
            </w:r>
          </w:p>
          <w:p>
            <w:pPr>
              <w:keepNext w:val="0"/>
              <w:keepLines w:val="0"/>
              <w:widowControl/>
              <w:suppressLineNumbers w:val="0"/>
              <w:spacing w:before="0" w:beforeAutospacing="0" w:after="0" w:afterAutospacing="0" w:line="240" w:lineRule="exact"/>
              <w:ind w:left="0" w:right="0"/>
              <w:jc w:val="left"/>
              <w:rPr>
                <w:rFonts w:hint="eastAsia" w:ascii="宋体" w:hAnsi="宋体" w:cs="宋体"/>
                <w:color w:val="auto"/>
                <w:kern w:val="0"/>
                <w:szCs w:val="21"/>
                <w:highlight w:val="none"/>
                <w:u w:val="single"/>
              </w:rPr>
            </w:pPr>
            <w:r>
              <w:rPr>
                <w:rFonts w:hint="eastAsia" w:ascii="宋体" w:hAnsi="宋体" w:cs="宋体"/>
                <w:color w:val="auto"/>
                <w:kern w:val="0"/>
                <w:sz w:val="20"/>
                <w:szCs w:val="20"/>
                <w:highlight w:val="none"/>
              </w:rPr>
              <w:t>净资产＜最高投标限价时，得0分。</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643" w:type="dxa"/>
            <w:gridSpan w:val="2"/>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bookmarkStart w:id="135" w:name="_Hlk63001888"/>
            <w:r>
              <w:rPr>
                <w:rFonts w:hint="eastAsia" w:ascii="宋体" w:hAnsi="宋体" w:cs="宋体"/>
                <w:color w:val="auto"/>
                <w:kern w:val="0"/>
                <w:sz w:val="20"/>
                <w:szCs w:val="20"/>
                <w:highlight w:val="none"/>
              </w:rPr>
              <w:t>独立投标人(设计资质)或联合体中设计单位</w:t>
            </w:r>
            <w:bookmarkEnd w:id="135"/>
          </w:p>
        </w:tc>
        <w:tc>
          <w:tcPr>
            <w:tcW w:w="700"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优良信息</w:t>
            </w:r>
          </w:p>
        </w:tc>
        <w:tc>
          <w:tcPr>
            <w:tcW w:w="562"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val="en-US"/>
              </w:rPr>
            </w:pPr>
            <w:r>
              <w:rPr>
                <w:rFonts w:hint="eastAsia" w:ascii="宋体" w:hAnsi="宋体" w:cs="宋体"/>
                <w:color w:val="auto"/>
                <w:kern w:val="0"/>
                <w:sz w:val="20"/>
                <w:szCs w:val="20"/>
                <w:highlight w:val="none"/>
                <w:lang w:val="en-US" w:eastAsia="zh-CN"/>
              </w:rPr>
              <w:t>0</w:t>
            </w:r>
          </w:p>
        </w:tc>
        <w:tc>
          <w:tcPr>
            <w:tcW w:w="836" w:type="dxa"/>
            <w:gridSpan w:val="2"/>
            <w:noWrap w:val="0"/>
            <w:vAlign w:val="center"/>
          </w:tcPr>
          <w:p>
            <w:pPr>
              <w:keepNext w:val="0"/>
              <w:keepLines w:val="0"/>
              <w:widowControl/>
              <w:suppressLineNumbers w:val="0"/>
              <w:spacing w:before="0" w:beforeAutospacing="0" w:after="0" w:afterAutospacing="0" w:line="240" w:lineRule="exact"/>
              <w:ind w:left="-181" w:leftChars="-86" w:right="-134" w:rightChars="-64"/>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国家级奖项</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国家级优秀工程设计奖，每个1.5分。</w:t>
            </w:r>
          </w:p>
        </w:tc>
        <w:tc>
          <w:tcPr>
            <w:tcW w:w="1181"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招标人根据项目规模及评标办法相关规定，确定是否纳入评审</w:t>
            </w:r>
          </w:p>
        </w:tc>
        <w:tc>
          <w:tcPr>
            <w:tcW w:w="692" w:type="dxa"/>
            <w:vMerge w:val="restart"/>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加分制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836"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省级奖项</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省级优秀工程设计奖，每个1分。</w:t>
            </w:r>
          </w:p>
        </w:tc>
        <w:tc>
          <w:tcPr>
            <w:tcW w:w="1181" w:type="dxa"/>
            <w:vMerge w:val="continue"/>
            <w:noWrap w:val="0"/>
            <w:vAlign w:val="center"/>
          </w:tcPr>
          <w:p>
            <w:pPr>
              <w:keepNext w:val="0"/>
              <w:keepLines w:val="0"/>
              <w:widowControl/>
              <w:suppressLineNumbers w:val="0"/>
              <w:spacing w:before="0" w:beforeAutospacing="0" w:after="0" w:afterAutospacing="0" w:line="240" w:lineRule="exact"/>
              <w:ind w:left="-181" w:leftChars="-86" w:right="-134" w:rightChars="-64"/>
              <w:jc w:val="center"/>
              <w:rPr>
                <w:rFonts w:hint="default"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类似工程业绩</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lang w:val="en-US" w:eastAsia="zh-CN"/>
              </w:rPr>
              <w:t>6</w:t>
            </w:r>
          </w:p>
        </w:tc>
        <w:tc>
          <w:tcPr>
            <w:tcW w:w="836"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业绩</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 w:val="20"/>
                <w:szCs w:val="20"/>
                <w:highlight w:val="none"/>
              </w:rPr>
              <w:t>设计业绩，每个3分。</w:t>
            </w:r>
          </w:p>
        </w:tc>
        <w:tc>
          <w:tcPr>
            <w:tcW w:w="1181" w:type="dxa"/>
            <w:noWrap w:val="0"/>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招标人根据项目特点确定是否纳入评审</w:t>
            </w:r>
          </w:p>
        </w:tc>
        <w:tc>
          <w:tcPr>
            <w:tcW w:w="692"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加分制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信用</w:t>
            </w:r>
          </w:p>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评价</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12</w:t>
            </w:r>
          </w:p>
        </w:tc>
        <w:tc>
          <w:tcPr>
            <w:tcW w:w="836"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设计招投标信用评价</w:t>
            </w:r>
          </w:p>
        </w:tc>
        <w:tc>
          <w:tcPr>
            <w:tcW w:w="2962" w:type="dxa"/>
            <w:noWrap w:val="0"/>
            <w:vAlign w:val="center"/>
          </w:tcPr>
          <w:p>
            <w:pPr>
              <w:keepNext w:val="0"/>
              <w:keepLines w:val="0"/>
              <w:suppressLineNumbers w:val="0"/>
              <w:spacing w:before="0" w:beforeAutospacing="0" w:after="0" w:afterAutospacing="0" w:line="240" w:lineRule="exact"/>
              <w:ind w:left="0" w:right="0"/>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独立投标人（设计资质）或联合体中设计单位获得的设计招标投标信用评价得分*12%。</w:t>
            </w:r>
          </w:p>
          <w:p>
            <w:pPr>
              <w:keepNext w:val="0"/>
              <w:keepLines w:val="0"/>
              <w:suppressLineNumbers w:val="0"/>
              <w:spacing w:before="0" w:beforeAutospacing="0" w:after="0" w:afterAutospacing="0" w:line="240" w:lineRule="exact"/>
              <w:ind w:left="0" w:right="0"/>
              <w:rPr>
                <w:rFonts w:hint="default" w:ascii="宋体" w:hAnsi="宋体" w:cs="Calibri"/>
                <w:color w:val="auto"/>
                <w:szCs w:val="21"/>
                <w:highlight w:val="none"/>
              </w:rPr>
            </w:pPr>
            <w:r>
              <w:rPr>
                <w:rFonts w:hint="eastAsia" w:ascii="宋体" w:hAnsi="宋体" w:cs="宋体"/>
                <w:color w:val="auto"/>
                <w:kern w:val="0"/>
                <w:sz w:val="20"/>
                <w:szCs w:val="20"/>
                <w:highlight w:val="none"/>
              </w:rPr>
              <w:t>设计单位信用评价结果未公布之前，按照不良行为记录扣分处理；严重不良行为记录每条扣6分，一般不良行为记录每条扣3分。列入省公管办或省住建厅发布的黑名单扣12分。</w:t>
            </w:r>
          </w:p>
        </w:tc>
        <w:tc>
          <w:tcPr>
            <w:tcW w:w="1181" w:type="dxa"/>
            <w:noWrap w:val="0"/>
            <w:vAlign w:val="center"/>
          </w:tcPr>
          <w:p>
            <w:pPr>
              <w:keepNext w:val="0"/>
              <w:keepLines w:val="0"/>
              <w:widowControl/>
              <w:suppressLineNumbers w:val="0"/>
              <w:spacing w:before="0" w:beforeAutospacing="0" w:after="0" w:afterAutospacing="0" w:line="240" w:lineRule="exact"/>
              <w:ind w:left="-80" w:leftChars="-38" w:right="-101" w:rightChars="-48"/>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必选项</w:t>
            </w:r>
          </w:p>
        </w:tc>
        <w:tc>
          <w:tcPr>
            <w:tcW w:w="692"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扣分制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default"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default" w:ascii="宋体" w:hAnsi="宋体" w:cs="宋体"/>
                <w:color w:val="auto"/>
                <w:kern w:val="0"/>
                <w:sz w:val="20"/>
                <w:szCs w:val="20"/>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643" w:type="dxa"/>
            <w:gridSpan w:val="2"/>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独立投标人(施工资质)或联合体中施工单位</w:t>
            </w:r>
          </w:p>
        </w:tc>
        <w:tc>
          <w:tcPr>
            <w:tcW w:w="700"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优良 信息</w:t>
            </w:r>
          </w:p>
        </w:tc>
        <w:tc>
          <w:tcPr>
            <w:tcW w:w="562"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val="en-US"/>
              </w:rPr>
            </w:pPr>
            <w:r>
              <w:rPr>
                <w:rFonts w:hint="eastAsia" w:ascii="宋体" w:hAnsi="宋体" w:cs="宋体"/>
                <w:color w:val="auto"/>
                <w:kern w:val="0"/>
                <w:sz w:val="20"/>
                <w:szCs w:val="20"/>
                <w:highlight w:val="none"/>
                <w:lang w:val="en-US" w:eastAsia="zh-CN"/>
              </w:rPr>
              <w:t>0</w:t>
            </w:r>
          </w:p>
        </w:tc>
        <w:tc>
          <w:tcPr>
            <w:tcW w:w="836"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国家级奖项</w:t>
            </w:r>
          </w:p>
        </w:tc>
        <w:tc>
          <w:tcPr>
            <w:tcW w:w="2962"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鲁班奖，每个2分；</w:t>
            </w:r>
          </w:p>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国家优质工程奖，每个1.</w:t>
            </w:r>
            <w:r>
              <w:rPr>
                <w:rFonts w:hint="default" w:ascii="宋体" w:hAnsi="宋体" w:cs="宋体"/>
                <w:color w:val="auto"/>
                <w:kern w:val="0"/>
                <w:sz w:val="20"/>
                <w:szCs w:val="20"/>
                <w:highlight w:val="none"/>
              </w:rPr>
              <w:t>7</w:t>
            </w:r>
            <w:r>
              <w:rPr>
                <w:rFonts w:hint="eastAsia" w:ascii="宋体" w:hAnsi="宋体" w:cs="宋体"/>
                <w:color w:val="auto"/>
                <w:kern w:val="0"/>
                <w:sz w:val="20"/>
                <w:szCs w:val="20"/>
                <w:highlight w:val="none"/>
              </w:rPr>
              <w:t>分；</w:t>
            </w:r>
          </w:p>
        </w:tc>
        <w:tc>
          <w:tcPr>
            <w:tcW w:w="118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招标人根据项目规模及评标办法相关规定，确定是否纳入评审</w:t>
            </w:r>
          </w:p>
        </w:tc>
        <w:tc>
          <w:tcPr>
            <w:tcW w:w="692" w:type="dxa"/>
            <w:vMerge w:val="restart"/>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加分制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700"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836" w:type="dxa"/>
            <w:gridSpan w:val="2"/>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省级奖项</w:t>
            </w:r>
          </w:p>
        </w:tc>
        <w:tc>
          <w:tcPr>
            <w:tcW w:w="2962"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芙蓉奖，每个1.5分；</w:t>
            </w:r>
          </w:p>
          <w:p>
            <w:pPr>
              <w:keepNext w:val="0"/>
              <w:keepLines w:val="0"/>
              <w:suppressLineNumbers w:val="0"/>
              <w:spacing w:before="0" w:beforeAutospacing="0" w:after="0" w:afterAutospacing="0" w:line="240" w:lineRule="exact"/>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省优质工程奖，每个1分；</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3"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70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56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lang w:val="en-US" w:eastAsia="zh-CN"/>
              </w:rPr>
              <w:t>0</w:t>
            </w:r>
          </w:p>
        </w:tc>
        <w:tc>
          <w:tcPr>
            <w:tcW w:w="836"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国家级标准化工地</w:t>
            </w:r>
          </w:p>
        </w:tc>
        <w:tc>
          <w:tcPr>
            <w:tcW w:w="2962" w:type="dxa"/>
            <w:noWrap w:val="0"/>
            <w:vAlign w:val="center"/>
          </w:tcPr>
          <w:p>
            <w:pPr>
              <w:keepNext w:val="0"/>
              <w:keepLines w:val="0"/>
              <w:suppressLineNumbers w:val="0"/>
              <w:spacing w:before="0" w:beforeAutospacing="0" w:after="0" w:afterAutospacing="0" w:line="240" w:lineRule="exact"/>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建设工程项目施工工</w:t>
            </w:r>
            <w:r>
              <w:rPr>
                <w:rFonts w:hint="default" w:ascii="宋体" w:hAnsi="宋体" w:cs="宋体"/>
                <w:color w:val="auto"/>
                <w:kern w:val="0"/>
                <w:sz w:val="20"/>
                <w:szCs w:val="20"/>
                <w:highlight w:val="none"/>
              </w:rPr>
              <w:t>地</w:t>
            </w:r>
            <w:r>
              <w:rPr>
                <w:rFonts w:hint="eastAsia" w:ascii="宋体" w:hAnsi="宋体" w:cs="宋体"/>
                <w:color w:val="auto"/>
                <w:kern w:val="0"/>
                <w:sz w:val="20"/>
                <w:szCs w:val="20"/>
                <w:highlight w:val="none"/>
              </w:rPr>
              <w:t>安全生产标准化学习</w:t>
            </w:r>
            <w:r>
              <w:rPr>
                <w:rFonts w:hint="default" w:ascii="宋体" w:hAnsi="宋体" w:cs="宋体"/>
                <w:color w:val="auto"/>
                <w:kern w:val="0"/>
                <w:sz w:val="20"/>
                <w:szCs w:val="20"/>
                <w:highlight w:val="none"/>
              </w:rPr>
              <w:t>交流项目</w:t>
            </w:r>
            <w:r>
              <w:rPr>
                <w:rFonts w:hint="eastAsia" w:ascii="宋体" w:hAnsi="宋体" w:cs="宋体"/>
                <w:color w:val="auto"/>
                <w:kern w:val="0"/>
                <w:sz w:val="20"/>
                <w:szCs w:val="20"/>
                <w:highlight w:val="none"/>
              </w:rPr>
              <w:t>，每个1分；</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700"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5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836"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省级标准化工地</w:t>
            </w:r>
          </w:p>
        </w:tc>
        <w:tc>
          <w:tcPr>
            <w:tcW w:w="2962"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省建筑施工质量管理标准化年度项目考评优良工地，每个0.1分；</w:t>
            </w:r>
          </w:p>
          <w:p>
            <w:pPr>
              <w:keepNext w:val="0"/>
              <w:keepLines w:val="0"/>
              <w:suppressLineNumbers w:val="0"/>
              <w:spacing w:before="0" w:beforeAutospacing="0" w:after="0" w:afterAutospacing="0" w:line="240" w:lineRule="exact"/>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省建筑施工安全生产标准化年度项目考评优良工地，每个0.1分。</w:t>
            </w:r>
          </w:p>
        </w:tc>
        <w:tc>
          <w:tcPr>
            <w:tcW w:w="1181"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3"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类似工程业绩</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6</w:t>
            </w:r>
          </w:p>
        </w:tc>
        <w:tc>
          <w:tcPr>
            <w:tcW w:w="83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业绩</w:t>
            </w:r>
          </w:p>
        </w:tc>
        <w:tc>
          <w:tcPr>
            <w:tcW w:w="29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施工业绩，每个3分。</w:t>
            </w:r>
          </w:p>
        </w:tc>
        <w:tc>
          <w:tcPr>
            <w:tcW w:w="1181" w:type="dxa"/>
            <w:noWrap w:val="0"/>
            <w:vAlign w:val="center"/>
          </w:tcPr>
          <w:p>
            <w:pPr>
              <w:keepNext w:val="0"/>
              <w:keepLines w:val="0"/>
              <w:suppressLineNumbers w:val="0"/>
              <w:spacing w:before="0" w:beforeAutospacing="0" w:after="0" w:afterAutospacing="0"/>
              <w:ind w:left="0" w:right="0"/>
              <w:jc w:val="center"/>
              <w:rPr>
                <w:rFonts w:hint="eastAsia" w:ascii="宋体" w:hAnsi="宋体" w:cs="Calibri"/>
                <w:color w:val="auto"/>
                <w:highlight w:val="none"/>
              </w:rPr>
            </w:pPr>
            <w:r>
              <w:rPr>
                <w:rFonts w:hint="eastAsia" w:ascii="宋体" w:hAnsi="宋体" w:cs="宋体"/>
                <w:color w:val="auto"/>
                <w:kern w:val="0"/>
                <w:sz w:val="20"/>
                <w:szCs w:val="20"/>
                <w:highlight w:val="none"/>
              </w:rPr>
              <w:t>招标人根据项目特点确定是否纳入评审</w:t>
            </w: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信用</w:t>
            </w:r>
          </w:p>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评价</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25</w:t>
            </w:r>
          </w:p>
        </w:tc>
        <w:tc>
          <w:tcPr>
            <w:tcW w:w="83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施工招投标信用评价</w:t>
            </w:r>
          </w:p>
        </w:tc>
        <w:tc>
          <w:tcPr>
            <w:tcW w:w="29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独立投标人(施工资质)或联合体中施工单位获得的施工招标投标信用评价得分*25%。</w:t>
            </w:r>
          </w:p>
        </w:tc>
        <w:tc>
          <w:tcPr>
            <w:tcW w:w="1181" w:type="dxa"/>
            <w:noWrap w:val="0"/>
            <w:vAlign w:val="center"/>
          </w:tcPr>
          <w:p>
            <w:pPr>
              <w:keepNext w:val="0"/>
              <w:keepLines w:val="0"/>
              <w:widowControl/>
              <w:suppressLineNumbers w:val="0"/>
              <w:spacing w:before="0" w:beforeAutospacing="0" w:after="0" w:afterAutospacing="0"/>
              <w:ind w:left="-80" w:leftChars="-38" w:right="-101" w:rightChars="-48"/>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必选项</w:t>
            </w: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现场评价</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25</w:t>
            </w:r>
          </w:p>
        </w:tc>
        <w:tc>
          <w:tcPr>
            <w:tcW w:w="83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现场安全质量管理评价</w:t>
            </w:r>
          </w:p>
        </w:tc>
        <w:tc>
          <w:tcPr>
            <w:tcW w:w="2962"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独立投标人(施工资质)或联合体中施工单位获得的现场安全质量管理评价得分*25%</w:t>
            </w:r>
          </w:p>
        </w:tc>
        <w:tc>
          <w:tcPr>
            <w:tcW w:w="1181" w:type="dxa"/>
            <w:noWrap w:val="0"/>
            <w:vAlign w:val="center"/>
          </w:tcPr>
          <w:p>
            <w:pPr>
              <w:keepNext w:val="0"/>
              <w:keepLines w:val="0"/>
              <w:widowControl/>
              <w:suppressLineNumbers w:val="0"/>
              <w:spacing w:before="0" w:beforeAutospacing="0" w:after="0" w:afterAutospacing="0"/>
              <w:ind w:left="-80" w:leftChars="-38" w:right="-101" w:rightChars="-48"/>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必选项</w:t>
            </w:r>
          </w:p>
        </w:tc>
        <w:tc>
          <w:tcPr>
            <w:tcW w:w="692" w:type="dxa"/>
            <w:vMerge w:val="continue"/>
            <w:noWrap w:val="0"/>
            <w:vAlign w:val="center"/>
          </w:tcPr>
          <w:p>
            <w:pPr>
              <w:keepNext w:val="0"/>
              <w:keepLines w:val="0"/>
              <w:widowControl/>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427"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643" w:type="dxa"/>
            <w:gridSpan w:val="2"/>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拟任工程总承包项目负责人</w:t>
            </w:r>
          </w:p>
        </w:tc>
        <w:tc>
          <w:tcPr>
            <w:tcW w:w="70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答辩</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lang w:val="en-US" w:eastAsia="zh-CN"/>
              </w:rPr>
              <w:t>0</w:t>
            </w:r>
          </w:p>
        </w:tc>
        <w:tc>
          <w:tcPr>
            <w:tcW w:w="3798" w:type="dxa"/>
            <w:gridSpan w:val="3"/>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阐述是否流畅、条理是否清晰、回答问题是否完整；答辩是否充分结合招标项目实际，是否具有较强的针对性。</w:t>
            </w:r>
          </w:p>
        </w:tc>
        <w:tc>
          <w:tcPr>
            <w:tcW w:w="1181"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招标人根据项目特点确定是否纳入评审</w:t>
            </w:r>
          </w:p>
        </w:tc>
        <w:tc>
          <w:tcPr>
            <w:tcW w:w="692" w:type="dxa"/>
            <w:noWrap w:val="0"/>
            <w:vAlign w:val="center"/>
          </w:tcPr>
          <w:p>
            <w:pPr>
              <w:keepNext w:val="0"/>
              <w:keepLines w:val="0"/>
              <w:widowControl/>
              <w:suppressLineNumbers w:val="0"/>
              <w:spacing w:before="0" w:beforeAutospacing="0" w:after="0" w:afterAutospacing="0"/>
              <w:ind w:left="-181" w:leftChars="-86" w:right="-134" w:rightChars="-64"/>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加分制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2"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42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643" w:type="dxa"/>
            <w:gridSpan w:val="2"/>
            <w:vMerge w:val="continue"/>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p>
        </w:tc>
        <w:tc>
          <w:tcPr>
            <w:tcW w:w="700" w:type="dxa"/>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 w:val="20"/>
                <w:szCs w:val="20"/>
                <w:highlight w:val="none"/>
              </w:rPr>
              <w:t>不良行为记录</w:t>
            </w:r>
          </w:p>
        </w:tc>
        <w:tc>
          <w:tcPr>
            <w:tcW w:w="562"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c>
          <w:tcPr>
            <w:tcW w:w="3798" w:type="dxa"/>
            <w:gridSpan w:val="3"/>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严重不良行为记录每条扣6分；</w:t>
            </w:r>
          </w:p>
          <w:p>
            <w:pPr>
              <w:keepNext w:val="0"/>
              <w:keepLines w:val="0"/>
              <w:widowControl/>
              <w:suppressLineNumbers w:val="0"/>
              <w:spacing w:before="0" w:beforeAutospacing="0" w:after="0" w:afterAutospacing="0"/>
              <w:ind w:left="0" w:right="0"/>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一般不良行为记录每条扣3分。</w:t>
            </w:r>
          </w:p>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列入省公管办或省住建厅发布的黑名单扣18分。</w:t>
            </w:r>
          </w:p>
        </w:tc>
        <w:tc>
          <w:tcPr>
            <w:tcW w:w="1181" w:type="dxa"/>
            <w:noWrap w:val="0"/>
            <w:vAlign w:val="center"/>
          </w:tcPr>
          <w:p>
            <w:pPr>
              <w:keepNext w:val="0"/>
              <w:keepLines w:val="0"/>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必选项</w:t>
            </w:r>
          </w:p>
        </w:tc>
        <w:tc>
          <w:tcPr>
            <w:tcW w:w="692" w:type="dxa"/>
            <w:noWrap w:val="0"/>
            <w:vAlign w:val="center"/>
          </w:tcPr>
          <w:p>
            <w:pPr>
              <w:keepNext w:val="0"/>
              <w:keepLines w:val="0"/>
              <w:suppressLineNumbers w:val="0"/>
              <w:spacing w:before="0" w:beforeAutospacing="0" w:after="0" w:afterAutospacing="0"/>
              <w:ind w:left="-181" w:leftChars="-86" w:right="-134" w:rightChars="-64"/>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扣分制</w:t>
            </w:r>
          </w:p>
        </w:tc>
        <w:tc>
          <w:tcPr>
            <w:tcW w:w="69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0"/>
                <w:szCs w:val="20"/>
                <w:highlight w:val="none"/>
              </w:rPr>
              <w:t>-18</w:t>
            </w:r>
          </w:p>
        </w:tc>
        <w:tc>
          <w:tcPr>
            <w:tcW w:w="714"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 w:val="20"/>
                <w:szCs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052" w:type="dxa"/>
            <w:gridSpan w:val="13"/>
            <w:noWrap w:val="0"/>
            <w:vAlign w:val="center"/>
          </w:tcPr>
          <w:p>
            <w:pPr>
              <w:keepNext w:val="0"/>
              <w:keepLines w:val="0"/>
              <w:suppressLineNumbers w:val="0"/>
              <w:spacing w:before="0" w:beforeAutospacing="0" w:after="0" w:afterAutospacing="0" w:line="310" w:lineRule="auto"/>
              <w:ind w:left="0" w:right="0"/>
              <w:rPr>
                <w:rFonts w:hint="default" w:ascii="仿宋_GB2312" w:hAnsi="宋体" w:eastAsia="仿宋_GB2312" w:cs="Calibri"/>
                <w:color w:val="auto"/>
                <w:sz w:val="24"/>
                <w:highlight w:val="none"/>
              </w:rPr>
            </w:pPr>
            <w:bookmarkStart w:id="136" w:name="_Hlk71704596"/>
            <w:bookmarkStart w:id="137" w:name="_Hlk71704579"/>
            <w:r>
              <w:rPr>
                <w:rFonts w:hint="eastAsia" w:ascii="仿宋_GB2312" w:hAnsi="宋体" w:eastAsia="仿宋_GB2312" w:cs="Calibri"/>
                <w:color w:val="auto"/>
                <w:sz w:val="24"/>
                <w:highlight w:val="none"/>
              </w:rPr>
              <w:t>注：</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1．财务状况：</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1.1  最高投标限价≥</w:t>
            </w:r>
            <w:r>
              <w:rPr>
                <w:rFonts w:hint="default" w:ascii="仿宋_GB2312" w:hAnsi="宋体" w:eastAsia="仿宋_GB2312" w:cs="Calibri"/>
                <w:color w:val="auto"/>
                <w:sz w:val="24"/>
                <w:highlight w:val="none"/>
              </w:rPr>
              <w:t>2</w:t>
            </w:r>
            <w:r>
              <w:rPr>
                <w:rFonts w:hint="eastAsia" w:ascii="仿宋_GB2312" w:hAnsi="宋体" w:eastAsia="仿宋_GB2312" w:cs="Calibri"/>
                <w:color w:val="auto"/>
                <w:sz w:val="24"/>
                <w:highlight w:val="none"/>
              </w:rPr>
              <w:t>0000万元的项目,银行授信额度和净资产两项评审因素应当列入评审计分范围；</w:t>
            </w:r>
            <w:r>
              <w:rPr>
                <w:rFonts w:hint="default" w:ascii="仿宋_GB2312" w:hAnsi="宋体" w:eastAsia="仿宋_GB2312" w:cs="Calibri"/>
                <w:color w:val="auto"/>
                <w:sz w:val="24"/>
                <w:highlight w:val="none"/>
              </w:rPr>
              <w:t>5</w:t>
            </w:r>
            <w:r>
              <w:rPr>
                <w:rFonts w:hint="eastAsia" w:ascii="仿宋_GB2312" w:hAnsi="宋体" w:eastAsia="仿宋_GB2312" w:cs="Calibri"/>
                <w:color w:val="auto"/>
                <w:sz w:val="24"/>
                <w:highlight w:val="none"/>
              </w:rPr>
              <w:t>000万元≤最高投标限价＜</w:t>
            </w:r>
            <w:r>
              <w:rPr>
                <w:rFonts w:hint="default" w:ascii="仿宋_GB2312" w:hAnsi="宋体" w:eastAsia="仿宋_GB2312" w:cs="Calibri"/>
                <w:color w:val="auto"/>
                <w:sz w:val="24"/>
                <w:highlight w:val="none"/>
              </w:rPr>
              <w:t>2</w:t>
            </w:r>
            <w:r>
              <w:rPr>
                <w:rFonts w:hint="eastAsia" w:ascii="仿宋_GB2312" w:hAnsi="宋体" w:eastAsia="仿宋_GB2312" w:cs="Calibri"/>
                <w:color w:val="auto"/>
                <w:sz w:val="24"/>
                <w:highlight w:val="none"/>
              </w:rPr>
              <w:t>0000万元的项目，招标人可根据项目实际情况选择银行授信额度、资产负债率和净资产中的一项或是多项评审因素列入评审计分范围；最高投标限价＜</w:t>
            </w:r>
            <w:r>
              <w:rPr>
                <w:rFonts w:hint="default" w:ascii="仿宋_GB2312" w:hAnsi="宋体" w:eastAsia="仿宋_GB2312" w:cs="Calibri"/>
                <w:color w:val="auto"/>
                <w:sz w:val="24"/>
                <w:highlight w:val="none"/>
              </w:rPr>
              <w:t>5</w:t>
            </w:r>
            <w:r>
              <w:rPr>
                <w:rFonts w:hint="eastAsia" w:ascii="仿宋_GB2312" w:hAnsi="宋体" w:eastAsia="仿宋_GB2312" w:cs="Calibri"/>
                <w:color w:val="auto"/>
                <w:sz w:val="24"/>
                <w:highlight w:val="none"/>
              </w:rPr>
              <w:t>000万元的项目，银行授信额度和净资产评审因素不得列入评审计分范围。</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1.2  银行授信额度以企业与银行签订有效的年度授信协议书为准，多家银行的年度授信额度不能累加计算；净资产及资产负债率以经审计的财务报表为准，具体见投标人须知前附表。</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2．优良信息：</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2.1选择规则</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2.1.1  最高投标限价≥20000万元的工程总承包项目、最高投标限价≥3000万元的专业工程总承包项目，应当将优良信息中的奖项和标准化工地全部列入评审计分范围（设计资质或联合体中设计单位国家级和省级奖项评审数量可由招标人根据项目实际情况从1-2个中进行选择，但国家级和省级奖项数量须保持一致；施工资质或联合体中施工单位国家级和省级奖项可由招标人根据项目实际情况从1-3个中进行选择，但国家级和省级奖项数量须保持一致；国家级标准化工地评审数量可由招标人根据项目实际情况从1-2个中进行选择；省建筑施工质量管理标准化年度项目考评优良工地评审数量可由招标人根据项目实际情况从10-20个中进行选择；省建筑施工安全生产标准化年度项目考评优良工地评审数量可由招标人根据项目实际情况从10-20个中进行选择，但质量管理、安全生产标准化工地评审数量应当保持一致）；</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2.1.2  5000万元≤最高投标限价＜20000万元的工程总承包项目、1000≤最高投标限价＜3000万元的专业工程总承包项目，优良信息中的奖项和标准化工地可以列入评审计分范围（设计资质或联合体中设计单位国家级和省级奖项评审数量可由招标人根据项目实际情况从0-2个中进行选择，但国家级和省级奖项数量须保持一致；施工资质或联合体中施工单位国家级和省级奖项可由招标人根据项目实际情况从0-3个中进行选择，但国家级和省级奖项数量须保持一致；国家级标准化工地评审数量可由招标人根据项目实际情况从0-2个中进行选择；省建筑施工质量管理标准化年度项目考评优良工地评审数量可由招标人根据项目实际情况从0-10个中进行选择；省建筑施工安全生产标准化年度项目考评优良工地评审数量可由招标人根据项目实际情况从0-10个中进行选择，但质量管理、安全生产标准化工地评审数量应当保持一致）；</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2.1.3  最高投标限价＜5000万元的工程总承包项目、最高投标限价＜1000万元的专业工程总承包项目，优良信息中的奖项和标准化工地均不得列入评审计分范围。</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2.2加分规则</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2.2.1  设计奖项</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招标人根据招标项目的特征明确设计奖项类别，招标项目为房屋建筑总承包工程的，对应优秀（公共）建筑设计、优秀传统建筑设计、优秀特色建筑设计、优秀住宅与住宅小区设计综合奖加分；招标项目为市政总承包工程的，对应优秀市政公用工程设计综合奖加分；招标项目为建筑智能化专业工程的，对应优秀建筑智能化专项奖加分；招标项目为园林绿化工程的，对应优秀园林景观设计专项奖加分。设计单位有两个及以上的，分别按照计分规则分值的1／2计取。</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2.2.2  施工奖项</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招标项目为房屋建筑总承包和市政总承包工程的，招标项目工程类型与获奖工程的工程类型不一致，则该获奖工程不予计分，即：房屋建筑工程招标不对获奖的市政基础设施工程计分，市政基础设施工程招标不对获奖的房屋建筑工程计分；以专业资质获得的奖项不予计分。承建单位有两个及以上的，分别按照计分规则分值的1／2计取。</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（2）招标项目为专业工程的，仅对以同专业资质获得的相应奖项计分。以总承包资质获得的奖项不予计分。</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2.2.3  标准化工地</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招标项目为房屋建筑总承包和市政总承包工程的，招标项目工程类型与标准化工地的工程类型不一致，则该标准化工地不予计分，即：房屋建筑工程招标不对获得标准化工地的市政基础设施工程计分，市政基础设施工程招标不对获得标准化工地的房屋建筑工程计分；以专业资质获得的标准化工地不予计分。</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（2）招标项目为专业工程的，仅对以同专业资质获得的相应标准化工地计分。以总承包资质获得的标准化工地不予计分。</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2.3  同一工程的奖项（含绿色建筑）、标准化工地加分规则</w:t>
            </w:r>
          </w:p>
          <w:p>
            <w:pPr>
              <w:keepNext w:val="0"/>
              <w:keepLines w:val="0"/>
              <w:suppressLineNumbers w:val="0"/>
              <w:spacing w:before="0" w:beforeAutospacing="0" w:after="0" w:afterAutospacing="0" w:line="310" w:lineRule="auto"/>
              <w:ind w:left="-103" w:leftChars="-49" w:right="0" w:firstLine="482" w:firstLineChars="201"/>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2.3.1  同一工程的设计奖项，仅按最高奖项（级）计算一次。</w:t>
            </w:r>
          </w:p>
          <w:p>
            <w:pPr>
              <w:keepNext w:val="0"/>
              <w:keepLines w:val="0"/>
              <w:suppressLineNumbers w:val="0"/>
              <w:spacing w:before="0" w:beforeAutospacing="0" w:after="0" w:afterAutospacing="0" w:line="310" w:lineRule="auto"/>
              <w:ind w:left="-103" w:leftChars="-49" w:right="0" w:firstLine="482" w:firstLineChars="201"/>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2.3.2  同一工程的施工奖项，仅按最高奖项（级）计算一次。</w:t>
            </w:r>
          </w:p>
          <w:p>
            <w:pPr>
              <w:keepNext w:val="0"/>
              <w:keepLines w:val="0"/>
              <w:suppressLineNumbers w:val="0"/>
              <w:spacing w:before="0" w:beforeAutospacing="0" w:after="0" w:afterAutospacing="0" w:line="310" w:lineRule="auto"/>
              <w:ind w:left="-103" w:leftChars="-49" w:right="0" w:firstLine="482" w:firstLineChars="201"/>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2.3.3  同一工程同时获得质量类和安全类标准化工地，应分别予以计分，但同一工程同时获得国家级、省级安全类标准化工地，仅按国家级标准化工地计分，不得同时计分。</w:t>
            </w:r>
          </w:p>
          <w:p>
            <w:pPr>
              <w:keepNext w:val="0"/>
              <w:keepLines w:val="0"/>
              <w:suppressLineNumbers w:val="0"/>
              <w:spacing w:before="0" w:beforeAutospacing="0" w:after="0" w:afterAutospacing="0" w:line="310" w:lineRule="auto"/>
              <w:ind w:left="-103" w:leftChars="-49" w:right="0" w:firstLine="482" w:firstLineChars="201"/>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2.4  绿色建筑加分规定</w:t>
            </w:r>
          </w:p>
          <w:p>
            <w:pPr>
              <w:keepNext w:val="0"/>
              <w:keepLines w:val="0"/>
              <w:suppressLineNumbers w:val="0"/>
              <w:spacing w:before="0" w:beforeAutospacing="0" w:after="0" w:afterAutospacing="0" w:line="310" w:lineRule="auto"/>
              <w:ind w:left="-103" w:leftChars="-49" w:right="0" w:firstLine="482" w:firstLineChars="201"/>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招标项目中包含绿色建筑内容或要求的，招标人可在国家级设计奖项中增加三星绿色建筑标识加分（每个1分），以住房和城乡建设部公布文件为准；可在省级设计奖项中增加二星绿色建筑标识加分（每个0.5分），以湖南省住房和城乡建设厅公布文件为准；可在省级施工奖项中增加省绿色施工工程加分（每个0.5分），以湖南省住房和城乡建设厅公布文件为准。增加绿色建筑标识、绿色施工工程加分后，国家级奖项和省级奖项规定的个数和最高分不变。</w:t>
            </w:r>
          </w:p>
          <w:p>
            <w:pPr>
              <w:keepNext w:val="0"/>
              <w:keepLines w:val="0"/>
              <w:suppressLineNumbers w:val="0"/>
              <w:spacing w:before="0" w:beforeAutospacing="0" w:after="0" w:afterAutospacing="0" w:line="310" w:lineRule="auto"/>
              <w:ind w:left="-103" w:leftChars="-49" w:right="0" w:firstLine="482" w:firstLineChars="201"/>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2.</w:t>
            </w:r>
            <w:r>
              <w:rPr>
                <w:rFonts w:hint="default" w:ascii="仿宋_GB2312" w:hAnsi="宋体" w:eastAsia="仿宋_GB2312" w:cs="Calibri"/>
                <w:color w:val="auto"/>
                <w:sz w:val="24"/>
                <w:highlight w:val="none"/>
              </w:rPr>
              <w:t>5</w:t>
            </w:r>
            <w:r>
              <w:rPr>
                <w:rFonts w:hint="eastAsia" w:ascii="仿宋_GB2312" w:hAnsi="宋体" w:eastAsia="仿宋_GB2312" w:cs="Calibri"/>
                <w:color w:val="auto"/>
                <w:sz w:val="24"/>
                <w:highlight w:val="none"/>
              </w:rPr>
              <w:t>园林绿化工程定义及加分规定</w:t>
            </w:r>
          </w:p>
          <w:p>
            <w:pPr>
              <w:keepNext w:val="0"/>
              <w:keepLines w:val="0"/>
              <w:suppressLineNumbers w:val="0"/>
              <w:spacing w:before="0" w:beforeAutospacing="0" w:after="0" w:afterAutospacing="0" w:line="310" w:lineRule="auto"/>
              <w:ind w:left="0" w:right="0" w:firstLine="480" w:firstLineChars="200"/>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本办法所称园林绿化工程的定义按照住房城乡建设部《园林绿化工程建设管理规定》（建城〔2017〕251号）相关条款执行。园林绿化工程招标时，应在招标文件载明其属于园林绿化工程，招标人不得将具备原城市园林绿化企业资质、市政公用工程施工总承包资质、建筑工程施工总承包资质等其他企业资质作为园林绿化工程投标人资格条件；国家级施工奖项仅对中国人居环境范例奖（园林绿化获奖项目）加分（每个2分），以住房和城乡建设部公布文件为准；省级施工奖项仅对湖南省园林绿化优质工程加分（每个1分），以湖南省园林绿化协会公布文件为准。国家级、省级奖项规定的个数和对应最高分不变；标准化工地均不加分。</w:t>
            </w:r>
          </w:p>
          <w:p>
            <w:pPr>
              <w:keepNext w:val="0"/>
              <w:keepLines w:val="0"/>
              <w:suppressLineNumbers w:val="0"/>
              <w:spacing w:before="0" w:beforeAutospacing="0" w:after="0" w:afterAutospacing="0" w:line="336" w:lineRule="auto"/>
              <w:ind w:left="0" w:right="0" w:firstLine="480" w:firstLineChars="200"/>
              <w:rPr>
                <w:rFonts w:hint="default" w:ascii="仿宋_GB2312" w:hAnsi="宋体" w:eastAsia="仿宋_GB2312" w:cs="Calibri"/>
                <w:color w:val="auto"/>
                <w:sz w:val="24"/>
                <w:highlight w:val="none"/>
              </w:rPr>
            </w:pPr>
            <w:bookmarkStart w:id="138" w:name="_Hlk68855959"/>
            <w:r>
              <w:rPr>
                <w:rFonts w:hint="default" w:ascii="仿宋_GB2312" w:hAnsi="宋体" w:eastAsia="仿宋_GB2312" w:cs="Calibri"/>
                <w:color w:val="auto"/>
                <w:sz w:val="24"/>
                <w:highlight w:val="none"/>
              </w:rPr>
              <w:t>2.6</w:t>
            </w:r>
            <w:r>
              <w:rPr>
                <w:rFonts w:hint="eastAsia" w:ascii="仿宋_GB2312" w:hAnsi="宋体" w:eastAsia="仿宋_GB2312" w:cs="Calibri"/>
                <w:color w:val="auto"/>
                <w:sz w:val="24"/>
                <w:highlight w:val="none"/>
              </w:rPr>
              <w:t>考核依据及期限</w:t>
            </w:r>
          </w:p>
          <w:tbl>
            <w:tblPr>
              <w:tblStyle w:val="47"/>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4"/>
              <w:gridCol w:w="2364"/>
              <w:gridCol w:w="374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奖项名称</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颁奖单位</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考核依据</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考核期限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70" w:type="dxa"/>
                  <w:gridSpan w:val="4"/>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设计奖项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国家优秀工程设计奖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中国勘察设计协会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w:t>
                  </w:r>
                  <w:r>
                    <w:rPr>
                      <w:rFonts w:hint="default" w:ascii="仿宋_GB2312" w:hAnsi="宋体" w:eastAsia="仿宋_GB2312" w:cs="Calibri"/>
                      <w:color w:val="auto"/>
                      <w:highlight w:val="none"/>
                    </w:rPr>
                    <w:t>0</w:t>
                  </w:r>
                  <w:r>
                    <w:rPr>
                      <w:rFonts w:hint="eastAsia" w:ascii="仿宋_GB2312" w:hAnsi="宋体" w:eastAsia="仿宋_GB2312" w:cs="Calibri"/>
                      <w:color w:val="auto"/>
                      <w:highlight w:val="none"/>
                    </w:rPr>
                    <w:t>XX年度工程勘察、建筑设计行业和市政公用工程优秀勘察设计奖评选结果的通知》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default" w:ascii="仿宋_GB2312" w:hAnsi="宋体" w:eastAsia="仿宋_GB2312" w:cs="Calibri"/>
                      <w:color w:val="auto"/>
                      <w:highlight w:val="none"/>
                    </w:rPr>
                    <w:t>730</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湖南省优秀工程设计奖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湖南省勘察设计协会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w:t>
                  </w:r>
                  <w:r>
                    <w:rPr>
                      <w:rFonts w:hint="default" w:ascii="仿宋_GB2312" w:hAnsi="宋体" w:eastAsia="仿宋_GB2312" w:cs="Calibri"/>
                      <w:color w:val="auto"/>
                      <w:highlight w:val="none"/>
                    </w:rPr>
                    <w:t>0</w:t>
                  </w:r>
                  <w:r>
                    <w:rPr>
                      <w:rFonts w:hint="eastAsia" w:ascii="仿宋_GB2312" w:hAnsi="宋体" w:eastAsia="仿宋_GB2312" w:cs="Calibri"/>
                      <w:color w:val="auto"/>
                      <w:highlight w:val="none"/>
                    </w:rPr>
                    <w:t>XX年度湖南省优秀工程勘察设计奖评选结果的通知》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70" w:type="dxa"/>
                  <w:gridSpan w:val="4"/>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施工奖项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鲁班奖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中国建筑业协会</w:t>
                  </w:r>
                </w:p>
              </w:tc>
              <w:tc>
                <w:tcPr>
                  <w:tcW w:w="3744"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Calibri"/>
                      <w:color w:val="auto"/>
                      <w:highlight w:val="none"/>
                    </w:rPr>
                  </w:pPr>
                  <w:r>
                    <w:rPr>
                      <w:rFonts w:hint="eastAsia" w:ascii="仿宋_GB2312" w:hAnsi="宋体" w:eastAsia="仿宋_GB2312" w:cs="Calibri"/>
                      <w:color w:val="auto"/>
                      <w:highlight w:val="none"/>
                    </w:rPr>
                    <w:t>（1）《关于公布〈20XX～20XX年度第X批中国建设工程鲁班奖（国家优质工程）入选名单〉的通知》</w:t>
                  </w:r>
                </w:p>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 xml:space="preserve">（2）《关于表彰〈20XX～20XX年度中国建设工程鲁班奖（国家优质工程）〉的决定》   </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7</w:t>
                  </w:r>
                  <w:r>
                    <w:rPr>
                      <w:rFonts w:hint="default" w:ascii="仿宋_GB2312" w:hAnsi="宋体" w:eastAsia="仿宋_GB2312" w:cs="Calibri"/>
                      <w:color w:val="auto"/>
                      <w:highlight w:val="none"/>
                    </w:rPr>
                    <w:t>30</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国家优质工程奖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中国施工企业管理协会</w:t>
                  </w:r>
                </w:p>
              </w:tc>
              <w:tc>
                <w:tcPr>
                  <w:tcW w:w="3744"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Calibri"/>
                      <w:color w:val="auto"/>
                      <w:highlight w:val="none"/>
                    </w:rPr>
                  </w:pPr>
                  <w:r>
                    <w:rPr>
                      <w:rFonts w:hint="eastAsia" w:ascii="仿宋_GB2312" w:hAnsi="宋体" w:eastAsia="仿宋_GB2312" w:cs="Calibri"/>
                      <w:color w:val="auto"/>
                      <w:highlight w:val="none"/>
                    </w:rPr>
                    <w:t>（1）《20XX-20XX年度第X批国家优质工程奖入选工程名单公告》</w:t>
                  </w:r>
                </w:p>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（2）《关于表彰20XX-20XX年度国家优质工程奖的决定》</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7</w:t>
                  </w:r>
                  <w:r>
                    <w:rPr>
                      <w:rFonts w:hint="default" w:ascii="仿宋_GB2312" w:hAnsi="宋体" w:eastAsia="仿宋_GB2312" w:cs="Calibri"/>
                      <w:color w:val="auto"/>
                      <w:highlight w:val="none"/>
                    </w:rPr>
                    <w:t>30</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芙蓉奖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湖南省建筑业协会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《关于公布20XX-20XX年度第X批湖南省建设工程芙蓉奖名单的通知》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湖南省优质工程</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湖南省建筑业协会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《关于公布20XX-20XX年度第X批湖南省优质工程名单的通知》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70" w:type="dxa"/>
                  <w:gridSpan w:val="4"/>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default" w:ascii="仿宋_GB2312" w:hAnsi="宋体" w:eastAsia="仿宋_GB2312" w:cs="Calibri"/>
                      <w:color w:val="auto"/>
                      <w:highlight w:val="none"/>
                    </w:rPr>
                    <w:t>标准化工地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建设工程项目施工工地安全生产标准化学习交流项目</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中国建筑业协会建筑安全与机械分会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w:t>
                  </w:r>
                  <w:r>
                    <w:rPr>
                      <w:rFonts w:hint="default" w:ascii="仿宋_GB2312" w:hAnsi="宋体" w:eastAsia="仿宋_GB2312" w:cs="Calibri"/>
                      <w:color w:val="auto"/>
                      <w:highlight w:val="none"/>
                    </w:rPr>
                    <w:t>0</w:t>
                  </w:r>
                  <w:r>
                    <w:rPr>
                      <w:rFonts w:hint="eastAsia" w:ascii="仿宋_GB2312" w:hAnsi="宋体" w:eastAsia="仿宋_GB2312" w:cs="Calibri"/>
                      <w:color w:val="auto"/>
                      <w:highlight w:val="none"/>
                    </w:rPr>
                    <w:t>XX年建设工程项目施工工地安全生产标准化学习交流项目名单的通知》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湖南省建筑施工安全生产标准化年度项目考评优良工地</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湖南省住房和城乡建设厅</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《关于公布20XX年度安全生产标准化考评“年度项目考评优良工地”名单的通知》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湖南省建筑施工质量管理标准化年度项目考评优良工地</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湖南省住房和城乡建设厅</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《关于公布20XX年度湖南省建筑施工质量管理标准化年度项目考评优良工地的通知》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570" w:type="dxa"/>
                  <w:gridSpan w:val="4"/>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其他获奖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三星绿色建筑标识</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住房和城乡建设部</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以住房和城乡建设部授予的星级绿色建筑设计标识证书为准</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二星绿色建筑标识</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湖南省住房和城乡建设厅</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《关于公布20XX年度第X批绿色建筑评价标识的通知》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绿色施工工程</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湖南省住房和城乡建设厅</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《关于公布湖南省20XX年度第X批绿色施工工程的通知》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中国人居环境范例奖</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住房和城乡建设部</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《关于2017年中国人居环境奖获奖名单的通报》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湖南省园林绿化优质工程</w:t>
                  </w:r>
                </w:p>
              </w:tc>
              <w:tc>
                <w:tcPr>
                  <w:tcW w:w="236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湖南省园林协会</w:t>
                  </w:r>
                </w:p>
              </w:tc>
              <w:tc>
                <w:tcPr>
                  <w:tcW w:w="3744"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《关于公布20XX年度湖南省园林绿化优质工程名单的通知》</w:t>
                  </w:r>
                </w:p>
              </w:tc>
              <w:tc>
                <w:tcPr>
                  <w:tcW w:w="1098"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Calibri"/>
                      <w:color w:val="auto"/>
                      <w:highlight w:val="none"/>
                    </w:rPr>
                  </w:pPr>
                  <w:r>
                    <w:rPr>
                      <w:rFonts w:hint="eastAsia" w:ascii="仿宋_GB2312" w:hAnsi="宋体" w:eastAsia="仿宋_GB2312" w:cs="Calibri"/>
                      <w:color w:val="auto"/>
                      <w:highlight w:val="none"/>
                    </w:rPr>
                    <w:t>3</w:t>
                  </w:r>
                  <w:r>
                    <w:rPr>
                      <w:rFonts w:hint="default" w:ascii="仿宋_GB2312" w:hAnsi="宋体" w:eastAsia="仿宋_GB2312" w:cs="Calibri"/>
                      <w:color w:val="auto"/>
                      <w:highlight w:val="none"/>
                    </w:rPr>
                    <w:t>65</w:t>
                  </w:r>
                  <w:r>
                    <w:rPr>
                      <w:rFonts w:hint="eastAsia" w:ascii="仿宋_GB2312" w:hAnsi="宋体" w:eastAsia="仿宋_GB2312" w:cs="Calibri"/>
                      <w:color w:val="auto"/>
                      <w:highlight w:val="none"/>
                    </w:rPr>
                    <w:t>天</w:t>
                  </w:r>
                </w:p>
              </w:tc>
            </w:tr>
            <w:bookmarkEnd w:id="138"/>
          </w:tbl>
          <w:p>
            <w:pPr>
              <w:keepNext w:val="0"/>
              <w:keepLines w:val="0"/>
              <w:suppressLineNumbers w:val="0"/>
              <w:spacing w:before="0" w:beforeAutospacing="0" w:after="0" w:afterAutospacing="0" w:line="336" w:lineRule="auto"/>
              <w:ind w:left="0" w:right="0" w:firstLine="480" w:firstLineChars="200"/>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鲁班奖的公布文件和决定文件存在重复项目的，该项目获得鲁班奖的考核期限应当从公布文件发布时间开始计算；国家优质工程奖的入选文件和决定文件存在重复项目的，该项目获得国家优质工程奖的考核期限应当从入选文件发布时间开始计算。</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w:t>
            </w:r>
            <w:r>
              <w:rPr>
                <w:rFonts w:hint="default" w:ascii="仿宋_GB2312" w:hAnsi="宋体" w:eastAsia="仿宋_GB2312" w:cs="Calibri"/>
                <w:color w:val="auto"/>
                <w:sz w:val="24"/>
                <w:highlight w:val="none"/>
              </w:rPr>
              <w:t>7</w:t>
            </w:r>
            <w:r>
              <w:rPr>
                <w:rFonts w:hint="eastAsia" w:ascii="仿宋_GB2312" w:hAnsi="宋体" w:eastAsia="仿宋_GB2312" w:cs="Calibri"/>
                <w:color w:val="auto"/>
                <w:sz w:val="24"/>
                <w:highlight w:val="none"/>
              </w:rPr>
              <w:t>与我省签署了招标投标信息共享备忘录的省区市发布的相关奖项和标准化工地可以用于我省招投标。</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3． 信用评价</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3.1  设计单位信用评价</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（1）设计单位信用评价情况采用提交投标文件截止之时最新公布的信用评价结果。评标时以在“湖南省智慧住建云—湖南省建筑市场监管公共服务平台”中查询的结果为准。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设计单位信用评价结果发布之前，招标评标过程中投标人信用评价分值统一计100分，若出现不良行为记录或列入湖南省公管办或湖南省住房和城乡建设厅发布的黑名单的，予以扣分。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（2）以联合体投标，其中设计单位有两家（含两家）以上的，由招标人在招标文件中确定联合体信用评价的计分方式。</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3.2  施工单位信用评价</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（1）施工单位信用评价情况采用提交投标文件截止之时最新公布的信用评价结果。评标时以在“湖南省智慧住建云—湖南省建筑市场监管公共服务平台”中查询的结果为准；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（2）以联合体投标的，其中施工单位有两家（含两家）以上的，由招标人在招标文件中确定联合体信用评价的计分方式。</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3.3  招标项目为专业工程、园林绿化工程的，评标时投标人的信用评价分值统一计100分。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未参加信用评价的投标人，按照信用评价处于末位的合格投标人的分值计取。</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  施工单位现场安全质量管理评价</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4.1  现场安全质量管理评价得分F=［F1+F2］/2;</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其中， F1、F2——现场安全、质量管理评价得分；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F1（F2 ）=［K1+K2+…+ Km］/ m；</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K1、K2、Km——投标人在本省行政区域内项目的安全（质量）考评得分；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m——投标人的安全（质量）考评项目个数。</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4.2  现场安全质量管理评价情况采用提交投标文件截止之时最新公布的现场安全质量管理评价结果。评标时以在“湖南省智慧住建云—湖南省建筑市场监管公共服务平台”中查询的结果为准。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4.3  以联合体投标的，其中施工单位有两家（含两家）以上的，由招标人在招标文件中确定联合体现场安全质量管理评价的计分方式。</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4.4  没有参加现场安全质量管理评价的投标人，按照现场安全质量管理评价处于末位的合格投标人的分值计取。</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4.5  招标项目为房屋建筑工程总承包和市政工程总承包的，评标时投标人的现场安全质量管理评价分值均按湖南省住房和城乡建设厅发布的分值为准；招标项目为专业工程的，评标时投标人的现场安全质量管理评价分值统一计100分；招标项目园林绿化工程总承包的，评标时投标人的现场安全质量管理评价结果按投标人在本省行政区域内项目的园林绿化工程质量综合评价考评得分平均值计分，园林绿化工程质量综合评价结果以省住房和城乡建设厅发文为准，结果发布前统一计满分。未参与园林绿化工程质量综合评价的投标人，按照得分处于末位的合格投标人分值计取。</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5.  类似工程业绩规定</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5.1  招标人可以根据项目实际情况选取0-2个类似工程业绩纳入评审。</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5.2  考核依据：以投标文件中提供的中标通知书（招标工程提交）、合同和竣工验收资料以及答疑文件明确可以作为考核依据的资料的复印件为准，并提供“湖南省智慧住建云—湖南省建筑市场监管公共服务平台”或者“全国建筑市场监管公共服务平台”上体现其作为设计人或承包人的项目网页截图。相关指标不一致时，依次按照中标通知书、合同、竣工验收资料的顺序认定。</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5.3  考核期限：1095天，按工程竣工验收文件中建设单位签字之日起计算。</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 项目管理机构</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6.1  现场答辩：是否要求拟任工程总承包项目负责人答辩，招标人在招标文件中明确。</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6.2  不良行为记录：</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6.2.1  拟任工程总承包项目负责人扣分有效期为180天，自湖南省住房和城乡建设厅公布之日起至投交投标文件截止之日止。</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6.2.2不良行为记录包括工程质量、安全生产、市场行为等方面的情况。省住房和城乡建设厅发布的《湖南省建筑市场责任主体不良行为记录》是确认本省行政区域内不良行为记录的依据，其有效期限统一按省住房和城乡建设厅发布《湖南省建筑市场责任主体不良行为记录》的时间计算。</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6.2.3与我省签署了招标投标信息共享备忘录的省区市发布的相关不良行为记录按照备忘录要求执行。</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6.3  拟任工程总承包项目负责人及施工负责人在建情况以投标截止时在“湖南省建筑工程监管信息平台”查询信息为准，有在其他项目任关键岗位人员情形的，评标委员会应当否决其投标。</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以投标截止时为准，拟任工程总承包项目负责人及施工负责人在“湖南省建筑工程监管信息平台”之外有在其他项目任关键岗位人员情形的，应当在投标文件中如实注明，并承诺中标后能够从该项目按期撤离。评标期间，投标文件中注明有在建，但没有承诺能够按期撤离的，评标委员会应当否决其投标；中标候选公示期间，发现未如实注明有平台之外的在建情况的，招标人提请住房和城乡建设主管部门按规定予以信用评价扣分。</w:t>
            </w:r>
          </w:p>
          <w:p>
            <w:pPr>
              <w:keepNext w:val="0"/>
              <w:keepLines w:val="0"/>
              <w:suppressLineNumbers w:val="0"/>
              <w:spacing w:before="0" w:beforeAutospacing="0" w:after="0" w:afterAutospacing="0" w:line="336" w:lineRule="auto"/>
              <w:ind w:left="0" w:right="0" w:firstLine="480" w:firstLineChars="200"/>
              <w:rPr>
                <w:rFonts w:hint="default" w:ascii="仿宋_GB2312" w:hAnsi="宋体" w:eastAsia="仿宋_GB2312" w:cs="Calibri"/>
                <w:color w:val="auto"/>
                <w:sz w:val="24"/>
                <w:highlight w:val="none"/>
              </w:rPr>
            </w:pPr>
            <w:r>
              <w:rPr>
                <w:rFonts w:hint="eastAsia" w:ascii="仿宋_GB2312" w:hAnsi="宋体" w:eastAsia="仿宋_GB2312" w:cs="Calibri"/>
                <w:color w:val="auto"/>
                <w:sz w:val="24"/>
                <w:highlight w:val="none"/>
              </w:rPr>
              <w:t>中标候选人公示期满，拟任工程总承包项目负责人及施工负责人不能按时到岗履职的（含不能从其他项目按期撤离的），招标人取消其中标候选人资格，并提请住房和城乡建设主管部门按规定予以信用评价扣分。</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7． 不良行为记录：</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7.1  不良行为记录包括工程质量、安全生产、市场行为等方面的情况。湖南省住房和城乡建设厅发布的《湖南省建筑市场责任主体不良行为记录》是确认本省行政区域内不良行为记录的依据。</w:t>
            </w:r>
          </w:p>
          <w:p>
            <w:pPr>
              <w:keepNext w:val="0"/>
              <w:keepLines w:val="0"/>
              <w:suppressLineNumbers w:val="0"/>
              <w:spacing w:before="0" w:beforeAutospacing="0" w:after="0" w:afterAutospacing="0" w:line="336" w:lineRule="auto"/>
              <w:ind w:left="0" w:right="0" w:firstLine="480" w:firstLineChars="200"/>
              <w:rPr>
                <w:rFonts w:hint="eastAsia" w:ascii="仿宋_GB2312" w:hAnsi="宋体" w:eastAsia="仿宋_GB2312" w:cs="Calibri"/>
                <w:color w:val="auto"/>
                <w:sz w:val="24"/>
                <w:highlight w:val="none"/>
              </w:rPr>
            </w:pPr>
            <w:r>
              <w:rPr>
                <w:rFonts w:hint="eastAsia" w:ascii="仿宋_GB2312" w:hAnsi="宋体" w:eastAsia="仿宋_GB2312" w:cs="Calibri"/>
                <w:color w:val="auto"/>
                <w:sz w:val="24"/>
                <w:highlight w:val="none"/>
              </w:rPr>
              <w:t>7.2  独立投标人设计资质单位（或联合体中设计单位）和拟任工程总承包项目负责人不良行为记录扣分有效期为180天，自湖南省住房和城乡建设厅公布之日起至提交投标文件截止之日止。外省区市公布的不良行为不扣分。</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color w:val="auto"/>
                <w:kern w:val="0"/>
                <w:szCs w:val="21"/>
                <w:highlight w:val="none"/>
              </w:rPr>
            </w:pPr>
            <w:r>
              <w:rPr>
                <w:rFonts w:hint="eastAsia" w:ascii="仿宋_GB2312" w:hAnsi="宋体" w:eastAsia="仿宋_GB2312" w:cs="Calibri"/>
                <w:color w:val="auto"/>
                <w:sz w:val="24"/>
                <w:highlight w:val="none"/>
              </w:rPr>
              <w:t>8.  加分项目以投标文件中提供的证明材料为准，未提供证明材料或证明材料提供不全或不符合要求的，不加分；扣分项目以招标文件规定的湖南省公管办或湖南省住房和城乡建设厅发布的文件为准。</w:t>
            </w:r>
            <w:bookmarkEnd w:id="136"/>
          </w:p>
        </w:tc>
      </w:tr>
      <w:bookmarkEnd w:id="1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76"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b/>
                <w:bCs/>
                <w:color w:val="auto"/>
                <w:szCs w:val="21"/>
                <w:highlight w:val="none"/>
              </w:rPr>
            </w:pPr>
            <w:r>
              <w:rPr>
                <w:rFonts w:hint="default" w:ascii="Calibri" w:hAnsi="Calibri" w:cs="Calibri"/>
                <w:color w:val="auto"/>
                <w:highlight w:val="none"/>
              </w:rPr>
              <w:br w:type="page"/>
            </w:r>
            <w:r>
              <w:rPr>
                <w:rFonts w:hint="default" w:ascii="Calibri" w:hAnsi="Calibri" w:cs="Calibri"/>
                <w:b/>
                <w:bCs/>
                <w:color w:val="auto"/>
                <w:szCs w:val="21"/>
                <w:highlight w:val="none"/>
              </w:rPr>
              <w:t>条款号</w:t>
            </w:r>
          </w:p>
        </w:tc>
        <w:tc>
          <w:tcPr>
            <w:tcW w:w="2325"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b/>
                <w:bCs/>
                <w:color w:val="auto"/>
                <w:szCs w:val="21"/>
                <w:highlight w:val="none"/>
              </w:rPr>
            </w:pPr>
            <w:r>
              <w:rPr>
                <w:rFonts w:hint="default" w:ascii="Calibri" w:hAnsi="Calibri" w:cs="Calibri"/>
                <w:b/>
                <w:bCs/>
                <w:color w:val="auto"/>
                <w:szCs w:val="21"/>
                <w:highlight w:val="none"/>
              </w:rPr>
              <w:t>评审因素</w:t>
            </w:r>
          </w:p>
        </w:tc>
        <w:tc>
          <w:tcPr>
            <w:tcW w:w="6451" w:type="dxa"/>
            <w:gridSpan w:val="6"/>
            <w:noWrap w:val="0"/>
            <w:vAlign w:val="center"/>
          </w:tcPr>
          <w:p>
            <w:pPr>
              <w:keepNext w:val="0"/>
              <w:keepLines w:val="0"/>
              <w:suppressLineNumbers w:val="0"/>
              <w:spacing w:before="0" w:beforeAutospacing="0" w:after="0" w:afterAutospacing="0"/>
              <w:ind w:left="0" w:right="0"/>
              <w:jc w:val="center"/>
              <w:rPr>
                <w:rFonts w:hint="default" w:ascii="Calibri" w:hAnsi="Calibri" w:cs="Calibri"/>
                <w:b/>
                <w:bCs/>
                <w:color w:val="auto"/>
                <w:szCs w:val="21"/>
                <w:highlight w:val="none"/>
              </w:rPr>
            </w:pPr>
            <w:r>
              <w:rPr>
                <w:rFonts w:hint="default" w:ascii="Calibri" w:hAnsi="Calibri" w:cs="Calibri"/>
                <w:b/>
                <w:bCs/>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76" w:type="dxa"/>
            <w:gridSpan w:val="3"/>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 xml:space="preserve">1.2.1 </w:t>
            </w:r>
            <w:r>
              <w:rPr>
                <w:rFonts w:hint="default" w:ascii="Calibri" w:hAnsi="Calibri" w:cs="Calibri"/>
                <w:color w:val="auto"/>
                <w:szCs w:val="21"/>
                <w:highlight w:val="none"/>
              </w:rPr>
              <w:t>(</w:t>
            </w:r>
            <w:r>
              <w:rPr>
                <w:rFonts w:hint="eastAsia" w:ascii="Calibri" w:hAnsi="Calibri" w:cs="Calibri"/>
                <w:color w:val="auto"/>
                <w:szCs w:val="21"/>
                <w:highlight w:val="none"/>
              </w:rPr>
              <w:t>3</w:t>
            </w:r>
            <w:r>
              <w:rPr>
                <w:rFonts w:hint="default" w:ascii="Calibri" w:hAnsi="Calibri" w:cs="Calibri"/>
                <w:color w:val="auto"/>
                <w:szCs w:val="21"/>
                <w:highlight w:val="none"/>
              </w:rPr>
              <w:t>)</w:t>
            </w:r>
          </w:p>
        </w:tc>
        <w:tc>
          <w:tcPr>
            <w:tcW w:w="8776" w:type="dxa"/>
            <w:gridSpan w:val="10"/>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投标</w:t>
            </w:r>
            <w:r>
              <w:rPr>
                <w:rFonts w:hint="default" w:ascii="Calibri" w:hAnsi="Calibri" w:cs="Calibri"/>
                <w:color w:val="auto"/>
                <w:szCs w:val="21"/>
                <w:highlight w:val="none"/>
              </w:rPr>
              <w:t>报价评审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1276"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776" w:type="dxa"/>
            <w:gridSpan w:val="10"/>
            <w:noWrap w:val="0"/>
            <w:vAlign w:val="center"/>
          </w:tcPr>
          <w:p>
            <w:pPr>
              <w:keepNext w:val="0"/>
              <w:keepLines w:val="0"/>
              <w:suppressLineNumbers w:val="0"/>
              <w:spacing w:before="0" w:beforeAutospacing="0" w:after="0" w:afterAutospacing="0"/>
              <w:ind w:left="0" w:right="0"/>
              <w:jc w:val="left"/>
              <w:rPr>
                <w:rFonts w:hint="default" w:ascii="Calibri" w:hAnsi="Calibri" w:cs="Calibri"/>
                <w:color w:val="auto"/>
                <w:szCs w:val="21"/>
                <w:highlight w:val="none"/>
              </w:rPr>
            </w:pPr>
            <w:r>
              <w:rPr>
                <w:rFonts w:hint="default" w:ascii="Calibri" w:hAnsi="Calibri" w:cs="Calibri"/>
                <w:color w:val="auto"/>
                <w:szCs w:val="21"/>
                <w:highlight w:val="none"/>
              </w:rPr>
              <w:t>1. 投标报价得分，基本分100分。</w:t>
            </w:r>
          </w:p>
          <w:p>
            <w:pPr>
              <w:keepNext w:val="0"/>
              <w:keepLines w:val="0"/>
              <w:widowControl/>
              <w:suppressLineNumbers w:val="0"/>
              <w:shd w:val="clear" w:color="auto" w:fill="FFFFFF"/>
              <w:spacing w:before="0" w:beforeAutospacing="0" w:after="0" w:afterAutospacing="0"/>
              <w:ind w:left="0" w:right="0"/>
              <w:rPr>
                <w:rFonts w:hint="eastAsia" w:ascii="宋体" w:hAnsi="宋体" w:cs="Calibri"/>
                <w:color w:val="auto"/>
                <w:szCs w:val="21"/>
                <w:highlight w:val="none"/>
              </w:rPr>
            </w:pPr>
            <w:r>
              <w:rPr>
                <w:rFonts w:hint="eastAsia" w:ascii="宋体" w:hAnsi="宋体" w:cs="Calibri"/>
                <w:color w:val="auto"/>
                <w:szCs w:val="21"/>
                <w:highlight w:val="none"/>
              </w:rPr>
              <w:t>基准价： Y= A×(1-α) ×60%+B×(1-β)×40%</w:t>
            </w:r>
            <w:r>
              <w:rPr>
                <w:rFonts w:hint="eastAsia" w:ascii="宋体" w:hAnsi="宋体" w:cs="Calibri"/>
                <w:color w:val="auto"/>
                <w:szCs w:val="21"/>
                <w:highlight w:val="none"/>
              </w:rPr>
              <w:cr/>
            </w:r>
            <w:r>
              <w:rPr>
                <w:rFonts w:hint="eastAsia" w:ascii="宋体" w:hAnsi="宋体" w:cs="Calibri"/>
                <w:color w:val="auto"/>
                <w:szCs w:val="21"/>
                <w:highlight w:val="none"/>
              </w:rPr>
              <w:t>其中： A——进入报价评审环节的有效投标报价中，大于或等于X（1－10%）的报价的算术平均值</w:t>
            </w:r>
            <w:r>
              <w:rPr>
                <w:rFonts w:hint="eastAsia" w:ascii="宋体" w:hAnsi="宋体" w:cs="Calibri"/>
                <w:color w:val="auto"/>
                <w:szCs w:val="21"/>
                <w:highlight w:val="none"/>
              </w:rPr>
              <w:cr/>
            </w:r>
            <w:r>
              <w:rPr>
                <w:rFonts w:hint="eastAsia" w:ascii="宋体" w:hAnsi="宋体" w:cs="Calibri"/>
                <w:color w:val="auto"/>
                <w:szCs w:val="21"/>
                <w:highlight w:val="none"/>
              </w:rPr>
              <w:t>X——进入报价评审环节的有效投标报价的算术平均值 </w:t>
            </w:r>
            <w:r>
              <w:rPr>
                <w:rFonts w:hint="eastAsia" w:ascii="宋体" w:hAnsi="宋体" w:cs="Calibri"/>
                <w:color w:val="auto"/>
                <w:szCs w:val="21"/>
                <w:highlight w:val="none"/>
              </w:rPr>
              <w:cr/>
            </w:r>
            <w:r>
              <w:rPr>
                <w:rFonts w:hint="eastAsia" w:ascii="宋体" w:hAnsi="宋体" w:cs="Calibri"/>
                <w:color w:val="auto"/>
                <w:szCs w:val="21"/>
                <w:highlight w:val="none"/>
              </w:rPr>
              <w:t>X=（X</w:t>
            </w:r>
            <w:r>
              <w:rPr>
                <w:rFonts w:hint="default" w:ascii="宋体" w:hAnsi="宋体" w:cs="Calibri"/>
                <w:color w:val="auto"/>
                <w:szCs w:val="21"/>
                <w:highlight w:val="none"/>
                <w:vertAlign w:val="subscript"/>
              </w:rPr>
              <w:t>1</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2</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n-1</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n</w:t>
            </w:r>
            <w:r>
              <w:rPr>
                <w:rFonts w:hint="eastAsia" w:ascii="宋体" w:hAnsi="宋体" w:cs="Calibri"/>
                <w:color w:val="auto"/>
                <w:szCs w:val="21"/>
                <w:highlight w:val="none"/>
              </w:rPr>
              <w:t>）／n </w:t>
            </w:r>
            <w:r>
              <w:rPr>
                <w:rFonts w:hint="eastAsia" w:ascii="宋体" w:hAnsi="宋体" w:cs="Calibri"/>
                <w:color w:val="auto"/>
                <w:szCs w:val="21"/>
                <w:highlight w:val="none"/>
              </w:rPr>
              <w:cr/>
            </w:r>
            <w:r>
              <w:rPr>
                <w:rFonts w:hint="eastAsia" w:ascii="宋体" w:hAnsi="宋体" w:cs="Calibri"/>
                <w:color w:val="auto"/>
                <w:szCs w:val="21"/>
                <w:highlight w:val="none"/>
              </w:rPr>
              <w:t>n——进入报价评审环节的投标人个数</w:t>
            </w:r>
            <w:r>
              <w:rPr>
                <w:rFonts w:hint="eastAsia" w:ascii="宋体" w:hAnsi="宋体" w:cs="Calibri"/>
                <w:color w:val="auto"/>
                <w:szCs w:val="21"/>
                <w:highlight w:val="none"/>
              </w:rPr>
              <w:cr/>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1</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2</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n-1</w:t>
            </w:r>
            <w:r>
              <w:rPr>
                <w:rFonts w:hint="eastAsia" w:ascii="宋体" w:hAnsi="宋体" w:cs="Calibri"/>
                <w:color w:val="auto"/>
                <w:szCs w:val="21"/>
                <w:highlight w:val="none"/>
              </w:rPr>
              <w:t>、X</w:t>
            </w:r>
            <w:r>
              <w:rPr>
                <w:rFonts w:hint="eastAsia" w:ascii="宋体" w:hAnsi="宋体" w:cs="Calibri"/>
                <w:color w:val="auto"/>
                <w:szCs w:val="21"/>
                <w:highlight w:val="none"/>
                <w:vertAlign w:val="subscript"/>
              </w:rPr>
              <w:t>n</w:t>
            </w:r>
            <w:r>
              <w:rPr>
                <w:rFonts w:hint="eastAsia" w:ascii="宋体" w:hAnsi="宋体" w:cs="Calibri"/>
                <w:color w:val="auto"/>
                <w:szCs w:val="21"/>
                <w:highlight w:val="none"/>
              </w:rPr>
              <w:t>——进入报价评审环节的投标人的有效投标报价</w:t>
            </w:r>
            <w:r>
              <w:rPr>
                <w:rFonts w:hint="eastAsia" w:ascii="宋体" w:hAnsi="宋体" w:cs="Calibri"/>
                <w:color w:val="auto"/>
                <w:szCs w:val="21"/>
                <w:highlight w:val="none"/>
              </w:rPr>
              <w:cr/>
            </w:r>
            <w:r>
              <w:rPr>
                <w:rFonts w:hint="eastAsia" w:ascii="宋体" w:hAnsi="宋体" w:cs="Calibri"/>
                <w:color w:val="auto"/>
                <w:szCs w:val="21"/>
                <w:highlight w:val="none"/>
              </w:rPr>
              <w:t>B——最高投标限价</w:t>
            </w:r>
            <w:r>
              <w:rPr>
                <w:rFonts w:hint="eastAsia" w:ascii="宋体" w:hAnsi="宋体" w:cs="Calibri"/>
                <w:color w:val="auto"/>
                <w:szCs w:val="21"/>
                <w:highlight w:val="none"/>
              </w:rPr>
              <w:cr/>
            </w:r>
            <w:r>
              <w:rPr>
                <w:rFonts w:hint="eastAsia" w:ascii="宋体" w:hAnsi="宋体" w:cs="Calibri"/>
                <w:color w:val="auto"/>
                <w:szCs w:val="21"/>
                <w:highlight w:val="none"/>
              </w:rPr>
              <w:t>α——0、1%、2%、3%，开标时随机抽取确定</w:t>
            </w:r>
            <w:r>
              <w:rPr>
                <w:rFonts w:hint="eastAsia" w:ascii="宋体" w:hAnsi="宋体" w:cs="Calibri"/>
                <w:color w:val="auto"/>
                <w:szCs w:val="21"/>
                <w:highlight w:val="none"/>
              </w:rPr>
              <w:cr/>
            </w:r>
            <w:r>
              <w:rPr>
                <w:rFonts w:hint="eastAsia" w:ascii="宋体" w:hAnsi="宋体" w:cs="Calibri"/>
                <w:color w:val="auto"/>
                <w:szCs w:val="21"/>
                <w:highlight w:val="none"/>
              </w:rPr>
              <w:t>β—— 3%、3.5%、4%、4.5%、5%、5.5%、6%，开标时随机抽取确定</w:t>
            </w:r>
          </w:p>
          <w:p>
            <w:pPr>
              <w:keepNext w:val="0"/>
              <w:keepLines w:val="0"/>
              <w:suppressLineNumbers w:val="0"/>
              <w:spacing w:before="0" w:beforeAutospacing="0" w:after="0" w:afterAutospacing="0"/>
              <w:ind w:left="0" w:right="0"/>
              <w:rPr>
                <w:rFonts w:hint="default"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6"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325"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评审标准</w:t>
            </w:r>
          </w:p>
        </w:tc>
        <w:tc>
          <w:tcPr>
            <w:tcW w:w="3171"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计分方式</w:t>
            </w:r>
          </w:p>
        </w:tc>
        <w:tc>
          <w:tcPr>
            <w:tcW w:w="3280"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偏差率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6"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325" w:type="dxa"/>
            <w:gridSpan w:val="4"/>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投标报价＞基准价</w:t>
            </w:r>
          </w:p>
        </w:tc>
        <w:tc>
          <w:tcPr>
            <w:tcW w:w="3171" w:type="dxa"/>
            <w:gridSpan w:val="2"/>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100-100L</w:t>
            </w:r>
          </w:p>
        </w:tc>
        <w:tc>
          <w:tcPr>
            <w:tcW w:w="3280" w:type="dxa"/>
            <w:gridSpan w:val="4"/>
            <w:vMerge w:val="restart"/>
            <w:noWrap w:val="0"/>
            <w:vAlign w:val="top"/>
          </w:tcPr>
          <w:p>
            <w:pPr>
              <w:keepNext w:val="0"/>
              <w:keepLines w:val="0"/>
              <w:suppressLineNumbers w:val="0"/>
              <w:spacing w:before="120" w:beforeLines="50" w:beforeAutospacing="0" w:after="0" w:afterAutospacing="0" w:line="240" w:lineRule="exact"/>
              <w:ind w:left="0" w:right="0" w:firstLine="210" w:firstLineChars="100"/>
              <w:rPr>
                <w:rFonts w:hint="eastAsia" w:ascii="Calibri" w:hAnsi="Calibri" w:cs="Calibri"/>
                <w:color w:val="auto"/>
                <w:szCs w:val="21"/>
                <w:highlight w:val="none"/>
              </w:rPr>
            </w:pPr>
          </w:p>
          <w:p>
            <w:pPr>
              <w:keepNext w:val="0"/>
              <w:keepLines w:val="0"/>
              <w:suppressLineNumbers w:val="0"/>
              <w:spacing w:before="120" w:beforeLines="50" w:beforeAutospacing="0" w:after="0" w:afterAutospacing="0" w:line="240" w:lineRule="exact"/>
              <w:ind w:left="0" w:right="0" w:firstLine="210" w:firstLineChars="100"/>
              <w:rPr>
                <w:rFonts w:hint="default" w:ascii="Calibri" w:hAnsi="Calibri" w:cs="Calibri"/>
                <w:color w:val="auto"/>
                <w:szCs w:val="21"/>
                <w:highlight w:val="none"/>
              </w:rPr>
            </w:pPr>
            <w:r>
              <w:rPr>
                <w:rFonts w:hint="default" w:ascii="Calibri" w:hAnsi="Calibri" w:cs="Calibri"/>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1414145</wp:posOffset>
                      </wp:positionH>
                      <wp:positionV relativeFrom="paragraph">
                        <wp:posOffset>57785</wp:posOffset>
                      </wp:positionV>
                      <wp:extent cx="635" cy="504190"/>
                      <wp:effectExtent l="4445" t="0" r="13970" b="10160"/>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635" cy="504190"/>
                              </a:xfrm>
                              <a:prstGeom prst="straightConnector1">
                                <a:avLst/>
                              </a:prstGeom>
                              <a:noFill/>
                              <a:ln w="6350">
                                <a:solidFill>
                                  <a:srgbClr val="000000"/>
                                </a:solidFill>
                                <a:round/>
                              </a:ln>
                              <a:effectLst/>
                            </wps:spPr>
                            <wps:bodyPr/>
                          </wps:wsp>
                        </a:graphicData>
                      </a:graphic>
                    </wp:anchor>
                  </w:drawing>
                </mc:Choice>
                <mc:Fallback>
                  <w:pict>
                    <v:shape id="_x0000_s1026" o:spid="_x0000_s1026" o:spt="32" type="#_x0000_t32" style="position:absolute;left:0pt;margin-left:111.35pt;margin-top:4.55pt;height:39.7pt;width:0.05pt;z-index:251662336;mso-width-relative:page;mso-height-relative:page;" filled="f" stroked="t" coordsize="21600,21600" o:gfxdata="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Nb691QAAAAgBAAAPAAAAAAAAAAEAIAAAACIAAABkcnMvZG93bnJldi54bWxQ&#10;SwECFAAUAAAACACHTuJAvriaYvoBAADNAwAADgAAAAAAAAABACAAAAAkAQAAZHJzL2Uyb0RvYy54&#10;bWxQSwUGAAAAAAYABgBZAQAAkAUAAAAA&#10;">
                      <v:fill on="f" focussize="0,0"/>
                      <v:stroke weight="0.5pt" color="#000000" joinstyle="round"/>
                      <v:imagedata o:title=""/>
                      <o:lock v:ext="edit" aspectratio="f"/>
                    </v:shape>
                  </w:pict>
                </mc:Fallback>
              </mc:AlternateContent>
            </w:r>
            <w:r>
              <w:rPr>
                <w:rFonts w:hint="default" w:ascii="Calibri" w:hAnsi="Calibri" w:cs="Calibri"/>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194945</wp:posOffset>
                      </wp:positionH>
                      <wp:positionV relativeFrom="paragraph">
                        <wp:posOffset>57785</wp:posOffset>
                      </wp:positionV>
                      <wp:extent cx="635" cy="504190"/>
                      <wp:effectExtent l="4445" t="0" r="13970" b="10160"/>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635" cy="504190"/>
                              </a:xfrm>
                              <a:prstGeom prst="straightConnector1">
                                <a:avLst/>
                              </a:prstGeom>
                              <a:noFill/>
                              <a:ln w="6350">
                                <a:solidFill>
                                  <a:srgbClr val="000000"/>
                                </a:solidFill>
                                <a:round/>
                              </a:ln>
                              <a:effectLst/>
                            </wps:spPr>
                            <wps:bodyPr/>
                          </wps:wsp>
                        </a:graphicData>
                      </a:graphic>
                    </wp:anchor>
                  </w:drawing>
                </mc:Choice>
                <mc:Fallback>
                  <w:pict>
                    <v:shape id="_x0000_s1026" o:spid="_x0000_s1026" o:spt="32" type="#_x0000_t32" style="position:absolute;left:0pt;margin-left:15.35pt;margin-top:4.55pt;height:39.7pt;width:0.05pt;z-index:251661312;mso-width-relative:page;mso-height-relative:page;" filled="f" stroked="t" coordsize="21600,21600" o:gfxdata="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354W1QAAAAYBAAAPAAAAAAAAAAEAIAAAACIAAABkcnMvZG93bnJldi54bWxQ&#10;SwECFAAUAAAACACHTuJAdHdGu/oBAADNAwAADgAAAAAAAAABACAAAAAkAQAAZHJzL2Uyb0RvYy54&#10;bWxQSwUGAAAAAAYABgBZAQAAkAUAAAAA&#10;">
                      <v:fill on="f" focussize="0,0"/>
                      <v:stroke weight="0.5pt" color="#000000" joinstyle="round"/>
                      <v:imagedata o:title=""/>
                      <o:lock v:ext="edit" aspectratio="f"/>
                    </v:shape>
                  </w:pict>
                </mc:Fallback>
              </mc:AlternateContent>
            </w:r>
            <w:r>
              <w:rPr>
                <w:rFonts w:hint="default" w:ascii="Calibri" w:hAnsi="Calibri" w:cs="Calibri"/>
                <w:color w:val="auto"/>
                <w:szCs w:val="21"/>
                <w:highlight w:val="none"/>
              </w:rPr>
              <w:t xml:space="preserve">  投标报价-基准价</w:t>
            </w:r>
          </w:p>
          <w:p>
            <w:pPr>
              <w:keepNext w:val="0"/>
              <w:keepLines w:val="0"/>
              <w:suppressLineNumbers w:val="0"/>
              <w:spacing w:before="0" w:beforeAutospacing="0" w:after="0" w:afterAutospacing="0" w:line="240" w:lineRule="exact"/>
              <w:ind w:left="0" w:right="0"/>
              <w:rPr>
                <w:rFonts w:hint="default" w:ascii="Calibri" w:hAnsi="Calibri" w:cs="Calibri"/>
                <w:color w:val="auto"/>
                <w:szCs w:val="21"/>
                <w:highlight w:val="none"/>
              </w:rPr>
            </w:pPr>
            <w:r>
              <w:rPr>
                <w:rFonts w:hint="default" w:ascii="Calibri" w:hAnsi="Calibri" w:cs="Calibri"/>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279400</wp:posOffset>
                      </wp:positionH>
                      <wp:positionV relativeFrom="paragraph">
                        <wp:posOffset>79375</wp:posOffset>
                      </wp:positionV>
                      <wp:extent cx="1075690" cy="635"/>
                      <wp:effectExtent l="0" t="0" r="0" b="0"/>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10756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2pt;margin-top:6.25pt;height:0.05pt;width:84.7pt;z-index:251660288;mso-width-relative:page;mso-height-relative:page;" filled="f" stroked="t" coordsize="21600,21600" o:gfxdata="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lWBL1wAAAAgBAAAPAAAAAAAAAAEAIAAAACIAAABkcnMvZG93bnJldi54&#10;bWxQSwECFAAUAAAACACHTuJAAMdtCfsBAADOAwAADgAAAAAAAAABACAAAAAmAQAAZHJzL2Uyb0Rv&#10;Yy54bWxQSwUGAAAAAAYABgBZAQAAkwUAAAAA&#10;">
                      <v:fill on="f" focussize="0,0"/>
                      <v:stroke color="#000000" joinstyle="round"/>
                      <v:imagedata o:title=""/>
                      <o:lock v:ext="edit" aspectratio="f"/>
                    </v:shape>
                  </w:pict>
                </mc:Fallback>
              </mc:AlternateContent>
            </w:r>
            <w:r>
              <w:rPr>
                <w:rFonts w:hint="default" w:ascii="Calibri" w:hAnsi="Calibri" w:cs="Calibri"/>
                <w:color w:val="auto"/>
                <w:szCs w:val="21"/>
                <w:highlight w:val="none"/>
              </w:rPr>
              <w:t>L=                    ×100%</w:t>
            </w:r>
          </w:p>
          <w:p>
            <w:pPr>
              <w:keepNext w:val="0"/>
              <w:keepLines w:val="0"/>
              <w:suppressLineNumbers w:val="0"/>
              <w:spacing w:before="0" w:beforeAutospacing="0" w:after="0" w:afterAutospacing="0" w:line="240" w:lineRule="exact"/>
              <w:ind w:left="0" w:right="0" w:firstLine="945" w:firstLineChars="450"/>
              <w:rPr>
                <w:rFonts w:hint="eastAsia" w:ascii="宋体" w:hAnsi="宋体" w:cs="宋体"/>
                <w:color w:val="auto"/>
                <w:szCs w:val="21"/>
                <w:highlight w:val="none"/>
              </w:rPr>
            </w:pPr>
            <w:r>
              <w:rPr>
                <w:rFonts w:hint="default" w:ascii="Calibri" w:hAnsi="Calibri" w:cs="Calibri"/>
                <w:color w:val="auto"/>
                <w:szCs w:val="21"/>
                <w:highlight w:val="none"/>
              </w:rPr>
              <w:t>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6"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325" w:type="dxa"/>
            <w:gridSpan w:val="4"/>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投标报价＝基准价</w:t>
            </w:r>
          </w:p>
        </w:tc>
        <w:tc>
          <w:tcPr>
            <w:tcW w:w="3171" w:type="dxa"/>
            <w:gridSpan w:val="2"/>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100</w:t>
            </w:r>
          </w:p>
        </w:tc>
        <w:tc>
          <w:tcPr>
            <w:tcW w:w="3280" w:type="dxa"/>
            <w:gridSpan w:val="4"/>
            <w:vMerge w:val="continue"/>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6"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325" w:type="dxa"/>
            <w:gridSpan w:val="4"/>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投标报价＜基准价</w:t>
            </w:r>
          </w:p>
        </w:tc>
        <w:tc>
          <w:tcPr>
            <w:tcW w:w="3171" w:type="dxa"/>
            <w:gridSpan w:val="2"/>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Cs w:val="21"/>
                <w:highlight w:val="none"/>
              </w:rPr>
            </w:pPr>
            <w:r>
              <w:rPr>
                <w:rFonts w:hint="default" w:ascii="Calibri" w:hAnsi="Calibri" w:cs="Calibri"/>
                <w:color w:val="auto"/>
                <w:szCs w:val="21"/>
                <w:highlight w:val="none"/>
              </w:rPr>
              <w:t>100-0.5×100L</w:t>
            </w:r>
          </w:p>
        </w:tc>
        <w:tc>
          <w:tcPr>
            <w:tcW w:w="3280" w:type="dxa"/>
            <w:gridSpan w:val="4"/>
            <w:vMerge w:val="continue"/>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01" w:type="dxa"/>
            <w:gridSpan w:val="7"/>
            <w:noWrap w:val="0"/>
            <w:vAlign w:val="center"/>
          </w:tcPr>
          <w:p>
            <w:pPr>
              <w:keepNext w:val="0"/>
              <w:keepLines w:val="0"/>
              <w:suppressLineNumbers w:val="0"/>
              <w:spacing w:before="0" w:beforeAutospacing="0" w:after="0" w:afterAutospacing="0"/>
              <w:ind w:left="0" w:right="0"/>
              <w:jc w:val="center"/>
              <w:rPr>
                <w:rFonts w:hint="default" w:ascii="Calibri" w:hAnsi="Calibri" w:cs="Calibri"/>
                <w:bCs/>
                <w:color w:val="auto"/>
                <w:szCs w:val="21"/>
                <w:highlight w:val="none"/>
              </w:rPr>
            </w:pPr>
            <w:r>
              <w:rPr>
                <w:rFonts w:hint="default" w:ascii="Calibri" w:hAnsi="Calibri" w:cs="Calibri"/>
                <w:bCs/>
                <w:color w:val="auto"/>
                <w:szCs w:val="21"/>
                <w:highlight w:val="none"/>
              </w:rPr>
              <w:t>条款号</w:t>
            </w:r>
          </w:p>
        </w:tc>
        <w:tc>
          <w:tcPr>
            <w:tcW w:w="6451" w:type="dxa"/>
            <w:gridSpan w:val="6"/>
            <w:noWrap w:val="0"/>
            <w:vAlign w:val="center"/>
          </w:tcPr>
          <w:p>
            <w:pPr>
              <w:keepNext w:val="0"/>
              <w:keepLines w:val="0"/>
              <w:suppressLineNumbers w:val="0"/>
              <w:spacing w:before="0" w:beforeAutospacing="0" w:after="0" w:afterAutospacing="0"/>
              <w:ind w:left="0" w:right="0"/>
              <w:jc w:val="center"/>
              <w:rPr>
                <w:rFonts w:hint="default" w:ascii="Calibri" w:hAnsi="Calibri" w:cs="Calibri"/>
                <w:bCs/>
                <w:color w:val="auto"/>
                <w:szCs w:val="21"/>
                <w:highlight w:val="none"/>
              </w:rPr>
            </w:pPr>
            <w:r>
              <w:rPr>
                <w:rFonts w:hint="default" w:ascii="Calibri" w:hAnsi="Calibri" w:cs="Calibri"/>
                <w:bCs/>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76"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strike/>
                <w:color w:val="auto"/>
                <w:szCs w:val="21"/>
                <w:highlight w:val="none"/>
              </w:rPr>
            </w:pPr>
            <w:r>
              <w:rPr>
                <w:rFonts w:hint="eastAsia" w:ascii="Calibri" w:hAnsi="Calibri" w:cs="Calibri"/>
                <w:color w:val="auto"/>
                <w:szCs w:val="21"/>
                <w:highlight w:val="none"/>
              </w:rPr>
              <w:t>2.2</w:t>
            </w:r>
          </w:p>
        </w:tc>
        <w:tc>
          <w:tcPr>
            <w:tcW w:w="2325" w:type="dxa"/>
            <w:gridSpan w:val="4"/>
            <w:noWrap w:val="0"/>
            <w:vAlign w:val="center"/>
          </w:tcPr>
          <w:p>
            <w:pPr>
              <w:keepNext w:val="0"/>
              <w:keepLines w:val="0"/>
              <w:suppressLineNumbers w:val="0"/>
              <w:spacing w:before="0" w:beforeAutospacing="0" w:after="0" w:afterAutospacing="0" w:line="240" w:lineRule="exact"/>
              <w:ind w:left="0" w:right="0" w:firstLine="420" w:firstLineChars="200"/>
              <w:rPr>
                <w:rFonts w:hint="default" w:ascii="Calibri" w:hAnsi="Calibri" w:cs="Calibri"/>
                <w:bCs/>
                <w:color w:val="auto"/>
                <w:szCs w:val="21"/>
                <w:highlight w:val="none"/>
              </w:rPr>
            </w:pPr>
            <w:r>
              <w:rPr>
                <w:rFonts w:hint="default" w:ascii="Calibri" w:hAnsi="Calibri" w:cs="Calibri"/>
                <w:color w:val="auto"/>
                <w:szCs w:val="21"/>
                <w:highlight w:val="none"/>
              </w:rPr>
              <w:t>评标详细程序</w:t>
            </w:r>
          </w:p>
        </w:tc>
        <w:tc>
          <w:tcPr>
            <w:tcW w:w="6451" w:type="dxa"/>
            <w:gridSpan w:val="6"/>
            <w:noWrap w:val="0"/>
            <w:vAlign w:val="center"/>
          </w:tcPr>
          <w:p>
            <w:pPr>
              <w:keepNext w:val="0"/>
              <w:keepLines w:val="0"/>
              <w:suppressLineNumbers w:val="0"/>
              <w:spacing w:before="0" w:beforeAutospacing="0" w:after="0" w:afterAutospacing="0"/>
              <w:ind w:left="0" w:right="0"/>
              <w:rPr>
                <w:rFonts w:hint="default" w:ascii="Calibri" w:hAnsi="Calibri" w:cs="Calibri"/>
                <w:bCs/>
                <w:color w:val="auto"/>
                <w:szCs w:val="21"/>
                <w:highlight w:val="none"/>
              </w:rPr>
            </w:pPr>
            <w:r>
              <w:rPr>
                <w:rFonts w:hint="default" w:ascii="Calibri" w:hAnsi="Calibri" w:cs="Calibri"/>
                <w:color w:val="auto"/>
                <w:szCs w:val="21"/>
                <w:highlight w:val="none"/>
              </w:rPr>
              <w:t>详见本章附件3-</w:t>
            </w:r>
            <w:r>
              <w:rPr>
                <w:rFonts w:hint="eastAsia" w:ascii="Calibri" w:hAnsi="Calibri" w:cs="Calibri"/>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76" w:type="dxa"/>
            <w:gridSpan w:val="3"/>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tc>
        <w:tc>
          <w:tcPr>
            <w:tcW w:w="2325" w:type="dxa"/>
            <w:gridSpan w:val="4"/>
            <w:noWrap w:val="0"/>
            <w:vAlign w:val="center"/>
          </w:tcPr>
          <w:p>
            <w:pPr>
              <w:keepNext w:val="0"/>
              <w:keepLines w:val="0"/>
              <w:suppressLineNumbers w:val="0"/>
              <w:spacing w:before="0" w:beforeAutospacing="0" w:after="0" w:afterAutospacing="0"/>
              <w:ind w:left="0" w:right="0" w:firstLine="420" w:firstLineChars="200"/>
              <w:rPr>
                <w:rFonts w:hint="eastAsia" w:ascii="Calibri" w:hAnsi="Calibri" w:cs="Calibri"/>
                <w:color w:val="auto"/>
                <w:szCs w:val="21"/>
                <w:highlight w:val="none"/>
              </w:rPr>
            </w:pPr>
            <w:r>
              <w:rPr>
                <w:rFonts w:hint="default" w:ascii="Calibri" w:hAnsi="Calibri" w:cs="Calibri"/>
                <w:bCs/>
                <w:color w:val="auto"/>
                <w:szCs w:val="21"/>
                <w:highlight w:val="none"/>
              </w:rPr>
              <w:t>否决投标情形</w:t>
            </w:r>
          </w:p>
        </w:tc>
        <w:tc>
          <w:tcPr>
            <w:tcW w:w="6451" w:type="dxa"/>
            <w:gridSpan w:val="6"/>
            <w:noWrap w:val="0"/>
            <w:vAlign w:val="center"/>
          </w:tcPr>
          <w:p>
            <w:pPr>
              <w:keepNext w:val="0"/>
              <w:keepLines w:val="0"/>
              <w:suppressLineNumbers w:val="0"/>
              <w:spacing w:before="0" w:beforeAutospacing="0" w:after="0" w:afterAutospacing="0"/>
              <w:ind w:left="0" w:right="0"/>
              <w:rPr>
                <w:rFonts w:hint="eastAsia" w:ascii="Calibri" w:hAnsi="Calibri" w:cs="Calibri"/>
                <w:color w:val="auto"/>
                <w:szCs w:val="21"/>
                <w:highlight w:val="none"/>
              </w:rPr>
            </w:pPr>
            <w:r>
              <w:rPr>
                <w:rFonts w:hint="default" w:ascii="Calibri" w:hAnsi="Calibri" w:cs="Calibri"/>
                <w:color w:val="auto"/>
                <w:szCs w:val="21"/>
                <w:highlight w:val="none"/>
              </w:rPr>
              <w:t>详见第二章附件2-2</w:t>
            </w:r>
          </w:p>
        </w:tc>
      </w:tr>
    </w:tbl>
    <w:p>
      <w:pPr>
        <w:jc w:val="center"/>
        <w:rPr>
          <w:rFonts w:hint="eastAsia"/>
          <w:color w:val="auto"/>
          <w:sz w:val="18"/>
          <w:highlight w:val="none"/>
        </w:rPr>
      </w:pPr>
    </w:p>
    <w:p>
      <w:pPr>
        <w:jc w:val="center"/>
        <w:rPr>
          <w:rFonts w:hint="eastAsia"/>
          <w:color w:val="auto"/>
          <w:sz w:val="18"/>
          <w:highlight w:val="none"/>
        </w:rPr>
      </w:pPr>
    </w:p>
    <w:p>
      <w:pPr>
        <w:jc w:val="center"/>
        <w:rPr>
          <w:rFonts w:hint="eastAsia"/>
          <w:color w:val="auto"/>
          <w:sz w:val="18"/>
          <w:highlight w:val="none"/>
        </w:rPr>
      </w:pPr>
    </w:p>
    <w:p>
      <w:pPr>
        <w:jc w:val="center"/>
        <w:rPr>
          <w:rFonts w:eastAsia="黑体"/>
          <w:bCs/>
          <w:color w:val="auto"/>
          <w:sz w:val="30"/>
          <w:highlight w:val="none"/>
        </w:rPr>
      </w:pPr>
      <w:r>
        <w:rPr>
          <w:color w:val="auto"/>
          <w:sz w:val="18"/>
          <w:highlight w:val="none"/>
        </w:rPr>
        <w:br w:type="page"/>
      </w:r>
      <w:r>
        <w:rPr>
          <w:rFonts w:eastAsia="黑体"/>
          <w:bCs/>
          <w:color w:val="auto"/>
          <w:sz w:val="30"/>
          <w:highlight w:val="none"/>
        </w:rPr>
        <w:t>评标办法</w:t>
      </w:r>
    </w:p>
    <w:p>
      <w:pPr>
        <w:rPr>
          <w:rFonts w:eastAsia="黑体"/>
          <w:bCs/>
          <w:color w:val="auto"/>
          <w:sz w:val="30"/>
          <w:highlight w:val="none"/>
        </w:rPr>
      </w:pPr>
    </w:p>
    <w:p>
      <w:pPr>
        <w:spacing w:line="360" w:lineRule="auto"/>
        <w:ind w:firstLine="420" w:firstLineChars="200"/>
        <w:rPr>
          <w:color w:val="auto"/>
          <w:szCs w:val="21"/>
          <w:highlight w:val="none"/>
        </w:rPr>
      </w:pPr>
      <w:r>
        <w:rPr>
          <w:color w:val="auto"/>
          <w:szCs w:val="21"/>
          <w:highlight w:val="none"/>
        </w:rPr>
        <w:t>本次评标采用</w:t>
      </w:r>
      <w:r>
        <w:rPr>
          <w:color w:val="auto"/>
          <w:highlight w:val="none"/>
        </w:rPr>
        <w:t>综合评估法。评标委员会对满足招标文件实质要求的投标文件，根据规定的评分标准进行评审计分</w:t>
      </w:r>
      <w:r>
        <w:rPr>
          <w:rFonts w:hint="eastAsia"/>
          <w:color w:val="auto"/>
          <w:highlight w:val="none"/>
        </w:rPr>
        <w:t>。</w:t>
      </w:r>
      <w:r>
        <w:rPr>
          <w:color w:val="auto"/>
          <w:szCs w:val="21"/>
          <w:highlight w:val="none"/>
        </w:rPr>
        <w:t>按</w:t>
      </w:r>
      <w:r>
        <w:rPr>
          <w:rFonts w:hint="eastAsia"/>
          <w:color w:val="auto"/>
          <w:szCs w:val="21"/>
          <w:highlight w:val="none"/>
        </w:rPr>
        <w:t>照</w:t>
      </w:r>
      <w:r>
        <w:rPr>
          <w:color w:val="auto"/>
          <w:szCs w:val="21"/>
          <w:highlight w:val="none"/>
        </w:rPr>
        <w:t>评标总得分由高到低的顺序推荐中标候选人。</w:t>
      </w:r>
    </w:p>
    <w:p>
      <w:pPr>
        <w:pStyle w:val="7"/>
        <w:keepLines/>
        <w:widowControl w:val="0"/>
        <w:jc w:val="left"/>
        <w:rPr>
          <w:rFonts w:eastAsia="黑体"/>
          <w:b w:val="0"/>
          <w:bCs w:val="0"/>
          <w:color w:val="auto"/>
          <w:sz w:val="28"/>
          <w:szCs w:val="28"/>
          <w:highlight w:val="none"/>
        </w:rPr>
      </w:pPr>
      <w:bookmarkStart w:id="139" w:name="_Toc69199918"/>
      <w:r>
        <w:rPr>
          <w:rFonts w:eastAsia="黑体"/>
          <w:b w:val="0"/>
          <w:bCs w:val="0"/>
          <w:color w:val="auto"/>
          <w:sz w:val="28"/>
          <w:szCs w:val="28"/>
          <w:highlight w:val="none"/>
        </w:rPr>
        <w:t>1.评审标准</w:t>
      </w:r>
      <w:bookmarkEnd w:id="139"/>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1.1 初步评审标准</w:t>
      </w:r>
    </w:p>
    <w:p>
      <w:pPr>
        <w:spacing w:line="348" w:lineRule="auto"/>
        <w:ind w:firstLine="420" w:firstLineChars="200"/>
        <w:rPr>
          <w:color w:val="auto"/>
          <w:highlight w:val="none"/>
        </w:rPr>
      </w:pPr>
      <w:r>
        <w:rPr>
          <w:rFonts w:hint="eastAsia"/>
          <w:color w:val="auto"/>
          <w:highlight w:val="none"/>
        </w:rPr>
        <w:t>1</w:t>
      </w:r>
      <w:r>
        <w:rPr>
          <w:color w:val="auto"/>
          <w:highlight w:val="none"/>
        </w:rPr>
        <w:t>.1.1 形式评审标准：见评标办法前附表。</w:t>
      </w:r>
    </w:p>
    <w:p>
      <w:pPr>
        <w:spacing w:line="348" w:lineRule="auto"/>
        <w:ind w:firstLine="420" w:firstLineChars="200"/>
        <w:rPr>
          <w:color w:val="auto"/>
          <w:highlight w:val="none"/>
        </w:rPr>
      </w:pPr>
      <w:r>
        <w:rPr>
          <w:rFonts w:hint="eastAsia"/>
          <w:color w:val="auto"/>
          <w:highlight w:val="none"/>
        </w:rPr>
        <w:t>1</w:t>
      </w:r>
      <w:r>
        <w:rPr>
          <w:color w:val="auto"/>
          <w:highlight w:val="none"/>
        </w:rPr>
        <w:t>.1.2 资格评审标准： 见评标办法前附表</w:t>
      </w:r>
    </w:p>
    <w:p>
      <w:pPr>
        <w:spacing w:line="348" w:lineRule="auto"/>
        <w:ind w:firstLine="420" w:firstLineChars="200"/>
        <w:rPr>
          <w:color w:val="auto"/>
          <w:highlight w:val="none"/>
        </w:rPr>
      </w:pPr>
      <w:r>
        <w:rPr>
          <w:color w:val="auto"/>
          <w:highlight w:val="none"/>
        </w:rPr>
        <w:t>已进行资格预审的，见本招标项目资格预审文件第三章“资格审查办法”详细审查标准</w:t>
      </w:r>
      <w:r>
        <w:rPr>
          <w:rFonts w:hint="eastAsia"/>
          <w:color w:val="auto"/>
          <w:highlight w:val="none"/>
        </w:rPr>
        <w:t>。</w:t>
      </w:r>
    </w:p>
    <w:p>
      <w:pPr>
        <w:spacing w:line="348" w:lineRule="auto"/>
        <w:ind w:firstLine="420" w:firstLineChars="200"/>
        <w:rPr>
          <w:color w:val="auto"/>
          <w:highlight w:val="none"/>
        </w:rPr>
      </w:pPr>
      <w:r>
        <w:rPr>
          <w:rFonts w:hint="eastAsia"/>
          <w:color w:val="auto"/>
          <w:highlight w:val="none"/>
        </w:rPr>
        <w:t>1</w:t>
      </w:r>
      <w:r>
        <w:rPr>
          <w:color w:val="auto"/>
          <w:highlight w:val="none"/>
        </w:rPr>
        <w:t>.1.3 响应性评审标准：见评标办法前附表。</w:t>
      </w:r>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1.2评分标准与权值构成</w:t>
      </w:r>
    </w:p>
    <w:p>
      <w:pPr>
        <w:spacing w:line="360" w:lineRule="auto"/>
        <w:ind w:firstLine="420" w:firstLineChars="200"/>
        <w:rPr>
          <w:color w:val="auto"/>
          <w:szCs w:val="21"/>
          <w:highlight w:val="none"/>
        </w:rPr>
      </w:pPr>
      <w:r>
        <w:rPr>
          <w:color w:val="auto"/>
          <w:szCs w:val="21"/>
          <w:highlight w:val="none"/>
        </w:rPr>
        <w:t>1.2.1 评分标准</w:t>
      </w:r>
    </w:p>
    <w:p>
      <w:pPr>
        <w:spacing w:line="360" w:lineRule="auto"/>
        <w:ind w:firstLine="420" w:firstLineChars="200"/>
        <w:rPr>
          <w:color w:val="auto"/>
          <w:szCs w:val="21"/>
          <w:highlight w:val="none"/>
        </w:rPr>
      </w:pPr>
      <w:r>
        <w:rPr>
          <w:color w:val="auto"/>
          <w:szCs w:val="21"/>
          <w:highlight w:val="none"/>
        </w:rPr>
        <w:t>（l）</w:t>
      </w:r>
      <w:r>
        <w:rPr>
          <w:rFonts w:hint="eastAsia"/>
          <w:color w:val="auto"/>
          <w:szCs w:val="21"/>
          <w:highlight w:val="none"/>
        </w:rPr>
        <w:t>技术方案</w:t>
      </w:r>
      <w:r>
        <w:rPr>
          <w:color w:val="auto"/>
          <w:szCs w:val="21"/>
          <w:highlight w:val="none"/>
        </w:rPr>
        <w:t>：见评标办法前附表；</w:t>
      </w:r>
    </w:p>
    <w:p>
      <w:pPr>
        <w:spacing w:line="360" w:lineRule="auto"/>
        <w:ind w:firstLine="420" w:firstLineChars="200"/>
        <w:rPr>
          <w:color w:val="auto"/>
          <w:szCs w:val="21"/>
          <w:highlight w:val="none"/>
        </w:rPr>
      </w:pPr>
      <w:r>
        <w:rPr>
          <w:color w:val="auto"/>
          <w:szCs w:val="21"/>
          <w:highlight w:val="none"/>
        </w:rPr>
        <w:t>（2）</w:t>
      </w:r>
      <w:r>
        <w:rPr>
          <w:rFonts w:hint="eastAsia" w:ascii="宋体" w:hAnsi="宋体"/>
          <w:color w:val="auto"/>
          <w:szCs w:val="21"/>
          <w:highlight w:val="none"/>
        </w:rPr>
        <w:t>企业资信及履约能力</w:t>
      </w:r>
      <w:r>
        <w:rPr>
          <w:color w:val="auto"/>
          <w:szCs w:val="21"/>
          <w:highlight w:val="none"/>
        </w:rPr>
        <w:t>：见评标办法前附表；</w:t>
      </w:r>
    </w:p>
    <w:p>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rPr>
        <w:t>3</w:t>
      </w:r>
      <w:r>
        <w:rPr>
          <w:color w:val="auto"/>
          <w:szCs w:val="21"/>
          <w:highlight w:val="none"/>
        </w:rPr>
        <w:t>）投标报价：见评标办法前附表。</w:t>
      </w:r>
    </w:p>
    <w:p>
      <w:pPr>
        <w:spacing w:line="360" w:lineRule="auto"/>
        <w:ind w:firstLine="420" w:firstLineChars="200"/>
        <w:rPr>
          <w:color w:val="auto"/>
          <w:szCs w:val="21"/>
          <w:highlight w:val="none"/>
        </w:rPr>
      </w:pPr>
      <w:r>
        <w:rPr>
          <w:color w:val="auto"/>
          <w:szCs w:val="21"/>
          <w:highlight w:val="none"/>
        </w:rPr>
        <w:t>1.2.2 权值构成</w:t>
      </w:r>
    </w:p>
    <w:p>
      <w:pPr>
        <w:spacing w:line="360" w:lineRule="auto"/>
        <w:ind w:firstLine="420" w:firstLineChars="200"/>
        <w:rPr>
          <w:color w:val="auto"/>
          <w:szCs w:val="21"/>
          <w:highlight w:val="none"/>
        </w:rPr>
      </w:pPr>
      <w:r>
        <w:rPr>
          <w:color w:val="auto"/>
          <w:szCs w:val="21"/>
          <w:highlight w:val="none"/>
        </w:rPr>
        <w:t>见评标办法前附表。</w:t>
      </w:r>
    </w:p>
    <w:p>
      <w:pPr>
        <w:pStyle w:val="7"/>
        <w:keepLines/>
        <w:widowControl w:val="0"/>
        <w:jc w:val="left"/>
        <w:rPr>
          <w:rFonts w:eastAsia="黑体"/>
          <w:b w:val="0"/>
          <w:bCs w:val="0"/>
          <w:color w:val="auto"/>
          <w:sz w:val="28"/>
          <w:szCs w:val="28"/>
          <w:highlight w:val="none"/>
        </w:rPr>
      </w:pPr>
      <w:bookmarkStart w:id="140" w:name="_Toc69199919"/>
      <w:bookmarkStart w:id="141" w:name="_Toc9178535"/>
      <w:r>
        <w:rPr>
          <w:rFonts w:eastAsia="黑体"/>
          <w:b w:val="0"/>
          <w:bCs w:val="0"/>
          <w:color w:val="auto"/>
          <w:sz w:val="28"/>
          <w:szCs w:val="28"/>
          <w:highlight w:val="none"/>
        </w:rPr>
        <w:t>2.评审程序</w:t>
      </w:r>
      <w:bookmarkEnd w:id="140"/>
      <w:bookmarkEnd w:id="141"/>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2.1 初步评审</w:t>
      </w:r>
    </w:p>
    <w:p>
      <w:pPr>
        <w:spacing w:line="348" w:lineRule="auto"/>
        <w:ind w:firstLine="420" w:firstLineChars="200"/>
        <w:rPr>
          <w:color w:val="auto"/>
          <w:highlight w:val="none"/>
        </w:rPr>
      </w:pPr>
      <w:r>
        <w:rPr>
          <w:color w:val="auto"/>
          <w:highlight w:val="none"/>
        </w:rPr>
        <w:t>评标委员会</w:t>
      </w:r>
      <w:r>
        <w:rPr>
          <w:rFonts w:hint="eastAsia"/>
          <w:color w:val="auto"/>
          <w:highlight w:val="none"/>
        </w:rPr>
        <w:t>按评标办法</w:t>
      </w:r>
      <w:r>
        <w:rPr>
          <w:color w:val="auto"/>
          <w:highlight w:val="none"/>
        </w:rPr>
        <w:t>第</w:t>
      </w:r>
      <w:r>
        <w:rPr>
          <w:rFonts w:hint="eastAsia"/>
          <w:color w:val="auto"/>
          <w:highlight w:val="none"/>
        </w:rPr>
        <w:t>1</w:t>
      </w:r>
      <w:r>
        <w:rPr>
          <w:color w:val="auto"/>
          <w:highlight w:val="none"/>
        </w:rPr>
        <w:t>.</w:t>
      </w:r>
      <w:r>
        <w:rPr>
          <w:rFonts w:hint="eastAsia"/>
          <w:color w:val="auto"/>
          <w:highlight w:val="none"/>
        </w:rPr>
        <w:t>1项</w:t>
      </w:r>
      <w:r>
        <w:rPr>
          <w:color w:val="auto"/>
          <w:highlight w:val="none"/>
        </w:rPr>
        <w:t>规定的标准对投标文件进行初步评审。有一项不符合评审标准的，应当予以否决。</w:t>
      </w:r>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2.2 详细评审</w:t>
      </w:r>
    </w:p>
    <w:p>
      <w:pPr>
        <w:spacing w:line="360" w:lineRule="auto"/>
        <w:ind w:firstLine="420" w:firstLineChars="200"/>
        <w:rPr>
          <w:color w:val="auto"/>
          <w:szCs w:val="21"/>
          <w:highlight w:val="none"/>
        </w:rPr>
      </w:pPr>
      <w:r>
        <w:rPr>
          <w:color w:val="auto"/>
          <w:szCs w:val="21"/>
          <w:highlight w:val="none"/>
        </w:rPr>
        <w:t xml:space="preserve">评标委员会按评标办法1.2 </w:t>
      </w:r>
      <w:r>
        <w:rPr>
          <w:rFonts w:hint="eastAsia"/>
          <w:color w:val="auto"/>
          <w:szCs w:val="21"/>
          <w:highlight w:val="none"/>
        </w:rPr>
        <w:t>项</w:t>
      </w:r>
      <w:r>
        <w:rPr>
          <w:color w:val="auto"/>
          <w:szCs w:val="21"/>
          <w:highlight w:val="none"/>
        </w:rPr>
        <w:t>规定的评审因素和标准进行评审计分，并计算出投标人评标总得分。</w:t>
      </w:r>
    </w:p>
    <w:p>
      <w:pPr>
        <w:pStyle w:val="8"/>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t>2.3 投标文件的澄清和补正</w:t>
      </w:r>
    </w:p>
    <w:p>
      <w:pPr>
        <w:spacing w:line="348" w:lineRule="auto"/>
        <w:ind w:firstLine="420" w:firstLineChars="200"/>
        <w:rPr>
          <w:color w:val="auto"/>
          <w:highlight w:val="none"/>
        </w:rPr>
      </w:pPr>
      <w:r>
        <w:rPr>
          <w:color w:val="auto"/>
          <w:highlight w:val="none"/>
        </w:rPr>
        <w:t>2.3.1在评标过程中，评标委员会可以书面形式要求投标人对所提交的投标文件中不明确的内容进行书面澄清或说明，或者对细微偏差进行补正。评标委员会不接受投标人主动提出的澄清、说明或补正。</w:t>
      </w:r>
    </w:p>
    <w:p>
      <w:pPr>
        <w:spacing w:line="348" w:lineRule="auto"/>
        <w:ind w:firstLine="420" w:firstLineChars="200"/>
        <w:rPr>
          <w:color w:val="auto"/>
          <w:highlight w:val="none"/>
        </w:rPr>
      </w:pPr>
      <w:r>
        <w:rPr>
          <w:color w:val="auto"/>
          <w:highlight w:val="none"/>
        </w:rPr>
        <w:t>2.3.2 澄清、说明和补正不得改变投标文件的实质性内容（算术性错误修正的除外）。投标人的书面澄清、说明和补正属于投标文件的组成部分。</w:t>
      </w:r>
    </w:p>
    <w:p>
      <w:pPr>
        <w:spacing w:line="348" w:lineRule="auto"/>
        <w:ind w:firstLine="420" w:firstLineChars="200"/>
        <w:rPr>
          <w:color w:val="auto"/>
          <w:highlight w:val="none"/>
        </w:rPr>
      </w:pPr>
      <w:r>
        <w:rPr>
          <w:color w:val="auto"/>
          <w:highlight w:val="none"/>
        </w:rPr>
        <w:t>2.3.3 评标委员会对投标人提交的澄清、说明或补正有疑问的，可以要求投标人进一步澄清、说明或补正，直至满足评标委员会的要求。</w:t>
      </w:r>
    </w:p>
    <w:p>
      <w:pPr>
        <w:pStyle w:val="7"/>
        <w:keepLines/>
        <w:widowControl w:val="0"/>
        <w:jc w:val="left"/>
        <w:rPr>
          <w:rFonts w:eastAsia="黑体"/>
          <w:b w:val="0"/>
          <w:bCs w:val="0"/>
          <w:color w:val="auto"/>
          <w:sz w:val="28"/>
          <w:szCs w:val="28"/>
          <w:highlight w:val="none"/>
        </w:rPr>
      </w:pPr>
      <w:bookmarkStart w:id="142" w:name="_Toc69199920"/>
      <w:r>
        <w:rPr>
          <w:rFonts w:eastAsia="黑体"/>
          <w:b w:val="0"/>
          <w:bCs w:val="0"/>
          <w:color w:val="auto"/>
          <w:sz w:val="28"/>
          <w:szCs w:val="28"/>
          <w:highlight w:val="none"/>
        </w:rPr>
        <w:t>3 评标结果</w:t>
      </w:r>
      <w:bookmarkEnd w:id="142"/>
    </w:p>
    <w:p>
      <w:pPr>
        <w:numPr>
          <w:ilvl w:val="1"/>
          <w:numId w:val="11"/>
        </w:numPr>
        <w:spacing w:line="360" w:lineRule="auto"/>
        <w:ind w:firstLine="420" w:firstLineChars="200"/>
        <w:rPr>
          <w:rFonts w:hint="eastAsia"/>
          <w:bCs/>
          <w:color w:val="auto"/>
          <w:szCs w:val="21"/>
          <w:highlight w:val="none"/>
          <w:u w:val="single"/>
        </w:rPr>
      </w:pPr>
      <w:r>
        <w:rPr>
          <w:color w:val="auto"/>
          <w:szCs w:val="21"/>
          <w:highlight w:val="none"/>
        </w:rPr>
        <w:t>评标委员会按照按评标总得分由高到低的顺序推荐中标候选人。</w:t>
      </w:r>
      <w:r>
        <w:rPr>
          <w:rFonts w:hint="eastAsia"/>
          <w:color w:val="auto"/>
          <w:szCs w:val="21"/>
          <w:highlight w:val="none"/>
        </w:rPr>
        <w:t>投标人评标总得分相同时，按照其投标报价由低至高排序。投标报价也相同时，依次按企业资信及履约能力、技术方案得分由高到低确定排序。以上都相同时，由评标委员会投票确定排序。</w:t>
      </w:r>
    </w:p>
    <w:p>
      <w:pPr>
        <w:spacing w:line="360" w:lineRule="auto"/>
        <w:ind w:firstLine="420" w:firstLineChars="200"/>
        <w:rPr>
          <w:color w:val="auto"/>
          <w:highlight w:val="none"/>
        </w:rPr>
      </w:pPr>
      <w:r>
        <w:rPr>
          <w:color w:val="auto"/>
          <w:highlight w:val="none"/>
        </w:rPr>
        <w:t>3.2 评标委员会完成评标后，向招标人提交书面评标报告。</w:t>
      </w:r>
    </w:p>
    <w:p>
      <w:pPr>
        <w:spacing w:line="348" w:lineRule="auto"/>
        <w:ind w:firstLine="420" w:firstLineChars="200"/>
        <w:rPr>
          <w:color w:val="auto"/>
          <w:highlight w:val="none"/>
        </w:rPr>
      </w:pPr>
    </w:p>
    <w:p>
      <w:pPr>
        <w:widowControl/>
        <w:jc w:val="left"/>
        <w:rPr>
          <w:color w:val="auto"/>
          <w:highlight w:val="none"/>
        </w:rPr>
      </w:pPr>
      <w:r>
        <w:rPr>
          <w:color w:val="auto"/>
          <w:highlight w:val="none"/>
        </w:rPr>
        <w:br w:type="page"/>
      </w:r>
      <w:bookmarkStart w:id="143" w:name="_Toc300678220"/>
      <w:r>
        <w:rPr>
          <w:rFonts w:eastAsia="黑体"/>
          <w:bCs/>
          <w:color w:val="auto"/>
          <w:sz w:val="24"/>
          <w:highlight w:val="none"/>
        </w:rPr>
        <w:t>附件3-</w:t>
      </w:r>
      <w:r>
        <w:rPr>
          <w:rFonts w:hint="eastAsia" w:eastAsia="黑体"/>
          <w:bCs/>
          <w:color w:val="auto"/>
          <w:sz w:val="24"/>
          <w:highlight w:val="none"/>
        </w:rPr>
        <w:t>1</w:t>
      </w:r>
      <w:r>
        <w:rPr>
          <w:rFonts w:eastAsia="黑体"/>
          <w:bCs/>
          <w:color w:val="auto"/>
          <w:sz w:val="24"/>
          <w:highlight w:val="none"/>
        </w:rPr>
        <w:t>：评标详细程序</w:t>
      </w:r>
    </w:p>
    <w:p>
      <w:pPr>
        <w:spacing w:after="120" w:afterLines="50" w:line="420" w:lineRule="exact"/>
        <w:jc w:val="center"/>
        <w:rPr>
          <w:rFonts w:eastAsia="黑体"/>
          <w:color w:val="auto"/>
          <w:sz w:val="28"/>
          <w:szCs w:val="28"/>
          <w:highlight w:val="none"/>
        </w:rPr>
      </w:pPr>
      <w:r>
        <w:rPr>
          <w:rFonts w:eastAsia="黑体"/>
          <w:color w:val="auto"/>
          <w:sz w:val="28"/>
          <w:szCs w:val="28"/>
          <w:highlight w:val="none"/>
        </w:rPr>
        <w:t>评标详细程序</w:t>
      </w:r>
    </w:p>
    <w:p>
      <w:pPr>
        <w:spacing w:line="360" w:lineRule="auto"/>
        <w:rPr>
          <w:rFonts w:eastAsia="黑体"/>
          <w:color w:val="auto"/>
          <w:sz w:val="24"/>
          <w:highlight w:val="none"/>
        </w:rPr>
      </w:pPr>
    </w:p>
    <w:p>
      <w:pPr>
        <w:spacing w:line="360" w:lineRule="auto"/>
        <w:ind w:firstLine="420" w:firstLineChars="200"/>
        <w:rPr>
          <w:color w:val="auto"/>
          <w:highlight w:val="none"/>
        </w:rPr>
      </w:pPr>
      <w:r>
        <w:rPr>
          <w:color w:val="auto"/>
          <w:highlight w:val="none"/>
        </w:rPr>
        <w:t>本附件是评标办法的组成部分，是对本评标办法规定的评审程序的进一步细化，评标委员会应当按照本附件规定开展评标工作。</w:t>
      </w:r>
    </w:p>
    <w:p>
      <w:pPr>
        <w:spacing w:line="360" w:lineRule="auto"/>
        <w:ind w:firstLine="240" w:firstLineChars="100"/>
        <w:rPr>
          <w:rFonts w:eastAsia="黑体"/>
          <w:color w:val="auto"/>
          <w:sz w:val="24"/>
          <w:highlight w:val="none"/>
        </w:rPr>
      </w:pPr>
      <w:r>
        <w:rPr>
          <w:rFonts w:eastAsia="黑体"/>
          <w:color w:val="auto"/>
          <w:sz w:val="24"/>
          <w:highlight w:val="none"/>
        </w:rPr>
        <w:t>1.基本程序</w:t>
      </w:r>
    </w:p>
    <w:p>
      <w:pPr>
        <w:spacing w:line="360" w:lineRule="auto"/>
        <w:ind w:firstLine="420" w:firstLineChars="200"/>
        <w:rPr>
          <w:color w:val="auto"/>
          <w:highlight w:val="none"/>
        </w:rPr>
      </w:pPr>
      <w:r>
        <w:rPr>
          <w:color w:val="auto"/>
          <w:highlight w:val="none"/>
        </w:rPr>
        <w:t>评标活动将按以下五个步骤进行：</w:t>
      </w:r>
    </w:p>
    <w:p>
      <w:pPr>
        <w:spacing w:line="360" w:lineRule="auto"/>
        <w:ind w:firstLine="420" w:firstLineChars="200"/>
        <w:rPr>
          <w:color w:val="auto"/>
          <w:highlight w:val="none"/>
        </w:rPr>
      </w:pPr>
      <w:r>
        <w:rPr>
          <w:color w:val="auto"/>
          <w:highlight w:val="none"/>
        </w:rPr>
        <w:t>（1）评标准备；</w:t>
      </w:r>
    </w:p>
    <w:p>
      <w:pPr>
        <w:spacing w:line="360" w:lineRule="auto"/>
        <w:ind w:firstLine="420" w:firstLineChars="200"/>
        <w:rPr>
          <w:color w:val="auto"/>
          <w:highlight w:val="none"/>
        </w:rPr>
      </w:pPr>
      <w:r>
        <w:rPr>
          <w:color w:val="auto"/>
          <w:highlight w:val="none"/>
        </w:rPr>
        <w:t>（2）初步评审：</w:t>
      </w:r>
    </w:p>
    <w:p>
      <w:pPr>
        <w:spacing w:line="360" w:lineRule="auto"/>
        <w:ind w:firstLine="420" w:firstLineChars="200"/>
        <w:rPr>
          <w:color w:val="auto"/>
          <w:highlight w:val="none"/>
        </w:rPr>
      </w:pPr>
      <w:r>
        <w:rPr>
          <w:color w:val="auto"/>
          <w:highlight w:val="none"/>
        </w:rPr>
        <w:t>（3）详细评审；</w:t>
      </w:r>
    </w:p>
    <w:p>
      <w:pPr>
        <w:spacing w:line="360" w:lineRule="auto"/>
        <w:ind w:firstLine="420" w:firstLineChars="200"/>
        <w:rPr>
          <w:color w:val="auto"/>
          <w:highlight w:val="none"/>
        </w:rPr>
      </w:pPr>
      <w:r>
        <w:rPr>
          <w:color w:val="auto"/>
          <w:highlight w:val="none"/>
        </w:rPr>
        <w:t>（4）澄清、说明或补正；</w:t>
      </w:r>
    </w:p>
    <w:p>
      <w:pPr>
        <w:spacing w:line="360" w:lineRule="auto"/>
        <w:ind w:firstLine="420" w:firstLineChars="200"/>
        <w:rPr>
          <w:color w:val="auto"/>
          <w:highlight w:val="none"/>
        </w:rPr>
      </w:pPr>
      <w:r>
        <w:rPr>
          <w:color w:val="auto"/>
          <w:highlight w:val="none"/>
        </w:rPr>
        <w:t>（5）推荐中标候选人及提交评标报告。</w:t>
      </w:r>
    </w:p>
    <w:p>
      <w:pPr>
        <w:spacing w:line="360" w:lineRule="auto"/>
        <w:ind w:firstLine="240" w:firstLineChars="100"/>
        <w:rPr>
          <w:rFonts w:eastAsia="黑体"/>
          <w:color w:val="auto"/>
          <w:sz w:val="24"/>
          <w:highlight w:val="none"/>
        </w:rPr>
      </w:pPr>
      <w:r>
        <w:rPr>
          <w:rFonts w:eastAsia="黑体"/>
          <w:color w:val="auto"/>
          <w:sz w:val="24"/>
          <w:highlight w:val="none"/>
        </w:rPr>
        <w:t>2.评标准备</w:t>
      </w:r>
    </w:p>
    <w:p>
      <w:pPr>
        <w:spacing w:line="360" w:lineRule="auto"/>
        <w:ind w:firstLine="420" w:firstLineChars="200"/>
        <w:rPr>
          <w:color w:val="auto"/>
          <w:szCs w:val="21"/>
          <w:highlight w:val="none"/>
        </w:rPr>
      </w:pPr>
      <w:r>
        <w:rPr>
          <w:color w:val="auto"/>
          <w:szCs w:val="21"/>
          <w:highlight w:val="none"/>
        </w:rPr>
        <w:t>2.1 评标委员会成员签到</w:t>
      </w:r>
    </w:p>
    <w:p>
      <w:pPr>
        <w:spacing w:line="360" w:lineRule="auto"/>
        <w:ind w:firstLine="420" w:firstLineChars="200"/>
        <w:rPr>
          <w:color w:val="auto"/>
          <w:highlight w:val="none"/>
        </w:rPr>
      </w:pPr>
      <w:r>
        <w:rPr>
          <w:color w:val="auto"/>
          <w:highlight w:val="none"/>
        </w:rPr>
        <w:t>评标委员会成员到达评标现场时应在签到表上签到以证明其出席。</w:t>
      </w:r>
    </w:p>
    <w:p>
      <w:pPr>
        <w:spacing w:line="360" w:lineRule="auto"/>
        <w:ind w:firstLine="420" w:firstLineChars="200"/>
        <w:rPr>
          <w:color w:val="auto"/>
          <w:szCs w:val="21"/>
          <w:highlight w:val="none"/>
        </w:rPr>
      </w:pPr>
      <w:r>
        <w:rPr>
          <w:color w:val="auto"/>
          <w:szCs w:val="21"/>
          <w:highlight w:val="none"/>
        </w:rPr>
        <w:t>2.2 评标委员会的分工</w:t>
      </w:r>
    </w:p>
    <w:p>
      <w:pPr>
        <w:spacing w:line="360" w:lineRule="auto"/>
        <w:ind w:firstLine="420" w:firstLineChars="200"/>
        <w:rPr>
          <w:color w:val="auto"/>
          <w:highlight w:val="none"/>
        </w:rPr>
      </w:pPr>
      <w:r>
        <w:rPr>
          <w:color w:val="auto"/>
          <w:highlight w:val="none"/>
        </w:rPr>
        <w:t>评标委员会首先推举一名评标委员会主任。评标委员会主任负责主持评标活动。</w:t>
      </w:r>
      <w:r>
        <w:rPr>
          <w:rFonts w:hint="eastAsia"/>
          <w:color w:val="auto"/>
          <w:highlight w:val="none"/>
        </w:rPr>
        <w:t>技术方案中设计方案、施工组织设计的评审应按评委专业类别采用分组（设计评审组、施工组织评审组）评审，各小组成员数量为3人及以上，分组方案应当经全体成员同意。</w:t>
      </w:r>
    </w:p>
    <w:p>
      <w:pPr>
        <w:spacing w:line="360" w:lineRule="auto"/>
        <w:ind w:firstLine="420" w:firstLineChars="200"/>
        <w:rPr>
          <w:color w:val="auto"/>
          <w:szCs w:val="21"/>
          <w:highlight w:val="none"/>
        </w:rPr>
      </w:pPr>
      <w:r>
        <w:rPr>
          <w:color w:val="auto"/>
          <w:szCs w:val="21"/>
          <w:highlight w:val="none"/>
        </w:rPr>
        <w:t>2.3 熟悉文件资料</w:t>
      </w:r>
    </w:p>
    <w:p>
      <w:pPr>
        <w:spacing w:line="360" w:lineRule="auto"/>
        <w:ind w:firstLine="420" w:firstLineChars="200"/>
        <w:rPr>
          <w:color w:val="auto"/>
          <w:highlight w:val="none"/>
        </w:rPr>
      </w:pPr>
      <w:r>
        <w:rPr>
          <w:color w:val="auto"/>
          <w:highlight w:val="none"/>
        </w:rPr>
        <w:t>2.3.1 评标委员会主任应组织评标委员会成员认真研究招标文件，了解和熟悉招标</w:t>
      </w:r>
      <w:r>
        <w:rPr>
          <w:rFonts w:hint="eastAsia"/>
          <w:color w:val="auto"/>
          <w:highlight w:val="none"/>
        </w:rPr>
        <w:t>的</w:t>
      </w:r>
      <w:r>
        <w:rPr>
          <w:color w:val="auto"/>
          <w:highlight w:val="none"/>
        </w:rPr>
        <w:t>目</w:t>
      </w:r>
      <w:r>
        <w:rPr>
          <w:rFonts w:hint="eastAsia"/>
          <w:color w:val="auto"/>
          <w:highlight w:val="none"/>
        </w:rPr>
        <w:t>标</w:t>
      </w:r>
      <w:r>
        <w:rPr>
          <w:color w:val="auto"/>
          <w:highlight w:val="none"/>
        </w:rPr>
        <w:t>、招标范围</w:t>
      </w:r>
      <w:r>
        <w:rPr>
          <w:rFonts w:hint="eastAsia"/>
          <w:color w:val="auto"/>
          <w:highlight w:val="none"/>
        </w:rPr>
        <w:t>和性质</w:t>
      </w:r>
      <w:r>
        <w:rPr>
          <w:color w:val="auto"/>
          <w:highlight w:val="none"/>
        </w:rPr>
        <w:t>、</w:t>
      </w:r>
      <w:r>
        <w:rPr>
          <w:rFonts w:hint="eastAsia"/>
          <w:color w:val="auto"/>
          <w:highlight w:val="none"/>
        </w:rPr>
        <w:t>主要技术要求、标准和商务条款、质量标准和工程总承包工期要求</w:t>
      </w:r>
      <w:r>
        <w:rPr>
          <w:color w:val="auto"/>
          <w:highlight w:val="none"/>
        </w:rPr>
        <w:t>等，掌握评标标准和方法。未在招标文件中规定的标准和方法不得作为评标的依据。</w:t>
      </w:r>
    </w:p>
    <w:p>
      <w:pPr>
        <w:spacing w:line="360" w:lineRule="auto"/>
        <w:ind w:firstLine="420" w:firstLineChars="200"/>
        <w:rPr>
          <w:color w:val="auto"/>
          <w:highlight w:val="none"/>
        </w:rPr>
      </w:pPr>
      <w:r>
        <w:rPr>
          <w:color w:val="auto"/>
          <w:highlight w:val="none"/>
        </w:rPr>
        <w:t>2.3.2 招标人或招标代理机构应向评标委员会提供评标所需的信息和数据，包括招标文件、未在开标会上当场拒绝的各投标文件、开标会记录、资格预审申请文件（适用于已进行资格预审的）、最高投标限价或标底（如果有）、工程所在地工程造价管理部门颁布的工程造价信息、定额（如作为计价依据时）、有关的法律、法规、规章、国家标准以及招标人或评标委员会认为必要的其他信息和数据。</w:t>
      </w:r>
    </w:p>
    <w:p>
      <w:pPr>
        <w:spacing w:line="360" w:lineRule="auto"/>
        <w:ind w:firstLine="420" w:firstLineChars="200"/>
        <w:rPr>
          <w:color w:val="auto"/>
          <w:szCs w:val="21"/>
          <w:highlight w:val="none"/>
        </w:rPr>
      </w:pPr>
      <w:r>
        <w:rPr>
          <w:color w:val="auto"/>
          <w:szCs w:val="21"/>
          <w:highlight w:val="none"/>
        </w:rPr>
        <w:t xml:space="preserve">2.4 </w:t>
      </w:r>
      <w:r>
        <w:rPr>
          <w:rFonts w:hint="eastAsia"/>
          <w:color w:val="auto"/>
          <w:szCs w:val="21"/>
          <w:highlight w:val="none"/>
        </w:rPr>
        <w:t>技术方案（</w:t>
      </w:r>
      <w:r>
        <w:rPr>
          <w:color w:val="auto"/>
          <w:szCs w:val="21"/>
          <w:highlight w:val="none"/>
        </w:rPr>
        <w:t>暗标</w:t>
      </w:r>
      <w:r>
        <w:rPr>
          <w:rFonts w:hint="eastAsia"/>
          <w:color w:val="auto"/>
          <w:szCs w:val="21"/>
          <w:highlight w:val="none"/>
        </w:rPr>
        <w:t>）</w:t>
      </w:r>
      <w:r>
        <w:rPr>
          <w:color w:val="auto"/>
          <w:szCs w:val="21"/>
          <w:highlight w:val="none"/>
        </w:rPr>
        <w:t>编号</w:t>
      </w:r>
    </w:p>
    <w:p>
      <w:pPr>
        <w:adjustRightInd w:val="0"/>
        <w:snapToGrid w:val="0"/>
        <w:spacing w:line="360" w:lineRule="auto"/>
        <w:ind w:firstLine="420" w:firstLineChars="200"/>
        <w:rPr>
          <w:color w:val="auto"/>
          <w:szCs w:val="21"/>
          <w:highlight w:val="none"/>
        </w:rPr>
      </w:pPr>
      <w:r>
        <w:rPr>
          <w:rFonts w:hint="eastAsia"/>
          <w:color w:val="auto"/>
          <w:szCs w:val="21"/>
          <w:highlight w:val="none"/>
        </w:rPr>
        <w:t>第二章投标人须知前附表要求对技术方案采用“暗标”评审方式的，按照随机方式对投标人的技术方案进行编号。</w:t>
      </w:r>
    </w:p>
    <w:p>
      <w:pPr>
        <w:spacing w:line="360" w:lineRule="auto"/>
        <w:ind w:firstLine="210" w:firstLineChars="100"/>
        <w:rPr>
          <w:color w:val="auto"/>
          <w:szCs w:val="21"/>
          <w:highlight w:val="none"/>
        </w:rPr>
      </w:pPr>
      <w:r>
        <w:rPr>
          <w:color w:val="auto"/>
          <w:szCs w:val="21"/>
          <w:highlight w:val="none"/>
        </w:rPr>
        <w:t>2.5 对投标文件进行基础性数据分析和整理工作（以下简称：清标）</w:t>
      </w:r>
    </w:p>
    <w:p>
      <w:pPr>
        <w:spacing w:line="360" w:lineRule="auto"/>
        <w:ind w:firstLine="420" w:firstLineChars="200"/>
        <w:rPr>
          <w:color w:val="auto"/>
          <w:highlight w:val="none"/>
        </w:rPr>
      </w:pPr>
      <w:r>
        <w:rPr>
          <w:color w:val="auto"/>
          <w:highlight w:val="none"/>
        </w:rPr>
        <w:t>2.5.1 在不改变投标人投标文件实质性内容的前提下，评标委员会应当进行清标，发现并提取其中可能存在的对招标范围理解的偏差、投标报价的算术性错误、错漏项、投标报价构成不合理、不平衡报价等明显异常的问题，并将这些问题整理形成清标成果。评标委员会对清标成果审议后，对于需要投标人进行书面澄清、说明或补正的问题，形成质疑问卷，向投标人发出问题澄清通知或者质疑问卷。</w:t>
      </w:r>
    </w:p>
    <w:p>
      <w:pPr>
        <w:spacing w:line="360" w:lineRule="auto"/>
        <w:ind w:firstLine="420" w:firstLineChars="200"/>
        <w:rPr>
          <w:color w:val="auto"/>
          <w:highlight w:val="none"/>
        </w:rPr>
      </w:pPr>
      <w:r>
        <w:rPr>
          <w:color w:val="auto"/>
          <w:highlight w:val="none"/>
        </w:rPr>
        <w:t>2.5.2 投标人应当按照评标委员会的要求，提供书面澄清说明资料并按要求进行密封，在规定的时间递交到指定地点，由评标委员会开启。</w:t>
      </w:r>
    </w:p>
    <w:p>
      <w:pPr>
        <w:spacing w:line="360" w:lineRule="auto"/>
        <w:rPr>
          <w:rFonts w:eastAsia="黑体"/>
          <w:color w:val="auto"/>
          <w:sz w:val="24"/>
          <w:highlight w:val="none"/>
        </w:rPr>
      </w:pPr>
      <w:r>
        <w:rPr>
          <w:rFonts w:eastAsia="黑体"/>
          <w:color w:val="auto"/>
          <w:sz w:val="24"/>
          <w:highlight w:val="none"/>
        </w:rPr>
        <w:t>3.初步评审</w:t>
      </w:r>
    </w:p>
    <w:p>
      <w:pPr>
        <w:spacing w:line="360" w:lineRule="auto"/>
        <w:ind w:firstLine="420" w:firstLineChars="200"/>
        <w:rPr>
          <w:color w:val="auto"/>
          <w:highlight w:val="none"/>
        </w:rPr>
      </w:pPr>
      <w:r>
        <w:rPr>
          <w:color w:val="auto"/>
          <w:highlight w:val="none"/>
        </w:rPr>
        <w:t>评标委员会依据评标办法的规定对投标文件进行初步评审。有一项不符合评审标准的，应当予以否决。</w:t>
      </w:r>
    </w:p>
    <w:p>
      <w:pPr>
        <w:spacing w:line="360" w:lineRule="auto"/>
        <w:ind w:firstLine="420" w:firstLineChars="200"/>
        <w:rPr>
          <w:color w:val="auto"/>
          <w:szCs w:val="21"/>
          <w:highlight w:val="none"/>
        </w:rPr>
      </w:pPr>
      <w:r>
        <w:rPr>
          <w:color w:val="auto"/>
          <w:szCs w:val="21"/>
          <w:highlight w:val="none"/>
        </w:rPr>
        <w:t>3.1 形式评审</w:t>
      </w:r>
    </w:p>
    <w:p>
      <w:pPr>
        <w:spacing w:line="360" w:lineRule="auto"/>
        <w:ind w:firstLine="420" w:firstLineChars="200"/>
        <w:rPr>
          <w:color w:val="auto"/>
          <w:highlight w:val="none"/>
        </w:rPr>
      </w:pPr>
      <w:r>
        <w:rPr>
          <w:color w:val="auto"/>
          <w:highlight w:val="none"/>
        </w:rPr>
        <w:t>评标委员会根据评标办法前附表中规定的评审因素和评审标准，对投标人的投标文件进行形式评审。</w:t>
      </w:r>
    </w:p>
    <w:p>
      <w:pPr>
        <w:spacing w:line="360" w:lineRule="auto"/>
        <w:ind w:firstLine="420" w:firstLineChars="200"/>
        <w:rPr>
          <w:color w:val="auto"/>
          <w:szCs w:val="21"/>
          <w:highlight w:val="none"/>
        </w:rPr>
      </w:pPr>
      <w:r>
        <w:rPr>
          <w:color w:val="auto"/>
          <w:szCs w:val="21"/>
          <w:highlight w:val="none"/>
        </w:rPr>
        <w:t>3.2 资格评审</w:t>
      </w:r>
    </w:p>
    <w:p>
      <w:pPr>
        <w:spacing w:line="360" w:lineRule="auto"/>
        <w:ind w:firstLine="420" w:firstLineChars="200"/>
        <w:rPr>
          <w:color w:val="auto"/>
          <w:highlight w:val="none"/>
        </w:rPr>
      </w:pPr>
      <w:r>
        <w:rPr>
          <w:color w:val="auto"/>
          <w:highlight w:val="none"/>
        </w:rPr>
        <w:sym w:font="Wingdings 2" w:char="0052"/>
      </w:r>
      <w:r>
        <w:rPr>
          <w:color w:val="auto"/>
          <w:highlight w:val="none"/>
        </w:rPr>
        <w:t>3.2.1 未进行资格预审的，由评标委员会根据评标办法前附表规定的评审因素和评审标准，对投标人的投标文件进行资格评审。</w:t>
      </w:r>
    </w:p>
    <w:p>
      <w:pPr>
        <w:spacing w:line="360" w:lineRule="auto"/>
        <w:ind w:firstLine="420" w:firstLineChars="200"/>
        <w:rPr>
          <w:color w:val="auto"/>
          <w:highlight w:val="none"/>
        </w:rPr>
      </w:pPr>
      <w:r>
        <w:rPr>
          <w:color w:val="auto"/>
          <w:highlight w:val="none"/>
        </w:rPr>
        <w:sym w:font="Wingdings 2" w:char="00A3"/>
      </w:r>
      <w:r>
        <w:rPr>
          <w:color w:val="auto"/>
          <w:highlight w:val="none"/>
        </w:rPr>
        <w:t>3.2.1已进行资格预审的，评标委员会一般不再对</w:t>
      </w:r>
      <w:r>
        <w:rPr>
          <w:rFonts w:hint="eastAsia"/>
          <w:color w:val="auto"/>
          <w:highlight w:val="none"/>
        </w:rPr>
        <w:t>投标人</w:t>
      </w:r>
      <w:r>
        <w:rPr>
          <w:color w:val="auto"/>
          <w:highlight w:val="none"/>
        </w:rPr>
        <w:t>资格进行评审。投标人资格预审申请文件的内容发生重大变化</w:t>
      </w:r>
      <w:r>
        <w:rPr>
          <w:rFonts w:hint="eastAsia"/>
          <w:color w:val="auto"/>
          <w:highlight w:val="none"/>
        </w:rPr>
        <w:t>的</w:t>
      </w:r>
      <w:r>
        <w:rPr>
          <w:color w:val="auto"/>
          <w:highlight w:val="none"/>
        </w:rPr>
        <w:t>，由评标委员会依据资格预审文件规定的标准和方法，对照投标人资格预审申请文件中的资料以及开标前更新的资料，对其更新的资料进行评审，其变化后的资格条件不得低于原有资格条件要求。</w:t>
      </w:r>
    </w:p>
    <w:p>
      <w:pPr>
        <w:spacing w:line="360" w:lineRule="auto"/>
        <w:ind w:firstLine="420" w:firstLineChars="200"/>
        <w:rPr>
          <w:rFonts w:hint="eastAsia"/>
          <w:color w:val="auto"/>
          <w:szCs w:val="21"/>
          <w:highlight w:val="none"/>
        </w:rPr>
      </w:pPr>
      <w:r>
        <w:rPr>
          <w:rFonts w:hint="eastAsia"/>
          <w:bCs/>
          <w:color w:val="auto"/>
          <w:szCs w:val="21"/>
          <w:highlight w:val="none"/>
        </w:rPr>
        <w:t>3.2.2资格评审过程中，评标委员会发现投标人提交的资格审查资料不全时，应当听取该投标人的说明。</w:t>
      </w:r>
      <w:r>
        <w:rPr>
          <w:rFonts w:hint="eastAsia"/>
          <w:color w:val="auto"/>
          <w:szCs w:val="21"/>
          <w:highlight w:val="none"/>
        </w:rPr>
        <w:t xml:space="preserve">  </w:t>
      </w:r>
    </w:p>
    <w:p>
      <w:pPr>
        <w:spacing w:line="360" w:lineRule="auto"/>
        <w:ind w:firstLine="420" w:firstLineChars="200"/>
        <w:rPr>
          <w:color w:val="auto"/>
          <w:szCs w:val="21"/>
          <w:highlight w:val="none"/>
        </w:rPr>
      </w:pPr>
      <w:r>
        <w:rPr>
          <w:color w:val="auto"/>
          <w:szCs w:val="21"/>
          <w:highlight w:val="none"/>
        </w:rPr>
        <w:t>3.3 响应性评审</w:t>
      </w:r>
    </w:p>
    <w:p>
      <w:pPr>
        <w:spacing w:line="360" w:lineRule="auto"/>
        <w:ind w:firstLine="420" w:firstLineChars="200"/>
        <w:rPr>
          <w:color w:val="auto"/>
          <w:highlight w:val="none"/>
        </w:rPr>
      </w:pPr>
      <w:r>
        <w:rPr>
          <w:color w:val="auto"/>
          <w:highlight w:val="none"/>
        </w:rPr>
        <w:t>3.3.1 评标委员会根据评标办法前附表中规定的评审因素和评审标准，对投标人的投标文件进行响应性评审。</w:t>
      </w:r>
    </w:p>
    <w:p>
      <w:pPr>
        <w:spacing w:line="360" w:lineRule="auto"/>
        <w:ind w:firstLine="420" w:firstLineChars="200"/>
        <w:rPr>
          <w:color w:val="auto"/>
          <w:highlight w:val="none"/>
        </w:rPr>
      </w:pPr>
      <w:r>
        <w:rPr>
          <w:color w:val="auto"/>
          <w:highlight w:val="none"/>
        </w:rPr>
        <w:t>3.3.2 招标文件设定了最高投标限价的，投标人投标价格不得超出（不含等于）“投标人须知”前附表载明的最高投标限价。</w:t>
      </w:r>
    </w:p>
    <w:p>
      <w:pPr>
        <w:spacing w:line="360" w:lineRule="auto"/>
        <w:ind w:firstLine="420" w:firstLineChars="200"/>
        <w:rPr>
          <w:color w:val="auto"/>
          <w:szCs w:val="21"/>
          <w:highlight w:val="none"/>
        </w:rPr>
      </w:pPr>
      <w:r>
        <w:rPr>
          <w:color w:val="auto"/>
          <w:szCs w:val="21"/>
          <w:highlight w:val="none"/>
        </w:rPr>
        <w:t>3.4 算术错误修正</w:t>
      </w:r>
    </w:p>
    <w:p>
      <w:pPr>
        <w:spacing w:line="348" w:lineRule="auto"/>
        <w:ind w:firstLine="420" w:firstLineChars="200"/>
        <w:rPr>
          <w:color w:val="auto"/>
          <w:highlight w:val="none"/>
        </w:rPr>
      </w:pPr>
      <w:r>
        <w:rPr>
          <w:color w:val="auto"/>
          <w:highlight w:val="none"/>
        </w:rPr>
        <w:t>评标委员会检查投标人投标报价是否有算术错误，</w:t>
      </w:r>
      <w:r>
        <w:rPr>
          <w:color w:val="auto"/>
          <w:szCs w:val="21"/>
          <w:highlight w:val="none"/>
        </w:rPr>
        <w:t>算术性错误分析和修正</w:t>
      </w:r>
      <w:r>
        <w:rPr>
          <w:color w:val="auto"/>
          <w:highlight w:val="none"/>
        </w:rPr>
        <w:t>按以下原则进行，修正的价格经投标人书面确认后具有约束力。投标人不接受修正价格的，应当否决其投标。</w:t>
      </w:r>
    </w:p>
    <w:p>
      <w:pPr>
        <w:spacing w:line="348" w:lineRule="auto"/>
        <w:ind w:firstLine="420" w:firstLineChars="200"/>
        <w:rPr>
          <w:color w:val="auto"/>
          <w:highlight w:val="none"/>
        </w:rPr>
      </w:pPr>
      <w:r>
        <w:rPr>
          <w:color w:val="auto"/>
          <w:highlight w:val="none"/>
        </w:rPr>
        <w:t>（1）投标文件中的大写金额与小写金额不一致的，以大写金额为准；</w:t>
      </w:r>
    </w:p>
    <w:p>
      <w:pPr>
        <w:spacing w:line="348" w:lineRule="auto"/>
        <w:ind w:firstLine="420" w:firstLineChars="200"/>
        <w:rPr>
          <w:color w:val="auto"/>
          <w:highlight w:val="none"/>
        </w:rPr>
      </w:pPr>
      <w:r>
        <w:rPr>
          <w:color w:val="auto"/>
          <w:highlight w:val="none"/>
        </w:rPr>
        <w:t>（2）总价金额与依据单价计算出的结果不一致的，以单价金额为准修正总价，但单价金额小数点有明显错误的除外。</w:t>
      </w:r>
    </w:p>
    <w:p>
      <w:pPr>
        <w:spacing w:line="360" w:lineRule="auto"/>
        <w:ind w:firstLine="420" w:firstLineChars="200"/>
        <w:rPr>
          <w:color w:val="auto"/>
          <w:highlight w:val="none"/>
        </w:rPr>
      </w:pPr>
      <w:r>
        <w:rPr>
          <w:color w:val="auto"/>
          <w:highlight w:val="none"/>
        </w:rPr>
        <w:t>评标委员会根据算术错误修正结果计算评标价。评标委员会对算术错误的修正应向投标人作书面澄清。投标人对修正结果应书面确认。投标人对修正结果有不同意见或未作书面确认的，评标委员会应重新复核修正结果，再次按上述程序分别进行确认、复核。</w:t>
      </w:r>
    </w:p>
    <w:p>
      <w:pPr>
        <w:spacing w:line="360" w:lineRule="auto"/>
        <w:ind w:firstLine="420" w:firstLineChars="200"/>
        <w:rPr>
          <w:color w:val="auto"/>
          <w:szCs w:val="21"/>
          <w:highlight w:val="none"/>
        </w:rPr>
      </w:pPr>
      <w:r>
        <w:rPr>
          <w:color w:val="auto"/>
          <w:szCs w:val="21"/>
          <w:highlight w:val="none"/>
        </w:rPr>
        <w:t>3.5 澄清、说明或补正</w:t>
      </w:r>
    </w:p>
    <w:p>
      <w:pPr>
        <w:spacing w:line="360" w:lineRule="auto"/>
        <w:ind w:firstLine="420" w:firstLineChars="200"/>
        <w:rPr>
          <w:color w:val="auto"/>
          <w:highlight w:val="none"/>
        </w:rPr>
      </w:pPr>
      <w:r>
        <w:rPr>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评标办法正文部分规定进行。</w:t>
      </w:r>
    </w:p>
    <w:p>
      <w:pPr>
        <w:adjustRightInd w:val="0"/>
        <w:snapToGrid w:val="0"/>
        <w:spacing w:line="360" w:lineRule="auto"/>
        <w:ind w:firstLine="420" w:firstLineChars="200"/>
        <w:rPr>
          <w:color w:val="auto"/>
          <w:szCs w:val="21"/>
          <w:highlight w:val="none"/>
        </w:rPr>
      </w:pPr>
      <w:r>
        <w:rPr>
          <w:rFonts w:hint="eastAsia"/>
          <w:color w:val="auto"/>
          <w:szCs w:val="21"/>
          <w:highlight w:val="none"/>
        </w:rPr>
        <w:t>评标委员会不得要求投标人对技术方案进行澄清、说明或者补正。</w:t>
      </w:r>
    </w:p>
    <w:p>
      <w:pPr>
        <w:spacing w:line="360" w:lineRule="auto"/>
        <w:rPr>
          <w:color w:val="auto"/>
          <w:szCs w:val="21"/>
          <w:highlight w:val="none"/>
        </w:rPr>
      </w:pPr>
      <w:r>
        <w:rPr>
          <w:rFonts w:hint="eastAsia"/>
          <w:color w:val="auto"/>
          <w:highlight w:val="none"/>
        </w:rPr>
        <w:t xml:space="preserve">    </w:t>
      </w:r>
      <w:r>
        <w:rPr>
          <w:color w:val="auto"/>
          <w:szCs w:val="21"/>
          <w:highlight w:val="none"/>
        </w:rPr>
        <w:t>3.6是否予以否决投标</w:t>
      </w:r>
    </w:p>
    <w:p>
      <w:pPr>
        <w:spacing w:line="360" w:lineRule="auto"/>
        <w:ind w:firstLine="420" w:firstLineChars="200"/>
        <w:rPr>
          <w:color w:val="auto"/>
          <w:highlight w:val="none"/>
        </w:rPr>
      </w:pPr>
      <w:r>
        <w:rPr>
          <w:color w:val="auto"/>
          <w:highlight w:val="none"/>
        </w:rPr>
        <w:t>3.6.1评标委员会在评标过程中，依据第二章附件2-2中规定的</w:t>
      </w:r>
      <w:r>
        <w:rPr>
          <w:color w:val="auto"/>
          <w:szCs w:val="21"/>
          <w:highlight w:val="none"/>
        </w:rPr>
        <w:t>否决投标情形，</w:t>
      </w:r>
      <w:r>
        <w:rPr>
          <w:color w:val="auto"/>
          <w:highlight w:val="none"/>
        </w:rPr>
        <w:t>判断是否对投标人的投标</w:t>
      </w:r>
      <w:r>
        <w:rPr>
          <w:color w:val="auto"/>
          <w:szCs w:val="21"/>
          <w:highlight w:val="none"/>
        </w:rPr>
        <w:t>予以否决</w:t>
      </w:r>
      <w:r>
        <w:rPr>
          <w:color w:val="auto"/>
          <w:highlight w:val="none"/>
        </w:rPr>
        <w:t>。</w:t>
      </w:r>
    </w:p>
    <w:p>
      <w:pPr>
        <w:spacing w:line="360" w:lineRule="auto"/>
        <w:ind w:firstLine="420" w:firstLineChars="200"/>
        <w:rPr>
          <w:color w:val="auto"/>
          <w:highlight w:val="none"/>
        </w:rPr>
      </w:pPr>
      <w:r>
        <w:rPr>
          <w:color w:val="auto"/>
          <w:highlight w:val="none"/>
        </w:rPr>
        <w:t>3.6.2 第二章附件2-2集中列示的</w:t>
      </w:r>
      <w:r>
        <w:rPr>
          <w:color w:val="auto"/>
          <w:szCs w:val="21"/>
          <w:highlight w:val="none"/>
        </w:rPr>
        <w:t>否决投标</w:t>
      </w:r>
      <w:r>
        <w:rPr>
          <w:color w:val="auto"/>
          <w:highlight w:val="none"/>
        </w:rPr>
        <w:t>情形如果与第二章“投标人须知”和</w:t>
      </w:r>
      <w:r>
        <w:rPr>
          <w:rFonts w:hint="eastAsia"/>
          <w:color w:val="auto"/>
          <w:highlight w:val="none"/>
        </w:rPr>
        <w:t>本章</w:t>
      </w:r>
      <w:r>
        <w:rPr>
          <w:color w:val="auto"/>
          <w:highlight w:val="none"/>
        </w:rPr>
        <w:t>列示的</w:t>
      </w:r>
      <w:r>
        <w:rPr>
          <w:color w:val="auto"/>
          <w:szCs w:val="21"/>
          <w:highlight w:val="none"/>
        </w:rPr>
        <w:t>否决投标</w:t>
      </w:r>
      <w:r>
        <w:rPr>
          <w:color w:val="auto"/>
          <w:highlight w:val="none"/>
        </w:rPr>
        <w:t>条款相互抵触和矛盾时，以第二章附件2-2集中列示的为准。</w:t>
      </w:r>
    </w:p>
    <w:p>
      <w:pPr>
        <w:spacing w:line="360" w:lineRule="auto"/>
        <w:rPr>
          <w:rFonts w:eastAsia="黑体"/>
          <w:color w:val="auto"/>
          <w:sz w:val="24"/>
          <w:highlight w:val="none"/>
        </w:rPr>
      </w:pPr>
      <w:r>
        <w:rPr>
          <w:rFonts w:hint="eastAsia"/>
          <w:color w:val="auto"/>
          <w:highlight w:val="none"/>
        </w:rPr>
        <w:t xml:space="preserve"> </w:t>
      </w:r>
      <w:r>
        <w:rPr>
          <w:rFonts w:eastAsia="黑体"/>
          <w:color w:val="auto"/>
          <w:sz w:val="24"/>
          <w:highlight w:val="none"/>
        </w:rPr>
        <w:t>4.详细评审</w:t>
      </w:r>
    </w:p>
    <w:p>
      <w:pPr>
        <w:spacing w:line="440" w:lineRule="exact"/>
        <w:ind w:firstLine="420" w:firstLineChars="200"/>
        <w:rPr>
          <w:color w:val="auto"/>
          <w:highlight w:val="none"/>
        </w:rPr>
      </w:pPr>
      <w:r>
        <w:rPr>
          <w:color w:val="auto"/>
          <w:highlight w:val="none"/>
        </w:rPr>
        <w:t>初步评审合格的投标人进入详细评审。</w:t>
      </w:r>
      <w:r>
        <w:rPr>
          <w:color w:val="auto"/>
          <w:szCs w:val="21"/>
          <w:highlight w:val="none"/>
        </w:rPr>
        <w:t>评标委员会按照规定的评审因素和标准进行评审计分，并计算出评标总得分。</w:t>
      </w:r>
    </w:p>
    <w:p>
      <w:pPr>
        <w:spacing w:line="440" w:lineRule="exact"/>
        <w:ind w:firstLine="420" w:firstLineChars="200"/>
        <w:rPr>
          <w:color w:val="auto"/>
          <w:szCs w:val="21"/>
          <w:highlight w:val="none"/>
        </w:rPr>
      </w:pPr>
      <w:r>
        <w:rPr>
          <w:color w:val="auto"/>
          <w:szCs w:val="21"/>
          <w:highlight w:val="none"/>
        </w:rPr>
        <w:t>4.1 详细评审的程序</w:t>
      </w:r>
    </w:p>
    <w:p>
      <w:pPr>
        <w:spacing w:line="440" w:lineRule="exact"/>
        <w:ind w:firstLine="420" w:firstLineChars="200"/>
        <w:rPr>
          <w:color w:val="auto"/>
          <w:szCs w:val="21"/>
          <w:highlight w:val="none"/>
        </w:rPr>
      </w:pPr>
      <w:r>
        <w:rPr>
          <w:color w:val="auto"/>
          <w:szCs w:val="21"/>
          <w:highlight w:val="none"/>
        </w:rPr>
        <w:t>4.1.1 评标委员会按照规定进行详细评审</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进入详细评审的合格投标人超过9家时，评标委员会按招标文件对所有合格投标人提交的投标文件进行进一步评审、比较，或者按照技术方案和企业资信及履约能力得分之和由高至低的顺序，确定9名合格投标人进入后续评审。</w:t>
      </w:r>
    </w:p>
    <w:p>
      <w:pPr>
        <w:tabs>
          <w:tab w:val="left" w:pos="312"/>
        </w:tabs>
        <w:spacing w:line="440" w:lineRule="exact"/>
        <w:ind w:firstLine="420" w:firstLineChars="200"/>
        <w:rPr>
          <w:bCs/>
          <w:color w:val="auto"/>
          <w:szCs w:val="21"/>
          <w:highlight w:val="none"/>
        </w:rPr>
      </w:pPr>
      <w:r>
        <w:rPr>
          <w:color w:val="auto"/>
          <w:szCs w:val="21"/>
          <w:highlight w:val="none"/>
        </w:rPr>
        <w:t>（1）</w:t>
      </w:r>
      <w:r>
        <w:rPr>
          <w:rFonts w:hint="eastAsia"/>
          <w:color w:val="auto"/>
          <w:szCs w:val="21"/>
          <w:highlight w:val="none"/>
        </w:rPr>
        <w:t>技术方案</w:t>
      </w:r>
      <w:r>
        <w:rPr>
          <w:color w:val="auto"/>
          <w:szCs w:val="21"/>
          <w:highlight w:val="none"/>
        </w:rPr>
        <w:t>评审计分。</w:t>
      </w:r>
      <w:r>
        <w:rPr>
          <w:rFonts w:hint="eastAsia"/>
          <w:color w:val="auto"/>
          <w:szCs w:val="21"/>
          <w:highlight w:val="none"/>
        </w:rPr>
        <w:t>技术方案中设计方案、施工组织设计的评审应按评委专业类别采用分组（设计评审组、施工组织评审组）评审，各小组成员数量为3人及以上，分组方案应当经全体成员同意。</w:t>
      </w:r>
    </w:p>
    <w:p>
      <w:pPr>
        <w:tabs>
          <w:tab w:val="left" w:pos="312"/>
        </w:tabs>
        <w:spacing w:line="440" w:lineRule="exact"/>
        <w:ind w:firstLine="420" w:firstLineChars="200"/>
        <w:rPr>
          <w:bCs/>
          <w:color w:val="auto"/>
          <w:szCs w:val="21"/>
          <w:highlight w:val="none"/>
        </w:rPr>
      </w:pPr>
      <w:r>
        <w:rPr>
          <w:color w:val="auto"/>
          <w:szCs w:val="21"/>
          <w:highlight w:val="none"/>
        </w:rPr>
        <w:t>（2）</w:t>
      </w:r>
      <w:r>
        <w:rPr>
          <w:rFonts w:hint="eastAsia"/>
          <w:color w:val="auto"/>
          <w:szCs w:val="21"/>
          <w:highlight w:val="none"/>
        </w:rPr>
        <w:t>企业资信及履约能力</w:t>
      </w:r>
      <w:r>
        <w:rPr>
          <w:color w:val="auto"/>
          <w:szCs w:val="21"/>
          <w:highlight w:val="none"/>
        </w:rPr>
        <w:t>评审计分。</w:t>
      </w:r>
      <w:r>
        <w:rPr>
          <w:rFonts w:hint="eastAsia"/>
          <w:color w:val="auto"/>
          <w:szCs w:val="21"/>
          <w:highlight w:val="none"/>
        </w:rPr>
        <w:t>拟任工程总承包项目负责人答辩由</w:t>
      </w:r>
      <w:r>
        <w:rPr>
          <w:bCs/>
          <w:color w:val="auto"/>
          <w:szCs w:val="21"/>
          <w:highlight w:val="none"/>
        </w:rPr>
        <w:t>评标委员会成员独立计分，现场答辩得分为</w:t>
      </w:r>
      <w:r>
        <w:rPr>
          <w:rFonts w:hint="eastAsia"/>
          <w:bCs/>
          <w:color w:val="auto"/>
          <w:szCs w:val="21"/>
          <w:highlight w:val="none"/>
        </w:rPr>
        <w:t>全体评标委员会成员的评审计分去掉一个最高分和一个最低分后的算术平均值。</w:t>
      </w:r>
      <w:r>
        <w:rPr>
          <w:bCs/>
          <w:color w:val="auto"/>
          <w:szCs w:val="21"/>
          <w:highlight w:val="none"/>
        </w:rPr>
        <w:t>其他评审因素</w:t>
      </w:r>
      <w:r>
        <w:rPr>
          <w:rFonts w:hint="eastAsia"/>
          <w:bCs/>
          <w:color w:val="auto"/>
          <w:szCs w:val="21"/>
          <w:highlight w:val="none"/>
        </w:rPr>
        <w:t>由</w:t>
      </w:r>
      <w:r>
        <w:rPr>
          <w:bCs/>
          <w:color w:val="auto"/>
          <w:szCs w:val="21"/>
          <w:highlight w:val="none"/>
        </w:rPr>
        <w:t>评标委员会集体评议计分。</w:t>
      </w:r>
    </w:p>
    <w:p>
      <w:pPr>
        <w:adjustRightInd w:val="0"/>
        <w:snapToGrid w:val="0"/>
        <w:spacing w:line="440" w:lineRule="exact"/>
        <w:ind w:firstLine="420" w:firstLineChars="200"/>
        <w:rPr>
          <w:rFonts w:hint="eastAsia"/>
          <w:color w:val="auto"/>
          <w:szCs w:val="21"/>
          <w:highlight w:val="none"/>
        </w:rPr>
      </w:pPr>
      <w:r>
        <w:rPr>
          <w:color w:val="auto"/>
          <w:szCs w:val="21"/>
          <w:highlight w:val="none"/>
        </w:rPr>
        <w:t>（3）投标报价评审</w:t>
      </w:r>
      <w:r>
        <w:rPr>
          <w:rFonts w:hint="eastAsia"/>
          <w:color w:val="auto"/>
          <w:szCs w:val="21"/>
          <w:highlight w:val="none"/>
        </w:rPr>
        <w:t>按下列程序进行：</w:t>
      </w:r>
    </w:p>
    <w:p>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①是否</w:t>
      </w:r>
      <w:r>
        <w:rPr>
          <w:rFonts w:hint="eastAsia" w:ascii="宋体" w:hAnsi="宋体"/>
          <w:color w:val="auto"/>
          <w:kern w:val="0"/>
          <w:highlight w:val="none"/>
        </w:rPr>
        <w:t>以低于成本报价竞争</w:t>
      </w:r>
    </w:p>
    <w:p>
      <w:pPr>
        <w:adjustRightInd w:val="0"/>
        <w:snapToGrid w:val="0"/>
        <w:spacing w:line="440" w:lineRule="exact"/>
        <w:ind w:firstLine="420" w:firstLineChars="200"/>
        <w:rPr>
          <w:color w:val="auto"/>
          <w:szCs w:val="21"/>
          <w:highlight w:val="none"/>
        </w:rPr>
      </w:pPr>
      <w:r>
        <w:rPr>
          <w:rFonts w:hint="eastAsia" w:ascii="宋体" w:hAnsi="宋体" w:cs="宋体"/>
          <w:color w:val="auto"/>
          <w:szCs w:val="21"/>
          <w:highlight w:val="none"/>
        </w:rPr>
        <w:t>报价评审警戒线为</w:t>
      </w:r>
      <w:r>
        <w:rPr>
          <w:color w:val="auto"/>
          <w:szCs w:val="21"/>
          <w:highlight w:val="none"/>
        </w:rPr>
        <w:t>低于进入</w:t>
      </w:r>
      <w:r>
        <w:rPr>
          <w:rFonts w:hint="eastAsia"/>
          <w:color w:val="auto"/>
          <w:szCs w:val="21"/>
          <w:highlight w:val="none"/>
        </w:rPr>
        <w:t>报价</w:t>
      </w:r>
      <w:r>
        <w:rPr>
          <w:color w:val="auto"/>
          <w:szCs w:val="21"/>
          <w:highlight w:val="none"/>
        </w:rPr>
        <w:t>评审的</w:t>
      </w:r>
      <w:r>
        <w:rPr>
          <w:rFonts w:hint="eastAsia"/>
          <w:color w:val="auto"/>
          <w:szCs w:val="21"/>
          <w:highlight w:val="none"/>
        </w:rPr>
        <w:t>合格投标人</w:t>
      </w:r>
      <w:r>
        <w:rPr>
          <w:color w:val="auto"/>
          <w:szCs w:val="21"/>
          <w:highlight w:val="none"/>
        </w:rPr>
        <w:t>投标报价算术平均值的95%</w:t>
      </w:r>
      <w:r>
        <w:rPr>
          <w:rFonts w:hint="eastAsia"/>
          <w:color w:val="auto"/>
          <w:szCs w:val="21"/>
          <w:highlight w:val="none"/>
        </w:rPr>
        <w:t>。</w:t>
      </w:r>
    </w:p>
    <w:p>
      <w:pPr>
        <w:adjustRightInd w:val="0"/>
        <w:snapToGrid w:val="0"/>
        <w:spacing w:line="440" w:lineRule="exact"/>
        <w:ind w:firstLine="420" w:firstLineChars="200"/>
        <w:rPr>
          <w:rFonts w:ascii="宋体" w:hAnsi="宋体"/>
          <w:color w:val="auto"/>
          <w:szCs w:val="21"/>
          <w:highlight w:val="none"/>
        </w:rPr>
      </w:pPr>
      <w:r>
        <w:rPr>
          <w:color w:val="auto"/>
          <w:szCs w:val="21"/>
          <w:highlight w:val="none"/>
        </w:rPr>
        <w:t>评标委员会</w:t>
      </w:r>
      <w:r>
        <w:rPr>
          <w:rFonts w:hint="eastAsia"/>
          <w:color w:val="auto"/>
          <w:szCs w:val="21"/>
          <w:highlight w:val="none"/>
        </w:rPr>
        <w:t>应当对低于报价评审警戒线的投标人的</w:t>
      </w:r>
      <w:r>
        <w:rPr>
          <w:color w:val="auto"/>
          <w:szCs w:val="21"/>
          <w:highlight w:val="none"/>
        </w:rPr>
        <w:t>报价进行评审，</w:t>
      </w:r>
      <w:r>
        <w:rPr>
          <w:color w:val="auto"/>
          <w:highlight w:val="none"/>
        </w:rPr>
        <w:t>以判断投标报价是否低于其成本</w:t>
      </w:r>
      <w:r>
        <w:rPr>
          <w:rFonts w:hint="eastAsia"/>
          <w:color w:val="auto"/>
          <w:highlight w:val="none"/>
        </w:rPr>
        <w:t>。</w:t>
      </w:r>
      <w:r>
        <w:rPr>
          <w:rFonts w:hint="eastAsia" w:ascii="宋体" w:hAnsi="宋体"/>
          <w:color w:val="auto"/>
          <w:kern w:val="0"/>
          <w:highlight w:val="none"/>
        </w:rPr>
        <w:t>有下列情形之一的，应当判定为以低于成本报价竞争，其报价为无效报价，应当否决其投标：</w:t>
      </w:r>
    </w:p>
    <w:p>
      <w:pPr>
        <w:adjustRightInd w:val="0"/>
        <w:snapToGrid w:val="0"/>
        <w:spacing w:line="440" w:lineRule="exact"/>
        <w:ind w:firstLine="420" w:firstLineChars="200"/>
        <w:rPr>
          <w:rFonts w:ascii="宋体" w:hAnsi="宋体"/>
          <w:color w:val="auto"/>
          <w:kern w:val="0"/>
          <w:highlight w:val="none"/>
        </w:rPr>
      </w:pPr>
      <w:r>
        <w:rPr>
          <w:rFonts w:hint="eastAsia" w:ascii="宋体" w:hAnsi="宋体" w:cs="宋体"/>
          <w:color w:val="auto"/>
          <w:highlight w:val="none"/>
        </w:rPr>
        <w:t>&lt;</w:t>
      </w:r>
      <w:r>
        <w:rPr>
          <w:rFonts w:ascii="宋体" w:hAnsi="宋体" w:cs="宋体"/>
          <w:color w:val="auto"/>
          <w:highlight w:val="none"/>
        </w:rPr>
        <w:t>1&gt;</w:t>
      </w:r>
      <w:r>
        <w:rPr>
          <w:rFonts w:hint="eastAsia" w:ascii="宋体" w:hAnsi="宋体"/>
          <w:color w:val="auto"/>
          <w:kern w:val="0"/>
          <w:highlight w:val="none"/>
        </w:rPr>
        <w:t>经评审论证，出具书面意见，认定该投标人的报价低于成本的；</w:t>
      </w:r>
    </w:p>
    <w:p>
      <w:pPr>
        <w:adjustRightInd w:val="0"/>
        <w:snapToGrid w:val="0"/>
        <w:spacing w:line="440" w:lineRule="exact"/>
        <w:ind w:firstLine="420" w:firstLineChars="200"/>
        <w:rPr>
          <w:color w:val="auto"/>
          <w:highlight w:val="none"/>
        </w:rPr>
      </w:pPr>
      <w:r>
        <w:rPr>
          <w:rFonts w:hint="eastAsia" w:ascii="宋体" w:hAnsi="宋体" w:cs="宋体"/>
          <w:color w:val="auto"/>
          <w:highlight w:val="none"/>
        </w:rPr>
        <w:t>&lt;2</w:t>
      </w:r>
      <w:r>
        <w:rPr>
          <w:rFonts w:ascii="宋体" w:hAnsi="宋体" w:cs="宋体"/>
          <w:color w:val="auto"/>
          <w:highlight w:val="none"/>
        </w:rPr>
        <w:t>&gt;</w:t>
      </w:r>
      <w:r>
        <w:rPr>
          <w:rFonts w:hint="eastAsia" w:ascii="宋体" w:hAnsi="宋体"/>
          <w:color w:val="auto"/>
          <w:kern w:val="0"/>
          <w:highlight w:val="none"/>
        </w:rPr>
        <w:t>投标报价明显低于其他投标报价，有可能低于成本的，应当要求投标人做出书面说明并提供相关材料，投标人不能合理说明或者不能提供相关证明材料的；</w:t>
      </w:r>
    </w:p>
    <w:p>
      <w:pPr>
        <w:adjustRightInd w:val="0"/>
        <w:snapToGrid w:val="0"/>
        <w:spacing w:line="440" w:lineRule="exact"/>
        <w:ind w:firstLine="420" w:firstLineChars="200"/>
        <w:rPr>
          <w:rFonts w:ascii="宋体" w:hAnsi="宋体"/>
          <w:color w:val="auto"/>
          <w:kern w:val="0"/>
          <w:highlight w:val="none"/>
        </w:rPr>
      </w:pPr>
      <w:r>
        <w:rPr>
          <w:rFonts w:hint="eastAsia" w:ascii="宋体" w:hAnsi="宋体"/>
          <w:color w:val="auto"/>
          <w:kern w:val="0"/>
          <w:highlight w:val="none"/>
        </w:rPr>
        <w:t>以低于成本报价竞争的，其报价为无效报价，应当否决其投标。评标委员会应将成本评审过程中，认定投标人以低于成本报价竞争等情况作出详细说明并记录在案。</w:t>
      </w:r>
    </w:p>
    <w:p>
      <w:pPr>
        <w:spacing w:line="440" w:lineRule="exact"/>
        <w:ind w:firstLine="420" w:firstLineChars="200"/>
        <w:rPr>
          <w:color w:val="auto"/>
          <w:szCs w:val="21"/>
          <w:highlight w:val="none"/>
        </w:rPr>
      </w:pPr>
      <w:r>
        <w:rPr>
          <w:rFonts w:hint="eastAsia" w:ascii="宋体" w:hAnsi="宋体" w:cs="宋体"/>
          <w:color w:val="auto"/>
          <w:highlight w:val="none"/>
        </w:rPr>
        <w:t>②</w:t>
      </w:r>
      <w:r>
        <w:rPr>
          <w:color w:val="auto"/>
          <w:highlight w:val="none"/>
        </w:rPr>
        <w:t>对</w:t>
      </w:r>
      <w:r>
        <w:rPr>
          <w:color w:val="auto"/>
          <w:szCs w:val="21"/>
          <w:highlight w:val="none"/>
        </w:rPr>
        <w:t xml:space="preserve">投标总报价进行评审。 </w:t>
      </w:r>
    </w:p>
    <w:p>
      <w:pPr>
        <w:spacing w:line="440" w:lineRule="exact"/>
        <w:ind w:firstLine="420" w:firstLineChars="200"/>
        <w:rPr>
          <w:color w:val="auto"/>
          <w:szCs w:val="21"/>
          <w:highlight w:val="none"/>
        </w:rPr>
      </w:pPr>
      <w:r>
        <w:rPr>
          <w:rFonts w:hint="eastAsia" w:ascii="宋体" w:hAnsi="宋体" w:cs="宋体"/>
          <w:color w:val="auto"/>
          <w:highlight w:val="none"/>
        </w:rPr>
        <w:t>&lt;</w:t>
      </w:r>
      <w:r>
        <w:rPr>
          <w:rFonts w:ascii="宋体" w:hAnsi="宋体" w:cs="宋体"/>
          <w:color w:val="auto"/>
          <w:highlight w:val="none"/>
        </w:rPr>
        <w:t>1&gt;</w:t>
      </w:r>
      <w:r>
        <w:rPr>
          <w:color w:val="auto"/>
          <w:szCs w:val="21"/>
          <w:highlight w:val="none"/>
        </w:rPr>
        <w:t>按照评标办法前附表的规定计算“基准价”。</w:t>
      </w:r>
    </w:p>
    <w:p>
      <w:pPr>
        <w:spacing w:line="440" w:lineRule="exact"/>
        <w:ind w:firstLine="420" w:firstLineChars="200"/>
        <w:rPr>
          <w:bCs/>
          <w:color w:val="auto"/>
          <w:szCs w:val="21"/>
          <w:highlight w:val="none"/>
        </w:rPr>
      </w:pPr>
      <w:r>
        <w:rPr>
          <w:rFonts w:hint="eastAsia" w:ascii="宋体" w:hAnsi="宋体" w:cs="宋体"/>
          <w:color w:val="auto"/>
          <w:highlight w:val="none"/>
        </w:rPr>
        <w:t>&lt;</w:t>
      </w:r>
      <w:r>
        <w:rPr>
          <w:rFonts w:ascii="宋体" w:hAnsi="宋体" w:cs="宋体"/>
          <w:color w:val="auto"/>
          <w:highlight w:val="none"/>
        </w:rPr>
        <w:t>2&gt;</w:t>
      </w:r>
      <w:r>
        <w:rPr>
          <w:bCs/>
          <w:color w:val="auto"/>
          <w:kern w:val="0"/>
          <w:highlight w:val="none"/>
        </w:rPr>
        <w:t>投标报价小于基准价92%的，视为以低于成本报价竞争，该投标人报价为无效报价，应当否决其投标。</w:t>
      </w:r>
    </w:p>
    <w:p>
      <w:pPr>
        <w:adjustRightInd w:val="0"/>
        <w:snapToGrid w:val="0"/>
        <w:spacing w:before="48" w:beforeLines="20" w:line="440" w:lineRule="exact"/>
        <w:ind w:firstLine="420" w:firstLineChars="200"/>
        <w:rPr>
          <w:rFonts w:hint="eastAsia" w:ascii="宋体" w:hAnsi="宋体" w:cs="宋体"/>
          <w:color w:val="auto"/>
          <w:highlight w:val="none"/>
        </w:rPr>
      </w:pPr>
      <w:r>
        <w:rPr>
          <w:rFonts w:hint="eastAsia" w:ascii="宋体" w:hAnsi="宋体" w:cs="宋体"/>
          <w:color w:val="auto"/>
          <w:highlight w:val="none"/>
        </w:rPr>
        <w:t>&lt;</w:t>
      </w:r>
      <w:r>
        <w:rPr>
          <w:rFonts w:ascii="宋体" w:hAnsi="宋体" w:cs="宋体"/>
          <w:color w:val="auto"/>
          <w:highlight w:val="none"/>
        </w:rPr>
        <w:t>3&gt;</w:t>
      </w:r>
      <w:r>
        <w:rPr>
          <w:rFonts w:hint="eastAsia" w:ascii="宋体" w:hAnsi="宋体" w:cs="宋体"/>
          <w:color w:val="auto"/>
          <w:highlight w:val="none"/>
        </w:rPr>
        <w:t>计算报价得分</w:t>
      </w:r>
    </w:p>
    <w:p>
      <w:pPr>
        <w:adjustRightInd w:val="0"/>
        <w:snapToGrid w:val="0"/>
        <w:spacing w:before="48" w:beforeLines="20" w:line="440" w:lineRule="exact"/>
        <w:ind w:firstLine="420" w:firstLineChars="200"/>
        <w:rPr>
          <w:color w:val="auto"/>
          <w:szCs w:val="21"/>
          <w:highlight w:val="none"/>
        </w:rPr>
      </w:pPr>
      <w:r>
        <w:rPr>
          <w:color w:val="auto"/>
          <w:szCs w:val="21"/>
          <w:highlight w:val="none"/>
        </w:rPr>
        <w:t>按照评标办法前附表中规定的方法，计算各个</w:t>
      </w:r>
      <w:r>
        <w:rPr>
          <w:rFonts w:hint="eastAsia"/>
          <w:color w:val="auto"/>
          <w:szCs w:val="21"/>
          <w:highlight w:val="none"/>
        </w:rPr>
        <w:t>进入报价评审环节</w:t>
      </w:r>
      <w:r>
        <w:rPr>
          <w:color w:val="auto"/>
          <w:szCs w:val="21"/>
          <w:highlight w:val="none"/>
        </w:rPr>
        <w:t>并且经过评审认定为不低于其成本的投标报价的“偏差率”。</w:t>
      </w:r>
    </w:p>
    <w:p>
      <w:pPr>
        <w:adjustRightInd w:val="0"/>
        <w:snapToGrid w:val="0"/>
        <w:spacing w:before="48" w:beforeLines="20" w:line="440" w:lineRule="exact"/>
        <w:ind w:firstLine="420" w:firstLineChars="200"/>
        <w:rPr>
          <w:color w:val="auto"/>
          <w:szCs w:val="21"/>
          <w:highlight w:val="none"/>
        </w:rPr>
      </w:pPr>
      <w:r>
        <w:rPr>
          <w:color w:val="auto"/>
          <w:szCs w:val="21"/>
          <w:highlight w:val="none"/>
        </w:rPr>
        <w:t>按照评标办法前附表中规定的评分标准，对照投标报价的偏差率，分别对各个投标报价进行计分。</w:t>
      </w:r>
    </w:p>
    <w:p>
      <w:pPr>
        <w:spacing w:line="440" w:lineRule="exact"/>
        <w:ind w:firstLine="420" w:firstLineChars="200"/>
        <w:rPr>
          <w:color w:val="auto"/>
          <w:szCs w:val="21"/>
          <w:highlight w:val="none"/>
        </w:rPr>
      </w:pPr>
      <w:r>
        <w:rPr>
          <w:color w:val="auto"/>
          <w:szCs w:val="21"/>
          <w:highlight w:val="none"/>
        </w:rPr>
        <w:t>4.2 澄清、说明或补正</w:t>
      </w:r>
    </w:p>
    <w:p>
      <w:pPr>
        <w:adjustRightInd w:val="0"/>
        <w:snapToGrid w:val="0"/>
        <w:spacing w:line="440" w:lineRule="exact"/>
        <w:ind w:firstLine="420" w:firstLineChars="200"/>
        <w:rPr>
          <w:color w:val="auto"/>
          <w:szCs w:val="21"/>
          <w:highlight w:val="none"/>
        </w:rPr>
      </w:pPr>
      <w:r>
        <w:rPr>
          <w:color w:val="auto"/>
          <w:szCs w:val="21"/>
          <w:highlight w:val="none"/>
        </w:rPr>
        <w:t>在详细评审过程中，评标委员会应当就投标文件中不明确的内容要求投标人进行澄清、说明或者补正。投标人应当以书面形式予以澄清、说明或者补正。澄清、说明或补正</w:t>
      </w:r>
      <w:r>
        <w:rPr>
          <w:rFonts w:hint="eastAsia"/>
          <w:color w:val="auto"/>
          <w:szCs w:val="21"/>
          <w:highlight w:val="none"/>
        </w:rPr>
        <w:t>按照</w:t>
      </w:r>
      <w:r>
        <w:rPr>
          <w:color w:val="auto"/>
          <w:szCs w:val="21"/>
          <w:highlight w:val="none"/>
        </w:rPr>
        <w:t>评标办法</w:t>
      </w:r>
      <w:r>
        <w:rPr>
          <w:rFonts w:hint="eastAsia"/>
          <w:color w:val="auto"/>
          <w:szCs w:val="21"/>
          <w:highlight w:val="none"/>
        </w:rPr>
        <w:t>正文第2.3项</w:t>
      </w:r>
      <w:r>
        <w:rPr>
          <w:color w:val="auto"/>
          <w:szCs w:val="21"/>
          <w:highlight w:val="none"/>
        </w:rPr>
        <w:t>执行。</w:t>
      </w:r>
    </w:p>
    <w:p>
      <w:pPr>
        <w:spacing w:line="440" w:lineRule="exact"/>
        <w:ind w:firstLine="420" w:firstLineChars="200"/>
        <w:rPr>
          <w:bCs/>
          <w:color w:val="auto"/>
          <w:szCs w:val="21"/>
          <w:highlight w:val="none"/>
        </w:rPr>
      </w:pPr>
      <w:r>
        <w:rPr>
          <w:bCs/>
          <w:color w:val="auto"/>
          <w:szCs w:val="21"/>
          <w:highlight w:val="none"/>
        </w:rPr>
        <w:t>4.3汇总评分结果</w:t>
      </w:r>
    </w:p>
    <w:p>
      <w:pPr>
        <w:adjustRightInd w:val="0"/>
        <w:snapToGrid w:val="0"/>
        <w:spacing w:line="440" w:lineRule="exact"/>
        <w:ind w:firstLine="420" w:firstLineChars="200"/>
        <w:rPr>
          <w:bCs/>
          <w:color w:val="auto"/>
          <w:szCs w:val="21"/>
          <w:highlight w:val="none"/>
        </w:rPr>
      </w:pPr>
      <w:r>
        <w:rPr>
          <w:bCs/>
          <w:color w:val="auto"/>
          <w:szCs w:val="21"/>
          <w:highlight w:val="none"/>
        </w:rPr>
        <w:t>详细评审工作全部结束后，汇总评审计分结果，并按照</w:t>
      </w:r>
      <w:r>
        <w:rPr>
          <w:rFonts w:hint="eastAsia"/>
          <w:bCs/>
          <w:color w:val="auto"/>
          <w:szCs w:val="21"/>
          <w:highlight w:val="none"/>
        </w:rPr>
        <w:t>评标总得分</w:t>
      </w:r>
      <w:r>
        <w:rPr>
          <w:bCs/>
          <w:color w:val="auto"/>
          <w:szCs w:val="21"/>
          <w:highlight w:val="none"/>
        </w:rPr>
        <w:t>由高至低的次序对投标人进行排序。</w:t>
      </w:r>
    </w:p>
    <w:p>
      <w:pPr>
        <w:shd w:val="clear" w:color="auto" w:fill="FFFFFF"/>
        <w:adjustRightInd w:val="0"/>
        <w:snapToGrid w:val="0"/>
        <w:spacing w:line="440" w:lineRule="exact"/>
        <w:ind w:firstLine="630" w:firstLineChars="300"/>
        <w:rPr>
          <w:rFonts w:hint="eastAsia" w:ascii="宋体" w:hAnsi="宋体" w:cs="仿宋"/>
          <w:color w:val="auto"/>
          <w:kern w:val="0"/>
          <w:szCs w:val="21"/>
          <w:highlight w:val="none"/>
        </w:rPr>
      </w:pPr>
      <w:r>
        <w:rPr>
          <w:rFonts w:hint="eastAsia" w:ascii="宋体" w:hAnsi="宋体"/>
          <w:bCs/>
          <w:color w:val="auto"/>
          <w:kern w:val="0"/>
          <w:szCs w:val="21"/>
          <w:highlight w:val="none"/>
        </w:rPr>
        <w:t>C=J</w:t>
      </w:r>
      <w:r>
        <w:rPr>
          <w:rFonts w:hint="eastAsia" w:ascii="宋体" w:hAnsi="宋体"/>
          <w:bCs/>
          <w:color w:val="auto"/>
          <w:kern w:val="0"/>
          <w:szCs w:val="21"/>
          <w:highlight w:val="none"/>
          <w:vertAlign w:val="subscript"/>
        </w:rPr>
        <w:t>1</w:t>
      </w:r>
      <w:r>
        <w:rPr>
          <w:rFonts w:hint="eastAsia" w:ascii="宋体" w:hAnsi="宋体"/>
          <w:bCs/>
          <w:color w:val="auto"/>
          <w:kern w:val="0"/>
          <w:szCs w:val="21"/>
          <w:highlight w:val="none"/>
        </w:rPr>
        <w:t>×D+J</w:t>
      </w:r>
      <w:r>
        <w:rPr>
          <w:rFonts w:hint="eastAsia" w:ascii="宋体" w:hAnsi="宋体"/>
          <w:bCs/>
          <w:color w:val="auto"/>
          <w:kern w:val="0"/>
          <w:szCs w:val="21"/>
          <w:highlight w:val="none"/>
          <w:vertAlign w:val="subscript"/>
        </w:rPr>
        <w:t>2</w:t>
      </w:r>
      <w:r>
        <w:rPr>
          <w:rFonts w:hint="eastAsia" w:ascii="宋体" w:hAnsi="宋体"/>
          <w:bCs/>
          <w:color w:val="auto"/>
          <w:kern w:val="0"/>
          <w:szCs w:val="21"/>
          <w:highlight w:val="none"/>
        </w:rPr>
        <w:t>×E+J</w:t>
      </w:r>
      <w:r>
        <w:rPr>
          <w:rFonts w:hint="eastAsia" w:ascii="宋体" w:hAnsi="宋体"/>
          <w:bCs/>
          <w:color w:val="auto"/>
          <w:kern w:val="0"/>
          <w:szCs w:val="21"/>
          <w:highlight w:val="none"/>
          <w:vertAlign w:val="subscript"/>
        </w:rPr>
        <w:t>3</w:t>
      </w:r>
      <w:r>
        <w:rPr>
          <w:rFonts w:hint="eastAsia" w:ascii="宋体" w:hAnsi="宋体"/>
          <w:bCs/>
          <w:color w:val="auto"/>
          <w:kern w:val="0"/>
          <w:szCs w:val="21"/>
          <w:highlight w:val="none"/>
        </w:rPr>
        <w:t>×F</w:t>
      </w:r>
      <w:r>
        <w:rPr>
          <w:rFonts w:hint="eastAsia" w:ascii="宋体" w:hAnsi="宋体" w:cs="仿宋"/>
          <w:i/>
          <w:iCs/>
          <w:color w:val="auto"/>
          <w:kern w:val="0"/>
          <w:szCs w:val="21"/>
          <w:highlight w:val="none"/>
        </w:rPr>
        <w:t xml:space="preserve"> </w:t>
      </w:r>
    </w:p>
    <w:p>
      <w:pPr>
        <w:shd w:val="clear" w:color="auto" w:fill="FFFFFF"/>
        <w:adjustRightInd w:val="0"/>
        <w:snapToGrid w:val="0"/>
        <w:spacing w:line="440" w:lineRule="exact"/>
        <w:ind w:firstLine="420" w:firstLineChars="200"/>
        <w:rPr>
          <w:rFonts w:hint="eastAsia" w:ascii="宋体" w:hAnsi="宋体"/>
          <w:color w:val="auto"/>
          <w:kern w:val="0"/>
          <w:szCs w:val="21"/>
          <w:highlight w:val="none"/>
        </w:rPr>
      </w:pPr>
      <w:r>
        <w:rPr>
          <w:rFonts w:hint="eastAsia" w:ascii="宋体" w:hAnsi="宋体" w:cs="仿宋"/>
          <w:color w:val="auto"/>
          <w:kern w:val="0"/>
          <w:szCs w:val="21"/>
          <w:highlight w:val="none"/>
        </w:rPr>
        <w:t>其中:</w:t>
      </w:r>
      <w:r>
        <w:rPr>
          <w:rFonts w:hint="eastAsia" w:ascii="宋体" w:hAnsi="宋体"/>
          <w:color w:val="auto"/>
          <w:kern w:val="0"/>
          <w:szCs w:val="21"/>
          <w:highlight w:val="none"/>
        </w:rPr>
        <w:t>C——评标总得分</w:t>
      </w:r>
      <w:r>
        <w:rPr>
          <w:rFonts w:hint="eastAsia" w:ascii="宋体" w:hAnsi="宋体"/>
          <w:color w:val="auto"/>
          <w:szCs w:val="21"/>
          <w:highlight w:val="none"/>
        </w:rPr>
        <w:t>；</w:t>
      </w:r>
    </w:p>
    <w:p>
      <w:pPr>
        <w:shd w:val="clear" w:color="auto" w:fill="FFFFFF"/>
        <w:adjustRightInd w:val="0"/>
        <w:snapToGrid w:val="0"/>
        <w:spacing w:line="440" w:lineRule="exact"/>
        <w:ind w:firstLine="630" w:firstLineChars="300"/>
        <w:rPr>
          <w:rFonts w:hint="eastAsia" w:ascii="宋体" w:hAnsi="宋体"/>
          <w:color w:val="auto"/>
          <w:kern w:val="0"/>
          <w:szCs w:val="21"/>
          <w:highlight w:val="none"/>
        </w:rPr>
      </w:pPr>
      <w:r>
        <w:rPr>
          <w:rFonts w:hint="eastAsia" w:ascii="宋体" w:hAnsi="宋体"/>
          <w:color w:val="auto"/>
          <w:kern w:val="0"/>
          <w:szCs w:val="21"/>
          <w:highlight w:val="none"/>
        </w:rPr>
        <w:t>D——技术方案评审得分</w:t>
      </w:r>
      <w:r>
        <w:rPr>
          <w:rFonts w:hint="eastAsia" w:ascii="宋体" w:hAnsi="宋体"/>
          <w:color w:val="auto"/>
          <w:szCs w:val="21"/>
          <w:highlight w:val="none"/>
        </w:rPr>
        <w:t>；</w:t>
      </w:r>
    </w:p>
    <w:p>
      <w:pPr>
        <w:shd w:val="clear" w:color="auto" w:fill="FFFFFF"/>
        <w:adjustRightInd w:val="0"/>
        <w:snapToGrid w:val="0"/>
        <w:spacing w:line="440" w:lineRule="exact"/>
        <w:ind w:firstLine="630" w:firstLineChars="300"/>
        <w:rPr>
          <w:rFonts w:hint="eastAsia" w:ascii="宋体" w:hAnsi="宋体"/>
          <w:color w:val="auto"/>
          <w:kern w:val="0"/>
          <w:szCs w:val="21"/>
          <w:highlight w:val="none"/>
        </w:rPr>
      </w:pPr>
      <w:r>
        <w:rPr>
          <w:rFonts w:hint="eastAsia" w:ascii="宋体" w:hAnsi="宋体"/>
          <w:color w:val="auto"/>
          <w:kern w:val="0"/>
          <w:szCs w:val="21"/>
          <w:highlight w:val="none"/>
        </w:rPr>
        <w:t>E——企业资信及履约能力</w:t>
      </w:r>
      <w:r>
        <w:rPr>
          <w:rFonts w:hint="eastAsia" w:ascii="宋体" w:hAnsi="宋体" w:cs="仿宋_GB2312"/>
          <w:color w:val="auto"/>
          <w:kern w:val="0"/>
          <w:szCs w:val="21"/>
          <w:highlight w:val="none"/>
        </w:rPr>
        <w:t>评审</w:t>
      </w:r>
      <w:r>
        <w:rPr>
          <w:rFonts w:hint="eastAsia" w:ascii="宋体" w:hAnsi="宋体"/>
          <w:color w:val="auto"/>
          <w:szCs w:val="21"/>
          <w:highlight w:val="none"/>
        </w:rPr>
        <w:t>得分；</w:t>
      </w:r>
    </w:p>
    <w:p>
      <w:pPr>
        <w:shd w:val="clear" w:color="auto" w:fill="FFFFFF"/>
        <w:adjustRightInd w:val="0"/>
        <w:snapToGrid w:val="0"/>
        <w:spacing w:line="440" w:lineRule="exact"/>
        <w:ind w:firstLine="630" w:firstLineChars="300"/>
        <w:rPr>
          <w:rFonts w:hint="eastAsia" w:ascii="宋体" w:hAnsi="宋体"/>
          <w:color w:val="auto"/>
          <w:szCs w:val="21"/>
          <w:highlight w:val="none"/>
        </w:rPr>
      </w:pPr>
      <w:r>
        <w:rPr>
          <w:rFonts w:hint="eastAsia" w:ascii="宋体" w:hAnsi="宋体"/>
          <w:color w:val="auto"/>
          <w:kern w:val="0"/>
          <w:szCs w:val="21"/>
          <w:highlight w:val="none"/>
        </w:rPr>
        <w:t>F——</w:t>
      </w:r>
      <w:r>
        <w:rPr>
          <w:rFonts w:hint="eastAsia" w:ascii="宋体" w:hAnsi="宋体"/>
          <w:color w:val="auto"/>
          <w:szCs w:val="21"/>
          <w:highlight w:val="none"/>
        </w:rPr>
        <w:t>投标报价评审得分。</w:t>
      </w:r>
    </w:p>
    <w:p>
      <w:pPr>
        <w:shd w:val="clear" w:color="auto" w:fill="FFFFFF"/>
        <w:adjustRightInd w:val="0"/>
        <w:snapToGrid w:val="0"/>
        <w:spacing w:line="440" w:lineRule="exact"/>
        <w:ind w:firstLine="630" w:firstLineChars="300"/>
        <w:rPr>
          <w:rFonts w:hint="eastAsia"/>
          <w:bCs/>
          <w:color w:val="auto"/>
          <w:szCs w:val="21"/>
          <w:highlight w:val="none"/>
        </w:rPr>
      </w:pPr>
      <w:r>
        <w:rPr>
          <w:rFonts w:hint="eastAsia" w:ascii="宋体" w:hAnsi="宋体"/>
          <w:color w:val="auto"/>
          <w:szCs w:val="21"/>
          <w:highlight w:val="none"/>
        </w:rPr>
        <w:t>J</w:t>
      </w:r>
      <w:r>
        <w:rPr>
          <w:rFonts w:hint="eastAsia" w:ascii="宋体" w:hAnsi="宋体"/>
          <w:bCs/>
          <w:color w:val="auto"/>
          <w:kern w:val="0"/>
          <w:szCs w:val="21"/>
          <w:highlight w:val="none"/>
          <w:vertAlign w:val="subscript"/>
        </w:rPr>
        <w:t>1</w:t>
      </w:r>
      <w:r>
        <w:rPr>
          <w:rFonts w:hint="eastAsia" w:ascii="宋体" w:hAnsi="宋体"/>
          <w:color w:val="auto"/>
          <w:szCs w:val="21"/>
          <w:highlight w:val="none"/>
        </w:rPr>
        <w:t>、J</w:t>
      </w:r>
      <w:r>
        <w:rPr>
          <w:rFonts w:hint="eastAsia" w:ascii="宋体" w:hAnsi="宋体"/>
          <w:bCs/>
          <w:color w:val="auto"/>
          <w:kern w:val="0"/>
          <w:szCs w:val="21"/>
          <w:highlight w:val="none"/>
          <w:vertAlign w:val="subscript"/>
        </w:rPr>
        <w:t>2</w:t>
      </w:r>
      <w:r>
        <w:rPr>
          <w:rFonts w:hint="eastAsia" w:ascii="宋体" w:hAnsi="宋体"/>
          <w:color w:val="auto"/>
          <w:szCs w:val="21"/>
          <w:highlight w:val="none"/>
        </w:rPr>
        <w:t>、J</w:t>
      </w:r>
      <w:r>
        <w:rPr>
          <w:rFonts w:hint="eastAsia" w:ascii="宋体" w:hAnsi="宋体"/>
          <w:bCs/>
          <w:color w:val="auto"/>
          <w:kern w:val="0"/>
          <w:szCs w:val="21"/>
          <w:highlight w:val="none"/>
          <w:vertAlign w:val="subscript"/>
        </w:rPr>
        <w:t>3</w:t>
      </w:r>
      <w:r>
        <w:rPr>
          <w:rFonts w:hint="eastAsia" w:ascii="宋体" w:hAnsi="宋体"/>
          <w:color w:val="auto"/>
          <w:szCs w:val="21"/>
          <w:highlight w:val="none"/>
        </w:rPr>
        <w:t>——各项评审因素的权重</w:t>
      </w:r>
    </w:p>
    <w:p>
      <w:pPr>
        <w:adjustRightInd w:val="0"/>
        <w:snapToGrid w:val="0"/>
        <w:spacing w:line="440" w:lineRule="exact"/>
        <w:ind w:firstLine="420" w:firstLineChars="200"/>
        <w:rPr>
          <w:color w:val="auto"/>
          <w:szCs w:val="21"/>
          <w:highlight w:val="none"/>
        </w:rPr>
      </w:pPr>
      <w:r>
        <w:rPr>
          <w:color w:val="auto"/>
          <w:szCs w:val="21"/>
          <w:highlight w:val="none"/>
        </w:rPr>
        <w:t>4.4评分分值计算保留小数点后两位，小数点后第三位“四舍五入”。</w:t>
      </w:r>
    </w:p>
    <w:p>
      <w:pPr>
        <w:adjustRightInd w:val="0"/>
        <w:snapToGrid w:val="0"/>
        <w:spacing w:before="48" w:beforeLines="20" w:line="440" w:lineRule="exact"/>
        <w:rPr>
          <w:rFonts w:eastAsia="黑体"/>
          <w:bCs/>
          <w:color w:val="auto"/>
          <w:sz w:val="24"/>
          <w:szCs w:val="21"/>
          <w:highlight w:val="none"/>
        </w:rPr>
      </w:pPr>
      <w:r>
        <w:rPr>
          <w:rFonts w:eastAsia="黑体"/>
          <w:bCs/>
          <w:color w:val="auto"/>
          <w:sz w:val="24"/>
          <w:szCs w:val="21"/>
          <w:highlight w:val="none"/>
        </w:rPr>
        <w:t>5.中标人</w:t>
      </w:r>
      <w:r>
        <w:rPr>
          <w:rFonts w:hint="eastAsia" w:eastAsia="黑体"/>
          <w:bCs/>
          <w:color w:val="auto"/>
          <w:sz w:val="24"/>
          <w:szCs w:val="21"/>
          <w:highlight w:val="none"/>
        </w:rPr>
        <w:t>的确定</w:t>
      </w:r>
    </w:p>
    <w:p>
      <w:pPr>
        <w:adjustRightInd w:val="0"/>
        <w:snapToGrid w:val="0"/>
        <w:spacing w:line="440" w:lineRule="exact"/>
        <w:ind w:firstLine="420" w:firstLineChars="200"/>
        <w:rPr>
          <w:color w:val="auto"/>
          <w:highlight w:val="none"/>
        </w:rPr>
      </w:pPr>
      <w:r>
        <w:rPr>
          <w:color w:val="auto"/>
          <w:szCs w:val="21"/>
          <w:highlight w:val="none"/>
        </w:rPr>
        <w:t xml:space="preserve">5.1 </w:t>
      </w:r>
      <w:r>
        <w:rPr>
          <w:rFonts w:hint="eastAsia"/>
          <w:color w:val="auto"/>
          <w:szCs w:val="21"/>
          <w:highlight w:val="none"/>
        </w:rPr>
        <w:t>推荐</w:t>
      </w:r>
      <w:r>
        <w:rPr>
          <w:color w:val="auto"/>
          <w:szCs w:val="21"/>
          <w:highlight w:val="none"/>
        </w:rPr>
        <w:t>中标候选人</w:t>
      </w:r>
    </w:p>
    <w:p>
      <w:pPr>
        <w:adjustRightInd w:val="0"/>
        <w:snapToGrid w:val="0"/>
        <w:spacing w:line="440" w:lineRule="exact"/>
        <w:ind w:firstLine="420" w:firstLineChars="200"/>
        <w:rPr>
          <w:rFonts w:hint="eastAsia"/>
          <w:color w:val="auto"/>
          <w:szCs w:val="21"/>
          <w:highlight w:val="none"/>
        </w:rPr>
      </w:pPr>
      <w:r>
        <w:rPr>
          <w:color w:val="auto"/>
          <w:szCs w:val="21"/>
          <w:highlight w:val="none"/>
        </w:rPr>
        <w:t>5.1.1</w:t>
      </w:r>
      <w:r>
        <w:rPr>
          <w:rFonts w:hint="eastAsia"/>
          <w:color w:val="auto"/>
          <w:szCs w:val="21"/>
          <w:highlight w:val="none"/>
        </w:rPr>
        <w:t xml:space="preserve"> 评定分离法，即：评标委员会推荐不超过3个不排序的中标候选人，由招标人确定中标人。</w:t>
      </w:r>
    </w:p>
    <w:p>
      <w:pPr>
        <w:adjustRightInd w:val="0"/>
        <w:snapToGrid w:val="0"/>
        <w:spacing w:line="440" w:lineRule="exact"/>
        <w:ind w:firstLine="420" w:firstLineChars="200"/>
        <w:rPr>
          <w:rFonts w:hint="eastAsia"/>
          <w:color w:val="auto"/>
          <w:szCs w:val="21"/>
          <w:highlight w:val="none"/>
        </w:rPr>
      </w:pPr>
      <w:r>
        <w:rPr>
          <w:rFonts w:hint="eastAsia"/>
          <w:color w:val="auto"/>
          <w:szCs w:val="21"/>
          <w:highlight w:val="none"/>
        </w:rPr>
        <w:t>5.1.2 排序法，即：评标委员会推荐不超过3个有排序的中标候选人，招标人按照中标候选人的排序确定中标人。</w:t>
      </w:r>
    </w:p>
    <w:p>
      <w:pPr>
        <w:adjustRightInd w:val="0"/>
        <w:snapToGrid w:val="0"/>
        <w:spacing w:line="440" w:lineRule="exact"/>
        <w:ind w:firstLine="420" w:firstLineChars="200"/>
        <w:rPr>
          <w:color w:val="auto"/>
          <w:szCs w:val="21"/>
          <w:highlight w:val="none"/>
        </w:rPr>
      </w:pPr>
      <w:r>
        <w:rPr>
          <w:rFonts w:hint="eastAsia"/>
          <w:color w:val="auto"/>
          <w:szCs w:val="21"/>
          <w:highlight w:val="none"/>
        </w:rPr>
        <w:t>5.1.3</w:t>
      </w:r>
      <w:r>
        <w:rPr>
          <w:color w:val="auto"/>
          <w:szCs w:val="21"/>
          <w:highlight w:val="none"/>
        </w:rPr>
        <w:t>评标委员会在推荐中标候选人时，应遵照以下原则:</w:t>
      </w:r>
    </w:p>
    <w:p>
      <w:pPr>
        <w:adjustRightInd w:val="0"/>
        <w:snapToGrid w:val="0"/>
        <w:spacing w:line="440" w:lineRule="exact"/>
        <w:ind w:firstLine="420" w:firstLineChars="200"/>
        <w:rPr>
          <w:color w:val="auto"/>
          <w:szCs w:val="21"/>
          <w:highlight w:val="none"/>
        </w:rPr>
      </w:pPr>
      <w:r>
        <w:rPr>
          <w:color w:val="auto"/>
          <w:szCs w:val="21"/>
          <w:highlight w:val="none"/>
        </w:rPr>
        <w:t>（1） 评标委员会按照</w:t>
      </w:r>
      <w:r>
        <w:rPr>
          <w:rFonts w:hint="eastAsia"/>
          <w:color w:val="auto"/>
          <w:szCs w:val="21"/>
          <w:highlight w:val="none"/>
        </w:rPr>
        <w:t>评标总得分</w:t>
      </w:r>
      <w:r>
        <w:rPr>
          <w:color w:val="auto"/>
          <w:szCs w:val="21"/>
          <w:highlight w:val="none"/>
        </w:rPr>
        <w:t>由高至低的</w:t>
      </w:r>
      <w:r>
        <w:rPr>
          <w:rFonts w:hint="eastAsia"/>
          <w:color w:val="auto"/>
          <w:szCs w:val="21"/>
          <w:highlight w:val="none"/>
        </w:rPr>
        <w:t>顺</w:t>
      </w:r>
      <w:r>
        <w:rPr>
          <w:color w:val="auto"/>
          <w:szCs w:val="21"/>
          <w:highlight w:val="none"/>
        </w:rPr>
        <w:t>序排列，并根据第二章投标人须知前</w:t>
      </w:r>
      <w:r>
        <w:rPr>
          <w:rFonts w:hint="eastAsia"/>
          <w:color w:val="auto"/>
          <w:szCs w:val="21"/>
          <w:highlight w:val="none"/>
        </w:rPr>
        <w:t>附表</w:t>
      </w:r>
      <w:r>
        <w:rPr>
          <w:color w:val="auto"/>
          <w:szCs w:val="21"/>
          <w:highlight w:val="none"/>
        </w:rPr>
        <w:t>规定的中标候选人数量，将排序</w:t>
      </w:r>
      <w:r>
        <w:rPr>
          <w:rFonts w:hint="eastAsia"/>
          <w:color w:val="auto"/>
          <w:szCs w:val="21"/>
          <w:highlight w:val="none"/>
        </w:rPr>
        <w:t>靠</w:t>
      </w:r>
      <w:r>
        <w:rPr>
          <w:color w:val="auto"/>
          <w:szCs w:val="21"/>
          <w:highlight w:val="none"/>
        </w:rPr>
        <w:t>前的投标人推荐为中标候选人。</w:t>
      </w:r>
    </w:p>
    <w:p>
      <w:pPr>
        <w:adjustRightInd w:val="0"/>
        <w:snapToGrid w:val="0"/>
        <w:spacing w:line="440" w:lineRule="exact"/>
        <w:ind w:firstLine="420" w:firstLineChars="200"/>
        <w:rPr>
          <w:color w:val="auto"/>
          <w:szCs w:val="21"/>
          <w:highlight w:val="none"/>
        </w:rPr>
      </w:pPr>
      <w:r>
        <w:rPr>
          <w:color w:val="auto"/>
          <w:szCs w:val="21"/>
          <w:highlight w:val="none"/>
        </w:rPr>
        <w:t>（2） 评标委员会根据规定</w:t>
      </w:r>
      <w:r>
        <w:rPr>
          <w:color w:val="auto"/>
          <w:highlight w:val="none"/>
        </w:rPr>
        <w:t>予以否决投标</w:t>
      </w:r>
      <w:r>
        <w:rPr>
          <w:color w:val="auto"/>
          <w:szCs w:val="21"/>
          <w:highlight w:val="none"/>
        </w:rPr>
        <w:t>后，如果因有效投标不足</w:t>
      </w:r>
      <w:r>
        <w:rPr>
          <w:rFonts w:hint="eastAsia"/>
          <w:color w:val="auto"/>
          <w:szCs w:val="21"/>
          <w:highlight w:val="none"/>
        </w:rPr>
        <w:t>3</w:t>
      </w:r>
      <w:r>
        <w:rPr>
          <w:color w:val="auto"/>
          <w:szCs w:val="21"/>
          <w:highlight w:val="none"/>
        </w:rPr>
        <w:t>个使得投标明显缺乏竞争的，评标委员会可以建议招标人重新招标。</w:t>
      </w:r>
    </w:p>
    <w:p>
      <w:pPr>
        <w:adjustRightInd w:val="0"/>
        <w:snapToGrid w:val="0"/>
        <w:spacing w:line="440" w:lineRule="exact"/>
        <w:ind w:firstLine="420" w:firstLineChars="200"/>
        <w:rPr>
          <w:color w:val="auto"/>
          <w:highlight w:val="none"/>
        </w:rPr>
      </w:pPr>
      <w:r>
        <w:rPr>
          <w:rFonts w:hint="eastAsia"/>
          <w:color w:val="auto"/>
          <w:highlight w:val="none"/>
        </w:rPr>
        <w:t>5.2 中标人的确定</w:t>
      </w:r>
    </w:p>
    <w:p>
      <w:pPr>
        <w:pStyle w:val="18"/>
        <w:spacing w:line="440" w:lineRule="exact"/>
        <w:ind w:firstLine="420" w:firstLineChars="200"/>
        <w:rPr>
          <w:color w:val="auto"/>
          <w:szCs w:val="21"/>
          <w:highlight w:val="none"/>
        </w:rPr>
      </w:pPr>
      <w:r>
        <w:rPr>
          <w:rFonts w:hint="eastAsia"/>
          <w:color w:val="auto"/>
          <w:highlight w:val="none"/>
        </w:rPr>
        <w:t>5.2.1 采用评定分离法确定中标人的，由招标人对不排序的中标候选人进行公示。</w:t>
      </w:r>
      <w:r>
        <w:rPr>
          <w:rFonts w:hint="eastAsia" w:ascii="宋体" w:hAnsi="宋体" w:cs="黑体"/>
          <w:bCs/>
          <w:color w:val="auto"/>
          <w:szCs w:val="21"/>
          <w:highlight w:val="none"/>
        </w:rPr>
        <w:t>公示期间，对评标结果有异议或投诉的，将按照相关规定进行处理。异议或投诉处理完毕之后方可组织开展定标工作。定标工作按照第二章</w:t>
      </w:r>
      <w:r>
        <w:rPr>
          <w:rFonts w:hint="eastAsia"/>
          <w:color w:val="auto"/>
          <w:szCs w:val="21"/>
          <w:highlight w:val="none"/>
        </w:rPr>
        <w:t>附件</w:t>
      </w:r>
      <w:r>
        <w:rPr>
          <w:color w:val="auto"/>
          <w:szCs w:val="21"/>
          <w:highlight w:val="none"/>
        </w:rPr>
        <w:t>2</w:t>
      </w:r>
      <w:r>
        <w:rPr>
          <w:rFonts w:hint="eastAsia"/>
          <w:color w:val="auto"/>
          <w:szCs w:val="21"/>
          <w:highlight w:val="none"/>
        </w:rPr>
        <w:t>-</w:t>
      </w:r>
      <w:r>
        <w:rPr>
          <w:color w:val="auto"/>
          <w:szCs w:val="21"/>
          <w:highlight w:val="none"/>
        </w:rPr>
        <w:t>4</w:t>
      </w:r>
      <w:r>
        <w:rPr>
          <w:rFonts w:hint="eastAsia"/>
          <w:color w:val="auto"/>
          <w:szCs w:val="21"/>
          <w:highlight w:val="none"/>
        </w:rPr>
        <w:t>评定分离工作方案执行。</w:t>
      </w:r>
    </w:p>
    <w:p>
      <w:pPr>
        <w:spacing w:line="440" w:lineRule="exact"/>
        <w:ind w:firstLine="420" w:firstLineChars="200"/>
        <w:rPr>
          <w:color w:val="auto"/>
          <w:szCs w:val="21"/>
          <w:highlight w:val="none"/>
        </w:rPr>
      </w:pPr>
      <w:r>
        <w:rPr>
          <w:rFonts w:hint="eastAsia"/>
          <w:color w:val="auto"/>
          <w:highlight w:val="none"/>
        </w:rPr>
        <w:t>5.2.1采用排序法确定中标人的，</w:t>
      </w:r>
      <w:r>
        <w:rPr>
          <w:rFonts w:hint="eastAsia"/>
          <w:color w:val="auto"/>
          <w:szCs w:val="21"/>
          <w:highlight w:val="none"/>
        </w:rPr>
        <w:t>招标人对</w:t>
      </w:r>
      <w:r>
        <w:rPr>
          <w:color w:val="auto"/>
          <w:szCs w:val="21"/>
          <w:highlight w:val="none"/>
        </w:rPr>
        <w:t>评标委员会</w:t>
      </w:r>
      <w:r>
        <w:rPr>
          <w:rFonts w:hint="eastAsia"/>
          <w:color w:val="auto"/>
          <w:szCs w:val="21"/>
          <w:highlight w:val="none"/>
        </w:rPr>
        <w:t>推荐的中标候选人进行公示。公示期满，按照相关规定确定</w:t>
      </w:r>
      <w:r>
        <w:rPr>
          <w:color w:val="auto"/>
          <w:szCs w:val="21"/>
          <w:highlight w:val="none"/>
        </w:rPr>
        <w:t>中标人。</w:t>
      </w:r>
    </w:p>
    <w:p>
      <w:pPr>
        <w:adjustRightInd w:val="0"/>
        <w:snapToGrid w:val="0"/>
        <w:spacing w:line="440" w:lineRule="exact"/>
        <w:ind w:firstLine="420" w:firstLineChars="200"/>
        <w:rPr>
          <w:color w:val="auto"/>
          <w:szCs w:val="21"/>
          <w:highlight w:val="none"/>
        </w:rPr>
      </w:pPr>
      <w:r>
        <w:rPr>
          <w:color w:val="auto"/>
          <w:szCs w:val="21"/>
          <w:highlight w:val="none"/>
        </w:rPr>
        <w:t>5.3 编制评标报告</w:t>
      </w:r>
    </w:p>
    <w:p>
      <w:pPr>
        <w:adjustRightInd w:val="0"/>
        <w:snapToGrid w:val="0"/>
        <w:spacing w:line="440" w:lineRule="exact"/>
        <w:ind w:firstLine="420" w:firstLineChars="200"/>
        <w:rPr>
          <w:color w:val="auto"/>
          <w:szCs w:val="21"/>
          <w:highlight w:val="none"/>
        </w:rPr>
      </w:pPr>
      <w:r>
        <w:rPr>
          <w:color w:val="auto"/>
          <w:szCs w:val="21"/>
          <w:highlight w:val="none"/>
        </w:rPr>
        <w:t>评标委员会根据评标办法的规定向招标人提交评标报告。评标报告应当由全体评标委员会成员签字。评标报告应当包括以下内容：</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（1）基本情况和数据表；</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（2）评标委员会成员名单；</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（3）开标记录；</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（4）符合要求的投标一览表；</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（5）否决投标情况说明；</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（6）评标标准、评标方法或者评标因素一览表；</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（7）经评审的价格一览表（包括评标委员会在评标过程中所形成的所有记载评标结果、结论的表格、说明、记录等文件）；</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（8）经评审的投标人排序；</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（9）推荐的中标候选人名单与签订合同前要处理的事宜；</w:t>
      </w:r>
    </w:p>
    <w:p>
      <w:pPr>
        <w:adjustRightInd w:val="0"/>
        <w:snapToGrid w:val="0"/>
        <w:spacing w:before="72" w:beforeLines="30" w:line="440" w:lineRule="exact"/>
        <w:ind w:firstLine="420" w:firstLineChars="200"/>
        <w:rPr>
          <w:color w:val="auto"/>
          <w:szCs w:val="21"/>
          <w:highlight w:val="none"/>
        </w:rPr>
      </w:pPr>
      <w:r>
        <w:rPr>
          <w:color w:val="auto"/>
          <w:szCs w:val="21"/>
          <w:highlight w:val="none"/>
        </w:rPr>
        <w:t>（10）澄清、说明、补正事项纪要。</w:t>
      </w:r>
    </w:p>
    <w:p>
      <w:pPr>
        <w:adjustRightInd w:val="0"/>
        <w:snapToGrid w:val="0"/>
        <w:spacing w:before="48" w:beforeLines="20" w:after="48" w:afterLines="20" w:line="440" w:lineRule="exact"/>
        <w:rPr>
          <w:rFonts w:eastAsia="黑体"/>
          <w:bCs/>
          <w:color w:val="auto"/>
          <w:sz w:val="24"/>
          <w:szCs w:val="21"/>
          <w:highlight w:val="none"/>
        </w:rPr>
      </w:pPr>
      <w:r>
        <w:rPr>
          <w:rFonts w:eastAsia="黑体"/>
          <w:bCs/>
          <w:color w:val="auto"/>
          <w:sz w:val="24"/>
          <w:szCs w:val="21"/>
          <w:highlight w:val="none"/>
        </w:rPr>
        <w:t>6．特殊情况的处置程序</w:t>
      </w:r>
    </w:p>
    <w:p>
      <w:pPr>
        <w:widowControl/>
        <w:spacing w:line="440" w:lineRule="exact"/>
        <w:ind w:left="420" w:leftChars="100" w:hanging="210" w:hangingChars="100"/>
        <w:jc w:val="left"/>
        <w:rPr>
          <w:rFonts w:hint="eastAsia" w:eastAsia="宋体"/>
          <w:color w:val="auto"/>
          <w:szCs w:val="21"/>
          <w:highlight w:val="none"/>
          <w:lang w:eastAsia="zh-CN"/>
        </w:rPr>
      </w:pPr>
      <w:r>
        <w:rPr>
          <w:color w:val="auto"/>
          <w:szCs w:val="21"/>
          <w:highlight w:val="none"/>
        </w:rPr>
        <w:t>6.1</w:t>
      </w:r>
      <w:r>
        <w:rPr>
          <w:rFonts w:hint="eastAsia"/>
          <w:color w:val="auto"/>
          <w:szCs w:val="21"/>
          <w:highlight w:val="none"/>
        </w:rPr>
        <w:t>技术方案</w:t>
      </w:r>
      <w:r>
        <w:rPr>
          <w:color w:val="auto"/>
          <w:szCs w:val="21"/>
          <w:highlight w:val="none"/>
        </w:rPr>
        <w:t>（暗标）评审</w:t>
      </w:r>
    </w:p>
    <w:p>
      <w:pPr>
        <w:widowControl/>
        <w:spacing w:line="440" w:lineRule="exact"/>
        <w:ind w:left="420" w:leftChars="100" w:hanging="210" w:hangingChars="100"/>
        <w:jc w:val="left"/>
        <w:rPr>
          <w:color w:val="auto"/>
          <w:szCs w:val="21"/>
          <w:highlight w:val="none"/>
        </w:rPr>
      </w:pPr>
      <w:r>
        <w:rPr>
          <w:color w:val="auto"/>
          <w:szCs w:val="21"/>
          <w:highlight w:val="none"/>
        </w:rPr>
        <w:t>6.1.1对进入详细评审的投标人</w:t>
      </w:r>
      <w:r>
        <w:rPr>
          <w:rFonts w:hint="eastAsia"/>
          <w:color w:val="auto"/>
          <w:szCs w:val="21"/>
          <w:highlight w:val="none"/>
        </w:rPr>
        <w:t>提交的技术方案</w:t>
      </w:r>
      <w:r>
        <w:rPr>
          <w:color w:val="auto"/>
          <w:szCs w:val="21"/>
          <w:highlight w:val="none"/>
        </w:rPr>
        <w:t>进行评审。</w:t>
      </w:r>
    </w:p>
    <w:p>
      <w:pPr>
        <w:widowControl/>
        <w:spacing w:line="440" w:lineRule="exact"/>
        <w:ind w:left="210" w:leftChars="100" w:firstLine="210" w:firstLineChars="100"/>
        <w:jc w:val="left"/>
        <w:rPr>
          <w:color w:val="auto"/>
          <w:szCs w:val="21"/>
          <w:highlight w:val="none"/>
        </w:rPr>
      </w:pPr>
      <w:r>
        <w:rPr>
          <w:rFonts w:hint="eastAsia"/>
          <w:color w:val="auto"/>
          <w:szCs w:val="21"/>
          <w:highlight w:val="none"/>
        </w:rPr>
        <w:t>6.1.</w:t>
      </w:r>
      <w:r>
        <w:rPr>
          <w:color w:val="auto"/>
          <w:szCs w:val="21"/>
          <w:highlight w:val="none"/>
        </w:rPr>
        <w:t>2全部评审工作</w:t>
      </w:r>
      <w:r>
        <w:rPr>
          <w:rFonts w:hint="eastAsia"/>
          <w:color w:val="auto"/>
          <w:szCs w:val="21"/>
          <w:highlight w:val="none"/>
        </w:rPr>
        <w:t>完成之后</w:t>
      </w:r>
      <w:r>
        <w:rPr>
          <w:color w:val="auto"/>
          <w:szCs w:val="21"/>
          <w:highlight w:val="none"/>
        </w:rPr>
        <w:t>，将</w:t>
      </w:r>
      <w:r>
        <w:rPr>
          <w:rFonts w:hint="eastAsia"/>
          <w:color w:val="auto"/>
          <w:szCs w:val="21"/>
          <w:highlight w:val="none"/>
        </w:rPr>
        <w:t>技术方案</w:t>
      </w:r>
      <w:r>
        <w:rPr>
          <w:color w:val="auto"/>
          <w:szCs w:val="21"/>
          <w:highlight w:val="none"/>
        </w:rPr>
        <w:t>编号与投标人名称</w:t>
      </w:r>
      <w:r>
        <w:rPr>
          <w:rFonts w:hint="eastAsia"/>
          <w:color w:val="auto"/>
          <w:szCs w:val="21"/>
          <w:highlight w:val="none"/>
        </w:rPr>
        <w:t>逐一</w:t>
      </w:r>
      <w:r>
        <w:rPr>
          <w:color w:val="auto"/>
          <w:szCs w:val="21"/>
          <w:highlight w:val="none"/>
        </w:rPr>
        <w:t>对应。</w:t>
      </w:r>
      <w:r>
        <w:rPr>
          <w:rFonts w:hint="eastAsia"/>
          <w:color w:val="auto"/>
          <w:szCs w:val="21"/>
          <w:highlight w:val="none"/>
        </w:rPr>
        <w:t>评标委员会全体成员对详细评审结果进行汇总和签字确认。但进入详细评审的合格投标人超过9家时，招标文件规定根据技术方案和企业资信及履约能力得分之和由高至低的顺序，确定9名合格投标人进入后续评审的，应在技术方案和企业资信及履约能力评审工作结束后，</w:t>
      </w:r>
      <w:r>
        <w:rPr>
          <w:color w:val="auto"/>
          <w:szCs w:val="21"/>
          <w:highlight w:val="none"/>
        </w:rPr>
        <w:t>将</w:t>
      </w:r>
      <w:r>
        <w:rPr>
          <w:rFonts w:hint="eastAsia"/>
          <w:color w:val="auto"/>
          <w:szCs w:val="21"/>
          <w:highlight w:val="none"/>
        </w:rPr>
        <w:t>技术方案</w:t>
      </w:r>
      <w:r>
        <w:rPr>
          <w:color w:val="auto"/>
          <w:szCs w:val="21"/>
          <w:highlight w:val="none"/>
        </w:rPr>
        <w:t>编号与投标人名称</w:t>
      </w:r>
      <w:r>
        <w:rPr>
          <w:rFonts w:hint="eastAsia"/>
          <w:color w:val="auto"/>
          <w:szCs w:val="21"/>
          <w:highlight w:val="none"/>
        </w:rPr>
        <w:t>逐一</w:t>
      </w:r>
      <w:r>
        <w:rPr>
          <w:color w:val="auto"/>
          <w:szCs w:val="21"/>
          <w:highlight w:val="none"/>
        </w:rPr>
        <w:t>对应。</w:t>
      </w:r>
    </w:p>
    <w:p>
      <w:pPr>
        <w:widowControl/>
        <w:spacing w:line="440" w:lineRule="exact"/>
        <w:ind w:left="210" w:leftChars="100" w:firstLine="210" w:firstLineChars="100"/>
        <w:jc w:val="left"/>
        <w:rPr>
          <w:color w:val="auto"/>
          <w:szCs w:val="21"/>
          <w:highlight w:val="none"/>
        </w:rPr>
      </w:pPr>
      <w:r>
        <w:rPr>
          <w:color w:val="auto"/>
          <w:szCs w:val="21"/>
          <w:highlight w:val="none"/>
        </w:rPr>
        <w:t>6.2 关于评标活动暂停</w:t>
      </w:r>
    </w:p>
    <w:p>
      <w:pPr>
        <w:adjustRightInd w:val="0"/>
        <w:snapToGrid w:val="0"/>
        <w:spacing w:line="440" w:lineRule="exact"/>
        <w:ind w:firstLine="420" w:firstLineChars="200"/>
        <w:rPr>
          <w:color w:val="auto"/>
          <w:szCs w:val="21"/>
          <w:highlight w:val="none"/>
        </w:rPr>
      </w:pPr>
      <w:r>
        <w:rPr>
          <w:color w:val="auto"/>
          <w:szCs w:val="21"/>
          <w:highlight w:val="none"/>
        </w:rPr>
        <w:t>6.2.1 评标委员会应当执行连续评标的原则，按评标办法中规定的程序、内容、方法、标准完成全部评标工作。除特殊情况外，评标活动不得暂停。</w:t>
      </w:r>
    </w:p>
    <w:p>
      <w:pPr>
        <w:adjustRightInd w:val="0"/>
        <w:snapToGrid w:val="0"/>
        <w:spacing w:before="48" w:beforeLines="20" w:line="440" w:lineRule="exact"/>
        <w:ind w:firstLine="420" w:firstLineChars="200"/>
        <w:rPr>
          <w:color w:val="auto"/>
          <w:szCs w:val="21"/>
          <w:highlight w:val="none"/>
        </w:rPr>
      </w:pPr>
      <w:r>
        <w:rPr>
          <w:color w:val="auto"/>
          <w:szCs w:val="21"/>
          <w:highlight w:val="none"/>
        </w:rPr>
        <w:t>6.2.2 发生评标暂停情况时，评标委员会应当封存全部投标文件和评标记录，待特殊情况的影响结束且具备继续评标的条件时，由原评标委员会继续评标。</w:t>
      </w:r>
    </w:p>
    <w:p>
      <w:pPr>
        <w:spacing w:line="440" w:lineRule="exact"/>
        <w:ind w:firstLine="420" w:firstLineChars="200"/>
        <w:rPr>
          <w:color w:val="auto"/>
          <w:szCs w:val="21"/>
          <w:highlight w:val="none"/>
        </w:rPr>
      </w:pPr>
      <w:r>
        <w:rPr>
          <w:color w:val="auto"/>
          <w:szCs w:val="21"/>
          <w:highlight w:val="none"/>
        </w:rPr>
        <w:t>6.3 关于评标中途更换评委</w:t>
      </w:r>
    </w:p>
    <w:p>
      <w:pPr>
        <w:adjustRightInd w:val="0"/>
        <w:snapToGrid w:val="0"/>
        <w:spacing w:line="440" w:lineRule="exact"/>
        <w:ind w:firstLine="420" w:firstLineChars="200"/>
        <w:rPr>
          <w:color w:val="auto"/>
          <w:szCs w:val="21"/>
          <w:highlight w:val="none"/>
        </w:rPr>
      </w:pPr>
      <w:r>
        <w:rPr>
          <w:color w:val="auto"/>
          <w:szCs w:val="21"/>
          <w:highlight w:val="none"/>
        </w:rPr>
        <w:t>6.3.1 除非发生下列情况之一，不得在评标中途更换评标委员会成员：</w:t>
      </w:r>
    </w:p>
    <w:p>
      <w:pPr>
        <w:adjustRightInd w:val="0"/>
        <w:snapToGrid w:val="0"/>
        <w:spacing w:line="440" w:lineRule="exact"/>
        <w:ind w:firstLine="420" w:firstLineChars="200"/>
        <w:rPr>
          <w:color w:val="auto"/>
          <w:szCs w:val="21"/>
          <w:highlight w:val="none"/>
        </w:rPr>
      </w:pPr>
      <w:r>
        <w:rPr>
          <w:color w:val="auto"/>
          <w:szCs w:val="21"/>
          <w:highlight w:val="none"/>
        </w:rPr>
        <w:t>（1）因不可抗拒的原因，评标委员会成员不能到场或需在评标中途退出评标活动。</w:t>
      </w:r>
    </w:p>
    <w:p>
      <w:pPr>
        <w:adjustRightInd w:val="0"/>
        <w:snapToGrid w:val="0"/>
        <w:spacing w:line="440" w:lineRule="exact"/>
        <w:ind w:firstLine="420" w:firstLineChars="200"/>
        <w:rPr>
          <w:color w:val="auto"/>
          <w:szCs w:val="21"/>
          <w:highlight w:val="none"/>
        </w:rPr>
      </w:pPr>
      <w:r>
        <w:rPr>
          <w:color w:val="auto"/>
          <w:szCs w:val="21"/>
          <w:highlight w:val="none"/>
        </w:rPr>
        <w:t>（2）根据法律法规规定，某个或某几个评标委员会成员需要回避。</w:t>
      </w:r>
    </w:p>
    <w:p>
      <w:pPr>
        <w:adjustRightInd w:val="0"/>
        <w:snapToGrid w:val="0"/>
        <w:spacing w:line="440" w:lineRule="exact"/>
        <w:ind w:firstLine="420" w:firstLineChars="200"/>
        <w:rPr>
          <w:color w:val="auto"/>
          <w:szCs w:val="21"/>
          <w:highlight w:val="none"/>
        </w:rPr>
      </w:pPr>
      <w:r>
        <w:rPr>
          <w:color w:val="auto"/>
          <w:szCs w:val="21"/>
          <w:highlight w:val="none"/>
        </w:rPr>
        <w:t>6.3.2 退出评标的评标委员会成员，其已完成的评标行为无效。由招标人根据</w:t>
      </w:r>
      <w:r>
        <w:rPr>
          <w:rFonts w:hint="eastAsia"/>
          <w:color w:val="auto"/>
          <w:szCs w:val="21"/>
          <w:highlight w:val="none"/>
        </w:rPr>
        <w:t>有关规定</w:t>
      </w:r>
      <w:r>
        <w:rPr>
          <w:color w:val="auto"/>
          <w:szCs w:val="21"/>
          <w:highlight w:val="none"/>
        </w:rPr>
        <w:t>另行确定替代者进行评标。</w:t>
      </w:r>
    </w:p>
    <w:p>
      <w:pPr>
        <w:spacing w:line="440" w:lineRule="exact"/>
        <w:ind w:firstLine="420" w:firstLineChars="200"/>
        <w:rPr>
          <w:color w:val="auto"/>
          <w:szCs w:val="21"/>
          <w:highlight w:val="none"/>
        </w:rPr>
      </w:pPr>
      <w:r>
        <w:rPr>
          <w:color w:val="auto"/>
          <w:szCs w:val="21"/>
          <w:highlight w:val="none"/>
        </w:rPr>
        <w:t>6.4 记名投票</w:t>
      </w:r>
    </w:p>
    <w:p>
      <w:pPr>
        <w:adjustRightInd w:val="0"/>
        <w:snapToGrid w:val="0"/>
        <w:spacing w:line="440" w:lineRule="exact"/>
        <w:ind w:firstLine="420" w:firstLineChars="200"/>
        <w:rPr>
          <w:color w:val="auto"/>
          <w:szCs w:val="21"/>
          <w:highlight w:val="none"/>
        </w:rPr>
      </w:pPr>
      <w:r>
        <w:rPr>
          <w:color w:val="auto"/>
          <w:szCs w:val="21"/>
          <w:highlight w:val="none"/>
        </w:rPr>
        <w:t>在任何评标环节中，需评标委员会就某项定性的评审结论做出表决的，由评标委员会全体成员按照少数服从多数的原则，以记名投票方式表决。</w:t>
      </w:r>
    </w:p>
    <w:p>
      <w:pPr>
        <w:spacing w:line="440" w:lineRule="exact"/>
        <w:ind w:firstLine="240" w:firstLineChars="100"/>
        <w:rPr>
          <w:rFonts w:eastAsia="黑体"/>
          <w:color w:val="auto"/>
          <w:sz w:val="24"/>
          <w:highlight w:val="none"/>
        </w:rPr>
      </w:pPr>
      <w:r>
        <w:rPr>
          <w:rFonts w:eastAsia="黑体"/>
          <w:color w:val="auto"/>
          <w:sz w:val="24"/>
          <w:highlight w:val="none"/>
        </w:rPr>
        <w:t>7.补充条款</w:t>
      </w:r>
    </w:p>
    <w:p>
      <w:pPr>
        <w:spacing w:line="440" w:lineRule="exact"/>
        <w:ind w:firstLine="420" w:firstLineChars="200"/>
        <w:rPr>
          <w:color w:val="auto"/>
          <w:szCs w:val="21"/>
          <w:highlight w:val="none"/>
        </w:rPr>
      </w:pPr>
      <w:r>
        <w:rPr>
          <w:color w:val="auto"/>
          <w:szCs w:val="21"/>
          <w:highlight w:val="none"/>
        </w:rPr>
        <w:t>7.1 拟任</w:t>
      </w:r>
      <w:r>
        <w:rPr>
          <w:rFonts w:hint="eastAsia"/>
          <w:color w:val="auto"/>
          <w:szCs w:val="21"/>
          <w:highlight w:val="none"/>
        </w:rPr>
        <w:t>工程总承包项目负责人</w:t>
      </w:r>
      <w:r>
        <w:rPr>
          <w:color w:val="auto"/>
          <w:szCs w:val="21"/>
          <w:highlight w:val="none"/>
        </w:rPr>
        <w:t>现场答辩</w:t>
      </w:r>
      <w:r>
        <w:rPr>
          <w:rFonts w:hint="eastAsia"/>
          <w:color w:val="auto"/>
          <w:szCs w:val="21"/>
          <w:highlight w:val="none"/>
        </w:rPr>
        <w:t>顺序确定方法</w:t>
      </w:r>
    </w:p>
    <w:p>
      <w:pPr>
        <w:adjustRightInd w:val="0"/>
        <w:snapToGrid w:val="0"/>
        <w:spacing w:line="440" w:lineRule="exact"/>
        <w:ind w:firstLine="420" w:firstLineChars="200"/>
        <w:rPr>
          <w:color w:val="auto"/>
          <w:szCs w:val="21"/>
          <w:highlight w:val="none"/>
        </w:rPr>
      </w:pPr>
      <w:r>
        <w:rPr>
          <w:rFonts w:hint="eastAsia" w:ascii="宋体" w:hAnsi="宋体" w:cs="宋体"/>
          <w:color w:val="auto"/>
          <w:kern w:val="0"/>
          <w:szCs w:val="21"/>
          <w:highlight w:val="none"/>
        </w:rPr>
        <w:t>由电子评标系统自动进行</w:t>
      </w:r>
      <w:r>
        <w:rPr>
          <w:rFonts w:hint="eastAsia"/>
          <w:color w:val="auto"/>
          <w:szCs w:val="21"/>
          <w:highlight w:val="none"/>
        </w:rPr>
        <w:t>工程总承包项目负责人</w:t>
      </w:r>
      <w:r>
        <w:rPr>
          <w:rFonts w:hint="eastAsia" w:ascii="宋体" w:hAnsi="宋体" w:cs="宋体"/>
          <w:color w:val="auto"/>
          <w:kern w:val="0"/>
          <w:szCs w:val="21"/>
          <w:highlight w:val="none"/>
        </w:rPr>
        <w:t>答辩顺序抽签并通过短信告知投标人，投标人应在规定的答辩时间参加答辩。联系不上、未留存联系方式的，均视为自动放弃答辩，</w:t>
      </w:r>
      <w:r>
        <w:rPr>
          <w:rFonts w:hint="eastAsia"/>
          <w:color w:val="auto"/>
          <w:szCs w:val="21"/>
          <w:highlight w:val="none"/>
        </w:rPr>
        <w:t>工程总承包项目负责人</w:t>
      </w:r>
      <w:r>
        <w:rPr>
          <w:rFonts w:hint="eastAsia" w:ascii="宋体" w:hAnsi="宋体" w:cs="宋体"/>
          <w:color w:val="auto"/>
          <w:kern w:val="0"/>
          <w:szCs w:val="21"/>
          <w:highlight w:val="none"/>
        </w:rPr>
        <w:t>答辩计0分。</w:t>
      </w:r>
    </w:p>
    <w:p>
      <w:pPr>
        <w:adjustRightInd w:val="0"/>
        <w:snapToGrid w:val="0"/>
        <w:spacing w:line="360" w:lineRule="auto"/>
        <w:ind w:firstLine="420" w:firstLineChars="200"/>
        <w:rPr>
          <w:color w:val="auto"/>
          <w:highlight w:val="none"/>
        </w:rPr>
      </w:pPr>
      <w:r>
        <w:rPr>
          <w:color w:val="auto"/>
          <w:highlight w:val="none"/>
        </w:rPr>
        <w:t>……</w:t>
      </w:r>
    </w:p>
    <w:p>
      <w:pPr>
        <w:widowControl/>
        <w:jc w:val="left"/>
        <w:rPr>
          <w:rFonts w:hint="eastAsia" w:eastAsia="黑体"/>
          <w:bCs/>
          <w:color w:val="auto"/>
          <w:sz w:val="24"/>
          <w:highlight w:val="none"/>
        </w:rPr>
      </w:pPr>
      <w:r>
        <w:rPr>
          <w:color w:val="auto"/>
          <w:highlight w:val="none"/>
        </w:rPr>
        <w:br w:type="page"/>
      </w:r>
      <w:bookmarkEnd w:id="143"/>
      <w:bookmarkStart w:id="144" w:name="_Toc9188898"/>
      <w:bookmarkStart w:id="145" w:name="_Toc9178536"/>
      <w:bookmarkStart w:id="146" w:name="_Toc9189314"/>
      <w:r>
        <w:rPr>
          <w:rFonts w:hint="eastAsia" w:eastAsia="黑体"/>
          <w:bCs/>
          <w:color w:val="auto"/>
          <w:sz w:val="24"/>
          <w:highlight w:val="none"/>
        </w:rPr>
        <w:t>附件3-2“评定分离”工作规则</w:t>
      </w:r>
      <w:bookmarkEnd w:id="144"/>
      <w:bookmarkEnd w:id="145"/>
      <w:bookmarkEnd w:id="146"/>
    </w:p>
    <w:p>
      <w:pPr>
        <w:spacing w:line="360" w:lineRule="auto"/>
        <w:outlineLvl w:val="9"/>
        <w:rPr>
          <w:rFonts w:ascii="方正小标宋_GBK" w:hAnsi="宋体" w:eastAsia="方正小标宋_GBK"/>
          <w:color w:val="auto"/>
          <w:sz w:val="36"/>
          <w:szCs w:val="36"/>
          <w:highlight w:val="none"/>
        </w:rPr>
      </w:pPr>
    </w:p>
    <w:p>
      <w:pPr>
        <w:spacing w:after="120" w:afterLines="50" w:line="420" w:lineRule="exact"/>
        <w:jc w:val="center"/>
        <w:rPr>
          <w:rFonts w:hint="eastAsia" w:eastAsia="黑体"/>
          <w:color w:val="auto"/>
          <w:sz w:val="28"/>
          <w:szCs w:val="28"/>
          <w:highlight w:val="none"/>
        </w:rPr>
      </w:pPr>
      <w:bookmarkStart w:id="147" w:name="_Toc9189315"/>
      <w:bookmarkStart w:id="148" w:name="_Toc9188899"/>
      <w:bookmarkStart w:id="149" w:name="_Toc9178537"/>
      <w:r>
        <w:rPr>
          <w:rFonts w:hint="eastAsia" w:eastAsia="黑体"/>
          <w:color w:val="auto"/>
          <w:sz w:val="28"/>
          <w:szCs w:val="28"/>
          <w:highlight w:val="none"/>
        </w:rPr>
        <w:t>“评定分离”工作规则</w:t>
      </w:r>
      <w:bookmarkEnd w:id="147"/>
      <w:bookmarkEnd w:id="148"/>
      <w:bookmarkEnd w:id="149"/>
    </w:p>
    <w:p>
      <w:pPr>
        <w:spacing w:line="540" w:lineRule="exact"/>
        <w:ind w:firstLine="600" w:firstLineChars="200"/>
        <w:rPr>
          <w:rFonts w:ascii="仿宋" w:hAnsi="仿宋" w:eastAsia="仿宋"/>
          <w:color w:val="auto"/>
          <w:sz w:val="30"/>
          <w:szCs w:val="30"/>
          <w:highlight w:val="none"/>
        </w:rPr>
      </w:pP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“评定分离”是指通过综合评审后，评标委员会向招标人推荐不超过3个不排序的中标候选人，由招标人在中标候选人中确定中标人的方法。招标人采用评定分离法确定中标人时应当符合本规则的要求。</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1.评定分离的具体方法</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1.1票决法：通过直接票决的方式确定中标人的方法。</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1.2报价竞争法：通过比对投标报价确定中标人的方法。具体方法为：最低投标价法。</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1.3因素法：通过比对某些评审因素得分情况确定中标人的方法。具体方法为：方式一，</w:t>
      </w:r>
      <w:r>
        <w:rPr>
          <w:rFonts w:hint="eastAsia"/>
          <w:color w:val="auto"/>
          <w:szCs w:val="21"/>
          <w:highlight w:val="none"/>
        </w:rPr>
        <w:t>技术方案和企业资信及履约能力两</w:t>
      </w:r>
      <w:r>
        <w:rPr>
          <w:rFonts w:hint="eastAsia" w:ascii="宋体" w:hAnsi="宋体" w:cs="宋体"/>
          <w:color w:val="auto"/>
          <w:szCs w:val="21"/>
          <w:highlight w:val="none"/>
        </w:rPr>
        <w:t>项得分之和由高至低排序确定中标人；方式二，</w:t>
      </w:r>
      <w:r>
        <w:rPr>
          <w:rFonts w:hint="eastAsia"/>
          <w:color w:val="auto"/>
          <w:szCs w:val="21"/>
          <w:highlight w:val="none"/>
        </w:rPr>
        <w:t>企业资信及履约能力</w:t>
      </w:r>
      <w:r>
        <w:rPr>
          <w:rFonts w:hint="eastAsia" w:ascii="宋体" w:hAnsi="宋体" w:cs="宋体"/>
          <w:color w:val="auto"/>
          <w:szCs w:val="21"/>
          <w:highlight w:val="none"/>
        </w:rPr>
        <w:t>得分由高至低排序确定中标人。评审因素得分之和相同时，按照评标总得分的由高至低排序确定中标人。</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2.具体要求</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2.1招标人应当在编制招标文件的同时，研究制定相应的定标工作方案，不临时动议，不临时改变既定规则。</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2.2采用评定分离法确定中标人的，应当在第二章投标人须知前附表中明确。</w:t>
      </w:r>
    </w:p>
    <w:p>
      <w:pPr>
        <w:pStyle w:val="18"/>
        <w:spacing w:line="360" w:lineRule="auto"/>
        <w:ind w:firstLine="420" w:firstLineChars="200"/>
        <w:rPr>
          <w:rFonts w:hint="eastAsia" w:ascii="宋体" w:hAnsi="宋体" w:cs="黑体"/>
          <w:bCs/>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3</w:t>
      </w:r>
      <w:r>
        <w:rPr>
          <w:rFonts w:hint="eastAsia" w:ascii="宋体" w:hAnsi="宋体" w:cs="宋体"/>
          <w:color w:val="auto"/>
          <w:szCs w:val="21"/>
          <w:highlight w:val="none"/>
        </w:rPr>
        <w:t xml:space="preserve"> 评标委员会向招标人推荐不排序的中标候选人,应当按照相关规定进行公示。</w:t>
      </w:r>
      <w:r>
        <w:rPr>
          <w:rFonts w:hint="eastAsia" w:ascii="宋体" w:hAnsi="宋体" w:cs="黑体"/>
          <w:bCs/>
          <w:color w:val="auto"/>
          <w:szCs w:val="21"/>
          <w:highlight w:val="none"/>
        </w:rPr>
        <w:t>公示期间，对评标结果有异议或投诉的，将按照相关规定进行处理。异议或投诉处理完毕之后方可组织开展定标工作。</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4</w:t>
      </w:r>
      <w:r>
        <w:rPr>
          <w:rFonts w:hint="eastAsia" w:ascii="宋体" w:hAnsi="宋体" w:cs="宋体"/>
          <w:color w:val="auto"/>
          <w:szCs w:val="21"/>
          <w:highlight w:val="none"/>
        </w:rPr>
        <w:t>招标人应当在中标候选人公示期满5个工作日内召开定标会议。</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定标会议召开前，招标人发现</w:t>
      </w:r>
      <w:r>
        <w:rPr>
          <w:rFonts w:hint="eastAsia" w:ascii="宋体" w:hAnsi="宋体" w:cs="宋体"/>
          <w:bCs/>
          <w:color w:val="auto"/>
          <w:szCs w:val="21"/>
          <w:highlight w:val="none"/>
        </w:rPr>
        <w:t>中标候选人的投标业绩、奖项等弄虚作假，或是经营、财务状况发生较大变化或者存在违法行为，可能影响其履约能力等情形的，应如实记录并作为定标参考。</w:t>
      </w:r>
    </w:p>
    <w:p>
      <w:pPr>
        <w:pStyle w:val="18"/>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采用票决定标法的，应当组建定标委员会，定标委员会由5人或以上单数组成。定标委员会成员应当遵循择优与价格竞争的原则，独立行使投票权。</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 xml:space="preserve">  招标人应当保留所有必要的定标工作相关资料，以便追溯查询。</w:t>
      </w:r>
    </w:p>
    <w:p>
      <w:pPr>
        <w:rPr>
          <w:color w:val="auto"/>
          <w:highlight w:val="none"/>
        </w:rPr>
      </w:pPr>
    </w:p>
    <w:p>
      <w:pPr>
        <w:rPr>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color w:val="auto"/>
          <w:highlight w:val="none"/>
        </w:rPr>
      </w:pPr>
    </w:p>
    <w:p>
      <w:pPr>
        <w:rPr>
          <w:color w:val="auto"/>
          <w:highlight w:val="none"/>
        </w:rPr>
      </w:pPr>
    </w:p>
    <w:p>
      <w:pPr>
        <w:pStyle w:val="5"/>
        <w:spacing w:before="0" w:after="0"/>
        <w:jc w:val="center"/>
        <w:outlineLvl w:val="1"/>
        <w:rPr>
          <w:rFonts w:ascii="Times New Roman" w:hAnsi="Times New Roman"/>
          <w:b w:val="0"/>
          <w:color w:val="auto"/>
          <w:highlight w:val="none"/>
        </w:rPr>
      </w:pPr>
      <w:bookmarkStart w:id="150" w:name="_Toc12498"/>
      <w:bookmarkStart w:id="151" w:name="_Toc69199921"/>
      <w:r>
        <w:rPr>
          <w:rFonts w:ascii="Times New Roman" w:hAnsi="Times New Roman" w:eastAsia="黑体"/>
          <w:b w:val="0"/>
          <w:bCs w:val="0"/>
          <w:color w:val="auto"/>
          <w:highlight w:val="none"/>
        </w:rPr>
        <w:t>第四章  合同条款及格式</w:t>
      </w:r>
      <w:bookmarkEnd w:id="150"/>
      <w:bookmarkEnd w:id="151"/>
      <w:bookmarkStart w:id="152" w:name="_Toc337558727"/>
      <w:r>
        <w:rPr>
          <w:rFonts w:ascii="Times New Roman" w:hAnsi="Times New Roman"/>
          <w:b w:val="0"/>
          <w:color w:val="auto"/>
          <w:highlight w:val="none"/>
        </w:rPr>
        <w:t xml:space="preserve"> </w:t>
      </w:r>
    </w:p>
    <w:p>
      <w:pPr>
        <w:rPr>
          <w:color w:val="auto"/>
          <w:highlight w:val="none"/>
        </w:rPr>
      </w:pPr>
    </w:p>
    <w:p>
      <w:pPr>
        <w:rPr>
          <w:color w:val="auto"/>
          <w:highlight w:val="none"/>
        </w:rPr>
      </w:pPr>
    </w:p>
    <w:p>
      <w:pPr>
        <w:rPr>
          <w:color w:val="auto"/>
          <w:highlight w:val="none"/>
        </w:rPr>
      </w:pPr>
    </w:p>
    <w:p>
      <w:pPr>
        <w:snapToGrid w:val="0"/>
        <w:spacing w:line="360" w:lineRule="auto"/>
        <w:ind w:firstLine="420" w:firstLineChars="200"/>
        <w:rPr>
          <w:rFonts w:hint="eastAsia"/>
          <w:color w:val="auto"/>
          <w:highlight w:val="none"/>
        </w:rPr>
      </w:pPr>
      <w:r>
        <w:rPr>
          <w:rFonts w:hint="eastAsia"/>
          <w:color w:val="auto"/>
          <w:highlight w:val="none"/>
        </w:rPr>
        <w:t>说明：合同条款及格式应当作为招标文件的组成部分，合同条款及格式采用《建设项目工程总承包合同（示范文本）》（</w:t>
      </w:r>
      <w:r>
        <w:rPr>
          <w:color w:val="auto"/>
          <w:highlight w:val="none"/>
        </w:rPr>
        <w:t>GF-2020-0216</w:t>
      </w:r>
      <w:r>
        <w:rPr>
          <w:rFonts w:hint="eastAsia"/>
          <w:color w:val="auto"/>
          <w:highlight w:val="none"/>
        </w:rPr>
        <w:t>）。</w:t>
      </w:r>
    </w:p>
    <w:p>
      <w:pPr>
        <w:pStyle w:val="2"/>
        <w:rPr>
          <w:rFonts w:hint="default" w:eastAsia="宋体"/>
          <w:color w:val="auto"/>
          <w:highlight w:val="none"/>
          <w:lang w:val="en-US" w:eastAsia="zh-CN"/>
        </w:rPr>
      </w:pPr>
    </w:p>
    <w:p>
      <w:pPr>
        <w:rPr>
          <w:color w:val="auto"/>
          <w:highlight w:val="none"/>
        </w:rPr>
        <w:sectPr>
          <w:footerReference r:id="rId10" w:type="default"/>
          <w:type w:val="continuous"/>
          <w:pgSz w:w="11906" w:h="16838"/>
          <w:pgMar w:top="1440" w:right="1800" w:bottom="1440" w:left="1800" w:header="720" w:footer="998" w:gutter="0"/>
          <w:pgNumType w:fmt="decimal"/>
          <w:cols w:space="720" w:num="1"/>
          <w:titlePg/>
          <w:docGrid w:linePitch="326" w:charSpace="0"/>
        </w:sectPr>
      </w:pPr>
      <w:r>
        <w:rPr>
          <w:color w:val="auto"/>
          <w:highlight w:val="none"/>
        </w:rPr>
        <w:br w:type="page"/>
      </w:r>
    </w:p>
    <w:p>
      <w:pPr>
        <w:pStyle w:val="7"/>
        <w:jc w:val="center"/>
        <w:rPr>
          <w:rFonts w:eastAsia="黑体"/>
          <w:b w:val="0"/>
          <w:bCs w:val="0"/>
          <w:color w:val="auto"/>
          <w:sz w:val="30"/>
          <w:szCs w:val="30"/>
          <w:highlight w:val="none"/>
        </w:rPr>
      </w:pPr>
      <w:r>
        <w:rPr>
          <w:rFonts w:hint="eastAsia" w:eastAsia="黑体"/>
          <w:b w:val="0"/>
          <w:bCs w:val="0"/>
          <w:color w:val="auto"/>
          <w:sz w:val="30"/>
          <w:szCs w:val="30"/>
          <w:highlight w:val="none"/>
        </w:rPr>
        <w:t>第一部分</w:t>
      </w:r>
      <w:r>
        <w:rPr>
          <w:rFonts w:eastAsia="黑体"/>
          <w:b w:val="0"/>
          <w:bCs w:val="0"/>
          <w:color w:val="auto"/>
          <w:sz w:val="30"/>
          <w:szCs w:val="30"/>
          <w:highlight w:val="none"/>
        </w:rPr>
        <w:t xml:space="preserve"> </w:t>
      </w:r>
      <w:r>
        <w:rPr>
          <w:rFonts w:hint="eastAsia" w:eastAsia="黑体"/>
          <w:b w:val="0"/>
          <w:bCs w:val="0"/>
          <w:color w:val="auto"/>
          <w:sz w:val="30"/>
          <w:szCs w:val="30"/>
          <w:highlight w:val="none"/>
        </w:rPr>
        <w:t>合同协议书</w:t>
      </w:r>
    </w:p>
    <w:p>
      <w:pPr>
        <w:snapToGrid w:val="0"/>
        <w:spacing w:line="360" w:lineRule="auto"/>
        <w:ind w:firstLine="420"/>
        <w:rPr>
          <w:rFonts w:hint="eastAsia"/>
          <w:color w:val="auto"/>
          <w:szCs w:val="21"/>
          <w:highlight w:val="none"/>
        </w:rPr>
      </w:pPr>
    </w:p>
    <w:p>
      <w:pPr>
        <w:snapToGrid w:val="0"/>
        <w:spacing w:line="360" w:lineRule="auto"/>
        <w:ind w:firstLine="420"/>
        <w:rPr>
          <w:rFonts w:hint="default"/>
          <w:color w:val="auto"/>
          <w:szCs w:val="21"/>
          <w:highlight w:val="none"/>
          <w:u w:val="single"/>
          <w:lang w:val="en-US" w:eastAsia="zh-CN"/>
        </w:rPr>
      </w:pPr>
      <w:r>
        <w:rPr>
          <w:rFonts w:hint="eastAsia"/>
          <w:color w:val="auto"/>
          <w:szCs w:val="21"/>
          <w:highlight w:val="none"/>
        </w:rPr>
        <w:t>发包人（全称）：</w:t>
      </w:r>
      <w:r>
        <w:rPr>
          <w:color w:val="auto"/>
          <w:szCs w:val="21"/>
          <w:highlight w:val="none"/>
          <w:u w:val="single"/>
        </w:rPr>
        <w:t xml:space="preserve"> </w:t>
      </w:r>
      <w:r>
        <w:rPr>
          <w:rFonts w:hint="eastAsia"/>
          <w:color w:val="auto"/>
          <w:szCs w:val="21"/>
          <w:highlight w:val="none"/>
          <w:u w:val="single"/>
          <w:lang w:eastAsia="zh-CN"/>
        </w:rPr>
        <w:t>岳阳市审计局</w:t>
      </w:r>
      <w:r>
        <w:rPr>
          <w:rFonts w:hint="eastAsia"/>
          <w:color w:val="auto"/>
          <w:szCs w:val="21"/>
          <w:highlight w:val="none"/>
          <w:u w:val="single"/>
          <w:lang w:val="en-US" w:eastAsia="zh-CN"/>
        </w:rPr>
        <w:t xml:space="preserve">  </w:t>
      </w:r>
    </w:p>
    <w:p>
      <w:pPr>
        <w:snapToGrid w:val="0"/>
        <w:spacing w:line="360" w:lineRule="auto"/>
        <w:ind w:firstLine="420"/>
        <w:rPr>
          <w:color w:val="auto"/>
          <w:szCs w:val="21"/>
          <w:highlight w:val="none"/>
        </w:rPr>
      </w:pPr>
      <w:r>
        <w:rPr>
          <w:rFonts w:hint="eastAsia"/>
          <w:color w:val="auto"/>
          <w:szCs w:val="21"/>
          <w:highlight w:val="none"/>
        </w:rPr>
        <w:t>承包人（全称）：</w:t>
      </w:r>
      <w:r>
        <w:rPr>
          <w:color w:val="auto"/>
          <w:szCs w:val="21"/>
          <w:highlight w:val="none"/>
          <w:u w:val="single"/>
        </w:rPr>
        <w:t xml:space="preserve">                                    </w:t>
      </w:r>
    </w:p>
    <w:p>
      <w:pPr>
        <w:snapToGrid w:val="0"/>
        <w:spacing w:line="360" w:lineRule="auto"/>
        <w:ind w:firstLine="420"/>
        <w:rPr>
          <w:color w:val="auto"/>
          <w:szCs w:val="21"/>
          <w:highlight w:val="none"/>
        </w:rPr>
      </w:pPr>
      <w:r>
        <w:rPr>
          <w:rFonts w:hint="eastAsia"/>
          <w:color w:val="auto"/>
          <w:szCs w:val="21"/>
          <w:highlight w:val="none"/>
        </w:rPr>
        <w:t>根据《中华人民共和国民法典》、《中华人民共和国建筑法》及有关法律规定，遵循平等、自愿、公平和诚实信用的原则，双方就</w:t>
      </w:r>
      <w:r>
        <w:rPr>
          <w:color w:val="auto"/>
          <w:szCs w:val="21"/>
          <w:highlight w:val="none"/>
          <w:u w:val="single"/>
        </w:rPr>
        <w:t xml:space="preserve"> </w:t>
      </w:r>
      <w:r>
        <w:rPr>
          <w:rFonts w:hint="eastAsia"/>
          <w:szCs w:val="21"/>
          <w:u w:val="single"/>
          <w:lang w:val="en-US" w:eastAsia="zh-CN"/>
        </w:rPr>
        <w:t xml:space="preserve"> 岳阳市审计局家属院老旧小区改造配套基础设施建设项目工程总承包</w:t>
      </w:r>
      <w:r>
        <w:rPr>
          <w:rFonts w:hint="eastAsia"/>
          <w:color w:val="auto"/>
          <w:szCs w:val="21"/>
          <w:highlight w:val="none"/>
        </w:rPr>
        <w:t>及有关事项协商一致，共同达成如下协议：</w:t>
      </w:r>
    </w:p>
    <w:p>
      <w:pPr>
        <w:spacing w:line="300" w:lineRule="auto"/>
        <w:ind w:left="630" w:hanging="630" w:hangingChars="300"/>
        <w:rPr>
          <w:color w:val="auto"/>
          <w:szCs w:val="21"/>
          <w:highlight w:val="none"/>
        </w:rPr>
      </w:pPr>
      <w:r>
        <w:rPr>
          <w:rFonts w:hint="eastAsia"/>
          <w:color w:val="auto"/>
          <w:szCs w:val="21"/>
          <w:highlight w:val="none"/>
        </w:rPr>
        <w:t>一、工程概况</w:t>
      </w:r>
    </w:p>
    <w:p>
      <w:pPr>
        <w:snapToGrid w:val="0"/>
        <w:spacing w:line="360" w:lineRule="auto"/>
        <w:ind w:firstLine="420"/>
        <w:rPr>
          <w:color w:val="auto"/>
          <w:szCs w:val="21"/>
          <w:highlight w:val="none"/>
        </w:rPr>
      </w:pPr>
      <w:r>
        <w:rPr>
          <w:rFonts w:hint="eastAsia"/>
          <w:color w:val="auto"/>
          <w:szCs w:val="21"/>
          <w:highlight w:val="none"/>
        </w:rPr>
        <w:t>1. 工程名称：</w:t>
      </w:r>
      <w:r>
        <w:rPr>
          <w:rFonts w:hint="eastAsia"/>
          <w:color w:val="auto"/>
          <w:szCs w:val="21"/>
          <w:highlight w:val="none"/>
          <w:u w:val="single"/>
          <w:lang w:eastAsia="zh-CN"/>
        </w:rPr>
        <w:t>岳阳市审计局家属院老旧小区改造配套基础设施建设项目工程总承包</w:t>
      </w:r>
      <w:r>
        <w:rPr>
          <w:szCs w:val="21"/>
          <w:u w:val="single"/>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2. 工程地点：</w:t>
      </w:r>
      <w:r>
        <w:rPr>
          <w:color w:val="auto"/>
          <w:szCs w:val="21"/>
          <w:highlight w:val="none"/>
          <w:u w:val="single"/>
        </w:rPr>
        <w:t xml:space="preserve"> </w:t>
      </w:r>
      <w:r>
        <w:rPr>
          <w:rFonts w:hint="eastAsia"/>
          <w:color w:val="auto"/>
          <w:szCs w:val="21"/>
          <w:highlight w:val="none"/>
          <w:u w:val="single"/>
          <w:lang w:val="en-US" w:eastAsia="zh-CN"/>
        </w:rPr>
        <w:t>项目位于岳阳楼区炮台山路 80号岳阳市审计局家属院</w:t>
      </w:r>
      <w:r>
        <w:rPr>
          <w:color w:val="auto"/>
          <w:szCs w:val="21"/>
          <w:highlight w:val="none"/>
          <w:u w:val="single"/>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3. 工程审批、核准或备案文号：</w:t>
      </w:r>
      <w:r>
        <w:rPr>
          <w:color w:val="auto"/>
          <w:highlight w:val="none"/>
        </w:rPr>
        <w:t xml:space="preserve"> </w:t>
      </w:r>
      <w:r>
        <w:rPr>
          <w:rFonts w:hint="eastAsia"/>
          <w:color w:val="auto"/>
          <w:highlight w:val="none"/>
          <w:u w:val="single"/>
          <w:lang w:val="en-US" w:eastAsia="zh-CN"/>
        </w:rPr>
        <w:t>岳阳市发展和改革委员会</w:t>
      </w:r>
      <w:r>
        <w:rPr>
          <w:rFonts w:hint="eastAsia"/>
          <w:szCs w:val="21"/>
          <w:u w:val="single"/>
          <w:lang w:val="en-US" w:eastAsia="zh-CN"/>
        </w:rPr>
        <w:t>批文名称及编号</w:t>
      </w:r>
      <w:r>
        <w:rPr>
          <w:rFonts w:hint="eastAsia"/>
          <w:color w:val="auto"/>
          <w:highlight w:val="none"/>
          <w:u w:val="single"/>
        </w:rPr>
        <w:t>岳发改核审【202</w:t>
      </w:r>
      <w:r>
        <w:rPr>
          <w:rFonts w:hint="eastAsia"/>
          <w:color w:val="auto"/>
          <w:highlight w:val="none"/>
          <w:u w:val="single"/>
          <w:lang w:val="en-US" w:eastAsia="zh-CN"/>
        </w:rPr>
        <w:t>2</w:t>
      </w:r>
      <w:r>
        <w:rPr>
          <w:rFonts w:hint="eastAsia"/>
          <w:color w:val="auto"/>
          <w:highlight w:val="none"/>
          <w:u w:val="single"/>
        </w:rPr>
        <w:t>】</w:t>
      </w:r>
      <w:r>
        <w:rPr>
          <w:rFonts w:hint="eastAsia"/>
          <w:color w:val="auto"/>
          <w:highlight w:val="none"/>
          <w:u w:val="single"/>
          <w:lang w:val="en-US" w:eastAsia="zh-CN"/>
        </w:rPr>
        <w:t>157</w:t>
      </w:r>
      <w:r>
        <w:rPr>
          <w:rFonts w:hint="eastAsia"/>
          <w:color w:val="auto"/>
          <w:highlight w:val="none"/>
          <w:u w:val="single"/>
        </w:rPr>
        <w:t>号</w:t>
      </w:r>
      <w:r>
        <w:rPr>
          <w:rFonts w:hint="eastAsia"/>
          <w:szCs w:val="21"/>
          <w:u w:val="single"/>
          <w:lang w:val="en-US" w:eastAsia="zh-CN"/>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4. 资金来源：</w:t>
      </w:r>
      <w:r>
        <w:rPr>
          <w:color w:val="auto"/>
          <w:szCs w:val="21"/>
          <w:highlight w:val="none"/>
          <w:u w:val="single"/>
        </w:rPr>
        <w:t xml:space="preserve"> </w:t>
      </w:r>
      <w:r>
        <w:rPr>
          <w:rFonts w:hint="eastAsia"/>
          <w:color w:val="auto"/>
          <w:szCs w:val="21"/>
          <w:highlight w:val="none"/>
          <w:u w:val="single"/>
          <w:lang w:val="en-US" w:eastAsia="zh-CN"/>
        </w:rPr>
        <w:t>中央资金 520 万元，其余资金自筹，资金已落实</w:t>
      </w:r>
      <w:r>
        <w:rPr>
          <w:color w:val="auto"/>
          <w:szCs w:val="21"/>
          <w:highlight w:val="none"/>
          <w:u w:val="single"/>
        </w:rPr>
        <w:t xml:space="preserve">  </w:t>
      </w:r>
      <w:r>
        <w:rPr>
          <w:rFonts w:hint="eastAsia"/>
          <w:color w:val="auto"/>
          <w:szCs w:val="21"/>
          <w:highlight w:val="none"/>
        </w:rPr>
        <w:t>。</w:t>
      </w:r>
    </w:p>
    <w:p>
      <w:pPr>
        <w:snapToGrid w:val="0"/>
        <w:spacing w:line="360" w:lineRule="auto"/>
        <w:ind w:firstLine="420"/>
        <w:rPr>
          <w:rFonts w:hint="eastAsia"/>
          <w:lang w:eastAsia="zh-CN"/>
        </w:rPr>
      </w:pPr>
      <w:r>
        <w:rPr>
          <w:rFonts w:hint="eastAsia"/>
          <w:color w:val="auto"/>
          <w:szCs w:val="21"/>
          <w:highlight w:val="none"/>
        </w:rPr>
        <w:t>5. 工程内容及规模：</w:t>
      </w:r>
      <w:r>
        <w:rPr>
          <w:rFonts w:hint="eastAsia"/>
          <w:color w:val="auto"/>
          <w:szCs w:val="21"/>
          <w:highlight w:val="none"/>
          <w:u w:val="single"/>
        </w:rPr>
        <w:t>岳阳市审计局家属院始建于2002年，现有多层建筑4栋，共计约93户</w:t>
      </w:r>
      <w:r>
        <w:rPr>
          <w:rFonts w:hint="eastAsia"/>
          <w:color w:val="auto"/>
          <w:szCs w:val="21"/>
          <w:highlight w:val="none"/>
          <w:u w:val="single"/>
          <w:lang w:eastAsia="zh-CN"/>
        </w:rPr>
        <w:t>。</w:t>
      </w:r>
      <w:r>
        <w:rPr>
          <w:color w:val="auto"/>
          <w:highlight w:val="none"/>
          <w:u w:val="single"/>
        </w:rPr>
        <w:t>；</w:t>
      </w:r>
      <w:r>
        <w:rPr>
          <w:rFonts w:hint="eastAsia"/>
          <w:color w:val="auto"/>
          <w:szCs w:val="21"/>
          <w:highlight w:val="none"/>
          <w:u w:val="single"/>
        </w:rPr>
        <w:t>本项目建设内容为:供排水设施工程、弱电入地工程、道路设施工程、环卫设施、消防设施、供气设施、新增汽车充电桩、便民设施、环境景观整治特色风貌等。（具体建设内容详见图纸及概算资料)</w:t>
      </w:r>
    </w:p>
    <w:p>
      <w:pPr>
        <w:snapToGrid w:val="0"/>
        <w:spacing w:line="360" w:lineRule="auto"/>
        <w:ind w:firstLine="420" w:firstLineChars="0"/>
        <w:jc w:val="left"/>
        <w:rPr>
          <w:rFonts w:ascii="宋体" w:hAnsi="宋体"/>
          <w:color w:val="auto"/>
          <w:highlight w:val="none"/>
          <w:u w:val="single"/>
        </w:rPr>
      </w:pPr>
      <w:r>
        <w:rPr>
          <w:rFonts w:hint="eastAsia"/>
          <w:color w:val="auto"/>
          <w:szCs w:val="21"/>
          <w:highlight w:val="none"/>
        </w:rPr>
        <w:t>6. 工程承包范围：</w:t>
      </w:r>
      <w:r>
        <w:rPr>
          <w:rFonts w:hint="eastAsia" w:ascii="宋体" w:hAnsi="宋体" w:eastAsia="宋体" w:cs="Times New Roman"/>
          <w:color w:val="auto"/>
          <w:highlight w:val="none"/>
          <w:u w:val="single"/>
          <w:lang w:val="en-US" w:eastAsia="zh-CN"/>
        </w:rPr>
        <w:t>本次招标范围主要为</w:t>
      </w:r>
      <w:r>
        <w:rPr>
          <w:rFonts w:hint="eastAsia" w:cs="Times New Roman"/>
          <w:color w:val="auto"/>
          <w:sz w:val="21"/>
          <w:szCs w:val="24"/>
          <w:highlight w:val="none"/>
          <w:u w:val="single"/>
          <w:lang w:val="en-US" w:eastAsia="zh-CN"/>
        </w:rPr>
        <w:t>岳阳市审计局家属院老旧小区改造配套基础设施建设项目工程总承包</w:t>
      </w:r>
      <w:r>
        <w:rPr>
          <w:rFonts w:hint="eastAsia" w:ascii="宋体" w:hAnsi="宋体" w:eastAsia="宋体" w:cs="Times New Roman"/>
          <w:color w:val="auto"/>
          <w:highlight w:val="none"/>
          <w:u w:val="single"/>
          <w:lang w:val="en-US" w:eastAsia="zh-CN"/>
        </w:rPr>
        <w:t>的</w:t>
      </w:r>
      <w:r>
        <w:rPr>
          <w:rFonts w:hint="eastAsia" w:ascii="宋体" w:hAnsi="宋体" w:eastAsia="宋体" w:cs="Times New Roman"/>
          <w:color w:val="auto"/>
          <w:highlight w:val="none"/>
          <w:u w:val="single"/>
        </w:rPr>
        <w:t>施</w:t>
      </w:r>
      <w:r>
        <w:rPr>
          <w:rFonts w:ascii="宋体" w:hAnsi="宋体"/>
          <w:color w:val="auto"/>
          <w:highlight w:val="none"/>
          <w:u w:val="single"/>
        </w:rPr>
        <w:t>工图</w:t>
      </w:r>
      <w:r>
        <w:rPr>
          <w:rFonts w:hint="eastAsia" w:ascii="宋体" w:hAnsi="宋体"/>
          <w:color w:val="auto"/>
          <w:highlight w:val="none"/>
          <w:u w:val="single"/>
          <w:lang w:val="en-US" w:eastAsia="zh-CN"/>
        </w:rPr>
        <w:t>设计、</w:t>
      </w:r>
      <w:r>
        <w:rPr>
          <w:rFonts w:ascii="宋体" w:hAnsi="宋体"/>
          <w:color w:val="auto"/>
          <w:highlight w:val="none"/>
          <w:u w:val="single"/>
        </w:rPr>
        <w:t>预算编制</w:t>
      </w:r>
      <w:r>
        <w:rPr>
          <w:rFonts w:hint="eastAsia" w:ascii="宋体" w:hAnsi="宋体"/>
          <w:color w:val="auto"/>
          <w:highlight w:val="none"/>
          <w:u w:val="single"/>
          <w:lang w:val="en-US" w:eastAsia="zh-CN"/>
        </w:rPr>
        <w:t>及本项目</w:t>
      </w:r>
      <w:r>
        <w:rPr>
          <w:rFonts w:hint="eastAsia" w:ascii="宋体" w:hAnsi="宋体"/>
          <w:color w:val="auto"/>
          <w:highlight w:val="none"/>
          <w:u w:val="single"/>
        </w:rPr>
        <w:t>设计施工图范围内的全部工程</w:t>
      </w:r>
      <w:r>
        <w:rPr>
          <w:rFonts w:hint="eastAsia" w:ascii="宋体" w:hAnsi="宋体"/>
          <w:color w:val="auto"/>
          <w:highlight w:val="none"/>
          <w:u w:val="single"/>
          <w:lang w:eastAsia="zh-CN"/>
        </w:rPr>
        <w:t>。</w:t>
      </w:r>
      <w:r>
        <w:rPr>
          <w:rFonts w:ascii="宋体" w:hAnsi="宋体"/>
          <w:color w:val="auto"/>
          <w:highlight w:val="none"/>
          <w:u w:val="single"/>
        </w:rPr>
        <w:t>（</w:t>
      </w:r>
      <w:r>
        <w:rPr>
          <w:rFonts w:hint="eastAsia" w:ascii="宋体" w:hAnsi="宋体"/>
          <w:color w:val="auto"/>
          <w:highlight w:val="none"/>
          <w:u w:val="single"/>
          <w:lang w:eastAsia="zh-CN"/>
        </w:rPr>
        <w:t>注：</w:t>
      </w:r>
      <w:r>
        <w:rPr>
          <w:rFonts w:ascii="宋体" w:hAnsi="宋体"/>
          <w:color w:val="auto"/>
          <w:highlight w:val="none"/>
          <w:u w:val="single"/>
        </w:rPr>
        <w:t>具体</w:t>
      </w:r>
      <w:r>
        <w:rPr>
          <w:rFonts w:hint="eastAsia" w:ascii="宋体" w:hAnsi="宋体"/>
          <w:color w:val="auto"/>
          <w:highlight w:val="none"/>
          <w:u w:val="single"/>
          <w:lang w:val="en-US" w:eastAsia="zh-CN"/>
        </w:rPr>
        <w:t>详见</w:t>
      </w:r>
      <w:r>
        <w:rPr>
          <w:rFonts w:hint="eastAsia" w:ascii="Times New Roman" w:hAnsi="Times New Roman" w:eastAsia="宋体" w:cs="Times New Roman"/>
          <w:color w:val="auto"/>
          <w:spacing w:val="0"/>
          <w:sz w:val="21"/>
          <w:szCs w:val="24"/>
          <w:highlight w:val="none"/>
          <w:u w:val="single"/>
          <w:lang w:val="en-US" w:eastAsia="zh-CN"/>
        </w:rPr>
        <w:t>概算清单，最终</w:t>
      </w:r>
      <w:r>
        <w:rPr>
          <w:rFonts w:ascii="宋体" w:hAnsi="宋体"/>
          <w:color w:val="auto"/>
          <w:highlight w:val="none"/>
          <w:u w:val="single"/>
        </w:rPr>
        <w:t>以招标人按程序组织审定的施工图和工程量清单为准）</w:t>
      </w:r>
    </w:p>
    <w:p>
      <w:pPr>
        <w:spacing w:line="300" w:lineRule="auto"/>
        <w:ind w:left="630" w:hanging="630" w:hangingChars="300"/>
        <w:rPr>
          <w:color w:val="auto"/>
          <w:szCs w:val="21"/>
          <w:highlight w:val="none"/>
        </w:rPr>
      </w:pPr>
      <w:r>
        <w:rPr>
          <w:rFonts w:hint="eastAsia"/>
          <w:color w:val="auto"/>
          <w:szCs w:val="21"/>
          <w:highlight w:val="none"/>
        </w:rPr>
        <w:t>二、合同工期</w:t>
      </w:r>
    </w:p>
    <w:p>
      <w:pPr>
        <w:snapToGrid w:val="0"/>
        <w:spacing w:line="360" w:lineRule="auto"/>
        <w:ind w:firstLine="420"/>
        <w:rPr>
          <w:color w:val="auto"/>
          <w:szCs w:val="21"/>
          <w:highlight w:val="none"/>
        </w:rPr>
      </w:pPr>
      <w:r>
        <w:rPr>
          <w:rFonts w:hint="eastAsia"/>
          <w:color w:val="auto"/>
          <w:szCs w:val="21"/>
          <w:highlight w:val="none"/>
        </w:rPr>
        <w:t>计划开始工作日期：</w:t>
      </w:r>
      <w:r>
        <w:rPr>
          <w:color w:val="auto"/>
          <w:szCs w:val="21"/>
          <w:highlight w:val="none"/>
          <w:u w:val="single"/>
        </w:rPr>
        <w:t xml:space="preserve">         </w:t>
      </w:r>
      <w:r>
        <w:rPr>
          <w:rFonts w:hint="eastAsia"/>
          <w:color w:val="auto"/>
          <w:szCs w:val="21"/>
          <w:highlight w:val="none"/>
        </w:rPr>
        <w:t>年</w:t>
      </w:r>
      <w:r>
        <w:rPr>
          <w:color w:val="auto"/>
          <w:szCs w:val="21"/>
          <w:highlight w:val="none"/>
          <w:u w:val="single"/>
        </w:rPr>
        <w:t xml:space="preserve">     </w:t>
      </w:r>
      <w:r>
        <w:rPr>
          <w:rFonts w:hint="eastAsia"/>
          <w:color w:val="auto"/>
          <w:szCs w:val="21"/>
          <w:highlight w:val="none"/>
        </w:rPr>
        <w:t>月</w:t>
      </w:r>
      <w:r>
        <w:rPr>
          <w:color w:val="auto"/>
          <w:szCs w:val="21"/>
          <w:highlight w:val="none"/>
          <w:u w:val="single"/>
        </w:rPr>
        <w:t xml:space="preserve">     </w:t>
      </w:r>
      <w:r>
        <w:rPr>
          <w:rFonts w:hint="eastAsia"/>
          <w:color w:val="auto"/>
          <w:szCs w:val="21"/>
          <w:highlight w:val="none"/>
        </w:rPr>
        <w:t>日。</w:t>
      </w:r>
    </w:p>
    <w:p>
      <w:pPr>
        <w:snapToGrid w:val="0"/>
        <w:spacing w:line="360" w:lineRule="auto"/>
        <w:ind w:firstLine="420"/>
        <w:rPr>
          <w:color w:val="auto"/>
          <w:szCs w:val="21"/>
          <w:highlight w:val="none"/>
        </w:rPr>
      </w:pPr>
      <w:r>
        <w:rPr>
          <w:rFonts w:hint="eastAsia"/>
          <w:color w:val="auto"/>
          <w:szCs w:val="21"/>
          <w:highlight w:val="none"/>
        </w:rPr>
        <w:t>计划开始现场施工日期：</w:t>
      </w:r>
      <w:r>
        <w:rPr>
          <w:color w:val="auto"/>
          <w:szCs w:val="21"/>
          <w:highlight w:val="none"/>
          <w:u w:val="single"/>
        </w:rPr>
        <w:t xml:space="preserve">         </w:t>
      </w:r>
      <w:r>
        <w:rPr>
          <w:rFonts w:hint="eastAsia"/>
          <w:color w:val="auto"/>
          <w:szCs w:val="21"/>
          <w:highlight w:val="none"/>
        </w:rPr>
        <w:t>年</w:t>
      </w:r>
      <w:r>
        <w:rPr>
          <w:color w:val="auto"/>
          <w:szCs w:val="21"/>
          <w:highlight w:val="none"/>
          <w:u w:val="single"/>
        </w:rPr>
        <w:t xml:space="preserve">     </w:t>
      </w:r>
      <w:r>
        <w:rPr>
          <w:rFonts w:hint="eastAsia"/>
          <w:color w:val="auto"/>
          <w:szCs w:val="21"/>
          <w:highlight w:val="none"/>
        </w:rPr>
        <w:t>月</w:t>
      </w:r>
      <w:r>
        <w:rPr>
          <w:color w:val="auto"/>
          <w:szCs w:val="21"/>
          <w:highlight w:val="none"/>
          <w:u w:val="single"/>
        </w:rPr>
        <w:t xml:space="preserve">     </w:t>
      </w:r>
      <w:r>
        <w:rPr>
          <w:rFonts w:hint="eastAsia"/>
          <w:color w:val="auto"/>
          <w:szCs w:val="21"/>
          <w:highlight w:val="none"/>
        </w:rPr>
        <w:t>日。</w:t>
      </w:r>
    </w:p>
    <w:p>
      <w:pPr>
        <w:snapToGrid w:val="0"/>
        <w:spacing w:line="360" w:lineRule="auto"/>
        <w:ind w:firstLine="420"/>
        <w:rPr>
          <w:color w:val="auto"/>
          <w:szCs w:val="21"/>
          <w:highlight w:val="none"/>
        </w:rPr>
      </w:pPr>
      <w:r>
        <w:rPr>
          <w:rFonts w:hint="eastAsia"/>
          <w:color w:val="auto"/>
          <w:szCs w:val="21"/>
          <w:highlight w:val="none"/>
        </w:rPr>
        <w:t>计划竣工日期：</w:t>
      </w:r>
      <w:r>
        <w:rPr>
          <w:color w:val="auto"/>
          <w:szCs w:val="21"/>
          <w:highlight w:val="none"/>
          <w:u w:val="single"/>
        </w:rPr>
        <w:t xml:space="preserve">         </w:t>
      </w:r>
      <w:r>
        <w:rPr>
          <w:rFonts w:hint="eastAsia"/>
          <w:color w:val="auto"/>
          <w:szCs w:val="21"/>
          <w:highlight w:val="none"/>
        </w:rPr>
        <w:t>年</w:t>
      </w:r>
      <w:r>
        <w:rPr>
          <w:color w:val="auto"/>
          <w:szCs w:val="21"/>
          <w:highlight w:val="none"/>
          <w:u w:val="single"/>
        </w:rPr>
        <w:t xml:space="preserve">     </w:t>
      </w:r>
      <w:r>
        <w:rPr>
          <w:rFonts w:hint="eastAsia"/>
          <w:color w:val="auto"/>
          <w:szCs w:val="21"/>
          <w:highlight w:val="none"/>
        </w:rPr>
        <w:t>月</w:t>
      </w:r>
      <w:r>
        <w:rPr>
          <w:color w:val="auto"/>
          <w:szCs w:val="21"/>
          <w:highlight w:val="none"/>
          <w:u w:val="single"/>
        </w:rPr>
        <w:t xml:space="preserve">     </w:t>
      </w:r>
      <w:r>
        <w:rPr>
          <w:rFonts w:hint="eastAsia"/>
          <w:color w:val="auto"/>
          <w:szCs w:val="21"/>
          <w:highlight w:val="none"/>
        </w:rPr>
        <w:t>日。</w:t>
      </w:r>
    </w:p>
    <w:p>
      <w:pPr>
        <w:snapToGrid w:val="0"/>
        <w:spacing w:line="360" w:lineRule="auto"/>
        <w:ind w:firstLine="420"/>
        <w:rPr>
          <w:color w:val="auto"/>
          <w:szCs w:val="21"/>
          <w:highlight w:val="none"/>
        </w:rPr>
      </w:pPr>
      <w:r>
        <w:rPr>
          <w:rFonts w:hint="eastAsia"/>
          <w:color w:val="auto"/>
          <w:szCs w:val="21"/>
          <w:highlight w:val="none"/>
        </w:rPr>
        <w:t>工期总日历天数：</w:t>
      </w:r>
      <w:r>
        <w:rPr>
          <w:color w:val="auto"/>
          <w:szCs w:val="21"/>
          <w:highlight w:val="none"/>
          <w:u w:val="single"/>
        </w:rPr>
        <w:t xml:space="preserve">  </w:t>
      </w:r>
      <w:r>
        <w:rPr>
          <w:rFonts w:hint="eastAsia"/>
          <w:color w:val="auto"/>
          <w:szCs w:val="21"/>
          <w:highlight w:val="none"/>
          <w:u w:val="single"/>
          <w:lang w:val="en-US" w:eastAsia="zh-CN"/>
        </w:rPr>
        <w:t xml:space="preserve"> </w:t>
      </w:r>
      <w:r>
        <w:rPr>
          <w:color w:val="auto"/>
          <w:szCs w:val="21"/>
          <w:highlight w:val="none"/>
          <w:u w:val="single"/>
        </w:rPr>
        <w:t xml:space="preserve"> </w:t>
      </w:r>
      <w:r>
        <w:rPr>
          <w:rFonts w:hint="eastAsia"/>
          <w:color w:val="auto"/>
          <w:szCs w:val="21"/>
          <w:highlight w:val="none"/>
        </w:rPr>
        <w:t>天，工期总日历天数与根据前述计划日期计算的工期天数不一致的，以工期总日历天数为准。</w:t>
      </w:r>
    </w:p>
    <w:p>
      <w:pPr>
        <w:spacing w:line="300" w:lineRule="auto"/>
        <w:ind w:left="630" w:hanging="630" w:hangingChars="300"/>
        <w:rPr>
          <w:color w:val="auto"/>
          <w:szCs w:val="21"/>
          <w:highlight w:val="none"/>
        </w:rPr>
      </w:pPr>
      <w:r>
        <w:rPr>
          <w:rFonts w:hint="eastAsia"/>
          <w:color w:val="auto"/>
          <w:szCs w:val="21"/>
          <w:highlight w:val="none"/>
        </w:rPr>
        <w:t>三、质量标准</w:t>
      </w:r>
    </w:p>
    <w:p>
      <w:pPr>
        <w:snapToGrid w:val="0"/>
        <w:spacing w:line="360" w:lineRule="auto"/>
        <w:ind w:firstLine="420" w:firstLineChars="200"/>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zh-TW"/>
        </w:rPr>
        <w:t>设计要求的质量标准：</w:t>
      </w:r>
      <w:r>
        <w:rPr>
          <w:rFonts w:hint="eastAsia" w:ascii="Times New Roman" w:hAnsi="Times New Roman" w:eastAsia="宋体" w:cs="Times New Roman"/>
          <w:color w:val="auto"/>
          <w:sz w:val="21"/>
          <w:szCs w:val="21"/>
          <w:highlight w:val="none"/>
          <w:u w:val="single"/>
          <w:lang w:eastAsia="zh-CN"/>
        </w:rPr>
        <w:t>必须满足国家、省、市、行业规范及本项目建设单位要求，并进行限额设计,确保施工图预算不超中标合同上限价</w:t>
      </w:r>
      <w:r>
        <w:rPr>
          <w:rFonts w:hint="eastAsia" w:ascii="Times New Roman" w:hAnsi="Times New Roman" w:eastAsia="宋体" w:cs="Times New Roman"/>
          <w:color w:val="auto"/>
          <w:sz w:val="21"/>
          <w:szCs w:val="21"/>
          <w:highlight w:val="none"/>
          <w:u w:val="single"/>
          <w:lang w:val="en-US" w:eastAsia="zh-CN"/>
        </w:rPr>
        <w:t>；</w:t>
      </w:r>
    </w:p>
    <w:p>
      <w:pPr>
        <w:snapToGrid w:val="0"/>
        <w:spacing w:line="360" w:lineRule="auto"/>
        <w:ind w:firstLine="420" w:firstLineChars="20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rPr>
        <w:t>施工质量标准：</w:t>
      </w:r>
      <w:r>
        <w:rPr>
          <w:rFonts w:hint="default" w:ascii="Times New Roman" w:hAnsi="Times New Roman" w:eastAsia="宋体" w:cs="Times New Roman"/>
          <w:color w:val="auto"/>
          <w:sz w:val="21"/>
          <w:szCs w:val="21"/>
          <w:highlight w:val="none"/>
          <w:u w:val="single"/>
        </w:rPr>
        <w:t>达到《建设工程施工质量验收统一标准》及国家颁布的施工验收规范和质量检验标准，全部工程达到合格标准；</w:t>
      </w:r>
    </w:p>
    <w:p>
      <w:pPr>
        <w:snapToGrid w:val="0"/>
        <w:spacing w:line="360" w:lineRule="auto"/>
        <w:ind w:firstLine="420" w:firstLineChars="200"/>
        <w:rPr>
          <w:rFonts w:hint="eastAsia" w:eastAsia="宋体"/>
          <w:sz w:val="21"/>
          <w:szCs w:val="21"/>
          <w:lang w:eastAsia="zh-CN"/>
        </w:rPr>
      </w:pPr>
      <w:r>
        <w:rPr>
          <w:rFonts w:hint="default" w:ascii="Times New Roman" w:hAnsi="Times New Roman" w:eastAsia="宋体" w:cs="Times New Roman"/>
          <w:color w:val="auto"/>
          <w:sz w:val="21"/>
          <w:szCs w:val="21"/>
          <w:highlight w:val="none"/>
          <w:u w:val="none"/>
        </w:rPr>
        <w:t>设备及材料采购部分质量标准：</w:t>
      </w:r>
      <w:r>
        <w:rPr>
          <w:rFonts w:hint="default" w:ascii="Times New Roman" w:hAnsi="Times New Roman" w:eastAsia="宋体" w:cs="Times New Roman"/>
          <w:color w:val="auto"/>
          <w:sz w:val="21"/>
          <w:szCs w:val="21"/>
          <w:highlight w:val="none"/>
          <w:u w:val="single"/>
        </w:rPr>
        <w:t>设备质量符合国家、行业及地方现行相关法律法规、规范及技术标准并满足本项目的要求</w:t>
      </w:r>
      <w:r>
        <w:rPr>
          <w:rFonts w:hint="eastAsia" w:cs="Times New Roman"/>
          <w:color w:val="auto"/>
          <w:sz w:val="21"/>
          <w:szCs w:val="21"/>
          <w:highlight w:val="none"/>
          <w:u w:val="single"/>
          <w:lang w:eastAsia="zh-CN"/>
        </w:rPr>
        <w:t>；</w:t>
      </w:r>
    </w:p>
    <w:p>
      <w:pPr>
        <w:spacing w:line="300" w:lineRule="auto"/>
        <w:ind w:left="630" w:hanging="630" w:hangingChars="300"/>
        <w:rPr>
          <w:color w:val="auto"/>
          <w:szCs w:val="21"/>
          <w:highlight w:val="none"/>
        </w:rPr>
      </w:pPr>
      <w:r>
        <w:rPr>
          <w:rFonts w:hint="eastAsia"/>
          <w:color w:val="auto"/>
          <w:szCs w:val="21"/>
          <w:highlight w:val="none"/>
        </w:rPr>
        <w:t>四、签约合同价与合同价格形式</w:t>
      </w:r>
    </w:p>
    <w:p>
      <w:pPr>
        <w:snapToGrid w:val="0"/>
        <w:spacing w:line="360" w:lineRule="auto"/>
        <w:ind w:firstLine="420"/>
        <w:rPr>
          <w:color w:val="auto"/>
          <w:szCs w:val="21"/>
          <w:highlight w:val="none"/>
        </w:rPr>
      </w:pPr>
      <w:r>
        <w:rPr>
          <w:rFonts w:hint="eastAsia"/>
          <w:color w:val="auto"/>
          <w:szCs w:val="21"/>
          <w:highlight w:val="none"/>
        </w:rPr>
        <w:t>1. 签约合同价（含税）为：</w:t>
      </w:r>
    </w:p>
    <w:p>
      <w:pPr>
        <w:snapToGrid w:val="0"/>
        <w:spacing w:line="360" w:lineRule="auto"/>
        <w:ind w:firstLine="420"/>
        <w:rPr>
          <w:color w:val="auto"/>
          <w:szCs w:val="21"/>
          <w:highlight w:val="none"/>
        </w:rPr>
      </w:pPr>
      <w:r>
        <w:rPr>
          <w:rFonts w:hint="eastAsia"/>
          <w:color w:val="auto"/>
          <w:szCs w:val="21"/>
          <w:highlight w:val="none"/>
        </w:rPr>
        <w:t xml:space="preserve">人民币（大写) </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w:t>
      </w:r>
    </w:p>
    <w:p>
      <w:pPr>
        <w:snapToGrid w:val="0"/>
        <w:spacing w:line="360" w:lineRule="auto"/>
        <w:ind w:firstLine="420"/>
        <w:rPr>
          <w:color w:val="auto"/>
          <w:szCs w:val="21"/>
          <w:highlight w:val="none"/>
        </w:rPr>
      </w:pPr>
      <w:r>
        <w:rPr>
          <w:rFonts w:hint="eastAsia"/>
          <w:color w:val="auto"/>
          <w:szCs w:val="21"/>
          <w:highlight w:val="none"/>
        </w:rPr>
        <w:t xml:space="preserve">具体构成详见价格清单。其中： </w:t>
      </w:r>
    </w:p>
    <w:p>
      <w:pPr>
        <w:snapToGrid w:val="0"/>
        <w:spacing w:line="360" w:lineRule="auto"/>
        <w:ind w:firstLine="420"/>
        <w:rPr>
          <w:color w:val="auto"/>
          <w:szCs w:val="21"/>
          <w:highlight w:val="none"/>
        </w:rPr>
      </w:pPr>
      <w:r>
        <w:rPr>
          <w:rFonts w:hint="eastAsia"/>
          <w:color w:val="auto"/>
          <w:szCs w:val="21"/>
          <w:highlight w:val="none"/>
        </w:rPr>
        <w:t>（1） 设计费（含税）：</w:t>
      </w:r>
    </w:p>
    <w:p>
      <w:pPr>
        <w:snapToGrid w:val="0"/>
        <w:spacing w:line="360" w:lineRule="auto"/>
        <w:ind w:firstLine="420"/>
        <w:rPr>
          <w:color w:val="auto"/>
          <w:szCs w:val="21"/>
          <w:highlight w:val="none"/>
        </w:rPr>
      </w:pPr>
      <w:r>
        <w:rPr>
          <w:rFonts w:hint="eastAsia"/>
          <w:color w:val="auto"/>
          <w:szCs w:val="21"/>
          <w:highlight w:val="none"/>
        </w:rPr>
        <w:t xml:space="preserve">人民币（大写) </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元）；适用税率：</w:t>
      </w:r>
      <w:r>
        <w:rPr>
          <w:color w:val="auto"/>
          <w:szCs w:val="21"/>
          <w:highlight w:val="none"/>
          <w:u w:val="single"/>
        </w:rPr>
        <w:t xml:space="preserve">    </w:t>
      </w:r>
      <w:r>
        <w:rPr>
          <w:rFonts w:hint="eastAsia"/>
          <w:color w:val="auto"/>
          <w:szCs w:val="21"/>
          <w:highlight w:val="none"/>
        </w:rPr>
        <w:t>%，税金为人民币（大写)</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 xml:space="preserve">元）； </w:t>
      </w:r>
    </w:p>
    <w:p>
      <w:pPr>
        <w:snapToGrid w:val="0"/>
        <w:spacing w:line="360" w:lineRule="auto"/>
        <w:ind w:firstLine="420"/>
        <w:rPr>
          <w:color w:val="auto"/>
          <w:szCs w:val="21"/>
          <w:highlight w:val="none"/>
        </w:rPr>
      </w:pPr>
      <w:r>
        <w:rPr>
          <w:rFonts w:hint="eastAsia"/>
          <w:color w:val="auto"/>
          <w:szCs w:val="21"/>
          <w:highlight w:val="none"/>
        </w:rPr>
        <w:t>（2） 设备购置费（含税）：</w:t>
      </w:r>
    </w:p>
    <w:p>
      <w:pPr>
        <w:snapToGrid w:val="0"/>
        <w:spacing w:line="360" w:lineRule="auto"/>
        <w:ind w:firstLine="420"/>
        <w:rPr>
          <w:color w:val="auto"/>
          <w:szCs w:val="21"/>
          <w:highlight w:val="none"/>
        </w:rPr>
      </w:pPr>
      <w:r>
        <w:rPr>
          <w:rFonts w:hint="eastAsia"/>
          <w:color w:val="auto"/>
          <w:szCs w:val="21"/>
          <w:highlight w:val="none"/>
        </w:rPr>
        <w:t xml:space="preserve">人民币（大写) </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元）；适用税率：</w:t>
      </w:r>
      <w:r>
        <w:rPr>
          <w:color w:val="auto"/>
          <w:szCs w:val="21"/>
          <w:highlight w:val="none"/>
          <w:u w:val="single"/>
        </w:rPr>
        <w:t xml:space="preserve">   </w:t>
      </w:r>
      <w:r>
        <w:rPr>
          <w:rFonts w:hint="eastAsia"/>
          <w:color w:val="auto"/>
          <w:szCs w:val="21"/>
          <w:highlight w:val="none"/>
        </w:rPr>
        <w:t>%，税金为人民币（大写)</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 xml:space="preserve">元）； </w:t>
      </w:r>
    </w:p>
    <w:p>
      <w:pPr>
        <w:snapToGrid w:val="0"/>
        <w:spacing w:line="360" w:lineRule="auto"/>
        <w:ind w:firstLine="420"/>
        <w:rPr>
          <w:color w:val="auto"/>
          <w:szCs w:val="21"/>
          <w:highlight w:val="none"/>
        </w:rPr>
      </w:pPr>
      <w:r>
        <w:rPr>
          <w:rFonts w:hint="eastAsia"/>
          <w:color w:val="auto"/>
          <w:szCs w:val="21"/>
          <w:highlight w:val="none"/>
        </w:rPr>
        <w:t>（3） 建筑安装工程费（含税）：</w:t>
      </w:r>
    </w:p>
    <w:p>
      <w:pPr>
        <w:snapToGrid w:val="0"/>
        <w:spacing w:line="360" w:lineRule="auto"/>
        <w:ind w:firstLine="420"/>
        <w:rPr>
          <w:color w:val="auto"/>
          <w:szCs w:val="21"/>
          <w:highlight w:val="none"/>
        </w:rPr>
      </w:pPr>
      <w:r>
        <w:rPr>
          <w:rFonts w:hint="eastAsia"/>
          <w:color w:val="auto"/>
          <w:szCs w:val="21"/>
          <w:highlight w:val="none"/>
        </w:rPr>
        <w:t>人民币（大写)</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元）；适用税率：</w:t>
      </w:r>
      <w:r>
        <w:rPr>
          <w:color w:val="auto"/>
          <w:szCs w:val="21"/>
          <w:highlight w:val="none"/>
          <w:u w:val="single"/>
        </w:rPr>
        <w:t xml:space="preserve">   </w:t>
      </w:r>
      <w:r>
        <w:rPr>
          <w:rFonts w:hint="eastAsia"/>
          <w:color w:val="auto"/>
          <w:szCs w:val="21"/>
          <w:highlight w:val="none"/>
        </w:rPr>
        <w:t>%，税金为人民币（大写)</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 xml:space="preserve">元）； </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 暂估价（含税）：</w:t>
      </w:r>
    </w:p>
    <w:p>
      <w:pPr>
        <w:snapToGrid w:val="0"/>
        <w:spacing w:line="360" w:lineRule="auto"/>
        <w:ind w:firstLine="420"/>
        <w:rPr>
          <w:color w:val="auto"/>
          <w:szCs w:val="21"/>
          <w:highlight w:val="none"/>
        </w:rPr>
      </w:pPr>
      <w:r>
        <w:rPr>
          <w:rFonts w:hint="eastAsia"/>
          <w:color w:val="auto"/>
          <w:szCs w:val="21"/>
          <w:highlight w:val="none"/>
        </w:rPr>
        <w:t>人民币（大写)</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 暂列金额（含税）：</w:t>
      </w:r>
    </w:p>
    <w:p>
      <w:pPr>
        <w:snapToGrid w:val="0"/>
        <w:spacing w:line="360" w:lineRule="auto"/>
        <w:ind w:firstLine="420"/>
        <w:rPr>
          <w:color w:val="auto"/>
          <w:szCs w:val="21"/>
          <w:highlight w:val="none"/>
        </w:rPr>
      </w:pPr>
      <w:r>
        <w:rPr>
          <w:rFonts w:hint="eastAsia"/>
          <w:color w:val="auto"/>
          <w:szCs w:val="21"/>
          <w:highlight w:val="none"/>
        </w:rPr>
        <w:t>人民币（大写)</w:t>
      </w:r>
      <w:r>
        <w:rPr>
          <w:color w:val="auto"/>
          <w:szCs w:val="21"/>
          <w:highlight w:val="none"/>
          <w:u w:val="single"/>
        </w:rPr>
        <w:t xml:space="preserve">                 </w:t>
      </w:r>
      <w:r>
        <w:rPr>
          <w:rFonts w:hint="eastAsia"/>
          <w:color w:val="auto"/>
          <w:szCs w:val="21"/>
          <w:highlight w:val="none"/>
        </w:rPr>
        <w:t>（¥</w:t>
      </w:r>
      <w:r>
        <w:rPr>
          <w:color w:val="auto"/>
          <w:szCs w:val="21"/>
          <w:highlight w:val="none"/>
          <w:u w:val="single"/>
        </w:rPr>
        <w:t xml:space="preserve">            </w:t>
      </w:r>
      <w:r>
        <w:rPr>
          <w:rFonts w:hint="eastAsia"/>
          <w:color w:val="auto"/>
          <w:szCs w:val="21"/>
          <w:highlight w:val="none"/>
        </w:rPr>
        <w:t>元）。</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 xml:space="preserve"> </w:t>
      </w:r>
      <w:r>
        <w:rPr>
          <w:color w:val="auto"/>
          <w:szCs w:val="21"/>
          <w:highlight w:val="none"/>
        </w:rPr>
        <w:t>双方约定的其他费用</w:t>
      </w:r>
      <w:r>
        <w:rPr>
          <w:rFonts w:hint="eastAsia"/>
          <w:color w:val="auto"/>
          <w:szCs w:val="21"/>
          <w:highlight w:val="none"/>
        </w:rPr>
        <w:t>（含税）</w:t>
      </w:r>
      <w:r>
        <w:rPr>
          <w:color w:val="auto"/>
          <w:szCs w:val="21"/>
          <w:highlight w:val="none"/>
        </w:rPr>
        <w:t>：</w:t>
      </w:r>
    </w:p>
    <w:p>
      <w:pPr>
        <w:snapToGrid w:val="0"/>
        <w:spacing w:line="360" w:lineRule="auto"/>
        <w:ind w:firstLine="420"/>
        <w:jc w:val="left"/>
        <w:rPr>
          <w:color w:val="auto"/>
          <w:szCs w:val="21"/>
          <w:highlight w:val="none"/>
        </w:rPr>
      </w:pPr>
      <w:r>
        <w:rPr>
          <w:rFonts w:hint="eastAsia"/>
          <w:color w:val="auto"/>
          <w:szCs w:val="21"/>
          <w:highlight w:val="none"/>
        </w:rPr>
        <w:t>人民币（大写</w:t>
      </w:r>
      <w:r>
        <w:rPr>
          <w:color w:val="auto"/>
          <w:szCs w:val="21"/>
          <w:highlight w:val="none"/>
        </w:rPr>
        <w:t>)</w:t>
      </w:r>
      <w:r>
        <w:rPr>
          <w:rFonts w:hint="eastAsia"/>
          <w:color w:val="auto"/>
          <w:szCs w:val="21"/>
          <w:highlight w:val="none"/>
          <w:u w:val="single"/>
        </w:rPr>
        <w:t xml:space="preserve">                </w:t>
      </w:r>
      <w:r>
        <w:rPr>
          <w:color w:val="auto"/>
          <w:szCs w:val="21"/>
          <w:highlight w:val="none"/>
        </w:rPr>
        <w:t>（¥</w:t>
      </w:r>
      <w:r>
        <w:rPr>
          <w:rFonts w:hint="eastAsia"/>
          <w:color w:val="auto"/>
          <w:szCs w:val="21"/>
          <w:highlight w:val="none"/>
          <w:u w:val="single"/>
        </w:rPr>
        <w:t xml:space="preserve">          </w:t>
      </w:r>
      <w:r>
        <w:rPr>
          <w:color w:val="auto"/>
          <w:szCs w:val="21"/>
          <w:highlight w:val="none"/>
        </w:rPr>
        <w:t>元）；适用税率：</w:t>
      </w:r>
      <w:r>
        <w:rPr>
          <w:rFonts w:hint="eastAsia"/>
          <w:color w:val="auto"/>
          <w:szCs w:val="21"/>
          <w:highlight w:val="none"/>
          <w:u w:val="single"/>
        </w:rPr>
        <w:t xml:space="preserve">         </w:t>
      </w:r>
      <w:r>
        <w:rPr>
          <w:color w:val="auto"/>
          <w:szCs w:val="21"/>
          <w:highlight w:val="none"/>
        </w:rPr>
        <w:t>%，税金为人民币（大写)</w:t>
      </w:r>
      <w:r>
        <w:rPr>
          <w:rFonts w:hint="eastAsia"/>
          <w:color w:val="auto"/>
          <w:szCs w:val="21"/>
          <w:highlight w:val="none"/>
          <w:u w:val="single"/>
        </w:rPr>
        <w:t xml:space="preserve">                 </w:t>
      </w:r>
      <w:r>
        <w:rPr>
          <w:color w:val="auto"/>
          <w:szCs w:val="21"/>
          <w:highlight w:val="none"/>
        </w:rPr>
        <w:t>（¥</w:t>
      </w:r>
      <w:r>
        <w:rPr>
          <w:rFonts w:hint="eastAsia"/>
          <w:color w:val="auto"/>
          <w:szCs w:val="21"/>
          <w:highlight w:val="none"/>
          <w:u w:val="single"/>
        </w:rPr>
        <w:t xml:space="preserve">            </w:t>
      </w:r>
      <w:r>
        <w:rPr>
          <w:color w:val="auto"/>
          <w:szCs w:val="21"/>
          <w:highlight w:val="none"/>
        </w:rPr>
        <w:t>元）。</w:t>
      </w:r>
    </w:p>
    <w:p>
      <w:pPr>
        <w:snapToGrid w:val="0"/>
        <w:spacing w:line="360" w:lineRule="auto"/>
        <w:ind w:firstLine="420"/>
        <w:rPr>
          <w:color w:val="auto"/>
          <w:szCs w:val="21"/>
          <w:highlight w:val="none"/>
        </w:rPr>
      </w:pPr>
      <w:r>
        <w:rPr>
          <w:rFonts w:hint="eastAsia"/>
          <w:color w:val="auto"/>
          <w:szCs w:val="21"/>
          <w:highlight w:val="none"/>
        </w:rPr>
        <w:t>2. 合同价格形式：</w:t>
      </w:r>
    </w:p>
    <w:p>
      <w:pPr>
        <w:tabs>
          <w:tab w:val="left" w:pos="8520"/>
        </w:tabs>
        <w:spacing w:line="520" w:lineRule="exact"/>
        <w:ind w:right="-169" w:firstLine="420" w:firstLineChars="200"/>
        <w:jc w:val="left"/>
        <w:rPr>
          <w:rFonts w:hint="eastAsia" w:ascii="Times New Roman" w:hAnsi="Times New Roman" w:eastAsia="宋体" w:cs="Times New Roman"/>
          <w:szCs w:val="21"/>
          <w:u w:val="single"/>
        </w:rPr>
      </w:pPr>
      <w:r>
        <w:rPr>
          <w:rFonts w:hint="eastAsia"/>
          <w:color w:val="auto"/>
          <w:szCs w:val="21"/>
          <w:highlight w:val="none"/>
        </w:rPr>
        <w:t>合同当事人对合同价格形式的其他约定：</w:t>
      </w:r>
      <w:r>
        <w:rPr>
          <w:rFonts w:hint="eastAsia" w:cs="Times New Roman"/>
          <w:szCs w:val="21"/>
          <w:u w:val="single"/>
          <w:lang w:val="en-US" w:eastAsia="zh-CN"/>
        </w:rPr>
        <w:t xml:space="preserve">  </w:t>
      </w:r>
      <w:r>
        <w:rPr>
          <w:rFonts w:hint="eastAsia" w:ascii="Times New Roman" w:hAnsi="Times New Roman" w:eastAsia="宋体" w:cs="Times New Roman"/>
          <w:szCs w:val="21"/>
          <w:u w:val="single"/>
        </w:rPr>
        <w:t>。</w:t>
      </w:r>
    </w:p>
    <w:p>
      <w:pPr>
        <w:tabs>
          <w:tab w:val="left" w:pos="8520"/>
        </w:tabs>
        <w:spacing w:line="520" w:lineRule="exact"/>
        <w:ind w:right="-169" w:firstLine="420" w:firstLineChars="200"/>
        <w:jc w:val="left"/>
        <w:rPr>
          <w:rFonts w:hint="eastAsia" w:ascii="Times New Roman" w:hAnsi="Times New Roman" w:eastAsia="宋体" w:cs="Times New Roman"/>
          <w:szCs w:val="21"/>
          <w:u w:val="single"/>
          <w:lang w:eastAsia="zh-CN"/>
        </w:rPr>
      </w:pPr>
      <w:r>
        <w:rPr>
          <w:rFonts w:hint="eastAsia" w:cs="Times New Roman"/>
          <w:szCs w:val="21"/>
          <w:u w:val="single"/>
          <w:lang w:val="en-US" w:eastAsia="zh-CN"/>
        </w:rPr>
        <w:t>双方合同约定</w:t>
      </w:r>
      <w:r>
        <w:rPr>
          <w:rFonts w:hint="eastAsia" w:ascii="Times New Roman" w:hAnsi="Times New Roman" w:eastAsia="宋体" w:cs="Times New Roman"/>
          <w:szCs w:val="21"/>
          <w:u w:val="single"/>
          <w:lang w:eastAsia="zh-CN"/>
        </w:rPr>
        <w:t>。</w:t>
      </w:r>
    </w:p>
    <w:p>
      <w:pPr>
        <w:spacing w:line="300" w:lineRule="auto"/>
        <w:ind w:left="630" w:hanging="630" w:hangingChars="300"/>
        <w:rPr>
          <w:color w:val="auto"/>
          <w:szCs w:val="21"/>
          <w:highlight w:val="none"/>
        </w:rPr>
      </w:pPr>
      <w:r>
        <w:rPr>
          <w:rFonts w:hint="eastAsia"/>
          <w:color w:val="auto"/>
          <w:szCs w:val="21"/>
          <w:highlight w:val="none"/>
        </w:rPr>
        <w:t>五、工程总承包项目经理</w:t>
      </w:r>
    </w:p>
    <w:p>
      <w:pPr>
        <w:snapToGrid w:val="0"/>
        <w:spacing w:line="360" w:lineRule="auto"/>
        <w:ind w:firstLine="420"/>
        <w:rPr>
          <w:color w:val="auto"/>
          <w:szCs w:val="21"/>
          <w:highlight w:val="none"/>
        </w:rPr>
      </w:pPr>
      <w:r>
        <w:rPr>
          <w:rFonts w:hint="eastAsia"/>
          <w:color w:val="auto"/>
          <w:szCs w:val="21"/>
          <w:highlight w:val="none"/>
        </w:rPr>
        <w:t>工程总承包项目经理：</w:t>
      </w:r>
      <w:r>
        <w:rPr>
          <w:color w:val="auto"/>
          <w:szCs w:val="21"/>
          <w:highlight w:val="none"/>
          <w:u w:val="single"/>
        </w:rPr>
        <w:t xml:space="preserve">                              </w:t>
      </w:r>
      <w:r>
        <w:rPr>
          <w:rFonts w:hint="eastAsia"/>
          <w:color w:val="auto"/>
          <w:szCs w:val="21"/>
          <w:highlight w:val="none"/>
        </w:rPr>
        <w:t>。</w:t>
      </w:r>
    </w:p>
    <w:p>
      <w:pPr>
        <w:spacing w:line="300" w:lineRule="auto"/>
        <w:ind w:left="630" w:hanging="630" w:hangingChars="300"/>
        <w:rPr>
          <w:color w:val="auto"/>
          <w:szCs w:val="21"/>
          <w:highlight w:val="none"/>
        </w:rPr>
      </w:pPr>
      <w:r>
        <w:rPr>
          <w:rFonts w:hint="eastAsia"/>
          <w:color w:val="auto"/>
          <w:szCs w:val="21"/>
          <w:highlight w:val="none"/>
        </w:rPr>
        <w:t>六、合同文件构成</w:t>
      </w:r>
    </w:p>
    <w:p>
      <w:pPr>
        <w:snapToGrid w:val="0"/>
        <w:spacing w:line="360" w:lineRule="auto"/>
        <w:ind w:firstLine="420"/>
        <w:rPr>
          <w:color w:val="auto"/>
          <w:szCs w:val="21"/>
          <w:highlight w:val="none"/>
        </w:rPr>
      </w:pPr>
      <w:r>
        <w:rPr>
          <w:rFonts w:hint="eastAsia"/>
          <w:color w:val="auto"/>
          <w:szCs w:val="21"/>
          <w:highlight w:val="none"/>
        </w:rPr>
        <w:t xml:space="preserve">本协议书与下列文件一起构成合同文件： </w:t>
      </w:r>
    </w:p>
    <w:p>
      <w:pPr>
        <w:snapToGrid w:val="0"/>
        <w:spacing w:line="360" w:lineRule="auto"/>
        <w:ind w:firstLine="420"/>
        <w:rPr>
          <w:color w:val="auto"/>
          <w:szCs w:val="21"/>
          <w:highlight w:val="none"/>
        </w:rPr>
      </w:pPr>
      <w:r>
        <w:rPr>
          <w:rFonts w:hint="eastAsia"/>
          <w:color w:val="auto"/>
          <w:szCs w:val="21"/>
          <w:highlight w:val="none"/>
        </w:rPr>
        <w:t>（1） 中标通知书（如果有）；</w:t>
      </w:r>
    </w:p>
    <w:p>
      <w:pPr>
        <w:snapToGrid w:val="0"/>
        <w:spacing w:line="360" w:lineRule="auto"/>
        <w:ind w:firstLine="420"/>
        <w:rPr>
          <w:color w:val="auto"/>
          <w:szCs w:val="21"/>
          <w:highlight w:val="none"/>
        </w:rPr>
      </w:pPr>
      <w:r>
        <w:rPr>
          <w:rFonts w:hint="eastAsia"/>
          <w:color w:val="auto"/>
          <w:szCs w:val="21"/>
          <w:highlight w:val="none"/>
        </w:rPr>
        <w:t>（2） 投标函及投标函附录（如果有）；</w:t>
      </w:r>
    </w:p>
    <w:p>
      <w:pPr>
        <w:snapToGrid w:val="0"/>
        <w:spacing w:line="360" w:lineRule="auto"/>
        <w:ind w:firstLine="420"/>
        <w:rPr>
          <w:color w:val="auto"/>
          <w:szCs w:val="21"/>
          <w:highlight w:val="none"/>
        </w:rPr>
      </w:pPr>
      <w:r>
        <w:rPr>
          <w:rFonts w:hint="eastAsia"/>
          <w:color w:val="auto"/>
          <w:szCs w:val="21"/>
          <w:highlight w:val="none"/>
        </w:rPr>
        <w:t>（3） 专用合同条件及《发包人要求》等附件；</w:t>
      </w:r>
    </w:p>
    <w:p>
      <w:pPr>
        <w:snapToGrid w:val="0"/>
        <w:spacing w:line="360" w:lineRule="auto"/>
        <w:ind w:firstLine="420"/>
        <w:rPr>
          <w:color w:val="auto"/>
          <w:szCs w:val="21"/>
          <w:highlight w:val="none"/>
        </w:rPr>
      </w:pPr>
      <w:r>
        <w:rPr>
          <w:rFonts w:hint="eastAsia"/>
          <w:color w:val="auto"/>
          <w:szCs w:val="21"/>
          <w:highlight w:val="none"/>
        </w:rPr>
        <w:t>（4） 通用合同条件；</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 xml:space="preserve">） 承包人建议书； </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 价格清单；</w:t>
      </w:r>
    </w:p>
    <w:p>
      <w:pPr>
        <w:snapToGrid w:val="0"/>
        <w:spacing w:line="360" w:lineRule="auto"/>
        <w:ind w:firstLine="420"/>
        <w:rPr>
          <w:color w:val="auto"/>
          <w:szCs w:val="21"/>
          <w:highlight w:val="none"/>
        </w:rPr>
      </w:pPr>
      <w:r>
        <w:rPr>
          <w:rFonts w:hint="eastAsia"/>
          <w:color w:val="auto"/>
          <w:szCs w:val="21"/>
          <w:highlight w:val="none"/>
        </w:rPr>
        <w:t>（</w:t>
      </w:r>
      <w:r>
        <w:rPr>
          <w:color w:val="auto"/>
          <w:szCs w:val="21"/>
          <w:highlight w:val="none"/>
        </w:rPr>
        <w:t>7</w:t>
      </w:r>
      <w:r>
        <w:rPr>
          <w:rFonts w:hint="eastAsia"/>
          <w:color w:val="auto"/>
          <w:szCs w:val="21"/>
          <w:highlight w:val="none"/>
        </w:rPr>
        <w:t>） 双方约定的其他合同文件。</w:t>
      </w:r>
    </w:p>
    <w:p>
      <w:pPr>
        <w:snapToGrid w:val="0"/>
        <w:spacing w:line="360" w:lineRule="auto"/>
        <w:ind w:firstLine="420"/>
        <w:rPr>
          <w:color w:val="auto"/>
          <w:szCs w:val="21"/>
          <w:highlight w:val="none"/>
        </w:rPr>
      </w:pPr>
      <w:r>
        <w:rPr>
          <w:rFonts w:hint="eastAsia"/>
          <w:color w:val="auto"/>
          <w:szCs w:val="21"/>
          <w:highlight w:val="none"/>
        </w:rPr>
        <w:t>上述各项合同文件包括双方就该项合同文件所作出的补充和修改，属于同一类内容的合同文件应以最新签署的为准。专用合同条件及其附件须经合同当事人签字或盖章。</w:t>
      </w:r>
    </w:p>
    <w:p>
      <w:pPr>
        <w:spacing w:line="300" w:lineRule="auto"/>
        <w:ind w:left="630" w:hanging="630" w:hangingChars="300"/>
        <w:rPr>
          <w:color w:val="auto"/>
          <w:szCs w:val="21"/>
          <w:highlight w:val="none"/>
        </w:rPr>
      </w:pPr>
      <w:r>
        <w:rPr>
          <w:rFonts w:hint="eastAsia"/>
          <w:color w:val="auto"/>
          <w:szCs w:val="21"/>
          <w:highlight w:val="none"/>
        </w:rPr>
        <w:t>七、承诺</w:t>
      </w:r>
    </w:p>
    <w:p>
      <w:pPr>
        <w:snapToGrid w:val="0"/>
        <w:spacing w:line="360" w:lineRule="auto"/>
        <w:ind w:firstLine="420"/>
        <w:rPr>
          <w:color w:val="auto"/>
          <w:szCs w:val="21"/>
          <w:highlight w:val="none"/>
        </w:rPr>
      </w:pPr>
      <w:r>
        <w:rPr>
          <w:rFonts w:hint="eastAsia"/>
          <w:color w:val="auto"/>
          <w:szCs w:val="21"/>
          <w:highlight w:val="none"/>
        </w:rPr>
        <w:t>1. 发包人承诺按照法律规定履行项目审批手续、筹集工程建设资金并按照合同约定的期限和方式支付合同价款。</w:t>
      </w:r>
    </w:p>
    <w:p>
      <w:pPr>
        <w:snapToGrid w:val="0"/>
        <w:spacing w:line="360" w:lineRule="auto"/>
        <w:ind w:firstLine="420"/>
        <w:rPr>
          <w:color w:val="auto"/>
          <w:szCs w:val="21"/>
          <w:highlight w:val="none"/>
        </w:rPr>
      </w:pPr>
      <w:r>
        <w:rPr>
          <w:rFonts w:hint="eastAsia"/>
          <w:color w:val="auto"/>
          <w:szCs w:val="21"/>
          <w:highlight w:val="none"/>
        </w:rPr>
        <w:t>2. 承包人承诺按照法律规定及合同约定组织完成工程的设计、采购和施工等工作，确保工程质量和安全，不进行转包及违法分包，并在缺陷责任期及保修期内承担相应的工程维修责任。</w:t>
      </w:r>
    </w:p>
    <w:p>
      <w:pPr>
        <w:spacing w:line="300" w:lineRule="auto"/>
        <w:ind w:left="630" w:hanging="630" w:hangingChars="300"/>
        <w:rPr>
          <w:color w:val="auto"/>
          <w:szCs w:val="21"/>
          <w:highlight w:val="none"/>
        </w:rPr>
      </w:pPr>
      <w:r>
        <w:rPr>
          <w:rFonts w:hint="eastAsia"/>
          <w:color w:val="auto"/>
          <w:szCs w:val="21"/>
          <w:highlight w:val="none"/>
        </w:rPr>
        <w:t>八、订立时间</w:t>
      </w:r>
    </w:p>
    <w:p>
      <w:pPr>
        <w:snapToGrid w:val="0"/>
        <w:spacing w:line="360" w:lineRule="auto"/>
        <w:ind w:firstLine="420"/>
        <w:rPr>
          <w:color w:val="auto"/>
          <w:szCs w:val="21"/>
          <w:highlight w:val="none"/>
        </w:rPr>
      </w:pPr>
      <w:r>
        <w:rPr>
          <w:rFonts w:hint="eastAsia"/>
          <w:color w:val="auto"/>
          <w:szCs w:val="21"/>
          <w:highlight w:val="none"/>
        </w:rPr>
        <w:t>本合同于</w:t>
      </w:r>
      <w:r>
        <w:rPr>
          <w:color w:val="auto"/>
          <w:szCs w:val="21"/>
          <w:highlight w:val="none"/>
          <w:u w:val="single"/>
        </w:rPr>
        <w:t xml:space="preserve">        </w:t>
      </w:r>
      <w:r>
        <w:rPr>
          <w:rFonts w:hint="eastAsia"/>
          <w:color w:val="auto"/>
          <w:szCs w:val="21"/>
          <w:highlight w:val="none"/>
        </w:rPr>
        <w:t>年</w:t>
      </w:r>
      <w:r>
        <w:rPr>
          <w:color w:val="auto"/>
          <w:szCs w:val="21"/>
          <w:highlight w:val="none"/>
          <w:u w:val="single"/>
        </w:rPr>
        <w:t xml:space="preserve">     </w:t>
      </w:r>
      <w:r>
        <w:rPr>
          <w:rFonts w:hint="eastAsia"/>
          <w:color w:val="auto"/>
          <w:szCs w:val="21"/>
          <w:highlight w:val="none"/>
        </w:rPr>
        <w:t>月</w:t>
      </w:r>
      <w:r>
        <w:rPr>
          <w:color w:val="auto"/>
          <w:szCs w:val="21"/>
          <w:highlight w:val="none"/>
          <w:u w:val="single"/>
        </w:rPr>
        <w:t xml:space="preserve">     </w:t>
      </w:r>
      <w:r>
        <w:rPr>
          <w:rFonts w:hint="eastAsia"/>
          <w:color w:val="auto"/>
          <w:szCs w:val="21"/>
          <w:highlight w:val="none"/>
        </w:rPr>
        <w:t>日订立。</w:t>
      </w:r>
    </w:p>
    <w:p>
      <w:pPr>
        <w:spacing w:line="300" w:lineRule="auto"/>
        <w:ind w:left="630" w:hanging="630" w:hangingChars="300"/>
        <w:rPr>
          <w:color w:val="auto"/>
          <w:szCs w:val="21"/>
          <w:highlight w:val="none"/>
        </w:rPr>
      </w:pPr>
      <w:r>
        <w:rPr>
          <w:rFonts w:hint="eastAsia"/>
          <w:color w:val="auto"/>
          <w:szCs w:val="21"/>
          <w:highlight w:val="none"/>
        </w:rPr>
        <w:t>九、订立地点</w:t>
      </w:r>
    </w:p>
    <w:p>
      <w:pPr>
        <w:snapToGrid w:val="0"/>
        <w:spacing w:line="360" w:lineRule="auto"/>
        <w:ind w:firstLine="420"/>
        <w:rPr>
          <w:color w:val="auto"/>
          <w:szCs w:val="21"/>
          <w:highlight w:val="none"/>
        </w:rPr>
      </w:pPr>
      <w:r>
        <w:rPr>
          <w:rFonts w:hint="eastAsia"/>
          <w:color w:val="auto"/>
          <w:szCs w:val="21"/>
          <w:highlight w:val="none"/>
        </w:rPr>
        <w:t>本合同在</w:t>
      </w:r>
      <w:r>
        <w:rPr>
          <w:color w:val="auto"/>
          <w:szCs w:val="21"/>
          <w:highlight w:val="none"/>
          <w:u w:val="single"/>
        </w:rPr>
        <w:t xml:space="preserve">                        </w:t>
      </w:r>
      <w:r>
        <w:rPr>
          <w:rFonts w:hint="eastAsia"/>
          <w:color w:val="auto"/>
          <w:szCs w:val="21"/>
          <w:highlight w:val="none"/>
        </w:rPr>
        <w:t>订立。</w:t>
      </w:r>
    </w:p>
    <w:p>
      <w:pPr>
        <w:spacing w:line="300" w:lineRule="auto"/>
        <w:ind w:left="630" w:hanging="630" w:hangingChars="300"/>
        <w:rPr>
          <w:color w:val="auto"/>
          <w:szCs w:val="21"/>
          <w:highlight w:val="none"/>
        </w:rPr>
      </w:pPr>
      <w:r>
        <w:rPr>
          <w:rFonts w:hint="eastAsia"/>
          <w:color w:val="auto"/>
          <w:szCs w:val="21"/>
          <w:highlight w:val="none"/>
        </w:rPr>
        <w:t>十、合同生效</w:t>
      </w:r>
    </w:p>
    <w:p>
      <w:pPr>
        <w:snapToGrid w:val="0"/>
        <w:spacing w:line="360" w:lineRule="auto"/>
        <w:ind w:firstLine="420"/>
        <w:rPr>
          <w:color w:val="auto"/>
          <w:szCs w:val="21"/>
          <w:highlight w:val="none"/>
        </w:rPr>
      </w:pPr>
      <w:r>
        <w:rPr>
          <w:rFonts w:hint="eastAsia"/>
          <w:color w:val="auto"/>
          <w:szCs w:val="21"/>
          <w:highlight w:val="none"/>
        </w:rPr>
        <w:t>本合同经双方签字或盖章后成立，并自</w:t>
      </w:r>
      <w:r>
        <w:rPr>
          <w:color w:val="auto"/>
          <w:szCs w:val="21"/>
          <w:highlight w:val="none"/>
          <w:u w:val="single"/>
        </w:rPr>
        <w:t xml:space="preserve">            </w:t>
      </w:r>
      <w:r>
        <w:rPr>
          <w:rFonts w:hint="eastAsia"/>
          <w:color w:val="auto"/>
          <w:szCs w:val="21"/>
          <w:highlight w:val="none"/>
        </w:rPr>
        <w:t>生效。</w:t>
      </w:r>
    </w:p>
    <w:p>
      <w:pPr>
        <w:spacing w:line="300" w:lineRule="auto"/>
        <w:ind w:left="630" w:hanging="630" w:hangingChars="300"/>
        <w:rPr>
          <w:color w:val="auto"/>
          <w:szCs w:val="21"/>
          <w:highlight w:val="none"/>
        </w:rPr>
      </w:pPr>
      <w:r>
        <w:rPr>
          <w:rFonts w:hint="eastAsia"/>
          <w:color w:val="auto"/>
          <w:szCs w:val="21"/>
          <w:highlight w:val="none"/>
        </w:rPr>
        <w:t>十一、合同份数</w:t>
      </w:r>
    </w:p>
    <w:p>
      <w:pPr>
        <w:snapToGrid w:val="0"/>
        <w:spacing w:line="360" w:lineRule="auto"/>
        <w:ind w:firstLine="420"/>
        <w:rPr>
          <w:color w:val="auto"/>
          <w:szCs w:val="21"/>
          <w:highlight w:val="none"/>
        </w:rPr>
      </w:pPr>
      <w:r>
        <w:rPr>
          <w:rFonts w:hint="eastAsia"/>
          <w:color w:val="auto"/>
          <w:szCs w:val="21"/>
          <w:highlight w:val="none"/>
        </w:rPr>
        <w:t>本合同一式</w:t>
      </w:r>
      <w:r>
        <w:rPr>
          <w:color w:val="auto"/>
          <w:szCs w:val="21"/>
          <w:highlight w:val="none"/>
          <w:u w:val="single"/>
        </w:rPr>
        <w:t xml:space="preserve">    </w:t>
      </w:r>
      <w:r>
        <w:rPr>
          <w:rFonts w:hint="eastAsia"/>
          <w:color w:val="auto"/>
          <w:szCs w:val="21"/>
          <w:highlight w:val="none"/>
        </w:rPr>
        <w:t>份，均具有同等法律效力，发包人执</w:t>
      </w:r>
      <w:r>
        <w:rPr>
          <w:color w:val="auto"/>
          <w:szCs w:val="21"/>
          <w:highlight w:val="none"/>
          <w:u w:val="single"/>
        </w:rPr>
        <w:t xml:space="preserve">    </w:t>
      </w:r>
      <w:r>
        <w:rPr>
          <w:rFonts w:hint="eastAsia"/>
          <w:color w:val="auto"/>
          <w:szCs w:val="21"/>
          <w:highlight w:val="none"/>
        </w:rPr>
        <w:t>份，承包人执</w:t>
      </w:r>
      <w:r>
        <w:rPr>
          <w:color w:val="auto"/>
          <w:szCs w:val="21"/>
          <w:highlight w:val="none"/>
          <w:u w:val="single"/>
        </w:rPr>
        <w:t xml:space="preserve">    </w:t>
      </w:r>
      <w:r>
        <w:rPr>
          <w:rFonts w:hint="eastAsia"/>
          <w:color w:val="auto"/>
          <w:szCs w:val="21"/>
          <w:highlight w:val="none"/>
        </w:rPr>
        <w:t>份。</w:t>
      </w:r>
    </w:p>
    <w:p>
      <w:pPr>
        <w:snapToGrid w:val="0"/>
        <w:spacing w:line="360" w:lineRule="auto"/>
        <w:ind w:firstLine="420"/>
        <w:rPr>
          <w:color w:val="auto"/>
          <w:szCs w:val="21"/>
          <w:highlight w:val="none"/>
        </w:rPr>
      </w:pPr>
    </w:p>
    <w:p>
      <w:pPr>
        <w:snapToGrid w:val="0"/>
        <w:spacing w:line="360" w:lineRule="auto"/>
        <w:ind w:firstLine="420"/>
        <w:rPr>
          <w:color w:val="auto"/>
          <w:szCs w:val="21"/>
          <w:highlight w:val="none"/>
        </w:rPr>
      </w:pPr>
    </w:p>
    <w:tbl>
      <w:tblPr>
        <w:tblStyle w:val="47"/>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tblPrEx>
          <w:tblCellMar>
            <w:top w:w="0" w:type="dxa"/>
            <w:left w:w="108" w:type="dxa"/>
            <w:bottom w:w="0" w:type="dxa"/>
            <w:right w:w="108" w:type="dxa"/>
          </w:tblCellMar>
        </w:tblPrEx>
        <w:tc>
          <w:tcPr>
            <w:tcW w:w="4507"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发包人：（公章）</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tc>
        <w:tc>
          <w:tcPr>
            <w:tcW w:w="4565"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承包人：（公章）</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tc>
      </w:tr>
      <w:tr>
        <w:tblPrEx>
          <w:tblCellMar>
            <w:top w:w="0" w:type="dxa"/>
            <w:left w:w="108" w:type="dxa"/>
            <w:bottom w:w="0" w:type="dxa"/>
            <w:right w:w="108" w:type="dxa"/>
          </w:tblCellMar>
        </w:tblPrEx>
        <w:tc>
          <w:tcPr>
            <w:tcW w:w="4507"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法定代表人或其委托代理人：</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（签字）</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tc>
        <w:tc>
          <w:tcPr>
            <w:tcW w:w="4565"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法定代表人或其委托代理人：</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（签字）</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p>
        </w:tc>
      </w:tr>
      <w:tr>
        <w:tblPrEx>
          <w:tblCellMar>
            <w:top w:w="0" w:type="dxa"/>
            <w:left w:w="108" w:type="dxa"/>
            <w:bottom w:w="0" w:type="dxa"/>
            <w:right w:w="108" w:type="dxa"/>
          </w:tblCellMar>
        </w:tblPrEx>
        <w:tc>
          <w:tcPr>
            <w:tcW w:w="4507"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统一社会信用代码：</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地址：</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邮政编码：</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法定代表人：</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委托代理人：</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电话：</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 xml:space="preserve">传真： </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电子信箱：</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开户银行：</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账号：</w:t>
            </w:r>
            <w:r>
              <w:rPr>
                <w:rFonts w:hint="default" w:hAnsi="宋体" w:cs="Calibri"/>
                <w:color w:val="auto"/>
                <w:kern w:val="0"/>
                <w:sz w:val="21"/>
                <w:szCs w:val="21"/>
                <w:highlight w:val="none"/>
                <w:u w:val="single"/>
              </w:rPr>
              <w:t xml:space="preserve">                       </w:t>
            </w:r>
          </w:p>
        </w:tc>
        <w:tc>
          <w:tcPr>
            <w:tcW w:w="4565" w:type="dxa"/>
            <w:noWrap w:val="0"/>
            <w:vAlign w:val="top"/>
          </w:tcPr>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统一社会信用代码：</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地址：</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邮政编码：</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法定代表人：</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委托代理人：</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电话：</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传真：</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电子信箱：</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开户银行：</w:t>
            </w:r>
            <w:r>
              <w:rPr>
                <w:rFonts w:hint="default" w:hAnsi="宋体" w:cs="Calibri"/>
                <w:color w:val="auto"/>
                <w:kern w:val="0"/>
                <w:sz w:val="21"/>
                <w:szCs w:val="21"/>
                <w:highlight w:val="none"/>
                <w:u w:val="single"/>
              </w:rPr>
              <w:t xml:space="preserve">                   </w:t>
            </w:r>
          </w:p>
          <w:p>
            <w:pPr>
              <w:pStyle w:val="189"/>
              <w:keepNext w:val="0"/>
              <w:keepLines w:val="0"/>
              <w:framePr w:hSpace="0" w:wrap="auto" w:vAnchor="margin" w:hAnchor="text" w:yAlign="inline"/>
              <w:widowControl/>
              <w:suppressLineNumbers w:val="0"/>
              <w:spacing w:before="0" w:beforeAutospacing="0" w:after="0" w:afterAutospacing="0" w:line="360" w:lineRule="auto"/>
              <w:ind w:left="0" w:right="0"/>
              <w:rPr>
                <w:rFonts w:hint="default" w:hAnsi="宋体" w:cs="Calibri"/>
                <w:color w:val="auto"/>
                <w:sz w:val="21"/>
                <w:szCs w:val="21"/>
                <w:highlight w:val="none"/>
              </w:rPr>
            </w:pPr>
            <w:r>
              <w:rPr>
                <w:rFonts w:hint="eastAsia" w:hAnsi="宋体" w:cs="Calibri"/>
                <w:color w:val="auto"/>
                <w:sz w:val="21"/>
                <w:szCs w:val="21"/>
                <w:highlight w:val="none"/>
              </w:rPr>
              <w:t>账号：</w:t>
            </w:r>
            <w:r>
              <w:rPr>
                <w:rFonts w:hint="default" w:hAnsi="宋体" w:cs="Calibri"/>
                <w:color w:val="auto"/>
                <w:sz w:val="21"/>
                <w:szCs w:val="21"/>
                <w:highlight w:val="none"/>
                <w:u w:val="single"/>
              </w:rPr>
              <w:t xml:space="preserve">                       </w:t>
            </w:r>
          </w:p>
        </w:tc>
      </w:tr>
    </w:tbl>
    <w:p>
      <w:pPr>
        <w:rPr>
          <w:color w:val="auto"/>
          <w:highlight w:val="none"/>
        </w:rPr>
        <w:sectPr>
          <w:footerReference r:id="rId11" w:type="default"/>
          <w:type w:val="continuous"/>
          <w:pgSz w:w="11906" w:h="16838"/>
          <w:pgMar w:top="1440" w:right="1800" w:bottom="1440" w:left="1800" w:header="720" w:footer="850" w:gutter="0"/>
          <w:pgNumType w:fmt="decimal"/>
          <w:cols w:space="720" w:num="1"/>
          <w:docGrid w:linePitch="326" w:charSpace="0"/>
        </w:sectPr>
      </w:pPr>
      <w:r>
        <w:rPr>
          <w:color w:val="auto"/>
          <w:highlight w:val="none"/>
        </w:rPr>
        <w:tab/>
      </w:r>
    </w:p>
    <w:p>
      <w:pPr>
        <w:pStyle w:val="7"/>
        <w:jc w:val="center"/>
        <w:rPr>
          <w:rFonts w:eastAsia="黑体"/>
          <w:b w:val="0"/>
          <w:bCs w:val="0"/>
          <w:color w:val="auto"/>
          <w:sz w:val="30"/>
          <w:szCs w:val="30"/>
          <w:highlight w:val="none"/>
        </w:rPr>
      </w:pPr>
      <w:r>
        <w:rPr>
          <w:rFonts w:hint="eastAsia" w:eastAsia="黑体"/>
          <w:b w:val="0"/>
          <w:bCs w:val="0"/>
          <w:color w:val="auto"/>
          <w:sz w:val="30"/>
          <w:szCs w:val="30"/>
          <w:highlight w:val="none"/>
        </w:rPr>
        <w:t>第二部分</w:t>
      </w:r>
      <w:r>
        <w:rPr>
          <w:rFonts w:eastAsia="黑体"/>
          <w:b w:val="0"/>
          <w:bCs w:val="0"/>
          <w:color w:val="auto"/>
          <w:sz w:val="30"/>
          <w:szCs w:val="30"/>
          <w:highlight w:val="none"/>
        </w:rPr>
        <w:t xml:space="preserve"> </w:t>
      </w:r>
      <w:r>
        <w:rPr>
          <w:rFonts w:hint="eastAsia" w:eastAsia="黑体"/>
          <w:b w:val="0"/>
          <w:bCs w:val="0"/>
          <w:color w:val="auto"/>
          <w:sz w:val="30"/>
          <w:szCs w:val="30"/>
          <w:highlight w:val="none"/>
        </w:rPr>
        <w:t>通用合同条件</w:t>
      </w:r>
    </w:p>
    <w:p>
      <w:pPr>
        <w:spacing w:line="312" w:lineRule="auto"/>
        <w:jc w:val="center"/>
        <w:rPr>
          <w:rFonts w:eastAsia="黑体"/>
          <w:bCs/>
          <w:color w:val="auto"/>
          <w:sz w:val="30"/>
          <w:highlight w:val="none"/>
        </w:rPr>
      </w:pPr>
    </w:p>
    <w:p>
      <w:pPr>
        <w:snapToGrid w:val="0"/>
        <w:spacing w:line="360" w:lineRule="auto"/>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说明：“通用合同条件”采用</w:t>
      </w:r>
      <w:r>
        <w:rPr>
          <w:rFonts w:hint="eastAsia"/>
          <w:color w:val="auto"/>
          <w:highlight w:val="none"/>
        </w:rPr>
        <w:t>《建设项目工程总承包合同（示范文本）》（</w:t>
      </w:r>
      <w:r>
        <w:rPr>
          <w:color w:val="auto"/>
          <w:highlight w:val="none"/>
        </w:rPr>
        <w:t>GF-2020-0216</w:t>
      </w:r>
      <w:r>
        <w:rPr>
          <w:rFonts w:hint="eastAsia"/>
          <w:color w:val="auto"/>
          <w:highlight w:val="none"/>
        </w:rPr>
        <w:t>）</w:t>
      </w:r>
      <w:r>
        <w:rPr>
          <w:rFonts w:hint="eastAsia" w:ascii="宋体" w:hAnsi="宋体"/>
          <w:bCs/>
          <w:color w:val="auto"/>
          <w:szCs w:val="21"/>
          <w:highlight w:val="none"/>
        </w:rPr>
        <w:t>的“通用合同条件”。</w:t>
      </w:r>
    </w:p>
    <w:p>
      <w:pPr>
        <w:rPr>
          <w:color w:val="auto"/>
          <w:szCs w:val="21"/>
          <w:highlight w:val="none"/>
        </w:rPr>
      </w:pPr>
      <w:r>
        <w:rPr>
          <w:color w:val="auto"/>
          <w:highlight w:val="none"/>
        </w:rPr>
        <w:br w:type="page"/>
      </w:r>
    </w:p>
    <w:p>
      <w:pPr>
        <w:pStyle w:val="7"/>
        <w:jc w:val="center"/>
        <w:rPr>
          <w:rFonts w:eastAsia="黑体"/>
          <w:b w:val="0"/>
          <w:bCs w:val="0"/>
          <w:color w:val="auto"/>
          <w:sz w:val="30"/>
          <w:szCs w:val="30"/>
          <w:highlight w:val="none"/>
        </w:rPr>
      </w:pPr>
      <w:r>
        <w:rPr>
          <w:rFonts w:hint="eastAsia" w:eastAsia="黑体"/>
          <w:b w:val="0"/>
          <w:bCs w:val="0"/>
          <w:color w:val="auto"/>
          <w:sz w:val="30"/>
          <w:szCs w:val="30"/>
          <w:highlight w:val="none"/>
        </w:rPr>
        <w:t>第三部分</w:t>
      </w:r>
      <w:r>
        <w:rPr>
          <w:rFonts w:eastAsia="黑体"/>
          <w:b w:val="0"/>
          <w:bCs w:val="0"/>
          <w:color w:val="auto"/>
          <w:sz w:val="30"/>
          <w:szCs w:val="30"/>
          <w:highlight w:val="none"/>
        </w:rPr>
        <w:t xml:space="preserve"> </w:t>
      </w:r>
      <w:r>
        <w:rPr>
          <w:rFonts w:hint="eastAsia" w:eastAsia="黑体"/>
          <w:b w:val="0"/>
          <w:bCs w:val="0"/>
          <w:color w:val="auto"/>
          <w:sz w:val="30"/>
          <w:szCs w:val="30"/>
          <w:highlight w:val="none"/>
        </w:rPr>
        <w:t>专用合同条件</w:t>
      </w:r>
    </w:p>
    <w:p>
      <w:pPr>
        <w:spacing w:line="300" w:lineRule="auto"/>
        <w:ind w:left="630" w:hanging="630" w:hangingChars="300"/>
        <w:rPr>
          <w:szCs w:val="21"/>
        </w:rPr>
      </w:pPr>
      <w:r>
        <w:rPr>
          <w:rFonts w:hint="eastAsia"/>
          <w:szCs w:val="21"/>
        </w:rPr>
        <w:t>第</w:t>
      </w:r>
      <w:r>
        <w:rPr>
          <w:szCs w:val="21"/>
        </w:rPr>
        <w:t>1条</w:t>
      </w:r>
      <w:r>
        <w:rPr>
          <w:rFonts w:hint="eastAsia"/>
          <w:szCs w:val="21"/>
        </w:rPr>
        <w:t xml:space="preserve"> 一般约定</w:t>
      </w:r>
    </w:p>
    <w:p>
      <w:pPr>
        <w:snapToGrid w:val="0"/>
        <w:spacing w:line="360" w:lineRule="auto"/>
        <w:ind w:firstLine="420"/>
        <w:rPr>
          <w:szCs w:val="21"/>
        </w:rPr>
      </w:pPr>
      <w:r>
        <w:rPr>
          <w:szCs w:val="21"/>
        </w:rPr>
        <w:t xml:space="preserve">1.1.1 </w:t>
      </w:r>
      <w:r>
        <w:rPr>
          <w:rFonts w:hint="eastAsia"/>
          <w:szCs w:val="21"/>
        </w:rPr>
        <w:t>合同</w:t>
      </w:r>
    </w:p>
    <w:p>
      <w:pPr>
        <w:snapToGrid w:val="0"/>
        <w:spacing w:line="360" w:lineRule="auto"/>
        <w:ind w:firstLine="420"/>
        <w:rPr>
          <w:szCs w:val="21"/>
        </w:rPr>
      </w:pPr>
      <w:r>
        <w:rPr>
          <w:szCs w:val="21"/>
        </w:rPr>
        <w:t xml:space="preserve">1.1.1.10 </w:t>
      </w:r>
      <w:r>
        <w:rPr>
          <w:rFonts w:hint="eastAsia"/>
          <w:szCs w:val="21"/>
        </w:rPr>
        <w:t>其他合同文件：</w:t>
      </w:r>
      <w:r>
        <w:rPr>
          <w:szCs w:val="21"/>
        </w:rPr>
        <w:t xml:space="preserve">    /   </w:t>
      </w:r>
      <w:r>
        <w:rPr>
          <w:rFonts w:hint="eastAsia"/>
          <w:szCs w:val="21"/>
        </w:rPr>
        <w:t>。</w:t>
      </w:r>
    </w:p>
    <w:p>
      <w:pPr>
        <w:snapToGrid w:val="0"/>
        <w:spacing w:line="360" w:lineRule="auto"/>
        <w:ind w:firstLine="420"/>
        <w:rPr>
          <w:szCs w:val="21"/>
        </w:rPr>
      </w:pPr>
      <w:r>
        <w:rPr>
          <w:szCs w:val="21"/>
        </w:rPr>
        <w:t xml:space="preserve">1.1.3 </w:t>
      </w:r>
      <w:r>
        <w:rPr>
          <w:rFonts w:hint="eastAsia"/>
          <w:szCs w:val="21"/>
        </w:rPr>
        <w:t>工程和设备</w:t>
      </w:r>
    </w:p>
    <w:p>
      <w:pPr>
        <w:snapToGrid w:val="0"/>
        <w:spacing w:line="360" w:lineRule="auto"/>
        <w:ind w:firstLine="420"/>
        <w:rPr>
          <w:szCs w:val="21"/>
        </w:rPr>
      </w:pPr>
      <w:r>
        <w:rPr>
          <w:szCs w:val="21"/>
        </w:rPr>
        <w:t xml:space="preserve">1.1.3.5 </w:t>
      </w:r>
      <w:r>
        <w:rPr>
          <w:rFonts w:hint="eastAsia"/>
          <w:szCs w:val="21"/>
        </w:rPr>
        <w:t>单位/区段工程的范围：</w:t>
      </w:r>
      <w:r>
        <w:rPr>
          <w:szCs w:val="21"/>
        </w:rPr>
        <w:t xml:space="preserve">  </w:t>
      </w:r>
      <w:r>
        <w:rPr>
          <w:rFonts w:hint="eastAsia"/>
          <w:szCs w:val="21"/>
        </w:rPr>
        <w:t>详见合同协议书</w:t>
      </w:r>
      <w:r>
        <w:rPr>
          <w:szCs w:val="21"/>
        </w:rPr>
        <w:t xml:space="preserve">  </w:t>
      </w:r>
      <w:r>
        <w:rPr>
          <w:rFonts w:hint="eastAsia"/>
          <w:szCs w:val="21"/>
        </w:rPr>
        <w:t>。</w:t>
      </w:r>
    </w:p>
    <w:p>
      <w:pPr>
        <w:snapToGrid w:val="0"/>
        <w:spacing w:line="360" w:lineRule="auto"/>
        <w:ind w:firstLine="420"/>
        <w:rPr>
          <w:rFonts w:hint="eastAsia"/>
          <w:szCs w:val="21"/>
        </w:rPr>
      </w:pPr>
      <w:r>
        <w:rPr>
          <w:szCs w:val="21"/>
        </w:rPr>
        <w:t xml:space="preserve">1.1.3.9 </w:t>
      </w:r>
      <w:r>
        <w:rPr>
          <w:rFonts w:hint="eastAsia"/>
          <w:szCs w:val="21"/>
        </w:rPr>
        <w:t>作为施工场所组成部分的其他场所包括：</w:t>
      </w:r>
      <w:r>
        <w:rPr>
          <w:szCs w:val="21"/>
        </w:rPr>
        <w:t xml:space="preserve"> 包括但不限于</w:t>
      </w:r>
      <w:r>
        <w:rPr>
          <w:rFonts w:hint="eastAsia"/>
          <w:szCs w:val="21"/>
        </w:rPr>
        <w:t>临时建设以及临时驻地等</w:t>
      </w:r>
      <w:r>
        <w:rPr>
          <w:szCs w:val="21"/>
        </w:rPr>
        <w:t xml:space="preserve"> </w:t>
      </w:r>
      <w:r>
        <w:rPr>
          <w:rFonts w:hint="eastAsia"/>
          <w:szCs w:val="21"/>
        </w:rPr>
        <w:t>。</w:t>
      </w:r>
    </w:p>
    <w:p>
      <w:pPr>
        <w:snapToGrid w:val="0"/>
        <w:spacing w:line="360" w:lineRule="auto"/>
        <w:ind w:firstLine="420"/>
        <w:rPr>
          <w:szCs w:val="21"/>
        </w:rPr>
      </w:pPr>
      <w:r>
        <w:rPr>
          <w:rFonts w:hint="eastAsia"/>
          <w:szCs w:val="21"/>
          <w:lang w:val="en-US" w:eastAsia="zh-CN"/>
        </w:rPr>
        <w:t>1.1.3.10永久占地包括：施工</w:t>
      </w:r>
      <w:r>
        <w:rPr>
          <w:szCs w:val="21"/>
        </w:rPr>
        <w:t xml:space="preserve">红线范围内    </w:t>
      </w:r>
      <w:r>
        <w:rPr>
          <w:rFonts w:hint="eastAsia"/>
          <w:szCs w:val="21"/>
        </w:rPr>
        <w:t>。</w:t>
      </w:r>
    </w:p>
    <w:p>
      <w:pPr>
        <w:snapToGrid w:val="0"/>
        <w:spacing w:line="360" w:lineRule="auto"/>
        <w:ind w:firstLine="420"/>
        <w:rPr>
          <w:szCs w:val="21"/>
        </w:rPr>
      </w:pPr>
      <w:r>
        <w:rPr>
          <w:szCs w:val="21"/>
        </w:rPr>
        <w:t xml:space="preserve">1.1.3.11 </w:t>
      </w:r>
      <w:r>
        <w:rPr>
          <w:rFonts w:hint="eastAsia"/>
          <w:szCs w:val="21"/>
        </w:rPr>
        <w:t>临时占地包括：</w:t>
      </w:r>
      <w:r>
        <w:rPr>
          <w:szCs w:val="21"/>
        </w:rPr>
        <w:t xml:space="preserve"> </w:t>
      </w:r>
      <w:r>
        <w:rPr>
          <w:rFonts w:hint="eastAsia"/>
          <w:szCs w:val="21"/>
        </w:rPr>
        <w:t>临时建设以及临时驻地</w:t>
      </w:r>
      <w:r>
        <w:rPr>
          <w:szCs w:val="21"/>
        </w:rPr>
        <w:t xml:space="preserve">  </w:t>
      </w:r>
      <w:r>
        <w:rPr>
          <w:rFonts w:hint="eastAsia"/>
          <w:szCs w:val="21"/>
        </w:rPr>
        <w:t>。</w:t>
      </w:r>
    </w:p>
    <w:p>
      <w:pPr>
        <w:snapToGrid w:val="0"/>
        <w:spacing w:line="360" w:lineRule="auto"/>
        <w:ind w:firstLine="420"/>
        <w:rPr>
          <w:szCs w:val="21"/>
        </w:rPr>
      </w:pPr>
      <w:r>
        <w:rPr>
          <w:szCs w:val="21"/>
        </w:rPr>
        <w:t xml:space="preserve">1.2 </w:t>
      </w:r>
      <w:r>
        <w:rPr>
          <w:rFonts w:hint="eastAsia"/>
          <w:szCs w:val="21"/>
        </w:rPr>
        <w:t>语言文字</w:t>
      </w:r>
    </w:p>
    <w:p>
      <w:pPr>
        <w:snapToGrid w:val="0"/>
        <w:spacing w:line="360" w:lineRule="auto"/>
        <w:ind w:firstLine="420"/>
        <w:rPr>
          <w:szCs w:val="21"/>
        </w:rPr>
      </w:pPr>
      <w:r>
        <w:rPr>
          <w:rFonts w:hint="eastAsia"/>
          <w:szCs w:val="21"/>
        </w:rPr>
        <w:t>本合同除使用汉语外，还使用</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语言。</w:t>
      </w:r>
    </w:p>
    <w:p>
      <w:pPr>
        <w:snapToGrid w:val="0"/>
        <w:spacing w:line="360" w:lineRule="auto"/>
        <w:ind w:firstLine="420"/>
        <w:rPr>
          <w:szCs w:val="21"/>
        </w:rPr>
      </w:pPr>
      <w:r>
        <w:rPr>
          <w:szCs w:val="21"/>
        </w:rPr>
        <w:t xml:space="preserve">1.3 </w:t>
      </w:r>
      <w:r>
        <w:rPr>
          <w:rFonts w:hint="eastAsia"/>
          <w:szCs w:val="21"/>
        </w:rPr>
        <w:t>法律</w:t>
      </w:r>
    </w:p>
    <w:p>
      <w:pPr>
        <w:snapToGrid w:val="0"/>
        <w:spacing w:line="360" w:lineRule="auto"/>
        <w:ind w:firstLine="420"/>
        <w:rPr>
          <w:szCs w:val="21"/>
        </w:rPr>
      </w:pPr>
      <w:r>
        <w:rPr>
          <w:rFonts w:hint="eastAsia"/>
          <w:szCs w:val="21"/>
        </w:rPr>
        <w:t>适用于合同的其他规范性文件：</w:t>
      </w:r>
      <w:r>
        <w:rPr>
          <w:szCs w:val="21"/>
          <w:u w:val="single"/>
        </w:rPr>
        <w:t xml:space="preserve">  </w:t>
      </w:r>
      <w:r>
        <w:rPr>
          <w:rFonts w:hint="eastAsia"/>
          <w:szCs w:val="21"/>
          <w:u w:val="single"/>
        </w:rPr>
        <w:t>《中华人民共和国民法典》、《中华人民共和国建筑法》及其它有关的国家法律、国家和地方行政法规和规章、EPC 工程所在地省级和市级相关行政主管机关制定的规范性文件</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 </w:t>
      </w:r>
      <w:r>
        <w:rPr>
          <w:rFonts w:hint="eastAsia"/>
          <w:szCs w:val="21"/>
        </w:rPr>
        <w:t>标准和规范</w:t>
      </w:r>
    </w:p>
    <w:p>
      <w:pPr>
        <w:snapToGrid w:val="0"/>
        <w:spacing w:line="360" w:lineRule="auto"/>
        <w:ind w:firstLine="420"/>
        <w:rPr>
          <w:szCs w:val="21"/>
        </w:rPr>
      </w:pPr>
      <w:r>
        <w:rPr>
          <w:szCs w:val="21"/>
        </w:rPr>
        <w:t xml:space="preserve">1.4.1 </w:t>
      </w:r>
      <w:r>
        <w:rPr>
          <w:rFonts w:hint="eastAsia"/>
          <w:szCs w:val="21"/>
        </w:rPr>
        <w:t>适用于本合同的标准、规范（名称）包括：</w:t>
      </w:r>
      <w:r>
        <w:rPr>
          <w:szCs w:val="21"/>
          <w:u w:val="single"/>
        </w:rPr>
        <w:t xml:space="preserve"> </w:t>
      </w:r>
      <w:r>
        <w:rPr>
          <w:rFonts w:hint="eastAsia"/>
          <w:szCs w:val="21"/>
          <w:u w:val="single"/>
        </w:rPr>
        <w:t>国家现行设计、采购、施工有关的标准、规范、规程；当没有国家标准、规范、规程时，采用国内现行的行业标准、规范；当没有国家和行业标准、规范时，采用所在地现行地方标准、规范。如施工期间国家或地方或行业的标准、规范发生变动，</w:t>
      </w:r>
      <w:r>
        <w:rPr>
          <w:rFonts w:hint="eastAsia"/>
          <w:szCs w:val="21"/>
          <w:u w:val="single"/>
          <w:lang w:val="en-US" w:eastAsia="zh-CN"/>
        </w:rPr>
        <w:t>相关文件有要求的</w:t>
      </w:r>
      <w:r>
        <w:rPr>
          <w:rFonts w:hint="eastAsia"/>
          <w:szCs w:val="21"/>
          <w:u w:val="single"/>
        </w:rPr>
        <w:t>承包人应按新标准、规范、行业标准</w:t>
      </w:r>
      <w:r>
        <w:rPr>
          <w:rFonts w:hint="eastAsia"/>
          <w:szCs w:val="21"/>
          <w:u w:val="single"/>
          <w:lang w:val="en-US" w:eastAsia="zh-CN"/>
        </w:rPr>
        <w:t>要求</w:t>
      </w:r>
      <w:r>
        <w:rPr>
          <w:rFonts w:hint="eastAsia"/>
          <w:szCs w:val="21"/>
          <w:u w:val="single"/>
        </w:rPr>
        <w:t>执行。</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1.4.2 </w:t>
      </w:r>
      <w:r>
        <w:rPr>
          <w:rFonts w:hint="eastAsia"/>
          <w:szCs w:val="21"/>
        </w:rPr>
        <w:t>发包人提供的国外标准、规范的名称：</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；发包人提供的国外标准、规范的份数：</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；发包人提供的国外标准、规范的时间：</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1.4.3 </w:t>
      </w:r>
      <w:r>
        <w:rPr>
          <w:rFonts w:hint="eastAsia"/>
          <w:szCs w:val="21"/>
        </w:rPr>
        <w:t>没有成文规范、标准规定的约定：</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1.4.4 </w:t>
      </w:r>
      <w:r>
        <w:rPr>
          <w:rFonts w:hint="eastAsia"/>
          <w:szCs w:val="21"/>
        </w:rPr>
        <w:t>发包人对于工程的技术标准、功能要求：</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1.5 </w:t>
      </w:r>
      <w:r>
        <w:rPr>
          <w:rFonts w:hint="eastAsia"/>
          <w:szCs w:val="21"/>
        </w:rPr>
        <w:t>合同文件的优先顺序</w:t>
      </w:r>
    </w:p>
    <w:p>
      <w:pPr>
        <w:snapToGrid w:val="0"/>
        <w:spacing w:line="360" w:lineRule="auto"/>
        <w:ind w:firstLine="420"/>
        <w:rPr>
          <w:szCs w:val="21"/>
          <w:u w:val="single"/>
        </w:rPr>
      </w:pPr>
      <w:r>
        <w:rPr>
          <w:rFonts w:hint="eastAsia"/>
          <w:szCs w:val="21"/>
        </w:rPr>
        <w:t>合同文件组成及优先顺序为：</w:t>
      </w:r>
      <w:r>
        <w:rPr>
          <w:szCs w:val="21"/>
          <w:u w:val="single"/>
        </w:rPr>
        <w:t xml:space="preserve">  </w:t>
      </w:r>
    </w:p>
    <w:p>
      <w:pPr>
        <w:snapToGrid w:val="0"/>
        <w:spacing w:line="360" w:lineRule="auto"/>
        <w:ind w:firstLine="210" w:firstLineChars="100"/>
        <w:rPr>
          <w:szCs w:val="21"/>
          <w:u w:val="single"/>
        </w:rPr>
      </w:pPr>
      <w:r>
        <w:rPr>
          <w:szCs w:val="21"/>
          <w:u w:val="single"/>
        </w:rPr>
        <w:t xml:space="preserve"> </w:t>
      </w:r>
      <w:r>
        <w:rPr>
          <w:rFonts w:hint="eastAsia"/>
          <w:szCs w:val="21"/>
          <w:u w:val="single"/>
        </w:rPr>
        <w:t>（1） 合同协议书；</w:t>
      </w:r>
    </w:p>
    <w:p>
      <w:pPr>
        <w:snapToGrid w:val="0"/>
        <w:spacing w:line="360" w:lineRule="auto"/>
        <w:ind w:firstLine="420"/>
        <w:rPr>
          <w:szCs w:val="21"/>
          <w:u w:val="single"/>
        </w:rPr>
      </w:pPr>
      <w:r>
        <w:rPr>
          <w:rFonts w:hint="eastAsia"/>
          <w:szCs w:val="21"/>
          <w:u w:val="single"/>
        </w:rPr>
        <w:t>（2） 中标通知书；</w:t>
      </w:r>
    </w:p>
    <w:p>
      <w:pPr>
        <w:snapToGrid w:val="0"/>
        <w:spacing w:line="360" w:lineRule="auto"/>
        <w:ind w:firstLine="420"/>
        <w:rPr>
          <w:szCs w:val="21"/>
          <w:u w:val="single"/>
        </w:rPr>
      </w:pPr>
      <w:r>
        <w:rPr>
          <w:rFonts w:hint="eastAsia"/>
          <w:szCs w:val="21"/>
          <w:u w:val="single"/>
        </w:rPr>
        <w:t>（3） 投标函及投标函附录；</w:t>
      </w:r>
    </w:p>
    <w:p>
      <w:pPr>
        <w:snapToGrid w:val="0"/>
        <w:spacing w:line="360" w:lineRule="auto"/>
        <w:ind w:firstLine="420"/>
        <w:rPr>
          <w:szCs w:val="21"/>
          <w:u w:val="single"/>
        </w:rPr>
      </w:pPr>
      <w:r>
        <w:rPr>
          <w:rFonts w:hint="eastAsia"/>
          <w:szCs w:val="21"/>
          <w:u w:val="single"/>
        </w:rPr>
        <w:t>（4） 专用合同条件及《发包人要求》等附件；</w:t>
      </w:r>
    </w:p>
    <w:p>
      <w:pPr>
        <w:snapToGrid w:val="0"/>
        <w:spacing w:line="360" w:lineRule="auto"/>
        <w:ind w:firstLine="420"/>
        <w:rPr>
          <w:szCs w:val="21"/>
          <w:u w:val="single"/>
        </w:rPr>
      </w:pPr>
      <w:r>
        <w:rPr>
          <w:rFonts w:hint="eastAsia"/>
          <w:szCs w:val="21"/>
          <w:u w:val="single"/>
        </w:rPr>
        <w:t>（5） 通用合同条件；</w:t>
      </w:r>
    </w:p>
    <w:p>
      <w:pPr>
        <w:snapToGrid w:val="0"/>
        <w:spacing w:line="360" w:lineRule="auto"/>
        <w:ind w:firstLine="420"/>
        <w:rPr>
          <w:rFonts w:hint="eastAsia"/>
          <w:szCs w:val="21"/>
          <w:u w:val="single"/>
        </w:rPr>
      </w:pPr>
      <w:r>
        <w:rPr>
          <w:rFonts w:hint="eastAsia"/>
          <w:szCs w:val="21"/>
          <w:u w:val="single"/>
        </w:rPr>
        <w:t>（</w:t>
      </w:r>
      <w:r>
        <w:rPr>
          <w:rFonts w:hint="eastAsia"/>
          <w:szCs w:val="21"/>
          <w:u w:val="single"/>
          <w:lang w:val="en-US" w:eastAsia="zh-CN"/>
        </w:rPr>
        <w:t>6</w:t>
      </w:r>
      <w:r>
        <w:rPr>
          <w:rFonts w:hint="eastAsia"/>
          <w:szCs w:val="21"/>
          <w:u w:val="single"/>
        </w:rPr>
        <w:t>） 价格清单；</w:t>
      </w:r>
    </w:p>
    <w:p>
      <w:pPr>
        <w:snapToGrid w:val="0"/>
        <w:spacing w:line="360" w:lineRule="auto"/>
        <w:ind w:firstLine="420"/>
        <w:rPr>
          <w:rFonts w:hint="eastAsia"/>
          <w:szCs w:val="21"/>
          <w:u w:val="single"/>
          <w:lang w:val="en-US" w:eastAsia="zh-CN"/>
        </w:rPr>
      </w:pPr>
      <w:r>
        <w:rPr>
          <w:rFonts w:hint="eastAsia"/>
          <w:szCs w:val="21"/>
          <w:u w:val="single"/>
          <w:lang w:val="en-US" w:eastAsia="zh-CN"/>
        </w:rPr>
        <w:t>（7） 技术标准；</w:t>
      </w:r>
    </w:p>
    <w:p>
      <w:pPr>
        <w:snapToGrid w:val="0"/>
        <w:spacing w:line="360" w:lineRule="auto"/>
        <w:ind w:firstLine="420"/>
        <w:rPr>
          <w:rFonts w:hint="eastAsia"/>
          <w:szCs w:val="21"/>
          <w:u w:val="single"/>
        </w:rPr>
      </w:pPr>
      <w:r>
        <w:rPr>
          <w:rFonts w:hint="eastAsia"/>
          <w:szCs w:val="21"/>
          <w:u w:val="single"/>
        </w:rPr>
        <w:t>（</w:t>
      </w:r>
      <w:r>
        <w:rPr>
          <w:rFonts w:hint="eastAsia"/>
          <w:szCs w:val="21"/>
          <w:u w:val="single"/>
          <w:lang w:val="en-US" w:eastAsia="zh-CN"/>
        </w:rPr>
        <w:t>8</w:t>
      </w:r>
      <w:r>
        <w:rPr>
          <w:rFonts w:hint="eastAsia"/>
          <w:szCs w:val="21"/>
          <w:u w:val="single"/>
        </w:rPr>
        <w:t>） 承包人建议书</w:t>
      </w:r>
      <w:r>
        <w:rPr>
          <w:rFonts w:hint="eastAsia"/>
          <w:szCs w:val="21"/>
          <w:u w:val="single"/>
          <w:lang w:eastAsia="zh-CN"/>
        </w:rPr>
        <w:t>（</w:t>
      </w:r>
      <w:r>
        <w:rPr>
          <w:rFonts w:hint="eastAsia"/>
          <w:szCs w:val="21"/>
          <w:u w:val="single"/>
          <w:lang w:val="en-US" w:eastAsia="zh-CN"/>
        </w:rPr>
        <w:t>如有</w:t>
      </w:r>
      <w:r>
        <w:rPr>
          <w:rFonts w:hint="eastAsia"/>
          <w:szCs w:val="21"/>
          <w:u w:val="single"/>
          <w:lang w:eastAsia="zh-CN"/>
        </w:rPr>
        <w:t>）</w:t>
      </w:r>
      <w:r>
        <w:rPr>
          <w:rFonts w:hint="eastAsia"/>
          <w:szCs w:val="21"/>
          <w:u w:val="single"/>
        </w:rPr>
        <w:t>；</w:t>
      </w:r>
    </w:p>
    <w:p>
      <w:pPr>
        <w:snapToGrid w:val="0"/>
        <w:spacing w:line="360" w:lineRule="auto"/>
        <w:ind w:firstLine="420"/>
        <w:rPr>
          <w:szCs w:val="21"/>
        </w:rPr>
      </w:pPr>
      <w:r>
        <w:rPr>
          <w:rFonts w:hint="eastAsia"/>
          <w:szCs w:val="21"/>
          <w:u w:val="single"/>
        </w:rPr>
        <w:t>（</w:t>
      </w:r>
      <w:r>
        <w:rPr>
          <w:rFonts w:hint="eastAsia"/>
          <w:szCs w:val="21"/>
          <w:u w:val="single"/>
          <w:lang w:val="en-US" w:eastAsia="zh-CN"/>
        </w:rPr>
        <w:t>9</w:t>
      </w:r>
      <w:r>
        <w:rPr>
          <w:rFonts w:hint="eastAsia"/>
          <w:szCs w:val="21"/>
          <w:u w:val="single"/>
        </w:rPr>
        <w:t>） 双方约定的其他合同文件。</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1.6 </w:t>
      </w:r>
      <w:r>
        <w:rPr>
          <w:rFonts w:hint="eastAsia"/>
          <w:szCs w:val="21"/>
        </w:rPr>
        <w:t>文件的提供和照管</w:t>
      </w:r>
    </w:p>
    <w:p>
      <w:pPr>
        <w:snapToGrid w:val="0"/>
        <w:spacing w:line="360" w:lineRule="auto"/>
        <w:ind w:firstLine="420"/>
        <w:rPr>
          <w:szCs w:val="21"/>
        </w:rPr>
      </w:pPr>
      <w:r>
        <w:rPr>
          <w:szCs w:val="21"/>
        </w:rPr>
        <w:t xml:space="preserve">1.6.1 </w:t>
      </w:r>
      <w:r>
        <w:rPr>
          <w:rFonts w:hint="eastAsia"/>
          <w:szCs w:val="21"/>
        </w:rPr>
        <w:t>发包人文件的提供</w:t>
      </w:r>
    </w:p>
    <w:p>
      <w:pPr>
        <w:snapToGrid w:val="0"/>
        <w:spacing w:line="360" w:lineRule="auto"/>
        <w:ind w:firstLine="420"/>
        <w:rPr>
          <w:szCs w:val="21"/>
        </w:rPr>
      </w:pPr>
      <w:r>
        <w:rPr>
          <w:rFonts w:hint="eastAsia"/>
          <w:szCs w:val="21"/>
        </w:rPr>
        <w:t>发包人文件的提供期限、名称、数量和形式：</w:t>
      </w:r>
      <w:r>
        <w:rPr>
          <w:szCs w:val="21"/>
          <w:u w:val="single"/>
        </w:rPr>
        <w:t xml:space="preserve">  </w:t>
      </w:r>
      <w:r>
        <w:rPr>
          <w:rFonts w:hint="eastAsia"/>
          <w:szCs w:val="21"/>
          <w:u w:val="single"/>
        </w:rPr>
        <w:t>按发包人和通用</w:t>
      </w:r>
      <w:r>
        <w:rPr>
          <w:szCs w:val="21"/>
          <w:u w:val="single"/>
        </w:rPr>
        <w:t xml:space="preserve">条款要求           </w:t>
      </w:r>
      <w:r>
        <w:rPr>
          <w:rFonts w:hint="eastAsia"/>
          <w:szCs w:val="21"/>
        </w:rPr>
        <w:t>。</w:t>
      </w:r>
    </w:p>
    <w:p>
      <w:pPr>
        <w:snapToGrid w:val="0"/>
        <w:spacing w:line="360" w:lineRule="auto"/>
        <w:ind w:firstLine="420"/>
        <w:rPr>
          <w:szCs w:val="21"/>
        </w:rPr>
      </w:pPr>
      <w:r>
        <w:rPr>
          <w:szCs w:val="21"/>
        </w:rPr>
        <w:t xml:space="preserve">1.6.2 </w:t>
      </w:r>
      <w:r>
        <w:rPr>
          <w:rFonts w:hint="eastAsia"/>
          <w:szCs w:val="21"/>
        </w:rPr>
        <w:t>承包人文件的提供</w:t>
      </w:r>
    </w:p>
    <w:p>
      <w:pPr>
        <w:snapToGrid w:val="0"/>
        <w:spacing w:line="360" w:lineRule="auto"/>
        <w:ind w:firstLine="420"/>
        <w:rPr>
          <w:szCs w:val="21"/>
        </w:rPr>
      </w:pPr>
      <w:r>
        <w:rPr>
          <w:rFonts w:hint="eastAsia"/>
          <w:szCs w:val="21"/>
        </w:rPr>
        <w:t>承包人文件的内容、提供期限、名称、数量和形式：</w:t>
      </w:r>
      <w:r>
        <w:rPr>
          <w:szCs w:val="21"/>
          <w:u w:val="single"/>
        </w:rPr>
        <w:t xml:space="preserve"> </w:t>
      </w:r>
      <w:r>
        <w:rPr>
          <w:rFonts w:hint="eastAsia"/>
          <w:szCs w:val="21"/>
          <w:u w:val="single"/>
        </w:rPr>
        <w:t>按发包人和通用</w:t>
      </w:r>
      <w:r>
        <w:rPr>
          <w:szCs w:val="21"/>
          <w:u w:val="single"/>
        </w:rPr>
        <w:t>条款要求</w:t>
      </w:r>
      <w:r>
        <w:rPr>
          <w:rFonts w:hint="eastAsia"/>
          <w:szCs w:val="21"/>
          <w:u w:val="single"/>
        </w:rPr>
        <w:t>，设计文件应按初步设计批复的标准、规模、造价等进行设计，不得随意调整标准、规模、造价等</w:t>
      </w:r>
      <w:r>
        <w:rPr>
          <w:rFonts w:hint="eastAsia"/>
          <w:szCs w:val="21"/>
          <w:u w:val="single"/>
          <w:lang w:eastAsia="zh-CN"/>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1.6.4 </w:t>
      </w:r>
      <w:r>
        <w:rPr>
          <w:rFonts w:hint="eastAsia"/>
          <w:szCs w:val="21"/>
        </w:rPr>
        <w:t>文件的照管</w:t>
      </w:r>
    </w:p>
    <w:p>
      <w:pPr>
        <w:snapToGrid w:val="0"/>
        <w:spacing w:line="360" w:lineRule="auto"/>
        <w:ind w:firstLine="420"/>
        <w:rPr>
          <w:szCs w:val="21"/>
        </w:rPr>
      </w:pPr>
      <w:r>
        <w:rPr>
          <w:rFonts w:hint="eastAsia"/>
          <w:szCs w:val="21"/>
        </w:rPr>
        <w:t>关于现场文件准备的约定：</w:t>
      </w:r>
      <w:r>
        <w:rPr>
          <w:szCs w:val="21"/>
          <w:u w:val="single"/>
        </w:rPr>
        <w:t xml:space="preserve">  </w:t>
      </w:r>
      <w:r>
        <w:rPr>
          <w:rFonts w:hint="eastAsia"/>
          <w:szCs w:val="21"/>
          <w:u w:val="single"/>
        </w:rPr>
        <w:t>主管部门有其它规定或要求的按主管部门要求</w:t>
      </w:r>
      <w:r>
        <w:rPr>
          <w:szCs w:val="21"/>
          <w:u w:val="single"/>
        </w:rPr>
        <w:t xml:space="preserve"> </w:t>
      </w:r>
      <w:r>
        <w:rPr>
          <w:rFonts w:hint="eastAsia"/>
          <w:szCs w:val="21"/>
          <w:u w:val="single"/>
          <w:lang w:eastAsia="zh-CN"/>
        </w:rPr>
        <w:t>，</w:t>
      </w:r>
      <w:r>
        <w:rPr>
          <w:rFonts w:hint="eastAsia"/>
          <w:szCs w:val="21"/>
          <w:u w:val="single"/>
        </w:rPr>
        <w:t>承包人至少准备一套于施工现场备用</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1.7 </w:t>
      </w:r>
      <w:r>
        <w:rPr>
          <w:rFonts w:hint="eastAsia"/>
          <w:szCs w:val="21"/>
        </w:rPr>
        <w:t>联络</w:t>
      </w:r>
    </w:p>
    <w:p>
      <w:pPr>
        <w:snapToGrid w:val="0"/>
        <w:spacing w:line="360" w:lineRule="auto"/>
        <w:ind w:firstLine="420"/>
        <w:rPr>
          <w:szCs w:val="21"/>
        </w:rPr>
      </w:pPr>
      <w:r>
        <w:rPr>
          <w:szCs w:val="21"/>
        </w:rPr>
        <w:t xml:space="preserve">1.7.2 </w:t>
      </w:r>
      <w:r>
        <w:rPr>
          <w:rFonts w:hint="eastAsia"/>
          <w:szCs w:val="21"/>
        </w:rPr>
        <w:t>发包人指定的送达方式（包括电子传输方式）：</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发包人的送达地址：</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 xml:space="preserve">承包人指定的送达方式（包括电子传输方式）： </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承包人的送达地址：</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1.10 </w:t>
      </w:r>
      <w:r>
        <w:rPr>
          <w:rFonts w:hint="eastAsia"/>
          <w:szCs w:val="21"/>
        </w:rPr>
        <w:t>知识产权</w:t>
      </w:r>
    </w:p>
    <w:p>
      <w:pPr>
        <w:snapToGrid w:val="0"/>
        <w:spacing w:line="360" w:lineRule="auto"/>
        <w:ind w:firstLine="420"/>
        <w:rPr>
          <w:szCs w:val="21"/>
        </w:rPr>
      </w:pPr>
      <w:r>
        <w:rPr>
          <w:szCs w:val="21"/>
        </w:rPr>
        <w:t xml:space="preserve">1.10.1 </w:t>
      </w:r>
      <w:r>
        <w:rPr>
          <w:rFonts w:hint="eastAsia"/>
          <w:szCs w:val="21"/>
        </w:rPr>
        <w:t>由发包人（或以发包人名义）编制的《发包人要求》和其他文件的著作权归属：</w:t>
      </w:r>
      <w:r>
        <w:rPr>
          <w:szCs w:val="21"/>
          <w:u w:val="single"/>
        </w:rPr>
        <w:t xml:space="preserve"> </w:t>
      </w:r>
      <w:r>
        <w:rPr>
          <w:rFonts w:hint="eastAsia"/>
          <w:szCs w:val="21"/>
          <w:u w:val="single"/>
        </w:rPr>
        <w:t>其著作权和其他知识产权归发包人所有</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1.10.2 </w:t>
      </w:r>
      <w:r>
        <w:rPr>
          <w:rFonts w:hint="eastAsia"/>
          <w:szCs w:val="21"/>
        </w:rPr>
        <w:t>由承包人（或以承包人名义）为实施工程所编制的文件、承包人完成的设计工作成果和建造完成的建筑物的知识产权归属：</w:t>
      </w:r>
      <w:r>
        <w:rPr>
          <w:szCs w:val="21"/>
          <w:u w:val="single"/>
        </w:rPr>
        <w:t xml:space="preserve"> </w:t>
      </w:r>
      <w:r>
        <w:rPr>
          <w:rFonts w:hint="eastAsia"/>
          <w:szCs w:val="21"/>
          <w:u w:val="single"/>
        </w:rPr>
        <w:t>其著作权和其他知识产权归发包人享有</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1.10.4 </w:t>
      </w:r>
      <w:r>
        <w:rPr>
          <w:rFonts w:hint="eastAsia"/>
          <w:szCs w:val="21"/>
        </w:rPr>
        <w:t>承包人在投标文件中采用的专利、专有技术、技术秘密的使用费的承担方式</w:t>
      </w:r>
      <w:r>
        <w:rPr>
          <w:szCs w:val="21"/>
          <w:u w:val="single"/>
        </w:rPr>
        <w:t xml:space="preserve">   </w:t>
      </w:r>
      <w:r>
        <w:rPr>
          <w:rFonts w:hint="eastAsia"/>
          <w:szCs w:val="21"/>
          <w:u w:val="single"/>
        </w:rPr>
        <w:t>由承包人</w:t>
      </w:r>
      <w:r>
        <w:rPr>
          <w:szCs w:val="21"/>
          <w:u w:val="single"/>
        </w:rPr>
        <w:t xml:space="preserve">承担                             </w:t>
      </w:r>
      <w:r>
        <w:rPr>
          <w:rFonts w:hint="eastAsia"/>
          <w:szCs w:val="21"/>
        </w:rPr>
        <w:t>。</w:t>
      </w:r>
    </w:p>
    <w:p>
      <w:pPr>
        <w:snapToGrid w:val="0"/>
        <w:spacing w:line="360" w:lineRule="auto"/>
        <w:ind w:firstLine="420"/>
        <w:rPr>
          <w:szCs w:val="21"/>
        </w:rPr>
      </w:pPr>
      <w:r>
        <w:rPr>
          <w:szCs w:val="21"/>
        </w:rPr>
        <w:t xml:space="preserve">1.11 </w:t>
      </w:r>
      <w:r>
        <w:rPr>
          <w:rFonts w:hint="eastAsia"/>
          <w:szCs w:val="21"/>
        </w:rPr>
        <w:t>保密</w:t>
      </w:r>
    </w:p>
    <w:p>
      <w:pPr>
        <w:snapToGrid w:val="0"/>
        <w:spacing w:line="360" w:lineRule="auto"/>
        <w:ind w:firstLine="420"/>
        <w:rPr>
          <w:szCs w:val="21"/>
        </w:rPr>
      </w:pPr>
      <w:r>
        <w:rPr>
          <w:rFonts w:hint="eastAsia"/>
          <w:szCs w:val="21"/>
        </w:rPr>
        <w:t>双方订立的商业保密协议（名称）：</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，作为本合同附件。</w:t>
      </w:r>
    </w:p>
    <w:p>
      <w:pPr>
        <w:snapToGrid w:val="0"/>
        <w:spacing w:line="360" w:lineRule="auto"/>
        <w:ind w:firstLine="420"/>
        <w:rPr>
          <w:szCs w:val="21"/>
        </w:rPr>
      </w:pPr>
      <w:r>
        <w:rPr>
          <w:rFonts w:hint="eastAsia"/>
          <w:szCs w:val="21"/>
        </w:rPr>
        <w:t>双方订立的技术保密协议（名称）：</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rPr>
        <w:t>，作为本合同附件。</w:t>
      </w:r>
    </w:p>
    <w:p>
      <w:pPr>
        <w:snapToGrid w:val="0"/>
        <w:spacing w:line="360" w:lineRule="auto"/>
        <w:ind w:firstLine="420"/>
        <w:rPr>
          <w:szCs w:val="21"/>
        </w:rPr>
      </w:pPr>
      <w:r>
        <w:rPr>
          <w:szCs w:val="21"/>
        </w:rPr>
        <w:t xml:space="preserve">1.13 </w:t>
      </w:r>
      <w:r>
        <w:rPr>
          <w:rFonts w:hint="eastAsia"/>
          <w:szCs w:val="21"/>
        </w:rPr>
        <w:t>责任限制</w:t>
      </w:r>
    </w:p>
    <w:p>
      <w:pPr>
        <w:snapToGrid w:val="0"/>
        <w:spacing w:line="360" w:lineRule="auto"/>
        <w:ind w:firstLine="420"/>
        <w:rPr>
          <w:szCs w:val="21"/>
        </w:rPr>
      </w:pPr>
      <w:r>
        <w:rPr>
          <w:rFonts w:hint="eastAsia"/>
          <w:szCs w:val="21"/>
        </w:rPr>
        <w:t>承包人对发包人赔偿责任的最高限额为</w:t>
      </w:r>
      <w:r>
        <w:rPr>
          <w:szCs w:val="21"/>
          <w:u w:val="single"/>
        </w:rPr>
        <w:t xml:space="preserve">   </w:t>
      </w:r>
      <w:r>
        <w:rPr>
          <w:rFonts w:hint="eastAsia"/>
          <w:szCs w:val="21"/>
          <w:u w:val="single"/>
        </w:rPr>
        <w:t>按通用条款</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1.14 </w:t>
      </w:r>
      <w:r>
        <w:rPr>
          <w:rFonts w:hint="eastAsia"/>
          <w:szCs w:val="21"/>
        </w:rPr>
        <w:t>建筑信息模型技术的应用</w:t>
      </w:r>
    </w:p>
    <w:p>
      <w:pPr>
        <w:snapToGrid w:val="0"/>
        <w:spacing w:line="360" w:lineRule="auto"/>
        <w:ind w:firstLine="420"/>
        <w:rPr>
          <w:szCs w:val="21"/>
        </w:rPr>
      </w:pPr>
      <w:r>
        <w:rPr>
          <w:rFonts w:hint="eastAsia"/>
          <w:szCs w:val="21"/>
        </w:rPr>
        <w:t>关于建筑信息模型技术的开发、使用、存储、传输、交付及费用约定如下：</w:t>
      </w:r>
      <w:r>
        <w:rPr>
          <w:szCs w:val="21"/>
          <w:u w:val="single"/>
        </w:rPr>
        <w:t xml:space="preserve"> </w:t>
      </w:r>
      <w:r>
        <w:rPr>
          <w:rFonts w:hint="eastAsia"/>
          <w:szCs w:val="21"/>
          <w:u w:val="single"/>
        </w:rPr>
        <w:t>按通用条款</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2条</w:t>
      </w:r>
      <w:r>
        <w:rPr>
          <w:rFonts w:hint="eastAsia"/>
          <w:szCs w:val="21"/>
        </w:rPr>
        <w:t xml:space="preserve"> 发包人</w:t>
      </w:r>
    </w:p>
    <w:p>
      <w:pPr>
        <w:snapToGrid w:val="0"/>
        <w:spacing w:line="360" w:lineRule="auto"/>
        <w:ind w:firstLine="420"/>
        <w:rPr>
          <w:szCs w:val="21"/>
        </w:rPr>
      </w:pPr>
      <w:r>
        <w:rPr>
          <w:szCs w:val="21"/>
        </w:rPr>
        <w:t xml:space="preserve">2.2 </w:t>
      </w:r>
      <w:r>
        <w:rPr>
          <w:rFonts w:hint="eastAsia"/>
          <w:szCs w:val="21"/>
        </w:rPr>
        <w:t>提供施工现场和工作条件</w:t>
      </w:r>
    </w:p>
    <w:p>
      <w:pPr>
        <w:snapToGrid w:val="0"/>
        <w:spacing w:line="360" w:lineRule="auto"/>
        <w:ind w:firstLine="420"/>
        <w:rPr>
          <w:szCs w:val="21"/>
        </w:rPr>
      </w:pPr>
      <w:r>
        <w:rPr>
          <w:szCs w:val="21"/>
        </w:rPr>
        <w:t xml:space="preserve">2.2.1 </w:t>
      </w:r>
      <w:r>
        <w:rPr>
          <w:rFonts w:hint="eastAsia"/>
          <w:szCs w:val="21"/>
        </w:rPr>
        <w:t>提供施工现场</w:t>
      </w:r>
    </w:p>
    <w:p>
      <w:pPr>
        <w:snapToGrid w:val="0"/>
        <w:spacing w:line="360" w:lineRule="auto"/>
        <w:ind w:firstLine="420"/>
        <w:rPr>
          <w:szCs w:val="21"/>
        </w:rPr>
      </w:pPr>
      <w:r>
        <w:rPr>
          <w:rFonts w:hint="eastAsia"/>
          <w:szCs w:val="21"/>
        </w:rPr>
        <w:t>关于发包人提供施工现场的范围和期限：</w:t>
      </w:r>
      <w:r>
        <w:rPr>
          <w:szCs w:val="21"/>
          <w:u w:val="single"/>
        </w:rPr>
        <w:t xml:space="preserve">  </w:t>
      </w:r>
      <w:r>
        <w:rPr>
          <w:rFonts w:hint="eastAsia"/>
          <w:szCs w:val="21"/>
          <w:u w:val="single"/>
        </w:rPr>
        <w:t>在</w:t>
      </w:r>
      <w:r>
        <w:rPr>
          <w:rFonts w:hint="eastAsia"/>
          <w:szCs w:val="21"/>
          <w:u w:val="single"/>
          <w:lang w:val="en-US" w:eastAsia="zh-CN"/>
        </w:rPr>
        <w:t>计划开始现场施工7</w:t>
      </w:r>
      <w:r>
        <w:rPr>
          <w:rFonts w:hint="eastAsia"/>
          <w:szCs w:val="21"/>
          <w:u w:val="single"/>
        </w:rPr>
        <w:t>日前将项目用地红线范围提供场地给承包方</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2.2.2 </w:t>
      </w:r>
      <w:r>
        <w:rPr>
          <w:rFonts w:hint="eastAsia"/>
          <w:szCs w:val="21"/>
        </w:rPr>
        <w:t>提供工作条件</w:t>
      </w:r>
    </w:p>
    <w:p>
      <w:pPr>
        <w:snapToGrid w:val="0"/>
        <w:spacing w:line="360" w:lineRule="auto"/>
        <w:ind w:firstLine="420"/>
        <w:rPr>
          <w:rFonts w:hint="eastAsia"/>
          <w:szCs w:val="21"/>
          <w:u w:val="single"/>
        </w:rPr>
      </w:pPr>
      <w:r>
        <w:rPr>
          <w:rFonts w:hint="eastAsia"/>
          <w:szCs w:val="21"/>
        </w:rPr>
        <w:t>关于发包人应负责提供的工作条件包括：</w:t>
      </w:r>
      <w:r>
        <w:rPr>
          <w:szCs w:val="21"/>
          <w:u w:val="single"/>
        </w:rPr>
        <w:t xml:space="preserve"> </w:t>
      </w:r>
      <w:r>
        <w:rPr>
          <w:rFonts w:hint="eastAsia"/>
          <w:szCs w:val="21"/>
          <w:u w:val="single"/>
        </w:rPr>
        <w:t>在</w:t>
      </w:r>
      <w:r>
        <w:rPr>
          <w:rFonts w:hint="eastAsia"/>
          <w:szCs w:val="21"/>
          <w:u w:val="single"/>
          <w:lang w:val="en-US" w:eastAsia="zh-CN"/>
        </w:rPr>
        <w:t>计划开始现场施工</w:t>
      </w:r>
      <w:r>
        <w:rPr>
          <w:rFonts w:hint="eastAsia"/>
          <w:szCs w:val="21"/>
          <w:u w:val="single"/>
        </w:rPr>
        <w:t>前，根据</w:t>
      </w:r>
      <w:r>
        <w:rPr>
          <w:rFonts w:hint="eastAsia"/>
          <w:szCs w:val="21"/>
          <w:u w:val="single"/>
          <w:lang w:val="en-US" w:eastAsia="zh-CN"/>
        </w:rPr>
        <w:t>发包人</w:t>
      </w:r>
      <w:r>
        <w:rPr>
          <w:rFonts w:hint="eastAsia"/>
          <w:szCs w:val="21"/>
          <w:u w:val="single"/>
        </w:rPr>
        <w:t>提供的红线范围内的房屋、设施、管线数量予以征拆交地。因承包人原因造成征拆工作的漏项漏量，管线开挖出现安全事故的，承包方应</w:t>
      </w:r>
      <w:r>
        <w:rPr>
          <w:rFonts w:hint="eastAsia"/>
          <w:szCs w:val="21"/>
          <w:u w:val="single"/>
          <w:lang w:val="en-US" w:eastAsia="zh-CN"/>
        </w:rPr>
        <w:t>承担一次一般</w:t>
      </w:r>
      <w:r>
        <w:rPr>
          <w:rFonts w:hint="eastAsia"/>
          <w:szCs w:val="21"/>
          <w:u w:val="single"/>
        </w:rPr>
        <w:t>违约</w:t>
      </w:r>
      <w:r>
        <w:rPr>
          <w:rFonts w:hint="eastAsia"/>
          <w:szCs w:val="21"/>
          <w:u w:val="single"/>
          <w:lang w:val="en-US" w:eastAsia="zh-CN"/>
        </w:rPr>
        <w:t>或严重违约责任</w:t>
      </w:r>
      <w:r>
        <w:rPr>
          <w:rFonts w:hint="eastAsia"/>
          <w:szCs w:val="21"/>
          <w:u w:val="single"/>
          <w:lang w:eastAsia="zh-CN"/>
        </w:rPr>
        <w:t>（</w:t>
      </w:r>
      <w:r>
        <w:rPr>
          <w:rFonts w:hint="eastAsia"/>
          <w:szCs w:val="21"/>
          <w:u w:val="single"/>
          <w:lang w:val="en-US" w:eastAsia="zh-CN"/>
        </w:rPr>
        <w:t>视事故严重程度判定违约性质</w:t>
      </w:r>
      <w:r>
        <w:rPr>
          <w:rFonts w:hint="eastAsia"/>
          <w:szCs w:val="21"/>
          <w:u w:val="single"/>
          <w:lang w:eastAsia="zh-CN"/>
        </w:rPr>
        <w:t>）</w:t>
      </w:r>
      <w:r>
        <w:rPr>
          <w:rFonts w:hint="eastAsia"/>
          <w:szCs w:val="21"/>
          <w:u w:val="single"/>
        </w:rPr>
        <w:t>。另承包方须配合发包方相关征拆工作</w:t>
      </w:r>
      <w:r>
        <w:rPr>
          <w:rFonts w:hint="eastAsia"/>
          <w:szCs w:val="21"/>
          <w:u w:val="single"/>
          <w:lang w:eastAsia="zh-CN"/>
        </w:rPr>
        <w:t>。</w:t>
      </w:r>
    </w:p>
    <w:p>
      <w:pPr>
        <w:snapToGrid w:val="0"/>
        <w:spacing w:line="360" w:lineRule="auto"/>
        <w:ind w:firstLine="420"/>
        <w:rPr>
          <w:szCs w:val="21"/>
        </w:rPr>
      </w:pPr>
      <w:r>
        <w:rPr>
          <w:szCs w:val="21"/>
        </w:rPr>
        <w:t xml:space="preserve">2.3 </w:t>
      </w:r>
      <w:r>
        <w:rPr>
          <w:rFonts w:hint="eastAsia"/>
          <w:szCs w:val="21"/>
        </w:rPr>
        <w:t>提供基础资料</w:t>
      </w:r>
    </w:p>
    <w:p>
      <w:pPr>
        <w:snapToGrid w:val="0"/>
        <w:spacing w:line="360" w:lineRule="auto"/>
        <w:ind w:firstLine="420"/>
        <w:rPr>
          <w:szCs w:val="21"/>
        </w:rPr>
      </w:pPr>
      <w:r>
        <w:rPr>
          <w:rFonts w:hint="eastAsia"/>
          <w:szCs w:val="21"/>
        </w:rPr>
        <w:t>关于发包人应提供的基础资料的范围和期限：</w:t>
      </w:r>
      <w:r>
        <w:rPr>
          <w:szCs w:val="21"/>
          <w:u w:val="single"/>
        </w:rPr>
        <w:t xml:space="preserve"> </w:t>
      </w:r>
      <w:r>
        <w:rPr>
          <w:rFonts w:hint="eastAsia"/>
          <w:szCs w:val="21"/>
          <w:u w:val="single"/>
        </w:rPr>
        <w:t>按通用条款要求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2.5 </w:t>
      </w:r>
      <w:r>
        <w:rPr>
          <w:rFonts w:hint="eastAsia"/>
          <w:szCs w:val="21"/>
        </w:rPr>
        <w:t>支付合同价款</w:t>
      </w:r>
    </w:p>
    <w:p>
      <w:pPr>
        <w:snapToGrid w:val="0"/>
        <w:spacing w:line="360" w:lineRule="auto"/>
        <w:ind w:firstLine="420"/>
        <w:rPr>
          <w:szCs w:val="21"/>
        </w:rPr>
      </w:pPr>
      <w:r>
        <w:rPr>
          <w:szCs w:val="21"/>
        </w:rPr>
        <w:t xml:space="preserve">2.5.2 </w:t>
      </w:r>
      <w:r>
        <w:rPr>
          <w:rFonts w:hint="eastAsia"/>
          <w:szCs w:val="21"/>
        </w:rPr>
        <w:t>发包人提供资金来源证明及资金安排的期限要求：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2.5.3 </w:t>
      </w:r>
      <w:r>
        <w:rPr>
          <w:rFonts w:hint="eastAsia"/>
          <w:szCs w:val="21"/>
        </w:rPr>
        <w:t>发包人提供支付担保的形式、期限、金额（或比例）：</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2.7 </w:t>
      </w:r>
      <w:r>
        <w:rPr>
          <w:rFonts w:hint="eastAsia"/>
          <w:szCs w:val="21"/>
        </w:rPr>
        <w:t>其他义务</w:t>
      </w:r>
    </w:p>
    <w:p>
      <w:pPr>
        <w:snapToGrid w:val="0"/>
        <w:spacing w:line="360" w:lineRule="auto"/>
        <w:ind w:firstLine="420"/>
        <w:rPr>
          <w:szCs w:val="21"/>
        </w:rPr>
      </w:pPr>
      <w:r>
        <w:rPr>
          <w:rFonts w:hint="eastAsia"/>
          <w:szCs w:val="21"/>
        </w:rPr>
        <w:t>发包人应履行的其他义务：</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3条</w:t>
      </w:r>
      <w:r>
        <w:rPr>
          <w:rFonts w:hint="eastAsia"/>
          <w:szCs w:val="21"/>
        </w:rPr>
        <w:t xml:space="preserve"> 发包人的管理</w:t>
      </w:r>
    </w:p>
    <w:p>
      <w:pPr>
        <w:snapToGrid w:val="0"/>
        <w:spacing w:line="360" w:lineRule="auto"/>
        <w:ind w:firstLine="420"/>
        <w:rPr>
          <w:szCs w:val="21"/>
        </w:rPr>
      </w:pPr>
      <w:r>
        <w:rPr>
          <w:szCs w:val="21"/>
        </w:rPr>
        <w:t xml:space="preserve">3.1 </w:t>
      </w:r>
      <w:r>
        <w:rPr>
          <w:rFonts w:hint="eastAsia"/>
          <w:szCs w:val="21"/>
        </w:rPr>
        <w:t>发包人代表</w:t>
      </w:r>
    </w:p>
    <w:p>
      <w:pPr>
        <w:snapToGrid w:val="0"/>
        <w:spacing w:line="360" w:lineRule="auto"/>
        <w:ind w:firstLine="420"/>
        <w:rPr>
          <w:szCs w:val="21"/>
        </w:rPr>
      </w:pPr>
      <w:r>
        <w:rPr>
          <w:rFonts w:hint="eastAsia"/>
          <w:szCs w:val="21"/>
        </w:rPr>
        <w:t>发包人代表的姓名：</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发包人代表的身份证号：</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发包人代表的职务：</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发包人代表的联系电话：</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发包人代表的电子邮箱：</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发包人代表的通信地址：</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发包人对发包人代表的授权范围如下：</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发包人代表的职责：</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3.2 </w:t>
      </w:r>
      <w:r>
        <w:rPr>
          <w:rFonts w:hint="eastAsia"/>
          <w:szCs w:val="21"/>
        </w:rPr>
        <w:t>发包人人员</w:t>
      </w:r>
    </w:p>
    <w:p>
      <w:pPr>
        <w:snapToGrid w:val="0"/>
        <w:spacing w:line="360" w:lineRule="auto"/>
        <w:ind w:firstLine="420"/>
        <w:rPr>
          <w:szCs w:val="21"/>
        </w:rPr>
      </w:pPr>
      <w:r>
        <w:rPr>
          <w:szCs w:val="21"/>
        </w:rPr>
        <w:t>发包人人员姓名：</w:t>
      </w:r>
      <w:r>
        <w:rPr>
          <w:szCs w:val="21"/>
          <w:u w:val="single"/>
        </w:rPr>
        <w:t xml:space="preserve">                                   </w:t>
      </w:r>
      <w:r>
        <w:rPr>
          <w:szCs w:val="21"/>
        </w:rPr>
        <w:t>；</w:t>
      </w:r>
    </w:p>
    <w:p>
      <w:pPr>
        <w:snapToGrid w:val="0"/>
        <w:spacing w:line="360" w:lineRule="auto"/>
        <w:ind w:firstLine="420"/>
        <w:rPr>
          <w:szCs w:val="21"/>
        </w:rPr>
      </w:pPr>
      <w:r>
        <w:rPr>
          <w:szCs w:val="21"/>
        </w:rPr>
        <w:t>发包人人员职务：</w:t>
      </w:r>
      <w:r>
        <w:rPr>
          <w:szCs w:val="21"/>
          <w:u w:val="single"/>
        </w:rPr>
        <w:t xml:space="preserve">                                  </w:t>
      </w:r>
      <w:r>
        <w:rPr>
          <w:szCs w:val="21"/>
        </w:rPr>
        <w:t>；</w:t>
      </w:r>
    </w:p>
    <w:p>
      <w:pPr>
        <w:snapToGrid w:val="0"/>
        <w:spacing w:line="360" w:lineRule="auto"/>
        <w:ind w:firstLine="420"/>
        <w:rPr>
          <w:szCs w:val="21"/>
        </w:rPr>
      </w:pPr>
      <w:r>
        <w:rPr>
          <w:szCs w:val="21"/>
        </w:rPr>
        <w:t>发包人人员职责：</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3.3 </w:t>
      </w:r>
      <w:r>
        <w:rPr>
          <w:rFonts w:hint="eastAsia"/>
          <w:szCs w:val="21"/>
        </w:rPr>
        <w:t>工程师</w:t>
      </w:r>
    </w:p>
    <w:p>
      <w:pPr>
        <w:snapToGrid w:val="0"/>
        <w:spacing w:line="360" w:lineRule="auto"/>
        <w:ind w:firstLine="420"/>
        <w:rPr>
          <w:szCs w:val="21"/>
        </w:rPr>
      </w:pPr>
      <w:r>
        <w:rPr>
          <w:rFonts w:hint="eastAsia"/>
          <w:szCs w:val="21"/>
        </w:rPr>
        <w:t>3</w:t>
      </w:r>
      <w:r>
        <w:rPr>
          <w:szCs w:val="21"/>
        </w:rPr>
        <w:t xml:space="preserve">.3.1 </w:t>
      </w:r>
      <w:r>
        <w:rPr>
          <w:rFonts w:hint="eastAsia"/>
          <w:szCs w:val="21"/>
        </w:rPr>
        <w:t>工程师名称</w:t>
      </w:r>
      <w:r>
        <w:rPr>
          <w:szCs w:val="21"/>
        </w:rPr>
        <w:t>：</w:t>
      </w:r>
      <w:r>
        <w:rPr>
          <w:szCs w:val="21"/>
          <w:u w:val="single"/>
        </w:rPr>
        <w:t xml:space="preserve">                          </w:t>
      </w:r>
      <w:r>
        <w:rPr>
          <w:szCs w:val="21"/>
        </w:rPr>
        <w:t>；</w:t>
      </w:r>
      <w:r>
        <w:rPr>
          <w:rFonts w:hint="eastAsia"/>
          <w:szCs w:val="21"/>
        </w:rPr>
        <w:t>工程师监督管理</w:t>
      </w:r>
      <w:r>
        <w:rPr>
          <w:szCs w:val="21"/>
        </w:rPr>
        <w:t>范围</w:t>
      </w:r>
      <w:r>
        <w:rPr>
          <w:rFonts w:hint="eastAsia"/>
          <w:szCs w:val="21"/>
        </w:rPr>
        <w:t>、内容</w:t>
      </w:r>
      <w:r>
        <w:rPr>
          <w:szCs w:val="21"/>
        </w:rPr>
        <w:t>：</w:t>
      </w:r>
      <w:r>
        <w:rPr>
          <w:szCs w:val="21"/>
          <w:u w:val="single"/>
        </w:rPr>
        <w:t xml:space="preserve">                          </w:t>
      </w:r>
      <w:r>
        <w:rPr>
          <w:rFonts w:hint="eastAsia"/>
          <w:szCs w:val="21"/>
        </w:rPr>
        <w:t>；工程师</w:t>
      </w:r>
      <w:r>
        <w:rPr>
          <w:szCs w:val="21"/>
        </w:rPr>
        <w:t>权限：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3.6 </w:t>
      </w:r>
      <w:r>
        <w:rPr>
          <w:rFonts w:hint="eastAsia"/>
          <w:szCs w:val="21"/>
        </w:rPr>
        <w:t>商定或确定</w:t>
      </w:r>
    </w:p>
    <w:p>
      <w:pPr>
        <w:snapToGrid w:val="0"/>
        <w:spacing w:line="360" w:lineRule="auto"/>
        <w:ind w:firstLine="420"/>
        <w:rPr>
          <w:szCs w:val="21"/>
        </w:rPr>
      </w:pPr>
      <w:r>
        <w:rPr>
          <w:rFonts w:hint="eastAsia"/>
          <w:szCs w:val="21"/>
        </w:rPr>
        <w:t>3</w:t>
      </w:r>
      <w:r>
        <w:rPr>
          <w:szCs w:val="21"/>
        </w:rPr>
        <w:t>.6.2 关于</w:t>
      </w:r>
      <w:r>
        <w:rPr>
          <w:rFonts w:hint="eastAsia"/>
          <w:szCs w:val="21"/>
        </w:rPr>
        <w:t>商定</w:t>
      </w:r>
      <w:r>
        <w:rPr>
          <w:szCs w:val="21"/>
        </w:rPr>
        <w:t>时间限制的具体约定：</w:t>
      </w:r>
      <w:r>
        <w:rPr>
          <w:szCs w:val="21"/>
          <w:u w:val="single"/>
        </w:rPr>
        <w:t xml:space="preserve">                 </w:t>
      </w:r>
      <w:r>
        <w:rPr>
          <w:rFonts w:hint="eastAsia"/>
          <w:szCs w:val="21"/>
        </w:rPr>
        <w:t>。</w:t>
      </w:r>
    </w:p>
    <w:p>
      <w:pPr>
        <w:snapToGrid w:val="0"/>
        <w:spacing w:line="360" w:lineRule="auto"/>
        <w:ind w:firstLine="420"/>
        <w:rPr>
          <w:szCs w:val="21"/>
        </w:rPr>
      </w:pPr>
      <w:r>
        <w:rPr>
          <w:szCs w:val="21"/>
        </w:rPr>
        <w:t>3.6.3 关于</w:t>
      </w:r>
      <w:r>
        <w:rPr>
          <w:rFonts w:hint="eastAsia"/>
          <w:szCs w:val="21"/>
        </w:rPr>
        <w:t>商定或确定</w:t>
      </w:r>
      <w:r>
        <w:rPr>
          <w:szCs w:val="21"/>
        </w:rPr>
        <w:t>效力的具体约定：</w:t>
      </w:r>
      <w:r>
        <w:rPr>
          <w:szCs w:val="21"/>
          <w:u w:val="single"/>
        </w:rPr>
        <w:t xml:space="preserve">               </w:t>
      </w:r>
      <w:r>
        <w:rPr>
          <w:rFonts w:hint="eastAsia"/>
          <w:szCs w:val="21"/>
        </w:rPr>
        <w:t>；</w:t>
      </w:r>
      <w:r>
        <w:rPr>
          <w:szCs w:val="21"/>
        </w:rPr>
        <w:t>关于对</w:t>
      </w:r>
      <w:r>
        <w:rPr>
          <w:rFonts w:hint="eastAsia"/>
          <w:szCs w:val="21"/>
        </w:rPr>
        <w:t>工程师的确定提出异议</w:t>
      </w:r>
      <w:r>
        <w:rPr>
          <w:szCs w:val="21"/>
        </w:rPr>
        <w:t>的具体约定：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3.7 </w:t>
      </w:r>
      <w:r>
        <w:rPr>
          <w:rFonts w:hint="eastAsia"/>
          <w:szCs w:val="21"/>
        </w:rPr>
        <w:t>会议</w:t>
      </w:r>
    </w:p>
    <w:p>
      <w:pPr>
        <w:snapToGrid w:val="0"/>
        <w:spacing w:line="360" w:lineRule="auto"/>
        <w:ind w:firstLine="420"/>
        <w:rPr>
          <w:szCs w:val="21"/>
        </w:rPr>
      </w:pPr>
      <w:r>
        <w:rPr>
          <w:rFonts w:hint="eastAsia"/>
          <w:szCs w:val="21"/>
        </w:rPr>
        <w:t>3</w:t>
      </w:r>
      <w:r>
        <w:rPr>
          <w:szCs w:val="21"/>
        </w:rPr>
        <w:t>.7.1 关于召开会议</w:t>
      </w:r>
      <w:r>
        <w:rPr>
          <w:rFonts w:hint="eastAsia"/>
          <w:szCs w:val="21"/>
        </w:rPr>
        <w:t>的具体约定：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3</w:t>
      </w:r>
      <w:r>
        <w:rPr>
          <w:szCs w:val="21"/>
        </w:rPr>
        <w:t xml:space="preserve">.7.2 </w:t>
      </w:r>
      <w:r>
        <w:rPr>
          <w:rFonts w:hint="eastAsia"/>
          <w:szCs w:val="21"/>
        </w:rPr>
        <w:t>关于保存和提供会议纪要</w:t>
      </w:r>
      <w:r>
        <w:rPr>
          <w:szCs w:val="21"/>
        </w:rPr>
        <w:t>的具体约定：</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4条</w:t>
      </w:r>
      <w:r>
        <w:rPr>
          <w:rFonts w:hint="eastAsia"/>
          <w:szCs w:val="21"/>
        </w:rPr>
        <w:t xml:space="preserve"> 承包人</w:t>
      </w:r>
    </w:p>
    <w:p>
      <w:pPr>
        <w:snapToGrid w:val="0"/>
        <w:spacing w:line="360" w:lineRule="auto"/>
        <w:ind w:firstLine="420"/>
        <w:rPr>
          <w:szCs w:val="21"/>
        </w:rPr>
      </w:pPr>
      <w:r>
        <w:rPr>
          <w:szCs w:val="21"/>
        </w:rPr>
        <w:t xml:space="preserve">4.1 </w:t>
      </w:r>
      <w:r>
        <w:rPr>
          <w:rFonts w:hint="eastAsia"/>
          <w:szCs w:val="21"/>
        </w:rPr>
        <w:t>承包人的一般义务</w:t>
      </w:r>
    </w:p>
    <w:p>
      <w:pPr>
        <w:snapToGrid w:val="0"/>
        <w:spacing w:line="360" w:lineRule="auto"/>
        <w:ind w:firstLine="420"/>
        <w:rPr>
          <w:szCs w:val="21"/>
        </w:rPr>
      </w:pPr>
      <w:r>
        <w:rPr>
          <w:rFonts w:hint="eastAsia"/>
          <w:szCs w:val="21"/>
        </w:rPr>
        <w:t>承包人应履行的其他义务：</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4.2 </w:t>
      </w:r>
      <w:r>
        <w:rPr>
          <w:rFonts w:hint="eastAsia"/>
          <w:szCs w:val="21"/>
        </w:rPr>
        <w:t>履约担保</w:t>
      </w:r>
    </w:p>
    <w:p>
      <w:pPr>
        <w:snapToGrid w:val="0"/>
        <w:spacing w:line="360" w:lineRule="auto"/>
        <w:ind w:firstLine="420"/>
        <w:rPr>
          <w:szCs w:val="21"/>
        </w:rPr>
      </w:pPr>
      <w:r>
        <w:rPr>
          <w:rFonts w:hint="eastAsia"/>
          <w:szCs w:val="21"/>
        </w:rPr>
        <w:t>承包人是否提供履约担保：</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履约担保的方式、金额及期限: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4.3 </w:t>
      </w:r>
      <w:r>
        <w:rPr>
          <w:rFonts w:hint="eastAsia"/>
          <w:szCs w:val="21"/>
        </w:rPr>
        <w:t>工程总承包项目经理</w:t>
      </w:r>
    </w:p>
    <w:p>
      <w:pPr>
        <w:snapToGrid w:val="0"/>
        <w:spacing w:line="360" w:lineRule="auto"/>
        <w:ind w:firstLine="420"/>
        <w:rPr>
          <w:szCs w:val="21"/>
        </w:rPr>
      </w:pPr>
      <w:r>
        <w:rPr>
          <w:szCs w:val="21"/>
        </w:rPr>
        <w:t xml:space="preserve">4.3.1 </w:t>
      </w:r>
      <w:r>
        <w:rPr>
          <w:rFonts w:hint="eastAsia"/>
          <w:szCs w:val="21"/>
        </w:rPr>
        <w:t>工程总承包项目经理姓名：</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执业资格或职称类型：</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执业资格证或职称证号码：</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联系电话：</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电子邮箱：</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通信地址：</w:t>
      </w:r>
      <w:r>
        <w:rPr>
          <w:szCs w:val="21"/>
          <w:u w:val="single"/>
        </w:rPr>
        <w:t xml:space="preserve">                                        </w:t>
      </w:r>
      <w:r>
        <w:rPr>
          <w:rFonts w:hint="eastAsia"/>
          <w:szCs w:val="21"/>
        </w:rPr>
        <w:t>。</w:t>
      </w:r>
    </w:p>
    <w:p>
      <w:pPr>
        <w:snapToGrid w:val="0"/>
        <w:spacing w:line="360" w:lineRule="auto"/>
        <w:ind w:firstLine="420"/>
        <w:rPr>
          <w:szCs w:val="21"/>
        </w:rPr>
      </w:pPr>
      <w:r>
        <w:rPr>
          <w:szCs w:val="21"/>
        </w:rPr>
        <w:t>承包人未提交劳动合同，以及没有为工程总承包项目经理缴纳社会保险证明的违约责任：</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4.3.2 </w:t>
      </w:r>
      <w:r>
        <w:rPr>
          <w:rFonts w:hint="eastAsia"/>
          <w:szCs w:val="21"/>
        </w:rPr>
        <w:t>工程总承包项目经理每月在现场的时间要求：</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工程总承包项目经理未经批准擅自离开施工现场的违约责任：</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4.3.3 </w:t>
      </w:r>
      <w:r>
        <w:rPr>
          <w:rFonts w:hint="eastAsia"/>
          <w:szCs w:val="21"/>
        </w:rPr>
        <w:t>承包人对工程总承包项目经理的授权范围:</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4.3.4 </w:t>
      </w:r>
      <w:r>
        <w:rPr>
          <w:rFonts w:hint="eastAsia"/>
          <w:szCs w:val="21"/>
        </w:rPr>
        <w:t>承包人</w:t>
      </w:r>
      <w:r>
        <w:rPr>
          <w:szCs w:val="21"/>
        </w:rPr>
        <w:t>擅自更换工程总承包项目经理的违约</w:t>
      </w:r>
      <w:r>
        <w:rPr>
          <w:rFonts w:hint="eastAsia"/>
          <w:szCs w:val="21"/>
        </w:rPr>
        <w:t>责任：</w:t>
      </w:r>
      <w:r>
        <w:rPr>
          <w:szCs w:val="21"/>
          <w:u w:val="single"/>
        </w:rPr>
        <w:t xml:space="preserve">                  </w:t>
      </w:r>
      <w:r>
        <w:rPr>
          <w:rFonts w:hint="eastAsia"/>
          <w:szCs w:val="21"/>
        </w:rPr>
        <w:t>。</w:t>
      </w:r>
    </w:p>
    <w:p>
      <w:pPr>
        <w:snapToGrid w:val="0"/>
        <w:spacing w:line="360" w:lineRule="auto"/>
        <w:ind w:firstLine="420"/>
        <w:rPr>
          <w:szCs w:val="21"/>
        </w:rPr>
      </w:pPr>
      <w:r>
        <w:rPr>
          <w:szCs w:val="21"/>
        </w:rPr>
        <w:t>4.3.5 承包人无正当理由拒绝更换工程总承包项目经理的违约责任</w:t>
      </w:r>
      <w:r>
        <w:rPr>
          <w:rFonts w:hint="eastAsia"/>
          <w:szCs w:val="21"/>
        </w:rPr>
        <w:t>:</w:t>
      </w:r>
      <w:r>
        <w:rPr>
          <w:szCs w:val="21"/>
          <w:u w:val="single"/>
        </w:rPr>
        <w:t xml:space="preserve">         </w:t>
      </w:r>
      <w:r>
        <w:rPr>
          <w:szCs w:val="21"/>
        </w:rPr>
        <w:t>。</w:t>
      </w:r>
    </w:p>
    <w:p>
      <w:pPr>
        <w:snapToGrid w:val="0"/>
        <w:spacing w:line="360" w:lineRule="auto"/>
        <w:ind w:firstLine="420"/>
        <w:rPr>
          <w:szCs w:val="21"/>
        </w:rPr>
      </w:pPr>
      <w:r>
        <w:rPr>
          <w:szCs w:val="21"/>
        </w:rPr>
        <w:t xml:space="preserve">4.4 </w:t>
      </w:r>
      <w:r>
        <w:rPr>
          <w:rFonts w:hint="eastAsia"/>
          <w:szCs w:val="21"/>
        </w:rPr>
        <w:t>承包人人员</w:t>
      </w:r>
    </w:p>
    <w:p>
      <w:pPr>
        <w:snapToGrid w:val="0"/>
        <w:spacing w:line="360" w:lineRule="auto"/>
        <w:ind w:firstLine="420"/>
        <w:rPr>
          <w:szCs w:val="21"/>
        </w:rPr>
      </w:pPr>
      <w:r>
        <w:rPr>
          <w:szCs w:val="21"/>
        </w:rPr>
        <w:t xml:space="preserve">4.4.1 </w:t>
      </w:r>
      <w:r>
        <w:rPr>
          <w:rFonts w:hint="eastAsia"/>
          <w:szCs w:val="21"/>
        </w:rPr>
        <w:t>人员安排</w:t>
      </w:r>
    </w:p>
    <w:p>
      <w:pPr>
        <w:snapToGrid w:val="0"/>
        <w:spacing w:line="360" w:lineRule="auto"/>
        <w:ind w:firstLine="420"/>
        <w:rPr>
          <w:szCs w:val="21"/>
        </w:rPr>
      </w:pPr>
      <w:r>
        <w:rPr>
          <w:szCs w:val="21"/>
        </w:rPr>
        <w:t>承包人</w:t>
      </w:r>
      <w:r>
        <w:rPr>
          <w:rFonts w:hint="eastAsia"/>
          <w:szCs w:val="21"/>
        </w:rPr>
        <w:t>提交</w:t>
      </w:r>
      <w:r>
        <w:rPr>
          <w:szCs w:val="21"/>
        </w:rPr>
        <w:t>项目管理机构及施工现场人员安排的报告</w:t>
      </w:r>
      <w:r>
        <w:rPr>
          <w:rFonts w:hint="eastAsia"/>
          <w:szCs w:val="21"/>
        </w:rPr>
        <w:t>的期限：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承包人提交关键人员信息及注册执业资格等证明其具备担任关键人员能力的相关文件的期限：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4.4.2 </w:t>
      </w:r>
      <w:r>
        <w:rPr>
          <w:rFonts w:hint="eastAsia"/>
          <w:szCs w:val="21"/>
        </w:rPr>
        <w:t>关键人员更换</w:t>
      </w:r>
    </w:p>
    <w:p>
      <w:pPr>
        <w:snapToGrid w:val="0"/>
        <w:spacing w:line="360" w:lineRule="auto"/>
        <w:ind w:firstLine="420"/>
        <w:rPr>
          <w:szCs w:val="21"/>
        </w:rPr>
      </w:pPr>
      <w:r>
        <w:rPr>
          <w:szCs w:val="21"/>
        </w:rPr>
        <w:t>承包人擅自更换</w:t>
      </w:r>
      <w:r>
        <w:rPr>
          <w:rFonts w:hint="eastAsia"/>
          <w:szCs w:val="21"/>
        </w:rPr>
        <w:t>关键人员</w:t>
      </w:r>
      <w:r>
        <w:rPr>
          <w:szCs w:val="21"/>
        </w:rPr>
        <w:t>的违约责任：</w:t>
      </w:r>
      <w:r>
        <w:rPr>
          <w:szCs w:val="21"/>
          <w:u w:val="single"/>
        </w:rPr>
        <w:t xml:space="preserve">                </w:t>
      </w:r>
      <w:r>
        <w:rPr>
          <w:rFonts w:hint="eastAsia"/>
          <w:szCs w:val="21"/>
        </w:rPr>
        <w:t>。</w:t>
      </w:r>
    </w:p>
    <w:p>
      <w:pPr>
        <w:snapToGrid w:val="0"/>
        <w:spacing w:line="360" w:lineRule="auto"/>
        <w:ind w:firstLine="420"/>
        <w:rPr>
          <w:szCs w:val="21"/>
        </w:rPr>
      </w:pPr>
      <w:r>
        <w:rPr>
          <w:szCs w:val="21"/>
        </w:rPr>
        <w:t>承包人无正当理由拒绝撤换</w:t>
      </w:r>
      <w:r>
        <w:rPr>
          <w:rFonts w:hint="eastAsia"/>
          <w:szCs w:val="21"/>
        </w:rPr>
        <w:t>关键人员</w:t>
      </w:r>
      <w:r>
        <w:rPr>
          <w:szCs w:val="21"/>
        </w:rPr>
        <w:t>的违约责任：</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4.4.3 </w:t>
      </w:r>
      <w:r>
        <w:rPr>
          <w:rFonts w:hint="eastAsia"/>
          <w:szCs w:val="21"/>
        </w:rPr>
        <w:t>现场管理关键人员在岗要求</w:t>
      </w:r>
    </w:p>
    <w:p>
      <w:pPr>
        <w:snapToGrid w:val="0"/>
        <w:spacing w:line="360" w:lineRule="auto"/>
        <w:ind w:firstLine="420"/>
        <w:rPr>
          <w:szCs w:val="21"/>
        </w:rPr>
      </w:pPr>
      <w:r>
        <w:rPr>
          <w:szCs w:val="21"/>
        </w:rPr>
        <w:t>承包人</w:t>
      </w:r>
      <w:r>
        <w:rPr>
          <w:rFonts w:hint="eastAsia"/>
          <w:szCs w:val="21"/>
        </w:rPr>
        <w:t>现场管理关键</w:t>
      </w:r>
      <w:r>
        <w:rPr>
          <w:szCs w:val="21"/>
        </w:rPr>
        <w:t>人员离开施工现场的批准要求</w:t>
      </w:r>
      <w:r>
        <w:rPr>
          <w:rFonts w:hint="eastAsia"/>
          <w:szCs w:val="21"/>
        </w:rPr>
        <w:t>：</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承包人现场管理关键人员擅自离开施工现场的违约责任：</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4.5 </w:t>
      </w:r>
      <w:r>
        <w:rPr>
          <w:rFonts w:hint="eastAsia"/>
          <w:szCs w:val="21"/>
        </w:rPr>
        <w:t>分包</w:t>
      </w:r>
    </w:p>
    <w:p>
      <w:pPr>
        <w:snapToGrid w:val="0"/>
        <w:spacing w:line="360" w:lineRule="auto"/>
        <w:ind w:firstLine="420"/>
        <w:rPr>
          <w:szCs w:val="21"/>
        </w:rPr>
      </w:pPr>
      <w:r>
        <w:rPr>
          <w:szCs w:val="21"/>
        </w:rPr>
        <w:t xml:space="preserve">4.5.1 </w:t>
      </w:r>
      <w:r>
        <w:rPr>
          <w:rFonts w:hint="eastAsia"/>
          <w:szCs w:val="21"/>
        </w:rPr>
        <w:t>一般约定</w:t>
      </w:r>
    </w:p>
    <w:p>
      <w:pPr>
        <w:snapToGrid w:val="0"/>
        <w:spacing w:line="360" w:lineRule="auto"/>
        <w:ind w:firstLine="420"/>
        <w:rPr>
          <w:szCs w:val="21"/>
        </w:rPr>
      </w:pPr>
      <w:r>
        <w:rPr>
          <w:szCs w:val="21"/>
        </w:rPr>
        <w:t>禁止分包的工程包括：</w:t>
      </w:r>
      <w:r>
        <w:rPr>
          <w:szCs w:val="21"/>
          <w:u w:val="single"/>
        </w:rPr>
        <w:t xml:space="preserve">                               </w:t>
      </w:r>
      <w:r>
        <w:rPr>
          <w:szCs w:val="21"/>
        </w:rPr>
        <w:t>。</w:t>
      </w:r>
    </w:p>
    <w:p>
      <w:pPr>
        <w:snapToGrid w:val="0"/>
        <w:spacing w:line="360" w:lineRule="auto"/>
        <w:ind w:firstLine="420"/>
        <w:rPr>
          <w:szCs w:val="21"/>
        </w:rPr>
      </w:pPr>
      <w:r>
        <w:rPr>
          <w:szCs w:val="21"/>
        </w:rPr>
        <w:t xml:space="preserve">4.5.2 </w:t>
      </w:r>
      <w:r>
        <w:rPr>
          <w:rFonts w:hint="eastAsia"/>
          <w:szCs w:val="21"/>
        </w:rPr>
        <w:t>分包的确定</w:t>
      </w:r>
    </w:p>
    <w:p>
      <w:pPr>
        <w:snapToGrid w:val="0"/>
        <w:spacing w:line="360" w:lineRule="auto"/>
        <w:ind w:firstLine="420"/>
        <w:rPr>
          <w:szCs w:val="21"/>
        </w:rPr>
      </w:pPr>
      <w:r>
        <w:rPr>
          <w:szCs w:val="21"/>
        </w:rPr>
        <w:t>允许分包的工程包括：</w:t>
      </w:r>
      <w:r>
        <w:rPr>
          <w:szCs w:val="21"/>
          <w:u w:val="single"/>
        </w:rPr>
        <w:t xml:space="preserve">                              </w:t>
      </w:r>
      <w:r>
        <w:rPr>
          <w:szCs w:val="21"/>
        </w:rPr>
        <w:t>。</w:t>
      </w:r>
    </w:p>
    <w:p>
      <w:pPr>
        <w:snapToGrid w:val="0"/>
        <w:spacing w:line="360" w:lineRule="auto"/>
        <w:ind w:firstLine="420"/>
        <w:rPr>
          <w:szCs w:val="21"/>
        </w:rPr>
      </w:pPr>
      <w:r>
        <w:rPr>
          <w:szCs w:val="21"/>
        </w:rPr>
        <w:t>其他关于分包的约定：</w:t>
      </w:r>
      <w:r>
        <w:rPr>
          <w:szCs w:val="21"/>
          <w:u w:val="single"/>
        </w:rPr>
        <w:t xml:space="preserve">                               </w:t>
      </w:r>
      <w:r>
        <w:rPr>
          <w:szCs w:val="21"/>
        </w:rPr>
        <w:t>。</w:t>
      </w:r>
    </w:p>
    <w:p>
      <w:pPr>
        <w:snapToGrid w:val="0"/>
        <w:spacing w:line="360" w:lineRule="auto"/>
        <w:ind w:firstLine="420"/>
        <w:rPr>
          <w:szCs w:val="21"/>
        </w:rPr>
      </w:pPr>
      <w:r>
        <w:rPr>
          <w:szCs w:val="21"/>
        </w:rPr>
        <w:t xml:space="preserve">4.5.5 </w:t>
      </w:r>
      <w:r>
        <w:rPr>
          <w:rFonts w:hint="eastAsia"/>
          <w:szCs w:val="21"/>
        </w:rPr>
        <w:t>分包合同价款支付</w:t>
      </w:r>
    </w:p>
    <w:p>
      <w:pPr>
        <w:snapToGrid w:val="0"/>
        <w:spacing w:line="360" w:lineRule="auto"/>
        <w:ind w:firstLine="420"/>
        <w:rPr>
          <w:szCs w:val="21"/>
        </w:rPr>
      </w:pPr>
      <w:r>
        <w:rPr>
          <w:rFonts w:hint="eastAsia"/>
          <w:szCs w:val="21"/>
        </w:rPr>
        <w:t>关于分包合同价款支付的约定：</w:t>
      </w:r>
      <w:r>
        <w:rPr>
          <w:szCs w:val="21"/>
          <w:u w:val="single"/>
        </w:rPr>
        <w:t xml:space="preserve">                      </w:t>
      </w:r>
      <w:r>
        <w:rPr>
          <w:szCs w:val="21"/>
        </w:rPr>
        <w:t>。</w:t>
      </w:r>
    </w:p>
    <w:p>
      <w:pPr>
        <w:snapToGrid w:val="0"/>
        <w:spacing w:line="360" w:lineRule="auto"/>
        <w:ind w:firstLine="420"/>
        <w:rPr>
          <w:szCs w:val="21"/>
        </w:rPr>
      </w:pPr>
      <w:r>
        <w:rPr>
          <w:szCs w:val="21"/>
        </w:rPr>
        <w:t xml:space="preserve">4.6 </w:t>
      </w:r>
      <w:r>
        <w:rPr>
          <w:rFonts w:hint="eastAsia"/>
          <w:szCs w:val="21"/>
        </w:rPr>
        <w:t>联合体</w:t>
      </w:r>
    </w:p>
    <w:p>
      <w:pPr>
        <w:snapToGrid w:val="0"/>
        <w:spacing w:line="360" w:lineRule="auto"/>
        <w:ind w:firstLine="420"/>
        <w:rPr>
          <w:szCs w:val="21"/>
        </w:rPr>
      </w:pPr>
      <w:r>
        <w:rPr>
          <w:rFonts w:hint="eastAsia"/>
          <w:szCs w:val="21"/>
        </w:rPr>
        <w:t>4</w:t>
      </w:r>
      <w:r>
        <w:rPr>
          <w:szCs w:val="21"/>
        </w:rPr>
        <w:t xml:space="preserve">.6.2 </w:t>
      </w:r>
      <w:r>
        <w:rPr>
          <w:rFonts w:hint="eastAsia"/>
          <w:szCs w:val="21"/>
        </w:rPr>
        <w:t>联合体各成员的分工、费用收取、发票开具等事项：</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4.7 </w:t>
      </w:r>
      <w:r>
        <w:rPr>
          <w:rFonts w:hint="eastAsia"/>
          <w:szCs w:val="21"/>
        </w:rPr>
        <w:t>承包人现场查勘</w:t>
      </w:r>
    </w:p>
    <w:p>
      <w:pPr>
        <w:snapToGrid w:val="0"/>
        <w:spacing w:line="360" w:lineRule="auto"/>
        <w:ind w:firstLine="420"/>
        <w:rPr>
          <w:szCs w:val="21"/>
        </w:rPr>
      </w:pPr>
      <w:r>
        <w:rPr>
          <w:rFonts w:hint="eastAsia"/>
          <w:szCs w:val="21"/>
        </w:rPr>
        <w:t>4</w:t>
      </w:r>
      <w:r>
        <w:rPr>
          <w:szCs w:val="21"/>
        </w:rPr>
        <w:t xml:space="preserve">.7.1 </w:t>
      </w:r>
      <w:r>
        <w:rPr>
          <w:rFonts w:hint="eastAsia"/>
          <w:szCs w:val="21"/>
        </w:rPr>
        <w:t>双方当事人对现场查勘的责任承担的约定：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4.8 </w:t>
      </w:r>
      <w:r>
        <w:rPr>
          <w:rFonts w:hint="eastAsia"/>
          <w:szCs w:val="21"/>
        </w:rPr>
        <w:t>不可预见的困难</w:t>
      </w:r>
    </w:p>
    <w:p>
      <w:pPr>
        <w:snapToGrid w:val="0"/>
        <w:spacing w:line="360" w:lineRule="auto"/>
        <w:ind w:firstLine="420"/>
        <w:rPr>
          <w:szCs w:val="21"/>
        </w:rPr>
      </w:pPr>
      <w:r>
        <w:rPr>
          <w:rFonts w:hint="eastAsia"/>
          <w:szCs w:val="21"/>
        </w:rPr>
        <w:t>不可预见的困难包括：</w:t>
      </w:r>
      <w:r>
        <w:rPr>
          <w:szCs w:val="21"/>
          <w:u w:val="single"/>
        </w:rPr>
        <w:t xml:space="preserve">                              </w:t>
      </w:r>
      <w:r>
        <w:rPr>
          <w:szCs w:val="21"/>
        </w:rPr>
        <w:t>。</w:t>
      </w:r>
    </w:p>
    <w:p>
      <w:pPr>
        <w:spacing w:line="300" w:lineRule="auto"/>
        <w:ind w:left="630" w:hanging="630" w:hangingChars="300"/>
        <w:rPr>
          <w:szCs w:val="21"/>
        </w:rPr>
      </w:pPr>
      <w:r>
        <w:rPr>
          <w:rFonts w:hint="eastAsia"/>
          <w:szCs w:val="21"/>
        </w:rPr>
        <w:t>第</w:t>
      </w:r>
      <w:r>
        <w:rPr>
          <w:szCs w:val="21"/>
        </w:rPr>
        <w:t>5条</w:t>
      </w:r>
      <w:r>
        <w:rPr>
          <w:rFonts w:hint="eastAsia"/>
          <w:szCs w:val="21"/>
        </w:rPr>
        <w:t xml:space="preserve"> 设计</w:t>
      </w:r>
    </w:p>
    <w:p>
      <w:pPr>
        <w:snapToGrid w:val="0"/>
        <w:spacing w:line="360" w:lineRule="auto"/>
        <w:ind w:firstLine="420"/>
        <w:rPr>
          <w:szCs w:val="21"/>
        </w:rPr>
      </w:pPr>
      <w:r>
        <w:rPr>
          <w:szCs w:val="21"/>
        </w:rPr>
        <w:t xml:space="preserve">5.2 </w:t>
      </w:r>
      <w:r>
        <w:rPr>
          <w:rFonts w:hint="eastAsia"/>
          <w:szCs w:val="21"/>
        </w:rPr>
        <w:t>承包人文件审查</w:t>
      </w:r>
    </w:p>
    <w:p>
      <w:pPr>
        <w:snapToGrid w:val="0"/>
        <w:spacing w:line="360" w:lineRule="auto"/>
        <w:ind w:firstLine="420"/>
        <w:rPr>
          <w:szCs w:val="21"/>
        </w:rPr>
      </w:pPr>
      <w:r>
        <w:rPr>
          <w:rFonts w:hint="eastAsia"/>
          <w:szCs w:val="21"/>
        </w:rPr>
        <w:t>5</w:t>
      </w:r>
      <w:r>
        <w:rPr>
          <w:szCs w:val="21"/>
        </w:rPr>
        <w:t xml:space="preserve">.2.1 </w:t>
      </w:r>
      <w:r>
        <w:rPr>
          <w:rFonts w:hint="eastAsia"/>
          <w:szCs w:val="21"/>
        </w:rPr>
        <w:t>承包人文件审查的期限：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5.2.2 </w:t>
      </w:r>
      <w:r>
        <w:rPr>
          <w:rFonts w:hint="eastAsia"/>
          <w:szCs w:val="21"/>
        </w:rPr>
        <w:t>审查会议的审查形式和时间安排为：</w:t>
      </w:r>
      <w:r>
        <w:rPr>
          <w:szCs w:val="21"/>
          <w:u w:val="single"/>
        </w:rPr>
        <w:t xml:space="preserve">            </w:t>
      </w:r>
      <w:r>
        <w:rPr>
          <w:rFonts w:hint="eastAsia"/>
          <w:szCs w:val="21"/>
        </w:rPr>
        <w:t>，审查会议的相关费用由</w:t>
      </w:r>
      <w:r>
        <w:rPr>
          <w:szCs w:val="21"/>
          <w:u w:val="single"/>
        </w:rPr>
        <w:t xml:space="preserve">                  </w:t>
      </w:r>
      <w:r>
        <w:rPr>
          <w:rFonts w:hint="eastAsia"/>
          <w:szCs w:val="21"/>
        </w:rPr>
        <w:t>承担。</w:t>
      </w:r>
    </w:p>
    <w:p>
      <w:pPr>
        <w:snapToGrid w:val="0"/>
        <w:spacing w:line="360" w:lineRule="auto"/>
        <w:ind w:firstLine="420"/>
        <w:rPr>
          <w:szCs w:val="21"/>
        </w:rPr>
      </w:pPr>
      <w:r>
        <w:rPr>
          <w:rFonts w:hint="eastAsia"/>
          <w:szCs w:val="21"/>
        </w:rPr>
        <w:t>5</w:t>
      </w:r>
      <w:r>
        <w:rPr>
          <w:szCs w:val="21"/>
        </w:rPr>
        <w:t xml:space="preserve">.2.3 </w:t>
      </w:r>
      <w:r>
        <w:rPr>
          <w:rFonts w:hint="eastAsia"/>
          <w:szCs w:val="21"/>
        </w:rPr>
        <w:t>关于第三方审查单位的约定：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5.3 </w:t>
      </w:r>
      <w:r>
        <w:rPr>
          <w:rFonts w:hint="eastAsia"/>
          <w:szCs w:val="21"/>
        </w:rPr>
        <w:t>培训</w:t>
      </w:r>
    </w:p>
    <w:p>
      <w:pPr>
        <w:snapToGrid w:val="0"/>
        <w:spacing w:line="360" w:lineRule="auto"/>
        <w:ind w:firstLine="420"/>
        <w:rPr>
          <w:szCs w:val="21"/>
        </w:rPr>
      </w:pPr>
      <w:r>
        <w:rPr>
          <w:rFonts w:hint="eastAsia"/>
          <w:szCs w:val="21"/>
        </w:rPr>
        <w:t>培训的时长为</w:t>
      </w:r>
      <w:r>
        <w:rPr>
          <w:szCs w:val="21"/>
          <w:u w:val="single"/>
        </w:rPr>
        <w:t xml:space="preserve">             </w:t>
      </w:r>
      <w:r>
        <w:rPr>
          <w:rFonts w:hint="eastAsia"/>
          <w:szCs w:val="21"/>
        </w:rPr>
        <w:t>，承包人应为培训提供的人员、设施和其它必要条件为</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5.4 </w:t>
      </w:r>
      <w:r>
        <w:rPr>
          <w:rFonts w:hint="eastAsia"/>
          <w:szCs w:val="21"/>
        </w:rPr>
        <w:t>竣工文件</w:t>
      </w:r>
    </w:p>
    <w:p>
      <w:pPr>
        <w:snapToGrid w:val="0"/>
        <w:spacing w:line="360" w:lineRule="auto"/>
        <w:ind w:firstLine="420"/>
        <w:rPr>
          <w:szCs w:val="21"/>
        </w:rPr>
      </w:pPr>
      <w:r>
        <w:rPr>
          <w:szCs w:val="21"/>
        </w:rPr>
        <w:t xml:space="preserve">5.4.1 </w:t>
      </w:r>
      <w:r>
        <w:rPr>
          <w:rFonts w:hint="eastAsia"/>
          <w:szCs w:val="21"/>
        </w:rPr>
        <w:t>竣工文件的形式、提供的份数、技术标准以及其它相关要求：</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5</w:t>
      </w:r>
      <w:r>
        <w:rPr>
          <w:szCs w:val="21"/>
        </w:rPr>
        <w:t xml:space="preserve">.4.3 </w:t>
      </w:r>
      <w:r>
        <w:rPr>
          <w:rFonts w:hint="eastAsia"/>
          <w:szCs w:val="21"/>
        </w:rPr>
        <w:t>关于竣工文件的其他约定：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5.5 </w:t>
      </w:r>
      <w:r>
        <w:rPr>
          <w:rFonts w:hint="eastAsia"/>
          <w:szCs w:val="21"/>
        </w:rPr>
        <w:t>操作和维修手册</w:t>
      </w:r>
    </w:p>
    <w:p>
      <w:pPr>
        <w:snapToGrid w:val="0"/>
        <w:spacing w:line="360" w:lineRule="auto"/>
        <w:ind w:firstLine="420"/>
        <w:rPr>
          <w:szCs w:val="21"/>
        </w:rPr>
      </w:pPr>
      <w:r>
        <w:rPr>
          <w:szCs w:val="21"/>
        </w:rPr>
        <w:t xml:space="preserve">5.5.3 </w:t>
      </w:r>
      <w:r>
        <w:rPr>
          <w:rFonts w:hint="eastAsia"/>
          <w:szCs w:val="21"/>
        </w:rPr>
        <w:t>对最终操作和维修手册的约定：</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6条</w:t>
      </w:r>
      <w:r>
        <w:rPr>
          <w:rFonts w:hint="eastAsia"/>
          <w:szCs w:val="21"/>
        </w:rPr>
        <w:t xml:space="preserve"> 材料、工程设备</w:t>
      </w:r>
    </w:p>
    <w:p>
      <w:pPr>
        <w:snapToGrid w:val="0"/>
        <w:spacing w:line="360" w:lineRule="auto"/>
        <w:ind w:firstLine="420"/>
        <w:rPr>
          <w:szCs w:val="21"/>
        </w:rPr>
      </w:pPr>
      <w:r>
        <w:rPr>
          <w:szCs w:val="21"/>
        </w:rPr>
        <w:t xml:space="preserve">6.1 </w:t>
      </w:r>
      <w:r>
        <w:rPr>
          <w:rFonts w:hint="eastAsia"/>
          <w:szCs w:val="21"/>
        </w:rPr>
        <w:t>实施方法</w:t>
      </w:r>
    </w:p>
    <w:p>
      <w:pPr>
        <w:snapToGrid w:val="0"/>
        <w:spacing w:line="360" w:lineRule="auto"/>
        <w:ind w:firstLine="420"/>
        <w:rPr>
          <w:szCs w:val="21"/>
        </w:rPr>
      </w:pPr>
      <w:r>
        <w:rPr>
          <w:rFonts w:hint="eastAsia"/>
          <w:szCs w:val="21"/>
        </w:rPr>
        <w:t>双方当事人约定的实施方法、设备、设施和材料：</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6.2 </w:t>
      </w:r>
      <w:r>
        <w:rPr>
          <w:rFonts w:hint="eastAsia"/>
          <w:szCs w:val="21"/>
        </w:rPr>
        <w:t>材料和工程设备</w:t>
      </w:r>
    </w:p>
    <w:p>
      <w:pPr>
        <w:snapToGrid w:val="0"/>
        <w:spacing w:line="360" w:lineRule="auto"/>
        <w:ind w:firstLine="420"/>
        <w:rPr>
          <w:szCs w:val="21"/>
        </w:rPr>
      </w:pPr>
      <w:r>
        <w:rPr>
          <w:szCs w:val="21"/>
        </w:rPr>
        <w:t xml:space="preserve">6.2.1 </w:t>
      </w:r>
      <w:r>
        <w:rPr>
          <w:rFonts w:hint="eastAsia"/>
          <w:szCs w:val="21"/>
        </w:rPr>
        <w:t>发包人提供的材料和工程设备</w:t>
      </w:r>
    </w:p>
    <w:p>
      <w:pPr>
        <w:snapToGrid w:val="0"/>
        <w:spacing w:line="360" w:lineRule="auto"/>
        <w:ind w:firstLine="420"/>
        <w:rPr>
          <w:szCs w:val="21"/>
        </w:rPr>
      </w:pPr>
      <w:r>
        <w:rPr>
          <w:rFonts w:hint="eastAsia"/>
          <w:szCs w:val="21"/>
        </w:rPr>
        <w:t>发包人提供的材料和工程设备验收后，由</w:t>
      </w:r>
      <w:r>
        <w:rPr>
          <w:szCs w:val="21"/>
          <w:u w:val="single"/>
        </w:rPr>
        <w:t xml:space="preserve">           </w:t>
      </w:r>
      <w:r>
        <w:rPr>
          <w:rFonts w:hint="eastAsia"/>
          <w:szCs w:val="21"/>
        </w:rPr>
        <w:t>负责接收、运输和保管。</w:t>
      </w:r>
    </w:p>
    <w:p>
      <w:pPr>
        <w:snapToGrid w:val="0"/>
        <w:spacing w:line="360" w:lineRule="auto"/>
        <w:ind w:firstLine="420"/>
        <w:rPr>
          <w:szCs w:val="21"/>
        </w:rPr>
      </w:pPr>
      <w:r>
        <w:rPr>
          <w:szCs w:val="21"/>
        </w:rPr>
        <w:t xml:space="preserve">6.2.2 </w:t>
      </w:r>
      <w:r>
        <w:rPr>
          <w:rFonts w:hint="eastAsia"/>
          <w:szCs w:val="21"/>
        </w:rPr>
        <w:t>承包人提供的材料和工程设备</w:t>
      </w:r>
    </w:p>
    <w:p>
      <w:pPr>
        <w:snapToGrid w:val="0"/>
        <w:spacing w:line="360" w:lineRule="auto"/>
        <w:ind w:firstLine="420"/>
        <w:rPr>
          <w:szCs w:val="21"/>
        </w:rPr>
      </w:pPr>
      <w:r>
        <w:rPr>
          <w:rFonts w:hint="eastAsia"/>
          <w:szCs w:val="21"/>
        </w:rPr>
        <w:t>材料和工程设备的类别、估算数量：</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竣工后试验的生产性材料的类别或（和）清单：</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6.2.3 </w:t>
      </w:r>
      <w:r>
        <w:rPr>
          <w:rFonts w:hint="eastAsia"/>
          <w:szCs w:val="21"/>
        </w:rPr>
        <w:t>材料和工程设备的保管</w:t>
      </w:r>
    </w:p>
    <w:p>
      <w:pPr>
        <w:snapToGrid w:val="0"/>
        <w:spacing w:line="360" w:lineRule="auto"/>
        <w:ind w:firstLine="420"/>
        <w:rPr>
          <w:szCs w:val="21"/>
        </w:rPr>
      </w:pPr>
      <w:r>
        <w:rPr>
          <w:rFonts w:hint="eastAsia"/>
          <w:szCs w:val="21"/>
        </w:rPr>
        <w:t>发包人供应的材料和工程设备的保管费用由</w:t>
      </w:r>
      <w:r>
        <w:rPr>
          <w:szCs w:val="21"/>
          <w:u w:val="single"/>
        </w:rPr>
        <w:t xml:space="preserve">        </w:t>
      </w:r>
      <w:r>
        <w:rPr>
          <w:rFonts w:hint="eastAsia"/>
          <w:szCs w:val="21"/>
        </w:rPr>
        <w:t>承担。</w:t>
      </w:r>
    </w:p>
    <w:p>
      <w:pPr>
        <w:snapToGrid w:val="0"/>
        <w:spacing w:line="360" w:lineRule="auto"/>
        <w:ind w:firstLine="420"/>
        <w:rPr>
          <w:szCs w:val="21"/>
        </w:rPr>
      </w:pPr>
      <w:r>
        <w:rPr>
          <w:rFonts w:hint="eastAsia"/>
          <w:szCs w:val="21"/>
        </w:rPr>
        <w:t>承包人提交保管、维护方案的时间：</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发包人提供的库房、堆场、设施和设备：</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6.3 </w:t>
      </w:r>
      <w:r>
        <w:rPr>
          <w:rFonts w:hint="eastAsia"/>
          <w:szCs w:val="21"/>
        </w:rPr>
        <w:t>样品</w:t>
      </w:r>
    </w:p>
    <w:p>
      <w:pPr>
        <w:snapToGrid w:val="0"/>
        <w:spacing w:line="360" w:lineRule="auto"/>
        <w:ind w:firstLine="420"/>
        <w:rPr>
          <w:szCs w:val="21"/>
        </w:rPr>
      </w:pPr>
      <w:r>
        <w:rPr>
          <w:rFonts w:hint="eastAsia"/>
          <w:szCs w:val="21"/>
        </w:rPr>
        <w:t>6</w:t>
      </w:r>
      <w:r>
        <w:rPr>
          <w:szCs w:val="21"/>
        </w:rPr>
        <w:t xml:space="preserve">.3.1 </w:t>
      </w:r>
      <w:r>
        <w:rPr>
          <w:rFonts w:hint="eastAsia"/>
          <w:szCs w:val="21"/>
        </w:rPr>
        <w:t>样品的报送与封存</w:t>
      </w:r>
    </w:p>
    <w:p>
      <w:pPr>
        <w:snapToGrid w:val="0"/>
        <w:spacing w:line="360" w:lineRule="auto"/>
        <w:ind w:firstLine="420"/>
        <w:rPr>
          <w:szCs w:val="21"/>
        </w:rPr>
      </w:pPr>
      <w:r>
        <w:rPr>
          <w:szCs w:val="21"/>
        </w:rPr>
        <w:t>需要承包人报送样品的材料或工程设备</w:t>
      </w:r>
      <w:r>
        <w:rPr>
          <w:rFonts w:hint="eastAsia"/>
          <w:szCs w:val="21"/>
        </w:rPr>
        <w:t>，样品种类、名称、规格、数量：</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6.4 </w:t>
      </w:r>
      <w:r>
        <w:rPr>
          <w:rFonts w:hint="eastAsia"/>
          <w:szCs w:val="21"/>
        </w:rPr>
        <w:t>质量检查</w:t>
      </w:r>
    </w:p>
    <w:p>
      <w:pPr>
        <w:snapToGrid w:val="0"/>
        <w:spacing w:line="360" w:lineRule="auto"/>
        <w:ind w:firstLine="420"/>
        <w:rPr>
          <w:szCs w:val="21"/>
        </w:rPr>
      </w:pPr>
      <w:r>
        <w:rPr>
          <w:szCs w:val="21"/>
        </w:rPr>
        <w:t xml:space="preserve">6.4.1 </w:t>
      </w:r>
      <w:r>
        <w:rPr>
          <w:rFonts w:hint="eastAsia"/>
          <w:szCs w:val="21"/>
        </w:rPr>
        <w:t>工程质量要求</w:t>
      </w:r>
    </w:p>
    <w:p>
      <w:pPr>
        <w:snapToGrid w:val="0"/>
        <w:spacing w:line="360" w:lineRule="auto"/>
        <w:ind w:firstLine="420"/>
        <w:rPr>
          <w:szCs w:val="21"/>
        </w:rPr>
      </w:pPr>
      <w:r>
        <w:rPr>
          <w:rFonts w:hint="eastAsia"/>
          <w:szCs w:val="21"/>
        </w:rPr>
        <w:t>工程质量的特殊标准或要求：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6.4.2 </w:t>
      </w:r>
      <w:r>
        <w:rPr>
          <w:rFonts w:hint="eastAsia"/>
          <w:szCs w:val="21"/>
        </w:rPr>
        <w:t>质量检查</w:t>
      </w:r>
    </w:p>
    <w:p>
      <w:pPr>
        <w:snapToGrid w:val="0"/>
        <w:spacing w:line="360" w:lineRule="auto"/>
        <w:ind w:firstLine="420"/>
        <w:rPr>
          <w:szCs w:val="21"/>
        </w:rPr>
      </w:pPr>
      <w:r>
        <w:rPr>
          <w:rFonts w:hint="eastAsia"/>
          <w:szCs w:val="21"/>
        </w:rPr>
        <w:t>除通用合同条件已列明的质量检查的地点外，发包人有权进行质量检查的其他地点：</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6.4.3 </w:t>
      </w:r>
      <w:r>
        <w:rPr>
          <w:rFonts w:hint="eastAsia"/>
          <w:szCs w:val="21"/>
        </w:rPr>
        <w:t>隐蔽工程检查</w:t>
      </w:r>
    </w:p>
    <w:p>
      <w:pPr>
        <w:snapToGrid w:val="0"/>
        <w:spacing w:line="360" w:lineRule="auto"/>
        <w:ind w:firstLine="420"/>
        <w:rPr>
          <w:szCs w:val="21"/>
        </w:rPr>
      </w:pPr>
      <w:r>
        <w:rPr>
          <w:rFonts w:hint="eastAsia"/>
          <w:szCs w:val="21"/>
        </w:rPr>
        <w:t>关于隐蔽工程和中间验收的特别约定：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6.5 </w:t>
      </w:r>
      <w:r>
        <w:rPr>
          <w:rFonts w:hint="eastAsia"/>
          <w:szCs w:val="21"/>
        </w:rPr>
        <w:t>由承包人试验和检验</w:t>
      </w:r>
    </w:p>
    <w:p>
      <w:pPr>
        <w:snapToGrid w:val="0"/>
        <w:spacing w:line="360" w:lineRule="auto"/>
        <w:ind w:firstLine="420"/>
        <w:rPr>
          <w:szCs w:val="21"/>
        </w:rPr>
      </w:pPr>
      <w:r>
        <w:rPr>
          <w:rFonts w:hint="eastAsia"/>
          <w:szCs w:val="21"/>
        </w:rPr>
        <w:t>6</w:t>
      </w:r>
      <w:r>
        <w:rPr>
          <w:szCs w:val="21"/>
        </w:rPr>
        <w:t xml:space="preserve">.5.1 </w:t>
      </w:r>
      <w:r>
        <w:rPr>
          <w:rFonts w:hint="eastAsia"/>
          <w:szCs w:val="21"/>
        </w:rPr>
        <w:t>试验设备与试验人员</w:t>
      </w:r>
    </w:p>
    <w:p>
      <w:pPr>
        <w:snapToGrid w:val="0"/>
        <w:spacing w:line="360" w:lineRule="auto"/>
        <w:ind w:firstLine="420"/>
        <w:rPr>
          <w:szCs w:val="21"/>
        </w:rPr>
      </w:pPr>
      <w:r>
        <w:rPr>
          <w:rFonts w:hint="eastAsia"/>
          <w:szCs w:val="21"/>
        </w:rPr>
        <w:t>试验的内容、时间和地点：</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试验所需要的试验设备、取样装置、试验场所和试验条件：</w:t>
      </w:r>
      <w:r>
        <w:rPr>
          <w:szCs w:val="21"/>
          <w:u w:val="single"/>
        </w:rPr>
        <w:t xml:space="preserve">                  </w:t>
      </w:r>
      <w:r>
        <w:rPr>
          <w:rFonts w:hint="eastAsia"/>
          <w:szCs w:val="21"/>
        </w:rPr>
        <w:t>。</w:t>
      </w:r>
    </w:p>
    <w:p>
      <w:pPr>
        <w:snapToGrid w:val="0"/>
        <w:spacing w:line="360" w:lineRule="auto"/>
        <w:ind w:firstLine="420"/>
        <w:rPr>
          <w:szCs w:val="21"/>
          <w:u w:val="single"/>
        </w:rPr>
      </w:pPr>
      <w:r>
        <w:rPr>
          <w:rFonts w:hint="eastAsia"/>
          <w:szCs w:val="21"/>
        </w:rPr>
        <w:t>试验和检验费用的计价原则：</w:t>
      </w:r>
      <w:r>
        <w:rPr>
          <w:rFonts w:hint="eastAsia"/>
          <w:szCs w:val="21"/>
          <w:u w:val="single"/>
        </w:rPr>
        <w:t xml:space="preserve"> </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7条</w:t>
      </w:r>
      <w:r>
        <w:rPr>
          <w:rFonts w:hint="eastAsia"/>
          <w:szCs w:val="21"/>
        </w:rPr>
        <w:t xml:space="preserve"> 施工</w:t>
      </w:r>
    </w:p>
    <w:p>
      <w:pPr>
        <w:snapToGrid w:val="0"/>
        <w:spacing w:line="360" w:lineRule="auto"/>
        <w:ind w:firstLine="420"/>
        <w:rPr>
          <w:szCs w:val="21"/>
        </w:rPr>
      </w:pPr>
      <w:r>
        <w:rPr>
          <w:szCs w:val="21"/>
        </w:rPr>
        <w:t xml:space="preserve">7.1 </w:t>
      </w:r>
      <w:r>
        <w:rPr>
          <w:rFonts w:hint="eastAsia"/>
          <w:szCs w:val="21"/>
        </w:rPr>
        <w:t>交通运输</w:t>
      </w:r>
    </w:p>
    <w:p>
      <w:pPr>
        <w:snapToGrid w:val="0"/>
        <w:spacing w:line="360" w:lineRule="auto"/>
        <w:ind w:firstLine="420"/>
        <w:rPr>
          <w:szCs w:val="21"/>
        </w:rPr>
      </w:pPr>
      <w:r>
        <w:rPr>
          <w:szCs w:val="21"/>
        </w:rPr>
        <w:t xml:space="preserve">7.1.1 </w:t>
      </w:r>
      <w:r>
        <w:rPr>
          <w:rFonts w:hint="eastAsia"/>
          <w:szCs w:val="21"/>
        </w:rPr>
        <w:t>出入现场的权利</w:t>
      </w:r>
    </w:p>
    <w:p>
      <w:pPr>
        <w:snapToGrid w:val="0"/>
        <w:spacing w:line="360" w:lineRule="auto"/>
        <w:ind w:firstLine="420"/>
        <w:rPr>
          <w:szCs w:val="21"/>
        </w:rPr>
      </w:pPr>
      <w:r>
        <w:rPr>
          <w:rFonts w:hint="eastAsia"/>
          <w:szCs w:val="21"/>
        </w:rPr>
        <w:t>关于出入现场的权利的约定：</w:t>
      </w:r>
      <w:r>
        <w:rPr>
          <w:szCs w:val="21"/>
          <w:u w:val="single"/>
        </w:rPr>
        <w:t xml:space="preserve">                         </w:t>
      </w:r>
      <w:r>
        <w:rPr>
          <w:szCs w:val="21"/>
        </w:rPr>
        <w:t>。</w:t>
      </w:r>
    </w:p>
    <w:p>
      <w:pPr>
        <w:snapToGrid w:val="0"/>
        <w:spacing w:line="360" w:lineRule="auto"/>
        <w:ind w:firstLine="420"/>
        <w:rPr>
          <w:szCs w:val="21"/>
        </w:rPr>
      </w:pPr>
      <w:r>
        <w:rPr>
          <w:szCs w:val="21"/>
        </w:rPr>
        <w:t xml:space="preserve">7.1.2 </w:t>
      </w:r>
      <w:r>
        <w:rPr>
          <w:rFonts w:hint="eastAsia"/>
          <w:szCs w:val="21"/>
        </w:rPr>
        <w:t>场外交通</w:t>
      </w:r>
    </w:p>
    <w:p>
      <w:pPr>
        <w:snapToGrid w:val="0"/>
        <w:spacing w:line="360" w:lineRule="auto"/>
        <w:ind w:firstLine="420"/>
        <w:rPr>
          <w:szCs w:val="21"/>
        </w:rPr>
      </w:pPr>
      <w:r>
        <w:rPr>
          <w:rFonts w:hint="eastAsia"/>
          <w:szCs w:val="21"/>
        </w:rPr>
        <w:t>关于场外交通的特别约定：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7.1.3 </w:t>
      </w:r>
      <w:r>
        <w:rPr>
          <w:rFonts w:hint="eastAsia"/>
          <w:szCs w:val="21"/>
        </w:rPr>
        <w:t>场内交通</w:t>
      </w:r>
    </w:p>
    <w:p>
      <w:pPr>
        <w:snapToGrid w:val="0"/>
        <w:spacing w:line="360" w:lineRule="auto"/>
        <w:ind w:firstLine="420"/>
        <w:rPr>
          <w:szCs w:val="21"/>
        </w:rPr>
      </w:pPr>
      <w:r>
        <w:rPr>
          <w:rFonts w:hint="eastAsia"/>
          <w:szCs w:val="21"/>
        </w:rPr>
        <w:t>关于场内交通的特别约定：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关于场内交通与场外交通边界的约定：</w:t>
      </w:r>
      <w:r>
        <w:rPr>
          <w:szCs w:val="21"/>
          <w:u w:val="single"/>
        </w:rPr>
        <w:t xml:space="preserve">                 </w:t>
      </w:r>
      <w:r>
        <w:rPr>
          <w:szCs w:val="21"/>
        </w:rPr>
        <w:t>。</w:t>
      </w:r>
    </w:p>
    <w:p>
      <w:pPr>
        <w:snapToGrid w:val="0"/>
        <w:spacing w:line="360" w:lineRule="auto"/>
        <w:ind w:firstLine="420"/>
        <w:rPr>
          <w:szCs w:val="21"/>
        </w:rPr>
      </w:pPr>
      <w:r>
        <w:rPr>
          <w:szCs w:val="21"/>
        </w:rPr>
        <w:t xml:space="preserve">7.1.4 </w:t>
      </w:r>
      <w:r>
        <w:rPr>
          <w:rFonts w:hint="eastAsia"/>
          <w:szCs w:val="21"/>
        </w:rPr>
        <w:t>超大件和超重件的运输</w:t>
      </w:r>
    </w:p>
    <w:p>
      <w:pPr>
        <w:snapToGrid w:val="0"/>
        <w:spacing w:line="360" w:lineRule="auto"/>
        <w:ind w:firstLine="420"/>
        <w:rPr>
          <w:szCs w:val="21"/>
        </w:rPr>
      </w:pPr>
      <w:r>
        <w:rPr>
          <w:rFonts w:hint="eastAsia"/>
          <w:szCs w:val="21"/>
        </w:rPr>
        <w:t>运输超大件或超重件所需的道路和桥梁临时加固改造费用和其他有关费用由</w:t>
      </w:r>
      <w:r>
        <w:rPr>
          <w:szCs w:val="21"/>
          <w:u w:val="single"/>
        </w:rPr>
        <w:t xml:space="preserve">            </w:t>
      </w:r>
      <w:r>
        <w:rPr>
          <w:szCs w:val="21"/>
        </w:rPr>
        <w:t>承担。</w:t>
      </w:r>
    </w:p>
    <w:p>
      <w:pPr>
        <w:snapToGrid w:val="0"/>
        <w:spacing w:line="360" w:lineRule="auto"/>
        <w:ind w:firstLine="420"/>
        <w:rPr>
          <w:szCs w:val="21"/>
        </w:rPr>
      </w:pPr>
      <w:r>
        <w:rPr>
          <w:szCs w:val="21"/>
        </w:rPr>
        <w:t xml:space="preserve">7.2 </w:t>
      </w:r>
      <w:r>
        <w:rPr>
          <w:rFonts w:hint="eastAsia"/>
          <w:szCs w:val="21"/>
        </w:rPr>
        <w:t>施工设备和临时设施</w:t>
      </w:r>
    </w:p>
    <w:p>
      <w:pPr>
        <w:snapToGrid w:val="0"/>
        <w:spacing w:line="360" w:lineRule="auto"/>
        <w:ind w:firstLine="420"/>
        <w:rPr>
          <w:szCs w:val="21"/>
        </w:rPr>
      </w:pPr>
      <w:r>
        <w:rPr>
          <w:szCs w:val="21"/>
        </w:rPr>
        <w:t xml:space="preserve">7.2.1 </w:t>
      </w:r>
      <w:r>
        <w:rPr>
          <w:rFonts w:hint="eastAsia"/>
          <w:szCs w:val="21"/>
        </w:rPr>
        <w:t>承包人提供的施工设备和临时设施</w:t>
      </w:r>
    </w:p>
    <w:p>
      <w:pPr>
        <w:snapToGrid w:val="0"/>
        <w:spacing w:line="360" w:lineRule="auto"/>
        <w:ind w:firstLine="420"/>
        <w:rPr>
          <w:szCs w:val="21"/>
        </w:rPr>
      </w:pPr>
      <w:r>
        <w:rPr>
          <w:rFonts w:hint="eastAsia"/>
          <w:szCs w:val="21"/>
        </w:rPr>
        <w:t>临时设施的费用和临时占地手续和费用承担的特别约定：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7.2.2 </w:t>
      </w:r>
      <w:r>
        <w:rPr>
          <w:rFonts w:hint="eastAsia"/>
          <w:szCs w:val="21"/>
        </w:rPr>
        <w:t>发包人提供的施工设备和临时设施</w:t>
      </w:r>
    </w:p>
    <w:p>
      <w:pPr>
        <w:snapToGrid w:val="0"/>
        <w:spacing w:line="360" w:lineRule="auto"/>
        <w:ind w:firstLine="420"/>
        <w:rPr>
          <w:szCs w:val="21"/>
        </w:rPr>
      </w:pPr>
      <w:r>
        <w:rPr>
          <w:rFonts w:hint="eastAsia"/>
          <w:szCs w:val="21"/>
        </w:rPr>
        <w:t>发包人提供的施工设备或临时设施范围：</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7.3 </w:t>
      </w:r>
      <w:r>
        <w:rPr>
          <w:rFonts w:hint="eastAsia"/>
          <w:szCs w:val="21"/>
        </w:rPr>
        <w:t>现场合作</w:t>
      </w:r>
    </w:p>
    <w:p>
      <w:pPr>
        <w:snapToGrid w:val="0"/>
        <w:spacing w:line="360" w:lineRule="auto"/>
        <w:ind w:firstLine="420"/>
        <w:rPr>
          <w:szCs w:val="21"/>
        </w:rPr>
      </w:pPr>
      <w:r>
        <w:rPr>
          <w:rFonts w:hint="eastAsia"/>
          <w:szCs w:val="21"/>
        </w:rPr>
        <w:t>关于现场合作费用的特别约定：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7.4 </w:t>
      </w:r>
      <w:r>
        <w:rPr>
          <w:rFonts w:hint="eastAsia"/>
          <w:szCs w:val="21"/>
        </w:rPr>
        <w:t>测量放线</w:t>
      </w:r>
    </w:p>
    <w:p>
      <w:pPr>
        <w:snapToGrid w:val="0"/>
        <w:spacing w:line="360" w:lineRule="auto"/>
        <w:ind w:firstLine="420"/>
        <w:rPr>
          <w:szCs w:val="21"/>
        </w:rPr>
      </w:pPr>
      <w:r>
        <w:rPr>
          <w:rFonts w:hint="eastAsia"/>
          <w:szCs w:val="21"/>
        </w:rPr>
        <w:t>7</w:t>
      </w:r>
      <w:r>
        <w:rPr>
          <w:szCs w:val="21"/>
        </w:rPr>
        <w:t xml:space="preserve">.4.1 </w:t>
      </w:r>
      <w:r>
        <w:rPr>
          <w:rFonts w:hint="eastAsia"/>
          <w:szCs w:val="21"/>
        </w:rPr>
        <w:t>关于测量放线的特别约定的技术规范：</w:t>
      </w:r>
      <w:r>
        <w:rPr>
          <w:szCs w:val="21"/>
          <w:u w:val="single"/>
        </w:rPr>
        <w:t xml:space="preserve">                </w:t>
      </w:r>
      <w:r>
        <w:rPr>
          <w:rFonts w:hint="eastAsia"/>
          <w:szCs w:val="21"/>
        </w:rPr>
        <w:t>。施工控制网资料的告知期限：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7.5 </w:t>
      </w:r>
      <w:r>
        <w:rPr>
          <w:rFonts w:hint="eastAsia"/>
          <w:szCs w:val="21"/>
        </w:rPr>
        <w:t>现场劳动用工</w:t>
      </w:r>
    </w:p>
    <w:p>
      <w:pPr>
        <w:snapToGrid w:val="0"/>
        <w:spacing w:line="360" w:lineRule="auto"/>
        <w:ind w:firstLine="420"/>
        <w:rPr>
          <w:szCs w:val="21"/>
        </w:rPr>
      </w:pPr>
      <w:r>
        <w:rPr>
          <w:rFonts w:hint="eastAsia"/>
          <w:szCs w:val="21"/>
        </w:rPr>
        <w:t>7</w:t>
      </w:r>
      <w:r>
        <w:rPr>
          <w:szCs w:val="21"/>
        </w:rPr>
        <w:t xml:space="preserve">.5.2 </w:t>
      </w:r>
      <w:r>
        <w:rPr>
          <w:rFonts w:hint="eastAsia"/>
          <w:szCs w:val="21"/>
        </w:rPr>
        <w:t>合同当事人对建筑工人工资清偿事宜和违约责任的约定：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7.6 </w:t>
      </w:r>
      <w:r>
        <w:rPr>
          <w:rFonts w:hint="eastAsia"/>
          <w:szCs w:val="21"/>
        </w:rPr>
        <w:t>安全文明施工</w:t>
      </w:r>
    </w:p>
    <w:p>
      <w:pPr>
        <w:snapToGrid w:val="0"/>
        <w:spacing w:line="360" w:lineRule="auto"/>
        <w:ind w:firstLine="420"/>
        <w:rPr>
          <w:szCs w:val="21"/>
        </w:rPr>
      </w:pPr>
      <w:r>
        <w:rPr>
          <w:szCs w:val="21"/>
        </w:rPr>
        <w:t xml:space="preserve">7.6.1 </w:t>
      </w:r>
      <w:r>
        <w:rPr>
          <w:rFonts w:hint="eastAsia"/>
          <w:szCs w:val="21"/>
        </w:rPr>
        <w:t>安全生产要求</w:t>
      </w:r>
    </w:p>
    <w:p>
      <w:pPr>
        <w:snapToGrid w:val="0"/>
        <w:spacing w:line="360" w:lineRule="auto"/>
        <w:ind w:left="124" w:leftChars="59" w:firstLine="420"/>
        <w:rPr>
          <w:szCs w:val="21"/>
        </w:rPr>
      </w:pPr>
      <w:r>
        <w:rPr>
          <w:rFonts w:hint="eastAsia"/>
          <w:szCs w:val="21"/>
        </w:rPr>
        <w:t>合同当事人对安全施工的要求：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7.6.3 </w:t>
      </w:r>
      <w:r>
        <w:rPr>
          <w:rFonts w:hint="eastAsia"/>
          <w:szCs w:val="21"/>
        </w:rPr>
        <w:t>文明施工</w:t>
      </w:r>
    </w:p>
    <w:p>
      <w:pPr>
        <w:snapToGrid w:val="0"/>
        <w:spacing w:line="360" w:lineRule="auto"/>
        <w:ind w:firstLine="420"/>
        <w:rPr>
          <w:szCs w:val="21"/>
        </w:rPr>
      </w:pPr>
      <w:r>
        <w:rPr>
          <w:rFonts w:hint="eastAsia"/>
          <w:szCs w:val="21"/>
        </w:rPr>
        <w:t>合同当事人对文明施工的要求：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7.9 </w:t>
      </w:r>
      <w:r>
        <w:rPr>
          <w:rFonts w:hint="eastAsia"/>
          <w:szCs w:val="21"/>
        </w:rPr>
        <w:t>临时性公用设施</w:t>
      </w:r>
    </w:p>
    <w:p>
      <w:pPr>
        <w:snapToGrid w:val="0"/>
        <w:spacing w:line="360" w:lineRule="auto"/>
        <w:ind w:firstLine="420"/>
        <w:rPr>
          <w:szCs w:val="21"/>
        </w:rPr>
      </w:pPr>
      <w:r>
        <w:rPr>
          <w:rFonts w:hint="eastAsia"/>
          <w:szCs w:val="21"/>
        </w:rPr>
        <w:t>关于临时性公用设施的特别约定：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7.10 </w:t>
      </w:r>
      <w:r>
        <w:rPr>
          <w:rFonts w:hint="eastAsia"/>
          <w:szCs w:val="21"/>
        </w:rPr>
        <w:t>现场安保</w:t>
      </w:r>
    </w:p>
    <w:p>
      <w:pPr>
        <w:snapToGrid w:val="0"/>
        <w:spacing w:line="360" w:lineRule="auto"/>
        <w:ind w:firstLine="420"/>
        <w:rPr>
          <w:szCs w:val="21"/>
        </w:rPr>
      </w:pPr>
      <w:r>
        <w:rPr>
          <w:rFonts w:hint="eastAsia"/>
          <w:szCs w:val="21"/>
        </w:rPr>
        <w:t>承包人现场安保义务的特别约定：</w:t>
      </w:r>
      <w:r>
        <w:rPr>
          <w:szCs w:val="21"/>
          <w:u w:val="single"/>
        </w:rPr>
        <w:t xml:space="preserve">                     </w:t>
      </w:r>
      <w:r>
        <w:rPr>
          <w:szCs w:val="21"/>
        </w:rPr>
        <w:t>。</w:t>
      </w:r>
    </w:p>
    <w:p>
      <w:pPr>
        <w:spacing w:line="300" w:lineRule="auto"/>
        <w:ind w:left="630" w:hanging="630" w:hangingChars="300"/>
        <w:rPr>
          <w:szCs w:val="21"/>
        </w:rPr>
      </w:pPr>
      <w:r>
        <w:rPr>
          <w:rFonts w:hint="eastAsia"/>
          <w:szCs w:val="21"/>
        </w:rPr>
        <w:t>第</w:t>
      </w:r>
      <w:r>
        <w:rPr>
          <w:szCs w:val="21"/>
        </w:rPr>
        <w:t>8条</w:t>
      </w:r>
      <w:r>
        <w:rPr>
          <w:rFonts w:hint="eastAsia"/>
          <w:szCs w:val="21"/>
        </w:rPr>
        <w:t xml:space="preserve"> 工期和进度</w:t>
      </w:r>
    </w:p>
    <w:p>
      <w:pPr>
        <w:snapToGrid w:val="0"/>
        <w:spacing w:line="360" w:lineRule="auto"/>
        <w:ind w:firstLine="420"/>
        <w:rPr>
          <w:szCs w:val="21"/>
        </w:rPr>
      </w:pPr>
      <w:r>
        <w:rPr>
          <w:szCs w:val="21"/>
        </w:rPr>
        <w:t xml:space="preserve">8.1 </w:t>
      </w:r>
      <w:r>
        <w:rPr>
          <w:rFonts w:hint="eastAsia"/>
          <w:szCs w:val="21"/>
        </w:rPr>
        <w:t>开始工作</w:t>
      </w:r>
    </w:p>
    <w:p>
      <w:pPr>
        <w:snapToGrid w:val="0"/>
        <w:spacing w:line="360" w:lineRule="auto"/>
        <w:ind w:firstLine="420"/>
        <w:rPr>
          <w:szCs w:val="21"/>
        </w:rPr>
      </w:pPr>
      <w:r>
        <w:rPr>
          <w:szCs w:val="21"/>
        </w:rPr>
        <w:t xml:space="preserve">8.1.1 </w:t>
      </w:r>
      <w:r>
        <w:rPr>
          <w:rFonts w:hint="eastAsia"/>
          <w:szCs w:val="21"/>
        </w:rPr>
        <w:t>开始准备工作：</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8.1.2 </w:t>
      </w:r>
      <w:r>
        <w:rPr>
          <w:rFonts w:hint="eastAsia"/>
          <w:szCs w:val="21"/>
        </w:rPr>
        <w:t>发包人可在计划开始工作之日起</w:t>
      </w:r>
      <w:r>
        <w:rPr>
          <w:szCs w:val="21"/>
        </w:rPr>
        <w:t>84</w:t>
      </w:r>
      <w:r>
        <w:rPr>
          <w:rFonts w:hint="eastAsia"/>
          <w:szCs w:val="21"/>
        </w:rPr>
        <w:t>日后发出开始工作通知的特殊情形：</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8.2 </w:t>
      </w:r>
      <w:r>
        <w:rPr>
          <w:rFonts w:hint="eastAsia"/>
          <w:szCs w:val="21"/>
        </w:rPr>
        <w:t>竣工日期</w:t>
      </w:r>
    </w:p>
    <w:p>
      <w:pPr>
        <w:snapToGrid w:val="0"/>
        <w:spacing w:line="360" w:lineRule="auto"/>
        <w:ind w:firstLine="420"/>
        <w:rPr>
          <w:szCs w:val="21"/>
        </w:rPr>
      </w:pPr>
      <w:r>
        <w:rPr>
          <w:rFonts w:hint="eastAsia"/>
          <w:szCs w:val="21"/>
        </w:rPr>
        <w:t>竣工日期的约定：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8.3 </w:t>
      </w:r>
      <w:r>
        <w:rPr>
          <w:rFonts w:hint="eastAsia"/>
          <w:szCs w:val="21"/>
        </w:rPr>
        <w:t>项目实施计划</w:t>
      </w:r>
    </w:p>
    <w:p>
      <w:pPr>
        <w:snapToGrid w:val="0"/>
        <w:spacing w:line="360" w:lineRule="auto"/>
        <w:ind w:firstLine="420"/>
        <w:rPr>
          <w:szCs w:val="21"/>
        </w:rPr>
      </w:pPr>
      <w:r>
        <w:rPr>
          <w:szCs w:val="21"/>
        </w:rPr>
        <w:t xml:space="preserve">8.3.1 </w:t>
      </w:r>
      <w:r>
        <w:rPr>
          <w:rFonts w:hint="eastAsia"/>
          <w:szCs w:val="21"/>
        </w:rPr>
        <w:t>项目实施计划的内容</w:t>
      </w:r>
    </w:p>
    <w:p>
      <w:pPr>
        <w:snapToGrid w:val="0"/>
        <w:spacing w:line="360" w:lineRule="auto"/>
        <w:ind w:firstLine="420"/>
        <w:rPr>
          <w:szCs w:val="21"/>
        </w:rPr>
      </w:pPr>
      <w:r>
        <w:rPr>
          <w:rFonts w:hint="eastAsia"/>
          <w:szCs w:val="21"/>
        </w:rPr>
        <w:t>项目实施计划的内容：</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8.3.2 </w:t>
      </w:r>
      <w:r>
        <w:rPr>
          <w:rFonts w:hint="eastAsia"/>
          <w:szCs w:val="21"/>
        </w:rPr>
        <w:t>项目实施计划的提交和修改</w:t>
      </w:r>
    </w:p>
    <w:p>
      <w:pPr>
        <w:snapToGrid w:val="0"/>
        <w:spacing w:line="360" w:lineRule="auto"/>
        <w:ind w:firstLine="420"/>
        <w:rPr>
          <w:szCs w:val="21"/>
        </w:rPr>
      </w:pPr>
      <w:r>
        <w:rPr>
          <w:rFonts w:hint="eastAsia"/>
          <w:szCs w:val="21"/>
        </w:rPr>
        <w:t>项目实施计划的提交及修改期限：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8.4 </w:t>
      </w:r>
      <w:r>
        <w:rPr>
          <w:rFonts w:hint="eastAsia"/>
          <w:szCs w:val="21"/>
        </w:rPr>
        <w:t>项目进度计划</w:t>
      </w:r>
    </w:p>
    <w:p>
      <w:pPr>
        <w:snapToGrid w:val="0"/>
        <w:spacing w:line="360" w:lineRule="auto"/>
        <w:ind w:firstLine="420"/>
        <w:rPr>
          <w:szCs w:val="21"/>
        </w:rPr>
      </w:pPr>
      <w:r>
        <w:rPr>
          <w:szCs w:val="21"/>
        </w:rPr>
        <w:t xml:space="preserve">8.4.1 </w:t>
      </w:r>
      <w:r>
        <w:rPr>
          <w:rFonts w:hint="eastAsia"/>
          <w:szCs w:val="21"/>
        </w:rPr>
        <w:t>工程师在收到进度计划后确认或提出修改意见的期限：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8.4.2 </w:t>
      </w:r>
      <w:r>
        <w:rPr>
          <w:rFonts w:hint="eastAsia"/>
          <w:szCs w:val="21"/>
        </w:rPr>
        <w:t>进度计划的具体要求：</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关键路径及关键路径变化的确定原则：</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承包人提交项目进度计划的份数和时间：</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8.4.3 </w:t>
      </w:r>
      <w:r>
        <w:rPr>
          <w:rFonts w:hint="eastAsia"/>
          <w:szCs w:val="21"/>
        </w:rPr>
        <w:t>进度计划的修订</w:t>
      </w:r>
    </w:p>
    <w:p>
      <w:pPr>
        <w:snapToGrid w:val="0"/>
        <w:spacing w:line="360" w:lineRule="auto"/>
        <w:ind w:firstLine="420"/>
        <w:rPr>
          <w:szCs w:val="21"/>
        </w:rPr>
      </w:pPr>
      <w:r>
        <w:rPr>
          <w:rFonts w:hint="eastAsia"/>
          <w:szCs w:val="21"/>
        </w:rPr>
        <w:t>承包人提交修订</w:t>
      </w:r>
      <w:r>
        <w:rPr>
          <w:szCs w:val="21"/>
        </w:rPr>
        <w:t>项目进度计划</w:t>
      </w:r>
      <w:r>
        <w:rPr>
          <w:rFonts w:hint="eastAsia"/>
          <w:szCs w:val="21"/>
        </w:rPr>
        <w:t>申请报告的期限：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发包人批复修订</w:t>
      </w:r>
      <w:r>
        <w:rPr>
          <w:szCs w:val="21"/>
        </w:rPr>
        <w:t>项目进度计划</w:t>
      </w:r>
      <w:r>
        <w:rPr>
          <w:rFonts w:hint="eastAsia"/>
          <w:szCs w:val="21"/>
        </w:rPr>
        <w:t>申请报告的期限：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承包人答复发包人提出修订合同计划的期限：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8.5 </w:t>
      </w:r>
      <w:r>
        <w:rPr>
          <w:rFonts w:hint="eastAsia"/>
          <w:szCs w:val="21"/>
        </w:rPr>
        <w:t>进度报告</w:t>
      </w:r>
    </w:p>
    <w:p>
      <w:pPr>
        <w:snapToGrid w:val="0"/>
        <w:spacing w:line="360" w:lineRule="auto"/>
        <w:ind w:firstLine="420"/>
        <w:rPr>
          <w:szCs w:val="21"/>
        </w:rPr>
      </w:pPr>
      <w:r>
        <w:rPr>
          <w:rFonts w:hint="eastAsia"/>
          <w:szCs w:val="21"/>
        </w:rPr>
        <w:t>进度报告的具体要求：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8.7 </w:t>
      </w:r>
      <w:r>
        <w:rPr>
          <w:rFonts w:hint="eastAsia"/>
          <w:szCs w:val="21"/>
        </w:rPr>
        <w:t>工期延误</w:t>
      </w:r>
    </w:p>
    <w:p>
      <w:pPr>
        <w:snapToGrid w:val="0"/>
        <w:spacing w:line="360" w:lineRule="auto"/>
        <w:ind w:firstLine="420"/>
        <w:rPr>
          <w:szCs w:val="21"/>
        </w:rPr>
      </w:pPr>
      <w:r>
        <w:rPr>
          <w:szCs w:val="21"/>
        </w:rPr>
        <w:t xml:space="preserve">8.7.2 </w:t>
      </w:r>
      <w:r>
        <w:rPr>
          <w:rFonts w:hint="eastAsia"/>
          <w:szCs w:val="21"/>
        </w:rPr>
        <w:t>因承包人原因导致工期延误</w:t>
      </w:r>
    </w:p>
    <w:p>
      <w:pPr>
        <w:snapToGrid w:val="0"/>
        <w:spacing w:line="360" w:lineRule="auto"/>
        <w:ind w:firstLine="420"/>
        <w:rPr>
          <w:szCs w:val="21"/>
        </w:rPr>
      </w:pPr>
      <w:r>
        <w:rPr>
          <w:rFonts w:hint="eastAsia"/>
          <w:szCs w:val="21"/>
        </w:rPr>
        <w:t>因承包人原因使竣工日期延误，每延误1日的误期赔偿金额为合同协议书的合同价格的</w:t>
      </w:r>
      <w:r>
        <w:rPr>
          <w:szCs w:val="21"/>
          <w:u w:val="single"/>
        </w:rPr>
        <w:t xml:space="preserve">    </w:t>
      </w:r>
      <w:r>
        <w:rPr>
          <w:rFonts w:hint="eastAsia"/>
          <w:szCs w:val="21"/>
        </w:rPr>
        <w:t>%或人民币金额为：</w:t>
      </w:r>
      <w:r>
        <w:rPr>
          <w:szCs w:val="21"/>
          <w:u w:val="single"/>
        </w:rPr>
        <w:t xml:space="preserve">          </w:t>
      </w:r>
      <w:r>
        <w:rPr>
          <w:rFonts w:hint="eastAsia"/>
          <w:szCs w:val="21"/>
        </w:rPr>
        <w:t>、累计最高赔偿金额为合同协议书的合同价格的：</w:t>
      </w:r>
      <w:r>
        <w:rPr>
          <w:szCs w:val="21"/>
          <w:u w:val="single"/>
        </w:rPr>
        <w:t xml:space="preserve">    </w:t>
      </w:r>
      <w:r>
        <w:rPr>
          <w:rFonts w:hint="eastAsia"/>
          <w:szCs w:val="21"/>
        </w:rPr>
        <w:t>%或人民币金额为：</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8.7.3 </w:t>
      </w:r>
      <w:r>
        <w:rPr>
          <w:rFonts w:hint="eastAsia"/>
          <w:szCs w:val="21"/>
        </w:rPr>
        <w:t>行政审批迟延</w:t>
      </w:r>
    </w:p>
    <w:p>
      <w:pPr>
        <w:snapToGrid w:val="0"/>
        <w:spacing w:line="360" w:lineRule="auto"/>
        <w:ind w:firstLine="420"/>
        <w:rPr>
          <w:szCs w:val="21"/>
        </w:rPr>
      </w:pPr>
      <w:r>
        <w:rPr>
          <w:rFonts w:hint="eastAsia"/>
          <w:szCs w:val="21"/>
        </w:rPr>
        <w:t>行政审批报送的职责分工：</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8.7.4 </w:t>
      </w:r>
      <w:r>
        <w:rPr>
          <w:rFonts w:hint="eastAsia"/>
          <w:szCs w:val="21"/>
        </w:rPr>
        <w:t>异常恶劣的气候条件</w:t>
      </w:r>
    </w:p>
    <w:p>
      <w:pPr>
        <w:snapToGrid w:val="0"/>
        <w:spacing w:line="360" w:lineRule="auto"/>
        <w:ind w:firstLine="420"/>
        <w:rPr>
          <w:szCs w:val="21"/>
        </w:rPr>
      </w:pPr>
      <w:r>
        <w:rPr>
          <w:rFonts w:hint="eastAsia"/>
          <w:szCs w:val="21"/>
        </w:rPr>
        <w:t>双方约定视为异常恶劣的气候条件的情形：</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8.8 </w:t>
      </w:r>
      <w:r>
        <w:rPr>
          <w:rFonts w:hint="eastAsia"/>
          <w:szCs w:val="21"/>
        </w:rPr>
        <w:t>工期提前</w:t>
      </w:r>
    </w:p>
    <w:p>
      <w:pPr>
        <w:snapToGrid w:val="0"/>
        <w:spacing w:line="360" w:lineRule="auto"/>
        <w:ind w:firstLine="420"/>
        <w:rPr>
          <w:szCs w:val="21"/>
        </w:rPr>
      </w:pPr>
      <w:r>
        <w:rPr>
          <w:szCs w:val="21"/>
        </w:rPr>
        <w:t xml:space="preserve">8.8.2 </w:t>
      </w:r>
      <w:r>
        <w:rPr>
          <w:rFonts w:hint="eastAsia"/>
          <w:szCs w:val="21"/>
        </w:rPr>
        <w:t>承包人提前竣工的奖励：</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9条</w:t>
      </w:r>
      <w:r>
        <w:rPr>
          <w:rFonts w:hint="eastAsia"/>
          <w:szCs w:val="21"/>
        </w:rPr>
        <w:t xml:space="preserve"> 竣工试验</w:t>
      </w:r>
    </w:p>
    <w:p>
      <w:pPr>
        <w:snapToGrid w:val="0"/>
        <w:spacing w:line="360" w:lineRule="auto"/>
        <w:ind w:firstLine="420"/>
        <w:rPr>
          <w:szCs w:val="21"/>
        </w:rPr>
      </w:pPr>
      <w:r>
        <w:rPr>
          <w:szCs w:val="21"/>
        </w:rPr>
        <w:t xml:space="preserve">9.1 </w:t>
      </w:r>
      <w:r>
        <w:rPr>
          <w:rFonts w:hint="eastAsia"/>
          <w:szCs w:val="21"/>
        </w:rPr>
        <w:t>竣工试验的义务</w:t>
      </w:r>
    </w:p>
    <w:p>
      <w:pPr>
        <w:snapToGrid w:val="0"/>
        <w:spacing w:line="360" w:lineRule="auto"/>
        <w:ind w:firstLine="420"/>
        <w:rPr>
          <w:szCs w:val="21"/>
        </w:rPr>
      </w:pPr>
      <w:r>
        <w:rPr>
          <w:szCs w:val="21"/>
        </w:rPr>
        <w:t xml:space="preserve">9.1.3 </w:t>
      </w:r>
      <w:r>
        <w:rPr>
          <w:rFonts w:hint="eastAsia"/>
          <w:szCs w:val="21"/>
        </w:rPr>
        <w:t>竣工试验的阶段、内容和顺序：</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竣工试验的操作要求：</w:t>
      </w:r>
      <w:r>
        <w:rPr>
          <w:rFonts w:hint="eastAsia"/>
          <w:szCs w:val="21"/>
          <w:u w:val="single"/>
        </w:rPr>
        <w:t xml:space="preserve"> </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10条</w:t>
      </w:r>
      <w:r>
        <w:rPr>
          <w:rFonts w:hint="eastAsia"/>
          <w:szCs w:val="21"/>
        </w:rPr>
        <w:t xml:space="preserve"> 验收和工程接收</w:t>
      </w:r>
    </w:p>
    <w:p>
      <w:pPr>
        <w:snapToGrid w:val="0"/>
        <w:spacing w:line="360" w:lineRule="auto"/>
        <w:ind w:firstLine="420"/>
        <w:rPr>
          <w:szCs w:val="21"/>
        </w:rPr>
      </w:pPr>
      <w:r>
        <w:rPr>
          <w:szCs w:val="21"/>
        </w:rPr>
        <w:t xml:space="preserve">10.1 </w:t>
      </w:r>
      <w:r>
        <w:rPr>
          <w:rFonts w:hint="eastAsia"/>
          <w:szCs w:val="21"/>
        </w:rPr>
        <w:t>竣工验收</w:t>
      </w:r>
    </w:p>
    <w:p>
      <w:pPr>
        <w:snapToGrid w:val="0"/>
        <w:spacing w:line="360" w:lineRule="auto"/>
        <w:ind w:firstLine="420"/>
        <w:rPr>
          <w:szCs w:val="21"/>
        </w:rPr>
      </w:pPr>
      <w:r>
        <w:rPr>
          <w:szCs w:val="21"/>
        </w:rPr>
        <w:t xml:space="preserve">10.1.2 </w:t>
      </w:r>
      <w:r>
        <w:rPr>
          <w:rFonts w:hint="eastAsia"/>
          <w:szCs w:val="21"/>
        </w:rPr>
        <w:t>关于竣工验收程序的约定：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发包人不按照合同约定组织竣工验收、颁发工程接受证书的违约金的计算方式：</w:t>
      </w:r>
      <w:r>
        <w:rPr>
          <w:szCs w:val="21"/>
          <w:u w:val="single"/>
        </w:rPr>
        <w:t xml:space="preserve">                                    </w:t>
      </w:r>
      <w:r>
        <w:rPr>
          <w:rFonts w:hint="eastAsia"/>
          <w:szCs w:val="21"/>
        </w:rPr>
        <w:t>。</w:t>
      </w:r>
    </w:p>
    <w:p>
      <w:pPr>
        <w:snapToGrid w:val="0"/>
        <w:spacing w:line="360" w:lineRule="auto"/>
        <w:ind w:firstLine="420"/>
        <w:rPr>
          <w:szCs w:val="21"/>
        </w:rPr>
      </w:pPr>
      <w:r>
        <w:rPr>
          <w:szCs w:val="21"/>
        </w:rPr>
        <w:t>10.3</w:t>
      </w:r>
      <w:r>
        <w:rPr>
          <w:szCs w:val="21"/>
        </w:rPr>
        <w:tab/>
      </w:r>
      <w:r>
        <w:rPr>
          <w:szCs w:val="21"/>
        </w:rPr>
        <w:t xml:space="preserve"> 工程的接收</w:t>
      </w:r>
    </w:p>
    <w:p>
      <w:pPr>
        <w:snapToGrid w:val="0"/>
        <w:spacing w:line="360" w:lineRule="auto"/>
        <w:ind w:firstLine="420"/>
        <w:rPr>
          <w:szCs w:val="21"/>
        </w:rPr>
      </w:pPr>
      <w:r>
        <w:rPr>
          <w:szCs w:val="21"/>
        </w:rPr>
        <w:t>10.3.1</w:t>
      </w:r>
      <w:r>
        <w:rPr>
          <w:rFonts w:hint="eastAsia"/>
          <w:szCs w:val="21"/>
        </w:rPr>
        <w:t>工程接收的先后顺序、时间安排和其他要求：</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10.3.2 </w:t>
      </w:r>
      <w:r>
        <w:rPr>
          <w:rFonts w:hint="eastAsia"/>
          <w:szCs w:val="21"/>
        </w:rPr>
        <w:t>接受工程时承包人需提交竣工验收资料的类别、内容、份数和提交时间：</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10.3.3 </w:t>
      </w:r>
      <w:r>
        <w:rPr>
          <w:rFonts w:hint="eastAsia"/>
          <w:szCs w:val="21"/>
        </w:rPr>
        <w:t>发包人逾期接收工程的违约责任：</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10.3.4 </w:t>
      </w:r>
      <w:r>
        <w:rPr>
          <w:rFonts w:hint="eastAsia"/>
          <w:szCs w:val="21"/>
        </w:rPr>
        <w:t>承包人无正当理由不移交工程的违约责任：</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10.4 </w:t>
      </w:r>
      <w:r>
        <w:rPr>
          <w:rFonts w:hint="eastAsia"/>
          <w:szCs w:val="21"/>
        </w:rPr>
        <w:t>接收证书</w:t>
      </w:r>
    </w:p>
    <w:p>
      <w:pPr>
        <w:snapToGrid w:val="0"/>
        <w:spacing w:line="360" w:lineRule="auto"/>
        <w:ind w:firstLine="420"/>
        <w:rPr>
          <w:szCs w:val="21"/>
        </w:rPr>
      </w:pPr>
      <w:r>
        <w:rPr>
          <w:szCs w:val="21"/>
        </w:rPr>
        <w:t xml:space="preserve">10.4.1 </w:t>
      </w:r>
      <w:r>
        <w:rPr>
          <w:rFonts w:hint="eastAsia"/>
          <w:szCs w:val="21"/>
        </w:rPr>
        <w:t>工程接收证书颁发时间：</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10.5 </w:t>
      </w:r>
      <w:r>
        <w:rPr>
          <w:rFonts w:hint="eastAsia"/>
          <w:szCs w:val="21"/>
        </w:rPr>
        <w:t>竣工退场</w:t>
      </w:r>
    </w:p>
    <w:p>
      <w:pPr>
        <w:snapToGrid w:val="0"/>
        <w:spacing w:line="360" w:lineRule="auto"/>
        <w:ind w:firstLine="420"/>
        <w:rPr>
          <w:szCs w:val="21"/>
        </w:rPr>
      </w:pPr>
      <w:r>
        <w:rPr>
          <w:szCs w:val="21"/>
        </w:rPr>
        <w:t xml:space="preserve">10.5.1 </w:t>
      </w:r>
      <w:r>
        <w:rPr>
          <w:rFonts w:hint="eastAsia"/>
          <w:szCs w:val="21"/>
        </w:rPr>
        <w:t>竣工退场的相关约定：</w:t>
      </w:r>
      <w:r>
        <w:rPr>
          <w:szCs w:val="21"/>
          <w:u w:val="single"/>
        </w:rPr>
        <w:t xml:space="preserve">                        </w:t>
      </w:r>
      <w:r>
        <w:rPr>
          <w:rFonts w:hint="eastAsia"/>
          <w:szCs w:val="21"/>
        </w:rPr>
        <w:t>。</w:t>
      </w:r>
    </w:p>
    <w:p>
      <w:pPr>
        <w:snapToGrid w:val="0"/>
        <w:spacing w:line="360" w:lineRule="auto"/>
        <w:ind w:firstLine="420"/>
        <w:rPr>
          <w:szCs w:val="21"/>
        </w:rPr>
      </w:pPr>
      <w:r>
        <w:rPr>
          <w:szCs w:val="21"/>
        </w:rPr>
        <w:t>10.5.3</w:t>
      </w:r>
      <w:r>
        <w:rPr>
          <w:rFonts w:hint="eastAsia"/>
          <w:szCs w:val="21"/>
        </w:rPr>
        <w:t>人员撤离</w:t>
      </w:r>
    </w:p>
    <w:p>
      <w:pPr>
        <w:snapToGrid w:val="0"/>
        <w:spacing w:line="360" w:lineRule="auto"/>
        <w:ind w:firstLine="420"/>
        <w:rPr>
          <w:szCs w:val="21"/>
        </w:rPr>
      </w:pPr>
      <w:r>
        <w:rPr>
          <w:rFonts w:hint="eastAsia"/>
          <w:szCs w:val="21"/>
        </w:rPr>
        <w:t>工程师同意需在缺陷责任期内继续工作和使用的人员、施工设备和临时工程的内容：</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11条</w:t>
      </w:r>
      <w:r>
        <w:rPr>
          <w:rFonts w:hint="eastAsia"/>
          <w:szCs w:val="21"/>
        </w:rPr>
        <w:t xml:space="preserve"> 缺陷责任与保修</w:t>
      </w:r>
    </w:p>
    <w:p>
      <w:pPr>
        <w:snapToGrid w:val="0"/>
        <w:spacing w:line="360" w:lineRule="auto"/>
        <w:ind w:firstLine="420"/>
        <w:rPr>
          <w:szCs w:val="21"/>
        </w:rPr>
      </w:pPr>
      <w:r>
        <w:rPr>
          <w:szCs w:val="21"/>
        </w:rPr>
        <w:t xml:space="preserve">11.2 </w:t>
      </w:r>
      <w:r>
        <w:rPr>
          <w:rFonts w:hint="eastAsia"/>
          <w:szCs w:val="21"/>
        </w:rPr>
        <w:t>缺陷责任期</w:t>
      </w:r>
    </w:p>
    <w:p>
      <w:pPr>
        <w:snapToGrid w:val="0"/>
        <w:spacing w:line="360" w:lineRule="auto"/>
        <w:ind w:firstLine="420"/>
        <w:rPr>
          <w:szCs w:val="21"/>
        </w:rPr>
      </w:pPr>
      <w:r>
        <w:rPr>
          <w:szCs w:val="21"/>
        </w:rPr>
        <w:t>缺陷责任期的</w:t>
      </w:r>
      <w:r>
        <w:rPr>
          <w:rFonts w:hint="eastAsia"/>
          <w:szCs w:val="21"/>
        </w:rPr>
        <w:t>期限：</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11.3 </w:t>
      </w:r>
      <w:r>
        <w:rPr>
          <w:rFonts w:hint="eastAsia"/>
          <w:szCs w:val="21"/>
        </w:rPr>
        <w:t>缺陷调查</w:t>
      </w:r>
    </w:p>
    <w:p>
      <w:pPr>
        <w:snapToGrid w:val="0"/>
        <w:spacing w:line="360" w:lineRule="auto"/>
        <w:ind w:firstLine="420"/>
        <w:rPr>
          <w:szCs w:val="21"/>
        </w:rPr>
      </w:pPr>
      <w:r>
        <w:rPr>
          <w:szCs w:val="21"/>
        </w:rPr>
        <w:t xml:space="preserve">11.3.4 </w:t>
      </w:r>
      <w:r>
        <w:rPr>
          <w:rFonts w:hint="eastAsia"/>
          <w:szCs w:val="21"/>
        </w:rPr>
        <w:t>修复通知</w:t>
      </w:r>
    </w:p>
    <w:p>
      <w:pPr>
        <w:snapToGrid w:val="0"/>
        <w:spacing w:line="360" w:lineRule="auto"/>
        <w:ind w:firstLine="420"/>
        <w:rPr>
          <w:szCs w:val="21"/>
        </w:rPr>
      </w:pPr>
      <w:r>
        <w:rPr>
          <w:szCs w:val="21"/>
        </w:rPr>
        <w:t>承包人收到保修通知并到达工程现场的合理时间：</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11.6 </w:t>
      </w:r>
      <w:r>
        <w:rPr>
          <w:rFonts w:hint="eastAsia"/>
          <w:szCs w:val="21"/>
        </w:rPr>
        <w:t>缺陷责任期终止证书</w:t>
      </w:r>
    </w:p>
    <w:p>
      <w:pPr>
        <w:snapToGrid w:val="0"/>
        <w:spacing w:line="360" w:lineRule="auto"/>
        <w:ind w:firstLine="420"/>
        <w:rPr>
          <w:szCs w:val="21"/>
        </w:rPr>
      </w:pPr>
      <w:r>
        <w:rPr>
          <w:rFonts w:hint="eastAsia"/>
          <w:szCs w:val="21"/>
        </w:rPr>
        <w:t>承包人应于缺陷责任期届满后</w:t>
      </w:r>
      <w:r>
        <w:rPr>
          <w:szCs w:val="21"/>
          <w:u w:val="single"/>
        </w:rPr>
        <w:t xml:space="preserve">    </w:t>
      </w:r>
      <w:r>
        <w:rPr>
          <w:rFonts w:hint="eastAsia"/>
          <w:szCs w:val="21"/>
        </w:rPr>
        <w:t>天内向发包人发出缺陷责任期届满通知，发包人应在收到缺陷责任期满通知后</w:t>
      </w:r>
      <w:r>
        <w:rPr>
          <w:szCs w:val="21"/>
          <w:u w:val="single"/>
        </w:rPr>
        <w:t xml:space="preserve">    </w:t>
      </w:r>
      <w:r>
        <w:rPr>
          <w:rFonts w:hint="eastAsia"/>
          <w:szCs w:val="21"/>
        </w:rPr>
        <w:t>天内核实承包人是否履行缺陷修复义务，承包人未能履行缺陷修复义务的，发包人有权扣除相应金额的维修费用。发包人应在收到缺陷责任期届满通知后</w:t>
      </w:r>
      <w:r>
        <w:rPr>
          <w:szCs w:val="21"/>
          <w:u w:val="single"/>
        </w:rPr>
        <w:t xml:space="preserve">    </w:t>
      </w:r>
      <w:r>
        <w:rPr>
          <w:rFonts w:hint="eastAsia"/>
          <w:szCs w:val="21"/>
        </w:rPr>
        <w:t>天内，向承包人颁发缺陷责任期终止证书。</w:t>
      </w:r>
    </w:p>
    <w:p>
      <w:pPr>
        <w:snapToGrid w:val="0"/>
        <w:spacing w:line="360" w:lineRule="auto"/>
        <w:ind w:firstLine="420"/>
        <w:rPr>
          <w:szCs w:val="21"/>
        </w:rPr>
      </w:pPr>
      <w:r>
        <w:rPr>
          <w:szCs w:val="21"/>
        </w:rPr>
        <w:t xml:space="preserve">11.7 </w:t>
      </w:r>
      <w:r>
        <w:rPr>
          <w:rFonts w:hint="eastAsia"/>
          <w:szCs w:val="21"/>
        </w:rPr>
        <w:t>保修责任</w:t>
      </w:r>
    </w:p>
    <w:p>
      <w:pPr>
        <w:snapToGrid w:val="0"/>
        <w:spacing w:line="360" w:lineRule="auto"/>
        <w:ind w:firstLine="420"/>
        <w:rPr>
          <w:szCs w:val="21"/>
        </w:rPr>
      </w:pPr>
      <w:r>
        <w:rPr>
          <w:rFonts w:hint="eastAsia"/>
          <w:szCs w:val="21"/>
        </w:rPr>
        <w:t>工程质量保修范围、期限和责任</w:t>
      </w:r>
      <w:r>
        <w:rPr>
          <w:szCs w:val="21"/>
        </w:rPr>
        <w:t>为：</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12条</w:t>
      </w:r>
      <w:r>
        <w:rPr>
          <w:rFonts w:hint="eastAsia"/>
          <w:szCs w:val="21"/>
        </w:rPr>
        <w:t xml:space="preserve"> 竣工后试验</w:t>
      </w:r>
    </w:p>
    <w:p>
      <w:pPr>
        <w:snapToGrid w:val="0"/>
        <w:spacing w:line="360" w:lineRule="auto"/>
        <w:ind w:firstLine="420"/>
        <w:rPr>
          <w:szCs w:val="21"/>
        </w:rPr>
      </w:pPr>
      <w:r>
        <w:rPr>
          <w:rFonts w:hint="eastAsia"/>
          <w:szCs w:val="21"/>
        </w:rPr>
        <w:t>本合同工程是否包含竣工后试验：</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12.1 </w:t>
      </w:r>
      <w:r>
        <w:rPr>
          <w:rFonts w:hint="eastAsia"/>
          <w:szCs w:val="21"/>
        </w:rPr>
        <w:t>竣工后试验的程序</w:t>
      </w:r>
    </w:p>
    <w:p>
      <w:pPr>
        <w:snapToGrid w:val="0"/>
        <w:spacing w:line="360" w:lineRule="auto"/>
        <w:ind w:firstLine="420"/>
        <w:rPr>
          <w:szCs w:val="21"/>
        </w:rPr>
      </w:pPr>
      <w:r>
        <w:rPr>
          <w:szCs w:val="21"/>
        </w:rPr>
        <w:t xml:space="preserve">12.1.2 </w:t>
      </w:r>
      <w:r>
        <w:rPr>
          <w:rFonts w:hint="eastAsia"/>
          <w:szCs w:val="21"/>
        </w:rPr>
        <w:t>竣工后试验全部电力、水、污水处理、燃料、消耗品和材料，以及全部其他仪器、协助、文件或其他信息、设备、工具、劳力，启动工程设备，并组织安排有适当资质、经验和能力的工作人员等必要条件的提供方：</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13条</w:t>
      </w:r>
      <w:r>
        <w:rPr>
          <w:rFonts w:hint="eastAsia"/>
          <w:szCs w:val="21"/>
        </w:rPr>
        <w:t xml:space="preserve"> 变更与调整</w:t>
      </w:r>
    </w:p>
    <w:p>
      <w:pPr>
        <w:snapToGrid w:val="0"/>
        <w:spacing w:line="360" w:lineRule="auto"/>
        <w:ind w:firstLine="420"/>
        <w:rPr>
          <w:szCs w:val="21"/>
        </w:rPr>
      </w:pPr>
      <w:r>
        <w:rPr>
          <w:szCs w:val="21"/>
        </w:rPr>
        <w:t xml:space="preserve">13.2 </w:t>
      </w:r>
      <w:r>
        <w:rPr>
          <w:rFonts w:hint="eastAsia"/>
          <w:szCs w:val="21"/>
        </w:rPr>
        <w:t>承包人的合理化建议</w:t>
      </w:r>
    </w:p>
    <w:p>
      <w:pPr>
        <w:snapToGrid w:val="0"/>
        <w:spacing w:line="360" w:lineRule="auto"/>
        <w:ind w:firstLine="420"/>
        <w:rPr>
          <w:szCs w:val="21"/>
        </w:rPr>
      </w:pPr>
      <w:r>
        <w:rPr>
          <w:szCs w:val="21"/>
        </w:rPr>
        <w:t xml:space="preserve">13.2.2 </w:t>
      </w:r>
      <w:r>
        <w:rPr>
          <w:rFonts w:hint="eastAsia"/>
          <w:szCs w:val="21"/>
        </w:rPr>
        <w:t>工程师应在收到承包人提交的合理化建议后</w:t>
      </w:r>
      <w:r>
        <w:rPr>
          <w:rFonts w:hint="eastAsia"/>
          <w:szCs w:val="21"/>
          <w:u w:val="single"/>
        </w:rPr>
        <w:t xml:space="preserve">    </w:t>
      </w:r>
      <w:r>
        <w:rPr>
          <w:rFonts w:hint="eastAsia"/>
          <w:szCs w:val="21"/>
        </w:rPr>
        <w:t>日内审查完毕并报送发包人，发现其中存在技术上的缺陷，应通知承包人修改。发包人应在收到工程师报送的合理化建议后</w:t>
      </w:r>
      <w:r>
        <w:rPr>
          <w:szCs w:val="21"/>
          <w:u w:val="single"/>
        </w:rPr>
        <w:t xml:space="preserve">    </w:t>
      </w:r>
      <w:r>
        <w:rPr>
          <w:rFonts w:hint="eastAsia"/>
          <w:szCs w:val="21"/>
        </w:rPr>
        <w:t>日内审批完毕。合理化建议经发包人批准的，工程师应及时发出变更指示，由此引起的合同价格调整按照</w:t>
      </w:r>
      <w:r>
        <w:rPr>
          <w:rFonts w:hint="eastAsia"/>
          <w:szCs w:val="21"/>
          <w:u w:val="single"/>
        </w:rPr>
        <w:t xml:space="preserve">              </w:t>
      </w:r>
      <w:r>
        <w:rPr>
          <w:rFonts w:hint="eastAsia"/>
          <w:szCs w:val="21"/>
        </w:rPr>
        <w:t>执行。发包人不同意变更的，工程师应书面通知承包人</w:t>
      </w:r>
    </w:p>
    <w:p>
      <w:pPr>
        <w:snapToGrid w:val="0"/>
        <w:spacing w:line="360" w:lineRule="auto"/>
        <w:ind w:firstLine="420"/>
        <w:rPr>
          <w:szCs w:val="21"/>
        </w:rPr>
      </w:pPr>
      <w:r>
        <w:rPr>
          <w:szCs w:val="21"/>
        </w:rPr>
        <w:t>13.2.3 承包人提出的</w:t>
      </w:r>
      <w:r>
        <w:rPr>
          <w:rFonts w:hint="eastAsia"/>
          <w:szCs w:val="21"/>
        </w:rPr>
        <w:t>合理化变更</w:t>
      </w:r>
      <w:r>
        <w:rPr>
          <w:szCs w:val="21"/>
        </w:rPr>
        <w:t>建议的</w:t>
      </w:r>
      <w:r>
        <w:rPr>
          <w:rFonts w:hint="eastAsia"/>
          <w:szCs w:val="21"/>
        </w:rPr>
        <w:t>利益分享约定</w:t>
      </w:r>
      <w:r>
        <w:rPr>
          <w:szCs w:val="21"/>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13.3 </w:t>
      </w:r>
      <w:r>
        <w:rPr>
          <w:rFonts w:hint="eastAsia"/>
          <w:szCs w:val="21"/>
        </w:rPr>
        <w:t>变更程序</w:t>
      </w:r>
    </w:p>
    <w:p>
      <w:pPr>
        <w:snapToGrid w:val="0"/>
        <w:spacing w:line="360" w:lineRule="auto"/>
        <w:ind w:firstLine="420"/>
        <w:rPr>
          <w:szCs w:val="21"/>
        </w:rPr>
      </w:pPr>
      <w:r>
        <w:rPr>
          <w:szCs w:val="21"/>
        </w:rPr>
        <w:t>13.3.3 变更估价</w:t>
      </w:r>
    </w:p>
    <w:p>
      <w:pPr>
        <w:snapToGrid w:val="0"/>
        <w:spacing w:line="360" w:lineRule="auto"/>
        <w:ind w:firstLine="420"/>
        <w:rPr>
          <w:szCs w:val="21"/>
        </w:rPr>
      </w:pPr>
      <w:r>
        <w:rPr>
          <w:szCs w:val="21"/>
        </w:rPr>
        <w:t>13.3.3.1 变更估价原则</w:t>
      </w:r>
    </w:p>
    <w:p>
      <w:pPr>
        <w:snapToGrid w:val="0"/>
        <w:spacing w:line="360" w:lineRule="auto"/>
        <w:ind w:firstLine="420"/>
        <w:rPr>
          <w:szCs w:val="21"/>
        </w:rPr>
      </w:pPr>
      <w:r>
        <w:rPr>
          <w:rFonts w:hint="eastAsia"/>
          <w:szCs w:val="21"/>
        </w:rPr>
        <w:t>关于变更估价原则的约定：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13.4 </w:t>
      </w:r>
      <w:r>
        <w:rPr>
          <w:rFonts w:hint="eastAsia"/>
          <w:szCs w:val="21"/>
        </w:rPr>
        <w:t>暂估价</w:t>
      </w:r>
    </w:p>
    <w:p>
      <w:pPr>
        <w:snapToGrid w:val="0"/>
        <w:spacing w:line="360" w:lineRule="auto"/>
        <w:ind w:firstLine="420"/>
        <w:rPr>
          <w:szCs w:val="21"/>
        </w:rPr>
      </w:pPr>
      <w:r>
        <w:rPr>
          <w:szCs w:val="21"/>
        </w:rPr>
        <w:t xml:space="preserve">13.4.1 </w:t>
      </w:r>
      <w:r>
        <w:rPr>
          <w:rFonts w:hint="eastAsia"/>
          <w:szCs w:val="21"/>
        </w:rPr>
        <w:t>依法必须招标的暂估价项目</w:t>
      </w:r>
    </w:p>
    <w:p>
      <w:pPr>
        <w:snapToGrid w:val="0"/>
        <w:spacing w:line="360" w:lineRule="auto"/>
        <w:ind w:firstLine="420"/>
        <w:rPr>
          <w:szCs w:val="21"/>
        </w:rPr>
      </w:pPr>
      <w:r>
        <w:rPr>
          <w:rFonts w:hint="eastAsia"/>
          <w:szCs w:val="21"/>
        </w:rPr>
        <w:t>承包人可以参与投标的暂估价项目范围：</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承包人不得参与投标的暂估价项目范围：</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招投标程序及其他约定：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13.4.2 </w:t>
      </w:r>
      <w:r>
        <w:rPr>
          <w:rFonts w:hint="eastAsia"/>
          <w:szCs w:val="21"/>
        </w:rPr>
        <w:t>不属于依法必须招标的暂估价项目</w:t>
      </w:r>
    </w:p>
    <w:p>
      <w:pPr>
        <w:snapToGrid w:val="0"/>
        <w:spacing w:line="360" w:lineRule="auto"/>
        <w:ind w:firstLine="420"/>
        <w:rPr>
          <w:szCs w:val="21"/>
        </w:rPr>
      </w:pPr>
      <w:r>
        <w:rPr>
          <w:rFonts w:hint="eastAsia"/>
          <w:szCs w:val="21"/>
        </w:rPr>
        <w:t>不属于依法必须招标的暂估价项目的协商及估价的约定：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13.5 </w:t>
      </w:r>
      <w:r>
        <w:rPr>
          <w:rFonts w:hint="eastAsia"/>
          <w:szCs w:val="21"/>
        </w:rPr>
        <w:t>暂列金额</w:t>
      </w:r>
    </w:p>
    <w:p>
      <w:pPr>
        <w:snapToGrid w:val="0"/>
        <w:spacing w:line="360" w:lineRule="auto"/>
        <w:ind w:firstLine="420"/>
        <w:rPr>
          <w:szCs w:val="21"/>
        </w:rPr>
      </w:pPr>
      <w:r>
        <w:rPr>
          <w:rFonts w:hint="eastAsia"/>
          <w:szCs w:val="21"/>
        </w:rPr>
        <w:t>其他关于暂列金额使用的约定：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13.8 </w:t>
      </w:r>
      <w:r>
        <w:rPr>
          <w:rFonts w:hint="eastAsia"/>
          <w:szCs w:val="21"/>
        </w:rPr>
        <w:t>市场价格波动引起的调整</w:t>
      </w:r>
    </w:p>
    <w:p>
      <w:pPr>
        <w:snapToGrid w:val="0"/>
        <w:spacing w:line="360" w:lineRule="auto"/>
        <w:ind w:firstLine="420"/>
        <w:rPr>
          <w:szCs w:val="21"/>
        </w:rPr>
      </w:pPr>
      <w:r>
        <w:rPr>
          <w:rFonts w:hint="eastAsia"/>
          <w:szCs w:val="21"/>
        </w:rPr>
        <w:t>1</w:t>
      </w:r>
      <w:r>
        <w:rPr>
          <w:szCs w:val="21"/>
        </w:rPr>
        <w:t xml:space="preserve">3.8.2 </w:t>
      </w:r>
      <w:r>
        <w:rPr>
          <w:rFonts w:hint="eastAsia"/>
          <w:szCs w:val="21"/>
        </w:rPr>
        <w:t>关于是否采用《价格指数权重表》的约定：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1</w:t>
      </w:r>
      <w:r>
        <w:rPr>
          <w:szCs w:val="21"/>
        </w:rPr>
        <w:t xml:space="preserve">3.8.3 </w:t>
      </w:r>
      <w:r>
        <w:rPr>
          <w:rFonts w:hint="eastAsia"/>
          <w:szCs w:val="21"/>
        </w:rPr>
        <w:t>关于采用其他方式调整合同价款的约定：</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14条</w:t>
      </w:r>
      <w:r>
        <w:rPr>
          <w:rFonts w:hint="eastAsia"/>
          <w:szCs w:val="21"/>
        </w:rPr>
        <w:t xml:space="preserve"> 合同价格与支付</w:t>
      </w:r>
    </w:p>
    <w:p>
      <w:pPr>
        <w:snapToGrid w:val="0"/>
        <w:spacing w:line="360" w:lineRule="auto"/>
        <w:ind w:firstLine="420"/>
        <w:rPr>
          <w:szCs w:val="21"/>
        </w:rPr>
      </w:pPr>
      <w:r>
        <w:rPr>
          <w:szCs w:val="21"/>
        </w:rPr>
        <w:t xml:space="preserve">14.1 </w:t>
      </w:r>
      <w:r>
        <w:rPr>
          <w:rFonts w:hint="eastAsia"/>
          <w:szCs w:val="21"/>
        </w:rPr>
        <w:t>合同价格形式</w:t>
      </w:r>
    </w:p>
    <w:p>
      <w:pPr>
        <w:snapToGrid w:val="0"/>
        <w:spacing w:line="360" w:lineRule="auto"/>
        <w:ind w:firstLine="420"/>
        <w:rPr>
          <w:szCs w:val="21"/>
        </w:rPr>
      </w:pPr>
      <w:r>
        <w:rPr>
          <w:rFonts w:hint="eastAsia"/>
          <w:szCs w:val="21"/>
        </w:rPr>
        <w:t>1</w:t>
      </w:r>
      <w:r>
        <w:rPr>
          <w:szCs w:val="21"/>
        </w:rPr>
        <w:t xml:space="preserve">4.1.1 </w:t>
      </w:r>
      <w:r>
        <w:rPr>
          <w:rFonts w:hint="eastAsia"/>
          <w:szCs w:val="21"/>
        </w:rPr>
        <w:t>关于合同价格形式的约定：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1</w:t>
      </w:r>
      <w:r>
        <w:rPr>
          <w:szCs w:val="21"/>
        </w:rPr>
        <w:t xml:space="preserve">4.1.2 </w:t>
      </w:r>
      <w:r>
        <w:rPr>
          <w:rFonts w:hint="eastAsia"/>
          <w:szCs w:val="21"/>
        </w:rPr>
        <w:t>关于合同价格调整的约定：</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1</w:t>
      </w:r>
      <w:r>
        <w:rPr>
          <w:szCs w:val="21"/>
        </w:rPr>
        <w:t xml:space="preserve">4.1.3 </w:t>
      </w:r>
      <w:r>
        <w:rPr>
          <w:rFonts w:hint="eastAsia"/>
          <w:szCs w:val="21"/>
        </w:rPr>
        <w:t>按实际完成的工程量支付工程价款的计量方法、估价方法：</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14.2 </w:t>
      </w:r>
      <w:r>
        <w:rPr>
          <w:rFonts w:hint="eastAsia"/>
          <w:szCs w:val="21"/>
        </w:rPr>
        <w:t>预付款</w:t>
      </w:r>
    </w:p>
    <w:p>
      <w:pPr>
        <w:snapToGrid w:val="0"/>
        <w:spacing w:line="360" w:lineRule="auto"/>
        <w:ind w:firstLine="420"/>
        <w:rPr>
          <w:szCs w:val="21"/>
        </w:rPr>
      </w:pPr>
      <w:r>
        <w:rPr>
          <w:szCs w:val="21"/>
        </w:rPr>
        <w:t xml:space="preserve">14.2.1 </w:t>
      </w:r>
      <w:r>
        <w:rPr>
          <w:rFonts w:hint="eastAsia"/>
          <w:szCs w:val="21"/>
        </w:rPr>
        <w:t>预付款支付</w:t>
      </w:r>
    </w:p>
    <w:p>
      <w:pPr>
        <w:snapToGrid w:val="0"/>
        <w:spacing w:line="360" w:lineRule="auto"/>
        <w:ind w:firstLine="420"/>
        <w:rPr>
          <w:szCs w:val="21"/>
        </w:rPr>
      </w:pPr>
      <w:r>
        <w:rPr>
          <w:rFonts w:hint="eastAsia"/>
          <w:szCs w:val="21"/>
        </w:rPr>
        <w:t>预付款的金额或比例为：</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预付款支付期限：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预付款扣回的方式：</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1</w:t>
      </w:r>
      <w:r>
        <w:rPr>
          <w:szCs w:val="21"/>
        </w:rPr>
        <w:t>4.2.2预付款担保</w:t>
      </w:r>
    </w:p>
    <w:p>
      <w:pPr>
        <w:snapToGrid w:val="0"/>
        <w:spacing w:line="360" w:lineRule="auto"/>
        <w:ind w:firstLine="420"/>
        <w:rPr>
          <w:szCs w:val="21"/>
        </w:rPr>
      </w:pPr>
      <w:r>
        <w:rPr>
          <w:rFonts w:hint="eastAsia"/>
          <w:szCs w:val="21"/>
        </w:rPr>
        <w:t>提供预付款担保期限：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预付款担保形式：</w:t>
      </w:r>
      <w:r>
        <w:rPr>
          <w:rFonts w:hint="eastAsia"/>
          <w:szCs w:val="21"/>
          <w:u w:val="single"/>
        </w:rPr>
        <w:t xml:space="preserve"> </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14.3 </w:t>
      </w:r>
      <w:r>
        <w:rPr>
          <w:rFonts w:hint="eastAsia"/>
          <w:szCs w:val="21"/>
        </w:rPr>
        <w:t>工程进度款</w:t>
      </w:r>
    </w:p>
    <w:p>
      <w:pPr>
        <w:snapToGrid w:val="0"/>
        <w:spacing w:line="360" w:lineRule="auto"/>
        <w:ind w:firstLine="420"/>
        <w:rPr>
          <w:szCs w:val="21"/>
        </w:rPr>
      </w:pPr>
      <w:r>
        <w:rPr>
          <w:szCs w:val="21"/>
        </w:rPr>
        <w:t xml:space="preserve">14.3.1 </w:t>
      </w:r>
      <w:r>
        <w:rPr>
          <w:rFonts w:hint="eastAsia"/>
          <w:szCs w:val="21"/>
        </w:rPr>
        <w:t>工程进度付款申请</w:t>
      </w:r>
    </w:p>
    <w:p>
      <w:pPr>
        <w:snapToGrid w:val="0"/>
        <w:spacing w:line="360" w:lineRule="auto"/>
        <w:ind w:firstLine="420"/>
        <w:rPr>
          <w:szCs w:val="21"/>
        </w:rPr>
      </w:pPr>
      <w:r>
        <w:rPr>
          <w:rFonts w:hint="eastAsia"/>
          <w:szCs w:val="21"/>
        </w:rPr>
        <w:t>工程进度付款申请方式：</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承包人提交进度付款申请单的格式、内容、份数和时间：</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进度付款申请单应包括的内容：</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14.3.2 </w:t>
      </w:r>
      <w:r>
        <w:rPr>
          <w:rFonts w:hint="eastAsia"/>
          <w:szCs w:val="21"/>
        </w:rPr>
        <w:t>进度付款审核和支付</w:t>
      </w:r>
    </w:p>
    <w:p>
      <w:pPr>
        <w:snapToGrid w:val="0"/>
        <w:spacing w:line="360" w:lineRule="auto"/>
        <w:ind w:firstLine="420"/>
        <w:rPr>
          <w:rFonts w:hint="eastAsia"/>
          <w:szCs w:val="21"/>
          <w:u w:val="single"/>
        </w:rPr>
      </w:pPr>
      <w:r>
        <w:rPr>
          <w:rFonts w:hint="eastAsia"/>
          <w:szCs w:val="21"/>
          <w:u w:val="single"/>
        </w:rPr>
        <w:t>进度付款的审核方式和支付的约定：参考《岳阳市市本级政府公益建设项目全过程投资管控办法》（岳政办发〔2018〕14号）</w:t>
      </w:r>
      <w:r>
        <w:rPr>
          <w:rFonts w:hint="eastAsia"/>
          <w:szCs w:val="21"/>
          <w:u w:val="single"/>
          <w:lang w:val="en-US" w:eastAsia="zh-CN"/>
        </w:rPr>
        <w:t>和《关于完善建设工程价款结算有关办法的通知》（财建〔2022〕183号）</w:t>
      </w:r>
      <w:r>
        <w:rPr>
          <w:rFonts w:hint="eastAsia"/>
          <w:szCs w:val="21"/>
          <w:u w:val="single"/>
        </w:rPr>
        <w:t>。在项目建成竣工验收合格前，进度款最多支付合同金额（</w:t>
      </w:r>
      <w:r>
        <w:rPr>
          <w:rFonts w:hint="eastAsia"/>
          <w:szCs w:val="21"/>
          <w:u w:val="single"/>
          <w:lang w:val="en-US" w:eastAsia="zh-CN"/>
        </w:rPr>
        <w:t>预算财评审定金额按14.1.1款同比例下浮后的金额</w:t>
      </w:r>
      <w:r>
        <w:rPr>
          <w:rFonts w:hint="eastAsia"/>
          <w:szCs w:val="21"/>
          <w:u w:val="single"/>
        </w:rPr>
        <w:t>）的</w:t>
      </w:r>
      <w:r>
        <w:rPr>
          <w:rFonts w:hint="eastAsia"/>
          <w:szCs w:val="21"/>
          <w:u w:val="single"/>
          <w:lang w:val="en-US" w:eastAsia="zh-CN"/>
        </w:rPr>
        <w:t>80</w:t>
      </w:r>
      <w:r>
        <w:rPr>
          <w:rFonts w:hint="eastAsia"/>
          <w:szCs w:val="21"/>
          <w:u w:val="single"/>
        </w:rPr>
        <w:t>%，项目结算经财政评审或建设单位组织审核后，最多支付合同金额（</w:t>
      </w:r>
      <w:r>
        <w:rPr>
          <w:rFonts w:hint="eastAsia"/>
          <w:szCs w:val="21"/>
          <w:u w:val="single"/>
          <w:lang w:val="en-US" w:eastAsia="zh-CN"/>
        </w:rPr>
        <w:t>结算财评审定金额按14.1.1款同比例下浮后的金额</w:t>
      </w:r>
      <w:r>
        <w:rPr>
          <w:rFonts w:hint="eastAsia"/>
          <w:szCs w:val="21"/>
          <w:u w:val="single"/>
        </w:rPr>
        <w:t>）的85%，项目竣工验收合格并办理竣工决算后，进度款最多支付至合同金额（</w:t>
      </w:r>
      <w:r>
        <w:rPr>
          <w:rFonts w:hint="eastAsia"/>
          <w:szCs w:val="21"/>
          <w:u w:val="single"/>
          <w:lang w:val="en-US" w:eastAsia="zh-CN"/>
        </w:rPr>
        <w:t>结算财评审定金额按14.1.1款同比例下浮后的金额</w:t>
      </w:r>
      <w:r>
        <w:rPr>
          <w:rFonts w:hint="eastAsia"/>
          <w:szCs w:val="21"/>
          <w:u w:val="single"/>
        </w:rPr>
        <w:t>）的97%（已过保修期的除外），</w:t>
      </w:r>
      <w:r>
        <w:rPr>
          <w:rFonts w:hint="eastAsia"/>
          <w:szCs w:val="21"/>
          <w:u w:val="single"/>
          <w:lang w:val="en-US" w:eastAsia="zh-CN"/>
        </w:rPr>
        <w:t>缺陷责任</w:t>
      </w:r>
      <w:r>
        <w:rPr>
          <w:rFonts w:hint="eastAsia"/>
          <w:szCs w:val="21"/>
          <w:u w:val="single"/>
        </w:rPr>
        <w:t>期满后按规定结清余款。</w:t>
      </w:r>
      <w:r>
        <w:rPr>
          <w:rFonts w:hint="eastAsia"/>
          <w:szCs w:val="21"/>
          <w:u w:val="single"/>
          <w:lang w:eastAsia="zh-CN"/>
        </w:rPr>
        <w:t>发包人可采用</w:t>
      </w:r>
      <w:r>
        <w:rPr>
          <w:rFonts w:hint="eastAsia"/>
          <w:szCs w:val="21"/>
          <w:u w:val="single"/>
          <w:lang w:val="en-US" w:eastAsia="zh-CN"/>
        </w:rPr>
        <w:t>银行转账或</w:t>
      </w:r>
      <w:r>
        <w:rPr>
          <w:rFonts w:hint="eastAsia"/>
          <w:szCs w:val="21"/>
          <w:u w:val="single"/>
          <w:lang w:eastAsia="zh-CN"/>
        </w:rPr>
        <w:t>承兑汇票的方式进行支付，承兑汇票付款方式支付金额不超过工程费用（含预付款）总额的10%，由此带来的额外成本增加（包含但不限于贴息、税金等全部费用）由承包人承担。</w:t>
      </w:r>
    </w:p>
    <w:p>
      <w:pPr>
        <w:snapToGrid w:val="0"/>
        <w:spacing w:line="360" w:lineRule="auto"/>
        <w:ind w:firstLine="420"/>
        <w:rPr>
          <w:rFonts w:hint="eastAsia"/>
          <w:szCs w:val="21"/>
          <w:u w:val="single"/>
        </w:rPr>
      </w:pPr>
      <w:r>
        <w:rPr>
          <w:rFonts w:hint="eastAsia"/>
          <w:szCs w:val="21"/>
          <w:u w:val="single"/>
        </w:rPr>
        <w:t>设计费用支付方式：通过施工图审查及市财政机关出具施工图预算评审结论后一个月内，支付至设计费用的50%；项目主体完工并验收通过后，支付至设计费用的85%；项目竣工验收及移交完成后（已过保修期的除外）付清全部余款。</w:t>
      </w:r>
    </w:p>
    <w:p>
      <w:pPr>
        <w:snapToGrid w:val="0"/>
        <w:spacing w:line="360" w:lineRule="auto"/>
        <w:ind w:firstLine="420"/>
        <w:rPr>
          <w:rFonts w:hint="eastAsia"/>
          <w:szCs w:val="21"/>
          <w:u w:val="single"/>
          <w:lang w:val="en-US" w:eastAsia="zh-CN"/>
        </w:rPr>
      </w:pPr>
      <w:r>
        <w:rPr>
          <w:rFonts w:hint="eastAsia"/>
          <w:szCs w:val="21"/>
          <w:u w:val="single"/>
          <w:lang w:val="en-US" w:eastAsia="zh-CN"/>
        </w:rPr>
        <w:t>承包人须确保在合同签订后2个月内将施工图及预算报送发包人内审，在主管部门施工图审查完成后2个月内修改完善并报至市财评中心进行预算审定，因承包人原因</w:t>
      </w:r>
      <w:r>
        <w:rPr>
          <w:rFonts w:hint="eastAsia"/>
          <w:szCs w:val="21"/>
          <w:u w:val="single"/>
        </w:rPr>
        <w:t>逾期</w:t>
      </w:r>
      <w:r>
        <w:rPr>
          <w:rFonts w:hint="eastAsia"/>
          <w:szCs w:val="21"/>
          <w:u w:val="single"/>
          <w:lang w:val="en-US" w:eastAsia="zh-CN"/>
        </w:rPr>
        <w:t>的</w:t>
      </w:r>
      <w:r>
        <w:rPr>
          <w:rFonts w:hint="eastAsia"/>
          <w:szCs w:val="21"/>
          <w:u w:val="single"/>
        </w:rPr>
        <w:t>，每延误</w:t>
      </w:r>
      <w:r>
        <w:rPr>
          <w:rFonts w:hint="eastAsia"/>
          <w:szCs w:val="21"/>
          <w:u w:val="single"/>
          <w:lang w:val="en-US" w:eastAsia="zh-CN"/>
        </w:rPr>
        <w:t>1</w:t>
      </w:r>
      <w:r>
        <w:rPr>
          <w:rFonts w:hint="eastAsia"/>
          <w:szCs w:val="21"/>
          <w:u w:val="single"/>
        </w:rPr>
        <w:t>天</w:t>
      </w:r>
      <w:r>
        <w:rPr>
          <w:rFonts w:hint="eastAsia"/>
          <w:szCs w:val="21"/>
          <w:u w:val="single"/>
          <w:lang w:eastAsia="zh-CN"/>
        </w:rPr>
        <w:t>，</w:t>
      </w:r>
      <w:r>
        <w:rPr>
          <w:rFonts w:hint="eastAsia"/>
          <w:szCs w:val="21"/>
          <w:u w:val="single"/>
          <w:lang w:val="en-US" w:eastAsia="zh-CN"/>
        </w:rPr>
        <w:t>承包人</w:t>
      </w:r>
      <w:r>
        <w:rPr>
          <w:rFonts w:hint="eastAsia"/>
          <w:szCs w:val="21"/>
          <w:u w:val="single"/>
        </w:rPr>
        <w:t>向发包人支付</w:t>
      </w:r>
      <w:r>
        <w:rPr>
          <w:rFonts w:hint="eastAsia"/>
          <w:szCs w:val="21"/>
          <w:u w:val="single"/>
          <w:lang w:val="en-US" w:eastAsia="zh-CN"/>
        </w:rPr>
        <w:t>人民币2</w:t>
      </w:r>
      <w:r>
        <w:rPr>
          <w:rFonts w:hint="eastAsia"/>
          <w:szCs w:val="21"/>
          <w:u w:val="single"/>
        </w:rPr>
        <w:t>0000元违约金</w:t>
      </w:r>
      <w:r>
        <w:rPr>
          <w:rFonts w:hint="eastAsia"/>
          <w:szCs w:val="21"/>
          <w:u w:val="single"/>
          <w:lang w:eastAsia="zh-CN"/>
        </w:rPr>
        <w:t>。</w:t>
      </w:r>
    </w:p>
    <w:p>
      <w:pPr>
        <w:snapToGrid w:val="0"/>
        <w:spacing w:line="360" w:lineRule="auto"/>
        <w:ind w:firstLine="420"/>
        <w:rPr>
          <w:rFonts w:hint="eastAsia"/>
          <w:szCs w:val="21"/>
          <w:u w:val="single"/>
          <w:lang w:val="en-US" w:eastAsia="zh-CN"/>
        </w:rPr>
      </w:pPr>
      <w:r>
        <w:rPr>
          <w:rFonts w:hint="eastAsia"/>
          <w:szCs w:val="21"/>
          <w:u w:val="single"/>
          <w:lang w:val="en-US" w:eastAsia="zh-CN"/>
        </w:rPr>
        <w:t>因承包人虚增工程量、高估冒算等原因，审计核减金额超报审初始金额20%以上的结算，将给与承包人相应的处罚，在原报审初始金额基础上，按照超20%以上核减金额比例，同等增加工程结算金额下浮比例（最高增加下浮率不超过3%）。</w:t>
      </w:r>
    </w:p>
    <w:p>
      <w:pPr>
        <w:snapToGrid w:val="0"/>
        <w:spacing w:line="360" w:lineRule="auto"/>
        <w:ind w:firstLine="420"/>
        <w:rPr>
          <w:rFonts w:hint="eastAsia"/>
          <w:szCs w:val="21"/>
          <w:u w:val="single"/>
        </w:rPr>
      </w:pPr>
      <w:r>
        <w:rPr>
          <w:rFonts w:hint="eastAsia"/>
          <w:szCs w:val="21"/>
          <w:u w:val="single"/>
        </w:rPr>
        <w:t>付款前，承包人必须向发包人提供足额有效的增值税专用发票。</w:t>
      </w:r>
    </w:p>
    <w:p>
      <w:pPr>
        <w:snapToGrid w:val="0"/>
        <w:spacing w:line="360" w:lineRule="auto"/>
        <w:ind w:firstLine="420"/>
        <w:rPr>
          <w:rFonts w:hint="eastAsia"/>
          <w:szCs w:val="21"/>
          <w:u w:val="single"/>
        </w:rPr>
      </w:pPr>
      <w:r>
        <w:rPr>
          <w:rFonts w:hint="eastAsia"/>
          <w:szCs w:val="21"/>
          <w:u w:val="single"/>
        </w:rPr>
        <w:t>联合体各成员的职责划分各自独立、各负其责。联合体各项费用由发包人统一支付至牵头人账户</w:t>
      </w:r>
      <w:r>
        <w:rPr>
          <w:rFonts w:hint="eastAsia"/>
          <w:szCs w:val="21"/>
          <w:u w:val="single"/>
          <w:lang w:eastAsia="zh-CN"/>
        </w:rPr>
        <w:t>。</w:t>
      </w:r>
      <w:r>
        <w:rPr>
          <w:rFonts w:hint="eastAsia"/>
          <w:szCs w:val="21"/>
          <w:u w:val="single"/>
        </w:rPr>
        <w:t>如联合体各方发生纠纷，一律与发包人无关，但因联合体各方职责划分内的事项造成发包人损失的，由联合体职责方承担责任。</w:t>
      </w:r>
    </w:p>
    <w:p>
      <w:pPr>
        <w:snapToGrid w:val="0"/>
        <w:spacing w:line="360" w:lineRule="auto"/>
        <w:ind w:firstLine="420"/>
        <w:rPr>
          <w:rFonts w:hint="eastAsia"/>
          <w:szCs w:val="21"/>
          <w:u w:val="single"/>
        </w:rPr>
      </w:pPr>
      <w:r>
        <w:rPr>
          <w:rFonts w:hint="eastAsia"/>
          <w:szCs w:val="21"/>
          <w:u w:val="single"/>
        </w:rPr>
        <w:t>关于计量周期的约定：每</w:t>
      </w:r>
      <w:r>
        <w:rPr>
          <w:rFonts w:hint="eastAsia"/>
          <w:szCs w:val="21"/>
          <w:u w:val="single"/>
          <w:lang w:val="en-US" w:eastAsia="zh-CN"/>
        </w:rPr>
        <w:t>二</w:t>
      </w:r>
      <w:r>
        <w:rPr>
          <w:rFonts w:hint="eastAsia"/>
          <w:szCs w:val="21"/>
          <w:u w:val="single"/>
        </w:rPr>
        <w:t>个月</w:t>
      </w:r>
    </w:p>
    <w:p>
      <w:pPr>
        <w:snapToGrid w:val="0"/>
        <w:spacing w:line="360" w:lineRule="auto"/>
        <w:ind w:firstLine="420"/>
        <w:rPr>
          <w:rFonts w:hint="eastAsia"/>
          <w:szCs w:val="21"/>
          <w:u w:val="single"/>
        </w:rPr>
      </w:pPr>
      <w:r>
        <w:rPr>
          <w:rFonts w:hint="eastAsia"/>
          <w:szCs w:val="21"/>
          <w:u w:val="single"/>
        </w:rPr>
        <w:t>关于计量金额的约定：首期计量支付金额须大于合同金额的10%，且每期大于200万元，如未达到，则转入下期。</w:t>
      </w:r>
    </w:p>
    <w:p>
      <w:pPr>
        <w:snapToGrid w:val="0"/>
        <w:spacing w:line="360" w:lineRule="auto"/>
        <w:ind w:firstLine="420"/>
        <w:rPr>
          <w:szCs w:val="21"/>
          <w:u w:val="single"/>
        </w:rPr>
      </w:pPr>
      <w:r>
        <w:rPr>
          <w:rFonts w:hint="eastAsia"/>
          <w:szCs w:val="21"/>
          <w:u w:val="single"/>
        </w:rPr>
        <w:t>发包人应在进度款支付证书或临时进度款支付证书签发后的14 天内完成支付，发包人逾期支付进度款的，应按照 / 支付违约金。</w:t>
      </w:r>
    </w:p>
    <w:p>
      <w:pPr>
        <w:snapToGrid w:val="0"/>
        <w:spacing w:line="360" w:lineRule="auto"/>
        <w:ind w:firstLine="420"/>
        <w:rPr>
          <w:szCs w:val="21"/>
        </w:rPr>
      </w:pPr>
      <w:r>
        <w:rPr>
          <w:szCs w:val="21"/>
        </w:rPr>
        <w:t xml:space="preserve">14.4 </w:t>
      </w:r>
      <w:r>
        <w:rPr>
          <w:rFonts w:hint="eastAsia"/>
          <w:szCs w:val="21"/>
        </w:rPr>
        <w:t>付款计划表</w:t>
      </w:r>
    </w:p>
    <w:p>
      <w:pPr>
        <w:snapToGrid w:val="0"/>
        <w:spacing w:line="360" w:lineRule="auto"/>
        <w:ind w:firstLine="420"/>
        <w:rPr>
          <w:szCs w:val="21"/>
        </w:rPr>
      </w:pPr>
      <w:r>
        <w:rPr>
          <w:szCs w:val="21"/>
        </w:rPr>
        <w:t>14.4.1 付款计划表的编制要求</w:t>
      </w:r>
      <w:r>
        <w:rPr>
          <w:rFonts w:hint="eastAsia"/>
          <w:szCs w:val="21"/>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14.4.2 </w:t>
      </w:r>
      <w:r>
        <w:rPr>
          <w:rFonts w:hint="eastAsia"/>
          <w:szCs w:val="21"/>
        </w:rPr>
        <w:t>付款计划表的编制与审批</w:t>
      </w:r>
    </w:p>
    <w:p>
      <w:pPr>
        <w:snapToGrid w:val="0"/>
        <w:spacing w:line="360" w:lineRule="auto"/>
        <w:ind w:firstLine="420"/>
        <w:rPr>
          <w:szCs w:val="21"/>
        </w:rPr>
      </w:pPr>
      <w:r>
        <w:rPr>
          <w:rFonts w:hint="eastAsia"/>
          <w:szCs w:val="21"/>
        </w:rPr>
        <w:t>付款计划表的编制：</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14.5 </w:t>
      </w:r>
      <w:r>
        <w:rPr>
          <w:rFonts w:hint="eastAsia"/>
          <w:szCs w:val="21"/>
        </w:rPr>
        <w:t>竣工结算</w:t>
      </w:r>
    </w:p>
    <w:p>
      <w:pPr>
        <w:snapToGrid w:val="0"/>
        <w:spacing w:line="360" w:lineRule="auto"/>
        <w:ind w:firstLine="420"/>
        <w:rPr>
          <w:szCs w:val="21"/>
        </w:rPr>
      </w:pPr>
      <w:r>
        <w:rPr>
          <w:szCs w:val="21"/>
        </w:rPr>
        <w:t xml:space="preserve">14.5.1 </w:t>
      </w:r>
      <w:r>
        <w:rPr>
          <w:rFonts w:hint="eastAsia"/>
          <w:szCs w:val="21"/>
        </w:rPr>
        <w:t>竣工结算申请</w:t>
      </w:r>
    </w:p>
    <w:p>
      <w:pPr>
        <w:snapToGrid w:val="0"/>
        <w:spacing w:line="360" w:lineRule="auto"/>
        <w:ind w:firstLine="420"/>
        <w:rPr>
          <w:szCs w:val="21"/>
        </w:rPr>
      </w:pPr>
      <w:r>
        <w:rPr>
          <w:rFonts w:hint="eastAsia"/>
          <w:szCs w:val="21"/>
        </w:rPr>
        <w:t>承包人提交竣工结算申请的时间：</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竣工结算申请的资料清单和份数：</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竣工结算申请单的内容应包括：</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14.5.2 </w:t>
      </w:r>
      <w:r>
        <w:rPr>
          <w:rFonts w:hint="eastAsia"/>
          <w:szCs w:val="21"/>
        </w:rPr>
        <w:t>竣工结算审核</w:t>
      </w:r>
    </w:p>
    <w:p>
      <w:pPr>
        <w:snapToGrid w:val="0"/>
        <w:spacing w:line="360" w:lineRule="auto"/>
        <w:ind w:firstLine="420"/>
        <w:rPr>
          <w:szCs w:val="21"/>
        </w:rPr>
      </w:pPr>
      <w:r>
        <w:rPr>
          <w:rFonts w:hint="eastAsia"/>
          <w:szCs w:val="21"/>
        </w:rPr>
        <w:t>发包人审批竣工付款申请单的期限：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发包人完成竣工付款的期限：</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关于竣工付款证书异议部分复核的方式和程序：</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14.6 </w:t>
      </w:r>
      <w:r>
        <w:rPr>
          <w:rFonts w:hint="eastAsia"/>
          <w:szCs w:val="21"/>
        </w:rPr>
        <w:t>质量保证金</w:t>
      </w:r>
    </w:p>
    <w:p>
      <w:pPr>
        <w:snapToGrid w:val="0"/>
        <w:spacing w:line="360" w:lineRule="auto"/>
        <w:ind w:firstLine="420"/>
        <w:rPr>
          <w:szCs w:val="21"/>
        </w:rPr>
      </w:pPr>
      <w:r>
        <w:rPr>
          <w:szCs w:val="21"/>
        </w:rPr>
        <w:t xml:space="preserve">14.6.1 </w:t>
      </w:r>
      <w:r>
        <w:rPr>
          <w:rFonts w:hint="eastAsia"/>
          <w:szCs w:val="21"/>
        </w:rPr>
        <w:t>承包人提供质量保证金的方式</w:t>
      </w:r>
    </w:p>
    <w:p>
      <w:pPr>
        <w:snapToGrid w:val="0"/>
        <w:spacing w:line="360" w:lineRule="auto"/>
        <w:ind w:firstLine="420"/>
        <w:rPr>
          <w:szCs w:val="21"/>
        </w:rPr>
      </w:pPr>
      <w:r>
        <w:rPr>
          <w:szCs w:val="21"/>
        </w:rPr>
        <w:t>质量</w:t>
      </w:r>
      <w:r>
        <w:rPr>
          <w:rFonts w:hint="eastAsia"/>
          <w:szCs w:val="21"/>
        </w:rPr>
        <w:t>保证金</w:t>
      </w:r>
      <w:r>
        <w:rPr>
          <w:szCs w:val="21"/>
        </w:rPr>
        <w:t>采用以下</w:t>
      </w:r>
      <w:r>
        <w:rPr>
          <w:rFonts w:hint="eastAsia"/>
          <w:szCs w:val="21"/>
        </w:rPr>
        <w:t>第</w:t>
      </w:r>
      <w:r>
        <w:rPr>
          <w:szCs w:val="21"/>
          <w:u w:val="single"/>
        </w:rPr>
        <w:t xml:space="preserve">        </w:t>
      </w:r>
      <w:r>
        <w:rPr>
          <w:rFonts w:hint="eastAsia"/>
          <w:szCs w:val="21"/>
        </w:rPr>
        <w:t>种</w:t>
      </w:r>
      <w:r>
        <w:rPr>
          <w:szCs w:val="21"/>
        </w:rPr>
        <w:t>方式：</w:t>
      </w:r>
    </w:p>
    <w:p>
      <w:pPr>
        <w:snapToGrid w:val="0"/>
        <w:spacing w:line="360" w:lineRule="auto"/>
        <w:ind w:firstLine="420"/>
        <w:rPr>
          <w:szCs w:val="21"/>
        </w:rPr>
      </w:pPr>
      <w:r>
        <w:rPr>
          <w:szCs w:val="21"/>
        </w:rPr>
        <w:t xml:space="preserve">(1) </w:t>
      </w:r>
      <w:r>
        <w:rPr>
          <w:rFonts w:hint="eastAsia"/>
          <w:szCs w:val="21"/>
        </w:rPr>
        <w:t>工程质量保证担保</w:t>
      </w:r>
      <w:r>
        <w:rPr>
          <w:szCs w:val="21"/>
        </w:rPr>
        <w:t>，保证金额为：</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(2) </w:t>
      </w:r>
      <w:r>
        <w:rPr>
          <w:szCs w:val="21"/>
          <w:u w:val="single"/>
        </w:rPr>
        <w:t xml:space="preserve">       </w:t>
      </w:r>
      <w:r>
        <w:rPr>
          <w:szCs w:val="21"/>
        </w:rPr>
        <w:t>%的工程款；</w:t>
      </w:r>
    </w:p>
    <w:p>
      <w:pPr>
        <w:snapToGrid w:val="0"/>
        <w:spacing w:line="360" w:lineRule="auto"/>
        <w:ind w:firstLine="420"/>
        <w:rPr>
          <w:szCs w:val="21"/>
        </w:rPr>
      </w:pPr>
      <w:r>
        <w:rPr>
          <w:szCs w:val="21"/>
        </w:rPr>
        <w:t xml:space="preserve">(3) </w:t>
      </w:r>
      <w:r>
        <w:rPr>
          <w:rFonts w:hint="eastAsia"/>
          <w:szCs w:val="21"/>
        </w:rPr>
        <w:t>其他方式：</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14.6.2 </w:t>
      </w:r>
      <w:r>
        <w:rPr>
          <w:rFonts w:hint="eastAsia"/>
          <w:szCs w:val="21"/>
        </w:rPr>
        <w:t>质量保证金的预留</w:t>
      </w:r>
    </w:p>
    <w:p>
      <w:pPr>
        <w:snapToGrid w:val="0"/>
        <w:spacing w:line="360" w:lineRule="auto"/>
        <w:ind w:firstLine="420"/>
        <w:rPr>
          <w:szCs w:val="21"/>
        </w:rPr>
      </w:pPr>
      <w:r>
        <w:rPr>
          <w:szCs w:val="21"/>
        </w:rPr>
        <w:t>质量</w:t>
      </w:r>
      <w:r>
        <w:rPr>
          <w:rFonts w:hint="eastAsia"/>
          <w:szCs w:val="21"/>
        </w:rPr>
        <w:t>保证金</w:t>
      </w:r>
      <w:r>
        <w:rPr>
          <w:szCs w:val="21"/>
        </w:rPr>
        <w:t>的预留采取以下第</w:t>
      </w:r>
      <w:r>
        <w:rPr>
          <w:szCs w:val="21"/>
          <w:u w:val="single"/>
        </w:rPr>
        <w:t xml:space="preserve">      </w:t>
      </w:r>
      <w:r>
        <w:rPr>
          <w:rFonts w:hint="eastAsia"/>
          <w:szCs w:val="21"/>
        </w:rPr>
        <w:t>种</w:t>
      </w:r>
      <w:r>
        <w:rPr>
          <w:szCs w:val="21"/>
        </w:rPr>
        <w:t>方式：</w:t>
      </w:r>
    </w:p>
    <w:p>
      <w:pPr>
        <w:snapToGrid w:val="0"/>
        <w:spacing w:line="360" w:lineRule="auto"/>
        <w:ind w:firstLine="420"/>
        <w:rPr>
          <w:szCs w:val="21"/>
        </w:rPr>
      </w:pPr>
      <w:r>
        <w:rPr>
          <w:szCs w:val="21"/>
        </w:rPr>
        <w:t>(1) 在支付工程进度款时逐次预留</w:t>
      </w:r>
      <w:r>
        <w:rPr>
          <w:rFonts w:hint="eastAsia"/>
          <w:szCs w:val="21"/>
        </w:rPr>
        <w:t>的质量保证金的比例：</w:t>
      </w:r>
      <w:r>
        <w:rPr>
          <w:szCs w:val="21"/>
          <w:u w:val="single"/>
        </w:rPr>
        <w:t xml:space="preserve">            </w:t>
      </w:r>
      <w:r>
        <w:rPr>
          <w:szCs w:val="21"/>
        </w:rPr>
        <w:t>，在此情形下，质量</w:t>
      </w:r>
      <w:r>
        <w:rPr>
          <w:rFonts w:hint="eastAsia"/>
          <w:szCs w:val="21"/>
        </w:rPr>
        <w:t>保证金</w:t>
      </w:r>
      <w:r>
        <w:rPr>
          <w:szCs w:val="21"/>
        </w:rPr>
        <w:t>的计算基数不包括预付款的支付、扣回以及价格调整的金额；</w:t>
      </w:r>
    </w:p>
    <w:p>
      <w:pPr>
        <w:snapToGrid w:val="0"/>
        <w:spacing w:line="360" w:lineRule="auto"/>
        <w:ind w:firstLine="420"/>
        <w:rPr>
          <w:szCs w:val="21"/>
        </w:rPr>
      </w:pPr>
      <w:r>
        <w:rPr>
          <w:szCs w:val="21"/>
        </w:rPr>
        <w:t>(2) 工程竣工结算时一次性预留</w:t>
      </w:r>
      <w:r>
        <w:rPr>
          <w:rFonts w:hint="eastAsia"/>
          <w:szCs w:val="21"/>
        </w:rPr>
        <w:t>专用合同条件第</w:t>
      </w:r>
      <w:r>
        <w:rPr>
          <w:szCs w:val="21"/>
        </w:rPr>
        <w:t>14.6.1</w:t>
      </w:r>
      <w:r>
        <w:rPr>
          <w:rFonts w:hint="eastAsia"/>
          <w:szCs w:val="21"/>
        </w:rPr>
        <w:t>项第</w:t>
      </w:r>
      <w:r>
        <w:rPr>
          <w:szCs w:val="21"/>
        </w:rPr>
        <w:t>(2)</w:t>
      </w:r>
      <w:r>
        <w:rPr>
          <w:rFonts w:hint="eastAsia"/>
          <w:szCs w:val="21"/>
        </w:rPr>
        <w:t>目约定的工程款预留比例的</w:t>
      </w:r>
      <w:r>
        <w:rPr>
          <w:szCs w:val="21"/>
        </w:rPr>
        <w:t>质量</w:t>
      </w:r>
      <w:r>
        <w:rPr>
          <w:rFonts w:hint="eastAsia"/>
          <w:szCs w:val="21"/>
        </w:rPr>
        <w:t>保证金</w:t>
      </w:r>
      <w:r>
        <w:rPr>
          <w:szCs w:val="21"/>
        </w:rPr>
        <w:t>；</w:t>
      </w:r>
    </w:p>
    <w:p>
      <w:pPr>
        <w:snapToGrid w:val="0"/>
        <w:spacing w:line="360" w:lineRule="auto"/>
        <w:ind w:firstLine="420"/>
        <w:rPr>
          <w:szCs w:val="21"/>
        </w:rPr>
      </w:pPr>
      <w:r>
        <w:rPr>
          <w:szCs w:val="21"/>
        </w:rPr>
        <w:t>(3) 其他预留方式:</w:t>
      </w:r>
      <w:r>
        <w:rPr>
          <w:rFonts w:hint="eastAsia"/>
          <w:szCs w:val="21"/>
        </w:rPr>
        <w:t xml:space="preserve"> </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关于质量保证金的补充约定：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14.7 </w:t>
      </w:r>
      <w:r>
        <w:rPr>
          <w:rFonts w:hint="eastAsia"/>
          <w:szCs w:val="21"/>
        </w:rPr>
        <w:t>最终结清</w:t>
      </w:r>
    </w:p>
    <w:p>
      <w:pPr>
        <w:snapToGrid w:val="0"/>
        <w:spacing w:line="360" w:lineRule="auto"/>
        <w:ind w:firstLine="420"/>
        <w:rPr>
          <w:szCs w:val="21"/>
        </w:rPr>
      </w:pPr>
      <w:r>
        <w:rPr>
          <w:szCs w:val="21"/>
        </w:rPr>
        <w:t xml:space="preserve">14.7.1 </w:t>
      </w:r>
      <w:r>
        <w:rPr>
          <w:rFonts w:hint="eastAsia"/>
          <w:szCs w:val="21"/>
        </w:rPr>
        <w:t>最终结清申请单</w:t>
      </w:r>
    </w:p>
    <w:p>
      <w:pPr>
        <w:snapToGrid w:val="0"/>
        <w:spacing w:line="360" w:lineRule="auto"/>
        <w:ind w:firstLine="420"/>
        <w:rPr>
          <w:szCs w:val="21"/>
        </w:rPr>
      </w:pPr>
      <w:r>
        <w:rPr>
          <w:rFonts w:hint="eastAsia"/>
          <w:szCs w:val="21"/>
        </w:rPr>
        <w:t>当事人双方关于最终结清申请的其他约定：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14.7.2 </w:t>
      </w:r>
      <w:r>
        <w:rPr>
          <w:rFonts w:hint="eastAsia"/>
          <w:szCs w:val="21"/>
        </w:rPr>
        <w:t>最终结清证书和支付</w:t>
      </w:r>
    </w:p>
    <w:p>
      <w:pPr>
        <w:snapToGrid w:val="0"/>
        <w:spacing w:line="360" w:lineRule="auto"/>
        <w:ind w:firstLine="420"/>
        <w:rPr>
          <w:szCs w:val="21"/>
        </w:rPr>
      </w:pPr>
      <w:r>
        <w:rPr>
          <w:rFonts w:hint="eastAsia"/>
          <w:szCs w:val="21"/>
        </w:rPr>
        <w:t>当事人双方关于最终结清支付的其他约定：</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15条</w:t>
      </w:r>
      <w:r>
        <w:rPr>
          <w:rFonts w:hint="eastAsia"/>
          <w:szCs w:val="21"/>
        </w:rPr>
        <w:t xml:space="preserve"> 违约</w:t>
      </w:r>
    </w:p>
    <w:p>
      <w:pPr>
        <w:snapToGrid w:val="0"/>
        <w:spacing w:line="360" w:lineRule="auto"/>
        <w:ind w:firstLine="420"/>
        <w:rPr>
          <w:szCs w:val="21"/>
        </w:rPr>
      </w:pPr>
      <w:r>
        <w:rPr>
          <w:szCs w:val="21"/>
        </w:rPr>
        <w:t xml:space="preserve">15.1 </w:t>
      </w:r>
      <w:r>
        <w:rPr>
          <w:rFonts w:hint="eastAsia"/>
          <w:szCs w:val="21"/>
        </w:rPr>
        <w:t>发包人违约</w:t>
      </w:r>
    </w:p>
    <w:p>
      <w:pPr>
        <w:snapToGrid w:val="0"/>
        <w:spacing w:line="360" w:lineRule="auto"/>
        <w:ind w:firstLine="420"/>
        <w:rPr>
          <w:szCs w:val="21"/>
        </w:rPr>
      </w:pPr>
      <w:r>
        <w:rPr>
          <w:szCs w:val="21"/>
        </w:rPr>
        <w:t xml:space="preserve">15.1.1 </w:t>
      </w:r>
      <w:r>
        <w:rPr>
          <w:rFonts w:hint="eastAsia"/>
          <w:szCs w:val="21"/>
        </w:rPr>
        <w:t>发包人违约的情形</w:t>
      </w:r>
    </w:p>
    <w:p>
      <w:pPr>
        <w:snapToGrid w:val="0"/>
        <w:spacing w:line="360" w:lineRule="auto"/>
        <w:ind w:firstLine="420"/>
        <w:rPr>
          <w:szCs w:val="21"/>
        </w:rPr>
      </w:pPr>
      <w:r>
        <w:rPr>
          <w:rFonts w:hint="eastAsia"/>
          <w:szCs w:val="21"/>
        </w:rPr>
        <w:t>发包人违约的其他情形</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15.1.3 </w:t>
      </w:r>
      <w:r>
        <w:rPr>
          <w:rFonts w:hint="eastAsia"/>
          <w:szCs w:val="21"/>
        </w:rPr>
        <w:t>发包人违约的责任</w:t>
      </w:r>
    </w:p>
    <w:p>
      <w:pPr>
        <w:snapToGrid w:val="0"/>
        <w:spacing w:line="360" w:lineRule="auto"/>
        <w:ind w:firstLine="420"/>
        <w:rPr>
          <w:szCs w:val="21"/>
        </w:rPr>
      </w:pPr>
      <w:r>
        <w:rPr>
          <w:rFonts w:hint="eastAsia"/>
          <w:szCs w:val="21"/>
        </w:rPr>
        <w:t>发包人违约</w:t>
      </w:r>
      <w:r>
        <w:rPr>
          <w:szCs w:val="21"/>
        </w:rPr>
        <w:t>责任</w:t>
      </w:r>
      <w:r>
        <w:rPr>
          <w:rFonts w:hint="eastAsia"/>
          <w:szCs w:val="21"/>
        </w:rPr>
        <w:t>的</w:t>
      </w:r>
      <w:r>
        <w:rPr>
          <w:szCs w:val="21"/>
        </w:rPr>
        <w:t>承担方式</w:t>
      </w:r>
      <w:r>
        <w:rPr>
          <w:rFonts w:hint="eastAsia"/>
          <w:szCs w:val="21"/>
        </w:rPr>
        <w:t>和</w:t>
      </w:r>
      <w:r>
        <w:rPr>
          <w:szCs w:val="21"/>
        </w:rPr>
        <w:t>计算方法</w:t>
      </w:r>
      <w:r>
        <w:rPr>
          <w:rFonts w:hint="eastAsia"/>
          <w:szCs w:val="21"/>
        </w:rPr>
        <w:t>：</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15.2 </w:t>
      </w:r>
      <w:r>
        <w:rPr>
          <w:rFonts w:hint="eastAsia"/>
          <w:szCs w:val="21"/>
        </w:rPr>
        <w:t>承包人违约</w:t>
      </w:r>
    </w:p>
    <w:p>
      <w:pPr>
        <w:snapToGrid w:val="0"/>
        <w:spacing w:line="360" w:lineRule="auto"/>
        <w:ind w:firstLine="420"/>
        <w:rPr>
          <w:szCs w:val="21"/>
        </w:rPr>
      </w:pPr>
      <w:r>
        <w:rPr>
          <w:szCs w:val="21"/>
        </w:rPr>
        <w:t xml:space="preserve">15.2.1 </w:t>
      </w:r>
      <w:r>
        <w:rPr>
          <w:rFonts w:hint="eastAsia"/>
          <w:szCs w:val="21"/>
        </w:rPr>
        <w:t>承包人违约的情形</w:t>
      </w:r>
    </w:p>
    <w:p>
      <w:pPr>
        <w:snapToGrid w:val="0"/>
        <w:spacing w:line="360" w:lineRule="auto"/>
        <w:ind w:firstLine="420"/>
        <w:rPr>
          <w:szCs w:val="21"/>
        </w:rPr>
      </w:pPr>
      <w:r>
        <w:rPr>
          <w:rFonts w:hint="eastAsia"/>
          <w:szCs w:val="21"/>
        </w:rPr>
        <w:t>承包人违约的其他情形：</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15.2.2 </w:t>
      </w:r>
      <w:r>
        <w:rPr>
          <w:rFonts w:hint="eastAsia"/>
          <w:szCs w:val="21"/>
        </w:rPr>
        <w:t>通知改正</w:t>
      </w:r>
    </w:p>
    <w:p>
      <w:pPr>
        <w:snapToGrid w:val="0"/>
        <w:spacing w:line="360" w:lineRule="auto"/>
        <w:ind w:firstLine="420"/>
        <w:rPr>
          <w:szCs w:val="21"/>
        </w:rPr>
      </w:pPr>
      <w:r>
        <w:rPr>
          <w:rFonts w:hint="eastAsia"/>
          <w:szCs w:val="21"/>
        </w:rPr>
        <w:t>工程师通知承包人改正的合理期限是：</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15.2.3 </w:t>
      </w:r>
      <w:r>
        <w:rPr>
          <w:rFonts w:hint="eastAsia"/>
          <w:szCs w:val="21"/>
        </w:rPr>
        <w:t>承包人违约的责任</w:t>
      </w:r>
    </w:p>
    <w:p>
      <w:pPr>
        <w:snapToGrid w:val="0"/>
        <w:spacing w:line="360" w:lineRule="auto"/>
        <w:ind w:firstLine="420"/>
        <w:rPr>
          <w:szCs w:val="21"/>
        </w:rPr>
      </w:pPr>
      <w:r>
        <w:rPr>
          <w:rFonts w:hint="eastAsia"/>
          <w:szCs w:val="21"/>
        </w:rPr>
        <w:t>承包人违约</w:t>
      </w:r>
      <w:r>
        <w:rPr>
          <w:szCs w:val="21"/>
        </w:rPr>
        <w:t>责任</w:t>
      </w:r>
      <w:r>
        <w:rPr>
          <w:rFonts w:hint="eastAsia"/>
          <w:szCs w:val="21"/>
        </w:rPr>
        <w:t>的</w:t>
      </w:r>
      <w:r>
        <w:rPr>
          <w:szCs w:val="21"/>
        </w:rPr>
        <w:t>承担方式</w:t>
      </w:r>
      <w:r>
        <w:rPr>
          <w:rFonts w:hint="eastAsia"/>
          <w:szCs w:val="21"/>
        </w:rPr>
        <w:t>和</w:t>
      </w:r>
      <w:r>
        <w:rPr>
          <w:szCs w:val="21"/>
        </w:rPr>
        <w:t>计算方法</w:t>
      </w:r>
      <w:r>
        <w:rPr>
          <w:rFonts w:hint="eastAsia"/>
          <w:szCs w:val="21"/>
        </w:rPr>
        <w:t>：</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16条</w:t>
      </w:r>
      <w:r>
        <w:rPr>
          <w:rFonts w:hint="eastAsia"/>
          <w:szCs w:val="21"/>
        </w:rPr>
        <w:t xml:space="preserve"> 合同解除</w:t>
      </w:r>
    </w:p>
    <w:p>
      <w:pPr>
        <w:snapToGrid w:val="0"/>
        <w:spacing w:line="360" w:lineRule="auto"/>
        <w:ind w:firstLine="420"/>
        <w:rPr>
          <w:szCs w:val="21"/>
        </w:rPr>
      </w:pPr>
      <w:r>
        <w:rPr>
          <w:szCs w:val="21"/>
        </w:rPr>
        <w:t xml:space="preserve">16.1 </w:t>
      </w:r>
      <w:r>
        <w:rPr>
          <w:rFonts w:hint="eastAsia"/>
          <w:szCs w:val="21"/>
        </w:rPr>
        <w:t>由发包人解除合同</w:t>
      </w:r>
    </w:p>
    <w:p>
      <w:pPr>
        <w:snapToGrid w:val="0"/>
        <w:spacing w:line="360" w:lineRule="auto"/>
        <w:ind w:firstLine="420"/>
        <w:rPr>
          <w:szCs w:val="21"/>
        </w:rPr>
      </w:pPr>
      <w:r>
        <w:rPr>
          <w:szCs w:val="21"/>
        </w:rPr>
        <w:t xml:space="preserve">16.1.1 </w:t>
      </w:r>
      <w:r>
        <w:rPr>
          <w:rFonts w:hint="eastAsia"/>
          <w:szCs w:val="21"/>
        </w:rPr>
        <w:t>因承包人违约解除合同</w:t>
      </w:r>
    </w:p>
    <w:p>
      <w:pPr>
        <w:snapToGrid w:val="0"/>
        <w:spacing w:line="360" w:lineRule="auto"/>
        <w:ind w:firstLine="420"/>
        <w:rPr>
          <w:szCs w:val="21"/>
        </w:rPr>
      </w:pPr>
      <w:r>
        <w:rPr>
          <w:rFonts w:hint="eastAsia"/>
          <w:szCs w:val="21"/>
        </w:rPr>
        <w:t>双方约定可由发包人解除合同的其他事由：</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16.2 </w:t>
      </w:r>
      <w:r>
        <w:rPr>
          <w:rFonts w:hint="eastAsia"/>
          <w:szCs w:val="21"/>
        </w:rPr>
        <w:t>由承包人解除合同</w:t>
      </w:r>
    </w:p>
    <w:p>
      <w:pPr>
        <w:snapToGrid w:val="0"/>
        <w:spacing w:line="360" w:lineRule="auto"/>
        <w:ind w:firstLine="420"/>
        <w:rPr>
          <w:szCs w:val="21"/>
        </w:rPr>
      </w:pPr>
      <w:r>
        <w:rPr>
          <w:szCs w:val="21"/>
        </w:rPr>
        <w:t xml:space="preserve">16.2.1 </w:t>
      </w:r>
      <w:r>
        <w:rPr>
          <w:rFonts w:hint="eastAsia"/>
          <w:szCs w:val="21"/>
        </w:rPr>
        <w:t>因发包人违约解除合同</w:t>
      </w:r>
    </w:p>
    <w:p>
      <w:pPr>
        <w:snapToGrid w:val="0"/>
        <w:spacing w:line="360" w:lineRule="auto"/>
        <w:ind w:firstLine="420"/>
        <w:rPr>
          <w:szCs w:val="21"/>
        </w:rPr>
      </w:pPr>
      <w:r>
        <w:rPr>
          <w:rFonts w:hint="eastAsia"/>
          <w:szCs w:val="21"/>
        </w:rPr>
        <w:t>双方约定可由承包人解除合同的其他事由：</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17条</w:t>
      </w:r>
      <w:r>
        <w:rPr>
          <w:rFonts w:hint="eastAsia"/>
          <w:szCs w:val="21"/>
        </w:rPr>
        <w:t xml:space="preserve"> 不可抗力</w:t>
      </w:r>
    </w:p>
    <w:p>
      <w:pPr>
        <w:snapToGrid w:val="0"/>
        <w:spacing w:line="360" w:lineRule="auto"/>
        <w:ind w:firstLine="420"/>
        <w:rPr>
          <w:szCs w:val="21"/>
        </w:rPr>
      </w:pPr>
      <w:r>
        <w:rPr>
          <w:szCs w:val="21"/>
        </w:rPr>
        <w:t xml:space="preserve">17.1 </w:t>
      </w:r>
      <w:r>
        <w:rPr>
          <w:rFonts w:hint="eastAsia"/>
          <w:szCs w:val="21"/>
        </w:rPr>
        <w:t>不可抗力的定义</w:t>
      </w:r>
    </w:p>
    <w:p>
      <w:pPr>
        <w:snapToGrid w:val="0"/>
        <w:spacing w:line="360" w:lineRule="auto"/>
        <w:ind w:firstLine="420"/>
        <w:rPr>
          <w:szCs w:val="21"/>
        </w:rPr>
      </w:pPr>
      <w:r>
        <w:rPr>
          <w:szCs w:val="21"/>
        </w:rPr>
        <w:t>除通用合同条件约定的不可抗力事件之外，视为不可抗力的其他情形：</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17.6 </w:t>
      </w:r>
      <w:r>
        <w:rPr>
          <w:rFonts w:hint="eastAsia"/>
          <w:szCs w:val="21"/>
        </w:rPr>
        <w:t>因不可抗力解除合同</w:t>
      </w:r>
    </w:p>
    <w:p>
      <w:pPr>
        <w:snapToGrid w:val="0"/>
        <w:spacing w:line="360" w:lineRule="auto"/>
        <w:ind w:firstLine="420"/>
        <w:rPr>
          <w:szCs w:val="21"/>
        </w:rPr>
      </w:pPr>
      <w:r>
        <w:rPr>
          <w:szCs w:val="21"/>
        </w:rPr>
        <w:t>合同解除后，发包人应</w:t>
      </w:r>
      <w:r>
        <w:rPr>
          <w:rFonts w:hint="eastAsia"/>
          <w:szCs w:val="21"/>
        </w:rPr>
        <w:t>当</w:t>
      </w:r>
      <w:r>
        <w:rPr>
          <w:szCs w:val="21"/>
        </w:rPr>
        <w:t>在商定或确定发包人应支付款项后</w:t>
      </w:r>
      <w:r>
        <w:rPr>
          <w:rFonts w:hint="eastAsia"/>
          <w:szCs w:val="21"/>
        </w:rPr>
        <w:t>的</w:t>
      </w:r>
      <w:r>
        <w:rPr>
          <w:rFonts w:hint="eastAsia"/>
          <w:szCs w:val="21"/>
          <w:u w:val="single"/>
        </w:rPr>
        <w:t xml:space="preserve"> </w:t>
      </w:r>
      <w:r>
        <w:rPr>
          <w:szCs w:val="21"/>
          <w:u w:val="single"/>
        </w:rPr>
        <w:t xml:space="preserve">      </w:t>
      </w:r>
      <w:r>
        <w:rPr>
          <w:szCs w:val="21"/>
        </w:rPr>
        <w:t>天内完成款项的支付。</w:t>
      </w:r>
    </w:p>
    <w:p>
      <w:pPr>
        <w:spacing w:line="300" w:lineRule="auto"/>
        <w:ind w:left="630" w:hanging="630" w:hangingChars="300"/>
        <w:rPr>
          <w:szCs w:val="21"/>
        </w:rPr>
      </w:pPr>
      <w:r>
        <w:rPr>
          <w:rFonts w:hint="eastAsia"/>
          <w:szCs w:val="21"/>
        </w:rPr>
        <w:t>第1</w:t>
      </w:r>
      <w:r>
        <w:rPr>
          <w:szCs w:val="21"/>
        </w:rPr>
        <w:t>8</w:t>
      </w:r>
      <w:r>
        <w:rPr>
          <w:rFonts w:hint="eastAsia"/>
          <w:szCs w:val="21"/>
        </w:rPr>
        <w:t>条</w:t>
      </w:r>
      <w:r>
        <w:rPr>
          <w:szCs w:val="21"/>
        </w:rPr>
        <w:t xml:space="preserve"> </w:t>
      </w:r>
      <w:r>
        <w:rPr>
          <w:rFonts w:hint="eastAsia"/>
          <w:szCs w:val="21"/>
        </w:rPr>
        <w:t>保险</w:t>
      </w:r>
    </w:p>
    <w:p>
      <w:pPr>
        <w:snapToGrid w:val="0"/>
        <w:spacing w:line="360" w:lineRule="auto"/>
        <w:ind w:firstLine="420"/>
        <w:rPr>
          <w:szCs w:val="21"/>
        </w:rPr>
      </w:pPr>
      <w:r>
        <w:rPr>
          <w:szCs w:val="21"/>
        </w:rPr>
        <w:t xml:space="preserve">18.1 </w:t>
      </w:r>
      <w:r>
        <w:rPr>
          <w:rFonts w:hint="eastAsia"/>
          <w:szCs w:val="21"/>
        </w:rPr>
        <w:t>设计和工程保险</w:t>
      </w:r>
    </w:p>
    <w:p>
      <w:pPr>
        <w:snapToGrid w:val="0"/>
        <w:spacing w:line="360" w:lineRule="auto"/>
        <w:ind w:firstLine="420"/>
        <w:rPr>
          <w:szCs w:val="21"/>
        </w:rPr>
      </w:pPr>
      <w:r>
        <w:rPr>
          <w:rFonts w:hint="eastAsia"/>
          <w:szCs w:val="21"/>
        </w:rPr>
        <w:t>1</w:t>
      </w:r>
      <w:r>
        <w:rPr>
          <w:szCs w:val="21"/>
        </w:rPr>
        <w:t xml:space="preserve">8.1.1 </w:t>
      </w:r>
      <w:r>
        <w:rPr>
          <w:rFonts w:hint="eastAsia"/>
          <w:szCs w:val="21"/>
        </w:rPr>
        <w:t>双方当事人</w:t>
      </w:r>
      <w:r>
        <w:rPr>
          <w:szCs w:val="21"/>
        </w:rPr>
        <w:t>关于</w:t>
      </w:r>
      <w:r>
        <w:rPr>
          <w:rFonts w:hint="eastAsia"/>
          <w:szCs w:val="21"/>
        </w:rPr>
        <w:t>设计和工程保险</w:t>
      </w:r>
      <w:r>
        <w:rPr>
          <w:szCs w:val="21"/>
        </w:rPr>
        <w:t>的特别</w:t>
      </w:r>
      <w:r>
        <w:rPr>
          <w:rFonts w:hint="eastAsia"/>
          <w:szCs w:val="21"/>
        </w:rPr>
        <w:t>约</w:t>
      </w:r>
      <w:r>
        <w:rPr>
          <w:szCs w:val="21"/>
        </w:rPr>
        <w:t>定</w:t>
      </w:r>
      <w:r>
        <w:rPr>
          <w:rFonts w:hint="eastAsia"/>
          <w:szCs w:val="21"/>
        </w:rPr>
        <w:t>：</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1</w:t>
      </w:r>
      <w:r>
        <w:rPr>
          <w:szCs w:val="21"/>
        </w:rPr>
        <w:t xml:space="preserve">8.1.2 </w:t>
      </w:r>
      <w:r>
        <w:rPr>
          <w:rFonts w:hint="eastAsia"/>
          <w:szCs w:val="21"/>
        </w:rPr>
        <w:t>双方当事人</w:t>
      </w:r>
      <w:r>
        <w:rPr>
          <w:szCs w:val="21"/>
        </w:rPr>
        <w:t>关于</w:t>
      </w:r>
      <w:r>
        <w:rPr>
          <w:rFonts w:hint="eastAsia"/>
          <w:szCs w:val="21"/>
        </w:rPr>
        <w:t>第三方责任险</w:t>
      </w:r>
      <w:r>
        <w:rPr>
          <w:szCs w:val="21"/>
        </w:rPr>
        <w:t>的特别</w:t>
      </w:r>
      <w:r>
        <w:rPr>
          <w:rFonts w:hint="eastAsia"/>
          <w:szCs w:val="21"/>
        </w:rPr>
        <w:t>约</w:t>
      </w:r>
      <w:r>
        <w:rPr>
          <w:szCs w:val="21"/>
        </w:rPr>
        <w:t>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18.2 </w:t>
      </w:r>
      <w:r>
        <w:rPr>
          <w:rFonts w:hint="eastAsia"/>
          <w:szCs w:val="21"/>
        </w:rPr>
        <w:t>工伤和意外伤害保险</w:t>
      </w:r>
    </w:p>
    <w:p>
      <w:pPr>
        <w:snapToGrid w:val="0"/>
        <w:spacing w:line="360" w:lineRule="auto"/>
        <w:ind w:firstLine="420"/>
        <w:rPr>
          <w:szCs w:val="21"/>
        </w:rPr>
      </w:pPr>
      <w:r>
        <w:rPr>
          <w:rFonts w:hint="eastAsia"/>
          <w:szCs w:val="21"/>
        </w:rPr>
        <w:t>1</w:t>
      </w:r>
      <w:r>
        <w:rPr>
          <w:szCs w:val="21"/>
        </w:rPr>
        <w:t>8.2.3 关于</w:t>
      </w:r>
      <w:r>
        <w:rPr>
          <w:rFonts w:hint="eastAsia"/>
          <w:szCs w:val="21"/>
        </w:rPr>
        <w:t>工伤保险和意外伤害保险</w:t>
      </w:r>
      <w:r>
        <w:rPr>
          <w:szCs w:val="21"/>
        </w:rPr>
        <w:t>的特别</w:t>
      </w:r>
      <w:r>
        <w:rPr>
          <w:rFonts w:hint="eastAsia"/>
          <w:szCs w:val="21"/>
        </w:rPr>
        <w:t>约</w:t>
      </w:r>
      <w:r>
        <w:rPr>
          <w:szCs w:val="21"/>
        </w:rPr>
        <w:t>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18.3 </w:t>
      </w:r>
      <w:r>
        <w:rPr>
          <w:rFonts w:hint="eastAsia"/>
          <w:szCs w:val="21"/>
        </w:rPr>
        <w:t>货物保险</w:t>
      </w:r>
    </w:p>
    <w:p>
      <w:pPr>
        <w:snapToGrid w:val="0"/>
        <w:spacing w:line="360" w:lineRule="auto"/>
        <w:ind w:firstLine="420"/>
        <w:rPr>
          <w:szCs w:val="21"/>
        </w:rPr>
      </w:pPr>
      <w:r>
        <w:rPr>
          <w:rFonts w:hint="eastAsia"/>
          <w:szCs w:val="21"/>
        </w:rPr>
        <w:t>关于承包人应为其施工设备、材料、工程设备和临时工程等办理财产</w:t>
      </w:r>
      <w:r>
        <w:rPr>
          <w:szCs w:val="21"/>
        </w:rPr>
        <w:t>保险的特别</w:t>
      </w:r>
      <w:r>
        <w:rPr>
          <w:rFonts w:hint="eastAsia"/>
          <w:szCs w:val="21"/>
        </w:rPr>
        <w:t>约</w:t>
      </w:r>
      <w:r>
        <w:rPr>
          <w:szCs w:val="21"/>
        </w:rPr>
        <w:t>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18.4 </w:t>
      </w:r>
      <w:r>
        <w:rPr>
          <w:rFonts w:hint="eastAsia"/>
          <w:szCs w:val="21"/>
        </w:rPr>
        <w:t>其他保险</w:t>
      </w:r>
    </w:p>
    <w:p>
      <w:pPr>
        <w:snapToGrid w:val="0"/>
        <w:spacing w:line="360" w:lineRule="auto"/>
        <w:ind w:firstLine="420"/>
        <w:rPr>
          <w:szCs w:val="21"/>
        </w:rPr>
      </w:pPr>
      <w:r>
        <w:rPr>
          <w:rFonts w:hint="eastAsia"/>
          <w:szCs w:val="21"/>
        </w:rPr>
        <w:t>关于其他保险的约定：</w:t>
      </w:r>
      <w:r>
        <w:rPr>
          <w:szCs w:val="21"/>
          <w:u w:val="single"/>
        </w:rPr>
        <w:t xml:space="preserve">                              </w:t>
      </w:r>
      <w:r>
        <w:rPr>
          <w:rFonts w:hint="eastAsia"/>
          <w:szCs w:val="21"/>
        </w:rPr>
        <w:t>。</w:t>
      </w:r>
    </w:p>
    <w:p>
      <w:pPr>
        <w:snapToGrid w:val="0"/>
        <w:spacing w:line="360" w:lineRule="auto"/>
        <w:ind w:firstLine="420"/>
        <w:rPr>
          <w:szCs w:val="21"/>
        </w:rPr>
      </w:pPr>
      <w:r>
        <w:rPr>
          <w:szCs w:val="21"/>
        </w:rPr>
        <w:t xml:space="preserve">18.5 </w:t>
      </w:r>
      <w:r>
        <w:rPr>
          <w:rFonts w:hint="eastAsia"/>
          <w:szCs w:val="21"/>
        </w:rPr>
        <w:t>对各项保险的一般要求</w:t>
      </w:r>
    </w:p>
    <w:p>
      <w:pPr>
        <w:snapToGrid w:val="0"/>
        <w:spacing w:line="360" w:lineRule="auto"/>
        <w:ind w:firstLine="420"/>
        <w:rPr>
          <w:szCs w:val="21"/>
        </w:rPr>
      </w:pPr>
      <w:r>
        <w:rPr>
          <w:szCs w:val="21"/>
        </w:rPr>
        <w:t>18.5.2 保险凭证</w:t>
      </w:r>
    </w:p>
    <w:p>
      <w:pPr>
        <w:snapToGrid w:val="0"/>
        <w:spacing w:line="360" w:lineRule="auto"/>
        <w:ind w:firstLine="420"/>
        <w:rPr>
          <w:szCs w:val="21"/>
        </w:rPr>
      </w:pPr>
      <w:r>
        <w:rPr>
          <w:rFonts w:hint="eastAsia"/>
          <w:szCs w:val="21"/>
        </w:rPr>
        <w:t>保险单的条件：</w:t>
      </w:r>
      <w:r>
        <w:rPr>
          <w:szCs w:val="21"/>
          <w:u w:val="single"/>
        </w:rPr>
        <w:t xml:space="preserve">                                    </w:t>
      </w:r>
      <w:r>
        <w:rPr>
          <w:rFonts w:hint="eastAsia"/>
          <w:szCs w:val="21"/>
        </w:rPr>
        <w:t>。</w:t>
      </w:r>
    </w:p>
    <w:p>
      <w:pPr>
        <w:snapToGrid w:val="0"/>
        <w:spacing w:line="360" w:lineRule="auto"/>
        <w:ind w:firstLine="420"/>
        <w:rPr>
          <w:szCs w:val="21"/>
        </w:rPr>
      </w:pPr>
      <w:r>
        <w:rPr>
          <w:szCs w:val="21"/>
        </w:rPr>
        <w:t>18.5.4 通知义务</w:t>
      </w:r>
    </w:p>
    <w:p>
      <w:pPr>
        <w:snapToGrid w:val="0"/>
        <w:spacing w:line="360" w:lineRule="auto"/>
        <w:ind w:firstLine="420"/>
        <w:rPr>
          <w:szCs w:val="21"/>
        </w:rPr>
      </w:pPr>
      <w:r>
        <w:rPr>
          <w:rFonts w:hint="eastAsia"/>
          <w:szCs w:val="21"/>
        </w:rPr>
        <w:t>关于变更保险合同时的通知义务的约定：</w:t>
      </w:r>
      <w:r>
        <w:rPr>
          <w:szCs w:val="21"/>
          <w:u w:val="single"/>
        </w:rPr>
        <w:t xml:space="preserve">               </w:t>
      </w:r>
      <w:r>
        <w:rPr>
          <w:rFonts w:hint="eastAsia"/>
          <w:szCs w:val="21"/>
        </w:rPr>
        <w:t>。</w:t>
      </w:r>
    </w:p>
    <w:p>
      <w:pPr>
        <w:spacing w:line="300" w:lineRule="auto"/>
        <w:ind w:left="630" w:hanging="630" w:hangingChars="300"/>
        <w:rPr>
          <w:szCs w:val="21"/>
        </w:rPr>
      </w:pPr>
      <w:r>
        <w:rPr>
          <w:rFonts w:hint="eastAsia"/>
          <w:szCs w:val="21"/>
        </w:rPr>
        <w:t>第</w:t>
      </w:r>
      <w:r>
        <w:rPr>
          <w:szCs w:val="21"/>
        </w:rPr>
        <w:t>20条</w:t>
      </w:r>
      <w:r>
        <w:rPr>
          <w:rFonts w:hint="eastAsia"/>
          <w:szCs w:val="21"/>
        </w:rPr>
        <w:t xml:space="preserve"> 争议解决</w:t>
      </w:r>
    </w:p>
    <w:p>
      <w:pPr>
        <w:snapToGrid w:val="0"/>
        <w:spacing w:line="360" w:lineRule="auto"/>
        <w:ind w:firstLine="420"/>
        <w:rPr>
          <w:szCs w:val="21"/>
        </w:rPr>
      </w:pPr>
      <w:r>
        <w:rPr>
          <w:szCs w:val="21"/>
        </w:rPr>
        <w:t xml:space="preserve">20.3 </w:t>
      </w:r>
      <w:r>
        <w:rPr>
          <w:rFonts w:hint="eastAsia"/>
          <w:szCs w:val="21"/>
        </w:rPr>
        <w:t>争议评审</w:t>
      </w:r>
    </w:p>
    <w:p>
      <w:pPr>
        <w:snapToGrid w:val="0"/>
        <w:spacing w:line="360" w:lineRule="auto"/>
        <w:ind w:firstLine="420"/>
        <w:rPr>
          <w:szCs w:val="21"/>
        </w:rPr>
      </w:pPr>
      <w:r>
        <w:rPr>
          <w:rFonts w:hint="eastAsia"/>
          <w:szCs w:val="21"/>
        </w:rPr>
        <w:t xml:space="preserve">合同当事人是否同意将工程争议提交争议评审小组决定： </w:t>
      </w:r>
      <w:r>
        <w:rPr>
          <w:szCs w:val="21"/>
          <w:u w:val="single"/>
        </w:rPr>
        <w:t xml:space="preserve">                 </w:t>
      </w:r>
      <w:r>
        <w:rPr>
          <w:rFonts w:hint="eastAsia"/>
          <w:szCs w:val="21"/>
        </w:rPr>
        <w:t>。</w:t>
      </w:r>
    </w:p>
    <w:p>
      <w:pPr>
        <w:snapToGrid w:val="0"/>
        <w:spacing w:line="360" w:lineRule="auto"/>
        <w:ind w:firstLine="420"/>
        <w:rPr>
          <w:szCs w:val="21"/>
        </w:rPr>
      </w:pPr>
      <w:r>
        <w:rPr>
          <w:szCs w:val="21"/>
        </w:rPr>
        <w:t>20.3.1</w:t>
      </w:r>
      <w:r>
        <w:rPr>
          <w:rFonts w:hint="eastAsia"/>
          <w:szCs w:val="21"/>
        </w:rPr>
        <w:t xml:space="preserve"> 争议评审小组</w:t>
      </w:r>
      <w:r>
        <w:rPr>
          <w:szCs w:val="21"/>
        </w:rPr>
        <w:t>的确定</w:t>
      </w:r>
    </w:p>
    <w:p>
      <w:pPr>
        <w:snapToGrid w:val="0"/>
        <w:spacing w:line="360" w:lineRule="auto"/>
        <w:ind w:firstLine="420"/>
        <w:rPr>
          <w:szCs w:val="21"/>
        </w:rPr>
      </w:pPr>
      <w:r>
        <w:rPr>
          <w:rFonts w:hint="eastAsia"/>
          <w:szCs w:val="21"/>
        </w:rPr>
        <w:t>争议评审小组成员的人数：</w:t>
      </w:r>
      <w:r>
        <w:rPr>
          <w:szCs w:val="21"/>
          <w:u w:val="single"/>
        </w:rPr>
        <w:t xml:space="preserve">                          </w:t>
      </w:r>
      <w:r>
        <w:rPr>
          <w:szCs w:val="21"/>
        </w:rPr>
        <w:t>。</w:t>
      </w:r>
    </w:p>
    <w:p>
      <w:pPr>
        <w:snapToGrid w:val="0"/>
        <w:spacing w:line="360" w:lineRule="auto"/>
        <w:ind w:firstLine="420"/>
        <w:rPr>
          <w:szCs w:val="21"/>
        </w:rPr>
      </w:pPr>
      <w:r>
        <w:rPr>
          <w:rFonts w:hint="eastAsia"/>
          <w:szCs w:val="21"/>
        </w:rPr>
        <w:t>争议评审小组成员的确定：</w:t>
      </w:r>
      <w:r>
        <w:rPr>
          <w:szCs w:val="21"/>
          <w:u w:val="single"/>
        </w:rPr>
        <w:t xml:space="preserve">                          </w:t>
      </w:r>
      <w:r>
        <w:rPr>
          <w:szCs w:val="21"/>
        </w:rPr>
        <w:t>。</w:t>
      </w:r>
    </w:p>
    <w:p>
      <w:pPr>
        <w:snapToGrid w:val="0"/>
        <w:spacing w:line="360" w:lineRule="auto"/>
        <w:ind w:firstLine="420"/>
        <w:rPr>
          <w:szCs w:val="21"/>
        </w:rPr>
      </w:pPr>
      <w:r>
        <w:rPr>
          <w:rFonts w:hint="eastAsia"/>
          <w:szCs w:val="21"/>
        </w:rPr>
        <w:t>选定争议避免/评审组的期限：</w:t>
      </w:r>
      <w:r>
        <w:rPr>
          <w:szCs w:val="21"/>
          <w:u w:val="single"/>
        </w:rPr>
        <w:t xml:space="preserve">                       </w:t>
      </w:r>
      <w:r>
        <w:rPr>
          <w:szCs w:val="21"/>
        </w:rPr>
        <w:t>。</w:t>
      </w:r>
    </w:p>
    <w:p>
      <w:pPr>
        <w:snapToGrid w:val="0"/>
        <w:spacing w:line="360" w:lineRule="auto"/>
        <w:ind w:firstLine="420"/>
        <w:rPr>
          <w:szCs w:val="21"/>
        </w:rPr>
      </w:pPr>
      <w:r>
        <w:rPr>
          <w:rFonts w:hint="eastAsia"/>
          <w:szCs w:val="21"/>
        </w:rPr>
        <w:t>评审机构：</w:t>
      </w:r>
      <w:r>
        <w:rPr>
          <w:szCs w:val="21"/>
          <w:u w:val="single"/>
        </w:rPr>
        <w:t xml:space="preserve">                                        </w:t>
      </w:r>
      <w:r>
        <w:rPr>
          <w:szCs w:val="21"/>
        </w:rPr>
        <w:t>。</w:t>
      </w:r>
    </w:p>
    <w:p>
      <w:pPr>
        <w:snapToGrid w:val="0"/>
        <w:spacing w:line="360" w:lineRule="auto"/>
        <w:ind w:firstLine="420"/>
        <w:rPr>
          <w:szCs w:val="21"/>
        </w:rPr>
      </w:pPr>
      <w:r>
        <w:rPr>
          <w:rFonts w:hint="eastAsia"/>
          <w:szCs w:val="21"/>
        </w:rPr>
        <w:t>其他事项的约定：</w:t>
      </w:r>
      <w:r>
        <w:rPr>
          <w:szCs w:val="21"/>
          <w:u w:val="single"/>
        </w:rPr>
        <w:t xml:space="preserve">                                  </w:t>
      </w:r>
      <w:r>
        <w:rPr>
          <w:szCs w:val="21"/>
        </w:rPr>
        <w:t>。</w:t>
      </w:r>
    </w:p>
    <w:p>
      <w:pPr>
        <w:snapToGrid w:val="0"/>
        <w:spacing w:line="360" w:lineRule="auto"/>
        <w:ind w:firstLine="420"/>
        <w:rPr>
          <w:szCs w:val="21"/>
        </w:rPr>
      </w:pPr>
      <w:r>
        <w:rPr>
          <w:szCs w:val="21"/>
        </w:rPr>
        <w:t>争议评审员报酬</w:t>
      </w:r>
      <w:r>
        <w:rPr>
          <w:rFonts w:hint="eastAsia"/>
          <w:szCs w:val="21"/>
        </w:rPr>
        <w:t>的承担人：</w:t>
      </w:r>
      <w:r>
        <w:rPr>
          <w:szCs w:val="21"/>
          <w:u w:val="single"/>
        </w:rPr>
        <w:t xml:space="preserve">                          </w:t>
      </w:r>
      <w:r>
        <w:rPr>
          <w:rFonts w:hint="eastAsia"/>
          <w:szCs w:val="21"/>
        </w:rPr>
        <w:t>。</w:t>
      </w:r>
    </w:p>
    <w:p>
      <w:pPr>
        <w:snapToGrid w:val="0"/>
        <w:spacing w:line="360" w:lineRule="auto"/>
        <w:ind w:firstLine="420"/>
        <w:rPr>
          <w:szCs w:val="21"/>
        </w:rPr>
      </w:pPr>
      <w:r>
        <w:rPr>
          <w:rFonts w:hint="eastAsia"/>
          <w:szCs w:val="21"/>
        </w:rPr>
        <w:t>20.3.2 争议的避免</w:t>
      </w:r>
    </w:p>
    <w:p>
      <w:pPr>
        <w:snapToGrid w:val="0"/>
        <w:spacing w:line="360" w:lineRule="auto"/>
        <w:ind w:firstLine="420"/>
        <w:rPr>
          <w:szCs w:val="21"/>
        </w:rPr>
      </w:pPr>
      <w:r>
        <w:rPr>
          <w:rFonts w:hint="eastAsia"/>
          <w:szCs w:val="21"/>
        </w:rPr>
        <w:t>发包人和承包人是否均出席争议避免的非正式讨论：</w:t>
      </w:r>
      <w:r>
        <w:rPr>
          <w:szCs w:val="21"/>
          <w:u w:val="single"/>
        </w:rPr>
        <w:t xml:space="preserve">                     </w:t>
      </w:r>
      <w:r>
        <w:rPr>
          <w:szCs w:val="21"/>
        </w:rPr>
        <w:t>。</w:t>
      </w:r>
    </w:p>
    <w:p>
      <w:pPr>
        <w:snapToGrid w:val="0"/>
        <w:spacing w:line="360" w:lineRule="auto"/>
        <w:ind w:firstLine="420"/>
        <w:rPr>
          <w:szCs w:val="21"/>
        </w:rPr>
      </w:pPr>
      <w:r>
        <w:rPr>
          <w:szCs w:val="21"/>
        </w:rPr>
        <w:t>20.3.3</w:t>
      </w:r>
      <w:r>
        <w:rPr>
          <w:rFonts w:hint="eastAsia"/>
          <w:szCs w:val="21"/>
        </w:rPr>
        <w:t xml:space="preserve"> 争议评审小组的决定</w:t>
      </w:r>
    </w:p>
    <w:p>
      <w:pPr>
        <w:snapToGrid w:val="0"/>
        <w:spacing w:line="360" w:lineRule="auto"/>
        <w:ind w:firstLine="420"/>
        <w:rPr>
          <w:szCs w:val="21"/>
        </w:rPr>
      </w:pPr>
      <w:r>
        <w:rPr>
          <w:rFonts w:hint="eastAsia"/>
          <w:szCs w:val="21"/>
        </w:rPr>
        <w:t>关于争议评审小组的决定的特别约定：</w:t>
      </w:r>
      <w:r>
        <w:rPr>
          <w:szCs w:val="21"/>
          <w:u w:val="single"/>
        </w:rPr>
        <w:t xml:space="preserve">                </w:t>
      </w:r>
      <w:r>
        <w:rPr>
          <w:szCs w:val="21"/>
        </w:rPr>
        <w:t>。</w:t>
      </w:r>
    </w:p>
    <w:p>
      <w:pPr>
        <w:snapToGrid w:val="0"/>
        <w:spacing w:line="360" w:lineRule="auto"/>
        <w:ind w:firstLine="420"/>
        <w:rPr>
          <w:szCs w:val="21"/>
        </w:rPr>
      </w:pPr>
      <w:r>
        <w:rPr>
          <w:szCs w:val="21"/>
        </w:rPr>
        <w:t xml:space="preserve">20.4 </w:t>
      </w:r>
      <w:r>
        <w:rPr>
          <w:rFonts w:hint="eastAsia"/>
          <w:szCs w:val="21"/>
        </w:rPr>
        <w:t>仲裁或诉讼</w:t>
      </w:r>
    </w:p>
    <w:p>
      <w:pPr>
        <w:snapToGrid w:val="0"/>
        <w:spacing w:line="360" w:lineRule="auto"/>
        <w:ind w:firstLine="420"/>
        <w:rPr>
          <w:szCs w:val="21"/>
        </w:rPr>
      </w:pPr>
      <w:r>
        <w:rPr>
          <w:rFonts w:hint="eastAsia"/>
          <w:szCs w:val="21"/>
        </w:rPr>
        <w:t>因合同及合同有关事项发生的争议，按下列第</w:t>
      </w:r>
      <w:r>
        <w:rPr>
          <w:szCs w:val="21"/>
          <w:u w:val="single"/>
        </w:rPr>
        <w:t xml:space="preserve">  </w:t>
      </w:r>
      <w:r>
        <w:rPr>
          <w:rFonts w:hint="eastAsia"/>
          <w:szCs w:val="21"/>
          <w:u w:val="single"/>
          <w:lang w:val="en-US" w:eastAsia="zh-CN"/>
        </w:rPr>
        <w:t>2</w:t>
      </w:r>
      <w:r>
        <w:rPr>
          <w:szCs w:val="21"/>
          <w:u w:val="single"/>
        </w:rPr>
        <w:t xml:space="preserve">  </w:t>
      </w:r>
      <w:r>
        <w:rPr>
          <w:szCs w:val="21"/>
        </w:rPr>
        <w:t>种方式解决：</w:t>
      </w:r>
    </w:p>
    <w:p>
      <w:pPr>
        <w:snapToGrid w:val="0"/>
        <w:spacing w:line="360" w:lineRule="auto"/>
        <w:ind w:firstLine="420"/>
        <w:rPr>
          <w:szCs w:val="21"/>
        </w:rPr>
      </w:pPr>
      <w:r>
        <w:rPr>
          <w:rFonts w:hint="eastAsia"/>
          <w:szCs w:val="21"/>
        </w:rPr>
        <w:t>（</w:t>
      </w:r>
      <w:r>
        <w:rPr>
          <w:szCs w:val="21"/>
        </w:rPr>
        <w:t>1）向</w:t>
      </w:r>
      <w:r>
        <w:rPr>
          <w:szCs w:val="21"/>
          <w:u w:val="single"/>
        </w:rPr>
        <w:t xml:space="preserve">                         </w:t>
      </w:r>
      <w:r>
        <w:rPr>
          <w:szCs w:val="21"/>
        </w:rPr>
        <w:t>仲裁委员会申请仲裁；</w:t>
      </w:r>
    </w:p>
    <w:p>
      <w:pPr>
        <w:snapToGrid w:val="0"/>
        <w:spacing w:line="360" w:lineRule="auto"/>
        <w:ind w:firstLine="420"/>
        <w:rPr>
          <w:rFonts w:hint="eastAsia"/>
          <w:szCs w:val="21"/>
        </w:rPr>
      </w:pPr>
      <w:r>
        <w:rPr>
          <w:rFonts w:hint="eastAsia"/>
          <w:szCs w:val="21"/>
        </w:rPr>
        <w:t>（</w:t>
      </w:r>
      <w:r>
        <w:rPr>
          <w:szCs w:val="21"/>
        </w:rPr>
        <w:t>2）向</w:t>
      </w:r>
      <w:r>
        <w:rPr>
          <w:szCs w:val="21"/>
          <w:u w:val="single"/>
        </w:rPr>
        <w:t xml:space="preserve">   </w:t>
      </w:r>
      <w:r>
        <w:rPr>
          <w:rFonts w:hint="eastAsia"/>
          <w:szCs w:val="21"/>
          <w:u w:val="single"/>
          <w:lang w:val="en-US" w:eastAsia="zh-CN"/>
        </w:rPr>
        <w:t>项目所在地有管辖权的</w:t>
      </w:r>
      <w:r>
        <w:rPr>
          <w:szCs w:val="21"/>
          <w:u w:val="single"/>
        </w:rPr>
        <w:t xml:space="preserve">    </w:t>
      </w:r>
      <w:r>
        <w:rPr>
          <w:szCs w:val="21"/>
        </w:rPr>
        <w:t>人民法院起诉。</w:t>
      </w:r>
    </w:p>
    <w:p>
      <w:pPr>
        <w:snapToGrid w:val="0"/>
        <w:spacing w:line="360" w:lineRule="auto"/>
        <w:ind w:firstLine="420"/>
        <w:rPr>
          <w:rFonts w:hint="default"/>
          <w:color w:val="auto"/>
          <w:szCs w:val="21"/>
          <w:highlight w:val="none"/>
          <w:lang w:val="en-US" w:eastAsia="zh-CN"/>
        </w:rPr>
      </w:pPr>
    </w:p>
    <w:p>
      <w:pPr>
        <w:snapToGrid w:val="0"/>
        <w:spacing w:line="360" w:lineRule="auto"/>
        <w:ind w:firstLine="420"/>
        <w:rPr>
          <w:color w:val="auto"/>
          <w:szCs w:val="21"/>
          <w:highlight w:val="none"/>
        </w:rPr>
      </w:pPr>
    </w:p>
    <w:p>
      <w:pPr>
        <w:snapToGrid w:val="0"/>
        <w:spacing w:line="360" w:lineRule="auto"/>
        <w:ind w:firstLine="600"/>
        <w:rPr>
          <w:rFonts w:ascii="仿宋_GB2312" w:eastAsia="仿宋_GB2312"/>
          <w:color w:val="auto"/>
          <w:sz w:val="30"/>
          <w:szCs w:val="30"/>
          <w:highlight w:val="none"/>
        </w:rPr>
        <w:sectPr>
          <w:headerReference r:id="rId12" w:type="default"/>
          <w:pgSz w:w="11906" w:h="16838"/>
          <w:pgMar w:top="1440" w:right="1800" w:bottom="1440" w:left="1800" w:header="720" w:footer="998" w:gutter="0"/>
          <w:pgNumType w:fmt="decimal"/>
          <w:cols w:space="720" w:num="1"/>
          <w:docGrid w:linePitch="326" w:charSpace="0"/>
        </w:sectPr>
      </w:pPr>
    </w:p>
    <w:p>
      <w:pPr>
        <w:pStyle w:val="200"/>
        <w:keepNext w:val="0"/>
        <w:keepLines w:val="0"/>
        <w:widowControl/>
        <w:adjustRightInd w:val="0"/>
        <w:snapToGrid w:val="0"/>
        <w:spacing w:before="0" w:after="50" w:line="360" w:lineRule="auto"/>
        <w:jc w:val="center"/>
        <w:rPr>
          <w:color w:val="auto"/>
          <w:sz w:val="32"/>
          <w:szCs w:val="32"/>
          <w:highlight w:val="none"/>
        </w:rPr>
      </w:pPr>
      <w:r>
        <w:rPr>
          <w:rFonts w:hint="eastAsia"/>
          <w:color w:val="auto"/>
          <w:sz w:val="32"/>
          <w:szCs w:val="32"/>
          <w:highlight w:val="none"/>
        </w:rPr>
        <w:t>专用合同条件附件</w:t>
      </w:r>
    </w:p>
    <w:p>
      <w:pPr>
        <w:spacing w:line="300" w:lineRule="auto"/>
        <w:ind w:left="630" w:hanging="630" w:hangingChars="300"/>
        <w:rPr>
          <w:color w:val="auto"/>
          <w:szCs w:val="21"/>
          <w:highlight w:val="none"/>
        </w:rPr>
      </w:pPr>
    </w:p>
    <w:p>
      <w:pPr>
        <w:snapToGrid w:val="0"/>
        <w:spacing w:line="360" w:lineRule="auto"/>
        <w:ind w:left="720" w:hanging="720" w:hangingChars="300"/>
        <w:rPr>
          <w:color w:val="auto"/>
          <w:sz w:val="24"/>
          <w:highlight w:val="none"/>
        </w:rPr>
      </w:pPr>
      <w:r>
        <w:rPr>
          <w:rFonts w:hint="eastAsia"/>
          <w:color w:val="auto"/>
          <w:sz w:val="24"/>
          <w:highlight w:val="none"/>
        </w:rPr>
        <w:t>附件1：发包人要求</w:t>
      </w:r>
    </w:p>
    <w:p>
      <w:pPr>
        <w:snapToGrid w:val="0"/>
        <w:spacing w:line="360" w:lineRule="auto"/>
        <w:ind w:left="720" w:hanging="720" w:hangingChars="300"/>
        <w:rPr>
          <w:color w:val="auto"/>
          <w:sz w:val="24"/>
          <w:highlight w:val="none"/>
        </w:rPr>
      </w:pPr>
      <w:r>
        <w:rPr>
          <w:rFonts w:hint="eastAsia"/>
          <w:color w:val="auto"/>
          <w:sz w:val="24"/>
          <w:highlight w:val="none"/>
        </w:rPr>
        <w:t>附件2：发包人供应材料设备一览表</w:t>
      </w:r>
    </w:p>
    <w:p>
      <w:pPr>
        <w:snapToGrid w:val="0"/>
        <w:spacing w:line="360" w:lineRule="auto"/>
        <w:ind w:left="720" w:hanging="720" w:hangingChars="300"/>
        <w:rPr>
          <w:color w:val="auto"/>
          <w:sz w:val="24"/>
          <w:highlight w:val="none"/>
        </w:rPr>
      </w:pPr>
      <w:r>
        <w:rPr>
          <w:rFonts w:hint="eastAsia"/>
          <w:color w:val="auto"/>
          <w:sz w:val="24"/>
          <w:highlight w:val="none"/>
        </w:rPr>
        <w:t>附件3：工程质量保修书</w:t>
      </w:r>
    </w:p>
    <w:p>
      <w:pPr>
        <w:snapToGrid w:val="0"/>
        <w:spacing w:line="360" w:lineRule="auto"/>
        <w:ind w:left="720" w:hanging="720" w:hangingChars="300"/>
        <w:rPr>
          <w:color w:val="auto"/>
          <w:sz w:val="24"/>
          <w:highlight w:val="none"/>
        </w:rPr>
      </w:pPr>
      <w:r>
        <w:rPr>
          <w:rFonts w:hint="eastAsia"/>
          <w:color w:val="auto"/>
          <w:sz w:val="24"/>
          <w:highlight w:val="none"/>
        </w:rPr>
        <w:t>附件4：主要建设工程文件目录</w:t>
      </w:r>
    </w:p>
    <w:p>
      <w:pPr>
        <w:snapToGrid w:val="0"/>
        <w:spacing w:line="360" w:lineRule="auto"/>
        <w:ind w:left="720" w:hanging="720" w:hangingChars="300"/>
        <w:rPr>
          <w:color w:val="auto"/>
          <w:sz w:val="24"/>
          <w:highlight w:val="none"/>
        </w:rPr>
      </w:pPr>
      <w:r>
        <w:rPr>
          <w:rFonts w:hint="eastAsia"/>
          <w:color w:val="auto"/>
          <w:sz w:val="24"/>
          <w:highlight w:val="none"/>
        </w:rPr>
        <w:t>附件5：承包人主要管理人员表</w:t>
      </w:r>
    </w:p>
    <w:p>
      <w:pPr>
        <w:snapToGrid w:val="0"/>
        <w:spacing w:line="360" w:lineRule="auto"/>
        <w:ind w:left="720" w:hanging="720" w:hangingChars="300"/>
        <w:rPr>
          <w:color w:val="auto"/>
          <w:sz w:val="24"/>
          <w:highlight w:val="none"/>
        </w:rPr>
      </w:pPr>
      <w:r>
        <w:rPr>
          <w:rFonts w:hint="eastAsia"/>
          <w:color w:val="auto"/>
          <w:sz w:val="24"/>
          <w:highlight w:val="none"/>
        </w:rPr>
        <w:t>附件</w:t>
      </w:r>
      <w:r>
        <w:rPr>
          <w:color w:val="auto"/>
          <w:sz w:val="24"/>
          <w:highlight w:val="none"/>
        </w:rPr>
        <w:t>6</w:t>
      </w:r>
      <w:r>
        <w:rPr>
          <w:rFonts w:hint="eastAsia"/>
          <w:color w:val="auto"/>
          <w:sz w:val="24"/>
          <w:highlight w:val="none"/>
        </w:rPr>
        <w:t>：价格指数权重表</w:t>
      </w:r>
    </w:p>
    <w:p>
      <w:pPr>
        <w:snapToGrid w:val="0"/>
        <w:spacing w:line="360" w:lineRule="auto"/>
        <w:rPr>
          <w:rFonts w:ascii="宋体" w:hAnsi="宋体"/>
          <w:color w:val="auto"/>
          <w:sz w:val="24"/>
          <w:highlight w:val="none"/>
        </w:rPr>
      </w:pPr>
    </w:p>
    <w:p>
      <w:pPr>
        <w:snapToGrid w:val="0"/>
        <w:spacing w:line="360" w:lineRule="auto"/>
        <w:jc w:val="left"/>
        <w:rPr>
          <w:rFonts w:ascii="宋体" w:hAnsi="宋体"/>
          <w:color w:val="auto"/>
          <w:sz w:val="24"/>
          <w:highlight w:val="none"/>
        </w:rPr>
      </w:pPr>
      <w:r>
        <w:rPr>
          <w:rFonts w:ascii="宋体" w:hAnsi="宋体"/>
          <w:color w:val="auto"/>
          <w:sz w:val="24"/>
          <w:highlight w:val="none"/>
        </w:rPr>
        <w:br w:type="page"/>
      </w:r>
    </w:p>
    <w:p>
      <w:pPr>
        <w:spacing w:line="36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附件1</w:t>
      </w:r>
      <w:r>
        <w:rPr>
          <w:rFonts w:ascii="黑体" w:hAnsi="黑体" w:eastAsia="黑体"/>
          <w:color w:val="auto"/>
          <w:sz w:val="32"/>
          <w:szCs w:val="32"/>
          <w:highlight w:val="none"/>
        </w:rPr>
        <w:t xml:space="preserve"> </w:t>
      </w:r>
      <w:r>
        <w:rPr>
          <w:rFonts w:hint="eastAsia" w:ascii="黑体" w:hAnsi="黑体" w:eastAsia="黑体"/>
          <w:color w:val="auto"/>
          <w:sz w:val="32"/>
          <w:szCs w:val="32"/>
          <w:highlight w:val="none"/>
        </w:rPr>
        <w:t>《发包人要求》</w:t>
      </w:r>
    </w:p>
    <w:p>
      <w:pPr>
        <w:snapToGrid w:val="0"/>
        <w:spacing w:line="360" w:lineRule="auto"/>
        <w:ind w:firstLine="420"/>
        <w:rPr>
          <w:color w:val="auto"/>
          <w:szCs w:val="21"/>
          <w:highlight w:val="none"/>
        </w:rPr>
      </w:pPr>
      <w:r>
        <w:rPr>
          <w:rFonts w:hint="eastAsia"/>
          <w:color w:val="auto"/>
          <w:szCs w:val="21"/>
          <w:highlight w:val="none"/>
        </w:rPr>
        <w:t>一、功能要求</w:t>
      </w:r>
    </w:p>
    <w:p>
      <w:pPr>
        <w:snapToGrid w:val="0"/>
        <w:spacing w:line="360" w:lineRule="auto"/>
        <w:ind w:firstLine="420"/>
        <w:rPr>
          <w:color w:val="auto"/>
          <w:szCs w:val="21"/>
          <w:highlight w:val="none"/>
        </w:rPr>
      </w:pPr>
      <w:r>
        <w:rPr>
          <w:rFonts w:hint="eastAsia"/>
          <w:color w:val="auto"/>
          <w:szCs w:val="21"/>
          <w:highlight w:val="none"/>
        </w:rPr>
        <w:t>（一）工程目的。</w:t>
      </w:r>
    </w:p>
    <w:p>
      <w:pPr>
        <w:snapToGrid w:val="0"/>
        <w:spacing w:line="360" w:lineRule="auto"/>
        <w:ind w:firstLine="420"/>
        <w:rPr>
          <w:color w:val="auto"/>
          <w:szCs w:val="21"/>
          <w:highlight w:val="none"/>
        </w:rPr>
      </w:pPr>
      <w:r>
        <w:rPr>
          <w:rFonts w:hint="eastAsia"/>
          <w:color w:val="auto"/>
          <w:szCs w:val="21"/>
          <w:highlight w:val="none"/>
        </w:rPr>
        <w:t>（二）工程规模。</w:t>
      </w:r>
    </w:p>
    <w:p>
      <w:pPr>
        <w:snapToGrid w:val="0"/>
        <w:spacing w:line="360" w:lineRule="auto"/>
        <w:ind w:firstLine="420"/>
        <w:rPr>
          <w:color w:val="auto"/>
          <w:szCs w:val="21"/>
          <w:highlight w:val="none"/>
        </w:rPr>
      </w:pPr>
      <w:r>
        <w:rPr>
          <w:rFonts w:hint="eastAsia"/>
          <w:color w:val="auto"/>
          <w:szCs w:val="21"/>
          <w:highlight w:val="none"/>
        </w:rPr>
        <w:t>（三）性能保证指标（性能保证表）。</w:t>
      </w:r>
    </w:p>
    <w:p>
      <w:pPr>
        <w:snapToGrid w:val="0"/>
        <w:spacing w:line="360" w:lineRule="auto"/>
        <w:ind w:firstLine="420"/>
        <w:rPr>
          <w:color w:val="auto"/>
          <w:szCs w:val="21"/>
          <w:highlight w:val="none"/>
        </w:rPr>
      </w:pPr>
      <w:r>
        <w:rPr>
          <w:rFonts w:hint="eastAsia"/>
          <w:color w:val="auto"/>
          <w:szCs w:val="21"/>
          <w:highlight w:val="none"/>
        </w:rPr>
        <w:t>（四）产能保证指标。</w:t>
      </w:r>
    </w:p>
    <w:p>
      <w:pPr>
        <w:snapToGrid w:val="0"/>
        <w:spacing w:line="360" w:lineRule="auto"/>
        <w:ind w:firstLine="420"/>
        <w:rPr>
          <w:color w:val="auto"/>
          <w:szCs w:val="21"/>
          <w:highlight w:val="none"/>
        </w:rPr>
      </w:pPr>
      <w:r>
        <w:rPr>
          <w:rFonts w:hint="eastAsia"/>
          <w:color w:val="auto"/>
          <w:szCs w:val="21"/>
          <w:highlight w:val="none"/>
        </w:rPr>
        <w:t>二、工程范围</w:t>
      </w:r>
    </w:p>
    <w:p>
      <w:pPr>
        <w:snapToGrid w:val="0"/>
        <w:spacing w:line="360" w:lineRule="auto"/>
        <w:ind w:firstLine="420"/>
        <w:rPr>
          <w:color w:val="auto"/>
          <w:szCs w:val="21"/>
          <w:highlight w:val="none"/>
        </w:rPr>
      </w:pPr>
      <w:r>
        <w:rPr>
          <w:rFonts w:hint="eastAsia"/>
          <w:color w:val="auto"/>
          <w:szCs w:val="21"/>
          <w:highlight w:val="none"/>
        </w:rPr>
        <w:t>（一）概述</w:t>
      </w:r>
    </w:p>
    <w:p>
      <w:pPr>
        <w:snapToGrid w:val="0"/>
        <w:spacing w:line="360" w:lineRule="auto"/>
        <w:ind w:firstLine="420"/>
        <w:rPr>
          <w:color w:val="auto"/>
          <w:szCs w:val="21"/>
          <w:highlight w:val="none"/>
        </w:rPr>
      </w:pPr>
      <w:r>
        <w:rPr>
          <w:rFonts w:hint="eastAsia"/>
          <w:color w:val="auto"/>
          <w:szCs w:val="21"/>
          <w:highlight w:val="none"/>
        </w:rPr>
        <w:t>（二）包括的工作</w:t>
      </w:r>
    </w:p>
    <w:p>
      <w:pPr>
        <w:snapToGrid w:val="0"/>
        <w:spacing w:line="360" w:lineRule="auto"/>
        <w:ind w:firstLine="420"/>
        <w:rPr>
          <w:color w:val="auto"/>
          <w:szCs w:val="21"/>
          <w:highlight w:val="none"/>
        </w:rPr>
      </w:pPr>
      <w:r>
        <w:rPr>
          <w:rFonts w:hint="eastAsia"/>
          <w:color w:val="auto"/>
          <w:szCs w:val="21"/>
          <w:highlight w:val="none"/>
        </w:rPr>
        <w:t>1. 永久工程的设计、采购、施工范围。</w:t>
      </w:r>
    </w:p>
    <w:p>
      <w:pPr>
        <w:snapToGrid w:val="0"/>
        <w:spacing w:line="360" w:lineRule="auto"/>
        <w:ind w:firstLine="420"/>
        <w:rPr>
          <w:color w:val="auto"/>
          <w:szCs w:val="21"/>
          <w:highlight w:val="none"/>
        </w:rPr>
      </w:pPr>
      <w:r>
        <w:rPr>
          <w:rFonts w:hint="eastAsia"/>
          <w:color w:val="auto"/>
          <w:szCs w:val="21"/>
          <w:highlight w:val="none"/>
        </w:rPr>
        <w:t>2. 临时工程的设计与施工范围。</w:t>
      </w:r>
    </w:p>
    <w:p>
      <w:pPr>
        <w:snapToGrid w:val="0"/>
        <w:spacing w:line="360" w:lineRule="auto"/>
        <w:ind w:firstLine="420"/>
        <w:rPr>
          <w:color w:val="auto"/>
          <w:szCs w:val="21"/>
          <w:highlight w:val="none"/>
        </w:rPr>
      </w:pPr>
      <w:r>
        <w:rPr>
          <w:rFonts w:hint="eastAsia"/>
          <w:color w:val="auto"/>
          <w:szCs w:val="21"/>
          <w:highlight w:val="none"/>
        </w:rPr>
        <w:t>3. 竣工验收工作范围。</w:t>
      </w:r>
    </w:p>
    <w:p>
      <w:pPr>
        <w:snapToGrid w:val="0"/>
        <w:spacing w:line="360" w:lineRule="auto"/>
        <w:ind w:firstLine="420"/>
        <w:rPr>
          <w:color w:val="auto"/>
          <w:szCs w:val="21"/>
          <w:highlight w:val="none"/>
        </w:rPr>
      </w:pPr>
      <w:r>
        <w:rPr>
          <w:rFonts w:hint="eastAsia"/>
          <w:color w:val="auto"/>
          <w:szCs w:val="21"/>
          <w:highlight w:val="none"/>
        </w:rPr>
        <w:t>4. 技术服务工作范围。</w:t>
      </w:r>
    </w:p>
    <w:p>
      <w:pPr>
        <w:snapToGrid w:val="0"/>
        <w:spacing w:line="360" w:lineRule="auto"/>
        <w:ind w:firstLine="420"/>
        <w:rPr>
          <w:color w:val="auto"/>
          <w:szCs w:val="21"/>
          <w:highlight w:val="none"/>
        </w:rPr>
      </w:pPr>
      <w:r>
        <w:rPr>
          <w:rFonts w:hint="eastAsia"/>
          <w:color w:val="auto"/>
          <w:szCs w:val="21"/>
          <w:highlight w:val="none"/>
        </w:rPr>
        <w:t>5. 培训工作范围。</w:t>
      </w:r>
    </w:p>
    <w:p>
      <w:pPr>
        <w:snapToGrid w:val="0"/>
        <w:spacing w:line="360" w:lineRule="auto"/>
        <w:ind w:firstLine="420"/>
        <w:rPr>
          <w:color w:val="auto"/>
          <w:szCs w:val="21"/>
          <w:highlight w:val="none"/>
        </w:rPr>
      </w:pPr>
      <w:r>
        <w:rPr>
          <w:rFonts w:hint="eastAsia"/>
          <w:color w:val="auto"/>
          <w:szCs w:val="21"/>
          <w:highlight w:val="none"/>
        </w:rPr>
        <w:t>6. 保修工作范围。</w:t>
      </w:r>
    </w:p>
    <w:p>
      <w:pPr>
        <w:snapToGrid w:val="0"/>
        <w:spacing w:line="360" w:lineRule="auto"/>
        <w:ind w:firstLine="420"/>
        <w:rPr>
          <w:color w:val="auto"/>
          <w:szCs w:val="21"/>
          <w:highlight w:val="none"/>
        </w:rPr>
      </w:pPr>
      <w:r>
        <w:rPr>
          <w:rFonts w:hint="eastAsia"/>
          <w:color w:val="auto"/>
          <w:szCs w:val="21"/>
          <w:highlight w:val="none"/>
        </w:rPr>
        <w:t>（三）工作界区</w:t>
      </w:r>
    </w:p>
    <w:p>
      <w:pPr>
        <w:snapToGrid w:val="0"/>
        <w:spacing w:line="360" w:lineRule="auto"/>
        <w:ind w:firstLine="420"/>
        <w:rPr>
          <w:color w:val="auto"/>
          <w:szCs w:val="21"/>
          <w:highlight w:val="none"/>
        </w:rPr>
      </w:pPr>
      <w:r>
        <w:rPr>
          <w:rFonts w:hint="eastAsia"/>
          <w:color w:val="auto"/>
          <w:szCs w:val="21"/>
          <w:highlight w:val="none"/>
        </w:rPr>
        <w:t>（四）发包人提供的现场条件</w:t>
      </w:r>
    </w:p>
    <w:p>
      <w:pPr>
        <w:snapToGrid w:val="0"/>
        <w:spacing w:line="360" w:lineRule="auto"/>
        <w:ind w:firstLine="420"/>
        <w:rPr>
          <w:color w:val="auto"/>
          <w:szCs w:val="21"/>
          <w:highlight w:val="none"/>
        </w:rPr>
      </w:pPr>
      <w:r>
        <w:rPr>
          <w:rFonts w:hint="eastAsia"/>
          <w:color w:val="auto"/>
          <w:szCs w:val="21"/>
          <w:highlight w:val="none"/>
        </w:rPr>
        <w:t>1. 施工用电。</w:t>
      </w:r>
    </w:p>
    <w:p>
      <w:pPr>
        <w:snapToGrid w:val="0"/>
        <w:spacing w:line="360" w:lineRule="auto"/>
        <w:ind w:firstLine="420"/>
        <w:rPr>
          <w:color w:val="auto"/>
          <w:szCs w:val="21"/>
          <w:highlight w:val="none"/>
        </w:rPr>
      </w:pPr>
      <w:r>
        <w:rPr>
          <w:rFonts w:hint="eastAsia"/>
          <w:color w:val="auto"/>
          <w:szCs w:val="21"/>
          <w:highlight w:val="none"/>
        </w:rPr>
        <w:t>2. 施工用水。</w:t>
      </w:r>
    </w:p>
    <w:p>
      <w:pPr>
        <w:snapToGrid w:val="0"/>
        <w:spacing w:line="360" w:lineRule="auto"/>
        <w:ind w:firstLine="420"/>
        <w:rPr>
          <w:color w:val="auto"/>
          <w:szCs w:val="21"/>
          <w:highlight w:val="none"/>
        </w:rPr>
      </w:pPr>
      <w:r>
        <w:rPr>
          <w:rFonts w:hint="eastAsia"/>
          <w:color w:val="auto"/>
          <w:szCs w:val="21"/>
          <w:highlight w:val="none"/>
        </w:rPr>
        <w:t>3. 施工排水。</w:t>
      </w:r>
    </w:p>
    <w:p>
      <w:pPr>
        <w:snapToGrid w:val="0"/>
        <w:spacing w:line="360" w:lineRule="auto"/>
        <w:ind w:firstLine="420"/>
        <w:rPr>
          <w:color w:val="auto"/>
          <w:szCs w:val="21"/>
          <w:highlight w:val="none"/>
        </w:rPr>
      </w:pPr>
      <w:r>
        <w:rPr>
          <w:color w:val="auto"/>
          <w:szCs w:val="21"/>
          <w:highlight w:val="none"/>
        </w:rPr>
        <w:t>4.</w:t>
      </w:r>
      <w:r>
        <w:rPr>
          <w:rFonts w:hint="eastAsia"/>
          <w:color w:val="auto"/>
          <w:szCs w:val="21"/>
          <w:highlight w:val="none"/>
        </w:rPr>
        <w:t xml:space="preserve"> 施工道路。</w:t>
      </w:r>
    </w:p>
    <w:p>
      <w:pPr>
        <w:snapToGrid w:val="0"/>
        <w:spacing w:line="360" w:lineRule="auto"/>
        <w:ind w:firstLine="420"/>
        <w:rPr>
          <w:color w:val="auto"/>
          <w:szCs w:val="21"/>
          <w:highlight w:val="none"/>
        </w:rPr>
      </w:pPr>
      <w:r>
        <w:rPr>
          <w:rFonts w:hint="eastAsia"/>
          <w:color w:val="auto"/>
          <w:szCs w:val="21"/>
          <w:highlight w:val="none"/>
        </w:rPr>
        <w:t>（五）发包人提供的技术文件</w:t>
      </w:r>
    </w:p>
    <w:p>
      <w:pPr>
        <w:snapToGrid w:val="0"/>
        <w:spacing w:line="360" w:lineRule="auto"/>
        <w:ind w:firstLine="420"/>
        <w:rPr>
          <w:color w:val="auto"/>
          <w:szCs w:val="21"/>
          <w:highlight w:val="none"/>
        </w:rPr>
      </w:pPr>
      <w:r>
        <w:rPr>
          <w:rFonts w:hint="eastAsia"/>
          <w:color w:val="auto"/>
          <w:szCs w:val="21"/>
          <w:highlight w:val="none"/>
        </w:rPr>
        <w:t>除另有批准外，承包人的工作需要遵照发包人的下列技术文件:</w:t>
      </w:r>
    </w:p>
    <w:p>
      <w:pPr>
        <w:snapToGrid w:val="0"/>
        <w:spacing w:line="360" w:lineRule="auto"/>
        <w:ind w:firstLine="420"/>
        <w:rPr>
          <w:color w:val="auto"/>
          <w:szCs w:val="21"/>
          <w:highlight w:val="none"/>
        </w:rPr>
      </w:pPr>
      <w:r>
        <w:rPr>
          <w:rFonts w:hint="eastAsia"/>
          <w:color w:val="auto"/>
          <w:szCs w:val="21"/>
          <w:highlight w:val="none"/>
        </w:rPr>
        <w:t>1. 发包人需求任务书。</w:t>
      </w:r>
    </w:p>
    <w:p>
      <w:pPr>
        <w:snapToGrid w:val="0"/>
        <w:spacing w:line="360" w:lineRule="auto"/>
        <w:ind w:firstLine="420"/>
        <w:rPr>
          <w:color w:val="auto"/>
          <w:szCs w:val="21"/>
          <w:highlight w:val="none"/>
        </w:rPr>
      </w:pPr>
      <w:r>
        <w:rPr>
          <w:rFonts w:hint="eastAsia"/>
          <w:color w:val="auto"/>
          <w:szCs w:val="21"/>
          <w:highlight w:val="none"/>
        </w:rPr>
        <w:t>2. 发包人已完成的设计文件。</w:t>
      </w:r>
    </w:p>
    <w:p>
      <w:pPr>
        <w:snapToGrid w:val="0"/>
        <w:spacing w:line="360" w:lineRule="auto"/>
        <w:ind w:firstLine="420"/>
        <w:rPr>
          <w:color w:val="auto"/>
          <w:szCs w:val="21"/>
          <w:highlight w:val="none"/>
        </w:rPr>
      </w:pPr>
      <w:r>
        <w:rPr>
          <w:rFonts w:hint="eastAsia"/>
          <w:color w:val="auto"/>
          <w:szCs w:val="21"/>
          <w:highlight w:val="none"/>
        </w:rPr>
        <w:t>三、工艺安排或要求（如有）</w:t>
      </w:r>
    </w:p>
    <w:p>
      <w:pPr>
        <w:snapToGrid w:val="0"/>
        <w:spacing w:line="360" w:lineRule="auto"/>
        <w:ind w:firstLine="420"/>
        <w:rPr>
          <w:color w:val="auto"/>
          <w:szCs w:val="21"/>
          <w:highlight w:val="none"/>
        </w:rPr>
      </w:pPr>
      <w:r>
        <w:rPr>
          <w:rFonts w:hint="eastAsia"/>
          <w:color w:val="auto"/>
          <w:szCs w:val="21"/>
          <w:highlight w:val="none"/>
        </w:rPr>
        <w:t>四、时间要求</w:t>
      </w:r>
    </w:p>
    <w:p>
      <w:pPr>
        <w:snapToGrid w:val="0"/>
        <w:spacing w:line="360" w:lineRule="auto"/>
        <w:ind w:firstLine="420"/>
        <w:rPr>
          <w:color w:val="auto"/>
          <w:szCs w:val="21"/>
          <w:highlight w:val="none"/>
        </w:rPr>
      </w:pPr>
      <w:r>
        <w:rPr>
          <w:rFonts w:hint="eastAsia"/>
          <w:color w:val="auto"/>
          <w:szCs w:val="21"/>
          <w:highlight w:val="none"/>
        </w:rPr>
        <w:t>（一）开始工作时间。</w:t>
      </w:r>
    </w:p>
    <w:p>
      <w:pPr>
        <w:snapToGrid w:val="0"/>
        <w:spacing w:line="360" w:lineRule="auto"/>
        <w:ind w:firstLine="420"/>
        <w:rPr>
          <w:color w:val="auto"/>
          <w:szCs w:val="21"/>
          <w:highlight w:val="none"/>
        </w:rPr>
      </w:pPr>
      <w:r>
        <w:rPr>
          <w:rFonts w:hint="eastAsia"/>
          <w:color w:val="auto"/>
          <w:szCs w:val="21"/>
          <w:highlight w:val="none"/>
        </w:rPr>
        <w:t>（二）设计完成时间。</w:t>
      </w:r>
    </w:p>
    <w:p>
      <w:pPr>
        <w:snapToGrid w:val="0"/>
        <w:spacing w:line="360" w:lineRule="auto"/>
        <w:ind w:firstLine="420"/>
        <w:rPr>
          <w:color w:val="auto"/>
          <w:szCs w:val="21"/>
          <w:highlight w:val="none"/>
        </w:rPr>
      </w:pPr>
      <w:r>
        <w:rPr>
          <w:rFonts w:hint="eastAsia"/>
          <w:color w:val="auto"/>
          <w:szCs w:val="21"/>
          <w:highlight w:val="none"/>
        </w:rPr>
        <w:t>（三）进度计划。</w:t>
      </w:r>
    </w:p>
    <w:p>
      <w:pPr>
        <w:snapToGrid w:val="0"/>
        <w:spacing w:line="360" w:lineRule="auto"/>
        <w:ind w:firstLine="420"/>
        <w:rPr>
          <w:color w:val="auto"/>
          <w:szCs w:val="21"/>
          <w:highlight w:val="none"/>
        </w:rPr>
      </w:pPr>
      <w:r>
        <w:rPr>
          <w:rFonts w:hint="eastAsia"/>
          <w:color w:val="auto"/>
          <w:szCs w:val="21"/>
          <w:highlight w:val="none"/>
        </w:rPr>
        <w:t>（四）竣工时间。</w:t>
      </w:r>
    </w:p>
    <w:p>
      <w:pPr>
        <w:snapToGrid w:val="0"/>
        <w:spacing w:line="360" w:lineRule="auto"/>
        <w:ind w:firstLine="420"/>
        <w:rPr>
          <w:color w:val="auto"/>
          <w:szCs w:val="21"/>
          <w:highlight w:val="none"/>
        </w:rPr>
      </w:pPr>
      <w:r>
        <w:rPr>
          <w:rFonts w:hint="eastAsia"/>
          <w:color w:val="auto"/>
          <w:szCs w:val="21"/>
          <w:highlight w:val="none"/>
        </w:rPr>
        <w:t>（五）缺陷责任期。</w:t>
      </w:r>
    </w:p>
    <w:p>
      <w:pPr>
        <w:snapToGrid w:val="0"/>
        <w:spacing w:line="360" w:lineRule="auto"/>
        <w:ind w:firstLine="420"/>
        <w:rPr>
          <w:color w:val="auto"/>
          <w:szCs w:val="21"/>
          <w:highlight w:val="none"/>
        </w:rPr>
      </w:pPr>
      <w:r>
        <w:rPr>
          <w:rFonts w:hint="eastAsia"/>
          <w:color w:val="auto"/>
          <w:szCs w:val="21"/>
          <w:highlight w:val="none"/>
        </w:rPr>
        <w:t>（六）其他时间要求。</w:t>
      </w:r>
    </w:p>
    <w:p>
      <w:pPr>
        <w:snapToGrid w:val="0"/>
        <w:spacing w:line="360" w:lineRule="auto"/>
        <w:ind w:firstLine="420"/>
        <w:rPr>
          <w:color w:val="auto"/>
          <w:szCs w:val="21"/>
          <w:highlight w:val="none"/>
        </w:rPr>
      </w:pPr>
      <w:r>
        <w:rPr>
          <w:rFonts w:hint="eastAsia"/>
          <w:color w:val="auto"/>
          <w:szCs w:val="21"/>
          <w:highlight w:val="none"/>
        </w:rPr>
        <w:t>五、技术要求</w:t>
      </w:r>
    </w:p>
    <w:p>
      <w:pPr>
        <w:snapToGrid w:val="0"/>
        <w:spacing w:line="360" w:lineRule="auto"/>
        <w:ind w:firstLine="420"/>
        <w:rPr>
          <w:color w:val="auto"/>
          <w:szCs w:val="21"/>
          <w:highlight w:val="none"/>
        </w:rPr>
      </w:pPr>
      <w:r>
        <w:rPr>
          <w:rFonts w:hint="eastAsia"/>
          <w:color w:val="auto"/>
          <w:szCs w:val="21"/>
          <w:highlight w:val="none"/>
        </w:rPr>
        <w:t>（一）设计阶段和设计任务。</w:t>
      </w:r>
    </w:p>
    <w:p>
      <w:pPr>
        <w:snapToGrid w:val="0"/>
        <w:spacing w:line="360" w:lineRule="auto"/>
        <w:ind w:firstLine="420"/>
        <w:rPr>
          <w:color w:val="auto"/>
          <w:szCs w:val="21"/>
          <w:highlight w:val="none"/>
        </w:rPr>
      </w:pPr>
      <w:r>
        <w:rPr>
          <w:rFonts w:hint="eastAsia"/>
          <w:color w:val="auto"/>
          <w:szCs w:val="21"/>
          <w:highlight w:val="none"/>
        </w:rPr>
        <w:t>（二）设计标准和规范。</w:t>
      </w:r>
    </w:p>
    <w:p>
      <w:pPr>
        <w:snapToGrid w:val="0"/>
        <w:spacing w:line="360" w:lineRule="auto"/>
        <w:ind w:firstLine="420"/>
        <w:rPr>
          <w:color w:val="auto"/>
          <w:szCs w:val="21"/>
          <w:highlight w:val="none"/>
        </w:rPr>
      </w:pPr>
      <w:r>
        <w:rPr>
          <w:rFonts w:hint="eastAsia"/>
          <w:color w:val="auto"/>
          <w:szCs w:val="21"/>
          <w:highlight w:val="none"/>
        </w:rPr>
        <w:t>（三）技术标准和要求。</w:t>
      </w:r>
    </w:p>
    <w:p>
      <w:pPr>
        <w:snapToGrid w:val="0"/>
        <w:spacing w:line="360" w:lineRule="auto"/>
        <w:ind w:firstLine="420"/>
        <w:rPr>
          <w:color w:val="auto"/>
          <w:szCs w:val="21"/>
          <w:highlight w:val="none"/>
        </w:rPr>
      </w:pPr>
      <w:r>
        <w:rPr>
          <w:rFonts w:hint="eastAsia"/>
          <w:color w:val="auto"/>
          <w:szCs w:val="21"/>
          <w:highlight w:val="none"/>
        </w:rPr>
        <w:t>（四）质量标准。</w:t>
      </w:r>
    </w:p>
    <w:p>
      <w:pPr>
        <w:snapToGrid w:val="0"/>
        <w:spacing w:line="360" w:lineRule="auto"/>
        <w:ind w:firstLine="420"/>
        <w:rPr>
          <w:color w:val="auto"/>
          <w:szCs w:val="21"/>
          <w:highlight w:val="none"/>
        </w:rPr>
      </w:pPr>
      <w:r>
        <w:rPr>
          <w:rFonts w:hint="eastAsia"/>
          <w:color w:val="auto"/>
          <w:szCs w:val="21"/>
          <w:highlight w:val="none"/>
        </w:rPr>
        <w:t>（五）设计、施工和设备监造、试验（如有）。</w:t>
      </w:r>
    </w:p>
    <w:p>
      <w:pPr>
        <w:snapToGrid w:val="0"/>
        <w:spacing w:line="360" w:lineRule="auto"/>
        <w:ind w:firstLine="420"/>
        <w:rPr>
          <w:color w:val="auto"/>
          <w:szCs w:val="21"/>
          <w:highlight w:val="none"/>
        </w:rPr>
      </w:pPr>
      <w:r>
        <w:rPr>
          <w:rFonts w:hint="eastAsia"/>
          <w:color w:val="auto"/>
          <w:szCs w:val="21"/>
          <w:highlight w:val="none"/>
        </w:rPr>
        <w:t>（六）样品。</w:t>
      </w:r>
    </w:p>
    <w:p>
      <w:pPr>
        <w:snapToGrid w:val="0"/>
        <w:spacing w:line="360" w:lineRule="auto"/>
        <w:ind w:firstLine="420"/>
        <w:rPr>
          <w:color w:val="auto"/>
          <w:szCs w:val="21"/>
          <w:highlight w:val="none"/>
        </w:rPr>
      </w:pPr>
      <w:r>
        <w:rPr>
          <w:rFonts w:hint="eastAsia"/>
          <w:color w:val="auto"/>
          <w:szCs w:val="21"/>
          <w:highlight w:val="none"/>
        </w:rPr>
        <w:t>（七）发包人提供的其他条件，如发包人或其委托的第三人提供的设计、工艺包、用于试验检验的工器具等，以及据此对承包人提出的予以配套的要求。</w:t>
      </w:r>
    </w:p>
    <w:p>
      <w:pPr>
        <w:snapToGrid w:val="0"/>
        <w:spacing w:line="360" w:lineRule="auto"/>
        <w:ind w:firstLine="420"/>
        <w:rPr>
          <w:color w:val="auto"/>
          <w:szCs w:val="21"/>
          <w:highlight w:val="none"/>
        </w:rPr>
      </w:pPr>
      <w:r>
        <w:rPr>
          <w:rFonts w:hint="eastAsia"/>
          <w:color w:val="auto"/>
          <w:szCs w:val="21"/>
          <w:highlight w:val="none"/>
        </w:rPr>
        <w:t>六、竣工试验</w:t>
      </w:r>
    </w:p>
    <w:p>
      <w:pPr>
        <w:snapToGrid w:val="0"/>
        <w:spacing w:line="360" w:lineRule="auto"/>
        <w:ind w:firstLine="420"/>
        <w:rPr>
          <w:color w:val="auto"/>
          <w:szCs w:val="21"/>
          <w:highlight w:val="none"/>
        </w:rPr>
      </w:pPr>
      <w:r>
        <w:rPr>
          <w:rFonts w:hint="eastAsia"/>
          <w:color w:val="auto"/>
          <w:szCs w:val="21"/>
          <w:highlight w:val="none"/>
        </w:rPr>
        <w:t>（一）第一阶段，如对单车试验等的要求，包括试验前准备。</w:t>
      </w:r>
    </w:p>
    <w:p>
      <w:pPr>
        <w:snapToGrid w:val="0"/>
        <w:spacing w:line="360" w:lineRule="auto"/>
        <w:ind w:firstLine="420"/>
        <w:rPr>
          <w:color w:val="auto"/>
          <w:szCs w:val="21"/>
          <w:highlight w:val="none"/>
        </w:rPr>
      </w:pPr>
      <w:r>
        <w:rPr>
          <w:rFonts w:hint="eastAsia"/>
          <w:color w:val="auto"/>
          <w:szCs w:val="21"/>
          <w:highlight w:val="none"/>
        </w:rPr>
        <w:t>（二）第二阶段，如对联动试车、投料试车等的要求，包括人员、设备、材料、燃料、电力、消耗品、工具等必要条件。</w:t>
      </w:r>
    </w:p>
    <w:p>
      <w:pPr>
        <w:snapToGrid w:val="0"/>
        <w:spacing w:line="360" w:lineRule="auto"/>
        <w:ind w:firstLine="420"/>
        <w:rPr>
          <w:color w:val="auto"/>
          <w:szCs w:val="21"/>
          <w:highlight w:val="none"/>
        </w:rPr>
      </w:pPr>
      <w:r>
        <w:rPr>
          <w:rFonts w:hint="eastAsia"/>
          <w:color w:val="auto"/>
          <w:szCs w:val="21"/>
          <w:highlight w:val="none"/>
        </w:rPr>
        <w:t>（三）第三阶段，如对性能测试及其他竣工试验的要求，包括产能指标、产品质量标准、运营指标、环保指标等。</w:t>
      </w:r>
    </w:p>
    <w:p>
      <w:pPr>
        <w:snapToGrid w:val="0"/>
        <w:spacing w:line="360" w:lineRule="auto"/>
        <w:ind w:firstLine="420"/>
        <w:rPr>
          <w:color w:val="auto"/>
          <w:szCs w:val="21"/>
          <w:highlight w:val="none"/>
        </w:rPr>
      </w:pPr>
      <w:r>
        <w:rPr>
          <w:rFonts w:hint="eastAsia"/>
          <w:color w:val="auto"/>
          <w:szCs w:val="21"/>
          <w:highlight w:val="none"/>
        </w:rPr>
        <w:t>七、竣工验收</w:t>
      </w:r>
    </w:p>
    <w:p>
      <w:pPr>
        <w:snapToGrid w:val="0"/>
        <w:spacing w:line="360" w:lineRule="auto"/>
        <w:ind w:firstLine="420"/>
        <w:rPr>
          <w:color w:val="auto"/>
          <w:szCs w:val="21"/>
          <w:highlight w:val="none"/>
        </w:rPr>
      </w:pPr>
      <w:r>
        <w:rPr>
          <w:rFonts w:hint="eastAsia"/>
          <w:color w:val="auto"/>
          <w:szCs w:val="21"/>
          <w:highlight w:val="none"/>
        </w:rPr>
        <w:t>八、竣工后试验（如有）</w:t>
      </w:r>
    </w:p>
    <w:p>
      <w:pPr>
        <w:snapToGrid w:val="0"/>
        <w:spacing w:line="360" w:lineRule="auto"/>
        <w:ind w:firstLine="420"/>
        <w:rPr>
          <w:color w:val="auto"/>
          <w:szCs w:val="21"/>
          <w:highlight w:val="none"/>
        </w:rPr>
      </w:pPr>
      <w:r>
        <w:rPr>
          <w:rFonts w:hint="eastAsia"/>
          <w:color w:val="auto"/>
          <w:szCs w:val="21"/>
          <w:highlight w:val="none"/>
        </w:rPr>
        <w:t>九、文件要求</w:t>
      </w:r>
    </w:p>
    <w:p>
      <w:pPr>
        <w:snapToGrid w:val="0"/>
        <w:spacing w:line="360" w:lineRule="auto"/>
        <w:ind w:firstLine="420"/>
        <w:rPr>
          <w:color w:val="auto"/>
          <w:szCs w:val="21"/>
          <w:highlight w:val="none"/>
        </w:rPr>
      </w:pPr>
      <w:r>
        <w:rPr>
          <w:rFonts w:hint="eastAsia"/>
          <w:color w:val="auto"/>
          <w:szCs w:val="21"/>
          <w:highlight w:val="none"/>
        </w:rPr>
        <w:t>（一）设计文件，及其相关审批、核准、备案要求。</w:t>
      </w:r>
    </w:p>
    <w:p>
      <w:pPr>
        <w:snapToGrid w:val="0"/>
        <w:spacing w:line="360" w:lineRule="auto"/>
        <w:ind w:firstLine="420"/>
        <w:rPr>
          <w:color w:val="auto"/>
          <w:szCs w:val="21"/>
          <w:highlight w:val="none"/>
        </w:rPr>
      </w:pPr>
      <w:r>
        <w:rPr>
          <w:rFonts w:hint="eastAsia"/>
          <w:color w:val="auto"/>
          <w:szCs w:val="21"/>
          <w:highlight w:val="none"/>
        </w:rPr>
        <w:t>（二）沟通计划。</w:t>
      </w:r>
    </w:p>
    <w:p>
      <w:pPr>
        <w:snapToGrid w:val="0"/>
        <w:spacing w:line="360" w:lineRule="auto"/>
        <w:ind w:firstLine="420"/>
        <w:rPr>
          <w:color w:val="auto"/>
          <w:szCs w:val="21"/>
          <w:highlight w:val="none"/>
        </w:rPr>
      </w:pPr>
      <w:r>
        <w:rPr>
          <w:rFonts w:hint="eastAsia"/>
          <w:color w:val="auto"/>
          <w:szCs w:val="21"/>
          <w:highlight w:val="none"/>
        </w:rPr>
        <w:t>（三）风险管理计划。</w:t>
      </w:r>
    </w:p>
    <w:p>
      <w:pPr>
        <w:snapToGrid w:val="0"/>
        <w:spacing w:line="360" w:lineRule="auto"/>
        <w:ind w:firstLine="420"/>
        <w:rPr>
          <w:color w:val="auto"/>
          <w:szCs w:val="21"/>
          <w:highlight w:val="none"/>
        </w:rPr>
      </w:pPr>
      <w:r>
        <w:rPr>
          <w:rFonts w:hint="eastAsia"/>
          <w:color w:val="auto"/>
          <w:szCs w:val="21"/>
          <w:highlight w:val="none"/>
        </w:rPr>
        <w:t>（四）竣工文件和工程的其他记录。</w:t>
      </w:r>
    </w:p>
    <w:p>
      <w:pPr>
        <w:snapToGrid w:val="0"/>
        <w:spacing w:line="360" w:lineRule="auto"/>
        <w:ind w:firstLine="420"/>
        <w:rPr>
          <w:color w:val="auto"/>
          <w:szCs w:val="21"/>
          <w:highlight w:val="none"/>
        </w:rPr>
      </w:pPr>
      <w:r>
        <w:rPr>
          <w:rFonts w:hint="eastAsia"/>
          <w:color w:val="auto"/>
          <w:szCs w:val="21"/>
          <w:highlight w:val="none"/>
        </w:rPr>
        <w:t>（五）操作和维修手册。</w:t>
      </w:r>
    </w:p>
    <w:p>
      <w:pPr>
        <w:snapToGrid w:val="0"/>
        <w:spacing w:line="360" w:lineRule="auto"/>
        <w:ind w:firstLine="420"/>
        <w:rPr>
          <w:color w:val="auto"/>
          <w:szCs w:val="21"/>
          <w:highlight w:val="none"/>
        </w:rPr>
      </w:pPr>
      <w:r>
        <w:rPr>
          <w:rFonts w:hint="eastAsia"/>
          <w:color w:val="auto"/>
          <w:szCs w:val="21"/>
          <w:highlight w:val="none"/>
        </w:rPr>
        <w:t>（六）其他承包人文件。</w:t>
      </w:r>
    </w:p>
    <w:p>
      <w:pPr>
        <w:snapToGrid w:val="0"/>
        <w:spacing w:line="360" w:lineRule="auto"/>
        <w:ind w:firstLine="420"/>
        <w:rPr>
          <w:color w:val="auto"/>
          <w:szCs w:val="21"/>
          <w:highlight w:val="none"/>
        </w:rPr>
      </w:pPr>
      <w:r>
        <w:rPr>
          <w:rFonts w:hint="eastAsia"/>
          <w:color w:val="auto"/>
          <w:szCs w:val="21"/>
          <w:highlight w:val="none"/>
        </w:rPr>
        <w:t>十、工程项目管理规定</w:t>
      </w:r>
    </w:p>
    <w:p>
      <w:pPr>
        <w:snapToGrid w:val="0"/>
        <w:spacing w:line="360" w:lineRule="auto"/>
        <w:ind w:firstLine="420"/>
        <w:rPr>
          <w:color w:val="auto"/>
          <w:szCs w:val="21"/>
          <w:highlight w:val="none"/>
        </w:rPr>
      </w:pPr>
      <w:r>
        <w:rPr>
          <w:rFonts w:hint="eastAsia"/>
          <w:color w:val="auto"/>
          <w:szCs w:val="21"/>
          <w:highlight w:val="none"/>
        </w:rPr>
        <w:t>（一）质量。</w:t>
      </w:r>
    </w:p>
    <w:p>
      <w:pPr>
        <w:snapToGrid w:val="0"/>
        <w:spacing w:line="360" w:lineRule="auto"/>
        <w:ind w:firstLine="420"/>
        <w:rPr>
          <w:color w:val="auto"/>
          <w:szCs w:val="21"/>
          <w:highlight w:val="none"/>
        </w:rPr>
      </w:pPr>
      <w:r>
        <w:rPr>
          <w:rFonts w:hint="eastAsia"/>
          <w:color w:val="auto"/>
          <w:szCs w:val="21"/>
          <w:highlight w:val="none"/>
        </w:rPr>
        <w:t>（二）进度，包括里程碑进度计划（如果有）。</w:t>
      </w:r>
    </w:p>
    <w:p>
      <w:pPr>
        <w:snapToGrid w:val="0"/>
        <w:spacing w:line="360" w:lineRule="auto"/>
        <w:ind w:firstLine="420"/>
        <w:rPr>
          <w:color w:val="auto"/>
          <w:szCs w:val="21"/>
          <w:highlight w:val="none"/>
        </w:rPr>
      </w:pPr>
      <w:r>
        <w:rPr>
          <w:rFonts w:hint="eastAsia"/>
          <w:color w:val="auto"/>
          <w:szCs w:val="21"/>
          <w:highlight w:val="none"/>
        </w:rPr>
        <w:t>（三）支付。</w:t>
      </w:r>
    </w:p>
    <w:p>
      <w:pPr>
        <w:snapToGrid w:val="0"/>
        <w:spacing w:line="360" w:lineRule="auto"/>
        <w:ind w:firstLine="420"/>
        <w:rPr>
          <w:color w:val="auto"/>
          <w:szCs w:val="21"/>
          <w:highlight w:val="none"/>
        </w:rPr>
      </w:pPr>
      <w:r>
        <w:rPr>
          <w:rFonts w:hint="eastAsia"/>
          <w:color w:val="auto"/>
          <w:szCs w:val="21"/>
          <w:highlight w:val="none"/>
        </w:rPr>
        <w:t>（四）HSE（健康、安全与环境管理体系）。</w:t>
      </w:r>
    </w:p>
    <w:p>
      <w:pPr>
        <w:snapToGrid w:val="0"/>
        <w:spacing w:line="360" w:lineRule="auto"/>
        <w:ind w:firstLine="420"/>
        <w:rPr>
          <w:color w:val="auto"/>
          <w:szCs w:val="21"/>
          <w:highlight w:val="none"/>
        </w:rPr>
      </w:pPr>
      <w:r>
        <w:rPr>
          <w:rFonts w:hint="eastAsia"/>
          <w:color w:val="auto"/>
          <w:szCs w:val="21"/>
          <w:highlight w:val="none"/>
        </w:rPr>
        <w:t>（五）沟通。</w:t>
      </w:r>
    </w:p>
    <w:p>
      <w:pPr>
        <w:snapToGrid w:val="0"/>
        <w:spacing w:line="360" w:lineRule="auto"/>
        <w:ind w:firstLine="420"/>
        <w:rPr>
          <w:color w:val="auto"/>
          <w:szCs w:val="21"/>
          <w:highlight w:val="none"/>
        </w:rPr>
      </w:pPr>
      <w:r>
        <w:rPr>
          <w:rFonts w:hint="eastAsia"/>
          <w:color w:val="auto"/>
          <w:szCs w:val="21"/>
          <w:highlight w:val="none"/>
        </w:rPr>
        <w:t>（六）变更。</w:t>
      </w:r>
    </w:p>
    <w:p>
      <w:pPr>
        <w:snapToGrid w:val="0"/>
        <w:spacing w:line="360" w:lineRule="auto"/>
        <w:ind w:firstLine="420"/>
        <w:rPr>
          <w:color w:val="auto"/>
          <w:szCs w:val="21"/>
          <w:highlight w:val="none"/>
        </w:rPr>
      </w:pPr>
      <w:r>
        <w:rPr>
          <w:rFonts w:hint="eastAsia"/>
          <w:color w:val="auto"/>
          <w:szCs w:val="21"/>
          <w:highlight w:val="none"/>
        </w:rPr>
        <w:t>十一、其他要求</w:t>
      </w:r>
    </w:p>
    <w:p>
      <w:pPr>
        <w:snapToGrid w:val="0"/>
        <w:spacing w:line="360" w:lineRule="auto"/>
        <w:ind w:firstLine="420"/>
        <w:rPr>
          <w:color w:val="auto"/>
          <w:szCs w:val="21"/>
          <w:highlight w:val="none"/>
        </w:rPr>
      </w:pPr>
      <w:r>
        <w:rPr>
          <w:rFonts w:hint="eastAsia"/>
          <w:color w:val="auto"/>
          <w:szCs w:val="21"/>
          <w:highlight w:val="none"/>
        </w:rPr>
        <w:t>（</w:t>
      </w:r>
      <w:r>
        <w:rPr>
          <w:rFonts w:hint="eastAsia"/>
          <w:color w:val="auto"/>
          <w:szCs w:val="21"/>
          <w:highlight w:val="none"/>
          <w:lang w:val="en-US" w:eastAsia="zh-CN"/>
        </w:rPr>
        <w:t>一</w:t>
      </w:r>
      <w:r>
        <w:rPr>
          <w:rFonts w:hint="eastAsia"/>
          <w:color w:val="auto"/>
          <w:szCs w:val="21"/>
          <w:highlight w:val="none"/>
        </w:rPr>
        <w:t>）对承包人的主要人员资格要求。</w:t>
      </w:r>
    </w:p>
    <w:p>
      <w:pPr>
        <w:snapToGrid w:val="0"/>
        <w:spacing w:line="360" w:lineRule="auto"/>
        <w:ind w:firstLine="420"/>
        <w:rPr>
          <w:color w:val="auto"/>
          <w:szCs w:val="21"/>
          <w:highlight w:val="none"/>
        </w:rPr>
      </w:pPr>
      <w:r>
        <w:rPr>
          <w:rFonts w:hint="eastAsia"/>
          <w:color w:val="auto"/>
          <w:szCs w:val="21"/>
          <w:highlight w:val="none"/>
        </w:rPr>
        <w:t>（</w:t>
      </w:r>
      <w:r>
        <w:rPr>
          <w:rFonts w:hint="eastAsia"/>
          <w:color w:val="auto"/>
          <w:szCs w:val="21"/>
          <w:highlight w:val="none"/>
          <w:lang w:val="en-US" w:eastAsia="zh-CN"/>
        </w:rPr>
        <w:t>二</w:t>
      </w:r>
      <w:r>
        <w:rPr>
          <w:rFonts w:hint="eastAsia"/>
          <w:color w:val="auto"/>
          <w:szCs w:val="21"/>
          <w:highlight w:val="none"/>
        </w:rPr>
        <w:t>）相关审批、核准和备案手续的办理。</w:t>
      </w:r>
    </w:p>
    <w:p>
      <w:pPr>
        <w:snapToGrid w:val="0"/>
        <w:spacing w:line="360" w:lineRule="auto"/>
        <w:ind w:firstLine="420"/>
        <w:rPr>
          <w:color w:val="auto"/>
          <w:szCs w:val="21"/>
          <w:highlight w:val="none"/>
        </w:rPr>
      </w:pPr>
      <w:r>
        <w:rPr>
          <w:rFonts w:hint="eastAsia"/>
          <w:color w:val="auto"/>
          <w:szCs w:val="21"/>
          <w:highlight w:val="none"/>
        </w:rPr>
        <w:t>（</w:t>
      </w:r>
      <w:r>
        <w:rPr>
          <w:rFonts w:hint="eastAsia"/>
          <w:color w:val="auto"/>
          <w:szCs w:val="21"/>
          <w:highlight w:val="none"/>
          <w:lang w:val="en-US" w:eastAsia="zh-CN"/>
        </w:rPr>
        <w:t>三</w:t>
      </w:r>
      <w:r>
        <w:rPr>
          <w:rFonts w:hint="eastAsia"/>
          <w:color w:val="auto"/>
          <w:szCs w:val="21"/>
          <w:highlight w:val="none"/>
        </w:rPr>
        <w:t>）对项目业主人员的操作培训。</w:t>
      </w:r>
    </w:p>
    <w:p>
      <w:pPr>
        <w:snapToGrid w:val="0"/>
        <w:spacing w:line="360" w:lineRule="auto"/>
        <w:ind w:firstLine="420"/>
        <w:rPr>
          <w:color w:val="auto"/>
          <w:szCs w:val="21"/>
          <w:highlight w:val="none"/>
        </w:rPr>
      </w:pPr>
      <w:r>
        <w:rPr>
          <w:rFonts w:hint="eastAsia"/>
          <w:color w:val="auto"/>
          <w:szCs w:val="21"/>
          <w:highlight w:val="none"/>
        </w:rPr>
        <w:t>（</w:t>
      </w:r>
      <w:r>
        <w:rPr>
          <w:rFonts w:hint="eastAsia"/>
          <w:color w:val="auto"/>
          <w:szCs w:val="21"/>
          <w:highlight w:val="none"/>
          <w:lang w:val="en-US" w:eastAsia="zh-CN"/>
        </w:rPr>
        <w:t>四</w:t>
      </w:r>
      <w:r>
        <w:rPr>
          <w:rFonts w:hint="eastAsia"/>
          <w:color w:val="auto"/>
          <w:szCs w:val="21"/>
          <w:highlight w:val="none"/>
        </w:rPr>
        <w:t>）分包。</w:t>
      </w:r>
    </w:p>
    <w:p>
      <w:pPr>
        <w:snapToGrid w:val="0"/>
        <w:spacing w:line="360" w:lineRule="auto"/>
        <w:ind w:firstLine="420"/>
        <w:rPr>
          <w:color w:val="auto"/>
          <w:szCs w:val="21"/>
          <w:highlight w:val="none"/>
        </w:rPr>
      </w:pPr>
      <w:r>
        <w:rPr>
          <w:rFonts w:hint="eastAsia"/>
          <w:color w:val="auto"/>
          <w:szCs w:val="21"/>
          <w:highlight w:val="none"/>
        </w:rPr>
        <w:t>（</w:t>
      </w:r>
      <w:r>
        <w:rPr>
          <w:rFonts w:hint="eastAsia"/>
          <w:color w:val="auto"/>
          <w:szCs w:val="21"/>
          <w:highlight w:val="none"/>
          <w:lang w:val="en-US" w:eastAsia="zh-CN"/>
        </w:rPr>
        <w:t>五</w:t>
      </w:r>
      <w:r>
        <w:rPr>
          <w:rFonts w:hint="eastAsia"/>
          <w:color w:val="auto"/>
          <w:szCs w:val="21"/>
          <w:highlight w:val="none"/>
        </w:rPr>
        <w:t>）设备供应商。</w:t>
      </w:r>
    </w:p>
    <w:p>
      <w:pPr>
        <w:snapToGrid w:val="0"/>
        <w:spacing w:line="360" w:lineRule="auto"/>
        <w:ind w:firstLine="420" w:firstLineChars="200"/>
        <w:rPr>
          <w:color w:val="auto"/>
          <w:szCs w:val="21"/>
          <w:highlight w:val="none"/>
        </w:rPr>
      </w:pPr>
      <w:r>
        <w:rPr>
          <w:rFonts w:hint="eastAsia"/>
          <w:color w:val="auto"/>
          <w:szCs w:val="21"/>
          <w:highlight w:val="none"/>
        </w:rPr>
        <w:t>（</w:t>
      </w:r>
      <w:r>
        <w:rPr>
          <w:rFonts w:hint="eastAsia"/>
          <w:color w:val="auto"/>
          <w:szCs w:val="21"/>
          <w:highlight w:val="none"/>
          <w:lang w:val="en-US" w:eastAsia="zh-CN"/>
        </w:rPr>
        <w:t>六</w:t>
      </w:r>
      <w:r>
        <w:rPr>
          <w:rFonts w:hint="eastAsia"/>
          <w:color w:val="auto"/>
          <w:szCs w:val="21"/>
          <w:highlight w:val="none"/>
        </w:rPr>
        <w:t>）缺陷责任期的服务要求。</w:t>
      </w:r>
    </w:p>
    <w:p>
      <w:pPr>
        <w:snapToGrid w:val="0"/>
        <w:spacing w:line="360" w:lineRule="auto"/>
        <w:jc w:val="left"/>
        <w:rPr>
          <w:color w:val="auto"/>
          <w:highlight w:val="none"/>
        </w:rPr>
      </w:pPr>
    </w:p>
    <w:p>
      <w:pPr>
        <w:jc w:val="left"/>
        <w:rPr>
          <w:color w:val="auto"/>
          <w:highlight w:val="none"/>
        </w:rPr>
      </w:pPr>
    </w:p>
    <w:p>
      <w:pPr>
        <w:spacing w:line="360" w:lineRule="auto"/>
        <w:jc w:val="center"/>
        <w:rPr>
          <w:rFonts w:ascii="黑体" w:hAnsi="黑体" w:eastAsia="黑体"/>
          <w:color w:val="auto"/>
          <w:sz w:val="32"/>
          <w:szCs w:val="32"/>
          <w:highlight w:val="none"/>
        </w:rPr>
      </w:pPr>
      <w:r>
        <w:rPr>
          <w:color w:val="auto"/>
          <w:highlight w:val="none"/>
        </w:rPr>
        <w:br w:type="page"/>
      </w:r>
      <w:r>
        <w:rPr>
          <w:rFonts w:hint="eastAsia" w:ascii="黑体" w:hAnsi="黑体" w:eastAsia="黑体"/>
          <w:color w:val="auto"/>
          <w:sz w:val="32"/>
          <w:szCs w:val="32"/>
          <w:highlight w:val="none"/>
        </w:rPr>
        <w:t>附件2</w:t>
      </w:r>
      <w:r>
        <w:rPr>
          <w:rFonts w:ascii="黑体" w:hAnsi="黑体" w:eastAsia="黑体"/>
          <w:color w:val="auto"/>
          <w:sz w:val="32"/>
          <w:szCs w:val="32"/>
          <w:highlight w:val="none"/>
        </w:rPr>
        <w:t xml:space="preserve"> 发包人供应材料设备一览表</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序号</w:t>
            </w:r>
          </w:p>
        </w:tc>
        <w:tc>
          <w:tcPr>
            <w:tcW w:w="1165"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材料、设备品种</w:t>
            </w:r>
          </w:p>
        </w:tc>
        <w:tc>
          <w:tcPr>
            <w:tcW w:w="1126"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规格型号</w:t>
            </w:r>
          </w:p>
        </w:tc>
        <w:tc>
          <w:tcPr>
            <w:tcW w:w="567"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单位</w:t>
            </w:r>
          </w:p>
        </w:tc>
        <w:tc>
          <w:tcPr>
            <w:tcW w:w="686"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数量</w:t>
            </w:r>
          </w:p>
        </w:tc>
        <w:tc>
          <w:tcPr>
            <w:tcW w:w="992"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单价（元）</w:t>
            </w:r>
          </w:p>
        </w:tc>
        <w:tc>
          <w:tcPr>
            <w:tcW w:w="1134"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质量等级</w:t>
            </w:r>
          </w:p>
        </w:tc>
        <w:tc>
          <w:tcPr>
            <w:tcW w:w="1134"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供应时间</w:t>
            </w:r>
          </w:p>
        </w:tc>
        <w:tc>
          <w:tcPr>
            <w:tcW w:w="1134"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送达地点</w:t>
            </w:r>
          </w:p>
        </w:tc>
        <w:tc>
          <w:tcPr>
            <w:tcW w:w="709"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tcBorders>
              <w:top w:val="double" w:color="auto" w:sz="6" w:space="0"/>
              <w:bottom w:val="single" w:color="auto" w:sz="6" w:space="0"/>
            </w:tcBorders>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tcBorders>
              <w:top w:val="nil"/>
            </w:tcBorders>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tcBorders>
              <w:top w:val="nil"/>
            </w:tcBorders>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65"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2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567"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686"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992" w:type="dxa"/>
            <w:noWrap w:val="0"/>
            <w:vAlign w:val="top"/>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1134"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c>
          <w:tcPr>
            <w:tcW w:w="709" w:type="dxa"/>
            <w:noWrap w:val="0"/>
            <w:vAlign w:val="center"/>
          </w:tcPr>
          <w:p>
            <w:pPr>
              <w:pStyle w:val="3"/>
              <w:keepNext w:val="0"/>
              <w:keepLines w:val="0"/>
              <w:suppressLineNumbers w:val="0"/>
              <w:spacing w:before="0" w:beforeAutospacing="0" w:afterAutospacing="0"/>
              <w:ind w:left="0" w:right="0"/>
              <w:jc w:val="left"/>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65"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2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567"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686"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992" w:type="dxa"/>
            <w:noWrap w:val="0"/>
            <w:vAlign w:val="top"/>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1134"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c>
          <w:tcPr>
            <w:tcW w:w="709" w:type="dxa"/>
            <w:noWrap w:val="0"/>
            <w:vAlign w:val="center"/>
          </w:tcPr>
          <w:p>
            <w:pPr>
              <w:keepNext w:val="0"/>
              <w:keepLines w:val="0"/>
              <w:suppressLineNumbers w:val="0"/>
              <w:spacing w:before="0" w:beforeAutospacing="0" w:after="0" w:afterAutospacing="0"/>
              <w:ind w:left="0" w:right="0"/>
              <w:jc w:val="left"/>
              <w:rPr>
                <w:rFonts w:hint="default" w:ascii="仿宋_GB2312" w:hAnsi="Calibri" w:eastAsia="仿宋_GB2312" w:cs="Calibri"/>
                <w:color w:val="auto"/>
                <w:highlight w:val="none"/>
              </w:rPr>
            </w:pPr>
          </w:p>
        </w:tc>
      </w:tr>
    </w:tbl>
    <w:p>
      <w:pPr>
        <w:rPr>
          <w:color w:val="auto"/>
          <w:highlight w:val="none"/>
        </w:rPr>
      </w:pPr>
    </w:p>
    <w:p>
      <w:pPr>
        <w:rPr>
          <w:color w:val="auto"/>
          <w:highlight w:val="none"/>
        </w:rPr>
      </w:pPr>
      <w:r>
        <w:rPr>
          <w:color w:val="auto"/>
          <w:highlight w:val="none"/>
        </w:rPr>
        <w:br w:type="page"/>
      </w:r>
    </w:p>
    <w:p>
      <w:pPr>
        <w:spacing w:line="36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附件</w:t>
      </w:r>
      <w:r>
        <w:rPr>
          <w:rFonts w:ascii="黑体" w:hAnsi="黑体" w:eastAsia="黑体"/>
          <w:color w:val="auto"/>
          <w:sz w:val="32"/>
          <w:szCs w:val="32"/>
          <w:highlight w:val="none"/>
        </w:rPr>
        <w:t>3 工程质量保修书</w:t>
      </w:r>
    </w:p>
    <w:p>
      <w:pPr>
        <w:snapToGrid w:val="0"/>
        <w:spacing w:line="360" w:lineRule="auto"/>
        <w:rPr>
          <w:color w:val="auto"/>
          <w:szCs w:val="21"/>
          <w:highlight w:val="none"/>
        </w:rPr>
      </w:pPr>
      <w:r>
        <w:rPr>
          <w:rFonts w:hint="eastAsia"/>
          <w:color w:val="auto"/>
          <w:szCs w:val="21"/>
          <w:highlight w:val="none"/>
        </w:rPr>
        <w:t>发包人（全称）：</w:t>
      </w:r>
      <w:r>
        <w:rPr>
          <w:color w:val="auto"/>
          <w:szCs w:val="21"/>
          <w:highlight w:val="none"/>
          <w:u w:val="single"/>
        </w:rPr>
        <w:t xml:space="preserve">                                  </w:t>
      </w:r>
    </w:p>
    <w:p>
      <w:pPr>
        <w:snapToGrid w:val="0"/>
        <w:spacing w:line="360" w:lineRule="auto"/>
        <w:rPr>
          <w:color w:val="auto"/>
          <w:szCs w:val="21"/>
          <w:highlight w:val="none"/>
        </w:rPr>
      </w:pPr>
      <w:r>
        <w:rPr>
          <w:rFonts w:hint="eastAsia"/>
          <w:color w:val="auto"/>
          <w:szCs w:val="21"/>
          <w:highlight w:val="none"/>
        </w:rPr>
        <w:t>承包人（全称）：</w:t>
      </w:r>
      <w:r>
        <w:rPr>
          <w:color w:val="auto"/>
          <w:szCs w:val="21"/>
          <w:highlight w:val="none"/>
          <w:u w:val="single"/>
        </w:rPr>
        <w:t xml:space="preserve">                                  </w:t>
      </w:r>
    </w:p>
    <w:p>
      <w:pPr>
        <w:snapToGrid w:val="0"/>
        <w:spacing w:line="360" w:lineRule="auto"/>
        <w:ind w:firstLine="420"/>
        <w:rPr>
          <w:color w:val="auto"/>
          <w:szCs w:val="21"/>
          <w:highlight w:val="none"/>
        </w:rPr>
      </w:pPr>
      <w:r>
        <w:rPr>
          <w:rFonts w:hint="eastAsia"/>
          <w:color w:val="auto"/>
          <w:szCs w:val="21"/>
          <w:highlight w:val="none"/>
        </w:rPr>
        <w:t>发包人和承包人根据《中华人民共和国建筑法》和《建设工程质量管理条例》，经协商一致就</w:t>
      </w:r>
      <w:r>
        <w:rPr>
          <w:color w:val="auto"/>
          <w:szCs w:val="21"/>
          <w:highlight w:val="none"/>
          <w:u w:val="single"/>
        </w:rPr>
        <w:t xml:space="preserve">                 </w:t>
      </w:r>
      <w:r>
        <w:rPr>
          <w:rFonts w:hint="eastAsia"/>
          <w:color w:val="auto"/>
          <w:szCs w:val="21"/>
          <w:highlight w:val="none"/>
        </w:rPr>
        <w:t>（工程全称）订立工程质量保修书。</w:t>
      </w:r>
    </w:p>
    <w:p>
      <w:pPr>
        <w:snapToGrid w:val="0"/>
        <w:spacing w:line="360" w:lineRule="auto"/>
        <w:ind w:firstLine="420"/>
        <w:rPr>
          <w:color w:val="auto"/>
          <w:szCs w:val="21"/>
          <w:highlight w:val="none"/>
        </w:rPr>
      </w:pPr>
      <w:r>
        <w:rPr>
          <w:rFonts w:hint="eastAsia"/>
          <w:color w:val="auto"/>
          <w:szCs w:val="21"/>
          <w:highlight w:val="none"/>
        </w:rPr>
        <w:t>一、工程质量保修范围和内容</w:t>
      </w:r>
    </w:p>
    <w:p>
      <w:pPr>
        <w:snapToGrid w:val="0"/>
        <w:spacing w:line="360" w:lineRule="auto"/>
        <w:ind w:firstLine="420"/>
        <w:rPr>
          <w:color w:val="auto"/>
          <w:szCs w:val="21"/>
          <w:highlight w:val="none"/>
        </w:rPr>
      </w:pPr>
      <w:r>
        <w:rPr>
          <w:rFonts w:hint="eastAsia"/>
          <w:color w:val="auto"/>
          <w:szCs w:val="21"/>
          <w:highlight w:val="none"/>
        </w:rPr>
        <w:t>承包人在质量保修期内，按照有关法律规定和合同约定，承担工程质量保修责任。</w:t>
      </w:r>
    </w:p>
    <w:p>
      <w:pPr>
        <w:snapToGrid w:val="0"/>
        <w:spacing w:line="360" w:lineRule="auto"/>
        <w:ind w:firstLine="420"/>
        <w:rPr>
          <w:color w:val="auto"/>
          <w:szCs w:val="21"/>
          <w:highlight w:val="none"/>
        </w:rPr>
      </w:pPr>
      <w:r>
        <w:rPr>
          <w:rFonts w:hint="eastAsia"/>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color w:val="auto"/>
          <w:szCs w:val="21"/>
          <w:highlight w:val="none"/>
          <w:u w:val="single"/>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二、质量保修期</w:t>
      </w:r>
    </w:p>
    <w:p>
      <w:pPr>
        <w:snapToGrid w:val="0"/>
        <w:spacing w:line="360" w:lineRule="auto"/>
        <w:ind w:firstLine="420"/>
        <w:rPr>
          <w:color w:val="auto"/>
          <w:szCs w:val="21"/>
          <w:highlight w:val="none"/>
        </w:rPr>
      </w:pPr>
      <w:r>
        <w:rPr>
          <w:rFonts w:hint="eastAsia"/>
          <w:color w:val="auto"/>
          <w:szCs w:val="21"/>
          <w:highlight w:val="none"/>
        </w:rPr>
        <w:t>根据《建设工程质量管理条例》及有关规定，工程的质量保修期如下：</w:t>
      </w:r>
    </w:p>
    <w:p>
      <w:pPr>
        <w:snapToGrid w:val="0"/>
        <w:spacing w:line="360" w:lineRule="auto"/>
        <w:ind w:firstLine="420"/>
        <w:rPr>
          <w:color w:val="auto"/>
          <w:szCs w:val="21"/>
          <w:highlight w:val="none"/>
        </w:rPr>
      </w:pPr>
      <w:r>
        <w:rPr>
          <w:rFonts w:hint="eastAsia"/>
          <w:color w:val="auto"/>
          <w:szCs w:val="21"/>
          <w:highlight w:val="none"/>
        </w:rPr>
        <w:t>1．地基基础工程和主体结构工程为设计文件规定的工程合理使用年限；</w:t>
      </w:r>
    </w:p>
    <w:p>
      <w:pPr>
        <w:snapToGrid w:val="0"/>
        <w:spacing w:line="360" w:lineRule="auto"/>
        <w:ind w:firstLine="420"/>
        <w:rPr>
          <w:color w:val="auto"/>
          <w:szCs w:val="21"/>
          <w:highlight w:val="none"/>
        </w:rPr>
      </w:pPr>
      <w:r>
        <w:rPr>
          <w:rFonts w:hint="eastAsia"/>
          <w:color w:val="auto"/>
          <w:szCs w:val="21"/>
          <w:highlight w:val="none"/>
        </w:rPr>
        <w:t>2．屋面防水工程、有防水要求的卫生间、房间和外墙面的防渗为</w:t>
      </w:r>
      <w:r>
        <w:rPr>
          <w:color w:val="auto"/>
          <w:szCs w:val="21"/>
          <w:highlight w:val="none"/>
          <w:u w:val="single"/>
        </w:rPr>
        <w:t xml:space="preserve">       </w:t>
      </w:r>
      <w:r>
        <w:rPr>
          <w:rFonts w:hint="eastAsia"/>
          <w:color w:val="auto"/>
          <w:szCs w:val="21"/>
          <w:highlight w:val="none"/>
        </w:rPr>
        <w:t>年；</w:t>
      </w:r>
    </w:p>
    <w:p>
      <w:pPr>
        <w:snapToGrid w:val="0"/>
        <w:spacing w:line="360" w:lineRule="auto"/>
        <w:ind w:firstLine="420"/>
        <w:rPr>
          <w:color w:val="auto"/>
          <w:szCs w:val="21"/>
          <w:highlight w:val="none"/>
        </w:rPr>
      </w:pPr>
      <w:r>
        <w:rPr>
          <w:rFonts w:hint="eastAsia"/>
          <w:color w:val="auto"/>
          <w:szCs w:val="21"/>
          <w:highlight w:val="none"/>
        </w:rPr>
        <w:t>3．装修工程为</w:t>
      </w:r>
      <w:r>
        <w:rPr>
          <w:color w:val="auto"/>
          <w:szCs w:val="21"/>
          <w:highlight w:val="none"/>
          <w:u w:val="single"/>
        </w:rPr>
        <w:t xml:space="preserve">         </w:t>
      </w:r>
      <w:r>
        <w:rPr>
          <w:rFonts w:hint="eastAsia"/>
          <w:color w:val="auto"/>
          <w:szCs w:val="21"/>
          <w:highlight w:val="none"/>
        </w:rPr>
        <w:t>年；</w:t>
      </w:r>
    </w:p>
    <w:p>
      <w:pPr>
        <w:snapToGrid w:val="0"/>
        <w:spacing w:line="360" w:lineRule="auto"/>
        <w:ind w:firstLine="420"/>
        <w:rPr>
          <w:color w:val="auto"/>
          <w:szCs w:val="21"/>
          <w:highlight w:val="none"/>
        </w:rPr>
      </w:pPr>
      <w:r>
        <w:rPr>
          <w:rFonts w:hint="eastAsia"/>
          <w:color w:val="auto"/>
          <w:szCs w:val="21"/>
          <w:highlight w:val="none"/>
        </w:rPr>
        <w:t>4．电气管线、给排水管道、设备安装工程为</w:t>
      </w:r>
      <w:r>
        <w:rPr>
          <w:color w:val="auto"/>
          <w:szCs w:val="21"/>
          <w:highlight w:val="none"/>
          <w:u w:val="single"/>
        </w:rPr>
        <w:t xml:space="preserve">           </w:t>
      </w:r>
      <w:r>
        <w:rPr>
          <w:rFonts w:hint="eastAsia"/>
          <w:color w:val="auto"/>
          <w:szCs w:val="21"/>
          <w:highlight w:val="none"/>
        </w:rPr>
        <w:t>年；</w:t>
      </w:r>
    </w:p>
    <w:p>
      <w:pPr>
        <w:snapToGrid w:val="0"/>
        <w:spacing w:line="360" w:lineRule="auto"/>
        <w:ind w:firstLine="420"/>
        <w:rPr>
          <w:color w:val="auto"/>
          <w:szCs w:val="21"/>
          <w:highlight w:val="none"/>
        </w:rPr>
      </w:pPr>
      <w:r>
        <w:rPr>
          <w:rFonts w:hint="eastAsia"/>
          <w:color w:val="auto"/>
          <w:szCs w:val="21"/>
          <w:highlight w:val="none"/>
        </w:rPr>
        <w:t>5．供热与供冷系统为</w:t>
      </w:r>
      <w:r>
        <w:rPr>
          <w:color w:val="auto"/>
          <w:szCs w:val="21"/>
          <w:highlight w:val="none"/>
          <w:u w:val="single"/>
        </w:rPr>
        <w:t xml:space="preserve">        </w:t>
      </w:r>
      <w:r>
        <w:rPr>
          <w:rFonts w:hint="eastAsia"/>
          <w:color w:val="auto"/>
          <w:szCs w:val="21"/>
          <w:highlight w:val="none"/>
        </w:rPr>
        <w:t>个采暖期、供冷期；</w:t>
      </w:r>
    </w:p>
    <w:p>
      <w:pPr>
        <w:snapToGrid w:val="0"/>
        <w:spacing w:line="360" w:lineRule="auto"/>
        <w:ind w:firstLine="420"/>
        <w:rPr>
          <w:color w:val="auto"/>
          <w:szCs w:val="21"/>
          <w:highlight w:val="none"/>
        </w:rPr>
      </w:pPr>
      <w:r>
        <w:rPr>
          <w:rFonts w:hint="eastAsia"/>
          <w:color w:val="auto"/>
          <w:szCs w:val="21"/>
          <w:highlight w:val="none"/>
        </w:rPr>
        <w:t>6．住宅小区内的给排水设施、道路等配套工程为</w:t>
      </w:r>
      <w:r>
        <w:rPr>
          <w:color w:val="auto"/>
          <w:szCs w:val="21"/>
          <w:highlight w:val="none"/>
          <w:u w:val="single"/>
        </w:rPr>
        <w:t xml:space="preserve">         </w:t>
      </w:r>
      <w:r>
        <w:rPr>
          <w:rFonts w:hint="eastAsia"/>
          <w:color w:val="auto"/>
          <w:szCs w:val="21"/>
          <w:highlight w:val="none"/>
        </w:rPr>
        <w:t>年；</w:t>
      </w:r>
    </w:p>
    <w:p>
      <w:pPr>
        <w:snapToGrid w:val="0"/>
        <w:spacing w:line="360" w:lineRule="auto"/>
        <w:ind w:firstLine="420"/>
        <w:rPr>
          <w:color w:val="auto"/>
          <w:szCs w:val="21"/>
          <w:highlight w:val="none"/>
        </w:rPr>
      </w:pPr>
      <w:r>
        <w:rPr>
          <w:rFonts w:hint="eastAsia"/>
          <w:color w:val="auto"/>
          <w:szCs w:val="21"/>
          <w:highlight w:val="none"/>
        </w:rPr>
        <w:t>7．其他项目保修期限约定如下：</w:t>
      </w:r>
      <w:r>
        <w:rPr>
          <w:color w:val="auto"/>
          <w:szCs w:val="21"/>
          <w:highlight w:val="none"/>
          <w:u w:val="single"/>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质量保修期自工程竣工验收合格之日起计算。</w:t>
      </w:r>
    </w:p>
    <w:p>
      <w:pPr>
        <w:snapToGrid w:val="0"/>
        <w:spacing w:line="360" w:lineRule="auto"/>
        <w:ind w:firstLine="420"/>
        <w:rPr>
          <w:color w:val="auto"/>
          <w:szCs w:val="21"/>
          <w:highlight w:val="none"/>
        </w:rPr>
      </w:pPr>
      <w:r>
        <w:rPr>
          <w:rFonts w:hint="eastAsia"/>
          <w:color w:val="auto"/>
          <w:szCs w:val="21"/>
          <w:highlight w:val="none"/>
        </w:rPr>
        <w:t>三、缺陷责任期</w:t>
      </w:r>
    </w:p>
    <w:p>
      <w:pPr>
        <w:snapToGrid w:val="0"/>
        <w:spacing w:line="360" w:lineRule="auto"/>
        <w:ind w:firstLine="420"/>
        <w:rPr>
          <w:color w:val="auto"/>
          <w:szCs w:val="21"/>
          <w:highlight w:val="none"/>
        </w:rPr>
      </w:pPr>
      <w:r>
        <w:rPr>
          <w:rFonts w:hint="eastAsia"/>
          <w:color w:val="auto"/>
          <w:szCs w:val="21"/>
          <w:highlight w:val="none"/>
        </w:rPr>
        <w:t>工程缺陷责任期为</w:t>
      </w:r>
      <w:r>
        <w:rPr>
          <w:color w:val="auto"/>
          <w:szCs w:val="21"/>
          <w:highlight w:val="none"/>
          <w:u w:val="single"/>
        </w:rPr>
        <w:t xml:space="preserve">      </w:t>
      </w:r>
      <w:r>
        <w:rPr>
          <w:rFonts w:hint="eastAsia"/>
          <w:color w:val="auto"/>
          <w:szCs w:val="21"/>
          <w:highlight w:val="none"/>
        </w:rPr>
        <w:t>个月，缺陷责任期自工程通过竣工验收之日起计算。单位/区段工程先于全部工程进行验收，单位/区段工程缺陷责任期自单位/区段工程验收合格之日起算。</w:t>
      </w:r>
    </w:p>
    <w:p>
      <w:pPr>
        <w:snapToGrid w:val="0"/>
        <w:spacing w:line="360" w:lineRule="auto"/>
        <w:ind w:firstLine="420"/>
        <w:rPr>
          <w:color w:val="auto"/>
          <w:szCs w:val="21"/>
          <w:highlight w:val="none"/>
        </w:rPr>
      </w:pPr>
      <w:r>
        <w:rPr>
          <w:rFonts w:hint="eastAsia"/>
          <w:color w:val="auto"/>
          <w:szCs w:val="21"/>
          <w:highlight w:val="none"/>
        </w:rPr>
        <w:t>缺陷责任期终止后，发包人应返还剩余的质量保证金。</w:t>
      </w:r>
    </w:p>
    <w:p>
      <w:pPr>
        <w:snapToGrid w:val="0"/>
        <w:spacing w:line="360" w:lineRule="auto"/>
        <w:ind w:firstLine="420"/>
        <w:rPr>
          <w:color w:val="auto"/>
          <w:szCs w:val="21"/>
          <w:highlight w:val="none"/>
        </w:rPr>
      </w:pPr>
      <w:r>
        <w:rPr>
          <w:rFonts w:hint="eastAsia"/>
          <w:color w:val="auto"/>
          <w:szCs w:val="21"/>
          <w:highlight w:val="none"/>
        </w:rPr>
        <w:t>四、质量保修责任</w:t>
      </w:r>
    </w:p>
    <w:p>
      <w:pPr>
        <w:snapToGrid w:val="0"/>
        <w:spacing w:line="360" w:lineRule="auto"/>
        <w:ind w:firstLine="420"/>
        <w:rPr>
          <w:color w:val="auto"/>
          <w:szCs w:val="21"/>
          <w:highlight w:val="none"/>
        </w:rPr>
      </w:pPr>
      <w:r>
        <w:rPr>
          <w:rFonts w:hint="eastAsia"/>
          <w:color w:val="auto"/>
          <w:szCs w:val="21"/>
          <w:highlight w:val="none"/>
        </w:rPr>
        <w:t>1．属于保修范围、内容的项目，承包人应当在接到保修通知之日起7天内派人保修。承包人不在约定期限内派人保修的，发包人可以委托他人修理。</w:t>
      </w:r>
    </w:p>
    <w:p>
      <w:pPr>
        <w:snapToGrid w:val="0"/>
        <w:spacing w:line="360" w:lineRule="auto"/>
        <w:ind w:firstLine="420"/>
        <w:rPr>
          <w:color w:val="auto"/>
          <w:szCs w:val="21"/>
          <w:highlight w:val="none"/>
        </w:rPr>
      </w:pPr>
      <w:r>
        <w:rPr>
          <w:rFonts w:hint="eastAsia"/>
          <w:color w:val="auto"/>
          <w:szCs w:val="21"/>
          <w:highlight w:val="none"/>
        </w:rPr>
        <w:t>2．发生紧急事故需抢修的，承包人在接到事故通知后，应当立即到达事故现场抢修。</w:t>
      </w:r>
    </w:p>
    <w:p>
      <w:pPr>
        <w:snapToGrid w:val="0"/>
        <w:spacing w:line="360" w:lineRule="auto"/>
        <w:ind w:firstLine="420"/>
        <w:rPr>
          <w:color w:val="auto"/>
          <w:szCs w:val="21"/>
          <w:highlight w:val="none"/>
        </w:rPr>
      </w:pPr>
      <w:r>
        <w:rPr>
          <w:rFonts w:hint="eastAsia"/>
          <w:color w:val="auto"/>
          <w:szCs w:val="21"/>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pPr>
        <w:snapToGrid w:val="0"/>
        <w:spacing w:line="360" w:lineRule="auto"/>
        <w:ind w:firstLine="420"/>
        <w:rPr>
          <w:color w:val="auto"/>
          <w:szCs w:val="21"/>
          <w:highlight w:val="none"/>
        </w:rPr>
      </w:pPr>
      <w:r>
        <w:rPr>
          <w:rFonts w:hint="eastAsia"/>
          <w:color w:val="auto"/>
          <w:szCs w:val="21"/>
          <w:highlight w:val="none"/>
        </w:rPr>
        <w:t>4．质量保修完成后，由发包人组织验收。</w:t>
      </w:r>
    </w:p>
    <w:p>
      <w:pPr>
        <w:snapToGrid w:val="0"/>
        <w:spacing w:line="360" w:lineRule="auto"/>
        <w:ind w:firstLine="420"/>
        <w:rPr>
          <w:color w:val="auto"/>
          <w:szCs w:val="21"/>
          <w:highlight w:val="none"/>
        </w:rPr>
      </w:pPr>
      <w:r>
        <w:rPr>
          <w:rFonts w:hint="eastAsia"/>
          <w:color w:val="auto"/>
          <w:szCs w:val="21"/>
          <w:highlight w:val="none"/>
        </w:rPr>
        <w:t>五、保修费用</w:t>
      </w:r>
    </w:p>
    <w:p>
      <w:pPr>
        <w:snapToGrid w:val="0"/>
        <w:spacing w:line="360" w:lineRule="auto"/>
        <w:ind w:firstLine="420"/>
        <w:rPr>
          <w:color w:val="auto"/>
          <w:szCs w:val="21"/>
          <w:highlight w:val="none"/>
        </w:rPr>
      </w:pPr>
      <w:r>
        <w:rPr>
          <w:rFonts w:hint="eastAsia"/>
          <w:color w:val="auto"/>
          <w:szCs w:val="21"/>
          <w:highlight w:val="none"/>
        </w:rPr>
        <w:t>保修费用由造成质量缺陷的责任方承担。</w:t>
      </w:r>
    </w:p>
    <w:p>
      <w:pPr>
        <w:snapToGrid w:val="0"/>
        <w:spacing w:line="360" w:lineRule="auto"/>
        <w:ind w:firstLine="420"/>
        <w:rPr>
          <w:color w:val="auto"/>
          <w:szCs w:val="21"/>
          <w:highlight w:val="none"/>
          <w:u w:val="single"/>
        </w:rPr>
      </w:pPr>
      <w:r>
        <w:rPr>
          <w:rFonts w:hint="eastAsia"/>
          <w:color w:val="auto"/>
          <w:szCs w:val="21"/>
          <w:highlight w:val="none"/>
        </w:rPr>
        <w:t>六、双方约定的其他工程质量保修事项：</w:t>
      </w:r>
      <w:r>
        <w:rPr>
          <w:color w:val="auto"/>
          <w:szCs w:val="21"/>
          <w:highlight w:val="none"/>
          <w:u w:val="single"/>
        </w:rPr>
        <w:t xml:space="preserve">                </w:t>
      </w:r>
      <w:r>
        <w:rPr>
          <w:rFonts w:hint="eastAsia"/>
          <w:color w:val="auto"/>
          <w:szCs w:val="21"/>
          <w:highlight w:val="none"/>
        </w:rPr>
        <w:t>。</w:t>
      </w:r>
    </w:p>
    <w:p>
      <w:pPr>
        <w:snapToGrid w:val="0"/>
        <w:spacing w:line="360" w:lineRule="auto"/>
        <w:ind w:firstLine="420"/>
        <w:rPr>
          <w:color w:val="auto"/>
          <w:szCs w:val="21"/>
          <w:highlight w:val="none"/>
        </w:rPr>
      </w:pPr>
      <w:r>
        <w:rPr>
          <w:rFonts w:hint="eastAsia"/>
          <w:color w:val="auto"/>
          <w:szCs w:val="21"/>
          <w:highlight w:val="none"/>
        </w:rPr>
        <w:t>工程质量保修书由发包人、承包人在工程竣工验收前共同签署，作为工程总承包合同附件，其有效期限至保修期满。</w:t>
      </w:r>
    </w:p>
    <w:p>
      <w:pPr>
        <w:snapToGrid w:val="0"/>
        <w:spacing w:line="360" w:lineRule="auto"/>
        <w:ind w:firstLine="420"/>
        <w:rPr>
          <w:color w:val="auto"/>
          <w:szCs w:val="21"/>
          <w:highlight w:val="none"/>
        </w:rPr>
      </w:pPr>
    </w:p>
    <w:p>
      <w:pPr>
        <w:snapToGrid w:val="0"/>
        <w:spacing w:line="360" w:lineRule="auto"/>
        <w:ind w:firstLine="420"/>
        <w:rPr>
          <w:color w:val="auto"/>
          <w:szCs w:val="21"/>
          <w:highlight w:val="none"/>
        </w:rPr>
      </w:pPr>
      <w:r>
        <w:rPr>
          <w:rFonts w:hint="eastAsia"/>
          <w:color w:val="auto"/>
          <w:szCs w:val="21"/>
          <w:highlight w:val="none"/>
        </w:rPr>
        <w:t xml:space="preserve">发包人(公章)：               承包人(公章)：          </w:t>
      </w:r>
    </w:p>
    <w:p>
      <w:pPr>
        <w:snapToGrid w:val="0"/>
        <w:spacing w:line="360" w:lineRule="auto"/>
        <w:ind w:firstLine="420"/>
        <w:rPr>
          <w:color w:val="auto"/>
          <w:szCs w:val="21"/>
          <w:highlight w:val="none"/>
        </w:rPr>
      </w:pPr>
      <w:r>
        <w:rPr>
          <w:rFonts w:hint="eastAsia"/>
          <w:color w:val="auto"/>
          <w:szCs w:val="21"/>
          <w:highlight w:val="none"/>
        </w:rPr>
        <w:t xml:space="preserve">地  址：                     地  址：       </w:t>
      </w:r>
    </w:p>
    <w:p>
      <w:pPr>
        <w:snapToGrid w:val="0"/>
        <w:spacing w:line="360" w:lineRule="auto"/>
        <w:ind w:firstLine="420"/>
        <w:rPr>
          <w:color w:val="auto"/>
          <w:szCs w:val="21"/>
          <w:highlight w:val="none"/>
        </w:rPr>
      </w:pPr>
      <w:r>
        <w:rPr>
          <w:rFonts w:hint="eastAsia"/>
          <w:color w:val="auto"/>
          <w:szCs w:val="21"/>
          <w:highlight w:val="none"/>
        </w:rPr>
        <w:t xml:space="preserve">法定代表人(签字)：           法定代表人(签字)：       </w:t>
      </w:r>
    </w:p>
    <w:p>
      <w:pPr>
        <w:snapToGrid w:val="0"/>
        <w:spacing w:line="360" w:lineRule="auto"/>
        <w:ind w:firstLine="420"/>
        <w:rPr>
          <w:color w:val="auto"/>
          <w:szCs w:val="21"/>
          <w:highlight w:val="none"/>
        </w:rPr>
      </w:pPr>
      <w:r>
        <w:rPr>
          <w:rFonts w:hint="eastAsia"/>
          <w:color w:val="auto"/>
          <w:szCs w:val="21"/>
          <w:highlight w:val="none"/>
        </w:rPr>
        <w:t xml:space="preserve">委托代理人(签字)：           委托代理人(签字)：       </w:t>
      </w:r>
    </w:p>
    <w:p>
      <w:pPr>
        <w:snapToGrid w:val="0"/>
        <w:spacing w:line="360" w:lineRule="auto"/>
        <w:ind w:firstLine="420"/>
        <w:rPr>
          <w:color w:val="auto"/>
          <w:szCs w:val="21"/>
          <w:highlight w:val="none"/>
        </w:rPr>
      </w:pPr>
      <w:r>
        <w:rPr>
          <w:rFonts w:hint="eastAsia"/>
          <w:color w:val="auto"/>
          <w:szCs w:val="21"/>
          <w:highlight w:val="none"/>
        </w:rPr>
        <w:t>电  话：                     电  话：</w:t>
      </w:r>
    </w:p>
    <w:p>
      <w:pPr>
        <w:snapToGrid w:val="0"/>
        <w:spacing w:line="360" w:lineRule="auto"/>
        <w:ind w:firstLine="420"/>
        <w:rPr>
          <w:color w:val="auto"/>
          <w:szCs w:val="21"/>
          <w:highlight w:val="none"/>
        </w:rPr>
      </w:pPr>
      <w:r>
        <w:rPr>
          <w:rFonts w:hint="eastAsia"/>
          <w:color w:val="auto"/>
          <w:szCs w:val="21"/>
          <w:highlight w:val="none"/>
        </w:rPr>
        <w:t xml:space="preserve">传  真：                     传  真：  </w:t>
      </w:r>
    </w:p>
    <w:p>
      <w:pPr>
        <w:snapToGrid w:val="0"/>
        <w:spacing w:line="360" w:lineRule="auto"/>
        <w:ind w:firstLine="420"/>
        <w:rPr>
          <w:color w:val="auto"/>
          <w:szCs w:val="21"/>
          <w:highlight w:val="none"/>
        </w:rPr>
      </w:pPr>
      <w:r>
        <w:rPr>
          <w:rFonts w:hint="eastAsia"/>
          <w:color w:val="auto"/>
          <w:szCs w:val="21"/>
          <w:highlight w:val="none"/>
        </w:rPr>
        <w:t>开户银行：                   开户银行：</w:t>
      </w:r>
    </w:p>
    <w:p>
      <w:pPr>
        <w:snapToGrid w:val="0"/>
        <w:spacing w:line="360" w:lineRule="auto"/>
        <w:ind w:firstLine="420"/>
        <w:rPr>
          <w:rFonts w:hint="eastAsia"/>
          <w:color w:val="auto"/>
          <w:szCs w:val="21"/>
          <w:highlight w:val="none"/>
        </w:rPr>
      </w:pPr>
      <w:r>
        <w:rPr>
          <w:rFonts w:hint="eastAsia"/>
          <w:color w:val="auto"/>
          <w:szCs w:val="21"/>
          <w:highlight w:val="none"/>
        </w:rPr>
        <w:t xml:space="preserve">账  号：                     账  号： </w:t>
      </w:r>
    </w:p>
    <w:p>
      <w:pPr>
        <w:snapToGrid w:val="0"/>
        <w:spacing w:line="360" w:lineRule="auto"/>
        <w:ind w:firstLine="420"/>
        <w:rPr>
          <w:color w:val="auto"/>
          <w:szCs w:val="21"/>
          <w:highlight w:val="none"/>
        </w:rPr>
      </w:pPr>
      <w:r>
        <w:rPr>
          <w:rFonts w:hint="eastAsia"/>
          <w:color w:val="auto"/>
          <w:szCs w:val="21"/>
          <w:highlight w:val="none"/>
        </w:rPr>
        <w:t xml:space="preserve">邮政编码：                   邮政编码：   </w:t>
      </w:r>
    </w:p>
    <w:p>
      <w:pPr>
        <w:snapToGrid w:val="0"/>
        <w:spacing w:line="360" w:lineRule="auto"/>
        <w:jc w:val="left"/>
        <w:rPr>
          <w:color w:val="auto"/>
          <w:sz w:val="30"/>
          <w:szCs w:val="30"/>
          <w:highlight w:val="none"/>
        </w:rPr>
      </w:pPr>
      <w:r>
        <w:rPr>
          <w:color w:val="auto"/>
          <w:sz w:val="30"/>
          <w:szCs w:val="30"/>
          <w:highlight w:val="none"/>
        </w:rPr>
        <w:br w:type="page"/>
      </w:r>
    </w:p>
    <w:p>
      <w:pPr>
        <w:spacing w:line="36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附件4</w:t>
      </w:r>
      <w:r>
        <w:rPr>
          <w:rFonts w:ascii="黑体" w:hAnsi="黑体" w:eastAsia="黑体"/>
          <w:color w:val="auto"/>
          <w:sz w:val="32"/>
          <w:szCs w:val="32"/>
          <w:highlight w:val="none"/>
        </w:rPr>
        <w:t xml:space="preserve"> 主要建设工程文件目录</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40" w:hRule="atLeast"/>
          <w:jc w:val="center"/>
        </w:trPr>
        <w:tc>
          <w:tcPr>
            <w:tcW w:w="2125"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文件名称</w:t>
            </w:r>
          </w:p>
        </w:tc>
        <w:tc>
          <w:tcPr>
            <w:tcW w:w="1276"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套数</w:t>
            </w:r>
          </w:p>
        </w:tc>
        <w:tc>
          <w:tcPr>
            <w:tcW w:w="1450"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费用（元）</w:t>
            </w:r>
          </w:p>
        </w:tc>
        <w:tc>
          <w:tcPr>
            <w:tcW w:w="1243"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r>
              <w:rPr>
                <w:rFonts w:hint="eastAsia" w:ascii="仿宋_GB2312" w:hAnsi="宋体" w:eastAsia="仿宋_GB2312" w:cs="Calibri"/>
                <w:color w:val="auto"/>
                <w:kern w:val="0"/>
                <w:szCs w:val="20"/>
                <w:highlight w:val="none"/>
                <w:lang w:val="en-US" w:eastAsia="zh-CN"/>
              </w:rPr>
              <w:t>质量</w:t>
            </w:r>
          </w:p>
        </w:tc>
        <w:tc>
          <w:tcPr>
            <w:tcW w:w="1450" w:type="dxa"/>
            <w:tcBorders>
              <w:top w:val="single" w:color="auto" w:sz="12" w:space="0"/>
              <w:bottom w:val="double" w:color="auto" w:sz="6" w:space="0"/>
            </w:tcBorders>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r>
              <w:rPr>
                <w:rFonts w:hint="eastAsia" w:ascii="仿宋_GB2312" w:hAnsi="Calibri" w:eastAsia="仿宋_GB2312" w:cs="Calibri"/>
                <w:color w:val="auto"/>
                <w:highlight w:val="none"/>
              </w:rPr>
              <w:t>移交时间</w:t>
            </w:r>
          </w:p>
        </w:tc>
        <w:tc>
          <w:tcPr>
            <w:tcW w:w="1670" w:type="dxa"/>
            <w:tcBorders>
              <w:top w:val="single" w:color="auto" w:sz="12" w:space="0"/>
              <w:bottom w:val="double" w:color="auto" w:sz="6" w:space="0"/>
            </w:tcBorders>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r>
              <w:rPr>
                <w:rFonts w:hint="eastAsia" w:ascii="仿宋_GB2312" w:hAnsi="Calibri" w:eastAsia="仿宋_GB2312" w:cs="Calibri"/>
                <w:color w:val="auto"/>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tcBorders>
              <w:top w:val="double" w:color="auto" w:sz="6" w:space="0"/>
              <w:bottom w:val="single" w:color="auto" w:sz="6" w:space="0"/>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tcBorders>
              <w:top w:val="nil"/>
            </w:tcBorders>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76"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243"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45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c>
          <w:tcPr>
            <w:tcW w:w="1670" w:type="dxa"/>
            <w:noWrap w:val="0"/>
            <w:vAlign w:val="center"/>
          </w:tcPr>
          <w:p>
            <w:pPr>
              <w:pStyle w:val="3"/>
              <w:keepNext w:val="0"/>
              <w:keepLines w:val="0"/>
              <w:suppressLineNumbers w:val="0"/>
              <w:spacing w:before="0" w:beforeAutospacing="0" w:afterAutospacing="0"/>
              <w:ind w:left="0" w:right="0"/>
              <w:jc w:val="center"/>
              <w:rPr>
                <w:rFonts w:hint="default" w:ascii="仿宋_GB2312" w:hAnsi="宋体" w:eastAsia="仿宋_GB2312" w:cs="Calibri"/>
                <w:color w:val="auto"/>
                <w:kern w:val="0"/>
                <w:szCs w:val="2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76"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243"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c>
          <w:tcPr>
            <w:tcW w:w="1670" w:type="dxa"/>
            <w:noWrap w:val="0"/>
            <w:vAlign w:val="center"/>
          </w:tcPr>
          <w:p>
            <w:pPr>
              <w:keepNext w:val="0"/>
              <w:keepLines w:val="0"/>
              <w:suppressLineNumbers w:val="0"/>
              <w:spacing w:before="0" w:beforeAutospacing="0" w:after="0" w:afterAutospacing="0"/>
              <w:ind w:left="0" w:right="0"/>
              <w:jc w:val="center"/>
              <w:rPr>
                <w:rFonts w:hint="default" w:ascii="仿宋_GB2312" w:hAnsi="Calibri" w:eastAsia="仿宋_GB2312" w:cs="Calibri"/>
                <w:color w:val="auto"/>
                <w:highlight w:val="none"/>
              </w:rPr>
            </w:pPr>
          </w:p>
        </w:tc>
      </w:tr>
    </w:tbl>
    <w:p>
      <w:pPr>
        <w:rPr>
          <w:color w:val="auto"/>
          <w:highlight w:val="none"/>
        </w:rPr>
      </w:pPr>
    </w:p>
    <w:p>
      <w:pPr>
        <w:rPr>
          <w:color w:val="auto"/>
          <w:highlight w:val="none"/>
        </w:rPr>
      </w:pPr>
    </w:p>
    <w:p>
      <w:pPr>
        <w:rPr>
          <w:color w:val="auto"/>
          <w:highlight w:val="none"/>
        </w:rPr>
        <w:sectPr>
          <w:pgSz w:w="11906" w:h="16838"/>
          <w:pgMar w:top="1440" w:right="1800" w:bottom="1440" w:left="1800" w:header="720" w:footer="998" w:gutter="0"/>
          <w:pgNumType w:fmt="decimal"/>
          <w:cols w:space="720" w:num="1"/>
          <w:docGrid w:linePitch="326" w:charSpace="0"/>
        </w:sectPr>
      </w:pPr>
    </w:p>
    <w:p>
      <w:pPr>
        <w:spacing w:line="36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附件</w:t>
      </w:r>
      <w:r>
        <w:rPr>
          <w:rFonts w:ascii="黑体" w:hAnsi="黑体" w:eastAsia="黑体"/>
          <w:color w:val="auto"/>
          <w:sz w:val="32"/>
          <w:szCs w:val="32"/>
          <w:highlight w:val="none"/>
        </w:rPr>
        <w:t>5 承包人主要管理人员表</w:t>
      </w:r>
    </w:p>
    <w:tbl>
      <w:tblPr>
        <w:tblStyle w:val="47"/>
        <w:tblW w:w="92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27"/>
        <w:gridCol w:w="1438"/>
        <w:gridCol w:w="1150"/>
        <w:gridCol w:w="1150"/>
        <w:gridCol w:w="39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名    称</w:t>
            </w:r>
          </w:p>
        </w:tc>
        <w:tc>
          <w:tcPr>
            <w:tcW w:w="1438"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姓名</w:t>
            </w:r>
          </w:p>
        </w:tc>
        <w:tc>
          <w:tcPr>
            <w:tcW w:w="1150"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职务</w:t>
            </w:r>
          </w:p>
        </w:tc>
        <w:tc>
          <w:tcPr>
            <w:tcW w:w="1150"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职称</w:t>
            </w:r>
          </w:p>
        </w:tc>
        <w:tc>
          <w:tcPr>
            <w:tcW w:w="3951" w:type="dxa"/>
            <w:tcBorders>
              <w:top w:val="single" w:color="auto" w:sz="12" w:space="0"/>
              <w:bottom w:val="double" w:color="auto" w:sz="6" w:space="0"/>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9216" w:type="dxa"/>
            <w:gridSpan w:val="5"/>
            <w:tcBorders>
              <w:top w:val="doub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firstLine="420"/>
              <w:jc w:val="left"/>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nil"/>
              <w:bottom w:val="nil"/>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项目主管</w:t>
            </w:r>
          </w:p>
        </w:tc>
        <w:tc>
          <w:tcPr>
            <w:tcW w:w="1438" w:type="dxa"/>
            <w:tcBorders>
              <w:top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tcBorders>
              <w:top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tcBorders>
              <w:top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tcBorders>
              <w:top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nil"/>
              <w:bottom w:val="nil"/>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其他人员</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nil"/>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9216" w:type="dxa"/>
            <w:gridSpan w:val="5"/>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firstLine="420"/>
              <w:jc w:val="left"/>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工程总承包</w:t>
            </w:r>
          </w:p>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项目经理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项目副经理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设计负责人</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采购负责人</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施工负责人</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技术负责人</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造价管理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质量管理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计划管理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安全管理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tcBorders>
              <w:top w:val="single" w:color="auto" w:sz="6" w:space="0"/>
              <w:bottom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环境管理</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1527" w:type="dxa"/>
            <w:vMerge w:val="restart"/>
            <w:tcBorders>
              <w:top w:val="single" w:color="auto" w:sz="6"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1"/>
                <w:highlight w:val="none"/>
                <w:lang w:val="en-US" w:eastAsia="zh-CN"/>
              </w:rPr>
            </w:pPr>
            <w:r>
              <w:rPr>
                <w:rFonts w:hint="eastAsia" w:ascii="仿宋_GB2312" w:hAnsi="宋体" w:eastAsia="仿宋_GB2312" w:cs="Calibri"/>
                <w:color w:val="auto"/>
                <w:kern w:val="0"/>
                <w:szCs w:val="21"/>
                <w:highlight w:val="none"/>
                <w:lang w:val="en-US" w:eastAsia="zh-CN"/>
              </w:rPr>
              <w:t>其他人员</w:t>
            </w: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3" w:hRule="atLeast"/>
          <w:jc w:val="center"/>
        </w:trPr>
        <w:tc>
          <w:tcPr>
            <w:tcW w:w="1527" w:type="dxa"/>
            <w:vMerge w:val="continue"/>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tcBorders>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tcBorders>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tcBorders>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tcBorders>
              <w:bottom w:val="nil"/>
            </w:tcBorders>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3" w:hRule="atLeast"/>
          <w:jc w:val="center"/>
        </w:trPr>
        <w:tc>
          <w:tcPr>
            <w:tcW w:w="1527" w:type="dxa"/>
            <w:vMerge w:val="continue"/>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3" w:hRule="atLeast"/>
          <w:jc w:val="center"/>
        </w:trPr>
        <w:tc>
          <w:tcPr>
            <w:tcW w:w="1527" w:type="dxa"/>
            <w:vMerge w:val="continue"/>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3" w:hRule="atLeast"/>
          <w:jc w:val="center"/>
        </w:trPr>
        <w:tc>
          <w:tcPr>
            <w:tcW w:w="1527" w:type="dxa"/>
            <w:vMerge w:val="continue"/>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438"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1150"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c>
          <w:tcPr>
            <w:tcW w:w="3951" w:type="dxa"/>
            <w:noWrap w:val="0"/>
            <w:vAlign w:val="center"/>
          </w:tcPr>
          <w:p>
            <w:pPr>
              <w:pStyle w:val="3"/>
              <w:keepNext w:val="0"/>
              <w:keepLines w:val="0"/>
              <w:suppressLineNumbers w:val="0"/>
              <w:spacing w:before="0" w:beforeAutospacing="0" w:after="0" w:afterAutospacing="0"/>
              <w:ind w:left="0" w:right="0" w:firstLine="420"/>
              <w:jc w:val="center"/>
              <w:rPr>
                <w:rFonts w:hint="default" w:ascii="仿宋_GB2312" w:hAnsi="宋体" w:eastAsia="仿宋_GB2312" w:cs="Calibri"/>
                <w:color w:val="auto"/>
                <w:kern w:val="0"/>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3" w:hRule="atLeast"/>
          <w:jc w:val="center"/>
        </w:trPr>
        <w:tc>
          <w:tcPr>
            <w:tcW w:w="1527" w:type="dxa"/>
            <w:vMerge w:val="continue"/>
            <w:tcBorders>
              <w:bottom w:val="single" w:color="auto" w:sz="12"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p>
        </w:tc>
        <w:tc>
          <w:tcPr>
            <w:tcW w:w="1438" w:type="dxa"/>
            <w:tcBorders>
              <w:bottom w:val="single" w:color="auto" w:sz="12"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p>
        </w:tc>
        <w:tc>
          <w:tcPr>
            <w:tcW w:w="1150" w:type="dxa"/>
            <w:tcBorders>
              <w:bottom w:val="single" w:color="auto" w:sz="12"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p>
        </w:tc>
        <w:tc>
          <w:tcPr>
            <w:tcW w:w="1150" w:type="dxa"/>
            <w:tcBorders>
              <w:bottom w:val="single" w:color="auto" w:sz="12"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p>
        </w:tc>
        <w:tc>
          <w:tcPr>
            <w:tcW w:w="3951" w:type="dxa"/>
            <w:tcBorders>
              <w:bottom w:val="single" w:color="auto" w:sz="12" w:space="0"/>
            </w:tcBorders>
            <w:noWrap w:val="0"/>
            <w:vAlign w:val="center"/>
          </w:tcPr>
          <w:p>
            <w:pPr>
              <w:pStyle w:val="3"/>
              <w:keepNext w:val="0"/>
              <w:keepLines w:val="0"/>
              <w:suppressLineNumbers w:val="0"/>
              <w:spacing w:before="0" w:beforeAutospacing="0" w:after="0" w:afterAutospacing="0"/>
              <w:ind w:left="0" w:right="0"/>
              <w:jc w:val="center"/>
              <w:rPr>
                <w:rFonts w:hint="default" w:ascii="仿宋_GB2312" w:hAnsi="宋体" w:eastAsia="仿宋_GB2312" w:cs="Calibri"/>
                <w:color w:val="auto"/>
                <w:kern w:val="0"/>
                <w:szCs w:val="20"/>
                <w:highlight w:val="none"/>
                <w:lang w:val="en-US" w:eastAsia="zh-CN"/>
              </w:rPr>
            </w:pPr>
          </w:p>
        </w:tc>
      </w:tr>
    </w:tbl>
    <w:p>
      <w:pPr>
        <w:rPr>
          <w:color w:val="auto"/>
          <w:highlight w:val="none"/>
        </w:rPr>
      </w:pPr>
      <w:r>
        <w:rPr>
          <w:color w:val="auto"/>
          <w:highlight w:val="none"/>
        </w:rPr>
        <w:br w:type="page"/>
      </w:r>
    </w:p>
    <w:p>
      <w:pPr>
        <w:spacing w:line="360" w:lineRule="auto"/>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附件6</w:t>
      </w:r>
      <w:r>
        <w:rPr>
          <w:rFonts w:ascii="黑体" w:hAnsi="黑体" w:eastAsia="黑体"/>
          <w:color w:val="auto"/>
          <w:sz w:val="32"/>
          <w:szCs w:val="32"/>
          <w:highlight w:val="none"/>
        </w:rPr>
        <w:t xml:space="preserve"> </w:t>
      </w:r>
      <w:r>
        <w:rPr>
          <w:rFonts w:hint="eastAsia" w:ascii="黑体" w:hAnsi="黑体" w:eastAsia="黑体"/>
          <w:color w:val="auto"/>
          <w:sz w:val="32"/>
          <w:szCs w:val="32"/>
          <w:highlight w:val="none"/>
        </w:rPr>
        <w:t>价格指数权重表</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5"/>
        <w:gridCol w:w="588"/>
        <w:gridCol w:w="882"/>
        <w:gridCol w:w="1224"/>
        <w:gridCol w:w="1088"/>
        <w:gridCol w:w="1224"/>
        <w:gridCol w:w="1239"/>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83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序号</w:t>
            </w:r>
          </w:p>
        </w:tc>
        <w:tc>
          <w:tcPr>
            <w:tcW w:w="1470" w:type="dxa"/>
            <w:gridSpan w:val="2"/>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名称</w:t>
            </w:r>
          </w:p>
        </w:tc>
        <w:tc>
          <w:tcPr>
            <w:tcW w:w="2311"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变更权重B</w:t>
            </w:r>
          </w:p>
        </w:tc>
        <w:tc>
          <w:tcPr>
            <w:tcW w:w="2462"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基本价格指数F0</w:t>
            </w: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83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470"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代号</w:t>
            </w: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权重</w:t>
            </w: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代号</w:t>
            </w: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指数</w:t>
            </w: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变</w:t>
            </w:r>
          </w:p>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值</w:t>
            </w:r>
          </w:p>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部</w:t>
            </w:r>
          </w:p>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分</w:t>
            </w: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B1</w:t>
            </w: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F01</w:t>
            </w: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B2</w:t>
            </w: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F02</w:t>
            </w: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B3</w:t>
            </w: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F03</w:t>
            </w: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B4</w:t>
            </w: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F04</w:t>
            </w: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588"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8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2305"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定值部分权重A</w:t>
            </w: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8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2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2305"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合计</w:t>
            </w:r>
          </w:p>
        </w:tc>
        <w:tc>
          <w:tcPr>
            <w:tcW w:w="2311"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462"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39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bl>
    <w:p>
      <w:pPr>
        <w:rPr>
          <w:color w:val="auto"/>
          <w:highlight w:val="none"/>
        </w:rPr>
      </w:pPr>
      <w:bookmarkStart w:id="153" w:name="_Toc69199922"/>
      <w:bookmarkStart w:id="154" w:name="_Toc54862164"/>
    </w:p>
    <w:bookmarkEnd w:id="153"/>
    <w:bookmarkEnd w:id="154"/>
    <w:p>
      <w:pPr>
        <w:rPr>
          <w:rFonts w:hint="eastAsia"/>
          <w:color w:val="auto"/>
          <w:highlight w:val="none"/>
        </w:rPr>
      </w:pPr>
    </w:p>
    <w:p>
      <w:pPr>
        <w:rPr>
          <w:rFonts w:hint="eastAsia"/>
          <w:color w:val="auto"/>
          <w:highlight w:val="none"/>
        </w:rPr>
      </w:pPr>
      <w:r>
        <w:rPr>
          <w:color w:val="auto"/>
          <w:highlight w:val="none"/>
        </w:rPr>
        <w:br w:type="page"/>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
        <w:jc w:val="center"/>
        <w:rPr>
          <w:rFonts w:hint="eastAsia" w:ascii="Times New Roman" w:hAnsi="Times New Roman" w:eastAsia="黑体"/>
          <w:b w:val="0"/>
          <w:bCs w:val="0"/>
          <w:color w:val="auto"/>
          <w:sz w:val="44"/>
          <w:szCs w:val="44"/>
          <w:highlight w:val="none"/>
        </w:rPr>
      </w:pPr>
      <w:bookmarkStart w:id="155" w:name="_Toc69199925"/>
      <w:bookmarkStart w:id="156" w:name="_Toc8135"/>
      <w:r>
        <w:rPr>
          <w:rFonts w:hint="eastAsia" w:ascii="Times New Roman" w:hAnsi="Times New Roman" w:eastAsia="黑体"/>
          <w:b w:val="0"/>
          <w:bCs w:val="0"/>
          <w:color w:val="auto"/>
          <w:sz w:val="44"/>
          <w:szCs w:val="44"/>
          <w:highlight w:val="none"/>
        </w:rPr>
        <w:t>第  二  卷</w:t>
      </w:r>
      <w:bookmarkEnd w:id="155"/>
      <w:bookmarkEnd w:id="156"/>
    </w:p>
    <w:p>
      <w:pPr>
        <w:pStyle w:val="5"/>
        <w:spacing w:before="0" w:after="0"/>
        <w:jc w:val="center"/>
        <w:rPr>
          <w:rFonts w:hint="eastAsia" w:ascii="Times New Roman" w:hAnsi="Times New Roman" w:eastAsia="黑体"/>
          <w:b w:val="0"/>
          <w:bCs w:val="0"/>
          <w:color w:val="auto"/>
          <w:highlight w:val="none"/>
        </w:rPr>
      </w:pPr>
      <w:r>
        <w:rPr>
          <w:rFonts w:ascii="Times New Roman" w:hAnsi="Times New Roman" w:eastAsia="黑体"/>
          <w:b w:val="0"/>
          <w:bCs w:val="0"/>
          <w:color w:val="auto"/>
          <w:highlight w:val="none"/>
        </w:rPr>
        <w:br w:type="page"/>
      </w:r>
      <w:bookmarkStart w:id="157" w:name="_Toc69199926"/>
      <w:bookmarkStart w:id="158" w:name="_Toc24596"/>
      <w:r>
        <w:rPr>
          <w:rFonts w:ascii="Times New Roman" w:hAnsi="Times New Roman" w:eastAsia="黑体"/>
          <w:b w:val="0"/>
          <w:bCs w:val="0"/>
          <w:color w:val="auto"/>
          <w:highlight w:val="none"/>
        </w:rPr>
        <w:t>第</w:t>
      </w:r>
      <w:r>
        <w:rPr>
          <w:rFonts w:hint="eastAsia" w:ascii="Times New Roman" w:hAnsi="Times New Roman" w:eastAsia="黑体"/>
          <w:b w:val="0"/>
          <w:bCs w:val="0"/>
          <w:color w:val="auto"/>
          <w:highlight w:val="none"/>
        </w:rPr>
        <w:t>五</w:t>
      </w:r>
      <w:r>
        <w:rPr>
          <w:rFonts w:ascii="Times New Roman" w:hAnsi="Times New Roman" w:eastAsia="黑体"/>
          <w:b w:val="0"/>
          <w:bCs w:val="0"/>
          <w:color w:val="auto"/>
          <w:highlight w:val="none"/>
        </w:rPr>
        <w:t xml:space="preserve">章  </w:t>
      </w:r>
      <w:r>
        <w:rPr>
          <w:rFonts w:hint="eastAsia" w:ascii="Times New Roman" w:hAnsi="Times New Roman" w:eastAsia="黑体"/>
          <w:b w:val="0"/>
          <w:bCs w:val="0"/>
          <w:color w:val="auto"/>
          <w:highlight w:val="none"/>
        </w:rPr>
        <w:t>发包人要求</w:t>
      </w:r>
      <w:bookmarkEnd w:id="157"/>
      <w:bookmarkEnd w:id="158"/>
    </w:p>
    <w:p>
      <w:pPr>
        <w:rPr>
          <w:rFonts w:hint="eastAsia"/>
          <w:color w:val="auto"/>
          <w:highlight w:val="none"/>
        </w:rPr>
      </w:pPr>
    </w:p>
    <w:p>
      <w:pPr>
        <w:spacing w:line="360" w:lineRule="auto"/>
        <w:ind w:firstLine="0" w:firstLineChars="0"/>
        <w:rPr>
          <w:color w:val="auto"/>
          <w:highlight w:val="none"/>
        </w:rPr>
      </w:pPr>
      <w:r>
        <w:rPr>
          <w:rFonts w:hint="eastAsia"/>
          <w:color w:val="auto"/>
          <w:highlight w:val="none"/>
        </w:rPr>
        <w:t>一、</w:t>
      </w:r>
      <w:r>
        <w:rPr>
          <w:color w:val="auto"/>
          <w:highlight w:val="none"/>
        </w:rPr>
        <w:t>项目概况</w:t>
      </w:r>
    </w:p>
    <w:p>
      <w:pPr>
        <w:spacing w:line="360" w:lineRule="auto"/>
        <w:ind w:firstLine="210" w:firstLineChars="100"/>
        <w:rPr>
          <w:rFonts w:hint="eastAsia" w:ascii="宋体" w:hAnsi="宋体" w:eastAsia="宋体" w:cs="Times New Roman"/>
          <w:color w:val="auto"/>
          <w:highlight w:val="none"/>
          <w:u w:val="single"/>
          <w:lang w:val="en-US" w:eastAsia="zh-CN"/>
        </w:rPr>
      </w:pPr>
      <w:r>
        <w:rPr>
          <w:rFonts w:hint="eastAsia" w:ascii="宋体" w:hAnsi="宋体" w:eastAsia="宋体" w:cs="Times New Roman"/>
          <w:color w:val="auto"/>
          <w:highlight w:val="none"/>
          <w:u w:val="single"/>
          <w:lang w:val="en-US" w:eastAsia="zh-CN"/>
        </w:rPr>
        <w:t>详见招标公告</w:t>
      </w:r>
      <w:r>
        <w:rPr>
          <w:rFonts w:hint="eastAsia" w:ascii="宋体" w:hAnsi="宋体" w:eastAsia="宋体" w:cs="Times New Roman"/>
          <w:color w:val="auto"/>
          <w:sz w:val="21"/>
          <w:highlight w:val="none"/>
          <w:u w:val="single"/>
          <w:lang w:val="en-US" w:eastAsia="zh-CN"/>
        </w:rPr>
        <w:t>。</w:t>
      </w:r>
    </w:p>
    <w:p>
      <w:pPr>
        <w:spacing w:line="360" w:lineRule="auto"/>
        <w:rPr>
          <w:color w:val="auto"/>
          <w:highlight w:val="none"/>
        </w:rPr>
      </w:pPr>
      <w:r>
        <w:rPr>
          <w:color w:val="auto"/>
          <w:highlight w:val="none"/>
        </w:rPr>
        <w:t>二、设计技术说明及要求</w:t>
      </w:r>
    </w:p>
    <w:p>
      <w:pPr>
        <w:spacing w:line="360" w:lineRule="auto"/>
        <w:ind w:firstLine="210" w:firstLineChars="100"/>
        <w:rPr>
          <w:color w:val="auto"/>
          <w:highlight w:val="none"/>
        </w:rPr>
      </w:pPr>
      <w:r>
        <w:rPr>
          <w:color w:val="auto"/>
          <w:highlight w:val="none"/>
        </w:rPr>
        <w:t>（一）本工程的设计依据</w:t>
      </w:r>
    </w:p>
    <w:p>
      <w:pPr>
        <w:spacing w:line="360" w:lineRule="auto"/>
        <w:ind w:firstLine="210" w:firstLineChars="100"/>
        <w:rPr>
          <w:color w:val="auto"/>
          <w:highlight w:val="none"/>
        </w:rPr>
      </w:pPr>
      <w:r>
        <w:rPr>
          <w:rFonts w:hint="eastAsia"/>
          <w:color w:val="auto"/>
          <w:highlight w:val="none"/>
        </w:rPr>
        <w:t>（1）</w:t>
      </w:r>
      <w:r>
        <w:rPr>
          <w:color w:val="auto"/>
          <w:highlight w:val="none"/>
        </w:rPr>
        <w:t>国家相关的法律、法规、规范</w:t>
      </w:r>
    </w:p>
    <w:p>
      <w:pPr>
        <w:spacing w:line="360" w:lineRule="auto"/>
        <w:rPr>
          <w:color w:val="auto"/>
          <w:highlight w:val="none"/>
        </w:rPr>
      </w:pPr>
      <w:r>
        <w:rPr>
          <w:color w:val="auto"/>
          <w:highlight w:val="none"/>
        </w:rPr>
        <w:t>（二）设计总则</w:t>
      </w:r>
    </w:p>
    <w:p>
      <w:pPr>
        <w:spacing w:line="360" w:lineRule="auto"/>
        <w:ind w:firstLine="210" w:firstLineChars="100"/>
        <w:rPr>
          <w:color w:val="auto"/>
          <w:highlight w:val="none"/>
        </w:rPr>
      </w:pPr>
      <w:r>
        <w:rPr>
          <w:rFonts w:hint="eastAsia"/>
          <w:color w:val="auto"/>
          <w:highlight w:val="none"/>
        </w:rPr>
        <w:t>（1）</w:t>
      </w:r>
      <w:r>
        <w:rPr>
          <w:color w:val="auto"/>
          <w:highlight w:val="none"/>
        </w:rPr>
        <w:t>设计单位在承担工程设计的任务过程中，应投入经验丰富的设计人员，采用先进的计算机辅助手段及有效的 ISO9001 质量管理体系，按业主要求保质保量按时完成各阶段设计任务。</w:t>
      </w:r>
    </w:p>
    <w:p>
      <w:pPr>
        <w:spacing w:line="360" w:lineRule="auto"/>
        <w:ind w:firstLine="210" w:firstLineChars="100"/>
        <w:rPr>
          <w:color w:val="auto"/>
          <w:highlight w:val="none"/>
        </w:rPr>
      </w:pPr>
      <w:r>
        <w:rPr>
          <w:rFonts w:hint="eastAsia"/>
          <w:color w:val="auto"/>
          <w:highlight w:val="none"/>
        </w:rPr>
        <w:t>（2）</w:t>
      </w:r>
      <w:r>
        <w:rPr>
          <w:color w:val="auto"/>
          <w:highlight w:val="none"/>
        </w:rPr>
        <w:t>除本合同服务范围的设计内容外，还应包括本合同与其他合同的接口配合；包括本合同内施工招标及施工配合；包括设计审查意见的落实及按照规划要求等意见修改设计。</w:t>
      </w:r>
    </w:p>
    <w:p>
      <w:pPr>
        <w:spacing w:line="360" w:lineRule="auto"/>
        <w:ind w:firstLine="210" w:firstLineChars="100"/>
        <w:rPr>
          <w:color w:val="auto"/>
          <w:highlight w:val="none"/>
        </w:rPr>
      </w:pPr>
      <w:r>
        <w:rPr>
          <w:rFonts w:hint="eastAsia"/>
          <w:color w:val="auto"/>
          <w:highlight w:val="none"/>
        </w:rPr>
        <w:t>（3）</w:t>
      </w:r>
      <w:r>
        <w:rPr>
          <w:color w:val="auto"/>
          <w:highlight w:val="none"/>
        </w:rPr>
        <w:t>遵守建设项目勘察设计管理流程，满足各级审查技术要求，通过各级技术审查，得到正式的书面认可。</w:t>
      </w:r>
    </w:p>
    <w:p>
      <w:pPr>
        <w:spacing w:line="360" w:lineRule="auto"/>
        <w:ind w:firstLine="210" w:firstLineChars="100"/>
        <w:rPr>
          <w:color w:val="auto"/>
          <w:highlight w:val="none"/>
        </w:rPr>
      </w:pPr>
      <w:r>
        <w:rPr>
          <w:rFonts w:hint="eastAsia"/>
          <w:color w:val="auto"/>
          <w:highlight w:val="none"/>
        </w:rPr>
        <w:t>（4）</w:t>
      </w:r>
      <w:r>
        <w:rPr>
          <w:color w:val="auto"/>
          <w:highlight w:val="none"/>
        </w:rPr>
        <w:t>各种设计质量和技术要求经业主</w:t>
      </w:r>
      <w:r>
        <w:rPr>
          <w:rFonts w:hint="eastAsia"/>
          <w:color w:val="auto"/>
          <w:highlight w:val="none"/>
        </w:rPr>
        <w:t>和主管部门</w:t>
      </w:r>
      <w:r>
        <w:rPr>
          <w:color w:val="auto"/>
          <w:highlight w:val="none"/>
        </w:rPr>
        <w:t>审查同意后执行。</w:t>
      </w:r>
    </w:p>
    <w:p>
      <w:pPr>
        <w:spacing w:line="360" w:lineRule="auto"/>
        <w:ind w:firstLine="210" w:firstLineChars="100"/>
        <w:rPr>
          <w:color w:val="auto"/>
          <w:highlight w:val="none"/>
        </w:rPr>
      </w:pPr>
      <w:r>
        <w:rPr>
          <w:rFonts w:hint="eastAsia"/>
          <w:color w:val="auto"/>
          <w:highlight w:val="none"/>
        </w:rPr>
        <w:t>（5）</w:t>
      </w:r>
      <w:r>
        <w:rPr>
          <w:color w:val="auto"/>
          <w:highlight w:val="none"/>
        </w:rPr>
        <w:t>设计文件满足设计深度要求，符合设计文件编制内容格式的要求，技术措施无差错，说明能充分表达设计意图，文字精练，图面清晰。</w:t>
      </w:r>
    </w:p>
    <w:p>
      <w:pPr>
        <w:spacing w:line="360" w:lineRule="auto"/>
        <w:ind w:firstLine="210" w:firstLineChars="100"/>
        <w:rPr>
          <w:color w:val="auto"/>
          <w:highlight w:val="none"/>
        </w:rPr>
      </w:pPr>
      <w:r>
        <w:rPr>
          <w:rFonts w:hint="eastAsia"/>
          <w:color w:val="auto"/>
          <w:highlight w:val="none"/>
        </w:rPr>
        <w:t>（6）</w:t>
      </w:r>
      <w:r>
        <w:rPr>
          <w:color w:val="auto"/>
          <w:highlight w:val="none"/>
        </w:rPr>
        <w:t>设计中采用的基础资料齐全、可靠，符合有关设计标准、规范的规定，计算正确，计算结果可靠。</w:t>
      </w:r>
    </w:p>
    <w:p>
      <w:pPr>
        <w:spacing w:line="360" w:lineRule="auto"/>
        <w:ind w:firstLine="210" w:firstLineChars="100"/>
        <w:rPr>
          <w:color w:val="auto"/>
          <w:highlight w:val="none"/>
        </w:rPr>
      </w:pPr>
      <w:r>
        <w:rPr>
          <w:rFonts w:hint="eastAsia"/>
          <w:color w:val="auto"/>
          <w:highlight w:val="none"/>
        </w:rPr>
        <w:t>（7）</w:t>
      </w:r>
      <w:r>
        <w:rPr>
          <w:color w:val="auto"/>
          <w:highlight w:val="none"/>
        </w:rPr>
        <w:t>投标人应按业主制定的技术作业表规定的时间进行接口配合设计。</w:t>
      </w:r>
    </w:p>
    <w:p>
      <w:pPr>
        <w:spacing w:line="360" w:lineRule="auto"/>
        <w:rPr>
          <w:color w:val="auto"/>
          <w:highlight w:val="none"/>
        </w:rPr>
      </w:pPr>
      <w:r>
        <w:rPr>
          <w:color w:val="auto"/>
          <w:highlight w:val="none"/>
        </w:rPr>
        <w:t>（三）设计范围</w:t>
      </w:r>
    </w:p>
    <w:p>
      <w:pPr>
        <w:spacing w:line="360" w:lineRule="auto"/>
        <w:ind w:firstLine="210" w:firstLineChars="100"/>
        <w:rPr>
          <w:rFonts w:hint="eastAsia"/>
          <w:color w:val="auto"/>
          <w:highlight w:val="none"/>
        </w:rPr>
      </w:pPr>
      <w:r>
        <w:rPr>
          <w:color w:val="auto"/>
          <w:highlight w:val="none"/>
        </w:rPr>
        <w:t>包括但不限于</w:t>
      </w:r>
      <w:r>
        <w:rPr>
          <w:rFonts w:ascii="宋体" w:hAnsi="宋体"/>
          <w:color w:val="auto"/>
          <w:highlight w:val="none"/>
          <w:u w:val="single"/>
        </w:rPr>
        <w:t>施工图</w:t>
      </w:r>
      <w:r>
        <w:rPr>
          <w:rFonts w:hint="eastAsia" w:ascii="宋体" w:hAnsi="宋体"/>
          <w:color w:val="auto"/>
          <w:highlight w:val="none"/>
          <w:u w:val="single"/>
          <w:lang w:val="en-US" w:eastAsia="zh-CN"/>
        </w:rPr>
        <w:t>设计</w:t>
      </w:r>
      <w:r>
        <w:rPr>
          <w:rFonts w:ascii="宋体" w:hAnsi="宋体"/>
          <w:color w:val="auto"/>
          <w:highlight w:val="none"/>
          <w:u w:val="single"/>
        </w:rPr>
        <w:t>及预算编制</w:t>
      </w:r>
      <w:r>
        <w:rPr>
          <w:color w:val="auto"/>
          <w:highlight w:val="none"/>
        </w:rPr>
        <w:t>及后续服务工作。设计成果包括：设计文本及相应电子文</w:t>
      </w:r>
      <w:r>
        <w:rPr>
          <w:rFonts w:hint="eastAsia"/>
          <w:color w:val="auto"/>
          <w:highlight w:val="none"/>
        </w:rPr>
        <w:t>件。</w:t>
      </w:r>
    </w:p>
    <w:p>
      <w:pPr>
        <w:spacing w:line="360" w:lineRule="auto"/>
        <w:rPr>
          <w:rFonts w:hint="eastAsia"/>
          <w:color w:val="auto"/>
          <w:highlight w:val="none"/>
        </w:rPr>
      </w:pPr>
      <w:r>
        <w:rPr>
          <w:rFonts w:hint="eastAsia"/>
          <w:color w:val="auto"/>
          <w:highlight w:val="none"/>
        </w:rPr>
        <w:t>（四）技术文件编制要求</w:t>
      </w:r>
    </w:p>
    <w:p>
      <w:pPr>
        <w:spacing w:line="360" w:lineRule="auto"/>
        <w:rPr>
          <w:rFonts w:hint="eastAsia"/>
          <w:color w:val="auto"/>
          <w:highlight w:val="none"/>
        </w:rPr>
      </w:pPr>
      <w:r>
        <w:rPr>
          <w:rFonts w:hint="eastAsia"/>
          <w:color w:val="auto"/>
          <w:highlight w:val="none"/>
        </w:rPr>
        <w:t>具体内容包括：</w:t>
      </w:r>
    </w:p>
    <w:p>
      <w:pPr>
        <w:spacing w:line="360" w:lineRule="auto"/>
        <w:ind w:firstLine="210" w:firstLineChars="100"/>
        <w:rPr>
          <w:rFonts w:hint="eastAsia"/>
          <w:color w:val="auto"/>
          <w:highlight w:val="none"/>
        </w:rPr>
      </w:pPr>
      <w:r>
        <w:rPr>
          <w:rFonts w:hint="eastAsia"/>
          <w:color w:val="auto"/>
          <w:highlight w:val="none"/>
        </w:rPr>
        <w:t>（1）设计说明书；</w:t>
      </w:r>
    </w:p>
    <w:p>
      <w:pPr>
        <w:spacing w:line="360" w:lineRule="auto"/>
        <w:ind w:firstLine="210" w:firstLineChars="100"/>
        <w:jc w:val="left"/>
        <w:rPr>
          <w:rFonts w:hint="eastAsia"/>
          <w:color w:val="auto"/>
          <w:highlight w:val="none"/>
        </w:rPr>
      </w:pPr>
      <w:r>
        <w:rPr>
          <w:rFonts w:hint="eastAsia"/>
          <w:color w:val="auto"/>
          <w:highlight w:val="none"/>
        </w:rPr>
        <w:t>（2）设计图纸；根据现场情况，图纸应符合国家及地方有关设计规范、规程的要求，满足指导施工、核算工程造价的要求，满足施工图审查要求</w:t>
      </w:r>
    </w:p>
    <w:p>
      <w:pPr>
        <w:spacing w:line="360" w:lineRule="auto"/>
        <w:jc w:val="left"/>
        <w:rPr>
          <w:rFonts w:hint="eastAsia"/>
          <w:color w:val="auto"/>
          <w:highlight w:val="none"/>
        </w:rPr>
      </w:pPr>
      <w:r>
        <w:rPr>
          <w:rFonts w:hint="eastAsia"/>
          <w:color w:val="auto"/>
          <w:highlight w:val="none"/>
        </w:rPr>
        <w:t>三、设计编制依据及基础资料</w:t>
      </w:r>
    </w:p>
    <w:p>
      <w:pPr>
        <w:spacing w:line="360" w:lineRule="auto"/>
        <w:ind w:firstLine="210" w:firstLineChars="100"/>
        <w:rPr>
          <w:rFonts w:hint="eastAsia"/>
          <w:color w:val="auto"/>
          <w:highlight w:val="none"/>
        </w:rPr>
      </w:pPr>
      <w:r>
        <w:rPr>
          <w:rFonts w:hint="eastAsia"/>
          <w:color w:val="auto"/>
          <w:highlight w:val="none"/>
        </w:rPr>
        <w:t>（一）技术要求：按国家、地方、行业现行规范、规程进行施工及验收。</w:t>
      </w:r>
    </w:p>
    <w:p>
      <w:pPr>
        <w:snapToGrid w:val="0"/>
        <w:spacing w:line="360" w:lineRule="auto"/>
        <w:ind w:firstLine="420" w:firstLineChars="200"/>
        <w:rPr>
          <w:rFonts w:hint="eastAsia" w:eastAsia="宋体"/>
          <w:color w:val="auto"/>
          <w:highlight w:val="none"/>
          <w:u w:val="single"/>
          <w:lang w:val="en-US" w:eastAsia="zh-CN"/>
        </w:rPr>
      </w:pPr>
      <w:r>
        <w:rPr>
          <w:rFonts w:hint="eastAsia"/>
          <w:color w:val="auto"/>
          <w:highlight w:val="none"/>
        </w:rPr>
        <w:t>（二）质量要求：</w:t>
      </w:r>
      <w:r>
        <w:rPr>
          <w:rFonts w:hint="eastAsia" w:ascii="宋体" w:hAnsi="宋体" w:eastAsia="宋体" w:cs="Times New Roman"/>
          <w:color w:val="auto"/>
          <w:highlight w:val="none"/>
          <w:u w:val="single"/>
          <w:lang w:val="en-US" w:eastAsia="zh-CN"/>
        </w:rPr>
        <w:t>详见招标公告</w:t>
      </w:r>
      <w:r>
        <w:rPr>
          <w:rFonts w:hint="eastAsia" w:ascii="Times New Roman" w:hAnsi="Times New Roman" w:eastAsia="宋体" w:cs="Times New Roman"/>
          <w:color w:val="auto"/>
          <w:sz w:val="21"/>
          <w:szCs w:val="21"/>
          <w:highlight w:val="none"/>
          <w:u w:val="single"/>
          <w:lang w:eastAsia="zh-CN"/>
        </w:rPr>
        <w:t>。</w:t>
      </w:r>
    </w:p>
    <w:p>
      <w:pPr>
        <w:spacing w:line="360" w:lineRule="auto"/>
        <w:ind w:firstLine="420" w:firstLineChars="200"/>
        <w:rPr>
          <w:rFonts w:hint="eastAsia"/>
          <w:color w:val="auto"/>
          <w:highlight w:val="none"/>
        </w:rPr>
      </w:pPr>
      <w:r>
        <w:rPr>
          <w:rFonts w:hint="eastAsia"/>
          <w:color w:val="auto"/>
          <w:highlight w:val="none"/>
        </w:rPr>
        <w:t>1、承包人必须严格按施工图纸及技术说明进行施工，未经发包人和设计单位同意不得修改； 如确因图纸设计有误或施工原因需修改时，需经过发包人和设计单位、监理单位同意，由设计单位发变更通知单方可施工。</w:t>
      </w:r>
    </w:p>
    <w:p>
      <w:pPr>
        <w:spacing w:line="360" w:lineRule="auto"/>
        <w:ind w:firstLine="420" w:firstLineChars="200"/>
        <w:rPr>
          <w:rFonts w:hint="eastAsia"/>
          <w:color w:val="auto"/>
          <w:highlight w:val="none"/>
        </w:rPr>
      </w:pPr>
      <w:r>
        <w:rPr>
          <w:rFonts w:hint="eastAsia"/>
          <w:color w:val="auto"/>
          <w:highlight w:val="none"/>
        </w:rPr>
        <w:t>2、隐蔽工程必须经发包人、监理单位和设计单位共同验收合格后方可进行下一步工序的施工。</w:t>
      </w:r>
    </w:p>
    <w:p>
      <w:pPr>
        <w:spacing w:line="360" w:lineRule="auto"/>
        <w:ind w:firstLine="210" w:firstLineChars="100"/>
        <w:rPr>
          <w:rFonts w:hint="eastAsia"/>
          <w:color w:val="auto"/>
          <w:highlight w:val="none"/>
        </w:rPr>
      </w:pPr>
      <w:r>
        <w:rPr>
          <w:rFonts w:hint="eastAsia"/>
          <w:color w:val="auto"/>
          <w:highlight w:val="none"/>
        </w:rPr>
        <w:t>（三）质量标准：</w:t>
      </w:r>
    </w:p>
    <w:p>
      <w:pPr>
        <w:spacing w:line="360" w:lineRule="auto"/>
        <w:ind w:firstLine="420" w:firstLineChars="200"/>
        <w:rPr>
          <w:rFonts w:hint="eastAsia"/>
          <w:color w:val="auto"/>
          <w:highlight w:val="none"/>
        </w:rPr>
      </w:pPr>
      <w:r>
        <w:rPr>
          <w:rFonts w:hint="eastAsia"/>
          <w:color w:val="auto"/>
          <w:highlight w:val="none"/>
        </w:rPr>
        <w:t>1、工程质量及工程验收标准，按建设部现行的有关施工规范和工程质量检验评定标准进行生产供货及施工，确保所供材料设备质量和性能能满足设计要求，达到合格工程标准。承包人如有违反操作规程及粗制滥造现象，发包人有权加以制止，直至下令停止施工，其经济损失全部由承包人负责，工期不得顺延。</w:t>
      </w:r>
    </w:p>
    <w:p>
      <w:pPr>
        <w:spacing w:line="360" w:lineRule="auto"/>
        <w:rPr>
          <w:rFonts w:hint="eastAsia"/>
          <w:color w:val="auto"/>
          <w:highlight w:val="none"/>
        </w:rPr>
      </w:pPr>
      <w:r>
        <w:rPr>
          <w:rFonts w:hint="eastAsia"/>
          <w:color w:val="auto"/>
          <w:highlight w:val="none"/>
        </w:rPr>
        <w:t>2、质量保修：</w:t>
      </w:r>
      <w:r>
        <w:rPr>
          <w:rFonts w:hint="default" w:ascii="Times New Roman" w:hAnsi="Times New Roman" w:eastAsia="宋体" w:cs="Times New Roman"/>
          <w:color w:val="auto"/>
          <w:sz w:val="21"/>
          <w:highlight w:val="none"/>
          <w:u w:val="single"/>
        </w:rPr>
        <w:t>按建设部【2000】年80号令保修</w:t>
      </w:r>
      <w:r>
        <w:rPr>
          <w:rFonts w:hint="eastAsia"/>
          <w:color w:val="auto"/>
          <w:highlight w:val="none"/>
        </w:rPr>
        <w:t>。</w:t>
      </w:r>
    </w:p>
    <w:p>
      <w:pPr>
        <w:spacing w:line="360" w:lineRule="auto"/>
        <w:rPr>
          <w:rFonts w:hint="eastAsia"/>
          <w:color w:val="auto"/>
          <w:highlight w:val="none"/>
        </w:rPr>
      </w:pPr>
      <w:r>
        <w:rPr>
          <w:rFonts w:hint="eastAsia"/>
          <w:color w:val="auto"/>
          <w:highlight w:val="none"/>
        </w:rPr>
        <w:t>（四）技术资料：</w:t>
      </w:r>
    </w:p>
    <w:p>
      <w:pPr>
        <w:spacing w:line="360" w:lineRule="auto"/>
        <w:ind w:firstLine="210" w:firstLineChars="100"/>
        <w:rPr>
          <w:rFonts w:hint="eastAsia"/>
          <w:color w:val="auto"/>
          <w:highlight w:val="none"/>
        </w:rPr>
      </w:pPr>
      <w:r>
        <w:rPr>
          <w:rFonts w:hint="eastAsia"/>
          <w:color w:val="auto"/>
          <w:highlight w:val="none"/>
        </w:rPr>
        <w:t>承包人在工程竣工交付使用后 30 天内按国家有关规定向发包人提交四套竣工资料和完整的结算资料，费用均包括在投标报价之内。竣工资料包括（不限于）：</w:t>
      </w:r>
    </w:p>
    <w:p>
      <w:pPr>
        <w:spacing w:line="360" w:lineRule="auto"/>
        <w:rPr>
          <w:rFonts w:hint="eastAsia"/>
          <w:color w:val="auto"/>
          <w:highlight w:val="none"/>
        </w:rPr>
      </w:pPr>
      <w:r>
        <w:rPr>
          <w:rFonts w:hint="eastAsia"/>
          <w:color w:val="auto"/>
          <w:highlight w:val="none"/>
        </w:rPr>
        <w:t>1开工报告；</w:t>
      </w:r>
    </w:p>
    <w:p>
      <w:pPr>
        <w:spacing w:line="360" w:lineRule="auto"/>
        <w:rPr>
          <w:rFonts w:hint="eastAsia"/>
          <w:color w:val="auto"/>
          <w:highlight w:val="none"/>
        </w:rPr>
      </w:pPr>
      <w:r>
        <w:rPr>
          <w:rFonts w:hint="eastAsia"/>
          <w:color w:val="auto"/>
          <w:highlight w:val="none"/>
        </w:rPr>
        <w:t>1隐蔽工程验收记录；</w:t>
      </w:r>
    </w:p>
    <w:p>
      <w:pPr>
        <w:spacing w:line="360" w:lineRule="auto"/>
        <w:rPr>
          <w:rFonts w:hint="eastAsia"/>
          <w:color w:val="auto"/>
          <w:highlight w:val="none"/>
        </w:rPr>
      </w:pPr>
      <w:r>
        <w:rPr>
          <w:rFonts w:hint="eastAsia"/>
          <w:color w:val="auto"/>
          <w:highlight w:val="none"/>
        </w:rPr>
        <w:t>3基础工程验收记录；</w:t>
      </w:r>
    </w:p>
    <w:p>
      <w:pPr>
        <w:spacing w:line="360" w:lineRule="auto"/>
        <w:rPr>
          <w:rFonts w:hint="eastAsia"/>
          <w:color w:val="auto"/>
          <w:highlight w:val="none"/>
        </w:rPr>
      </w:pPr>
      <w:r>
        <w:rPr>
          <w:rFonts w:hint="eastAsia"/>
          <w:color w:val="auto"/>
          <w:highlight w:val="none"/>
        </w:rPr>
        <w:t>4材料出厂合格证；</w:t>
      </w:r>
    </w:p>
    <w:p>
      <w:pPr>
        <w:spacing w:line="360" w:lineRule="auto"/>
        <w:rPr>
          <w:rFonts w:hint="eastAsia"/>
          <w:color w:val="auto"/>
          <w:highlight w:val="none"/>
        </w:rPr>
      </w:pPr>
      <w:r>
        <w:rPr>
          <w:rFonts w:hint="eastAsia"/>
          <w:color w:val="auto"/>
          <w:highlight w:val="none"/>
        </w:rPr>
        <w:t>5主体结构验收记录；</w:t>
      </w:r>
    </w:p>
    <w:p>
      <w:pPr>
        <w:spacing w:line="360" w:lineRule="auto"/>
        <w:rPr>
          <w:rFonts w:hint="eastAsia"/>
          <w:color w:val="auto"/>
          <w:highlight w:val="none"/>
        </w:rPr>
      </w:pPr>
      <w:r>
        <w:rPr>
          <w:rFonts w:hint="eastAsia"/>
          <w:color w:val="auto"/>
          <w:highlight w:val="none"/>
        </w:rPr>
        <w:t>6分项工程质量检验评定表；</w:t>
      </w:r>
    </w:p>
    <w:p>
      <w:pPr>
        <w:spacing w:line="360" w:lineRule="auto"/>
        <w:rPr>
          <w:rFonts w:hint="eastAsia"/>
          <w:color w:val="auto"/>
          <w:highlight w:val="none"/>
        </w:rPr>
      </w:pPr>
      <w:r>
        <w:rPr>
          <w:rFonts w:hint="eastAsia"/>
          <w:color w:val="auto"/>
          <w:highlight w:val="none"/>
        </w:rPr>
        <w:t>7工程安装质量检验评定表；</w:t>
      </w:r>
    </w:p>
    <w:p>
      <w:pPr>
        <w:spacing w:line="360" w:lineRule="auto"/>
        <w:rPr>
          <w:rFonts w:hint="eastAsia"/>
          <w:color w:val="auto"/>
          <w:highlight w:val="none"/>
        </w:rPr>
      </w:pPr>
      <w:r>
        <w:rPr>
          <w:rFonts w:hint="eastAsia"/>
          <w:color w:val="auto"/>
          <w:highlight w:val="none"/>
        </w:rPr>
        <w:t>8主要材料检测报告；</w:t>
      </w:r>
    </w:p>
    <w:p>
      <w:pPr>
        <w:spacing w:line="360" w:lineRule="auto"/>
        <w:rPr>
          <w:rFonts w:hint="eastAsia"/>
          <w:color w:val="auto"/>
          <w:highlight w:val="none"/>
        </w:rPr>
      </w:pPr>
      <w:r>
        <w:rPr>
          <w:rFonts w:hint="eastAsia"/>
          <w:color w:val="auto"/>
          <w:highlight w:val="none"/>
        </w:rPr>
        <w:t>9主要材料实验报告；</w:t>
      </w:r>
    </w:p>
    <w:p>
      <w:pPr>
        <w:spacing w:line="360" w:lineRule="auto"/>
        <w:rPr>
          <w:rFonts w:hint="eastAsia"/>
          <w:color w:val="auto"/>
          <w:highlight w:val="none"/>
        </w:rPr>
      </w:pPr>
      <w:r>
        <w:rPr>
          <w:rFonts w:hint="eastAsia"/>
          <w:color w:val="auto"/>
          <w:highlight w:val="none"/>
        </w:rPr>
        <w:t>10外购件出厂合格证；</w:t>
      </w:r>
    </w:p>
    <w:p>
      <w:pPr>
        <w:spacing w:line="360" w:lineRule="auto"/>
        <w:rPr>
          <w:rFonts w:hint="eastAsia"/>
          <w:color w:val="auto"/>
          <w:highlight w:val="none"/>
        </w:rPr>
      </w:pPr>
      <w:r>
        <w:rPr>
          <w:rFonts w:hint="eastAsia"/>
          <w:color w:val="auto"/>
          <w:highlight w:val="none"/>
        </w:rPr>
        <w:t>11竣工报告；</w:t>
      </w:r>
    </w:p>
    <w:p>
      <w:pPr>
        <w:spacing w:line="360" w:lineRule="auto"/>
        <w:rPr>
          <w:rFonts w:hint="eastAsia"/>
          <w:color w:val="auto"/>
          <w:highlight w:val="none"/>
        </w:rPr>
      </w:pPr>
      <w:r>
        <w:rPr>
          <w:rFonts w:hint="eastAsia"/>
          <w:color w:val="auto"/>
          <w:highlight w:val="none"/>
        </w:rPr>
        <w:t>12竣工验收单；</w:t>
      </w:r>
    </w:p>
    <w:p>
      <w:pPr>
        <w:spacing w:line="360" w:lineRule="auto"/>
        <w:rPr>
          <w:rFonts w:hint="eastAsia"/>
          <w:color w:val="auto"/>
          <w:highlight w:val="none"/>
        </w:rPr>
      </w:pPr>
      <w:r>
        <w:rPr>
          <w:rFonts w:hint="eastAsia"/>
          <w:color w:val="auto"/>
          <w:highlight w:val="none"/>
        </w:rPr>
        <w:t>13竣工图。</w:t>
      </w:r>
    </w:p>
    <w:p>
      <w:pPr>
        <w:spacing w:line="360" w:lineRule="auto"/>
        <w:rPr>
          <w:color w:val="auto"/>
          <w:highlight w:val="none"/>
        </w:rPr>
      </w:pPr>
      <w:r>
        <w:rPr>
          <w:rFonts w:hint="eastAsia"/>
          <w:color w:val="auto"/>
          <w:highlight w:val="none"/>
        </w:rPr>
        <w:t>其他湖南省及岳阳市规定及业主要求提供的资料。</w:t>
      </w:r>
      <w:r>
        <w:rPr>
          <w:color w:val="auto"/>
          <w:highlight w:val="none"/>
        </w:rPr>
        <w:t xml:space="preserve"> </w:t>
      </w:r>
    </w:p>
    <w:p>
      <w:pPr>
        <w:adjustRightInd w:val="0"/>
        <w:snapToGrid w:val="0"/>
        <w:spacing w:line="44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lang w:val="en-US" w:eastAsia="zh-CN"/>
        </w:rPr>
        <w:t>四 、</w:t>
      </w:r>
      <w:r>
        <w:rPr>
          <w:rFonts w:hint="eastAsia" w:ascii="宋体" w:hAnsi="宋体" w:cs="宋体"/>
          <w:color w:val="auto"/>
          <w:szCs w:val="21"/>
          <w:highlight w:val="none"/>
        </w:rPr>
        <w:t>要求采用装配式技术或者建筑信息模型（BIM技术）的，招标文件中应当明确技术要求及有关技术指标。</w:t>
      </w:r>
    </w:p>
    <w:bookmarkEnd w:id="152"/>
    <w:p>
      <w:pPr>
        <w:adjustRightInd w:val="0"/>
        <w:snapToGrid w:val="0"/>
        <w:spacing w:line="440" w:lineRule="exact"/>
        <w:ind w:firstLine="422" w:firstLineChars="200"/>
        <w:jc w:val="center"/>
        <w:rPr>
          <w:rFonts w:ascii="Times New Roman" w:hAnsi="Times New Roman" w:eastAsia="黑体"/>
          <w:b/>
          <w:bCs/>
          <w:color w:val="auto"/>
          <w:highlight w:val="none"/>
        </w:rPr>
      </w:pPr>
      <w:bookmarkStart w:id="159" w:name="_Toc69199927"/>
      <w:bookmarkStart w:id="160" w:name="_Toc10620"/>
      <w:r>
        <w:rPr>
          <w:rFonts w:ascii="Times New Roman" w:hAnsi="Times New Roman" w:eastAsia="黑体"/>
          <w:b/>
          <w:bCs/>
          <w:color w:val="auto"/>
          <w:highlight w:val="none"/>
        </w:rPr>
        <w:br w:type="page"/>
      </w:r>
      <w:r>
        <w:rPr>
          <w:rFonts w:hint="default" w:ascii="Times New Roman" w:hAnsi="Times New Roman" w:eastAsia="黑体" w:cs="Times New Roman"/>
          <w:b/>
          <w:bCs/>
          <w:color w:val="auto"/>
          <w:kern w:val="32"/>
          <w:sz w:val="32"/>
          <w:szCs w:val="32"/>
          <w:highlight w:val="none"/>
        </w:rPr>
        <w:t>第六章</w:t>
      </w:r>
      <w:r>
        <w:rPr>
          <w:rFonts w:ascii="Times New Roman" w:hAnsi="Times New Roman" w:eastAsia="黑体" w:cs="Times New Roman"/>
          <w:b/>
          <w:bCs/>
          <w:color w:val="auto"/>
          <w:kern w:val="32"/>
          <w:sz w:val="32"/>
          <w:szCs w:val="32"/>
          <w:highlight w:val="none"/>
        </w:rPr>
        <w:t xml:space="preserve">  </w:t>
      </w:r>
      <w:r>
        <w:rPr>
          <w:rFonts w:hint="default" w:ascii="Times New Roman" w:hAnsi="Times New Roman" w:eastAsia="黑体" w:cs="Times New Roman"/>
          <w:b/>
          <w:bCs/>
          <w:color w:val="auto"/>
          <w:kern w:val="32"/>
          <w:sz w:val="32"/>
          <w:szCs w:val="32"/>
          <w:highlight w:val="none"/>
        </w:rPr>
        <w:t>发包人提供的资料</w:t>
      </w:r>
      <w:bookmarkEnd w:id="159"/>
      <w:bookmarkEnd w:id="160"/>
    </w:p>
    <w:p>
      <w:pPr>
        <w:rPr>
          <w:color w:val="auto"/>
          <w:highlight w:val="none"/>
        </w:rPr>
      </w:pPr>
    </w:p>
    <w:p>
      <w:pPr>
        <w:spacing w:line="360" w:lineRule="auto"/>
        <w:rPr>
          <w:color w:val="auto"/>
          <w:highlight w:val="none"/>
        </w:rPr>
      </w:pPr>
    </w:p>
    <w:p>
      <w:pPr>
        <w:spacing w:line="360" w:lineRule="auto"/>
        <w:rPr>
          <w:rFonts w:eastAsia="黑体"/>
          <w:b/>
          <w:bCs/>
          <w:color w:val="auto"/>
          <w:highlight w:val="none"/>
        </w:rPr>
      </w:pPr>
      <w:r>
        <w:rPr>
          <w:rFonts w:hint="eastAsia"/>
          <w:color w:val="auto"/>
          <w:highlight w:val="none"/>
        </w:rPr>
        <w:t>2.初步设计资料（另册提供，投标人自行在岳阳市公共资源交易中心电子招标投标交易平台下载）</w:t>
      </w:r>
      <w:r>
        <w:rPr>
          <w:rFonts w:eastAsia="黑体"/>
          <w:b/>
          <w:bCs/>
          <w:color w:val="auto"/>
          <w:highlight w:val="none"/>
        </w:rPr>
        <w:br w:type="page"/>
      </w:r>
    </w:p>
    <w:p>
      <w:pPr>
        <w:rPr>
          <w:rFonts w:eastAsia="黑体"/>
          <w:b/>
          <w:bCs/>
          <w:color w:val="auto"/>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bookmarkStart w:id="161" w:name="_Toc300678563"/>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pStyle w:val="5"/>
        <w:jc w:val="center"/>
        <w:rPr>
          <w:rFonts w:ascii="Times New Roman" w:hAnsi="Times New Roman" w:eastAsia="黑体"/>
          <w:b w:val="0"/>
          <w:bCs w:val="0"/>
          <w:color w:val="auto"/>
          <w:sz w:val="44"/>
          <w:szCs w:val="44"/>
          <w:highlight w:val="none"/>
        </w:rPr>
      </w:pPr>
      <w:bookmarkStart w:id="162" w:name="_Toc69199928"/>
      <w:bookmarkStart w:id="163" w:name="_Toc13513"/>
      <w:r>
        <w:rPr>
          <w:rFonts w:ascii="Times New Roman" w:hAnsi="Times New Roman" w:eastAsia="黑体"/>
          <w:b w:val="0"/>
          <w:bCs w:val="0"/>
          <w:color w:val="auto"/>
          <w:sz w:val="44"/>
          <w:szCs w:val="44"/>
          <w:highlight w:val="none"/>
        </w:rPr>
        <w:t xml:space="preserve">第  </w:t>
      </w:r>
      <w:r>
        <w:rPr>
          <w:rFonts w:hint="eastAsia" w:ascii="Times New Roman" w:hAnsi="Times New Roman" w:eastAsia="黑体"/>
          <w:b w:val="0"/>
          <w:bCs w:val="0"/>
          <w:color w:val="auto"/>
          <w:sz w:val="44"/>
          <w:szCs w:val="44"/>
          <w:highlight w:val="none"/>
        </w:rPr>
        <w:t>三</w:t>
      </w:r>
      <w:r>
        <w:rPr>
          <w:rFonts w:ascii="Times New Roman" w:hAnsi="Times New Roman" w:eastAsia="黑体"/>
          <w:b w:val="0"/>
          <w:bCs w:val="0"/>
          <w:color w:val="auto"/>
          <w:sz w:val="44"/>
          <w:szCs w:val="44"/>
          <w:highlight w:val="none"/>
        </w:rPr>
        <w:t xml:space="preserve">  卷</w:t>
      </w:r>
      <w:bookmarkEnd w:id="161"/>
      <w:bookmarkEnd w:id="162"/>
      <w:bookmarkEnd w:id="163"/>
    </w:p>
    <w:p>
      <w:pPr>
        <w:spacing w:line="360" w:lineRule="auto"/>
        <w:jc w:val="left"/>
        <w:rPr>
          <w:color w:val="auto"/>
          <w:sz w:val="18"/>
          <w:szCs w:val="18"/>
          <w:highlight w:val="none"/>
        </w:rPr>
      </w:pPr>
      <w:r>
        <w:rPr>
          <w:rFonts w:eastAsia="黑体"/>
          <w:bCs/>
          <w:color w:val="auto"/>
          <w:sz w:val="44"/>
          <w:szCs w:val="44"/>
          <w:highlight w:val="none"/>
        </w:rPr>
        <w:br w:type="page"/>
      </w: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pStyle w:val="5"/>
        <w:spacing w:before="0" w:after="0"/>
        <w:jc w:val="center"/>
        <w:rPr>
          <w:rFonts w:hint="eastAsia" w:ascii="Times New Roman" w:hAnsi="Times New Roman" w:eastAsia="黑体"/>
          <w:b w:val="0"/>
          <w:bCs w:val="0"/>
          <w:color w:val="auto"/>
          <w:highlight w:val="none"/>
        </w:rPr>
      </w:pPr>
      <w:bookmarkStart w:id="164" w:name="_Toc69199929"/>
      <w:bookmarkStart w:id="165" w:name="_Toc300678564"/>
      <w:bookmarkStart w:id="166" w:name="_Toc2311"/>
      <w:r>
        <w:rPr>
          <w:rFonts w:ascii="Times New Roman" w:hAnsi="Times New Roman" w:eastAsia="黑体"/>
          <w:b w:val="0"/>
          <w:bCs w:val="0"/>
          <w:color w:val="auto"/>
          <w:highlight w:val="none"/>
        </w:rPr>
        <w:t>第</w:t>
      </w:r>
      <w:r>
        <w:rPr>
          <w:rFonts w:hint="eastAsia" w:ascii="Times New Roman" w:hAnsi="Times New Roman" w:eastAsia="黑体"/>
          <w:b w:val="0"/>
          <w:bCs w:val="0"/>
          <w:color w:val="auto"/>
          <w:highlight w:val="none"/>
        </w:rPr>
        <w:t>七</w:t>
      </w:r>
      <w:r>
        <w:rPr>
          <w:rFonts w:ascii="Times New Roman" w:hAnsi="Times New Roman" w:eastAsia="黑体"/>
          <w:b w:val="0"/>
          <w:bCs w:val="0"/>
          <w:color w:val="auto"/>
          <w:highlight w:val="none"/>
        </w:rPr>
        <w:t>章  投标文件格式</w:t>
      </w:r>
      <w:bookmarkEnd w:id="164"/>
      <w:bookmarkEnd w:id="165"/>
      <w:bookmarkEnd w:id="166"/>
    </w:p>
    <w:p>
      <w:pPr>
        <w:rPr>
          <w:rFonts w:hint="eastAsia"/>
          <w:color w:val="auto"/>
          <w:highlight w:val="none"/>
        </w:rPr>
      </w:pPr>
    </w:p>
    <w:p>
      <w:pPr>
        <w:rPr>
          <w:color w:val="auto"/>
          <w:highlight w:val="none"/>
        </w:rPr>
      </w:pPr>
    </w:p>
    <w:p>
      <w:pPr>
        <w:jc w:val="left"/>
        <w:rPr>
          <w:color w:val="auto"/>
          <w:sz w:val="18"/>
          <w:szCs w:val="18"/>
          <w:highlight w:val="none"/>
        </w:rPr>
      </w:pPr>
      <w:r>
        <w:rPr>
          <w:color w:val="auto"/>
          <w:sz w:val="18"/>
          <w:szCs w:val="18"/>
          <w:highlight w:val="none"/>
        </w:rPr>
        <w:br w:type="page"/>
      </w: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color w:val="auto"/>
          <w:sz w:val="18"/>
          <w:szCs w:val="18"/>
          <w:highlight w:val="none"/>
        </w:rPr>
      </w:pPr>
    </w:p>
    <w:p>
      <w:pPr>
        <w:jc w:val="left"/>
        <w:rPr>
          <w:rFonts w:eastAsia="黑体"/>
          <w:bCs/>
          <w:color w:val="auto"/>
          <w:szCs w:val="21"/>
          <w:highlight w:val="none"/>
        </w:rPr>
      </w:pPr>
    </w:p>
    <w:p>
      <w:pPr>
        <w:rPr>
          <w:color w:val="auto"/>
          <w:highlight w:val="none"/>
        </w:rPr>
      </w:pPr>
      <w:bookmarkStart w:id="167" w:name="_Toc300678565"/>
    </w:p>
    <w:p>
      <w:pPr>
        <w:pStyle w:val="5"/>
        <w:jc w:val="center"/>
        <w:rPr>
          <w:rFonts w:ascii="Times New Roman" w:hAnsi="Times New Roman" w:eastAsia="黑体"/>
          <w:b w:val="0"/>
          <w:color w:val="auto"/>
          <w:highlight w:val="none"/>
        </w:rPr>
      </w:pPr>
      <w:bookmarkStart w:id="168" w:name="_Toc25549"/>
      <w:bookmarkStart w:id="169" w:name="_Toc69199930"/>
      <w:r>
        <w:rPr>
          <w:rFonts w:ascii="Times New Roman" w:hAnsi="Times New Roman" w:eastAsia="黑体"/>
          <w:b w:val="0"/>
          <w:color w:val="auto"/>
          <w:highlight w:val="none"/>
        </w:rPr>
        <w:t>第一</w:t>
      </w:r>
      <w:r>
        <w:rPr>
          <w:rFonts w:hint="eastAsia" w:ascii="Times New Roman" w:hAnsi="Times New Roman" w:eastAsia="黑体"/>
          <w:b w:val="0"/>
          <w:color w:val="auto"/>
          <w:highlight w:val="none"/>
        </w:rPr>
        <w:t>节</w:t>
      </w:r>
      <w:r>
        <w:rPr>
          <w:rFonts w:ascii="Times New Roman" w:hAnsi="Times New Roman" w:eastAsia="黑体"/>
          <w:b w:val="0"/>
          <w:color w:val="auto"/>
          <w:highlight w:val="none"/>
        </w:rPr>
        <w:t xml:space="preserve"> 投标函格式</w:t>
      </w:r>
      <w:bookmarkEnd w:id="167"/>
      <w:bookmarkEnd w:id="168"/>
      <w:bookmarkEnd w:id="169"/>
    </w:p>
    <w:p>
      <w:pPr>
        <w:spacing w:line="360" w:lineRule="auto"/>
        <w:jc w:val="left"/>
        <w:rPr>
          <w:color w:val="auto"/>
          <w:sz w:val="18"/>
          <w:szCs w:val="18"/>
          <w:highlight w:val="none"/>
        </w:rPr>
      </w:pPr>
    </w:p>
    <w:p>
      <w:pPr>
        <w:widowControl/>
        <w:rPr>
          <w:rFonts w:eastAsia="黑体"/>
          <w:color w:val="auto"/>
          <w:kern w:val="0"/>
          <w:sz w:val="28"/>
          <w:szCs w:val="21"/>
          <w:highlight w:val="none"/>
        </w:rPr>
      </w:pPr>
    </w:p>
    <w:p>
      <w:pPr>
        <w:widowControl/>
        <w:rPr>
          <w:rFonts w:eastAsia="黑体"/>
          <w:color w:val="auto"/>
          <w:kern w:val="0"/>
          <w:sz w:val="28"/>
          <w:szCs w:val="21"/>
          <w:highlight w:val="none"/>
        </w:rPr>
      </w:pPr>
      <w:r>
        <w:rPr>
          <w:rFonts w:eastAsia="黑体"/>
          <w:color w:val="auto"/>
          <w:kern w:val="0"/>
          <w:sz w:val="28"/>
          <w:szCs w:val="21"/>
          <w:highlight w:val="none"/>
        </w:rPr>
        <w:br w:type="page"/>
      </w:r>
    </w:p>
    <w:p>
      <w:pPr>
        <w:widowControl/>
        <w:rPr>
          <w:rFonts w:eastAsia="黑体"/>
          <w:color w:val="auto"/>
          <w:kern w:val="0"/>
          <w:sz w:val="28"/>
          <w:szCs w:val="21"/>
          <w:highlight w:val="none"/>
        </w:rPr>
      </w:pPr>
    </w:p>
    <w:p>
      <w:pPr>
        <w:widowControl/>
        <w:jc w:val="center"/>
        <w:rPr>
          <w:rFonts w:eastAsia="黑体"/>
          <w:color w:val="auto"/>
          <w:kern w:val="0"/>
          <w:sz w:val="28"/>
          <w:szCs w:val="28"/>
          <w:highlight w:val="none"/>
        </w:rPr>
      </w:pPr>
      <w:r>
        <w:rPr>
          <w:rFonts w:eastAsia="黑体"/>
          <w:color w:val="auto"/>
          <w:kern w:val="0"/>
          <w:sz w:val="28"/>
          <w:szCs w:val="28"/>
          <w:highlight w:val="none"/>
          <w:u w:val="single"/>
        </w:rPr>
        <w:t xml:space="preserve">      </w:t>
      </w:r>
      <w:r>
        <w:rPr>
          <w:rFonts w:eastAsia="黑体"/>
          <w:color w:val="auto"/>
          <w:sz w:val="28"/>
          <w:szCs w:val="28"/>
          <w:highlight w:val="none"/>
          <w:u w:val="single"/>
        </w:rPr>
        <w:t xml:space="preserve">      （</w:t>
      </w:r>
      <w:r>
        <w:rPr>
          <w:rFonts w:hint="eastAsia" w:eastAsia="黑体"/>
          <w:color w:val="auto"/>
          <w:sz w:val="28"/>
          <w:szCs w:val="28"/>
          <w:highlight w:val="none"/>
          <w:u w:val="single"/>
        </w:rPr>
        <w:t>招标</w:t>
      </w:r>
      <w:r>
        <w:rPr>
          <w:rFonts w:eastAsia="黑体"/>
          <w:color w:val="auto"/>
          <w:sz w:val="28"/>
          <w:szCs w:val="28"/>
          <w:highlight w:val="none"/>
          <w:u w:val="single"/>
        </w:rPr>
        <w:t>项目</w:t>
      </w:r>
      <w:r>
        <w:rPr>
          <w:rFonts w:hint="eastAsia" w:eastAsia="黑体"/>
          <w:color w:val="auto"/>
          <w:sz w:val="28"/>
          <w:szCs w:val="28"/>
          <w:highlight w:val="none"/>
          <w:u w:val="single"/>
        </w:rPr>
        <w:t>及标段</w:t>
      </w:r>
      <w:r>
        <w:rPr>
          <w:rFonts w:eastAsia="黑体"/>
          <w:color w:val="auto"/>
          <w:sz w:val="28"/>
          <w:szCs w:val="28"/>
          <w:highlight w:val="none"/>
          <w:u w:val="single"/>
        </w:rPr>
        <w:t xml:space="preserve">）     </w:t>
      </w:r>
      <w:r>
        <w:rPr>
          <w:rFonts w:hint="eastAsia" w:eastAsia="黑体"/>
          <w:color w:val="auto"/>
          <w:kern w:val="0"/>
          <w:sz w:val="28"/>
          <w:szCs w:val="28"/>
          <w:highlight w:val="none"/>
        </w:rPr>
        <w:t>工程总承包</w:t>
      </w:r>
      <w:r>
        <w:rPr>
          <w:rFonts w:eastAsia="黑体"/>
          <w:color w:val="auto"/>
          <w:kern w:val="0"/>
          <w:sz w:val="28"/>
          <w:szCs w:val="28"/>
          <w:highlight w:val="none"/>
        </w:rPr>
        <w:t>招标</w:t>
      </w:r>
    </w:p>
    <w:p>
      <w:pPr>
        <w:widowControl/>
        <w:spacing w:before="312"/>
        <w:jc w:val="center"/>
        <w:rPr>
          <w:rFonts w:eastAsia="黑体"/>
          <w:color w:val="auto"/>
          <w:kern w:val="0"/>
          <w:sz w:val="44"/>
          <w:szCs w:val="44"/>
          <w:highlight w:val="none"/>
        </w:rPr>
      </w:pPr>
      <w:r>
        <w:rPr>
          <w:rFonts w:eastAsia="黑体"/>
          <w:color w:val="auto"/>
          <w:kern w:val="0"/>
          <w:sz w:val="44"/>
          <w:szCs w:val="44"/>
          <w:highlight w:val="none"/>
        </w:rPr>
        <w:t>投  标  文  件</w:t>
      </w:r>
    </w:p>
    <w:p>
      <w:pPr>
        <w:widowControl/>
        <w:jc w:val="center"/>
        <w:rPr>
          <w:rFonts w:eastAsia="黑体"/>
          <w:color w:val="auto"/>
          <w:kern w:val="0"/>
          <w:sz w:val="32"/>
          <w:szCs w:val="32"/>
          <w:highlight w:val="none"/>
        </w:rPr>
      </w:pPr>
      <w:r>
        <w:rPr>
          <w:rFonts w:eastAsia="黑体"/>
          <w:color w:val="auto"/>
          <w:kern w:val="0"/>
          <w:sz w:val="32"/>
          <w:szCs w:val="32"/>
          <w:highlight w:val="none"/>
        </w:rPr>
        <w:t>（投标函）</w:t>
      </w: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rFonts w:hint="eastAsia"/>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spacing w:line="360" w:lineRule="auto"/>
        <w:jc w:val="left"/>
        <w:rPr>
          <w:color w:val="auto"/>
          <w:sz w:val="18"/>
          <w:szCs w:val="18"/>
          <w:highlight w:val="none"/>
        </w:rPr>
      </w:pPr>
    </w:p>
    <w:p>
      <w:pPr>
        <w:widowControl/>
        <w:spacing w:line="360" w:lineRule="auto"/>
        <w:jc w:val="left"/>
        <w:rPr>
          <w:rFonts w:eastAsia="黑体"/>
          <w:color w:val="auto"/>
          <w:kern w:val="0"/>
          <w:sz w:val="24"/>
          <w:szCs w:val="28"/>
          <w:highlight w:val="none"/>
        </w:rPr>
      </w:pPr>
      <w:r>
        <w:rPr>
          <w:rFonts w:eastAsia="黑体"/>
          <w:color w:val="auto"/>
          <w:kern w:val="0"/>
          <w:sz w:val="24"/>
          <w:szCs w:val="28"/>
          <w:highlight w:val="none"/>
        </w:rPr>
        <w:t xml:space="preserve">           投标人：</w:t>
      </w:r>
      <w:r>
        <w:rPr>
          <w:rFonts w:eastAsia="黑体"/>
          <w:color w:val="auto"/>
          <w:kern w:val="0"/>
          <w:sz w:val="24"/>
          <w:szCs w:val="28"/>
          <w:highlight w:val="none"/>
          <w:u w:val="single"/>
        </w:rPr>
        <w:t xml:space="preserve">                                     </w:t>
      </w:r>
      <w:r>
        <w:rPr>
          <w:rFonts w:eastAsia="黑体"/>
          <w:color w:val="auto"/>
          <w:kern w:val="0"/>
          <w:sz w:val="24"/>
          <w:szCs w:val="28"/>
          <w:highlight w:val="none"/>
        </w:rPr>
        <w:t>（盖单位章）</w:t>
      </w:r>
    </w:p>
    <w:p>
      <w:pPr>
        <w:widowControl/>
        <w:spacing w:line="360" w:lineRule="auto"/>
        <w:jc w:val="center"/>
        <w:rPr>
          <w:rFonts w:eastAsia="黑体"/>
          <w:color w:val="auto"/>
          <w:kern w:val="0"/>
          <w:sz w:val="24"/>
          <w:szCs w:val="28"/>
          <w:highlight w:val="none"/>
        </w:rPr>
      </w:pPr>
      <w:r>
        <w:rPr>
          <w:rFonts w:eastAsia="黑体"/>
          <w:color w:val="auto"/>
          <w:kern w:val="0"/>
          <w:sz w:val="24"/>
          <w:szCs w:val="28"/>
          <w:highlight w:val="none"/>
        </w:rPr>
        <w:t>法定代表人或其委托代理人：</w:t>
      </w:r>
      <w:r>
        <w:rPr>
          <w:rFonts w:eastAsia="黑体"/>
          <w:color w:val="auto"/>
          <w:kern w:val="0"/>
          <w:sz w:val="24"/>
          <w:szCs w:val="28"/>
          <w:highlight w:val="none"/>
          <w:u w:val="single"/>
        </w:rPr>
        <w:t xml:space="preserve">           </w:t>
      </w:r>
      <w:r>
        <w:rPr>
          <w:rFonts w:eastAsia="黑体"/>
          <w:color w:val="auto"/>
          <w:kern w:val="0"/>
          <w:sz w:val="24"/>
          <w:szCs w:val="28"/>
          <w:highlight w:val="none"/>
        </w:rPr>
        <w:t>（签字或盖章）</w:t>
      </w:r>
    </w:p>
    <w:p>
      <w:pPr>
        <w:widowControl/>
        <w:spacing w:before="156" w:after="312" w:line="420" w:lineRule="atLeast"/>
        <w:jc w:val="center"/>
        <w:rPr>
          <w:rFonts w:eastAsia="黑体"/>
          <w:color w:val="auto"/>
          <w:kern w:val="0"/>
          <w:sz w:val="24"/>
          <w:szCs w:val="28"/>
          <w:highlight w:val="none"/>
        </w:rPr>
      </w:pPr>
      <w:r>
        <w:rPr>
          <w:rFonts w:eastAsia="黑体"/>
          <w:color w:val="auto"/>
          <w:kern w:val="0"/>
          <w:sz w:val="24"/>
          <w:szCs w:val="28"/>
          <w:highlight w:val="none"/>
        </w:rPr>
        <w:t xml:space="preserve">   年   月  日</w:t>
      </w:r>
    </w:p>
    <w:p>
      <w:pPr>
        <w:pStyle w:val="245"/>
        <w:spacing w:line="500" w:lineRule="exact"/>
        <w:ind w:firstLine="211" w:firstLineChars="100"/>
        <w:rPr>
          <w:rFonts w:ascii="Arial" w:hAnsi="Arial" w:eastAsia="新宋体" w:cs="Arial"/>
          <w:b/>
          <w:color w:val="auto"/>
          <w:sz w:val="21"/>
          <w:highlight w:val="none"/>
        </w:rPr>
      </w:pPr>
      <w:bookmarkStart w:id="170" w:name="_Hlk53729432"/>
      <w:r>
        <w:rPr>
          <w:rFonts w:hint="eastAsia" w:ascii="Arial" w:hAnsi="Arial" w:eastAsia="新宋体" w:cs="Arial"/>
          <w:b/>
          <w:color w:val="auto"/>
          <w:sz w:val="21"/>
          <w:highlight w:val="none"/>
        </w:rPr>
        <w:t>注：以联合体形式投标的，由联合体牵头人签署。</w:t>
      </w:r>
    </w:p>
    <w:bookmarkEnd w:id="170"/>
    <w:p>
      <w:pPr>
        <w:widowControl/>
        <w:spacing w:before="156" w:after="312" w:line="420" w:lineRule="atLeast"/>
        <w:jc w:val="center"/>
        <w:rPr>
          <w:rFonts w:eastAsia="黑体"/>
          <w:color w:val="auto"/>
          <w:kern w:val="0"/>
          <w:sz w:val="24"/>
          <w:szCs w:val="28"/>
          <w:highlight w:val="none"/>
        </w:rPr>
      </w:pPr>
    </w:p>
    <w:p>
      <w:pPr>
        <w:widowControl/>
        <w:spacing w:before="156" w:after="312" w:line="420" w:lineRule="atLeast"/>
        <w:jc w:val="center"/>
        <w:rPr>
          <w:rFonts w:hint="eastAsia" w:eastAsia="黑体"/>
          <w:color w:val="auto"/>
          <w:kern w:val="0"/>
          <w:sz w:val="28"/>
          <w:szCs w:val="28"/>
          <w:highlight w:val="none"/>
        </w:rPr>
      </w:pPr>
    </w:p>
    <w:p>
      <w:pPr>
        <w:widowControl/>
        <w:rPr>
          <w:color w:val="auto"/>
          <w:szCs w:val="21"/>
          <w:highlight w:val="none"/>
        </w:rPr>
      </w:pPr>
      <w:r>
        <w:rPr>
          <w:color w:val="auto"/>
          <w:kern w:val="0"/>
          <w:highlight w:val="none"/>
        </w:rPr>
        <w:br w:type="page"/>
      </w:r>
      <w:bookmarkStart w:id="171" w:name="_Toc300678566"/>
    </w:p>
    <w:p>
      <w:pPr>
        <w:pStyle w:val="6"/>
        <w:spacing w:before="0" w:after="0" w:line="240" w:lineRule="auto"/>
        <w:jc w:val="center"/>
        <w:rPr>
          <w:rFonts w:ascii="Times New Roman" w:hAnsi="Times New Roman" w:eastAsia="黑体"/>
          <w:b w:val="0"/>
          <w:bCs w:val="0"/>
          <w:color w:val="auto"/>
          <w:sz w:val="36"/>
          <w:szCs w:val="36"/>
          <w:highlight w:val="none"/>
        </w:rPr>
      </w:pPr>
      <w:bookmarkStart w:id="172" w:name="_Toc69199931"/>
      <w:bookmarkStart w:id="173" w:name="_Toc24365"/>
      <w:bookmarkStart w:id="174" w:name="_Toc9178578"/>
      <w:r>
        <w:rPr>
          <w:rFonts w:ascii="Times New Roman" w:hAnsi="Times New Roman" w:eastAsia="黑体"/>
          <w:b w:val="0"/>
          <w:bCs w:val="0"/>
          <w:color w:val="auto"/>
          <w:sz w:val="36"/>
          <w:szCs w:val="36"/>
          <w:highlight w:val="none"/>
        </w:rPr>
        <w:t>目    录</w:t>
      </w:r>
      <w:bookmarkEnd w:id="171"/>
      <w:bookmarkEnd w:id="172"/>
      <w:bookmarkEnd w:id="173"/>
      <w:bookmarkEnd w:id="174"/>
    </w:p>
    <w:p>
      <w:pPr>
        <w:widowControl/>
        <w:rPr>
          <w:color w:val="auto"/>
          <w:szCs w:val="21"/>
          <w:highlight w:val="none"/>
        </w:rPr>
      </w:pP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"_Toc300678567"</w:instrText>
      </w:r>
      <w:r>
        <w:rPr>
          <w:color w:val="auto"/>
          <w:highlight w:val="none"/>
        </w:rPr>
        <w:fldChar w:fldCharType="separate"/>
      </w:r>
      <w:r>
        <w:rPr>
          <w:rStyle w:val="58"/>
          <w:rFonts w:hint="eastAsia"/>
          <w:color w:val="auto"/>
          <w:highlight w:val="none"/>
        </w:rPr>
        <w:t>1.</w:t>
      </w:r>
      <w:r>
        <w:rPr>
          <w:rStyle w:val="58"/>
          <w:color w:val="auto"/>
          <w:highlight w:val="none"/>
        </w:rPr>
        <w:t>投标函及投标函附录</w:t>
      </w:r>
      <w:r>
        <w:rPr>
          <w:color w:val="auto"/>
          <w:highlight w:val="none"/>
        </w:rPr>
        <w:fldChar w:fldCharType="end"/>
      </w:r>
    </w:p>
    <w:p>
      <w:pPr>
        <w:spacing w:line="276" w:lineRule="auto"/>
        <w:ind w:firstLine="840" w:firstLineChars="400"/>
        <w:rPr>
          <w:color w:val="auto"/>
          <w:highlight w:val="none"/>
        </w:rPr>
      </w:pPr>
      <w:r>
        <w:rPr>
          <w:color w:val="auto"/>
          <w:highlight w:val="none"/>
        </w:rPr>
        <w:fldChar w:fldCharType="begin"/>
      </w:r>
      <w:r>
        <w:rPr>
          <w:color w:val="auto"/>
          <w:highlight w:val="none"/>
        </w:rPr>
        <w:instrText xml:space="preserve">HYPERLINK \l "_Toc300678568"</w:instrText>
      </w:r>
      <w:r>
        <w:rPr>
          <w:color w:val="auto"/>
          <w:highlight w:val="none"/>
        </w:rPr>
        <w:fldChar w:fldCharType="separate"/>
      </w:r>
      <w:r>
        <w:rPr>
          <w:rStyle w:val="58"/>
          <w:color w:val="auto"/>
          <w:highlight w:val="none"/>
        </w:rPr>
        <w:t>（</w:t>
      </w:r>
      <w:r>
        <w:rPr>
          <w:rStyle w:val="58"/>
          <w:rFonts w:hint="eastAsia"/>
          <w:color w:val="auto"/>
          <w:highlight w:val="none"/>
        </w:rPr>
        <w:t>1</w:t>
      </w:r>
      <w:r>
        <w:rPr>
          <w:rStyle w:val="58"/>
          <w:color w:val="auto"/>
          <w:highlight w:val="none"/>
        </w:rPr>
        <w:t>）投标函</w:t>
      </w:r>
      <w:r>
        <w:rPr>
          <w:color w:val="auto"/>
          <w:highlight w:val="none"/>
        </w:rPr>
        <w:fldChar w:fldCharType="end"/>
      </w:r>
    </w:p>
    <w:p>
      <w:pPr>
        <w:spacing w:line="276" w:lineRule="auto"/>
        <w:ind w:firstLine="840" w:firstLineChars="400"/>
        <w:rPr>
          <w:color w:val="auto"/>
          <w:highlight w:val="none"/>
        </w:rPr>
      </w:pPr>
      <w:r>
        <w:rPr>
          <w:color w:val="auto"/>
          <w:highlight w:val="none"/>
        </w:rPr>
        <w:fldChar w:fldCharType="begin"/>
      </w:r>
      <w:r>
        <w:rPr>
          <w:color w:val="auto"/>
          <w:highlight w:val="none"/>
        </w:rPr>
        <w:instrText xml:space="preserve">HYPERLINK \l "_Toc300678569"</w:instrText>
      </w:r>
      <w:r>
        <w:rPr>
          <w:color w:val="auto"/>
          <w:highlight w:val="none"/>
        </w:rPr>
        <w:fldChar w:fldCharType="separate"/>
      </w:r>
      <w:r>
        <w:rPr>
          <w:rStyle w:val="58"/>
          <w:color w:val="auto"/>
          <w:highlight w:val="none"/>
        </w:rPr>
        <w:t>（</w:t>
      </w:r>
      <w:r>
        <w:rPr>
          <w:rStyle w:val="58"/>
          <w:rFonts w:hint="eastAsia"/>
          <w:color w:val="auto"/>
          <w:highlight w:val="none"/>
        </w:rPr>
        <w:t>2</w:t>
      </w:r>
      <w:r>
        <w:rPr>
          <w:rStyle w:val="58"/>
          <w:color w:val="auto"/>
          <w:highlight w:val="none"/>
        </w:rPr>
        <w:t>）投标函附录</w:t>
      </w:r>
      <w:r>
        <w:rPr>
          <w:color w:val="auto"/>
          <w:highlight w:val="none"/>
        </w:rPr>
        <w:fldChar w:fldCharType="end"/>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"_Toc300678570"</w:instrText>
      </w:r>
      <w:r>
        <w:rPr>
          <w:color w:val="auto"/>
          <w:highlight w:val="none"/>
        </w:rPr>
        <w:fldChar w:fldCharType="separate"/>
      </w:r>
      <w:r>
        <w:rPr>
          <w:rStyle w:val="58"/>
          <w:rFonts w:hint="eastAsia"/>
          <w:color w:val="auto"/>
          <w:highlight w:val="none"/>
        </w:rPr>
        <w:t>2.</w:t>
      </w:r>
      <w:r>
        <w:rPr>
          <w:rStyle w:val="58"/>
          <w:color w:val="auto"/>
          <w:highlight w:val="none"/>
        </w:rPr>
        <w:t>法定代表人身份证明</w:t>
      </w:r>
      <w:r>
        <w:rPr>
          <w:color w:val="auto"/>
          <w:highlight w:val="none"/>
        </w:rPr>
        <w:fldChar w:fldCharType="end"/>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"_Toc300678571"</w:instrText>
      </w:r>
      <w:r>
        <w:rPr>
          <w:color w:val="auto"/>
          <w:highlight w:val="none"/>
        </w:rPr>
        <w:fldChar w:fldCharType="separate"/>
      </w:r>
      <w:r>
        <w:rPr>
          <w:rStyle w:val="58"/>
          <w:rFonts w:hint="eastAsia"/>
          <w:color w:val="auto"/>
          <w:highlight w:val="none"/>
        </w:rPr>
        <w:t>3.</w:t>
      </w:r>
      <w:r>
        <w:rPr>
          <w:rStyle w:val="58"/>
          <w:color w:val="auto"/>
          <w:highlight w:val="none"/>
        </w:rPr>
        <w:t>授权委托书</w:t>
      </w:r>
      <w:r>
        <w:rPr>
          <w:color w:val="auto"/>
          <w:highlight w:val="none"/>
        </w:rPr>
        <w:fldChar w:fldCharType="end"/>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"_Toc300678572"</w:instrText>
      </w:r>
      <w:r>
        <w:rPr>
          <w:color w:val="auto"/>
          <w:highlight w:val="none"/>
        </w:rPr>
        <w:fldChar w:fldCharType="separate"/>
      </w:r>
      <w:r>
        <w:rPr>
          <w:rStyle w:val="58"/>
          <w:rFonts w:hint="eastAsia"/>
          <w:color w:val="auto"/>
          <w:highlight w:val="none"/>
        </w:rPr>
        <w:t>4.</w:t>
      </w:r>
      <w:r>
        <w:rPr>
          <w:rStyle w:val="58"/>
          <w:color w:val="auto"/>
          <w:highlight w:val="none"/>
        </w:rPr>
        <w:t>联合体协议书</w:t>
      </w:r>
      <w:r>
        <w:rPr>
          <w:color w:val="auto"/>
          <w:highlight w:val="none"/>
        </w:rPr>
        <w:fldChar w:fldCharType="end"/>
      </w:r>
      <w:r>
        <w:rPr>
          <w:color w:val="auto"/>
          <w:highlight w:val="none"/>
        </w:rPr>
        <w:t>（如有）</w:t>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"_Toc300678573"</w:instrText>
      </w:r>
      <w:r>
        <w:rPr>
          <w:color w:val="auto"/>
          <w:highlight w:val="none"/>
        </w:rPr>
        <w:fldChar w:fldCharType="separate"/>
      </w:r>
      <w:r>
        <w:rPr>
          <w:rStyle w:val="58"/>
          <w:rFonts w:hint="eastAsia"/>
          <w:color w:val="auto"/>
          <w:highlight w:val="none"/>
        </w:rPr>
        <w:t>5.</w:t>
      </w:r>
      <w:r>
        <w:rPr>
          <w:rStyle w:val="58"/>
          <w:color w:val="auto"/>
          <w:highlight w:val="none"/>
        </w:rPr>
        <w:t>投标保证</w:t>
      </w:r>
      <w:r>
        <w:rPr>
          <w:color w:val="auto"/>
          <w:highlight w:val="none"/>
        </w:rPr>
        <w:fldChar w:fldCharType="end"/>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"_Toc300678574"</w:instrText>
      </w:r>
      <w:r>
        <w:rPr>
          <w:color w:val="auto"/>
          <w:highlight w:val="none"/>
        </w:rPr>
        <w:fldChar w:fldCharType="separate"/>
      </w:r>
      <w:r>
        <w:rPr>
          <w:rStyle w:val="58"/>
          <w:rFonts w:hint="eastAsia"/>
          <w:color w:val="auto"/>
          <w:highlight w:val="none"/>
        </w:rPr>
        <w:t>6.</w:t>
      </w:r>
      <w:r>
        <w:rPr>
          <w:rStyle w:val="58"/>
          <w:color w:val="auto"/>
          <w:highlight w:val="none"/>
        </w:rPr>
        <w:t>项目管理机构</w:t>
      </w:r>
      <w:r>
        <w:rPr>
          <w:color w:val="auto"/>
          <w:highlight w:val="none"/>
        </w:rPr>
        <w:fldChar w:fldCharType="end"/>
      </w:r>
    </w:p>
    <w:p>
      <w:pPr>
        <w:spacing w:line="276" w:lineRule="auto"/>
        <w:ind w:firstLine="840" w:firstLineChars="400"/>
        <w:rPr>
          <w:color w:val="auto"/>
          <w:highlight w:val="none"/>
        </w:rPr>
      </w:pPr>
      <w:r>
        <w:rPr>
          <w:color w:val="auto"/>
          <w:highlight w:val="none"/>
        </w:rPr>
        <w:fldChar w:fldCharType="begin"/>
      </w:r>
      <w:r>
        <w:rPr>
          <w:color w:val="auto"/>
          <w:highlight w:val="none"/>
        </w:rPr>
        <w:instrText xml:space="preserve">HYPERLINK \l "_Toc300678575"</w:instrText>
      </w:r>
      <w:r>
        <w:rPr>
          <w:color w:val="auto"/>
          <w:highlight w:val="none"/>
        </w:rPr>
        <w:fldChar w:fldCharType="separate"/>
      </w:r>
      <w:r>
        <w:rPr>
          <w:rStyle w:val="58"/>
          <w:color w:val="auto"/>
          <w:highlight w:val="none"/>
        </w:rPr>
        <w:t>（</w:t>
      </w:r>
      <w:r>
        <w:rPr>
          <w:rStyle w:val="58"/>
          <w:rFonts w:hint="eastAsia"/>
          <w:color w:val="auto"/>
          <w:highlight w:val="none"/>
        </w:rPr>
        <w:t>1</w:t>
      </w:r>
      <w:r>
        <w:rPr>
          <w:rStyle w:val="58"/>
          <w:color w:val="auto"/>
          <w:highlight w:val="none"/>
        </w:rPr>
        <w:t>）</w:t>
      </w:r>
      <w:bookmarkStart w:id="175" w:name="_Hlt11160713"/>
      <w:bookmarkEnd w:id="175"/>
      <w:bookmarkStart w:id="176" w:name="_Hlt11160712"/>
      <w:bookmarkEnd w:id="176"/>
      <w:r>
        <w:rPr>
          <w:rStyle w:val="58"/>
          <w:color w:val="auto"/>
          <w:highlight w:val="none"/>
        </w:rPr>
        <w:t>项目管理机构组成表</w:t>
      </w:r>
      <w:r>
        <w:rPr>
          <w:color w:val="auto"/>
          <w:highlight w:val="none"/>
        </w:rPr>
        <w:fldChar w:fldCharType="end"/>
      </w:r>
    </w:p>
    <w:p>
      <w:pPr>
        <w:spacing w:line="276" w:lineRule="auto"/>
        <w:ind w:firstLine="840" w:firstLineChars="400"/>
        <w:rPr>
          <w:color w:val="auto"/>
          <w:highlight w:val="none"/>
        </w:rPr>
      </w:pPr>
      <w:r>
        <w:rPr>
          <w:color w:val="auto"/>
          <w:highlight w:val="none"/>
        </w:rPr>
        <w:fldChar w:fldCharType="begin"/>
      </w:r>
      <w:r>
        <w:rPr>
          <w:color w:val="auto"/>
          <w:highlight w:val="none"/>
        </w:rPr>
        <w:instrText xml:space="preserve">HYPERLINK \l "_Toc300678576"</w:instrText>
      </w:r>
      <w:r>
        <w:rPr>
          <w:color w:val="auto"/>
          <w:highlight w:val="none"/>
        </w:rPr>
        <w:fldChar w:fldCharType="separate"/>
      </w:r>
      <w:r>
        <w:rPr>
          <w:rStyle w:val="58"/>
          <w:color w:val="auto"/>
          <w:highlight w:val="none"/>
        </w:rPr>
        <w:t>（</w:t>
      </w:r>
      <w:r>
        <w:rPr>
          <w:rStyle w:val="58"/>
          <w:rFonts w:hint="eastAsia"/>
          <w:color w:val="auto"/>
          <w:highlight w:val="none"/>
        </w:rPr>
        <w:t>2</w:t>
      </w:r>
      <w:r>
        <w:rPr>
          <w:rStyle w:val="58"/>
          <w:color w:val="auto"/>
          <w:highlight w:val="none"/>
        </w:rPr>
        <w:t>）主要人员简历表</w:t>
      </w:r>
      <w:r>
        <w:rPr>
          <w:color w:val="auto"/>
          <w:highlight w:val="none"/>
        </w:rPr>
        <w:fldChar w:fldCharType="end"/>
      </w:r>
    </w:p>
    <w:p>
      <w:pPr>
        <w:spacing w:line="276" w:lineRule="auto"/>
        <w:ind w:firstLine="1470" w:firstLineChars="700"/>
        <w:rPr>
          <w:color w:val="auto"/>
          <w:highlight w:val="none"/>
        </w:rPr>
      </w:pPr>
      <w:r>
        <w:rPr>
          <w:color w:val="auto"/>
          <w:highlight w:val="none"/>
        </w:rPr>
        <w:fldChar w:fldCharType="begin"/>
      </w:r>
      <w:r>
        <w:rPr>
          <w:color w:val="auto"/>
          <w:highlight w:val="none"/>
        </w:rPr>
        <w:instrText xml:space="preserve">HYPERLINK \l "_Toc300678577"</w:instrText>
      </w:r>
      <w:r>
        <w:rPr>
          <w:color w:val="auto"/>
          <w:highlight w:val="none"/>
        </w:rPr>
        <w:fldChar w:fldCharType="separate"/>
      </w:r>
      <w:r>
        <w:rPr>
          <w:rStyle w:val="58"/>
          <w:rFonts w:hint="eastAsia"/>
          <w:color w:val="auto"/>
          <w:highlight w:val="none"/>
        </w:rPr>
        <w:t>①</w:t>
      </w:r>
      <w:r>
        <w:rPr>
          <w:rStyle w:val="58"/>
          <w:color w:val="auto"/>
          <w:highlight w:val="none"/>
        </w:rPr>
        <w:t>拟任</w:t>
      </w:r>
      <w:r>
        <w:rPr>
          <w:rStyle w:val="58"/>
          <w:rFonts w:hint="eastAsia"/>
          <w:color w:val="auto"/>
          <w:highlight w:val="none"/>
        </w:rPr>
        <w:t>工程总承包项目负责人</w:t>
      </w:r>
      <w:r>
        <w:rPr>
          <w:rStyle w:val="58"/>
          <w:color w:val="auto"/>
          <w:highlight w:val="none"/>
        </w:rPr>
        <w:t>简历表</w:t>
      </w:r>
      <w:r>
        <w:rPr>
          <w:color w:val="auto"/>
          <w:highlight w:val="none"/>
        </w:rPr>
        <w:fldChar w:fldCharType="end"/>
      </w:r>
    </w:p>
    <w:p>
      <w:pPr>
        <w:spacing w:line="276" w:lineRule="auto"/>
        <w:ind w:firstLine="1470" w:firstLineChars="700"/>
        <w:rPr>
          <w:rStyle w:val="58"/>
          <w:color w:val="auto"/>
          <w:highlight w:val="none"/>
        </w:rPr>
      </w:pPr>
      <w:r>
        <w:rPr>
          <w:color w:val="auto"/>
          <w:highlight w:val="none"/>
        </w:rPr>
        <w:fldChar w:fldCharType="begin"/>
      </w:r>
      <w:r>
        <w:rPr>
          <w:color w:val="auto"/>
          <w:highlight w:val="none"/>
        </w:rPr>
        <w:instrText xml:space="preserve">HYPERLINK \l "_Toc300678578"</w:instrText>
      </w:r>
      <w:r>
        <w:rPr>
          <w:color w:val="auto"/>
          <w:highlight w:val="none"/>
        </w:rPr>
        <w:fldChar w:fldCharType="separate"/>
      </w:r>
      <w:r>
        <w:rPr>
          <w:rStyle w:val="58"/>
          <w:rFonts w:hint="eastAsia"/>
          <w:color w:val="auto"/>
          <w:highlight w:val="none"/>
        </w:rPr>
        <w:t>②</w:t>
      </w:r>
      <w:r>
        <w:rPr>
          <w:rStyle w:val="58"/>
          <w:color w:val="auto"/>
          <w:highlight w:val="none"/>
        </w:rPr>
        <w:t>拟任</w:t>
      </w:r>
      <w:r>
        <w:rPr>
          <w:rStyle w:val="58"/>
          <w:rFonts w:hint="eastAsia"/>
          <w:color w:val="auto"/>
          <w:highlight w:val="none"/>
        </w:rPr>
        <w:t>施工</w:t>
      </w:r>
      <w:r>
        <w:rPr>
          <w:rStyle w:val="58"/>
          <w:color w:val="auto"/>
          <w:highlight w:val="none"/>
        </w:rPr>
        <w:t>项目</w:t>
      </w:r>
      <w:r>
        <w:rPr>
          <w:rStyle w:val="58"/>
          <w:rFonts w:hint="eastAsia"/>
          <w:color w:val="auto"/>
          <w:highlight w:val="none"/>
        </w:rPr>
        <w:t>负责人</w:t>
      </w:r>
      <w:r>
        <w:rPr>
          <w:rStyle w:val="58"/>
          <w:color w:val="auto"/>
          <w:highlight w:val="none"/>
        </w:rPr>
        <w:t>简历表</w:t>
      </w:r>
    </w:p>
    <w:p>
      <w:pPr>
        <w:spacing w:line="276" w:lineRule="auto"/>
        <w:ind w:firstLine="1470" w:firstLineChars="700"/>
        <w:rPr>
          <w:color w:val="auto"/>
          <w:highlight w:val="none"/>
        </w:rPr>
      </w:pPr>
      <w:r>
        <w:rPr>
          <w:color w:val="auto"/>
          <w:highlight w:val="none"/>
        </w:rPr>
        <w:fldChar w:fldCharType="end"/>
      </w:r>
      <w:r>
        <w:rPr>
          <w:color w:val="auto"/>
          <w:highlight w:val="none"/>
        </w:rPr>
        <w:fldChar w:fldCharType="begin"/>
      </w:r>
      <w:r>
        <w:rPr>
          <w:color w:val="auto"/>
          <w:highlight w:val="none"/>
        </w:rPr>
        <w:instrText xml:space="preserve"> </w:instrText>
      </w:r>
      <w:r>
        <w:rPr>
          <w:rFonts w:hint="eastAsia"/>
          <w:color w:val="auto"/>
          <w:highlight w:val="none"/>
        </w:rPr>
        <w:instrText xml:space="preserve">= 3 \* GB3</w:instrText>
      </w:r>
      <w:r>
        <w:rPr>
          <w:color w:val="auto"/>
          <w:highlight w:val="none"/>
        </w:rPr>
        <w:instrText xml:space="preserve">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拟任设计项目</w:t>
      </w:r>
      <w:r>
        <w:rPr>
          <w:color w:val="auto"/>
          <w:highlight w:val="none"/>
        </w:rPr>
        <w:t>负责人简历表</w:t>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"_Toc300678579"</w:instrText>
      </w:r>
      <w:r>
        <w:rPr>
          <w:color w:val="auto"/>
          <w:highlight w:val="none"/>
        </w:rPr>
        <w:fldChar w:fldCharType="separate"/>
      </w:r>
      <w:r>
        <w:rPr>
          <w:rStyle w:val="58"/>
          <w:rFonts w:hint="eastAsia"/>
          <w:color w:val="auto"/>
          <w:highlight w:val="none"/>
        </w:rPr>
        <w:t>7.</w:t>
      </w:r>
      <w:r>
        <w:rPr>
          <w:rStyle w:val="58"/>
          <w:color w:val="auto"/>
          <w:highlight w:val="none"/>
        </w:rPr>
        <w:t>拟分包计划表</w:t>
      </w:r>
      <w:r>
        <w:rPr>
          <w:color w:val="auto"/>
          <w:highlight w:val="none"/>
        </w:rPr>
        <w:fldChar w:fldCharType="end"/>
      </w:r>
      <w:r>
        <w:rPr>
          <w:color w:val="auto"/>
          <w:highlight w:val="none"/>
        </w:rPr>
        <w:t>（如有）</w:t>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"_Toc300678580"</w:instrText>
      </w:r>
      <w:r>
        <w:rPr>
          <w:color w:val="auto"/>
          <w:highlight w:val="none"/>
        </w:rPr>
        <w:fldChar w:fldCharType="separate"/>
      </w:r>
      <w:r>
        <w:rPr>
          <w:rStyle w:val="58"/>
          <w:rFonts w:hint="eastAsia"/>
          <w:color w:val="auto"/>
          <w:highlight w:val="none"/>
        </w:rPr>
        <w:t>8.</w:t>
      </w:r>
      <w:r>
        <w:rPr>
          <w:rStyle w:val="58"/>
          <w:color w:val="auto"/>
          <w:highlight w:val="none"/>
        </w:rPr>
        <w:t>资格审查</w:t>
      </w:r>
      <w:r>
        <w:rPr>
          <w:rStyle w:val="58"/>
          <w:rFonts w:hint="eastAsia"/>
          <w:color w:val="auto"/>
          <w:highlight w:val="none"/>
        </w:rPr>
        <w:t>、信用等</w:t>
      </w:r>
      <w:r>
        <w:rPr>
          <w:rStyle w:val="58"/>
          <w:color w:val="auto"/>
          <w:highlight w:val="none"/>
        </w:rPr>
        <w:t>资料</w:t>
      </w:r>
      <w:r>
        <w:rPr>
          <w:color w:val="auto"/>
          <w:highlight w:val="none"/>
        </w:rPr>
        <w:fldChar w:fldCharType="end"/>
      </w:r>
    </w:p>
    <w:p>
      <w:pPr>
        <w:spacing w:line="276" w:lineRule="auto"/>
        <w:ind w:firstLine="1470" w:firstLineChars="700"/>
        <w:rPr>
          <w:color w:val="auto"/>
          <w:highlight w:val="none"/>
        </w:rPr>
      </w:pPr>
      <w:r>
        <w:rPr>
          <w:color w:val="auto"/>
          <w:highlight w:val="none"/>
        </w:rPr>
        <w:fldChar w:fldCharType="begin"/>
      </w:r>
      <w:r>
        <w:rPr>
          <w:color w:val="auto"/>
          <w:highlight w:val="none"/>
        </w:rPr>
        <w:instrText xml:space="preserve">HYPERLINK \l "_Toc300678581"</w:instrText>
      </w:r>
      <w:r>
        <w:rPr>
          <w:color w:val="auto"/>
          <w:highlight w:val="none"/>
        </w:rPr>
        <w:fldChar w:fldCharType="separate"/>
      </w:r>
      <w:r>
        <w:rPr>
          <w:rStyle w:val="58"/>
          <w:color w:val="auto"/>
          <w:highlight w:val="none"/>
        </w:rPr>
        <w:t>（</w:t>
      </w:r>
      <w:r>
        <w:rPr>
          <w:rStyle w:val="58"/>
          <w:rFonts w:hint="eastAsia"/>
          <w:color w:val="auto"/>
          <w:highlight w:val="none"/>
        </w:rPr>
        <w:t>1</w:t>
      </w:r>
      <w:r>
        <w:rPr>
          <w:rStyle w:val="58"/>
          <w:color w:val="auto"/>
          <w:highlight w:val="none"/>
        </w:rPr>
        <w:t>）投标人基本情况表</w:t>
      </w:r>
      <w:r>
        <w:rPr>
          <w:color w:val="auto"/>
          <w:highlight w:val="none"/>
        </w:rPr>
        <w:fldChar w:fldCharType="end"/>
      </w:r>
    </w:p>
    <w:p>
      <w:pPr>
        <w:spacing w:line="276" w:lineRule="auto"/>
        <w:ind w:firstLine="1470" w:firstLineChars="700"/>
        <w:rPr>
          <w:color w:val="auto"/>
          <w:highlight w:val="none"/>
        </w:rPr>
      </w:pPr>
      <w:r>
        <w:rPr>
          <w:color w:val="auto"/>
          <w:highlight w:val="none"/>
        </w:rPr>
        <w:fldChar w:fldCharType="begin"/>
      </w:r>
      <w:r>
        <w:rPr>
          <w:color w:val="auto"/>
          <w:highlight w:val="none"/>
        </w:rPr>
        <w:instrText xml:space="preserve">HYPERLINK \l "_Toc300678582"</w:instrText>
      </w:r>
      <w:r>
        <w:rPr>
          <w:color w:val="auto"/>
          <w:highlight w:val="none"/>
        </w:rPr>
        <w:fldChar w:fldCharType="separate"/>
      </w:r>
      <w:r>
        <w:rPr>
          <w:rStyle w:val="58"/>
          <w:color w:val="auto"/>
          <w:highlight w:val="none"/>
        </w:rPr>
        <w:t>（</w:t>
      </w:r>
      <w:r>
        <w:rPr>
          <w:rStyle w:val="58"/>
          <w:rFonts w:hint="eastAsia"/>
          <w:color w:val="auto"/>
          <w:highlight w:val="none"/>
        </w:rPr>
        <w:t>2</w:t>
      </w:r>
      <w:r>
        <w:rPr>
          <w:rStyle w:val="58"/>
          <w:color w:val="auto"/>
          <w:highlight w:val="none"/>
        </w:rPr>
        <w:t>）</w:t>
      </w:r>
      <w:r>
        <w:rPr>
          <w:color w:val="auto"/>
          <w:highlight w:val="none"/>
        </w:rPr>
        <w:fldChar w:fldCharType="end"/>
      </w:r>
      <w:r>
        <w:rPr>
          <w:rFonts w:hint="eastAsia"/>
          <w:color w:val="auto"/>
          <w:highlight w:val="none"/>
        </w:rPr>
        <w:t>投标人</w:t>
      </w:r>
      <w:r>
        <w:rPr>
          <w:color w:val="auto"/>
          <w:highlight w:val="none"/>
        </w:rPr>
        <w:t>证件复印件</w:t>
      </w:r>
    </w:p>
    <w:p>
      <w:pPr>
        <w:spacing w:line="276" w:lineRule="auto"/>
        <w:ind w:firstLine="1470" w:firstLineChars="700"/>
        <w:rPr>
          <w:rFonts w:hint="eastAsia"/>
          <w:color w:val="auto"/>
          <w:highlight w:val="none"/>
        </w:rPr>
      </w:pPr>
      <w:r>
        <w:rPr>
          <w:color w:val="auto"/>
          <w:highlight w:val="none"/>
        </w:rPr>
        <w:fldChar w:fldCharType="begin"/>
      </w:r>
      <w:r>
        <w:rPr>
          <w:color w:val="auto"/>
          <w:highlight w:val="none"/>
        </w:rPr>
        <w:instrText xml:space="preserve">HYPERLINK \l "_Toc300678584"</w:instrText>
      </w:r>
      <w:r>
        <w:rPr>
          <w:color w:val="auto"/>
          <w:highlight w:val="none"/>
        </w:rPr>
        <w:fldChar w:fldCharType="separate"/>
      </w:r>
      <w:r>
        <w:rPr>
          <w:rStyle w:val="58"/>
          <w:color w:val="auto"/>
          <w:highlight w:val="none"/>
        </w:rPr>
        <w:t>（</w:t>
      </w:r>
      <w:r>
        <w:rPr>
          <w:rStyle w:val="58"/>
          <w:rFonts w:hint="eastAsia"/>
          <w:color w:val="auto"/>
          <w:highlight w:val="none"/>
        </w:rPr>
        <w:t>3</w:t>
      </w:r>
      <w:r>
        <w:rPr>
          <w:rStyle w:val="58"/>
          <w:color w:val="auto"/>
          <w:highlight w:val="none"/>
        </w:rPr>
        <w:t>）</w:t>
      </w:r>
      <w:r>
        <w:rPr>
          <w:color w:val="auto"/>
          <w:highlight w:val="none"/>
        </w:rPr>
        <w:fldChar w:fldCharType="end"/>
      </w:r>
      <w:r>
        <w:rPr>
          <w:color w:val="auto"/>
          <w:highlight w:val="none"/>
        </w:rPr>
        <w:t>近年完成的类似</w:t>
      </w:r>
      <w:r>
        <w:rPr>
          <w:rFonts w:hint="eastAsia"/>
          <w:color w:val="auto"/>
          <w:highlight w:val="none"/>
        </w:rPr>
        <w:t>工程业绩</w:t>
      </w:r>
      <w:r>
        <w:rPr>
          <w:color w:val="auto"/>
          <w:highlight w:val="none"/>
        </w:rPr>
        <w:t>情况表</w:t>
      </w:r>
    </w:p>
    <w:p>
      <w:pPr>
        <w:spacing w:line="276" w:lineRule="auto"/>
        <w:ind w:firstLine="1470" w:firstLineChars="700"/>
        <w:rPr>
          <w:rFonts w:hint="eastAsia"/>
          <w:color w:val="auto"/>
          <w:highlight w:val="none"/>
        </w:rPr>
      </w:pPr>
      <w:r>
        <w:rPr>
          <w:rFonts w:hint="eastAsia"/>
          <w:color w:val="auto"/>
          <w:highlight w:val="none"/>
        </w:rPr>
        <w:t>（4）投标人财务状况</w:t>
      </w:r>
    </w:p>
    <w:p>
      <w:pPr>
        <w:spacing w:line="276" w:lineRule="auto"/>
        <w:ind w:firstLine="1470" w:firstLineChars="700"/>
        <w:rPr>
          <w:color w:val="auto"/>
          <w:highlight w:val="none"/>
        </w:rPr>
      </w:pPr>
      <w:r>
        <w:rPr>
          <w:rFonts w:hint="eastAsia"/>
          <w:color w:val="auto"/>
          <w:highlight w:val="none"/>
        </w:rPr>
        <w:t>（5）独立投标人（设计资质）或联合体中设计单位奖项情况</w:t>
      </w:r>
    </w:p>
    <w:p>
      <w:pPr>
        <w:spacing w:line="276" w:lineRule="auto"/>
        <w:ind w:firstLine="1470" w:firstLineChars="700"/>
        <w:rPr>
          <w:color w:val="auto"/>
          <w:highlight w:val="none"/>
        </w:rPr>
      </w:pPr>
      <w:r>
        <w:rPr>
          <w:rFonts w:hint="eastAsia"/>
          <w:color w:val="auto"/>
          <w:highlight w:val="none"/>
        </w:rPr>
        <w:t>（6）独立投标人（施工资质）或联合体中施工单位奖项情况</w:t>
      </w:r>
    </w:p>
    <w:p>
      <w:pPr>
        <w:spacing w:line="276" w:lineRule="auto"/>
        <w:ind w:firstLine="1470" w:firstLineChars="700"/>
        <w:rPr>
          <w:rFonts w:hint="eastAsia"/>
          <w:color w:val="auto"/>
          <w:highlight w:val="none"/>
        </w:rPr>
      </w:pPr>
      <w:r>
        <w:rPr>
          <w:rFonts w:hint="eastAsia"/>
          <w:color w:val="auto"/>
          <w:highlight w:val="none"/>
        </w:rPr>
        <w:t>（7）独立投标人（施工资质）或联合体中施工单位标准化工地情况</w:t>
      </w:r>
    </w:p>
    <w:p>
      <w:pPr>
        <w:spacing w:line="276" w:lineRule="auto"/>
        <w:ind w:firstLine="1470" w:firstLineChars="700"/>
        <w:rPr>
          <w:rFonts w:hint="eastAsia"/>
          <w:color w:val="auto"/>
          <w:highlight w:val="none"/>
        </w:rPr>
      </w:pPr>
      <w:r>
        <w:rPr>
          <w:color w:val="auto"/>
          <w:highlight w:val="none"/>
        </w:rPr>
        <w:t>（8）</w:t>
      </w:r>
      <w:r>
        <w:rPr>
          <w:rFonts w:hint="eastAsia"/>
          <w:color w:val="auto"/>
          <w:highlight w:val="none"/>
        </w:rPr>
        <w:t>独立投标人（设计资质）或联合体中设计单位</w:t>
      </w:r>
      <w:r>
        <w:rPr>
          <w:color w:val="auto"/>
          <w:highlight w:val="none"/>
        </w:rPr>
        <w:t>信用评价</w:t>
      </w:r>
      <w:r>
        <w:rPr>
          <w:rFonts w:hint="eastAsia"/>
          <w:color w:val="auto"/>
          <w:highlight w:val="none"/>
        </w:rPr>
        <w:t>情况</w:t>
      </w:r>
    </w:p>
    <w:p>
      <w:pPr>
        <w:spacing w:line="276" w:lineRule="auto"/>
        <w:ind w:left="1470" w:leftChars="700"/>
        <w:rPr>
          <w:color w:val="auto"/>
          <w:highlight w:val="none"/>
        </w:rPr>
      </w:pPr>
      <w:r>
        <w:rPr>
          <w:color w:val="auto"/>
          <w:highlight w:val="none"/>
        </w:rPr>
        <w:fldChar w:fldCharType="begin"/>
      </w:r>
      <w:r>
        <w:rPr>
          <w:color w:val="auto"/>
          <w:highlight w:val="none"/>
        </w:rPr>
        <w:instrText xml:space="preserve">HYPERLINK \l "_Toc300678586"</w:instrText>
      </w:r>
      <w:r>
        <w:rPr>
          <w:color w:val="auto"/>
          <w:highlight w:val="none"/>
        </w:rPr>
        <w:fldChar w:fldCharType="separate"/>
      </w:r>
      <w:r>
        <w:rPr>
          <w:rStyle w:val="58"/>
          <w:color w:val="auto"/>
          <w:highlight w:val="none"/>
        </w:rPr>
        <w:t>（9）</w:t>
      </w:r>
      <w:r>
        <w:rPr>
          <w:color w:val="auto"/>
          <w:highlight w:val="none"/>
        </w:rPr>
        <w:fldChar w:fldCharType="end"/>
      </w:r>
      <w:r>
        <w:rPr>
          <w:rFonts w:hint="eastAsia"/>
          <w:color w:val="auto"/>
          <w:highlight w:val="none"/>
        </w:rPr>
        <w:t>独立投标人（施工资质）或联合体中施工单位现场安全质量管理评价情况</w:t>
      </w:r>
    </w:p>
    <w:p>
      <w:pPr>
        <w:spacing w:line="276" w:lineRule="auto"/>
        <w:ind w:firstLine="1470" w:firstLineChars="700"/>
        <w:rPr>
          <w:rFonts w:hint="eastAsia"/>
          <w:color w:val="auto"/>
          <w:highlight w:val="none"/>
        </w:rPr>
      </w:pPr>
      <w:r>
        <w:rPr>
          <w:rFonts w:hint="eastAsia"/>
          <w:color w:val="auto"/>
          <w:highlight w:val="none"/>
        </w:rPr>
        <w:t>（</w:t>
      </w:r>
      <w:r>
        <w:rPr>
          <w:color w:val="auto"/>
          <w:highlight w:val="none"/>
        </w:rPr>
        <w:t>10</w:t>
      </w:r>
      <w:r>
        <w:rPr>
          <w:rFonts w:hint="eastAsia"/>
          <w:color w:val="auto"/>
          <w:highlight w:val="none"/>
        </w:rPr>
        <w:t>）独立投标人（施工资质）或联合体中施工单位信用评价情况</w:t>
      </w:r>
    </w:p>
    <w:p>
      <w:pPr>
        <w:spacing w:line="276" w:lineRule="auto"/>
        <w:ind w:firstLine="1470" w:firstLineChars="700"/>
        <w:rPr>
          <w:color w:val="auto"/>
          <w:highlight w:val="none"/>
        </w:rPr>
      </w:pPr>
      <w:r>
        <w:rPr>
          <w:rFonts w:hint="eastAsia"/>
          <w:color w:val="auto"/>
          <w:highlight w:val="none"/>
        </w:rPr>
        <w:t>（</w:t>
      </w:r>
      <w:r>
        <w:rPr>
          <w:color w:val="auto"/>
          <w:highlight w:val="none"/>
        </w:rPr>
        <w:t>11</w:t>
      </w:r>
      <w:r>
        <w:rPr>
          <w:rFonts w:hint="eastAsia"/>
          <w:color w:val="auto"/>
          <w:highlight w:val="none"/>
        </w:rPr>
        <w:t>）拟任工程总承包项目负责人不良行为记录、被列入省公管办或省住建厅发布的黑名单的证明资料复印件</w:t>
      </w:r>
    </w:p>
    <w:p>
      <w:pPr>
        <w:spacing w:line="276" w:lineRule="auto"/>
        <w:ind w:firstLine="420" w:firstLineChars="200"/>
        <w:rPr>
          <w:rFonts w:hint="eastAsia"/>
          <w:color w:val="auto"/>
          <w:highlight w:val="none"/>
        </w:rPr>
      </w:pPr>
      <w:r>
        <w:rPr>
          <w:rFonts w:hint="eastAsia"/>
          <w:color w:val="auto"/>
          <w:highlight w:val="none"/>
        </w:rPr>
        <w:t>9</w:t>
      </w:r>
      <w:r>
        <w:rPr>
          <w:color w:val="auto"/>
          <w:highlight w:val="none"/>
        </w:rPr>
        <w:t>.</w:t>
      </w:r>
      <w:r>
        <w:rPr>
          <w:rFonts w:hint="eastAsia"/>
          <w:color w:val="auto"/>
          <w:highlight w:val="none"/>
        </w:rPr>
        <w:t>企业资信及履约能力自评表</w:t>
      </w:r>
    </w:p>
    <w:p>
      <w:pPr>
        <w:spacing w:line="276" w:lineRule="auto"/>
        <w:ind w:firstLine="420" w:firstLineChars="200"/>
        <w:rPr>
          <w:color w:val="auto"/>
          <w:highlight w:val="none"/>
        </w:rPr>
      </w:pPr>
      <w:r>
        <w:rPr>
          <w:color w:val="auto"/>
          <w:highlight w:val="none"/>
        </w:rPr>
        <w:fldChar w:fldCharType="begin"/>
      </w:r>
      <w:r>
        <w:rPr>
          <w:color w:val="auto"/>
          <w:highlight w:val="none"/>
        </w:rPr>
        <w:instrText xml:space="preserve">HYPERLINK \l "_Toc300678591"</w:instrText>
      </w:r>
      <w:r>
        <w:rPr>
          <w:color w:val="auto"/>
          <w:highlight w:val="none"/>
        </w:rPr>
        <w:fldChar w:fldCharType="separate"/>
      </w:r>
      <w:r>
        <w:rPr>
          <w:rStyle w:val="58"/>
          <w:color w:val="auto"/>
          <w:highlight w:val="none"/>
        </w:rPr>
        <w:t>10</w:t>
      </w:r>
      <w:r>
        <w:rPr>
          <w:rStyle w:val="58"/>
          <w:rFonts w:hint="eastAsia"/>
          <w:color w:val="auto"/>
          <w:highlight w:val="none"/>
        </w:rPr>
        <w:t>.</w:t>
      </w:r>
      <w:r>
        <w:rPr>
          <w:rStyle w:val="58"/>
          <w:color w:val="auto"/>
          <w:highlight w:val="none"/>
        </w:rPr>
        <w:t>承诺书</w:t>
      </w:r>
      <w:r>
        <w:rPr>
          <w:color w:val="auto"/>
          <w:highlight w:val="none"/>
        </w:rPr>
        <w:fldChar w:fldCharType="end"/>
      </w:r>
    </w:p>
    <w:p>
      <w:pPr>
        <w:spacing w:line="276"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w:t>
      </w:r>
      <w:r>
        <w:rPr>
          <w:color w:val="auto"/>
          <w:highlight w:val="none"/>
        </w:rPr>
        <w:t>投标信息表</w:t>
      </w:r>
    </w:p>
    <w:p>
      <w:pPr>
        <w:spacing w:line="276" w:lineRule="auto"/>
        <w:ind w:firstLine="420" w:firstLineChars="200"/>
        <w:rPr>
          <w:color w:val="auto"/>
          <w:highlight w:val="none"/>
        </w:rPr>
      </w:pPr>
      <w:r>
        <w:rPr>
          <w:rFonts w:hint="eastAsia"/>
          <w:color w:val="auto"/>
          <w:highlight w:val="none"/>
        </w:rPr>
        <w:t>1</w:t>
      </w:r>
      <w:r>
        <w:rPr>
          <w:color w:val="auto"/>
          <w:highlight w:val="none"/>
        </w:rPr>
        <w:t>2</w:t>
      </w:r>
      <w:r>
        <w:rPr>
          <w:rFonts w:hint="eastAsia"/>
          <w:color w:val="auto"/>
          <w:highlight w:val="none"/>
        </w:rPr>
        <w:t>.其他</w:t>
      </w:r>
    </w:p>
    <w:p>
      <w:pPr>
        <w:spacing w:line="400" w:lineRule="exact"/>
        <w:rPr>
          <w:color w:val="auto"/>
          <w:highlight w:val="none"/>
        </w:rPr>
      </w:pPr>
    </w:p>
    <w:p>
      <w:pPr>
        <w:spacing w:line="312" w:lineRule="auto"/>
        <w:ind w:firstLine="360"/>
        <w:rPr>
          <w:color w:val="auto"/>
          <w:sz w:val="18"/>
          <w:szCs w:val="18"/>
          <w:highlight w:val="none"/>
        </w:rPr>
      </w:pPr>
    </w:p>
    <w:p>
      <w:pPr>
        <w:spacing w:line="276" w:lineRule="auto"/>
        <w:rPr>
          <w:rStyle w:val="58"/>
          <w:color w:val="auto"/>
          <w:highlight w:val="none"/>
          <w:u w:val="none"/>
        </w:rPr>
      </w:pPr>
      <w:bookmarkStart w:id="177" w:name="_Toc300678567"/>
      <w:r>
        <w:rPr>
          <w:rStyle w:val="58"/>
          <w:color w:val="auto"/>
          <w:highlight w:val="none"/>
          <w:u w:val="none"/>
        </w:rPr>
        <w:br w:type="page"/>
      </w:r>
    </w:p>
    <w:p>
      <w:pPr>
        <w:pStyle w:val="6"/>
        <w:spacing w:before="0" w:after="0" w:line="360" w:lineRule="auto"/>
        <w:jc w:val="center"/>
        <w:rPr>
          <w:rFonts w:ascii="Times New Roman" w:hAnsi="Times New Roman" w:eastAsia="黑体"/>
          <w:b w:val="0"/>
          <w:bCs w:val="0"/>
          <w:color w:val="auto"/>
          <w:sz w:val="30"/>
          <w:highlight w:val="none"/>
        </w:rPr>
      </w:pPr>
      <w:bookmarkStart w:id="178" w:name="_Toc9178579"/>
      <w:bookmarkStart w:id="179" w:name="_Toc21348"/>
      <w:bookmarkStart w:id="180" w:name="_Toc69199932"/>
      <w:r>
        <w:rPr>
          <w:rFonts w:hint="eastAsia" w:ascii="Times New Roman" w:hAnsi="Times New Roman" w:eastAsia="黑体"/>
          <w:b w:val="0"/>
          <w:bCs w:val="0"/>
          <w:color w:val="auto"/>
          <w:sz w:val="30"/>
          <w:highlight w:val="none"/>
        </w:rPr>
        <w:t>1.</w:t>
      </w:r>
      <w:r>
        <w:rPr>
          <w:rFonts w:ascii="Times New Roman" w:hAnsi="Times New Roman" w:eastAsia="黑体"/>
          <w:b w:val="0"/>
          <w:bCs w:val="0"/>
          <w:color w:val="auto"/>
          <w:sz w:val="30"/>
          <w:highlight w:val="none"/>
        </w:rPr>
        <w:t>投标函及投标函附录</w:t>
      </w:r>
      <w:bookmarkEnd w:id="177"/>
      <w:bookmarkEnd w:id="178"/>
      <w:bookmarkEnd w:id="179"/>
      <w:bookmarkEnd w:id="180"/>
    </w:p>
    <w:p>
      <w:pPr>
        <w:pStyle w:val="8"/>
        <w:spacing w:line="288" w:lineRule="auto"/>
        <w:jc w:val="center"/>
        <w:rPr>
          <w:rFonts w:ascii="Times New Roman" w:hAnsi="Times New Roman" w:eastAsia="黑体"/>
          <w:b w:val="0"/>
          <w:bCs w:val="0"/>
          <w:color w:val="auto"/>
          <w:sz w:val="24"/>
          <w:highlight w:val="none"/>
        </w:rPr>
      </w:pPr>
      <w:bookmarkStart w:id="181" w:name="_Toc300678568"/>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1</w:t>
      </w:r>
      <w:r>
        <w:rPr>
          <w:rFonts w:ascii="Times New Roman" w:hAnsi="Times New Roman" w:eastAsia="黑体"/>
          <w:b w:val="0"/>
          <w:bCs w:val="0"/>
          <w:color w:val="auto"/>
          <w:sz w:val="24"/>
          <w:highlight w:val="none"/>
        </w:rPr>
        <w:t>）投  标  函</w:t>
      </w:r>
      <w:bookmarkEnd w:id="181"/>
    </w:p>
    <w:p>
      <w:pPr>
        <w:rPr>
          <w:color w:val="auto"/>
          <w:highlight w:val="none"/>
        </w:rPr>
      </w:pPr>
    </w:p>
    <w:p>
      <w:pPr>
        <w:spacing w:line="360" w:lineRule="auto"/>
        <w:rPr>
          <w:color w:val="auto"/>
          <w:szCs w:val="21"/>
          <w:highlight w:val="none"/>
        </w:rPr>
      </w:pPr>
      <w:r>
        <w:rPr>
          <w:color w:val="auto"/>
          <w:szCs w:val="21"/>
          <w:highlight w:val="none"/>
        </w:rPr>
        <w:t>致：</w:t>
      </w:r>
      <w:r>
        <w:rPr>
          <w:color w:val="auto"/>
          <w:szCs w:val="21"/>
          <w:highlight w:val="none"/>
          <w:u w:val="single"/>
        </w:rPr>
        <w:t xml:space="preserve">                 </w:t>
      </w:r>
      <w:r>
        <w:rPr>
          <w:color w:val="auto"/>
          <w:szCs w:val="21"/>
          <w:highlight w:val="none"/>
        </w:rPr>
        <w:t>（招标人名称）</w:t>
      </w:r>
    </w:p>
    <w:p>
      <w:pPr>
        <w:spacing w:line="360" w:lineRule="auto"/>
        <w:ind w:firstLine="420" w:firstLineChars="200"/>
        <w:rPr>
          <w:color w:val="auto"/>
          <w:szCs w:val="21"/>
          <w:highlight w:val="none"/>
        </w:rPr>
      </w:pPr>
      <w:r>
        <w:rPr>
          <w:color w:val="auto"/>
          <w:szCs w:val="21"/>
          <w:highlight w:val="none"/>
        </w:rPr>
        <w:t>在考察现场并充分研究</w:t>
      </w:r>
      <w:r>
        <w:rPr>
          <w:color w:val="auto"/>
          <w:szCs w:val="21"/>
          <w:highlight w:val="none"/>
          <w:u w:val="single"/>
        </w:rPr>
        <w:t xml:space="preserve">           </w:t>
      </w:r>
      <w:r>
        <w:rPr>
          <w:color w:val="auto"/>
          <w:szCs w:val="21"/>
          <w:highlight w:val="none"/>
        </w:rPr>
        <w:t>（</w:t>
      </w:r>
      <w:r>
        <w:rPr>
          <w:rFonts w:hint="eastAsia"/>
          <w:color w:val="auto"/>
          <w:szCs w:val="21"/>
          <w:highlight w:val="none"/>
        </w:rPr>
        <w:t>招标</w:t>
      </w:r>
      <w:r>
        <w:rPr>
          <w:color w:val="auto"/>
          <w:szCs w:val="21"/>
          <w:highlight w:val="none"/>
        </w:rPr>
        <w:t>项目</w:t>
      </w:r>
      <w:r>
        <w:rPr>
          <w:rFonts w:hint="eastAsia"/>
          <w:color w:val="auto"/>
          <w:szCs w:val="21"/>
          <w:highlight w:val="none"/>
        </w:rPr>
        <w:t>及标段</w:t>
      </w:r>
      <w:r>
        <w:rPr>
          <w:color w:val="auto"/>
          <w:szCs w:val="21"/>
          <w:highlight w:val="none"/>
        </w:rPr>
        <w:t>）</w:t>
      </w:r>
      <w:r>
        <w:rPr>
          <w:rFonts w:hint="eastAsia"/>
          <w:color w:val="auto"/>
          <w:szCs w:val="21"/>
          <w:highlight w:val="none"/>
        </w:rPr>
        <w:t>工程总承包</w:t>
      </w:r>
      <w:r>
        <w:rPr>
          <w:color w:val="auto"/>
          <w:szCs w:val="21"/>
          <w:highlight w:val="none"/>
        </w:rPr>
        <w:t>招标文件的全部内容后，我方兹以：</w:t>
      </w:r>
    </w:p>
    <w:p>
      <w:pPr>
        <w:spacing w:line="360" w:lineRule="auto"/>
        <w:ind w:firstLine="1050" w:firstLineChars="500"/>
        <w:rPr>
          <w:color w:val="auto"/>
          <w:szCs w:val="21"/>
          <w:highlight w:val="none"/>
        </w:rPr>
      </w:pPr>
      <w:r>
        <w:rPr>
          <w:color w:val="auto"/>
          <w:szCs w:val="21"/>
          <w:highlight w:val="none"/>
        </w:rPr>
        <w:t>人民币（大写）：</w:t>
      </w:r>
      <w:r>
        <w:rPr>
          <w:color w:val="auto"/>
          <w:szCs w:val="21"/>
          <w:highlight w:val="none"/>
          <w:u w:val="single"/>
        </w:rPr>
        <w:t xml:space="preserve">                </w:t>
      </w:r>
      <w:r>
        <w:rPr>
          <w:color w:val="auto"/>
          <w:szCs w:val="21"/>
          <w:highlight w:val="none"/>
        </w:rPr>
        <w:t>元</w:t>
      </w:r>
    </w:p>
    <w:p>
      <w:pPr>
        <w:spacing w:line="360" w:lineRule="auto"/>
        <w:ind w:firstLine="1050" w:firstLineChars="500"/>
        <w:rPr>
          <w:color w:val="auto"/>
          <w:szCs w:val="21"/>
          <w:highlight w:val="none"/>
        </w:rPr>
      </w:pPr>
      <w:r>
        <w:rPr>
          <w:color w:val="auto"/>
          <w:szCs w:val="21"/>
          <w:highlight w:val="none"/>
        </w:rPr>
        <w:t>RMB￥：</w:t>
      </w:r>
      <w:r>
        <w:rPr>
          <w:color w:val="auto"/>
          <w:szCs w:val="21"/>
          <w:highlight w:val="none"/>
          <w:u w:val="single"/>
        </w:rPr>
        <w:t xml:space="preserve">                  </w:t>
      </w:r>
      <w:r>
        <w:rPr>
          <w:color w:val="auto"/>
          <w:szCs w:val="21"/>
          <w:highlight w:val="none"/>
        </w:rPr>
        <w:t>元</w:t>
      </w:r>
    </w:p>
    <w:p>
      <w:pPr>
        <w:spacing w:line="360" w:lineRule="auto"/>
        <w:rPr>
          <w:color w:val="auto"/>
          <w:szCs w:val="21"/>
          <w:highlight w:val="none"/>
        </w:rPr>
      </w:pPr>
      <w:r>
        <w:rPr>
          <w:color w:val="auto"/>
          <w:szCs w:val="21"/>
          <w:highlight w:val="none"/>
        </w:rPr>
        <w:t>的投标价格和按合同约定有权得到的其它金额，并严格按照合同约定，施工、竣工和交付本工程并维修其中的任何缺陷。</w:t>
      </w:r>
    </w:p>
    <w:p>
      <w:pPr>
        <w:spacing w:line="360" w:lineRule="auto"/>
        <w:ind w:firstLine="420" w:firstLineChars="200"/>
        <w:rPr>
          <w:color w:val="auto"/>
          <w:szCs w:val="21"/>
          <w:highlight w:val="none"/>
        </w:rPr>
      </w:pPr>
      <w:r>
        <w:rPr>
          <w:color w:val="auto"/>
          <w:szCs w:val="21"/>
          <w:highlight w:val="none"/>
        </w:rPr>
        <w:t>如果我方中标，我方保证按照合同约定的开工日期开始本工程的施工，</w:t>
      </w:r>
      <w:r>
        <w:rPr>
          <w:color w:val="auto"/>
          <w:szCs w:val="21"/>
          <w:highlight w:val="none"/>
          <w:u w:val="single"/>
        </w:rPr>
        <w:t xml:space="preserve">  </w:t>
      </w:r>
      <w:r>
        <w:rPr>
          <w:rFonts w:hint="eastAsia"/>
          <w:color w:val="auto"/>
          <w:szCs w:val="21"/>
          <w:highlight w:val="none"/>
          <w:u w:val="single"/>
        </w:rPr>
        <w:t xml:space="preserve"> </w:t>
      </w:r>
      <w:r>
        <w:rPr>
          <w:rFonts w:hint="eastAsia" w:ascii="宋体" w:hAnsi="宋体"/>
          <w:color w:val="auto"/>
          <w:szCs w:val="21"/>
          <w:highlight w:val="none"/>
        </w:rPr>
        <w:t>□</w:t>
      </w:r>
      <w:r>
        <w:rPr>
          <w:color w:val="auto"/>
          <w:szCs w:val="21"/>
          <w:highlight w:val="none"/>
        </w:rPr>
        <w:t>天（日历日）</w:t>
      </w:r>
      <w:r>
        <w:rPr>
          <w:rFonts w:hint="eastAsia" w:ascii="宋体" w:hAnsi="宋体"/>
          <w:color w:val="auto"/>
          <w:szCs w:val="21"/>
          <w:highlight w:val="none"/>
        </w:rPr>
        <w:t>□月□年</w:t>
      </w:r>
      <w:r>
        <w:rPr>
          <w:color w:val="auto"/>
          <w:szCs w:val="21"/>
          <w:highlight w:val="none"/>
        </w:rPr>
        <w:t>内竣工，并确保工程质量</w:t>
      </w:r>
      <w:r>
        <w:rPr>
          <w:rFonts w:hint="eastAsia"/>
          <w:color w:val="auto"/>
          <w:szCs w:val="21"/>
          <w:highlight w:val="none"/>
        </w:rPr>
        <w:t>满足招标文件规定的</w:t>
      </w:r>
      <w:r>
        <w:rPr>
          <w:color w:val="auto"/>
          <w:szCs w:val="21"/>
          <w:highlight w:val="none"/>
        </w:rPr>
        <w:t>标准。我方同意本投标函在招标文件规定的提交投标文件截止时间后，在招标文件规定的投标有效期期满前对我方具有约束力，且随时准备接受你方发出的中标通知书。</w:t>
      </w:r>
    </w:p>
    <w:p>
      <w:pPr>
        <w:spacing w:line="360" w:lineRule="auto"/>
        <w:ind w:firstLine="420" w:firstLineChars="200"/>
        <w:rPr>
          <w:color w:val="auto"/>
          <w:szCs w:val="21"/>
          <w:highlight w:val="none"/>
        </w:rPr>
      </w:pPr>
      <w:r>
        <w:rPr>
          <w:color w:val="auto"/>
          <w:szCs w:val="21"/>
          <w:highlight w:val="none"/>
        </w:rPr>
        <w:t>随本投标函递交的投标函附录是本投标函的组成部分，对我方构成约束力。</w:t>
      </w:r>
    </w:p>
    <w:p>
      <w:pPr>
        <w:spacing w:line="360" w:lineRule="auto"/>
        <w:ind w:firstLine="420" w:firstLineChars="200"/>
        <w:rPr>
          <w:color w:val="auto"/>
          <w:szCs w:val="21"/>
          <w:highlight w:val="none"/>
        </w:rPr>
      </w:pPr>
      <w:r>
        <w:rPr>
          <w:color w:val="auto"/>
          <w:szCs w:val="21"/>
          <w:highlight w:val="none"/>
        </w:rPr>
        <w:t>随同本投标函递交</w:t>
      </w:r>
      <w:r>
        <w:rPr>
          <w:rFonts w:hint="eastAsia" w:ascii="宋体" w:hAnsi="宋体"/>
          <w:color w:val="auto"/>
          <w:szCs w:val="21"/>
          <w:highlight w:val="none"/>
        </w:rPr>
        <w:t>□</w:t>
      </w:r>
      <w:r>
        <w:rPr>
          <w:color w:val="auto"/>
          <w:szCs w:val="21"/>
          <w:highlight w:val="none"/>
        </w:rPr>
        <w:t>投标保证</w:t>
      </w:r>
      <w:r>
        <w:rPr>
          <w:rFonts w:hint="eastAsia"/>
          <w:color w:val="auto"/>
          <w:szCs w:val="21"/>
          <w:highlight w:val="none"/>
        </w:rPr>
        <w:t>：</w:t>
      </w:r>
    </w:p>
    <w:p>
      <w:pPr>
        <w:spacing w:line="360" w:lineRule="auto"/>
        <w:ind w:firstLine="420" w:firstLineChars="200"/>
        <w:rPr>
          <w:color w:val="auto"/>
          <w:szCs w:val="21"/>
          <w:highlight w:val="none"/>
        </w:rPr>
      </w:pPr>
      <w:r>
        <w:rPr>
          <w:rFonts w:hint="eastAsia" w:ascii="宋体" w:hAnsi="宋体"/>
          <w:color w:val="auto"/>
          <w:szCs w:val="21"/>
          <w:highlight w:val="none"/>
        </w:rPr>
        <w:t>□</w:t>
      </w:r>
      <w:r>
        <w:rPr>
          <w:color w:val="auto"/>
          <w:szCs w:val="21"/>
          <w:highlight w:val="none"/>
        </w:rPr>
        <w:t>投标</w:t>
      </w:r>
      <w:r>
        <w:rPr>
          <w:rFonts w:hint="eastAsia"/>
          <w:color w:val="auto"/>
          <w:szCs w:val="21"/>
          <w:highlight w:val="none"/>
        </w:rPr>
        <w:t>保证金</w:t>
      </w:r>
      <w:r>
        <w:rPr>
          <w:color w:val="auto"/>
          <w:szCs w:val="21"/>
          <w:highlight w:val="none"/>
        </w:rPr>
        <w:t>，金额为人民币（大写）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p>
    <w:p>
      <w:pPr>
        <w:spacing w:line="360" w:lineRule="auto"/>
        <w:ind w:firstLine="420" w:firstLineChars="200"/>
        <w:rPr>
          <w:color w:val="auto"/>
          <w:szCs w:val="21"/>
          <w:highlight w:val="none"/>
        </w:rPr>
      </w:pPr>
      <w:r>
        <w:rPr>
          <w:rFonts w:hint="eastAsia" w:ascii="宋体" w:hAnsi="宋体"/>
          <w:color w:val="auto"/>
          <w:szCs w:val="21"/>
          <w:highlight w:val="none"/>
        </w:rPr>
        <w:t>□</w:t>
      </w:r>
      <w:r>
        <w:rPr>
          <w:color w:val="auto"/>
          <w:szCs w:val="21"/>
          <w:highlight w:val="none"/>
        </w:rPr>
        <w:t>投标保函一份，金额为人民币（大写）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p>
    <w:p>
      <w:pPr>
        <w:spacing w:line="360" w:lineRule="auto"/>
        <w:ind w:firstLine="420" w:firstLineChars="200"/>
        <w:rPr>
          <w:color w:val="auto"/>
          <w:szCs w:val="21"/>
          <w:highlight w:val="none"/>
        </w:rPr>
      </w:pPr>
      <w:r>
        <w:rPr>
          <w:rFonts w:hint="eastAsia" w:ascii="宋体" w:hAnsi="宋体"/>
          <w:color w:val="auto"/>
          <w:szCs w:val="21"/>
          <w:highlight w:val="none"/>
        </w:rPr>
        <w:t>□</w:t>
      </w:r>
      <w:r>
        <w:rPr>
          <w:color w:val="auto"/>
          <w:szCs w:val="21"/>
          <w:highlight w:val="none"/>
        </w:rPr>
        <w:t>投标承诺。</w:t>
      </w:r>
    </w:p>
    <w:p>
      <w:pPr>
        <w:spacing w:line="360" w:lineRule="auto"/>
        <w:ind w:firstLine="420" w:firstLineChars="200"/>
        <w:rPr>
          <w:color w:val="auto"/>
          <w:szCs w:val="21"/>
          <w:highlight w:val="none"/>
        </w:rPr>
      </w:pPr>
      <w:r>
        <w:rPr>
          <w:color w:val="auto"/>
          <w:szCs w:val="21"/>
          <w:highlight w:val="none"/>
        </w:rPr>
        <w:t>我方承诺：若我方中标，承诺在规定时间内</w:t>
      </w:r>
      <w:r>
        <w:rPr>
          <w:rFonts w:hint="eastAsia"/>
          <w:color w:val="auto"/>
          <w:szCs w:val="21"/>
          <w:highlight w:val="none"/>
        </w:rPr>
        <w:t>按投标人须知前附表规定</w:t>
      </w:r>
      <w:r>
        <w:rPr>
          <w:color w:val="auto"/>
          <w:szCs w:val="21"/>
          <w:highlight w:val="none"/>
        </w:rPr>
        <w:t>提交履约保证金。</w:t>
      </w:r>
    </w:p>
    <w:p>
      <w:pPr>
        <w:spacing w:line="360" w:lineRule="auto"/>
        <w:ind w:firstLine="420" w:firstLineChars="200"/>
        <w:rPr>
          <w:color w:val="auto"/>
          <w:szCs w:val="21"/>
          <w:highlight w:val="none"/>
        </w:rPr>
      </w:pPr>
      <w:r>
        <w:rPr>
          <w:color w:val="auto"/>
          <w:szCs w:val="21"/>
          <w:highlight w:val="none"/>
        </w:rPr>
        <w:t>在签署协议书之前，你方的中标通知书连同本投标函，包括投标函附录，对双方具有约束力。</w:t>
      </w:r>
    </w:p>
    <w:p>
      <w:pPr>
        <w:ind w:firstLine="420" w:firstLineChars="200"/>
        <w:rPr>
          <w:color w:val="auto"/>
          <w:szCs w:val="21"/>
          <w:highlight w:val="none"/>
        </w:rPr>
      </w:pPr>
    </w:p>
    <w:p>
      <w:pPr>
        <w:ind w:firstLine="420" w:firstLineChars="200"/>
        <w:rPr>
          <w:color w:val="auto"/>
          <w:szCs w:val="21"/>
          <w:highlight w:val="none"/>
          <w:u w:val="single"/>
        </w:rPr>
      </w:pPr>
      <w:r>
        <w:rPr>
          <w:color w:val="auto"/>
          <w:szCs w:val="21"/>
          <w:highlight w:val="none"/>
        </w:rPr>
        <w:t>投标人（盖单位章）：</w:t>
      </w:r>
    </w:p>
    <w:p>
      <w:pPr>
        <w:ind w:firstLine="420" w:firstLineChars="200"/>
        <w:rPr>
          <w:color w:val="auto"/>
          <w:szCs w:val="21"/>
          <w:highlight w:val="none"/>
        </w:rPr>
      </w:pPr>
    </w:p>
    <w:p>
      <w:pPr>
        <w:ind w:firstLine="420" w:firstLineChars="200"/>
        <w:rPr>
          <w:color w:val="auto"/>
          <w:szCs w:val="21"/>
          <w:highlight w:val="none"/>
          <w:u w:val="single"/>
        </w:rPr>
      </w:pPr>
      <w:r>
        <w:rPr>
          <w:color w:val="auto"/>
          <w:szCs w:val="21"/>
          <w:highlight w:val="none"/>
        </w:rPr>
        <w:t>法定代表人或委托代理人（签字或盖章）：</w:t>
      </w:r>
    </w:p>
    <w:p>
      <w:pPr>
        <w:ind w:firstLine="420" w:firstLineChars="200"/>
        <w:rPr>
          <w:color w:val="auto"/>
          <w:szCs w:val="21"/>
          <w:highlight w:val="none"/>
        </w:rPr>
      </w:pPr>
    </w:p>
    <w:p>
      <w:pPr>
        <w:ind w:firstLine="420" w:firstLineChars="200"/>
        <w:rPr>
          <w:rFonts w:hint="eastAsia"/>
          <w:color w:val="auto"/>
          <w:szCs w:val="21"/>
          <w:highlight w:val="none"/>
        </w:rPr>
      </w:pPr>
      <w:r>
        <w:rPr>
          <w:color w:val="auto"/>
          <w:szCs w:val="21"/>
          <w:highlight w:val="none"/>
        </w:rPr>
        <w:t>日期：   年  月  日</w:t>
      </w:r>
    </w:p>
    <w:p>
      <w:pPr>
        <w:ind w:firstLine="420" w:firstLineChars="200"/>
        <w:rPr>
          <w:rFonts w:hint="eastAsia"/>
          <w:color w:val="auto"/>
          <w:szCs w:val="21"/>
          <w:highlight w:val="none"/>
        </w:rPr>
      </w:pPr>
    </w:p>
    <w:p>
      <w:pPr>
        <w:pStyle w:val="245"/>
        <w:spacing w:line="500" w:lineRule="exact"/>
        <w:ind w:firstLine="211" w:firstLineChars="100"/>
        <w:rPr>
          <w:rFonts w:ascii="Arial" w:hAnsi="Arial" w:eastAsia="新宋体" w:cs="Arial"/>
          <w:b/>
          <w:color w:val="auto"/>
          <w:sz w:val="21"/>
          <w:highlight w:val="none"/>
        </w:rPr>
      </w:pPr>
      <w:r>
        <w:rPr>
          <w:rFonts w:hint="eastAsia" w:ascii="Arial" w:hAnsi="Arial" w:eastAsia="新宋体" w:cs="Arial"/>
          <w:b/>
          <w:color w:val="auto"/>
          <w:sz w:val="21"/>
          <w:highlight w:val="none"/>
        </w:rPr>
        <w:t>注：以联合体形式投标的，本投标函应由联合体牵头人按上述规定填写并签署。</w:t>
      </w:r>
    </w:p>
    <w:p>
      <w:pPr>
        <w:ind w:firstLine="420" w:firstLineChars="200"/>
        <w:rPr>
          <w:color w:val="auto"/>
          <w:szCs w:val="21"/>
          <w:highlight w:val="none"/>
        </w:rPr>
      </w:pPr>
    </w:p>
    <w:p>
      <w:pPr>
        <w:spacing w:line="360" w:lineRule="auto"/>
        <w:rPr>
          <w:rFonts w:eastAsia="黑体"/>
          <w:color w:val="auto"/>
          <w:sz w:val="24"/>
          <w:highlight w:val="none"/>
        </w:rPr>
        <w:sectPr>
          <w:headerReference r:id="rId13" w:type="default"/>
          <w:footerReference r:id="rId14" w:type="default"/>
          <w:pgSz w:w="11907" w:h="16840"/>
          <w:pgMar w:top="1304" w:right="1474" w:bottom="1304" w:left="1474" w:header="737" w:footer="737" w:gutter="0"/>
          <w:pgNumType w:fmt="decimal"/>
          <w:cols w:space="720" w:num="1"/>
          <w:docGrid w:linePitch="326" w:charSpace="0"/>
        </w:sectPr>
      </w:pPr>
    </w:p>
    <w:p>
      <w:pPr>
        <w:pStyle w:val="8"/>
        <w:jc w:val="center"/>
        <w:rPr>
          <w:rFonts w:ascii="Times New Roman" w:hAnsi="Times New Roman" w:eastAsia="黑体"/>
          <w:b w:val="0"/>
          <w:bCs w:val="0"/>
          <w:color w:val="auto"/>
          <w:sz w:val="24"/>
          <w:highlight w:val="none"/>
        </w:rPr>
      </w:pPr>
      <w:bookmarkStart w:id="182" w:name="_Toc300678569"/>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2</w:t>
      </w:r>
      <w:r>
        <w:rPr>
          <w:rFonts w:ascii="Times New Roman" w:hAnsi="Times New Roman" w:eastAsia="黑体"/>
          <w:b w:val="0"/>
          <w:bCs w:val="0"/>
          <w:color w:val="auto"/>
          <w:sz w:val="24"/>
          <w:highlight w:val="none"/>
        </w:rPr>
        <w:t>）投标函附录</w:t>
      </w:r>
      <w:bookmarkEnd w:id="182"/>
    </w:p>
    <w:p>
      <w:pPr>
        <w:spacing w:after="287" w:afterLines="50"/>
        <w:rPr>
          <w:color w:val="auto"/>
          <w:szCs w:val="21"/>
          <w:highlight w:val="none"/>
        </w:rPr>
      </w:pPr>
      <w:r>
        <w:rPr>
          <w:bCs/>
          <w:color w:val="auto"/>
          <w:szCs w:val="21"/>
          <w:highlight w:val="none"/>
          <w:u w:val="single"/>
        </w:rPr>
        <w:t xml:space="preserve">                  </w:t>
      </w:r>
      <w:r>
        <w:rPr>
          <w:color w:val="auto"/>
          <w:szCs w:val="21"/>
          <w:highlight w:val="none"/>
        </w:rPr>
        <w:t>（</w:t>
      </w:r>
      <w:r>
        <w:rPr>
          <w:rFonts w:hint="eastAsia"/>
          <w:color w:val="auto"/>
          <w:szCs w:val="21"/>
          <w:highlight w:val="none"/>
        </w:rPr>
        <w:t>招标</w:t>
      </w:r>
      <w:r>
        <w:rPr>
          <w:color w:val="auto"/>
          <w:szCs w:val="21"/>
          <w:highlight w:val="none"/>
        </w:rPr>
        <w:t>项目</w:t>
      </w:r>
      <w:r>
        <w:rPr>
          <w:rFonts w:hint="eastAsia"/>
          <w:color w:val="auto"/>
          <w:szCs w:val="21"/>
          <w:highlight w:val="none"/>
        </w:rPr>
        <w:t>及标段</w:t>
      </w:r>
      <w:r>
        <w:rPr>
          <w:color w:val="auto"/>
          <w:szCs w:val="21"/>
          <w:highlight w:val="none"/>
        </w:rPr>
        <w:t>名称）</w:t>
      </w:r>
    </w:p>
    <w:tbl>
      <w:tblPr>
        <w:tblStyle w:val="47"/>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931"/>
        <w:gridCol w:w="1278"/>
        <w:gridCol w:w="2975"/>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序 号</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条款内容</w:t>
            </w:r>
          </w:p>
        </w:tc>
        <w:tc>
          <w:tcPr>
            <w:tcW w:w="127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合同条款号</w:t>
            </w: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约定内容</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工程总承包项目负责人</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u w:val="single"/>
              </w:rPr>
            </w:pPr>
            <w:r>
              <w:rPr>
                <w:rFonts w:hint="default" w:ascii="Calibri" w:hAnsi="Calibri" w:cs="Calibri"/>
                <w:color w:val="auto"/>
                <w:sz w:val="18"/>
                <w:szCs w:val="21"/>
                <w:highlight w:val="none"/>
              </w:rPr>
              <w:t xml:space="preserve">姓名：   </w:t>
            </w:r>
            <w:r>
              <w:rPr>
                <w:rFonts w:hint="eastAsia" w:ascii="Calibri" w:hAnsi="Calibri" w:cs="Calibri"/>
                <w:color w:val="auto"/>
                <w:sz w:val="18"/>
                <w:szCs w:val="21"/>
                <w:highlight w:val="none"/>
              </w:rPr>
              <w:t xml:space="preserve">   </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2</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工期</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r>
              <w:rPr>
                <w:rFonts w:hint="default" w:ascii="Calibri" w:hAnsi="Calibri" w:cs="Calibri"/>
                <w:color w:val="auto"/>
                <w:sz w:val="18"/>
                <w:szCs w:val="21"/>
                <w:highlight w:val="none"/>
              </w:rPr>
              <w:t xml:space="preserve">天数： </w:t>
            </w:r>
            <w:r>
              <w:rPr>
                <w:rFonts w:hint="eastAsia" w:ascii="Calibri" w:hAnsi="Calibri" w:cs="Calibri"/>
                <w:color w:val="auto"/>
                <w:sz w:val="18"/>
                <w:szCs w:val="21"/>
                <w:highlight w:val="none"/>
              </w:rPr>
              <w:t xml:space="preserve">  □</w:t>
            </w:r>
            <w:r>
              <w:rPr>
                <w:rFonts w:hint="default" w:ascii="Calibri" w:hAnsi="Calibri" w:cs="Calibri"/>
                <w:color w:val="auto"/>
                <w:sz w:val="18"/>
                <w:szCs w:val="21"/>
                <w:highlight w:val="none"/>
              </w:rPr>
              <w:t>天（日历日）</w:t>
            </w:r>
            <w:r>
              <w:rPr>
                <w:rFonts w:hint="eastAsia" w:ascii="Calibri" w:hAnsi="Calibri" w:cs="Calibri"/>
                <w:color w:val="auto"/>
                <w:sz w:val="18"/>
                <w:szCs w:val="21"/>
                <w:highlight w:val="none"/>
              </w:rPr>
              <w:t>□月□年</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3</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质量标准</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u w:val="singl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4</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保修要求</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u w:val="singl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5</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缺陷责任期</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6</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承包人履约担保金额</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7</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分包</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见分包项目情况表</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8</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逾期竣工违约金</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元/天</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9</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逾期竣工违约金最高限额</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10</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预付款额度</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11</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质量保证金额度</w:t>
            </w: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931" w:type="dxa"/>
            <w:noWrap w:val="0"/>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1278" w:type="dxa"/>
            <w:noWrap w:val="0"/>
            <w:tcMar>
              <w:left w:w="170" w:type="dxa"/>
            </w:tcMar>
            <w:vAlign w:val="center"/>
          </w:tcPr>
          <w:p>
            <w:pPr>
              <w:keepNext w:val="0"/>
              <w:keepLines w:val="0"/>
              <w:suppressLineNumbers w:val="0"/>
              <w:spacing w:before="0" w:beforeAutospacing="0" w:after="0" w:afterAutospacing="0"/>
              <w:ind w:left="0" w:right="0"/>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w:t>
            </w:r>
          </w:p>
        </w:tc>
        <w:tc>
          <w:tcPr>
            <w:tcW w:w="29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w:t>
            </w:r>
          </w:p>
        </w:tc>
        <w:tc>
          <w:tcPr>
            <w:tcW w:w="127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9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7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bl>
    <w:p>
      <w:pPr>
        <w:ind w:firstLine="404" w:firstLineChars="200"/>
        <w:rPr>
          <w:color w:val="auto"/>
          <w:szCs w:val="21"/>
          <w:highlight w:val="none"/>
          <w:u w:val="single"/>
        </w:rPr>
      </w:pPr>
      <w:r>
        <w:rPr>
          <w:bCs/>
          <w:color w:val="auto"/>
          <w:szCs w:val="21"/>
          <w:highlight w:val="none"/>
        </w:rPr>
        <w:t>投标人</w:t>
      </w:r>
      <w:r>
        <w:rPr>
          <w:color w:val="auto"/>
          <w:szCs w:val="21"/>
          <w:highlight w:val="none"/>
        </w:rPr>
        <w:t>（盖单位章）：</w:t>
      </w:r>
    </w:p>
    <w:p>
      <w:pPr>
        <w:ind w:firstLine="404" w:firstLineChars="200"/>
        <w:rPr>
          <w:color w:val="auto"/>
          <w:szCs w:val="21"/>
          <w:highlight w:val="none"/>
        </w:rPr>
      </w:pPr>
      <w:r>
        <w:rPr>
          <w:bCs/>
          <w:color w:val="auto"/>
          <w:szCs w:val="21"/>
          <w:highlight w:val="none"/>
        </w:rPr>
        <w:t>法定代表人或委托代理人</w:t>
      </w:r>
      <w:r>
        <w:rPr>
          <w:color w:val="auto"/>
          <w:szCs w:val="21"/>
          <w:highlight w:val="none"/>
        </w:rPr>
        <w:t>（签字或盖章）：</w:t>
      </w:r>
    </w:p>
    <w:p>
      <w:pPr>
        <w:rPr>
          <w:rFonts w:hint="eastAsia"/>
          <w:bCs/>
          <w:color w:val="auto"/>
          <w:szCs w:val="21"/>
          <w:highlight w:val="none"/>
        </w:rPr>
      </w:pPr>
      <w:r>
        <w:rPr>
          <w:bCs/>
          <w:color w:val="auto"/>
          <w:szCs w:val="21"/>
          <w:highlight w:val="none"/>
        </w:rPr>
        <w:t xml:space="preserve"> </w:t>
      </w:r>
      <w:r>
        <w:rPr>
          <w:rFonts w:hint="eastAsia"/>
          <w:bCs/>
          <w:color w:val="auto"/>
          <w:szCs w:val="21"/>
          <w:highlight w:val="none"/>
        </w:rPr>
        <w:t xml:space="preserve">   </w:t>
      </w:r>
      <w:r>
        <w:rPr>
          <w:bCs/>
          <w:color w:val="auto"/>
          <w:szCs w:val="21"/>
          <w:highlight w:val="none"/>
        </w:rPr>
        <w:t xml:space="preserve"> 日期：   年  月  日</w:t>
      </w:r>
      <w:bookmarkStart w:id="183" w:name="_Toc300678570"/>
    </w:p>
    <w:p>
      <w:pPr>
        <w:rPr>
          <w:rFonts w:hint="eastAsia"/>
          <w:bCs/>
          <w:color w:val="auto"/>
          <w:szCs w:val="21"/>
          <w:highlight w:val="none"/>
        </w:rPr>
      </w:pPr>
    </w:p>
    <w:p>
      <w:pPr>
        <w:snapToGrid w:val="0"/>
        <w:spacing w:line="360" w:lineRule="auto"/>
        <w:ind w:firstLine="258" w:firstLineChars="150"/>
        <w:rPr>
          <w:color w:val="auto"/>
          <w:sz w:val="18"/>
          <w:szCs w:val="21"/>
          <w:highlight w:val="none"/>
        </w:rPr>
      </w:pPr>
      <w:r>
        <w:rPr>
          <w:rFonts w:hint="eastAsia"/>
          <w:color w:val="auto"/>
          <w:sz w:val="18"/>
          <w:szCs w:val="21"/>
          <w:highlight w:val="none"/>
        </w:rPr>
        <w:t>说明</w:t>
      </w:r>
      <w:r>
        <w:rPr>
          <w:color w:val="auto"/>
          <w:sz w:val="18"/>
          <w:szCs w:val="21"/>
          <w:highlight w:val="none"/>
        </w:rPr>
        <w:t>：投标人可以在响应招标文件规定的实质性要求和条件的基础上，作出其他有利于招标人的承诺。</w:t>
      </w:r>
    </w:p>
    <w:p>
      <w:pPr>
        <w:snapToGrid w:val="0"/>
        <w:spacing w:line="360" w:lineRule="auto"/>
        <w:ind w:firstLine="344" w:firstLineChars="200"/>
        <w:rPr>
          <w:color w:val="auto"/>
          <w:sz w:val="18"/>
          <w:szCs w:val="21"/>
          <w:highlight w:val="none"/>
        </w:rPr>
      </w:pPr>
      <w:r>
        <w:rPr>
          <w:color w:val="auto"/>
          <w:sz w:val="18"/>
          <w:szCs w:val="21"/>
          <w:highlight w:val="none"/>
        </w:rPr>
        <w:t>此类承诺可在本表中予以补充填写。</w:t>
      </w:r>
    </w:p>
    <w:p>
      <w:pPr>
        <w:snapToGrid w:val="0"/>
        <w:spacing w:line="360" w:lineRule="auto"/>
        <w:ind w:firstLine="404" w:firstLineChars="200"/>
        <w:rPr>
          <w:rFonts w:hint="eastAsia"/>
          <w:color w:val="auto"/>
          <w:kern w:val="0"/>
          <w:szCs w:val="21"/>
          <w:highlight w:val="none"/>
        </w:rPr>
      </w:pPr>
      <w:r>
        <w:rPr>
          <w:rFonts w:hint="eastAsia" w:ascii="Arial" w:hAnsi="Arial" w:eastAsia="新宋体" w:cs="Arial"/>
          <w:b/>
          <w:color w:val="auto"/>
          <w:highlight w:val="none"/>
        </w:rPr>
        <w:t>注：以联合体形式投标的，本投标函附录应由联合体牵头人按上述规定填写并签署。</w:t>
      </w:r>
    </w:p>
    <w:p>
      <w:pPr>
        <w:pStyle w:val="6"/>
        <w:spacing w:line="240" w:lineRule="auto"/>
        <w:jc w:val="center"/>
        <w:rPr>
          <w:rFonts w:ascii="Times New Roman" w:hAnsi="Times New Roman" w:eastAsia="黑体"/>
          <w:b w:val="0"/>
          <w:bCs w:val="0"/>
          <w:color w:val="auto"/>
          <w:sz w:val="30"/>
          <w:highlight w:val="none"/>
        </w:rPr>
      </w:pPr>
      <w:bookmarkStart w:id="184" w:name="_Toc69199933"/>
      <w:bookmarkStart w:id="185" w:name="_Toc9178580"/>
      <w:bookmarkStart w:id="186" w:name="_Toc26479"/>
      <w:r>
        <w:rPr>
          <w:rFonts w:hint="eastAsia" w:ascii="Times New Roman" w:hAnsi="Times New Roman" w:eastAsia="黑体"/>
          <w:b w:val="0"/>
          <w:bCs w:val="0"/>
          <w:color w:val="auto"/>
          <w:sz w:val="30"/>
          <w:highlight w:val="none"/>
        </w:rPr>
        <w:br w:type="page"/>
      </w:r>
      <w:r>
        <w:rPr>
          <w:rFonts w:hint="eastAsia" w:ascii="Times New Roman" w:hAnsi="Times New Roman" w:eastAsia="黑体"/>
          <w:b w:val="0"/>
          <w:bCs w:val="0"/>
          <w:color w:val="auto"/>
          <w:sz w:val="30"/>
          <w:highlight w:val="none"/>
        </w:rPr>
        <w:t>2.</w:t>
      </w:r>
      <w:r>
        <w:rPr>
          <w:rFonts w:ascii="Times New Roman" w:hAnsi="Times New Roman" w:eastAsia="黑体"/>
          <w:b w:val="0"/>
          <w:bCs w:val="0"/>
          <w:color w:val="auto"/>
          <w:sz w:val="30"/>
          <w:highlight w:val="none"/>
        </w:rPr>
        <w:t>法定代表人身份证明</w:t>
      </w:r>
      <w:bookmarkEnd w:id="183"/>
      <w:bookmarkEnd w:id="184"/>
      <w:bookmarkEnd w:id="185"/>
      <w:bookmarkEnd w:id="186"/>
    </w:p>
    <w:p>
      <w:pPr>
        <w:widowControl/>
        <w:topLinePunct/>
        <w:spacing w:line="600" w:lineRule="atLeast"/>
        <w:ind w:firstLine="420"/>
        <w:rPr>
          <w:color w:val="auto"/>
          <w:kern w:val="0"/>
          <w:szCs w:val="21"/>
          <w:highlight w:val="none"/>
          <w:u w:val="single"/>
        </w:rPr>
      </w:pPr>
      <w:r>
        <w:rPr>
          <w:color w:val="auto"/>
          <w:kern w:val="0"/>
          <w:szCs w:val="21"/>
          <w:highlight w:val="none"/>
        </w:rPr>
        <w:t>投标人名称：</w:t>
      </w:r>
    </w:p>
    <w:p>
      <w:pPr>
        <w:widowControl/>
        <w:topLinePunct/>
        <w:spacing w:line="600" w:lineRule="atLeast"/>
        <w:ind w:firstLine="420"/>
        <w:rPr>
          <w:color w:val="auto"/>
          <w:kern w:val="0"/>
          <w:szCs w:val="21"/>
          <w:highlight w:val="none"/>
        </w:rPr>
      </w:pPr>
      <w:r>
        <w:rPr>
          <w:color w:val="auto"/>
          <w:kern w:val="0"/>
          <w:szCs w:val="21"/>
          <w:highlight w:val="none"/>
        </w:rPr>
        <w:t>单位性质：</w:t>
      </w:r>
    </w:p>
    <w:p>
      <w:pPr>
        <w:widowControl/>
        <w:topLinePunct/>
        <w:spacing w:line="600" w:lineRule="atLeast"/>
        <w:ind w:firstLine="420"/>
        <w:rPr>
          <w:color w:val="auto"/>
          <w:kern w:val="0"/>
          <w:szCs w:val="21"/>
          <w:highlight w:val="none"/>
        </w:rPr>
      </w:pPr>
      <w:r>
        <w:rPr>
          <w:color w:val="auto"/>
          <w:kern w:val="0"/>
          <w:szCs w:val="21"/>
          <w:highlight w:val="none"/>
        </w:rPr>
        <w:t>成立时间：    年   月  日</w:t>
      </w:r>
    </w:p>
    <w:p>
      <w:pPr>
        <w:widowControl/>
        <w:topLinePunct/>
        <w:spacing w:line="600" w:lineRule="atLeast"/>
        <w:ind w:firstLine="420"/>
        <w:rPr>
          <w:color w:val="auto"/>
          <w:kern w:val="0"/>
          <w:szCs w:val="21"/>
          <w:highlight w:val="none"/>
        </w:rPr>
      </w:pPr>
      <w:r>
        <w:rPr>
          <w:color w:val="auto"/>
          <w:kern w:val="0"/>
          <w:szCs w:val="21"/>
          <w:highlight w:val="none"/>
        </w:rPr>
        <w:t>经营期限：</w:t>
      </w:r>
    </w:p>
    <w:p>
      <w:pPr>
        <w:widowControl/>
        <w:topLinePunct/>
        <w:spacing w:line="600" w:lineRule="atLeast"/>
        <w:ind w:firstLine="420"/>
        <w:rPr>
          <w:color w:val="auto"/>
          <w:kern w:val="0"/>
          <w:szCs w:val="21"/>
          <w:highlight w:val="none"/>
          <w:u w:val="single"/>
        </w:rPr>
      </w:pPr>
      <w:r>
        <w:rPr>
          <w:color w:val="auto"/>
          <w:kern w:val="0"/>
          <w:szCs w:val="21"/>
          <w:highlight w:val="none"/>
        </w:rPr>
        <w:t>姓名：           性别：               年龄：                             职务：</w:t>
      </w:r>
    </w:p>
    <w:p>
      <w:pPr>
        <w:widowControl/>
        <w:topLinePunct/>
        <w:spacing w:line="600" w:lineRule="atLeast"/>
        <w:ind w:firstLine="420"/>
        <w:rPr>
          <w:color w:val="auto"/>
          <w:kern w:val="0"/>
          <w:szCs w:val="21"/>
          <w:highlight w:val="none"/>
        </w:rPr>
      </w:pPr>
      <w:r>
        <w:rPr>
          <w:color w:val="auto"/>
          <w:kern w:val="0"/>
          <w:szCs w:val="21"/>
          <w:highlight w:val="none"/>
        </w:rPr>
        <w:t>系</w:t>
      </w:r>
      <w:r>
        <w:rPr>
          <w:color w:val="auto"/>
          <w:kern w:val="0"/>
          <w:szCs w:val="21"/>
          <w:highlight w:val="none"/>
          <w:u w:val="single"/>
        </w:rPr>
        <w:t xml:space="preserve">                          </w:t>
      </w:r>
      <w:r>
        <w:rPr>
          <w:color w:val="auto"/>
          <w:kern w:val="0"/>
          <w:szCs w:val="21"/>
          <w:highlight w:val="none"/>
        </w:rPr>
        <w:t>（投标人名称）的法定代表人。</w:t>
      </w:r>
    </w:p>
    <w:p>
      <w:pPr>
        <w:widowControl/>
        <w:topLinePunct/>
        <w:spacing w:line="600" w:lineRule="atLeast"/>
        <w:ind w:firstLine="420"/>
        <w:rPr>
          <w:color w:val="auto"/>
          <w:kern w:val="0"/>
          <w:szCs w:val="21"/>
          <w:highlight w:val="none"/>
        </w:rPr>
      </w:pPr>
      <w:r>
        <w:rPr>
          <w:color w:val="auto"/>
          <w:kern w:val="0"/>
          <w:szCs w:val="21"/>
          <w:highlight w:val="none"/>
        </w:rPr>
        <w:t xml:space="preserve">    特此证明。</w:t>
      </w:r>
    </w:p>
    <w:p>
      <w:pPr>
        <w:widowControl/>
        <w:topLinePunct/>
        <w:spacing w:line="440" w:lineRule="atLeast"/>
        <w:rPr>
          <w:color w:val="auto"/>
          <w:kern w:val="0"/>
          <w:szCs w:val="21"/>
          <w:highlight w:val="none"/>
        </w:rPr>
      </w:pPr>
    </w:p>
    <w:p>
      <w:pPr>
        <w:widowControl/>
        <w:topLinePunct/>
        <w:spacing w:line="460" w:lineRule="atLeast"/>
        <w:ind w:firstLine="404" w:firstLineChars="200"/>
        <w:rPr>
          <w:color w:val="auto"/>
          <w:kern w:val="0"/>
          <w:szCs w:val="21"/>
          <w:highlight w:val="none"/>
        </w:rPr>
      </w:pPr>
      <w:r>
        <w:rPr>
          <w:color w:val="auto"/>
          <w:kern w:val="0"/>
          <w:szCs w:val="21"/>
          <w:highlight w:val="none"/>
        </w:rPr>
        <w:t>附：法定代表人身份证</w:t>
      </w:r>
      <w:r>
        <w:rPr>
          <w:rFonts w:hint="eastAsia"/>
          <w:color w:val="auto"/>
          <w:kern w:val="0"/>
          <w:szCs w:val="21"/>
          <w:highlight w:val="none"/>
        </w:rPr>
        <w:t>复印件（正面和反面）</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307" w:type="dxa"/>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Calibri" w:hAnsi="Calibri" w:cs="Calibri"/>
                <w:color w:val="auto"/>
                <w:szCs w:val="21"/>
                <w:highlight w:val="none"/>
              </w:rPr>
            </w:pPr>
          </w:p>
        </w:tc>
      </w:tr>
    </w:tbl>
    <w:p>
      <w:pPr>
        <w:widowControl/>
        <w:topLinePunct/>
        <w:spacing w:line="440" w:lineRule="atLeast"/>
        <w:ind w:firstLine="2879"/>
        <w:rPr>
          <w:color w:val="auto"/>
          <w:kern w:val="0"/>
          <w:szCs w:val="21"/>
          <w:highlight w:val="none"/>
        </w:rPr>
      </w:pPr>
    </w:p>
    <w:p>
      <w:pPr>
        <w:widowControl/>
        <w:topLinePunct/>
        <w:spacing w:line="440" w:lineRule="atLeast"/>
        <w:rPr>
          <w:color w:val="auto"/>
          <w:kern w:val="0"/>
          <w:szCs w:val="21"/>
          <w:highlight w:val="none"/>
        </w:rPr>
      </w:pPr>
      <w:r>
        <w:rPr>
          <w:color w:val="auto"/>
          <w:kern w:val="0"/>
          <w:szCs w:val="21"/>
          <w:highlight w:val="none"/>
        </w:rPr>
        <w:t xml:space="preserve">              投标人：（盖单位章）</w:t>
      </w:r>
    </w:p>
    <w:p>
      <w:pPr>
        <w:widowControl/>
        <w:topLinePunct/>
        <w:spacing w:line="440" w:lineRule="atLeast"/>
        <w:rPr>
          <w:color w:val="auto"/>
          <w:kern w:val="0"/>
          <w:szCs w:val="21"/>
          <w:highlight w:val="none"/>
        </w:rPr>
      </w:pPr>
    </w:p>
    <w:p>
      <w:pPr>
        <w:widowControl/>
        <w:topLinePunct/>
        <w:spacing w:line="440" w:lineRule="atLeast"/>
        <w:ind w:firstLine="3030" w:firstLineChars="1500"/>
        <w:jc w:val="right"/>
        <w:rPr>
          <w:color w:val="auto"/>
          <w:kern w:val="0"/>
          <w:szCs w:val="21"/>
          <w:highlight w:val="none"/>
        </w:rPr>
      </w:pPr>
      <w:r>
        <w:rPr>
          <w:color w:val="auto"/>
          <w:kern w:val="0"/>
          <w:szCs w:val="21"/>
          <w:highlight w:val="none"/>
        </w:rPr>
        <w:t xml:space="preserve">     年   月   日</w:t>
      </w:r>
      <w:bookmarkStart w:id="187" w:name="_Toc300678571"/>
    </w:p>
    <w:p>
      <w:pPr>
        <w:widowControl/>
        <w:topLinePunct/>
        <w:snapToGrid w:val="0"/>
        <w:jc w:val="left"/>
        <w:rPr>
          <w:bCs/>
          <w:color w:val="auto"/>
          <w:kern w:val="0"/>
          <w:highlight w:val="none"/>
        </w:rPr>
      </w:pPr>
      <w:r>
        <w:rPr>
          <w:rFonts w:hint="eastAsia"/>
          <w:color w:val="auto"/>
          <w:kern w:val="0"/>
          <w:highlight w:val="none"/>
        </w:rPr>
        <w:t>说明：</w:t>
      </w:r>
      <w:r>
        <w:rPr>
          <w:rFonts w:hint="eastAsia"/>
          <w:color w:val="auto"/>
          <w:highlight w:val="none"/>
        </w:rPr>
        <w:t xml:space="preserve"> </w:t>
      </w:r>
      <w:r>
        <w:rPr>
          <w:rFonts w:hint="eastAsia"/>
          <w:bCs/>
          <w:color w:val="auto"/>
          <w:kern w:val="0"/>
          <w:highlight w:val="none"/>
        </w:rPr>
        <w:t>以联合体形式投标的，本法定代表人身份证明应由联合体牵头人按上述规定填写并签署。</w:t>
      </w:r>
    </w:p>
    <w:p>
      <w:pPr>
        <w:widowControl/>
        <w:topLinePunct/>
        <w:spacing w:line="440" w:lineRule="atLeast"/>
        <w:ind w:firstLine="606" w:firstLineChars="300"/>
        <w:jc w:val="left"/>
        <w:rPr>
          <w:rFonts w:hint="eastAsia"/>
          <w:bCs/>
          <w:color w:val="auto"/>
          <w:kern w:val="0"/>
          <w:highlight w:val="none"/>
          <w:u w:val="single"/>
        </w:rPr>
      </w:pPr>
    </w:p>
    <w:p>
      <w:pPr>
        <w:pStyle w:val="6"/>
        <w:jc w:val="center"/>
        <w:rPr>
          <w:rFonts w:ascii="Times New Roman" w:hAnsi="Times New Roman" w:eastAsia="黑体"/>
          <w:b w:val="0"/>
          <w:bCs w:val="0"/>
          <w:color w:val="auto"/>
          <w:sz w:val="30"/>
          <w:highlight w:val="none"/>
        </w:rPr>
      </w:pPr>
      <w:bookmarkStart w:id="188" w:name="_Toc11820"/>
      <w:bookmarkStart w:id="189" w:name="_Toc69199934"/>
      <w:bookmarkStart w:id="190" w:name="_Toc9178581"/>
      <w:r>
        <w:rPr>
          <w:rFonts w:hint="eastAsia" w:ascii="Times New Roman" w:hAnsi="Times New Roman" w:eastAsia="黑体"/>
          <w:b w:val="0"/>
          <w:bCs w:val="0"/>
          <w:color w:val="auto"/>
          <w:sz w:val="30"/>
          <w:highlight w:val="none"/>
        </w:rPr>
        <w:t>3.</w:t>
      </w:r>
      <w:r>
        <w:rPr>
          <w:rFonts w:ascii="Times New Roman" w:hAnsi="Times New Roman" w:eastAsia="黑体"/>
          <w:b w:val="0"/>
          <w:bCs w:val="0"/>
          <w:color w:val="auto"/>
          <w:sz w:val="30"/>
          <w:highlight w:val="none"/>
        </w:rPr>
        <w:t>授权委托书</w:t>
      </w:r>
      <w:bookmarkEnd w:id="187"/>
      <w:bookmarkEnd w:id="188"/>
      <w:bookmarkEnd w:id="189"/>
      <w:bookmarkEnd w:id="190"/>
    </w:p>
    <w:p>
      <w:pPr>
        <w:widowControl/>
        <w:topLinePunct/>
        <w:spacing w:line="440" w:lineRule="exact"/>
        <w:ind w:firstLine="404" w:firstLineChars="200"/>
        <w:rPr>
          <w:color w:val="auto"/>
          <w:kern w:val="0"/>
          <w:szCs w:val="21"/>
          <w:highlight w:val="none"/>
        </w:rPr>
      </w:pPr>
      <w:r>
        <w:rPr>
          <w:color w:val="auto"/>
          <w:kern w:val="0"/>
          <w:szCs w:val="21"/>
          <w:highlight w:val="none"/>
        </w:rPr>
        <w:t>本人</w:t>
      </w:r>
      <w:r>
        <w:rPr>
          <w:color w:val="auto"/>
          <w:kern w:val="0"/>
          <w:szCs w:val="21"/>
          <w:highlight w:val="none"/>
          <w:u w:val="single"/>
        </w:rPr>
        <w:t xml:space="preserve">     </w:t>
      </w:r>
      <w:r>
        <w:rPr>
          <w:color w:val="auto"/>
          <w:kern w:val="0"/>
          <w:szCs w:val="21"/>
          <w:highlight w:val="none"/>
        </w:rPr>
        <w:t>（姓名）系</w:t>
      </w:r>
      <w:r>
        <w:rPr>
          <w:color w:val="auto"/>
          <w:kern w:val="0"/>
          <w:szCs w:val="21"/>
          <w:highlight w:val="none"/>
          <w:u w:val="single"/>
        </w:rPr>
        <w:t xml:space="preserve">     </w:t>
      </w:r>
      <w:r>
        <w:rPr>
          <w:color w:val="auto"/>
          <w:kern w:val="0"/>
          <w:szCs w:val="21"/>
          <w:highlight w:val="none"/>
        </w:rPr>
        <w:t>（投标人名称）的法定代表人，现委托</w:t>
      </w:r>
      <w:r>
        <w:rPr>
          <w:color w:val="auto"/>
          <w:kern w:val="0"/>
          <w:szCs w:val="21"/>
          <w:highlight w:val="none"/>
          <w:u w:val="single"/>
        </w:rPr>
        <w:t xml:space="preserve">    </w:t>
      </w:r>
      <w:r>
        <w:rPr>
          <w:color w:val="auto"/>
          <w:kern w:val="0"/>
          <w:szCs w:val="21"/>
          <w:highlight w:val="none"/>
        </w:rPr>
        <w:t>（姓名）为我方代理人。代理人根据授权，以我方名义签署、澄清、说明、补正、递交、撤回、修改</w:t>
      </w:r>
      <w:r>
        <w:rPr>
          <w:color w:val="auto"/>
          <w:kern w:val="0"/>
          <w:szCs w:val="21"/>
          <w:highlight w:val="none"/>
          <w:u w:val="single"/>
        </w:rPr>
        <w:t xml:space="preserve">    </w:t>
      </w:r>
      <w:r>
        <w:rPr>
          <w:color w:val="auto"/>
          <w:kern w:val="0"/>
          <w:szCs w:val="21"/>
          <w:highlight w:val="none"/>
        </w:rPr>
        <w:t>（</w:t>
      </w:r>
      <w:r>
        <w:rPr>
          <w:rFonts w:hint="eastAsia"/>
          <w:color w:val="auto"/>
          <w:kern w:val="0"/>
          <w:szCs w:val="21"/>
          <w:highlight w:val="none"/>
        </w:rPr>
        <w:t>招标</w:t>
      </w:r>
      <w:r>
        <w:rPr>
          <w:color w:val="auto"/>
          <w:kern w:val="0"/>
          <w:szCs w:val="21"/>
          <w:highlight w:val="none"/>
        </w:rPr>
        <w:t>项目</w:t>
      </w:r>
      <w:r>
        <w:rPr>
          <w:rFonts w:hint="eastAsia"/>
          <w:color w:val="auto"/>
          <w:kern w:val="0"/>
          <w:szCs w:val="21"/>
          <w:highlight w:val="none"/>
        </w:rPr>
        <w:t>及标段</w:t>
      </w:r>
      <w:r>
        <w:rPr>
          <w:color w:val="auto"/>
          <w:kern w:val="0"/>
          <w:szCs w:val="21"/>
          <w:highlight w:val="none"/>
        </w:rPr>
        <w:t>）</w:t>
      </w:r>
      <w:r>
        <w:rPr>
          <w:color w:val="auto"/>
          <w:kern w:val="0"/>
          <w:szCs w:val="21"/>
          <w:highlight w:val="none"/>
          <w:u w:val="single"/>
        </w:rPr>
        <w:t xml:space="preserve">  </w:t>
      </w:r>
      <w:r>
        <w:rPr>
          <w:rFonts w:hint="eastAsia"/>
          <w:color w:val="auto"/>
          <w:kern w:val="0"/>
          <w:szCs w:val="21"/>
          <w:highlight w:val="none"/>
        </w:rPr>
        <w:t>工程总承包</w:t>
      </w:r>
      <w:r>
        <w:rPr>
          <w:color w:val="auto"/>
          <w:kern w:val="0"/>
          <w:szCs w:val="21"/>
          <w:highlight w:val="none"/>
        </w:rPr>
        <w:t>招标投标文件，其法律后果由我方承担。</w:t>
      </w:r>
    </w:p>
    <w:p>
      <w:pPr>
        <w:widowControl/>
        <w:topLinePunct/>
        <w:spacing w:line="440" w:lineRule="exact"/>
        <w:ind w:firstLine="404" w:firstLineChars="200"/>
        <w:rPr>
          <w:color w:val="auto"/>
          <w:kern w:val="0"/>
          <w:szCs w:val="21"/>
          <w:highlight w:val="none"/>
          <w:u w:val="single"/>
        </w:rPr>
      </w:pPr>
      <w:r>
        <w:rPr>
          <w:color w:val="auto"/>
          <w:kern w:val="0"/>
          <w:szCs w:val="21"/>
          <w:highlight w:val="none"/>
        </w:rPr>
        <w:t>委托期限：</w:t>
      </w:r>
      <w:r>
        <w:rPr>
          <w:color w:val="auto"/>
          <w:kern w:val="0"/>
          <w:szCs w:val="21"/>
          <w:highlight w:val="none"/>
          <w:u w:val="single"/>
        </w:rPr>
        <w:t xml:space="preserve">                    </w:t>
      </w:r>
      <w:r>
        <w:rPr>
          <w:color w:val="auto"/>
          <w:kern w:val="0"/>
          <w:szCs w:val="21"/>
          <w:highlight w:val="none"/>
        </w:rPr>
        <w:t>。</w:t>
      </w:r>
    </w:p>
    <w:p>
      <w:pPr>
        <w:widowControl/>
        <w:topLinePunct/>
        <w:spacing w:line="440" w:lineRule="exact"/>
        <w:ind w:firstLine="404" w:firstLineChars="200"/>
        <w:rPr>
          <w:color w:val="auto"/>
          <w:kern w:val="0"/>
          <w:szCs w:val="21"/>
          <w:highlight w:val="none"/>
        </w:rPr>
      </w:pPr>
      <w:r>
        <w:rPr>
          <w:color w:val="auto"/>
          <w:kern w:val="0"/>
          <w:szCs w:val="21"/>
          <w:highlight w:val="none"/>
        </w:rPr>
        <w:t>代理人无转委托权。</w:t>
      </w:r>
    </w:p>
    <w:p>
      <w:pPr>
        <w:widowControl/>
        <w:topLinePunct/>
        <w:spacing w:line="440" w:lineRule="exact"/>
        <w:ind w:firstLine="610"/>
        <w:rPr>
          <w:color w:val="auto"/>
          <w:kern w:val="0"/>
          <w:szCs w:val="21"/>
          <w:highlight w:val="none"/>
        </w:rPr>
      </w:pPr>
      <w:r>
        <w:rPr>
          <w:color w:val="auto"/>
          <w:kern w:val="0"/>
          <w:szCs w:val="21"/>
          <w:highlight w:val="none"/>
        </w:rPr>
        <w:t>附：法定代表人及委托代理人身份证</w:t>
      </w:r>
      <w:r>
        <w:rPr>
          <w:rFonts w:hint="eastAsia"/>
          <w:color w:val="auto"/>
          <w:kern w:val="0"/>
          <w:szCs w:val="21"/>
          <w:highlight w:val="none"/>
        </w:rPr>
        <w:t>复印件（正面和反面）</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trPr>
        <w:tc>
          <w:tcPr>
            <w:tcW w:w="8307" w:type="dxa"/>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Calibri" w:hAnsi="Calibri" w:cs="Calibri"/>
                <w:color w:val="auto"/>
                <w:szCs w:val="21"/>
                <w:highlight w:val="none"/>
              </w:rPr>
            </w:pPr>
          </w:p>
        </w:tc>
      </w:tr>
    </w:tbl>
    <w:p>
      <w:pPr>
        <w:widowControl/>
        <w:topLinePunct/>
        <w:spacing w:line="440" w:lineRule="atLeast"/>
        <w:ind w:firstLine="610"/>
        <w:rPr>
          <w:color w:val="auto"/>
          <w:kern w:val="0"/>
          <w:szCs w:val="21"/>
          <w:highlight w:val="none"/>
        </w:rPr>
      </w:pP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6" w:hRule="atLeast"/>
        </w:trPr>
        <w:tc>
          <w:tcPr>
            <w:tcW w:w="8307" w:type="dxa"/>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Calibri" w:hAnsi="Calibri" w:cs="Calibri"/>
                <w:color w:val="auto"/>
                <w:szCs w:val="21"/>
                <w:highlight w:val="none"/>
              </w:rPr>
            </w:pPr>
          </w:p>
        </w:tc>
      </w:tr>
    </w:tbl>
    <w:p>
      <w:pPr>
        <w:widowControl/>
        <w:topLinePunct/>
        <w:spacing w:line="440" w:lineRule="atLeast"/>
        <w:ind w:firstLine="2879"/>
        <w:rPr>
          <w:color w:val="auto"/>
          <w:kern w:val="0"/>
          <w:szCs w:val="21"/>
          <w:highlight w:val="none"/>
        </w:rPr>
      </w:pPr>
    </w:p>
    <w:p>
      <w:pPr>
        <w:widowControl/>
        <w:topLinePunct/>
        <w:spacing w:line="440" w:lineRule="atLeast"/>
        <w:ind w:firstLine="0"/>
        <w:jc w:val="left"/>
        <w:rPr>
          <w:color w:val="auto"/>
          <w:kern w:val="0"/>
          <w:szCs w:val="21"/>
          <w:highlight w:val="none"/>
        </w:rPr>
      </w:pPr>
      <w:r>
        <w:rPr>
          <w:color w:val="auto"/>
          <w:kern w:val="0"/>
          <w:szCs w:val="21"/>
          <w:highlight w:val="none"/>
        </w:rPr>
        <w:t>投标人：（盖单位章）</w:t>
      </w:r>
    </w:p>
    <w:p>
      <w:pPr>
        <w:widowControl/>
        <w:topLinePunct/>
        <w:spacing w:line="440" w:lineRule="atLeast"/>
        <w:ind w:firstLine="0"/>
        <w:rPr>
          <w:color w:val="auto"/>
          <w:kern w:val="0"/>
          <w:szCs w:val="21"/>
          <w:highlight w:val="none"/>
        </w:rPr>
      </w:pPr>
      <w:r>
        <w:rPr>
          <w:color w:val="auto"/>
          <w:kern w:val="0"/>
          <w:szCs w:val="21"/>
          <w:highlight w:val="none"/>
        </w:rPr>
        <w:t>法定代表人：（签字</w:t>
      </w:r>
      <w:r>
        <w:rPr>
          <w:rFonts w:hint="eastAsia" w:ascii="宋体" w:hAnsi="宋体"/>
          <w:color w:val="auto"/>
          <w:szCs w:val="21"/>
          <w:highlight w:val="none"/>
        </w:rPr>
        <w:t>或盖章</w:t>
      </w:r>
      <w:r>
        <w:rPr>
          <w:color w:val="auto"/>
          <w:kern w:val="0"/>
          <w:szCs w:val="21"/>
          <w:highlight w:val="none"/>
        </w:rPr>
        <w:t>）</w:t>
      </w:r>
    </w:p>
    <w:p>
      <w:pPr>
        <w:widowControl/>
        <w:topLinePunct/>
        <w:spacing w:line="440" w:lineRule="atLeast"/>
        <w:ind w:firstLine="0"/>
        <w:rPr>
          <w:color w:val="auto"/>
          <w:kern w:val="0"/>
          <w:szCs w:val="21"/>
          <w:highlight w:val="none"/>
        </w:rPr>
      </w:pPr>
      <w:r>
        <w:rPr>
          <w:color w:val="auto"/>
          <w:kern w:val="0"/>
          <w:szCs w:val="21"/>
          <w:highlight w:val="none"/>
        </w:rPr>
        <w:t>委托代理人：（签字</w:t>
      </w:r>
      <w:r>
        <w:rPr>
          <w:rFonts w:hint="eastAsia" w:ascii="宋体" w:hAnsi="宋体"/>
          <w:color w:val="auto"/>
          <w:szCs w:val="21"/>
          <w:highlight w:val="none"/>
        </w:rPr>
        <w:t>或盖章</w:t>
      </w:r>
      <w:r>
        <w:rPr>
          <w:color w:val="auto"/>
          <w:kern w:val="0"/>
          <w:szCs w:val="21"/>
          <w:highlight w:val="none"/>
        </w:rPr>
        <w:t>）</w:t>
      </w:r>
    </w:p>
    <w:p>
      <w:pPr>
        <w:widowControl/>
        <w:topLinePunct/>
        <w:spacing w:line="440" w:lineRule="atLeast"/>
        <w:ind w:left="1836" w:firstLine="3204"/>
        <w:jc w:val="right"/>
        <w:rPr>
          <w:color w:val="auto"/>
          <w:kern w:val="0"/>
          <w:highlight w:val="none"/>
        </w:rPr>
      </w:pPr>
      <w:r>
        <w:rPr>
          <w:color w:val="auto"/>
          <w:kern w:val="0"/>
          <w:szCs w:val="21"/>
          <w:highlight w:val="none"/>
        </w:rPr>
        <w:t>年  月  日</w:t>
      </w:r>
    </w:p>
    <w:p>
      <w:pPr>
        <w:widowControl/>
        <w:topLinePunct/>
        <w:snapToGrid w:val="0"/>
        <w:jc w:val="left"/>
        <w:rPr>
          <w:bCs/>
          <w:dstrike/>
          <w:color w:val="auto"/>
          <w:kern w:val="0"/>
          <w:highlight w:val="none"/>
        </w:rPr>
        <w:sectPr>
          <w:pgSz w:w="11906" w:h="16838"/>
          <w:pgMar w:top="1588" w:right="1588" w:bottom="1531" w:left="1588" w:header="1134" w:footer="851" w:gutter="0"/>
          <w:pgNumType w:fmt="decimal"/>
          <w:cols w:space="720" w:num="1"/>
          <w:docGrid w:type="linesAndChars" w:linePitch="574" w:charSpace="-1683"/>
        </w:sectPr>
      </w:pPr>
      <w:bookmarkStart w:id="191" w:name="_Toc300678572"/>
    </w:p>
    <w:p>
      <w:pPr>
        <w:pStyle w:val="6"/>
        <w:spacing w:before="0" w:after="0" w:line="360" w:lineRule="auto"/>
        <w:jc w:val="center"/>
        <w:rPr>
          <w:rFonts w:ascii="Times New Roman" w:hAnsi="Times New Roman" w:eastAsia="黑体"/>
          <w:b w:val="0"/>
          <w:bCs w:val="0"/>
          <w:color w:val="auto"/>
          <w:sz w:val="30"/>
          <w:highlight w:val="none"/>
        </w:rPr>
      </w:pPr>
      <w:bookmarkStart w:id="192" w:name="_Toc9178582"/>
      <w:bookmarkStart w:id="193" w:name="_Toc69199935"/>
      <w:bookmarkStart w:id="194" w:name="_Toc4745"/>
      <w:r>
        <w:rPr>
          <w:rFonts w:hint="eastAsia" w:ascii="Times New Roman" w:hAnsi="Times New Roman" w:eastAsia="黑体"/>
          <w:b w:val="0"/>
          <w:bCs w:val="0"/>
          <w:color w:val="auto"/>
          <w:sz w:val="30"/>
          <w:highlight w:val="none"/>
        </w:rPr>
        <w:t>4.</w:t>
      </w:r>
      <w:r>
        <w:rPr>
          <w:rFonts w:ascii="Times New Roman" w:hAnsi="Times New Roman" w:eastAsia="黑体"/>
          <w:b w:val="0"/>
          <w:bCs w:val="0"/>
          <w:color w:val="auto"/>
          <w:sz w:val="30"/>
          <w:highlight w:val="none"/>
        </w:rPr>
        <w:t>联合体协议书</w:t>
      </w:r>
      <w:bookmarkEnd w:id="191"/>
      <w:bookmarkEnd w:id="192"/>
      <w:r>
        <w:rPr>
          <w:rFonts w:hint="eastAsia" w:ascii="黑体" w:hAnsi="黑体" w:eastAsia="黑体"/>
          <w:color w:val="auto"/>
          <w:sz w:val="24"/>
          <w:highlight w:val="none"/>
        </w:rPr>
        <w:t>（</w:t>
      </w:r>
      <w:r>
        <w:rPr>
          <w:rFonts w:ascii="黑体" w:hAnsi="黑体" w:eastAsia="黑体"/>
          <w:color w:val="auto"/>
          <w:sz w:val="24"/>
          <w:highlight w:val="none"/>
        </w:rPr>
        <w:sym w:font="Wingdings 2" w:char="0052"/>
      </w:r>
      <w:r>
        <w:rPr>
          <w:rFonts w:hint="eastAsia" w:ascii="黑体" w:hAnsi="黑体" w:eastAsia="黑体"/>
          <w:color w:val="auto"/>
          <w:sz w:val="24"/>
          <w:highlight w:val="none"/>
          <w:lang w:eastAsia="zh-CN"/>
        </w:rPr>
        <w:t>联合体投标适用</w:t>
      </w:r>
      <w:r>
        <w:rPr>
          <w:rFonts w:hint="eastAsia" w:ascii="黑体" w:hAnsi="黑体" w:eastAsia="黑体"/>
          <w:color w:val="auto"/>
          <w:sz w:val="24"/>
          <w:highlight w:val="none"/>
        </w:rPr>
        <w:t>）</w:t>
      </w:r>
      <w:bookmarkEnd w:id="193"/>
      <w:bookmarkEnd w:id="194"/>
    </w:p>
    <w:p>
      <w:pPr>
        <w:snapToGrid w:val="0"/>
        <w:spacing w:line="360" w:lineRule="auto"/>
        <w:rPr>
          <w:color w:val="auto"/>
          <w:szCs w:val="21"/>
          <w:highlight w:val="none"/>
        </w:rPr>
      </w:pPr>
      <w:r>
        <w:rPr>
          <w:color w:val="auto"/>
          <w:szCs w:val="21"/>
          <w:highlight w:val="none"/>
        </w:rPr>
        <w:t>牵头人名称：</w:t>
      </w:r>
    </w:p>
    <w:p>
      <w:pPr>
        <w:snapToGrid w:val="0"/>
        <w:spacing w:line="360" w:lineRule="auto"/>
        <w:rPr>
          <w:color w:val="auto"/>
          <w:szCs w:val="21"/>
          <w:highlight w:val="none"/>
        </w:rPr>
      </w:pPr>
      <w:r>
        <w:rPr>
          <w:color w:val="auto"/>
          <w:szCs w:val="21"/>
          <w:highlight w:val="none"/>
        </w:rPr>
        <w:t>法定代表人：</w:t>
      </w:r>
    </w:p>
    <w:p>
      <w:pPr>
        <w:snapToGrid w:val="0"/>
        <w:spacing w:line="360" w:lineRule="auto"/>
        <w:rPr>
          <w:color w:val="auto"/>
          <w:szCs w:val="21"/>
          <w:highlight w:val="none"/>
        </w:rPr>
      </w:pPr>
      <w:r>
        <w:rPr>
          <w:color w:val="auto"/>
          <w:szCs w:val="21"/>
          <w:highlight w:val="none"/>
        </w:rPr>
        <w:t>法定住所：</w:t>
      </w:r>
    </w:p>
    <w:p>
      <w:pPr>
        <w:snapToGrid w:val="0"/>
        <w:spacing w:line="360" w:lineRule="auto"/>
        <w:rPr>
          <w:color w:val="auto"/>
          <w:szCs w:val="21"/>
          <w:highlight w:val="none"/>
        </w:rPr>
      </w:pPr>
      <w:r>
        <w:rPr>
          <w:color w:val="auto"/>
          <w:szCs w:val="21"/>
          <w:highlight w:val="none"/>
        </w:rPr>
        <w:t>成员二名称：</w:t>
      </w:r>
    </w:p>
    <w:p>
      <w:pPr>
        <w:snapToGrid w:val="0"/>
        <w:spacing w:line="360" w:lineRule="auto"/>
        <w:rPr>
          <w:color w:val="auto"/>
          <w:szCs w:val="21"/>
          <w:highlight w:val="none"/>
        </w:rPr>
      </w:pPr>
      <w:r>
        <w:rPr>
          <w:color w:val="auto"/>
          <w:szCs w:val="21"/>
          <w:highlight w:val="none"/>
        </w:rPr>
        <w:t>法定代表人：</w:t>
      </w:r>
    </w:p>
    <w:p>
      <w:pPr>
        <w:snapToGrid w:val="0"/>
        <w:spacing w:line="360" w:lineRule="auto"/>
        <w:rPr>
          <w:color w:val="auto"/>
          <w:szCs w:val="21"/>
          <w:highlight w:val="none"/>
          <w:u w:val="single"/>
        </w:rPr>
      </w:pPr>
      <w:r>
        <w:rPr>
          <w:color w:val="auto"/>
          <w:szCs w:val="21"/>
          <w:highlight w:val="none"/>
        </w:rPr>
        <w:t>法定住所：</w:t>
      </w:r>
    </w:p>
    <w:p>
      <w:pPr>
        <w:snapToGrid w:val="0"/>
        <w:spacing w:line="360" w:lineRule="auto"/>
        <w:ind w:firstLine="525" w:firstLineChars="250"/>
        <w:rPr>
          <w:color w:val="auto"/>
          <w:szCs w:val="21"/>
          <w:highlight w:val="none"/>
        </w:rPr>
      </w:pPr>
      <w:r>
        <w:rPr>
          <w:color w:val="auto"/>
          <w:szCs w:val="21"/>
          <w:highlight w:val="none"/>
        </w:rPr>
        <w:t>……</w:t>
      </w:r>
    </w:p>
    <w:p>
      <w:pPr>
        <w:snapToGrid w:val="0"/>
        <w:spacing w:line="360" w:lineRule="auto"/>
        <w:ind w:firstLine="420" w:firstLineChars="200"/>
        <w:rPr>
          <w:color w:val="auto"/>
          <w:szCs w:val="21"/>
          <w:highlight w:val="none"/>
        </w:rPr>
      </w:pPr>
      <w:r>
        <w:rPr>
          <w:color w:val="auto"/>
          <w:szCs w:val="21"/>
          <w:highlight w:val="none"/>
        </w:rPr>
        <w:t>鉴于上述各成员单位经过友好协商，自愿组成联合体，共同参加</w:t>
      </w:r>
      <w:r>
        <w:rPr>
          <w:color w:val="auto"/>
          <w:szCs w:val="21"/>
          <w:highlight w:val="none"/>
          <w:u w:val="single"/>
        </w:rPr>
        <w:t xml:space="preserve">              </w:t>
      </w:r>
      <w:r>
        <w:rPr>
          <w:color w:val="auto"/>
          <w:szCs w:val="21"/>
          <w:highlight w:val="none"/>
        </w:rPr>
        <w:t>（招标人名称）（以下简称招标人）</w:t>
      </w:r>
      <w:r>
        <w:rPr>
          <w:color w:val="auto"/>
          <w:szCs w:val="21"/>
          <w:highlight w:val="none"/>
          <w:u w:val="single"/>
        </w:rPr>
        <w:t xml:space="preserve">     </w:t>
      </w:r>
      <w:r>
        <w:rPr>
          <w:color w:val="auto"/>
          <w:szCs w:val="21"/>
          <w:highlight w:val="none"/>
        </w:rPr>
        <w:t>（</w:t>
      </w:r>
      <w:r>
        <w:rPr>
          <w:rFonts w:hint="eastAsia"/>
          <w:color w:val="auto"/>
          <w:szCs w:val="21"/>
          <w:highlight w:val="none"/>
        </w:rPr>
        <w:t>招标</w:t>
      </w:r>
      <w:r>
        <w:rPr>
          <w:color w:val="auto"/>
          <w:szCs w:val="21"/>
          <w:highlight w:val="none"/>
        </w:rPr>
        <w:t>项目</w:t>
      </w:r>
      <w:r>
        <w:rPr>
          <w:rFonts w:hint="eastAsia"/>
          <w:color w:val="auto"/>
          <w:szCs w:val="21"/>
          <w:highlight w:val="none"/>
        </w:rPr>
        <w:t>及标段</w:t>
      </w:r>
      <w:r>
        <w:rPr>
          <w:color w:val="auto"/>
          <w:szCs w:val="21"/>
          <w:highlight w:val="none"/>
        </w:rPr>
        <w:t>）（以下简称本</w:t>
      </w:r>
      <w:r>
        <w:rPr>
          <w:rFonts w:hint="eastAsia"/>
          <w:color w:val="auto"/>
          <w:szCs w:val="21"/>
          <w:highlight w:val="none"/>
        </w:rPr>
        <w:t>招标项目</w:t>
      </w:r>
      <w:r>
        <w:rPr>
          <w:color w:val="auto"/>
          <w:szCs w:val="21"/>
          <w:highlight w:val="none"/>
        </w:rPr>
        <w:t>）的</w:t>
      </w:r>
      <w:r>
        <w:rPr>
          <w:rFonts w:hint="eastAsia"/>
          <w:color w:val="auto"/>
          <w:szCs w:val="21"/>
          <w:highlight w:val="none"/>
        </w:rPr>
        <w:t>工程总承包</w:t>
      </w:r>
      <w:r>
        <w:rPr>
          <w:color w:val="auto"/>
          <w:szCs w:val="21"/>
          <w:highlight w:val="none"/>
        </w:rPr>
        <w:t>投标并争取赢得本工程</w:t>
      </w:r>
      <w:r>
        <w:rPr>
          <w:rFonts w:hint="eastAsia"/>
          <w:color w:val="auto"/>
          <w:szCs w:val="21"/>
          <w:highlight w:val="none"/>
        </w:rPr>
        <w:t>总</w:t>
      </w:r>
      <w:r>
        <w:rPr>
          <w:color w:val="auto"/>
          <w:szCs w:val="21"/>
          <w:highlight w:val="none"/>
        </w:rPr>
        <w:t>承包合同（以下简称合同）。现就联合体投标事宜订立如下协议：</w:t>
      </w:r>
    </w:p>
    <w:p>
      <w:pPr>
        <w:snapToGrid w:val="0"/>
        <w:spacing w:line="360" w:lineRule="auto"/>
        <w:ind w:firstLine="420" w:firstLineChars="200"/>
        <w:rPr>
          <w:color w:val="auto"/>
          <w:szCs w:val="21"/>
          <w:highlight w:val="none"/>
        </w:rPr>
      </w:pPr>
      <w:r>
        <w:rPr>
          <w:color w:val="auto"/>
          <w:szCs w:val="21"/>
          <w:highlight w:val="none"/>
        </w:rPr>
        <w:t>1．</w:t>
      </w:r>
      <w:r>
        <w:rPr>
          <w:color w:val="auto"/>
          <w:szCs w:val="21"/>
          <w:highlight w:val="none"/>
          <w:u w:val="single"/>
        </w:rPr>
        <w:t xml:space="preserve">                </w:t>
      </w:r>
      <w:r>
        <w:rPr>
          <w:color w:val="auto"/>
          <w:szCs w:val="21"/>
          <w:highlight w:val="none"/>
        </w:rPr>
        <w:t>（某成员单位名称）为牵头人。</w:t>
      </w:r>
    </w:p>
    <w:p>
      <w:pPr>
        <w:snapToGrid w:val="0"/>
        <w:spacing w:line="360" w:lineRule="auto"/>
        <w:ind w:firstLine="420" w:firstLineChars="200"/>
        <w:rPr>
          <w:color w:val="auto"/>
          <w:szCs w:val="21"/>
          <w:highlight w:val="none"/>
        </w:rPr>
      </w:pPr>
      <w:r>
        <w:rPr>
          <w:color w:val="auto"/>
          <w:szCs w:val="21"/>
          <w:highlight w:val="none"/>
        </w:rPr>
        <w:t>2．在本</w:t>
      </w:r>
      <w:r>
        <w:rPr>
          <w:rFonts w:hint="eastAsia"/>
          <w:color w:val="auto"/>
          <w:szCs w:val="21"/>
          <w:highlight w:val="none"/>
        </w:rPr>
        <w:t>招标项目</w:t>
      </w:r>
      <w:r>
        <w:rPr>
          <w:color w:val="auto"/>
          <w:szCs w:val="21"/>
          <w:highlight w:val="none"/>
        </w:rPr>
        <w:t>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napToGrid w:val="0"/>
        <w:spacing w:line="360" w:lineRule="auto"/>
        <w:ind w:firstLine="420" w:firstLineChars="200"/>
        <w:rPr>
          <w:color w:val="auto"/>
          <w:szCs w:val="21"/>
          <w:highlight w:val="none"/>
        </w:rPr>
      </w:pPr>
      <w:r>
        <w:rPr>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napToGrid w:val="0"/>
        <w:spacing w:line="360" w:lineRule="auto"/>
        <w:ind w:firstLine="420" w:firstLineChars="200"/>
        <w:rPr>
          <w:color w:val="auto"/>
          <w:szCs w:val="21"/>
          <w:highlight w:val="none"/>
        </w:rPr>
      </w:pPr>
      <w:r>
        <w:rPr>
          <w:color w:val="auto"/>
          <w:szCs w:val="21"/>
          <w:highlight w:val="none"/>
        </w:rPr>
        <w:t>4．联合体各成员单位内部的职责分工如下：</w:t>
      </w:r>
      <w:r>
        <w:rPr>
          <w:color w:val="auto"/>
          <w:szCs w:val="21"/>
          <w:highlight w:val="none"/>
          <w:u w:val="single"/>
        </w:rPr>
        <w:t xml:space="preserve">                </w:t>
      </w:r>
      <w:r>
        <w:rPr>
          <w:color w:val="auto"/>
          <w:szCs w:val="21"/>
          <w:highlight w:val="none"/>
        </w:rPr>
        <w:t>。按照本条上述分工，联合体成员单位各自所承担的合同工作量比例如下：</w:t>
      </w:r>
      <w:r>
        <w:rPr>
          <w:color w:val="auto"/>
          <w:szCs w:val="21"/>
          <w:highlight w:val="none"/>
          <w:u w:val="single"/>
        </w:rPr>
        <w:t xml:space="preserve">              </w:t>
      </w:r>
      <w:r>
        <w:rPr>
          <w:color w:val="auto"/>
          <w:szCs w:val="21"/>
          <w:highlight w:val="none"/>
        </w:rPr>
        <w:t>。</w:t>
      </w:r>
    </w:p>
    <w:p>
      <w:pPr>
        <w:snapToGrid w:val="0"/>
        <w:spacing w:line="360" w:lineRule="auto"/>
        <w:ind w:firstLine="420" w:firstLineChars="200"/>
        <w:rPr>
          <w:color w:val="auto"/>
          <w:szCs w:val="21"/>
          <w:highlight w:val="none"/>
        </w:rPr>
      </w:pPr>
      <w:r>
        <w:rPr>
          <w:color w:val="auto"/>
          <w:szCs w:val="21"/>
          <w:highlight w:val="none"/>
        </w:rPr>
        <w:t>5．投标工作和联合体在中标后工程实施过程中的有关费用按各自承担的工作量分摊。</w:t>
      </w:r>
    </w:p>
    <w:p>
      <w:pPr>
        <w:snapToGrid w:val="0"/>
        <w:spacing w:line="360" w:lineRule="auto"/>
        <w:ind w:firstLine="420" w:firstLineChars="200"/>
        <w:rPr>
          <w:color w:val="auto"/>
          <w:szCs w:val="21"/>
          <w:highlight w:val="none"/>
        </w:rPr>
      </w:pPr>
      <w:r>
        <w:rPr>
          <w:color w:val="auto"/>
          <w:szCs w:val="21"/>
          <w:highlight w:val="none"/>
        </w:rPr>
        <w:t>6．联合体中标后，本联合体协议是合同的附件，对联合体各成员单位有合同约束力。</w:t>
      </w:r>
    </w:p>
    <w:p>
      <w:pPr>
        <w:snapToGrid w:val="0"/>
        <w:spacing w:line="360" w:lineRule="auto"/>
        <w:ind w:firstLine="420" w:firstLineChars="200"/>
        <w:rPr>
          <w:color w:val="auto"/>
          <w:szCs w:val="21"/>
          <w:highlight w:val="none"/>
        </w:rPr>
      </w:pPr>
      <w:r>
        <w:rPr>
          <w:color w:val="auto"/>
          <w:szCs w:val="21"/>
          <w:highlight w:val="none"/>
        </w:rPr>
        <w:t>7．本协议书自签署之日起生效，联合体未中标或者中标时合同履行完毕后自动失效。</w:t>
      </w:r>
    </w:p>
    <w:p>
      <w:pPr>
        <w:snapToGrid w:val="0"/>
        <w:spacing w:line="360" w:lineRule="auto"/>
        <w:ind w:firstLine="420" w:firstLineChars="200"/>
        <w:rPr>
          <w:color w:val="auto"/>
          <w:szCs w:val="21"/>
          <w:highlight w:val="none"/>
        </w:rPr>
      </w:pPr>
      <w:r>
        <w:rPr>
          <w:color w:val="auto"/>
          <w:szCs w:val="21"/>
          <w:highlight w:val="none"/>
        </w:rPr>
        <w:t>8．本协议书一式</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份，联合体成员和招标人各执一份。</w:t>
      </w:r>
    </w:p>
    <w:p>
      <w:pPr>
        <w:snapToGrid w:val="0"/>
        <w:spacing w:line="360" w:lineRule="auto"/>
        <w:ind w:firstLine="1785" w:firstLineChars="850"/>
        <w:rPr>
          <w:color w:val="auto"/>
          <w:szCs w:val="21"/>
          <w:highlight w:val="none"/>
        </w:rPr>
      </w:pPr>
      <w:r>
        <w:rPr>
          <w:color w:val="auto"/>
          <w:szCs w:val="21"/>
          <w:highlight w:val="none"/>
        </w:rPr>
        <w:t>牵头人名称：（盖单位章）</w:t>
      </w:r>
    </w:p>
    <w:p>
      <w:pPr>
        <w:snapToGrid w:val="0"/>
        <w:spacing w:line="360" w:lineRule="auto"/>
        <w:ind w:firstLine="1785" w:firstLineChars="850"/>
        <w:rPr>
          <w:color w:val="auto"/>
          <w:szCs w:val="21"/>
          <w:highlight w:val="none"/>
        </w:rPr>
      </w:pPr>
      <w:r>
        <w:rPr>
          <w:color w:val="auto"/>
          <w:szCs w:val="21"/>
          <w:highlight w:val="none"/>
        </w:rPr>
        <w:t>法定代表人或其委托代理人：（签字</w:t>
      </w:r>
      <w:r>
        <w:rPr>
          <w:rFonts w:hint="eastAsia" w:ascii="宋体" w:hAnsi="宋体"/>
          <w:color w:val="auto"/>
          <w:szCs w:val="21"/>
          <w:highlight w:val="none"/>
        </w:rPr>
        <w:t>或盖章</w:t>
      </w:r>
      <w:r>
        <w:rPr>
          <w:color w:val="auto"/>
          <w:szCs w:val="21"/>
          <w:highlight w:val="none"/>
        </w:rPr>
        <w:t>）</w:t>
      </w:r>
    </w:p>
    <w:p>
      <w:pPr>
        <w:snapToGrid w:val="0"/>
        <w:spacing w:line="360" w:lineRule="auto"/>
        <w:ind w:firstLine="1785" w:firstLineChars="850"/>
        <w:rPr>
          <w:color w:val="auto"/>
          <w:szCs w:val="21"/>
          <w:highlight w:val="none"/>
        </w:rPr>
      </w:pPr>
      <w:r>
        <w:rPr>
          <w:color w:val="auto"/>
          <w:szCs w:val="21"/>
          <w:highlight w:val="none"/>
        </w:rPr>
        <w:t>成员二名称：（盖单位章）</w:t>
      </w:r>
    </w:p>
    <w:p>
      <w:pPr>
        <w:snapToGrid w:val="0"/>
        <w:spacing w:line="360" w:lineRule="auto"/>
        <w:ind w:firstLine="1785" w:firstLineChars="850"/>
        <w:rPr>
          <w:color w:val="auto"/>
          <w:szCs w:val="21"/>
          <w:highlight w:val="none"/>
        </w:rPr>
      </w:pPr>
      <w:r>
        <w:rPr>
          <w:color w:val="auto"/>
          <w:szCs w:val="21"/>
          <w:highlight w:val="none"/>
        </w:rPr>
        <w:t>法定代表人或其委托代理人：（签字</w:t>
      </w:r>
      <w:r>
        <w:rPr>
          <w:rFonts w:hint="eastAsia" w:ascii="宋体" w:hAnsi="宋体"/>
          <w:color w:val="auto"/>
          <w:szCs w:val="21"/>
          <w:highlight w:val="none"/>
        </w:rPr>
        <w:t>或盖章</w:t>
      </w:r>
      <w:r>
        <w:rPr>
          <w:color w:val="auto"/>
          <w:szCs w:val="21"/>
          <w:highlight w:val="none"/>
        </w:rPr>
        <w:t>）</w:t>
      </w:r>
    </w:p>
    <w:p>
      <w:pPr>
        <w:snapToGrid w:val="0"/>
        <w:spacing w:line="360" w:lineRule="auto"/>
        <w:ind w:firstLine="2100" w:firstLineChars="1000"/>
        <w:rPr>
          <w:color w:val="auto"/>
          <w:szCs w:val="21"/>
          <w:highlight w:val="none"/>
        </w:rPr>
      </w:pPr>
      <w:r>
        <w:rPr>
          <w:color w:val="auto"/>
          <w:szCs w:val="21"/>
          <w:highlight w:val="none"/>
        </w:rPr>
        <w:t>……</w:t>
      </w:r>
    </w:p>
    <w:p>
      <w:pPr>
        <w:snapToGrid w:val="0"/>
        <w:spacing w:line="360" w:lineRule="auto"/>
        <w:jc w:val="right"/>
        <w:rPr>
          <w:color w:val="auto"/>
          <w:szCs w:val="21"/>
          <w:highlight w:val="none"/>
        </w:rPr>
      </w:pPr>
      <w:r>
        <w:rPr>
          <w:color w:val="auto"/>
          <w:szCs w:val="21"/>
          <w:highlight w:val="none"/>
        </w:rPr>
        <w:t>年  月  日</w:t>
      </w:r>
    </w:p>
    <w:p>
      <w:pPr>
        <w:spacing w:line="360" w:lineRule="auto"/>
        <w:rPr>
          <w:color w:val="auto"/>
          <w:sz w:val="18"/>
          <w:szCs w:val="18"/>
          <w:highlight w:val="none"/>
        </w:rPr>
      </w:pPr>
      <w:r>
        <w:rPr>
          <w:rFonts w:hint="eastAsia"/>
          <w:color w:val="auto"/>
          <w:sz w:val="18"/>
          <w:szCs w:val="18"/>
          <w:highlight w:val="none"/>
        </w:rPr>
        <w:t>说明</w:t>
      </w:r>
      <w:r>
        <w:rPr>
          <w:color w:val="auto"/>
          <w:sz w:val="18"/>
          <w:szCs w:val="18"/>
          <w:highlight w:val="none"/>
        </w:rPr>
        <w:t>：本协议书由委托代理人</w:t>
      </w:r>
      <w:r>
        <w:rPr>
          <w:rFonts w:hint="eastAsia"/>
          <w:color w:val="auto"/>
          <w:sz w:val="18"/>
          <w:szCs w:val="18"/>
          <w:highlight w:val="none"/>
        </w:rPr>
        <w:t>签署</w:t>
      </w:r>
      <w:r>
        <w:rPr>
          <w:color w:val="auto"/>
          <w:sz w:val="18"/>
          <w:szCs w:val="18"/>
          <w:highlight w:val="none"/>
        </w:rPr>
        <w:t>的，应附法定代表人</w:t>
      </w:r>
      <w:r>
        <w:rPr>
          <w:rFonts w:hint="eastAsia"/>
          <w:color w:val="auto"/>
          <w:sz w:val="18"/>
          <w:szCs w:val="18"/>
          <w:highlight w:val="none"/>
        </w:rPr>
        <w:t>签署</w:t>
      </w:r>
      <w:r>
        <w:rPr>
          <w:color w:val="auto"/>
          <w:sz w:val="18"/>
          <w:szCs w:val="18"/>
          <w:highlight w:val="none"/>
        </w:rPr>
        <w:t>的授权委托书。</w:t>
      </w:r>
    </w:p>
    <w:p>
      <w:pPr>
        <w:pStyle w:val="6"/>
        <w:jc w:val="center"/>
        <w:rPr>
          <w:rFonts w:ascii="Times New Roman" w:hAnsi="Times New Roman" w:eastAsia="黑体"/>
          <w:b w:val="0"/>
          <w:bCs w:val="0"/>
          <w:color w:val="auto"/>
          <w:sz w:val="30"/>
          <w:highlight w:val="none"/>
        </w:rPr>
      </w:pPr>
      <w:bookmarkStart w:id="195" w:name="_Toc14372"/>
      <w:bookmarkStart w:id="196" w:name="_Toc69199936"/>
      <w:bookmarkStart w:id="197" w:name="_Toc9178583"/>
      <w:bookmarkStart w:id="198" w:name="_Toc300678573"/>
      <w:r>
        <w:rPr>
          <w:rFonts w:hint="eastAsia" w:ascii="Times New Roman" w:hAnsi="Times New Roman" w:eastAsia="黑体"/>
          <w:b w:val="0"/>
          <w:bCs w:val="0"/>
          <w:color w:val="auto"/>
          <w:sz w:val="30"/>
          <w:highlight w:val="none"/>
        </w:rPr>
        <w:t>5.</w:t>
      </w:r>
      <w:r>
        <w:rPr>
          <w:rFonts w:ascii="Times New Roman" w:hAnsi="Times New Roman" w:eastAsia="黑体"/>
          <w:b w:val="0"/>
          <w:bCs w:val="0"/>
          <w:color w:val="auto"/>
          <w:sz w:val="30"/>
          <w:highlight w:val="none"/>
        </w:rPr>
        <w:t>投标保证</w:t>
      </w:r>
    </w:p>
    <w:p>
      <w:pPr>
        <w:widowControl/>
        <w:spacing w:line="400" w:lineRule="exact"/>
        <w:ind w:firstLine="420" w:firstLineChars="200"/>
        <w:jc w:val="left"/>
        <w:rPr>
          <w:color w:val="auto"/>
          <w:highlight w:val="none"/>
        </w:rPr>
      </w:pPr>
      <w:r>
        <w:rPr>
          <w:color w:val="auto"/>
          <w:szCs w:val="21"/>
          <w:highlight w:val="none"/>
        </w:rPr>
        <w:t>采用现金的，请</w:t>
      </w:r>
      <w:r>
        <w:rPr>
          <w:color w:val="auto"/>
          <w:highlight w:val="none"/>
        </w:rPr>
        <w:t>附投标人基本账户开户许可证复印件</w:t>
      </w:r>
      <w:r>
        <w:rPr>
          <w:rFonts w:hint="eastAsia"/>
          <w:color w:val="auto"/>
          <w:highlight w:val="none"/>
        </w:rPr>
        <w:t>（</w:t>
      </w:r>
      <w:r>
        <w:rPr>
          <w:color w:val="auto"/>
          <w:highlight w:val="none"/>
        </w:rPr>
        <w:t>或</w:t>
      </w:r>
      <w:r>
        <w:rPr>
          <w:rFonts w:hint="eastAsia"/>
          <w:color w:val="auto"/>
          <w:highlight w:val="none"/>
        </w:rPr>
        <w:t>基</w:t>
      </w:r>
      <w:r>
        <w:rPr>
          <w:color w:val="auto"/>
          <w:highlight w:val="none"/>
        </w:rPr>
        <w:t>本帐户</w:t>
      </w:r>
      <w:r>
        <w:rPr>
          <w:rFonts w:hint="eastAsia"/>
          <w:color w:val="auto"/>
          <w:highlight w:val="none"/>
        </w:rPr>
        <w:t>开户银行打印的账户信息，包含户名、账号、基本存款账户编号等信息）</w:t>
      </w:r>
      <w:r>
        <w:rPr>
          <w:color w:val="auto"/>
          <w:highlight w:val="none"/>
        </w:rPr>
        <w:t>以及投标保证金银行进账单复印件</w:t>
      </w:r>
    </w:p>
    <w:p>
      <w:pPr>
        <w:widowControl/>
        <w:spacing w:line="400" w:lineRule="exact"/>
        <w:ind w:firstLine="210" w:firstLineChars="100"/>
        <w:jc w:val="left"/>
        <w:rPr>
          <w:rFonts w:hint="default"/>
          <w:color w:val="auto"/>
          <w:highlight w:val="none"/>
        </w:rPr>
      </w:pPr>
      <w:r>
        <w:rPr>
          <w:rFonts w:hint="eastAsia"/>
          <w:color w:val="auto"/>
          <w:highlight w:val="none"/>
        </w:rPr>
        <w:t>采用</w:t>
      </w:r>
      <w:r>
        <w:rPr>
          <w:rFonts w:hint="eastAsia"/>
          <w:color w:val="auto"/>
          <w:highlight w:val="none"/>
          <w:lang w:val="en-US" w:eastAsia="zh-CN"/>
        </w:rPr>
        <w:t>电子保函的，附电子保函原件扫描件。</w:t>
      </w:r>
    </w:p>
    <w:p>
      <w:pPr>
        <w:jc w:val="center"/>
        <w:rPr>
          <w:rFonts w:eastAsia="黑体"/>
          <w:color w:val="auto"/>
          <w:sz w:val="30"/>
          <w:szCs w:val="30"/>
          <w:highlight w:val="none"/>
        </w:rPr>
      </w:pPr>
    </w:p>
    <w:bookmarkEnd w:id="195"/>
    <w:bookmarkEnd w:id="196"/>
    <w:bookmarkEnd w:id="197"/>
    <w:bookmarkEnd w:id="198"/>
    <w:p>
      <w:pPr>
        <w:pStyle w:val="6"/>
        <w:jc w:val="center"/>
        <w:rPr>
          <w:rFonts w:ascii="Times New Roman" w:hAnsi="Times New Roman" w:eastAsia="黑体"/>
          <w:b w:val="0"/>
          <w:bCs w:val="0"/>
          <w:color w:val="auto"/>
          <w:sz w:val="30"/>
          <w:highlight w:val="none"/>
        </w:rPr>
      </w:pPr>
      <w:bookmarkStart w:id="199" w:name="_Toc69199937"/>
      <w:bookmarkStart w:id="200" w:name="_Toc300678574"/>
      <w:bookmarkStart w:id="201" w:name="_Toc9178584"/>
      <w:bookmarkStart w:id="202" w:name="_Toc6635"/>
      <w:r>
        <w:rPr>
          <w:rFonts w:hint="eastAsia" w:ascii="Times New Roman" w:hAnsi="Times New Roman" w:eastAsia="黑体"/>
          <w:b w:val="0"/>
          <w:bCs w:val="0"/>
          <w:color w:val="auto"/>
          <w:sz w:val="30"/>
          <w:highlight w:val="none"/>
        </w:rPr>
        <w:br w:type="page"/>
      </w:r>
      <w:r>
        <w:rPr>
          <w:rFonts w:hint="eastAsia" w:ascii="Times New Roman" w:hAnsi="Times New Roman" w:eastAsia="黑体"/>
          <w:b w:val="0"/>
          <w:bCs w:val="0"/>
          <w:color w:val="auto"/>
          <w:sz w:val="30"/>
          <w:highlight w:val="none"/>
        </w:rPr>
        <w:t>6.</w:t>
      </w:r>
      <w:r>
        <w:rPr>
          <w:rFonts w:ascii="Times New Roman" w:hAnsi="Times New Roman" w:eastAsia="黑体"/>
          <w:b w:val="0"/>
          <w:bCs w:val="0"/>
          <w:color w:val="auto"/>
          <w:sz w:val="30"/>
          <w:highlight w:val="none"/>
        </w:rPr>
        <w:t>项目管理机构</w:t>
      </w:r>
      <w:bookmarkEnd w:id="199"/>
      <w:bookmarkEnd w:id="200"/>
      <w:bookmarkEnd w:id="201"/>
      <w:bookmarkEnd w:id="202"/>
    </w:p>
    <w:p>
      <w:pPr>
        <w:pStyle w:val="7"/>
        <w:jc w:val="center"/>
        <w:rPr>
          <w:rFonts w:eastAsia="黑体"/>
          <w:b w:val="0"/>
          <w:bCs w:val="0"/>
          <w:color w:val="auto"/>
          <w:sz w:val="28"/>
          <w:highlight w:val="none"/>
        </w:rPr>
      </w:pPr>
      <w:bookmarkStart w:id="203" w:name="_Toc69199938"/>
      <w:bookmarkStart w:id="204" w:name="_Toc47711649"/>
      <w:r>
        <w:rPr>
          <w:rFonts w:eastAsia="黑体"/>
          <w:b w:val="0"/>
          <w:bCs w:val="0"/>
          <w:color w:val="auto"/>
          <w:sz w:val="28"/>
          <w:highlight w:val="none"/>
        </w:rPr>
        <w:t>（</w:t>
      </w:r>
      <w:r>
        <w:rPr>
          <w:rFonts w:hint="eastAsia" w:eastAsia="黑体"/>
          <w:b w:val="0"/>
          <w:bCs w:val="0"/>
          <w:color w:val="auto"/>
          <w:sz w:val="28"/>
          <w:highlight w:val="none"/>
        </w:rPr>
        <w:t>1</w:t>
      </w:r>
      <w:r>
        <w:rPr>
          <w:rFonts w:eastAsia="黑体"/>
          <w:b w:val="0"/>
          <w:bCs w:val="0"/>
          <w:color w:val="auto"/>
          <w:sz w:val="28"/>
          <w:highlight w:val="none"/>
        </w:rPr>
        <w:t>）项目管理机构组成表</w:t>
      </w:r>
      <w:bookmarkEnd w:id="203"/>
      <w:bookmarkEnd w:id="204"/>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639"/>
        <w:gridCol w:w="1065"/>
        <w:gridCol w:w="808"/>
        <w:gridCol w:w="852"/>
        <w:gridCol w:w="724"/>
        <w:gridCol w:w="2127"/>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姓名</w:t>
            </w:r>
          </w:p>
        </w:tc>
        <w:tc>
          <w:tcPr>
            <w:tcW w:w="639"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性别</w:t>
            </w:r>
          </w:p>
        </w:tc>
        <w:tc>
          <w:tcPr>
            <w:tcW w:w="5576" w:type="dxa"/>
            <w:gridSpan w:val="5"/>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执业或岗位资格证明</w:t>
            </w:r>
          </w:p>
        </w:tc>
        <w:tc>
          <w:tcPr>
            <w:tcW w:w="1510"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拟在本项目担任的工作岗位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证书名称</w:t>
            </w: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级别</w:t>
            </w: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证号</w:t>
            </w: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专业</w:t>
            </w: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身份证号码</w:t>
            </w:r>
          </w:p>
        </w:tc>
        <w:tc>
          <w:tcPr>
            <w:tcW w:w="1510"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08"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85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7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212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c>
          <w:tcPr>
            <w:tcW w:w="151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tc>
      </w:tr>
    </w:tbl>
    <w:p>
      <w:pPr>
        <w:rPr>
          <w:rFonts w:hint="eastAsia"/>
          <w:color w:val="auto"/>
          <w:highlight w:val="none"/>
        </w:rPr>
      </w:pPr>
      <w:r>
        <w:rPr>
          <w:rFonts w:hint="eastAsia"/>
          <w:color w:val="auto"/>
          <w:highlight w:val="none"/>
        </w:rPr>
        <w:t>说明</w:t>
      </w:r>
      <w:r>
        <w:rPr>
          <w:color w:val="auto"/>
          <w:highlight w:val="none"/>
        </w:rPr>
        <w:t>：项目管理机构人员是指</w:t>
      </w:r>
      <w:r>
        <w:rPr>
          <w:rFonts w:hint="eastAsia"/>
          <w:color w:val="auto"/>
          <w:highlight w:val="none"/>
        </w:rPr>
        <w:t>工程总承包项目负责人</w:t>
      </w:r>
      <w:r>
        <w:rPr>
          <w:color w:val="auto"/>
          <w:highlight w:val="none"/>
        </w:rPr>
        <w:t>、</w:t>
      </w:r>
      <w:r>
        <w:rPr>
          <w:rFonts w:hint="eastAsia"/>
          <w:color w:val="auto"/>
          <w:highlight w:val="none"/>
        </w:rPr>
        <w:t>施工项目负责人、设计项目负责人</w:t>
      </w:r>
      <w:r>
        <w:rPr>
          <w:color w:val="auto"/>
          <w:highlight w:val="none"/>
        </w:rPr>
        <w:t>。</w:t>
      </w:r>
    </w:p>
    <w:p>
      <w:pPr>
        <w:rPr>
          <w:rFonts w:eastAsia="黑体"/>
          <w:b/>
          <w:bCs/>
          <w:color w:val="auto"/>
          <w:sz w:val="28"/>
          <w:highlight w:val="none"/>
        </w:rPr>
      </w:pPr>
      <w:r>
        <w:rPr>
          <w:color w:val="auto"/>
          <w:highlight w:val="none"/>
        </w:rPr>
        <w:br w:type="page"/>
      </w:r>
      <w:bookmarkStart w:id="205" w:name="_Toc9178585"/>
      <w:bookmarkStart w:id="206" w:name="_Toc300678575"/>
    </w:p>
    <w:bookmarkEnd w:id="205"/>
    <w:bookmarkEnd w:id="206"/>
    <w:p>
      <w:pPr>
        <w:pStyle w:val="7"/>
        <w:jc w:val="center"/>
        <w:rPr>
          <w:rFonts w:eastAsia="黑体"/>
          <w:b w:val="0"/>
          <w:bCs w:val="0"/>
          <w:color w:val="auto"/>
          <w:sz w:val="28"/>
          <w:highlight w:val="none"/>
        </w:rPr>
      </w:pPr>
      <w:bookmarkStart w:id="207" w:name="_Toc300678576"/>
      <w:bookmarkStart w:id="208" w:name="_Toc69199939"/>
      <w:bookmarkStart w:id="209" w:name="_Toc47711650"/>
      <w:r>
        <w:rPr>
          <w:rFonts w:eastAsia="黑体"/>
          <w:b w:val="0"/>
          <w:bCs w:val="0"/>
          <w:color w:val="auto"/>
          <w:sz w:val="28"/>
          <w:highlight w:val="none"/>
        </w:rPr>
        <w:t>（</w:t>
      </w:r>
      <w:r>
        <w:rPr>
          <w:rFonts w:hint="eastAsia" w:eastAsia="黑体"/>
          <w:b w:val="0"/>
          <w:bCs w:val="0"/>
          <w:color w:val="auto"/>
          <w:sz w:val="28"/>
          <w:highlight w:val="none"/>
        </w:rPr>
        <w:t>2</w:t>
      </w:r>
      <w:r>
        <w:rPr>
          <w:rFonts w:eastAsia="黑体"/>
          <w:b w:val="0"/>
          <w:bCs w:val="0"/>
          <w:color w:val="auto"/>
          <w:sz w:val="28"/>
          <w:highlight w:val="none"/>
        </w:rPr>
        <w:t>）主要人员简历表</w:t>
      </w:r>
      <w:bookmarkEnd w:id="207"/>
      <w:bookmarkEnd w:id="208"/>
      <w:bookmarkEnd w:id="209"/>
    </w:p>
    <w:p>
      <w:pPr>
        <w:pStyle w:val="8"/>
        <w:jc w:val="center"/>
        <w:outlineLvl w:val="9"/>
        <w:rPr>
          <w:rFonts w:hint="eastAsia" w:ascii="Times New Roman" w:eastAsia="黑体"/>
          <w:color w:val="auto"/>
          <w:sz w:val="24"/>
          <w:highlight w:val="none"/>
        </w:rPr>
      </w:pPr>
      <w:bookmarkStart w:id="210" w:name="_Toc300678577"/>
      <w:bookmarkStart w:id="211" w:name="_Toc300678579"/>
    </w:p>
    <w:p>
      <w:pPr>
        <w:pStyle w:val="8"/>
        <w:jc w:val="center"/>
        <w:rPr>
          <w:rFonts w:ascii="Cambria" w:hAnsi="Cambria"/>
          <w:b w:val="0"/>
          <w:color w:val="auto"/>
          <w:szCs w:val="21"/>
          <w:highlight w:val="none"/>
        </w:rPr>
      </w:pPr>
      <w:r>
        <w:rPr>
          <w:rFonts w:hint="eastAsia" w:ascii="Times New Roman" w:eastAsia="黑体"/>
          <w:color w:val="auto"/>
          <w:sz w:val="24"/>
          <w:highlight w:val="none"/>
        </w:rPr>
        <w:t>①</w:t>
      </w:r>
      <w:bookmarkStart w:id="212" w:name="_Hlk53732889"/>
      <w:r>
        <w:rPr>
          <w:rFonts w:ascii="Times New Roman" w:eastAsia="黑体"/>
          <w:color w:val="auto"/>
          <w:sz w:val="24"/>
          <w:highlight w:val="none"/>
        </w:rPr>
        <w:t>拟任</w:t>
      </w:r>
      <w:r>
        <w:rPr>
          <w:rFonts w:hint="eastAsia" w:ascii="Times New Roman" w:eastAsia="黑体"/>
          <w:color w:val="auto"/>
          <w:sz w:val="24"/>
          <w:highlight w:val="none"/>
        </w:rPr>
        <w:t>工程总承包项目负责人</w:t>
      </w:r>
      <w:r>
        <w:rPr>
          <w:rFonts w:ascii="Times New Roman" w:eastAsia="黑体"/>
          <w:color w:val="auto"/>
          <w:sz w:val="24"/>
          <w:highlight w:val="none"/>
        </w:rPr>
        <w:t>简历表</w:t>
      </w:r>
      <w:bookmarkEnd w:id="212"/>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035"/>
        <w:gridCol w:w="1134"/>
        <w:gridCol w:w="1275"/>
        <w:gridCol w:w="1624"/>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姓  名</w:t>
            </w:r>
          </w:p>
        </w:tc>
        <w:tc>
          <w:tcPr>
            <w:tcW w:w="2169"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职  称</w:t>
            </w:r>
          </w:p>
        </w:tc>
        <w:tc>
          <w:tcPr>
            <w:tcW w:w="3715"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职  务</w:t>
            </w:r>
          </w:p>
        </w:tc>
        <w:tc>
          <w:tcPr>
            <w:tcW w:w="10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13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年龄</w:t>
            </w: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拟在本工程任职</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工程总承包项目负责人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注册</w:t>
            </w:r>
            <w:r>
              <w:rPr>
                <w:rFonts w:hint="default" w:ascii="Calibri" w:hAnsi="Calibri" w:cs="Calibri"/>
                <w:color w:val="auto"/>
                <w:sz w:val="18"/>
                <w:szCs w:val="21"/>
                <w:highlight w:val="none"/>
              </w:rPr>
              <w:t>执业资格</w:t>
            </w:r>
            <w:r>
              <w:rPr>
                <w:rFonts w:hint="eastAsia" w:ascii="Calibri" w:hAnsi="Calibri" w:cs="Calibri"/>
                <w:color w:val="auto"/>
                <w:sz w:val="18"/>
                <w:szCs w:val="21"/>
                <w:highlight w:val="none"/>
              </w:rPr>
              <w:t>等级</w:t>
            </w: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 xml:space="preserve">      级</w:t>
            </w: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专业</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4" w:type="dxa"/>
            <w:gridSpan w:val="6"/>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起止时间</w:t>
            </w: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参加过的类似项目名称</w:t>
            </w: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工程概况说明</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62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209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bl>
    <w:p>
      <w:pPr>
        <w:rPr>
          <w:rFonts w:ascii="Calibri" w:hAnsi="Calibri"/>
          <w:color w:val="auto"/>
          <w:highlight w:val="none"/>
        </w:rPr>
      </w:pPr>
      <w:r>
        <w:rPr>
          <w:rFonts w:ascii="Calibri" w:hAnsi="Calibri"/>
          <w:color w:val="auto"/>
          <w:sz w:val="18"/>
          <w:szCs w:val="18"/>
          <w:highlight w:val="none"/>
        </w:rPr>
        <w:t xml:space="preserve">    </w:t>
      </w:r>
      <w:r>
        <w:rPr>
          <w:rFonts w:hint="eastAsia" w:ascii="Calibri" w:hAnsi="Calibri"/>
          <w:color w:val="auto"/>
          <w:highlight w:val="none"/>
        </w:rPr>
        <w:t>说明：</w:t>
      </w:r>
      <w:r>
        <w:rPr>
          <w:rFonts w:ascii="Calibri" w:hAnsi="Calibri"/>
          <w:color w:val="auto"/>
          <w:highlight w:val="none"/>
        </w:rPr>
        <w:t xml:space="preserve"> 请提供</w:t>
      </w:r>
      <w:r>
        <w:rPr>
          <w:rFonts w:hint="eastAsia" w:ascii="Calibri" w:hAnsi="Calibri"/>
          <w:color w:val="auto"/>
          <w:highlight w:val="none"/>
        </w:rPr>
        <w:t>拟任工程总承包项目负责人的注册执业资格</w:t>
      </w:r>
      <w:r>
        <w:rPr>
          <w:rFonts w:ascii="Calibri" w:hAnsi="Calibri"/>
          <w:color w:val="auto"/>
          <w:highlight w:val="none"/>
        </w:rPr>
        <w:t>证书</w:t>
      </w:r>
      <w:r>
        <w:rPr>
          <w:rFonts w:hint="eastAsia" w:ascii="Calibri" w:hAnsi="Calibri"/>
          <w:color w:val="auto"/>
          <w:highlight w:val="none"/>
        </w:rPr>
        <w:t>或职称证书</w:t>
      </w:r>
      <w:r>
        <w:rPr>
          <w:rFonts w:ascii="Calibri" w:hAnsi="Calibri"/>
          <w:color w:val="auto"/>
          <w:highlight w:val="none"/>
        </w:rPr>
        <w:t>、身份证</w:t>
      </w:r>
      <w:r>
        <w:rPr>
          <w:rFonts w:hint="eastAsia" w:ascii="Calibri" w:hAnsi="Calibri"/>
          <w:color w:val="auto"/>
          <w:highlight w:val="none"/>
        </w:rPr>
        <w:t>的</w:t>
      </w:r>
      <w:r>
        <w:rPr>
          <w:rFonts w:ascii="Calibri" w:hAnsi="Calibri"/>
          <w:color w:val="auto"/>
          <w:highlight w:val="none"/>
        </w:rPr>
        <w:t>复印件。</w:t>
      </w:r>
    </w:p>
    <w:p>
      <w:pPr>
        <w:pStyle w:val="8"/>
        <w:jc w:val="center"/>
        <w:outlineLvl w:val="9"/>
        <w:rPr>
          <w:rFonts w:hint="eastAsia" w:ascii="Times New Roman" w:eastAsia="黑体"/>
          <w:color w:val="auto"/>
          <w:sz w:val="24"/>
          <w:highlight w:val="none"/>
        </w:rPr>
      </w:pPr>
    </w:p>
    <w:p>
      <w:pPr>
        <w:pStyle w:val="8"/>
        <w:jc w:val="center"/>
        <w:outlineLvl w:val="9"/>
        <w:rPr>
          <w:rFonts w:hint="eastAsia" w:ascii="Times New Roman" w:eastAsia="黑体"/>
          <w:color w:val="auto"/>
          <w:sz w:val="24"/>
          <w:highlight w:val="none"/>
        </w:rPr>
      </w:pPr>
      <w:r>
        <w:rPr>
          <w:rFonts w:ascii="Times New Roman" w:eastAsia="黑体"/>
          <w:color w:val="auto"/>
          <w:sz w:val="24"/>
          <w:highlight w:val="none"/>
        </w:rPr>
        <w:br w:type="page"/>
      </w:r>
    </w:p>
    <w:p>
      <w:pPr>
        <w:pStyle w:val="8"/>
        <w:jc w:val="center"/>
        <w:rPr>
          <w:rFonts w:ascii="Cambria" w:hAnsi="Cambria"/>
          <w:b w:val="0"/>
          <w:color w:val="auto"/>
          <w:szCs w:val="21"/>
          <w:highlight w:val="none"/>
        </w:rPr>
      </w:pPr>
      <w:r>
        <w:rPr>
          <w:rFonts w:hint="eastAsia" w:ascii="Times New Roman" w:eastAsia="黑体"/>
          <w:color w:val="auto"/>
          <w:sz w:val="24"/>
          <w:highlight w:val="none"/>
        </w:rPr>
        <w:t>②</w:t>
      </w:r>
      <w:bookmarkEnd w:id="210"/>
      <w:bookmarkStart w:id="213" w:name="_Hlk53732909"/>
      <w:r>
        <w:rPr>
          <w:rFonts w:ascii="Times New Roman" w:eastAsia="黑体"/>
          <w:color w:val="auto"/>
          <w:sz w:val="24"/>
          <w:highlight w:val="none"/>
        </w:rPr>
        <w:t>拟任</w:t>
      </w:r>
      <w:r>
        <w:rPr>
          <w:rFonts w:hint="eastAsia" w:ascii="Times New Roman" w:eastAsia="黑体"/>
          <w:color w:val="auto"/>
          <w:sz w:val="24"/>
          <w:highlight w:val="none"/>
        </w:rPr>
        <w:t>施工</w:t>
      </w:r>
      <w:r>
        <w:rPr>
          <w:rFonts w:ascii="Times New Roman" w:eastAsia="黑体"/>
          <w:color w:val="auto"/>
          <w:sz w:val="24"/>
          <w:highlight w:val="none"/>
        </w:rPr>
        <w:t>项目</w:t>
      </w:r>
      <w:r>
        <w:rPr>
          <w:rFonts w:hint="eastAsia" w:ascii="Times New Roman" w:eastAsia="黑体"/>
          <w:color w:val="auto"/>
          <w:sz w:val="24"/>
          <w:highlight w:val="none"/>
        </w:rPr>
        <w:t>负责人</w:t>
      </w:r>
      <w:r>
        <w:rPr>
          <w:rFonts w:ascii="Times New Roman" w:eastAsia="黑体"/>
          <w:color w:val="auto"/>
          <w:sz w:val="24"/>
          <w:highlight w:val="none"/>
        </w:rPr>
        <w:t>简历表</w:t>
      </w:r>
    </w:p>
    <w:bookmarkEnd w:id="213"/>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035"/>
        <w:gridCol w:w="1134"/>
        <w:gridCol w:w="1275"/>
        <w:gridCol w:w="1843"/>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姓  名</w:t>
            </w:r>
          </w:p>
        </w:tc>
        <w:tc>
          <w:tcPr>
            <w:tcW w:w="2169"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职  称</w:t>
            </w:r>
          </w:p>
        </w:tc>
        <w:tc>
          <w:tcPr>
            <w:tcW w:w="3715"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职  务</w:t>
            </w:r>
          </w:p>
        </w:tc>
        <w:tc>
          <w:tcPr>
            <w:tcW w:w="103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134"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年龄</w:t>
            </w: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拟在本工程任职</w:t>
            </w: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拟任施工项目负责人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注册建造师执业资格等级</w:t>
            </w:r>
          </w:p>
        </w:tc>
        <w:tc>
          <w:tcPr>
            <w:tcW w:w="127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 xml:space="preserve">      级</w:t>
            </w: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建造师专业</w:t>
            </w: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安全生产考核合格证书证号</w:t>
            </w:r>
          </w:p>
        </w:tc>
        <w:tc>
          <w:tcPr>
            <w:tcW w:w="4990"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4" w:type="dxa"/>
            <w:gridSpan w:val="6"/>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起止时间</w:t>
            </w: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参加过的类似项目名称</w:t>
            </w: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工程概况说明</w:t>
            </w: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3444"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43"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872"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bl>
    <w:p>
      <w:pPr>
        <w:rPr>
          <w:rFonts w:ascii="Calibri" w:hAnsi="Calibri"/>
          <w:color w:val="auto"/>
          <w:highlight w:val="none"/>
        </w:rPr>
      </w:pPr>
      <w:r>
        <w:rPr>
          <w:rFonts w:ascii="Calibri" w:hAnsi="Calibri"/>
          <w:color w:val="auto"/>
          <w:sz w:val="18"/>
          <w:szCs w:val="18"/>
          <w:highlight w:val="none"/>
        </w:rPr>
        <w:t xml:space="preserve">    </w:t>
      </w:r>
      <w:r>
        <w:rPr>
          <w:rFonts w:hint="eastAsia" w:ascii="Calibri" w:hAnsi="Calibri"/>
          <w:color w:val="auto"/>
          <w:highlight w:val="none"/>
        </w:rPr>
        <w:t>说明：</w:t>
      </w:r>
      <w:r>
        <w:rPr>
          <w:rFonts w:ascii="Calibri" w:hAnsi="Calibri"/>
          <w:color w:val="auto"/>
          <w:highlight w:val="none"/>
        </w:rPr>
        <w:t>1. 请提供</w:t>
      </w:r>
      <w:r>
        <w:rPr>
          <w:rFonts w:hint="eastAsia" w:ascii="Calibri" w:hAnsi="Calibri"/>
          <w:color w:val="auto"/>
          <w:highlight w:val="none"/>
        </w:rPr>
        <w:t>拟任施工项目负责人的</w:t>
      </w:r>
      <w:r>
        <w:rPr>
          <w:rFonts w:ascii="Calibri" w:hAnsi="Calibri"/>
          <w:color w:val="auto"/>
          <w:highlight w:val="none"/>
        </w:rPr>
        <w:t>建造师注册证书、项目负责人安全生产考核合格证书、身份证</w:t>
      </w:r>
      <w:r>
        <w:rPr>
          <w:rFonts w:hint="eastAsia" w:ascii="Calibri" w:hAnsi="Calibri"/>
          <w:color w:val="auto"/>
          <w:highlight w:val="none"/>
        </w:rPr>
        <w:t>的</w:t>
      </w:r>
      <w:r>
        <w:rPr>
          <w:rFonts w:ascii="Calibri" w:hAnsi="Calibri"/>
          <w:color w:val="auto"/>
          <w:highlight w:val="none"/>
        </w:rPr>
        <w:t>复印件。</w:t>
      </w:r>
    </w:p>
    <w:p>
      <w:pPr>
        <w:pStyle w:val="139"/>
        <w:jc w:val="center"/>
        <w:rPr>
          <w:rFonts w:ascii="黑体" w:hAnsi="黑体" w:eastAsia="黑体"/>
          <w:color w:val="auto"/>
          <w:szCs w:val="21"/>
          <w:highlight w:val="none"/>
        </w:rPr>
      </w:pPr>
      <w:r>
        <w:rPr>
          <w:rFonts w:ascii="Times New Roman" w:eastAsia="黑体"/>
          <w:color w:val="auto"/>
          <w:sz w:val="24"/>
          <w:highlight w:val="none"/>
        </w:rPr>
        <w:br w:type="page"/>
      </w:r>
      <w:bookmarkStart w:id="214" w:name="_Hlk53732923"/>
      <w:r>
        <w:rPr>
          <w:rFonts w:ascii="黑体" w:hAnsi="黑体" w:eastAsia="黑体"/>
          <w:b w:val="0"/>
          <w:color w:val="auto"/>
          <w:sz w:val="24"/>
          <w:highlight w:val="none"/>
        </w:rPr>
        <w:fldChar w:fldCharType="begin"/>
      </w:r>
      <w:r>
        <w:rPr>
          <w:rFonts w:ascii="黑体" w:hAnsi="黑体" w:eastAsia="黑体"/>
          <w:b w:val="0"/>
          <w:color w:val="auto"/>
          <w:sz w:val="24"/>
          <w:highlight w:val="none"/>
        </w:rPr>
        <w:instrText xml:space="preserve"> </w:instrText>
      </w:r>
      <w:r>
        <w:rPr>
          <w:rFonts w:hint="eastAsia" w:ascii="黑体" w:hAnsi="黑体" w:eastAsia="黑体"/>
          <w:b w:val="0"/>
          <w:color w:val="auto"/>
          <w:sz w:val="24"/>
          <w:highlight w:val="none"/>
        </w:rPr>
        <w:instrText xml:space="preserve">= 3 \* GB3</w:instrText>
      </w:r>
      <w:r>
        <w:rPr>
          <w:rFonts w:ascii="黑体" w:hAnsi="黑体" w:eastAsia="黑体"/>
          <w:b w:val="0"/>
          <w:color w:val="auto"/>
          <w:sz w:val="24"/>
          <w:highlight w:val="none"/>
        </w:rPr>
        <w:instrText xml:space="preserve"> </w:instrText>
      </w:r>
      <w:r>
        <w:rPr>
          <w:rFonts w:ascii="黑体" w:hAnsi="黑体" w:eastAsia="黑体"/>
          <w:b w:val="0"/>
          <w:color w:val="auto"/>
          <w:sz w:val="24"/>
          <w:highlight w:val="none"/>
        </w:rPr>
        <w:fldChar w:fldCharType="separate"/>
      </w:r>
      <w:r>
        <w:rPr>
          <w:rFonts w:hint="eastAsia" w:ascii="黑体" w:hAnsi="黑体" w:eastAsia="黑体"/>
          <w:b w:val="0"/>
          <w:color w:val="auto"/>
          <w:sz w:val="24"/>
          <w:highlight w:val="none"/>
        </w:rPr>
        <w:t>③</w:t>
      </w:r>
      <w:r>
        <w:rPr>
          <w:rFonts w:ascii="黑体" w:hAnsi="黑体" w:eastAsia="黑体"/>
          <w:b w:val="0"/>
          <w:color w:val="auto"/>
          <w:sz w:val="24"/>
          <w:highlight w:val="none"/>
        </w:rPr>
        <w:fldChar w:fldCharType="end"/>
      </w:r>
      <w:r>
        <w:rPr>
          <w:rFonts w:hint="eastAsia" w:ascii="黑体" w:hAnsi="黑体" w:eastAsia="黑体"/>
          <w:b w:val="0"/>
          <w:color w:val="auto"/>
          <w:sz w:val="24"/>
          <w:highlight w:val="none"/>
        </w:rPr>
        <w:t>拟任设计项目</w:t>
      </w:r>
      <w:r>
        <w:rPr>
          <w:rFonts w:ascii="黑体" w:hAnsi="黑体" w:eastAsia="黑体"/>
          <w:b w:val="0"/>
          <w:color w:val="auto"/>
          <w:sz w:val="24"/>
          <w:highlight w:val="none"/>
        </w:rPr>
        <w:t>负责人简历表</w:t>
      </w:r>
    </w:p>
    <w:bookmarkEnd w:id="214"/>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2264"/>
        <w:gridCol w:w="76"/>
        <w:gridCol w:w="2160"/>
        <w:gridCol w:w="28"/>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姓    名</w:t>
            </w:r>
          </w:p>
        </w:tc>
        <w:tc>
          <w:tcPr>
            <w:tcW w:w="2264"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264" w:type="dxa"/>
            <w:gridSpan w:val="3"/>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年    龄</w:t>
            </w:r>
          </w:p>
        </w:tc>
        <w:tc>
          <w:tcPr>
            <w:tcW w:w="2379"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性    别</w:t>
            </w:r>
          </w:p>
        </w:tc>
        <w:tc>
          <w:tcPr>
            <w:tcW w:w="2264"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264" w:type="dxa"/>
            <w:gridSpan w:val="3"/>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毕业</w:t>
            </w:r>
            <w:r>
              <w:rPr>
                <w:rFonts w:hint="default" w:ascii="宋体" w:hAnsi="宋体" w:cs="Calibri"/>
                <w:color w:val="auto"/>
                <w:szCs w:val="21"/>
                <w:highlight w:val="none"/>
              </w:rPr>
              <w:t>学校</w:t>
            </w:r>
          </w:p>
        </w:tc>
        <w:tc>
          <w:tcPr>
            <w:tcW w:w="2379"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岗位名称</w:t>
            </w:r>
          </w:p>
        </w:tc>
        <w:tc>
          <w:tcPr>
            <w:tcW w:w="2264"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264" w:type="dxa"/>
            <w:gridSpan w:val="3"/>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工作年限</w:t>
            </w:r>
          </w:p>
        </w:tc>
        <w:tc>
          <w:tcPr>
            <w:tcW w:w="2379"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eastAsia" w:ascii="宋体" w:hAnsi="宋体" w:cs="Calibri"/>
                <w:color w:val="auto"/>
                <w:highlight w:val="none"/>
              </w:rPr>
              <w:t>执业注册</w:t>
            </w:r>
          </w:p>
        </w:tc>
        <w:tc>
          <w:tcPr>
            <w:tcW w:w="2264"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264" w:type="dxa"/>
            <w:gridSpan w:val="3"/>
            <w:noWrap w:val="0"/>
            <w:vAlign w:val="center"/>
          </w:tcPr>
          <w:p>
            <w:pPr>
              <w:pStyle w:val="140"/>
              <w:keepNext w:val="0"/>
              <w:keepLines w:val="0"/>
              <w:suppressLineNumbers w:val="0"/>
              <w:snapToGrid w:val="0"/>
              <w:spacing w:before="0" w:beforeAutospacing="0" w:after="0" w:afterAutospacing="0"/>
              <w:ind w:left="-2" w:right="0" w:firstLine="10" w:firstLineChars="5"/>
              <w:jc w:val="center"/>
              <w:rPr>
                <w:rFonts w:hint="default" w:ascii="宋体" w:hAnsi="宋体" w:cs="Calibri"/>
                <w:color w:val="auto"/>
                <w:highlight w:val="none"/>
              </w:rPr>
            </w:pPr>
            <w:r>
              <w:rPr>
                <w:rFonts w:hint="default" w:ascii="宋体" w:hAnsi="宋体" w:cs="Calibri"/>
                <w:color w:val="auto"/>
                <w:highlight w:val="none"/>
              </w:rPr>
              <w:t>专业</w:t>
            </w:r>
            <w:r>
              <w:rPr>
                <w:rFonts w:hint="default" w:ascii="宋体" w:hAnsi="宋体" w:cs="Calibri"/>
                <w:color w:val="auto"/>
                <w:szCs w:val="21"/>
                <w:highlight w:val="none"/>
              </w:rPr>
              <w:t>职称</w:t>
            </w:r>
          </w:p>
        </w:tc>
        <w:tc>
          <w:tcPr>
            <w:tcW w:w="2379"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5" w:type="dxa"/>
            <w:gridSpan w:val="6"/>
            <w:noWrap w:val="0"/>
            <w:vAlign w:val="center"/>
          </w:tcPr>
          <w:p>
            <w:pPr>
              <w:pStyle w:val="140"/>
              <w:keepNext w:val="0"/>
              <w:keepLines w:val="0"/>
              <w:suppressLineNumbers w:val="0"/>
              <w:spacing w:before="0" w:beforeAutospacing="0" w:after="0" w:afterAutospacing="0"/>
              <w:ind w:left="0" w:right="0"/>
              <w:jc w:val="center"/>
              <w:rPr>
                <w:rFonts w:hint="default" w:ascii="宋体" w:hAnsi="宋体" w:cs="Calibri"/>
                <w:color w:val="auto"/>
                <w:szCs w:val="21"/>
                <w:highlight w:val="none"/>
              </w:rPr>
            </w:pPr>
            <w:r>
              <w:rPr>
                <w:rFonts w:hint="default" w:ascii="宋体" w:hAnsi="宋体" w:cs="Calibri"/>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28" w:type="dxa"/>
            <w:noWrap w:val="0"/>
            <w:vAlign w:val="center"/>
          </w:tcPr>
          <w:p>
            <w:pPr>
              <w:pStyle w:val="140"/>
              <w:keepNext w:val="0"/>
              <w:keepLines w:val="0"/>
              <w:suppressLineNumbers w:val="0"/>
              <w:spacing w:before="0" w:beforeAutospacing="0" w:after="0" w:afterAutospacing="0"/>
              <w:ind w:left="0" w:right="0"/>
              <w:jc w:val="center"/>
              <w:rPr>
                <w:rFonts w:hint="default" w:ascii="宋体" w:hAnsi="宋体" w:cs="Calibri"/>
                <w:color w:val="auto"/>
                <w:szCs w:val="21"/>
                <w:highlight w:val="none"/>
              </w:rPr>
            </w:pPr>
            <w:r>
              <w:rPr>
                <w:rFonts w:hint="default" w:ascii="宋体" w:hAnsi="宋体" w:cs="Calibri"/>
                <w:color w:val="auto"/>
                <w:szCs w:val="21"/>
                <w:highlight w:val="none"/>
              </w:rPr>
              <w:t>起止时间</w:t>
            </w:r>
          </w:p>
        </w:tc>
        <w:tc>
          <w:tcPr>
            <w:tcW w:w="2340" w:type="dxa"/>
            <w:gridSpan w:val="2"/>
            <w:noWrap w:val="0"/>
            <w:vAlign w:val="center"/>
          </w:tcPr>
          <w:p>
            <w:pPr>
              <w:pStyle w:val="140"/>
              <w:keepNext w:val="0"/>
              <w:keepLines w:val="0"/>
              <w:suppressLineNumbers w:val="0"/>
              <w:spacing w:before="0" w:beforeAutospacing="0" w:after="0" w:afterAutospacing="0"/>
              <w:ind w:left="0" w:right="0"/>
              <w:jc w:val="center"/>
              <w:rPr>
                <w:rFonts w:hint="default" w:ascii="宋体" w:hAnsi="宋体" w:cs="Calibri"/>
                <w:color w:val="auto"/>
                <w:szCs w:val="21"/>
                <w:highlight w:val="none"/>
              </w:rPr>
            </w:pPr>
            <w:r>
              <w:rPr>
                <w:rFonts w:hint="default" w:ascii="宋体" w:hAnsi="宋体" w:cs="Calibri"/>
                <w:color w:val="auto"/>
                <w:szCs w:val="21"/>
                <w:highlight w:val="none"/>
              </w:rPr>
              <w:t>参加过的类似项目名称</w:t>
            </w:r>
          </w:p>
        </w:tc>
        <w:tc>
          <w:tcPr>
            <w:tcW w:w="2160" w:type="dxa"/>
            <w:noWrap w:val="0"/>
            <w:vAlign w:val="center"/>
          </w:tcPr>
          <w:p>
            <w:pPr>
              <w:pStyle w:val="140"/>
              <w:keepNext w:val="0"/>
              <w:keepLines w:val="0"/>
              <w:suppressLineNumbers w:val="0"/>
              <w:spacing w:before="0" w:beforeAutospacing="0" w:after="0" w:afterAutospacing="0"/>
              <w:ind w:left="0" w:right="0"/>
              <w:jc w:val="center"/>
              <w:rPr>
                <w:rFonts w:hint="default" w:ascii="宋体" w:hAnsi="宋体" w:cs="Calibri"/>
                <w:color w:val="auto"/>
                <w:szCs w:val="21"/>
                <w:highlight w:val="none"/>
              </w:rPr>
            </w:pPr>
            <w:r>
              <w:rPr>
                <w:rFonts w:hint="default" w:ascii="宋体" w:hAnsi="宋体" w:cs="Calibri"/>
                <w:color w:val="auto"/>
                <w:szCs w:val="21"/>
                <w:highlight w:val="none"/>
              </w:rPr>
              <w:t>工程概况说明</w:t>
            </w:r>
          </w:p>
        </w:tc>
        <w:tc>
          <w:tcPr>
            <w:tcW w:w="2407" w:type="dxa"/>
            <w:gridSpan w:val="2"/>
            <w:noWrap w:val="0"/>
            <w:vAlign w:val="center"/>
          </w:tcPr>
          <w:p>
            <w:pPr>
              <w:pStyle w:val="140"/>
              <w:keepNext w:val="0"/>
              <w:keepLines w:val="0"/>
              <w:suppressLineNumbers w:val="0"/>
              <w:spacing w:before="0" w:beforeAutospacing="0" w:after="0" w:afterAutospacing="0"/>
              <w:ind w:left="0" w:right="0"/>
              <w:jc w:val="center"/>
              <w:rPr>
                <w:rFonts w:hint="default" w:ascii="宋体" w:hAnsi="宋体" w:cs="Calibri"/>
                <w:color w:val="auto"/>
                <w:szCs w:val="21"/>
                <w:highlight w:val="none"/>
              </w:rPr>
            </w:pPr>
            <w:r>
              <w:rPr>
                <w:rFonts w:hint="default" w:ascii="宋体" w:hAnsi="宋体" w:cs="Calibri"/>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28" w:type="dxa"/>
            <w:noWrap w:val="0"/>
            <w:vAlign w:val="center"/>
          </w:tcPr>
          <w:p>
            <w:pPr>
              <w:pStyle w:val="140"/>
              <w:keepNext w:val="0"/>
              <w:keepLines w:val="0"/>
              <w:suppressLineNumbers w:val="0"/>
              <w:snapToGrid w:val="0"/>
              <w:spacing w:before="0" w:beforeAutospacing="0" w:after="0" w:afterAutospacing="0"/>
              <w:ind w:left="0" w:right="0"/>
              <w:rPr>
                <w:rFonts w:hint="default" w:ascii="宋体" w:hAnsi="宋体" w:cs="Calibri"/>
                <w:color w:val="auto"/>
                <w:szCs w:val="21"/>
                <w:highlight w:val="none"/>
              </w:rPr>
            </w:pPr>
          </w:p>
        </w:tc>
        <w:tc>
          <w:tcPr>
            <w:tcW w:w="2340"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160" w:type="dxa"/>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c>
          <w:tcPr>
            <w:tcW w:w="2407" w:type="dxa"/>
            <w:gridSpan w:val="2"/>
            <w:noWrap w:val="0"/>
            <w:vAlign w:val="center"/>
          </w:tcPr>
          <w:p>
            <w:pPr>
              <w:pStyle w:val="140"/>
              <w:keepNext w:val="0"/>
              <w:keepLines w:val="0"/>
              <w:suppressLineNumbers w:val="0"/>
              <w:snapToGrid w:val="0"/>
              <w:spacing w:before="0" w:beforeAutospacing="0" w:after="0" w:afterAutospacing="0"/>
              <w:ind w:left="0" w:right="0" w:firstLine="420" w:firstLineChars="200"/>
              <w:jc w:val="center"/>
              <w:rPr>
                <w:rFonts w:hint="default" w:ascii="宋体" w:hAnsi="宋体" w:cs="Calibri"/>
                <w:color w:val="auto"/>
                <w:highlight w:val="none"/>
              </w:rPr>
            </w:pPr>
          </w:p>
        </w:tc>
      </w:tr>
    </w:tbl>
    <w:p>
      <w:pPr>
        <w:rPr>
          <w:color w:val="auto"/>
          <w:highlight w:val="none"/>
        </w:rPr>
      </w:pPr>
      <w:r>
        <w:rPr>
          <w:rFonts w:hint="eastAsia" w:ascii="宋体" w:hAnsi="宋体"/>
          <w:color w:val="auto"/>
          <w:szCs w:val="21"/>
          <w:highlight w:val="none"/>
        </w:rPr>
        <w:t>说明：1、</w:t>
      </w:r>
      <w:r>
        <w:rPr>
          <w:rFonts w:ascii="宋体" w:hAnsi="宋体"/>
          <w:color w:val="auto"/>
          <w:szCs w:val="21"/>
          <w:highlight w:val="none"/>
        </w:rPr>
        <w:t>请</w:t>
      </w:r>
      <w:r>
        <w:rPr>
          <w:rFonts w:hint="eastAsia" w:ascii="宋体" w:hAnsi="宋体"/>
          <w:color w:val="auto"/>
          <w:szCs w:val="21"/>
          <w:highlight w:val="none"/>
        </w:rPr>
        <w:t>附</w:t>
      </w:r>
      <w:r>
        <w:rPr>
          <w:rFonts w:ascii="宋体" w:hAnsi="宋体"/>
          <w:color w:val="auto"/>
          <w:szCs w:val="21"/>
          <w:highlight w:val="none"/>
        </w:rPr>
        <w:t>拟任</w:t>
      </w:r>
      <w:r>
        <w:rPr>
          <w:rFonts w:hint="eastAsia" w:ascii="宋体" w:hAnsi="宋体"/>
          <w:color w:val="auto"/>
          <w:szCs w:val="21"/>
          <w:highlight w:val="none"/>
        </w:rPr>
        <w:t>设计项目</w:t>
      </w:r>
      <w:r>
        <w:rPr>
          <w:rFonts w:ascii="宋体" w:hAnsi="宋体"/>
          <w:color w:val="auto"/>
          <w:szCs w:val="21"/>
          <w:highlight w:val="none"/>
        </w:rPr>
        <w:t>负责人的</w:t>
      </w:r>
      <w:r>
        <w:rPr>
          <w:rFonts w:hint="eastAsia" w:ascii="Calibri" w:hAnsi="Calibri"/>
          <w:color w:val="auto"/>
          <w:highlight w:val="none"/>
        </w:rPr>
        <w:t>注册执业资格</w:t>
      </w:r>
      <w:r>
        <w:rPr>
          <w:rFonts w:ascii="Calibri" w:hAnsi="Calibri"/>
          <w:color w:val="auto"/>
          <w:highlight w:val="none"/>
        </w:rPr>
        <w:t>证书</w:t>
      </w:r>
      <w:r>
        <w:rPr>
          <w:rFonts w:hint="eastAsia" w:ascii="Calibri" w:hAnsi="Calibri"/>
          <w:color w:val="auto"/>
          <w:highlight w:val="none"/>
        </w:rPr>
        <w:t>或职称证书</w:t>
      </w:r>
      <w:r>
        <w:rPr>
          <w:rFonts w:ascii="宋体" w:hAnsi="宋体"/>
          <w:color w:val="auto"/>
          <w:szCs w:val="21"/>
          <w:highlight w:val="none"/>
        </w:rPr>
        <w:t>、身份证复印件</w:t>
      </w:r>
      <w:r>
        <w:rPr>
          <w:rFonts w:hint="eastAsia" w:ascii="宋体" w:hAnsi="宋体"/>
          <w:bCs/>
          <w:color w:val="auto"/>
          <w:highlight w:val="none"/>
        </w:rPr>
        <w:t>。</w:t>
      </w:r>
    </w:p>
    <w:p>
      <w:pPr>
        <w:rPr>
          <w:color w:val="auto"/>
          <w:highlight w:val="none"/>
        </w:rPr>
      </w:pPr>
    </w:p>
    <w:p>
      <w:pPr>
        <w:rPr>
          <w:color w:val="auto"/>
          <w:highlight w:val="none"/>
        </w:rPr>
      </w:pPr>
    </w:p>
    <w:p>
      <w:pPr>
        <w:rPr>
          <w:color w:val="auto"/>
          <w:highlight w:val="none"/>
        </w:rPr>
      </w:pPr>
      <w:r>
        <w:rPr>
          <w:color w:val="auto"/>
          <w:highlight w:val="none"/>
        </w:rPr>
        <w:br w:type="page"/>
      </w:r>
    </w:p>
    <w:p>
      <w:pPr>
        <w:pStyle w:val="6"/>
        <w:jc w:val="center"/>
        <w:rPr>
          <w:rFonts w:ascii="Times New Roman" w:hAnsi="Times New Roman" w:eastAsia="黑体"/>
          <w:b w:val="0"/>
          <w:bCs w:val="0"/>
          <w:color w:val="auto"/>
          <w:sz w:val="30"/>
          <w:szCs w:val="30"/>
          <w:highlight w:val="none"/>
        </w:rPr>
      </w:pPr>
      <w:bookmarkStart w:id="215" w:name="_Toc23745"/>
      <w:bookmarkStart w:id="216" w:name="_Toc9178586"/>
      <w:bookmarkStart w:id="217" w:name="_Toc69199940"/>
      <w:r>
        <w:rPr>
          <w:rFonts w:hint="eastAsia" w:ascii="Times New Roman" w:hAnsi="Times New Roman" w:eastAsia="黑体"/>
          <w:b w:val="0"/>
          <w:bCs w:val="0"/>
          <w:color w:val="auto"/>
          <w:sz w:val="30"/>
          <w:szCs w:val="30"/>
          <w:highlight w:val="none"/>
        </w:rPr>
        <w:t>7.</w:t>
      </w:r>
      <w:r>
        <w:rPr>
          <w:rFonts w:ascii="Times New Roman" w:hAnsi="Times New Roman" w:eastAsia="黑体"/>
          <w:b w:val="0"/>
          <w:bCs w:val="0"/>
          <w:color w:val="auto"/>
          <w:sz w:val="30"/>
          <w:szCs w:val="30"/>
          <w:highlight w:val="none"/>
        </w:rPr>
        <w:t>拟分包计划表</w:t>
      </w:r>
      <w:bookmarkEnd w:id="211"/>
      <w:bookmarkEnd w:id="215"/>
      <w:bookmarkEnd w:id="216"/>
      <w:bookmarkEnd w:id="217"/>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15"/>
        <w:gridCol w:w="751"/>
        <w:gridCol w:w="950"/>
        <w:gridCol w:w="1070"/>
        <w:gridCol w:w="1065"/>
        <w:gridCol w:w="1065"/>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序号</w:t>
            </w:r>
          </w:p>
        </w:tc>
        <w:tc>
          <w:tcPr>
            <w:tcW w:w="191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拟分包项目名称、范围及理由</w:t>
            </w:r>
          </w:p>
        </w:tc>
        <w:tc>
          <w:tcPr>
            <w:tcW w:w="4901" w:type="dxa"/>
            <w:gridSpan w:val="5"/>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拟选分包人</w:t>
            </w:r>
          </w:p>
        </w:tc>
        <w:tc>
          <w:tcPr>
            <w:tcW w:w="639"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701"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拟选分包人名称</w:t>
            </w: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注册地点</w:t>
            </w: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企业资质</w:t>
            </w: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有关业绩</w:t>
            </w:r>
          </w:p>
        </w:tc>
        <w:tc>
          <w:tcPr>
            <w:tcW w:w="639"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2</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3</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2</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3</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2</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3</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1</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2</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noWrap w:val="0"/>
            <w:tcMar>
              <w:left w:w="108" w:type="dxa"/>
              <w:right w:w="108" w:type="dxa"/>
            </w:tcMar>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15"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5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3</w:t>
            </w:r>
          </w:p>
        </w:tc>
        <w:tc>
          <w:tcPr>
            <w:tcW w:w="95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70"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63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bl>
    <w:p>
      <w:pPr>
        <w:spacing w:line="360" w:lineRule="auto"/>
        <w:ind w:right="420"/>
        <w:rPr>
          <w:color w:val="auto"/>
          <w:sz w:val="18"/>
          <w:szCs w:val="18"/>
          <w:highlight w:val="none"/>
        </w:rPr>
      </w:pPr>
      <w:r>
        <w:rPr>
          <w:color w:val="auto"/>
          <w:sz w:val="18"/>
          <w:szCs w:val="18"/>
          <w:highlight w:val="none"/>
        </w:rPr>
        <w:t xml:space="preserve">    </w:t>
      </w:r>
      <w:r>
        <w:rPr>
          <w:rFonts w:hint="eastAsia"/>
          <w:color w:val="auto"/>
          <w:sz w:val="18"/>
          <w:szCs w:val="18"/>
          <w:highlight w:val="none"/>
        </w:rPr>
        <w:t>说明</w:t>
      </w:r>
      <w:r>
        <w:rPr>
          <w:color w:val="auto"/>
          <w:sz w:val="18"/>
          <w:szCs w:val="18"/>
          <w:highlight w:val="none"/>
        </w:rPr>
        <w:t>：本表所列分包仅限于承包人自行</w:t>
      </w:r>
      <w:r>
        <w:rPr>
          <w:rFonts w:hint="eastAsia"/>
          <w:color w:val="auto"/>
          <w:sz w:val="18"/>
          <w:szCs w:val="18"/>
          <w:highlight w:val="none"/>
        </w:rPr>
        <w:t>承包</w:t>
      </w:r>
      <w:r>
        <w:rPr>
          <w:color w:val="auto"/>
          <w:sz w:val="18"/>
          <w:szCs w:val="18"/>
          <w:highlight w:val="none"/>
        </w:rPr>
        <w:t>范围内的非主体、非关键工程。</w:t>
      </w:r>
    </w:p>
    <w:p>
      <w:pPr>
        <w:spacing w:line="360" w:lineRule="auto"/>
        <w:ind w:right="420"/>
        <w:rPr>
          <w:color w:val="auto"/>
          <w:sz w:val="18"/>
          <w:szCs w:val="18"/>
          <w:highlight w:val="none"/>
        </w:rPr>
      </w:pPr>
      <w:bookmarkStart w:id="218" w:name="_Toc300678580"/>
      <w:r>
        <w:rPr>
          <w:rFonts w:eastAsia="黑体"/>
          <w:bCs/>
          <w:color w:val="auto"/>
          <w:sz w:val="28"/>
          <w:szCs w:val="28"/>
          <w:highlight w:val="none"/>
        </w:rPr>
        <w:br w:type="page"/>
      </w:r>
    </w:p>
    <w:p>
      <w:pPr>
        <w:pStyle w:val="6"/>
        <w:jc w:val="center"/>
        <w:rPr>
          <w:rFonts w:ascii="Times New Roman" w:hAnsi="Times New Roman" w:eastAsia="黑体"/>
          <w:b w:val="0"/>
          <w:bCs w:val="0"/>
          <w:color w:val="auto"/>
          <w:sz w:val="30"/>
          <w:highlight w:val="none"/>
        </w:rPr>
      </w:pPr>
      <w:bookmarkStart w:id="219" w:name="_Toc9178587"/>
      <w:bookmarkStart w:id="220" w:name="_Toc31727"/>
      <w:bookmarkStart w:id="221" w:name="_Toc69199941"/>
      <w:r>
        <w:rPr>
          <w:rFonts w:hint="eastAsia" w:ascii="Times New Roman" w:hAnsi="Times New Roman" w:eastAsia="黑体"/>
          <w:b w:val="0"/>
          <w:bCs w:val="0"/>
          <w:color w:val="auto"/>
          <w:sz w:val="30"/>
          <w:highlight w:val="none"/>
        </w:rPr>
        <w:t>8.</w:t>
      </w:r>
      <w:r>
        <w:rPr>
          <w:rFonts w:ascii="Times New Roman" w:hAnsi="Times New Roman" w:eastAsia="黑体"/>
          <w:b w:val="0"/>
          <w:bCs w:val="0"/>
          <w:color w:val="auto"/>
          <w:sz w:val="30"/>
          <w:highlight w:val="none"/>
        </w:rPr>
        <w:t>资格审查</w:t>
      </w:r>
      <w:r>
        <w:rPr>
          <w:rFonts w:hint="eastAsia" w:ascii="Times New Roman" w:hAnsi="Times New Roman" w:eastAsia="黑体"/>
          <w:b w:val="0"/>
          <w:bCs w:val="0"/>
          <w:color w:val="auto"/>
          <w:sz w:val="30"/>
          <w:highlight w:val="none"/>
        </w:rPr>
        <w:t>、信用等</w:t>
      </w:r>
      <w:r>
        <w:rPr>
          <w:rFonts w:ascii="Times New Roman" w:hAnsi="Times New Roman" w:eastAsia="黑体"/>
          <w:b w:val="0"/>
          <w:bCs w:val="0"/>
          <w:color w:val="auto"/>
          <w:sz w:val="30"/>
          <w:highlight w:val="none"/>
        </w:rPr>
        <w:t>资料</w:t>
      </w:r>
      <w:bookmarkEnd w:id="218"/>
      <w:bookmarkEnd w:id="219"/>
      <w:bookmarkEnd w:id="220"/>
      <w:bookmarkEnd w:id="221"/>
    </w:p>
    <w:p>
      <w:pPr>
        <w:pStyle w:val="8"/>
        <w:ind w:firstLine="240" w:firstLineChars="100"/>
        <w:jc w:val="center"/>
        <w:rPr>
          <w:rFonts w:ascii="Times New Roman" w:hAnsi="Times New Roman" w:eastAsia="黑体"/>
          <w:b w:val="0"/>
          <w:bCs w:val="0"/>
          <w:color w:val="auto"/>
          <w:sz w:val="24"/>
          <w:highlight w:val="none"/>
        </w:rPr>
      </w:pPr>
      <w:bookmarkStart w:id="222" w:name="_Toc300678581"/>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1</w:t>
      </w:r>
      <w:r>
        <w:rPr>
          <w:rFonts w:ascii="Times New Roman" w:hAnsi="Times New Roman" w:eastAsia="黑体"/>
          <w:b w:val="0"/>
          <w:bCs w:val="0"/>
          <w:color w:val="auto"/>
          <w:sz w:val="24"/>
          <w:highlight w:val="none"/>
        </w:rPr>
        <w:t>）投标人基本情况表</w:t>
      </w:r>
      <w:bookmarkEnd w:id="222"/>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897"/>
        <w:gridCol w:w="1021"/>
        <w:gridCol w:w="993"/>
        <w:gridCol w:w="283"/>
        <w:gridCol w:w="195"/>
        <w:gridCol w:w="1246"/>
        <w:gridCol w:w="260"/>
        <w:gridCol w:w="709"/>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投标人名称</w:t>
            </w:r>
          </w:p>
        </w:tc>
        <w:tc>
          <w:tcPr>
            <w:tcW w:w="6805" w:type="dxa"/>
            <w:gridSpan w:val="9"/>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注册地址</w:t>
            </w:r>
          </w:p>
        </w:tc>
        <w:tc>
          <w:tcPr>
            <w:tcW w:w="3389" w:type="dxa"/>
            <w:gridSpan w:val="5"/>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46"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邮政编码</w:t>
            </w:r>
          </w:p>
        </w:tc>
        <w:tc>
          <w:tcPr>
            <w:tcW w:w="2170"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联系方式</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联系人</w:t>
            </w:r>
          </w:p>
        </w:tc>
        <w:tc>
          <w:tcPr>
            <w:tcW w:w="2492"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46"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电  话</w:t>
            </w:r>
          </w:p>
        </w:tc>
        <w:tc>
          <w:tcPr>
            <w:tcW w:w="2170"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传  真</w:t>
            </w:r>
          </w:p>
        </w:tc>
        <w:tc>
          <w:tcPr>
            <w:tcW w:w="2492"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46"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网  址</w:t>
            </w:r>
          </w:p>
        </w:tc>
        <w:tc>
          <w:tcPr>
            <w:tcW w:w="2170"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组织结构</w:t>
            </w:r>
          </w:p>
        </w:tc>
        <w:tc>
          <w:tcPr>
            <w:tcW w:w="6805" w:type="dxa"/>
            <w:gridSpan w:val="9"/>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法定代表人</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姓名</w:t>
            </w: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76"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技术职称</w:t>
            </w:r>
          </w:p>
        </w:tc>
        <w:tc>
          <w:tcPr>
            <w:tcW w:w="1701"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0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电话</w:t>
            </w:r>
          </w:p>
        </w:tc>
        <w:tc>
          <w:tcPr>
            <w:tcW w:w="120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技术负责人</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姓名</w:t>
            </w: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276"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技术职称</w:t>
            </w:r>
          </w:p>
        </w:tc>
        <w:tc>
          <w:tcPr>
            <w:tcW w:w="1701" w:type="dxa"/>
            <w:gridSpan w:val="3"/>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709"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电话</w:t>
            </w:r>
          </w:p>
        </w:tc>
        <w:tc>
          <w:tcPr>
            <w:tcW w:w="120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成立时间</w:t>
            </w:r>
          </w:p>
        </w:tc>
        <w:tc>
          <w:tcPr>
            <w:tcW w:w="1918"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4887" w:type="dxa"/>
            <w:gridSpan w:val="7"/>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企业资质等级</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993" w:type="dxa"/>
            <w:vMerge w:val="restart"/>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其中</w:t>
            </w:r>
          </w:p>
        </w:tc>
        <w:tc>
          <w:tcPr>
            <w:tcW w:w="1984"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项目经理人员</w:t>
            </w:r>
          </w:p>
        </w:tc>
        <w:tc>
          <w:tcPr>
            <w:tcW w:w="1910"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营业执照号</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993"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84"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高级职称人员</w:t>
            </w:r>
          </w:p>
        </w:tc>
        <w:tc>
          <w:tcPr>
            <w:tcW w:w="1910"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注册资金</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993"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84"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中级职称人员</w:t>
            </w:r>
          </w:p>
        </w:tc>
        <w:tc>
          <w:tcPr>
            <w:tcW w:w="1910"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开户银行</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993"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84"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初级职称人员</w:t>
            </w:r>
          </w:p>
        </w:tc>
        <w:tc>
          <w:tcPr>
            <w:tcW w:w="1910"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账号</w:t>
            </w:r>
          </w:p>
        </w:tc>
        <w:tc>
          <w:tcPr>
            <w:tcW w:w="897"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02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993" w:type="dxa"/>
            <w:vMerge w:val="continue"/>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c>
          <w:tcPr>
            <w:tcW w:w="1984"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技  工</w:t>
            </w:r>
          </w:p>
        </w:tc>
        <w:tc>
          <w:tcPr>
            <w:tcW w:w="1910" w:type="dxa"/>
            <w:gridSpan w:val="2"/>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经营范围</w:t>
            </w:r>
          </w:p>
        </w:tc>
        <w:tc>
          <w:tcPr>
            <w:tcW w:w="6805" w:type="dxa"/>
            <w:gridSpan w:val="9"/>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531" w:type="dxa"/>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default" w:ascii="Calibri" w:hAnsi="Calibri" w:cs="Calibri"/>
                <w:color w:val="auto"/>
                <w:sz w:val="18"/>
                <w:szCs w:val="21"/>
                <w:highlight w:val="none"/>
              </w:rPr>
              <w:t>备注</w:t>
            </w:r>
          </w:p>
        </w:tc>
        <w:tc>
          <w:tcPr>
            <w:tcW w:w="6805" w:type="dxa"/>
            <w:gridSpan w:val="9"/>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p>
        </w:tc>
      </w:tr>
    </w:tbl>
    <w:p>
      <w:pPr>
        <w:spacing w:before="120" w:beforeLines="50" w:after="240" w:afterLines="100" w:line="440" w:lineRule="exact"/>
        <w:rPr>
          <w:rFonts w:ascii="宋体" w:hAnsi="宋体" w:cs="Arial"/>
          <w:color w:val="auto"/>
          <w:szCs w:val="21"/>
          <w:highlight w:val="none"/>
        </w:rPr>
      </w:pPr>
      <w:r>
        <w:rPr>
          <w:rFonts w:hint="eastAsia" w:ascii="宋体" w:hAnsi="宋体" w:cs="Arial"/>
          <w:color w:val="auto"/>
          <w:szCs w:val="21"/>
          <w:highlight w:val="none"/>
        </w:rPr>
        <w:t>说明：若以联合体形式投标的，则联合体各成员均须分别填写《投标人基本情况表》。</w:t>
      </w:r>
    </w:p>
    <w:p>
      <w:pPr>
        <w:spacing w:line="300" w:lineRule="auto"/>
        <w:ind w:left="720" w:hanging="720" w:hangingChars="300"/>
        <w:rPr>
          <w:color w:val="auto"/>
          <w:sz w:val="18"/>
          <w:szCs w:val="18"/>
          <w:highlight w:val="none"/>
        </w:rPr>
      </w:pPr>
      <w:r>
        <w:rPr>
          <w:rFonts w:eastAsia="黑体"/>
          <w:color w:val="auto"/>
          <w:sz w:val="24"/>
          <w:highlight w:val="none"/>
        </w:rPr>
        <w:br w:type="page"/>
      </w:r>
    </w:p>
    <w:p>
      <w:pPr>
        <w:spacing w:line="300" w:lineRule="auto"/>
        <w:ind w:left="540" w:hanging="540" w:hangingChars="300"/>
        <w:rPr>
          <w:color w:val="auto"/>
          <w:sz w:val="18"/>
          <w:szCs w:val="18"/>
          <w:highlight w:val="none"/>
        </w:rPr>
      </w:pPr>
    </w:p>
    <w:p>
      <w:pPr>
        <w:pStyle w:val="8"/>
        <w:jc w:val="center"/>
        <w:rPr>
          <w:rFonts w:ascii="Times New Roman" w:hAnsi="Times New Roman" w:eastAsia="黑体"/>
          <w:b w:val="0"/>
          <w:bCs w:val="0"/>
          <w:color w:val="auto"/>
          <w:sz w:val="24"/>
          <w:highlight w:val="none"/>
        </w:rPr>
      </w:pPr>
      <w:bookmarkStart w:id="223" w:name="_Toc300678583"/>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2</w:t>
      </w:r>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投标人</w:t>
      </w:r>
      <w:r>
        <w:rPr>
          <w:rFonts w:ascii="Times New Roman" w:hAnsi="Times New Roman" w:eastAsia="黑体"/>
          <w:b w:val="0"/>
          <w:bCs w:val="0"/>
          <w:color w:val="auto"/>
          <w:sz w:val="24"/>
          <w:highlight w:val="none"/>
        </w:rPr>
        <w:t>证件复印件</w:t>
      </w:r>
    </w:p>
    <w:p>
      <w:pPr>
        <w:spacing w:line="360" w:lineRule="auto"/>
        <w:ind w:firstLine="525" w:firstLineChars="250"/>
        <w:rPr>
          <w:color w:val="auto"/>
          <w:szCs w:val="21"/>
          <w:highlight w:val="none"/>
        </w:rPr>
      </w:pPr>
      <w:r>
        <w:rPr>
          <w:rFonts w:hint="eastAsia"/>
          <w:color w:val="auto"/>
          <w:szCs w:val="21"/>
          <w:highlight w:val="none"/>
        </w:rPr>
        <w:t>说明：复印件</w:t>
      </w:r>
      <w:r>
        <w:rPr>
          <w:color w:val="auto"/>
          <w:szCs w:val="21"/>
          <w:highlight w:val="none"/>
        </w:rPr>
        <w:t>包</w:t>
      </w:r>
      <w:r>
        <w:rPr>
          <w:rFonts w:hint="eastAsia"/>
          <w:color w:val="auto"/>
          <w:szCs w:val="21"/>
          <w:highlight w:val="none"/>
        </w:rPr>
        <w:t>括</w:t>
      </w:r>
      <w:r>
        <w:rPr>
          <w:color w:val="auto"/>
          <w:szCs w:val="21"/>
          <w:highlight w:val="none"/>
        </w:rPr>
        <w:t>企业营业执照、资质证书、安全生产许可证书的复印件</w:t>
      </w:r>
      <w:r>
        <w:rPr>
          <w:rFonts w:hint="eastAsia"/>
          <w:color w:val="auto"/>
          <w:szCs w:val="21"/>
          <w:highlight w:val="none"/>
        </w:rPr>
        <w:t>。同时，请</w:t>
      </w:r>
      <w:r>
        <w:rPr>
          <w:color w:val="auto"/>
          <w:highlight w:val="none"/>
        </w:rPr>
        <w:t>省外入湘企业</w:t>
      </w:r>
      <w:r>
        <w:rPr>
          <w:rFonts w:hint="eastAsia"/>
          <w:color w:val="auto"/>
          <w:highlight w:val="none"/>
        </w:rPr>
        <w:t>附在</w:t>
      </w:r>
      <w:r>
        <w:rPr>
          <w:color w:val="auto"/>
          <w:highlight w:val="none"/>
        </w:rPr>
        <w:t xml:space="preserve"> “湖南省住房和城乡建设网” 进行基本信息登记</w:t>
      </w:r>
      <w:r>
        <w:rPr>
          <w:rFonts w:hint="eastAsia"/>
          <w:bCs/>
          <w:color w:val="auto"/>
          <w:highlight w:val="none"/>
        </w:rPr>
        <w:t>的网页</w:t>
      </w:r>
      <w:r>
        <w:rPr>
          <w:bCs/>
          <w:color w:val="auto"/>
          <w:highlight w:val="none"/>
        </w:rPr>
        <w:t>截图</w:t>
      </w:r>
      <w:r>
        <w:rPr>
          <w:color w:val="auto"/>
          <w:szCs w:val="21"/>
          <w:highlight w:val="none"/>
        </w:rPr>
        <w:t>。</w:t>
      </w:r>
    </w:p>
    <w:p>
      <w:pPr>
        <w:spacing w:line="360" w:lineRule="auto"/>
        <w:ind w:firstLine="525" w:firstLineChars="250"/>
        <w:rPr>
          <w:color w:val="auto"/>
          <w:szCs w:val="21"/>
          <w:highlight w:val="none"/>
        </w:rPr>
      </w:pPr>
      <w:r>
        <w:rPr>
          <w:rFonts w:hint="eastAsia" w:ascii="宋体" w:hAnsi="宋体" w:cs="Arial"/>
          <w:color w:val="auto"/>
          <w:szCs w:val="21"/>
          <w:highlight w:val="none"/>
        </w:rPr>
        <w:t>若以联合体形式投标的，则联合体各成员分别提供。</w:t>
      </w:r>
    </w:p>
    <w:p>
      <w:pPr>
        <w:pStyle w:val="8"/>
        <w:jc w:val="center"/>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br w:type="page"/>
      </w:r>
      <w:r>
        <w:rPr>
          <w:rFonts w:ascii="Times New Roman" w:hAnsi="Times New Roman" w:eastAsia="黑体"/>
          <w:b w:val="0"/>
          <w:bCs w:val="0"/>
          <w:color w:val="auto"/>
          <w:sz w:val="24"/>
          <w:highlight w:val="none"/>
        </w:rPr>
        <w:t>（</w:t>
      </w:r>
      <w:r>
        <w:rPr>
          <w:rFonts w:hint="eastAsia" w:ascii="Times New Roman" w:hAnsi="Times New Roman" w:eastAsia="黑体"/>
          <w:b w:val="0"/>
          <w:bCs w:val="0"/>
          <w:color w:val="auto"/>
          <w:sz w:val="24"/>
          <w:highlight w:val="none"/>
        </w:rPr>
        <w:t>3</w:t>
      </w:r>
      <w:r>
        <w:rPr>
          <w:rFonts w:ascii="Times New Roman" w:hAnsi="Times New Roman" w:eastAsia="黑体"/>
          <w:b w:val="0"/>
          <w:bCs w:val="0"/>
          <w:color w:val="auto"/>
          <w:sz w:val="24"/>
          <w:highlight w:val="none"/>
        </w:rPr>
        <w:t>）近年完成的类似</w:t>
      </w:r>
      <w:r>
        <w:rPr>
          <w:rFonts w:hint="eastAsia" w:ascii="Times New Roman" w:hAnsi="Times New Roman" w:eastAsia="黑体"/>
          <w:b w:val="0"/>
          <w:bCs w:val="0"/>
          <w:color w:val="auto"/>
          <w:sz w:val="24"/>
          <w:highlight w:val="none"/>
        </w:rPr>
        <w:t>工程业绩</w:t>
      </w:r>
      <w:r>
        <w:rPr>
          <w:rFonts w:ascii="Times New Roman" w:hAnsi="Times New Roman" w:eastAsia="黑体"/>
          <w:b w:val="0"/>
          <w:bCs w:val="0"/>
          <w:color w:val="auto"/>
          <w:sz w:val="24"/>
          <w:highlight w:val="none"/>
        </w:rPr>
        <w:t>情况表</w:t>
      </w:r>
      <w:bookmarkEnd w:id="223"/>
    </w:p>
    <w:p>
      <w:pPr>
        <w:spacing w:line="400" w:lineRule="exact"/>
        <w:jc w:val="left"/>
        <w:rPr>
          <w:rFonts w:ascii="Calibri" w:hAnsi="Calibri"/>
          <w:color w:val="auto"/>
          <w:highlight w:val="none"/>
        </w:rPr>
      </w:pPr>
      <w:r>
        <w:rPr>
          <w:rFonts w:hint="eastAsia" w:ascii="Calibri" w:hAnsi="Calibri"/>
          <w:color w:val="auto"/>
          <w:highlight w:val="none"/>
        </w:rPr>
        <w:t>说明：投标人根据所提供的类似工程业绩类型填写。</w:t>
      </w:r>
    </w:p>
    <w:p>
      <w:pPr>
        <w:spacing w:line="400" w:lineRule="exact"/>
        <w:jc w:val="center"/>
        <w:rPr>
          <w:rFonts w:hint="eastAsia" w:ascii="Calibri" w:hAnsi="Calibri"/>
          <w:color w:val="auto"/>
          <w:highlight w:val="none"/>
        </w:rPr>
      </w:pPr>
    </w:p>
    <w:p>
      <w:pPr>
        <w:spacing w:line="400" w:lineRule="exact"/>
        <w:jc w:val="center"/>
        <w:rPr>
          <w:rFonts w:hint="eastAsia" w:ascii="宋体" w:hAnsi="宋体" w:cs="宋体"/>
          <w:b/>
          <w:color w:val="auto"/>
          <w:sz w:val="21"/>
          <w:szCs w:val="21"/>
          <w:highlight w:val="none"/>
        </w:rPr>
      </w:pPr>
      <w:r>
        <w:rPr>
          <w:rFonts w:hint="eastAsia" w:ascii="Calibri" w:hAnsi="Calibri"/>
          <w:color w:val="auto"/>
          <w:sz w:val="21"/>
          <w:szCs w:val="21"/>
          <w:highlight w:val="none"/>
        </w:rPr>
        <w:t>①近年完成的类似工程业绩情况表（工程总承包项目）</w:t>
      </w:r>
    </w:p>
    <w:tbl>
      <w:tblPr>
        <w:tblStyle w:val="4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400"/>
        <w:gridCol w:w="229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项目名称</w:t>
            </w:r>
          </w:p>
        </w:tc>
        <w:tc>
          <w:tcPr>
            <w:tcW w:w="240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2295"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198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项目所在地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发包人名称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发包人地址</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发包人联系人及电话</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合同价格</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开工日期</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竣工日期</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承担的工作</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工程质量</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工程总承包项目负责人</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设计项目负责人</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施工项目负责人</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总监理工程师及电话</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项目描述</w:t>
            </w: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40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295"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备     注</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bl>
    <w:p>
      <w:pPr>
        <w:spacing w:line="400" w:lineRule="exact"/>
        <w:ind w:left="-282" w:leftChars="-135" w:right="-286" w:rightChars="-136" w:hanging="1"/>
        <w:rPr>
          <w:rFonts w:ascii="宋体" w:hAnsi="宋体" w:cs="宋体"/>
          <w:color w:val="auto"/>
          <w:szCs w:val="20"/>
          <w:highlight w:val="none"/>
        </w:rPr>
      </w:pPr>
      <w:r>
        <w:rPr>
          <w:rFonts w:hint="eastAsia" w:ascii="宋体" w:hAnsi="宋体" w:cs="宋体"/>
          <w:color w:val="auto"/>
          <w:szCs w:val="20"/>
          <w:highlight w:val="none"/>
        </w:rPr>
        <w:t xml:space="preserve">  说明：1.业绩考核期限1</w:t>
      </w:r>
      <w:r>
        <w:rPr>
          <w:rFonts w:ascii="宋体" w:hAnsi="宋体" w:cs="宋体"/>
          <w:color w:val="auto"/>
          <w:szCs w:val="20"/>
          <w:highlight w:val="none"/>
        </w:rPr>
        <w:t>095</w:t>
      </w:r>
      <w:r>
        <w:rPr>
          <w:rFonts w:hint="eastAsia" w:ascii="宋体" w:hAnsi="宋体" w:cs="宋体"/>
          <w:color w:val="auto"/>
          <w:szCs w:val="20"/>
          <w:highlight w:val="none"/>
        </w:rPr>
        <w:t>天，按工程竣工验收文件中建设单位签字之日起计算。类似工程业绩考核依据中竣工验收备案表未体现建设单位签字之日的以竣工验收备案表“竣工验收日期”栏中注明的时间为准。</w:t>
      </w:r>
    </w:p>
    <w:p>
      <w:pPr>
        <w:snapToGrid w:val="0"/>
        <w:rPr>
          <w:rFonts w:ascii="宋体" w:hAnsi="宋体" w:cs="宋体"/>
          <w:color w:val="auto"/>
          <w:szCs w:val="20"/>
          <w:highlight w:val="none"/>
        </w:rPr>
      </w:pPr>
      <w:r>
        <w:rPr>
          <w:rFonts w:hint="eastAsia" w:ascii="宋体" w:hAnsi="宋体" w:cs="宋体"/>
          <w:color w:val="auto"/>
          <w:szCs w:val="20"/>
          <w:highlight w:val="none"/>
        </w:rPr>
        <w:t xml:space="preserve">     2.请附类似工程业绩证明资料（具体要求见本招标文件第二章投标人须知）。</w:t>
      </w: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ascii="宋体" w:hAnsi="宋体" w:cs="宋体"/>
          <w:color w:val="auto"/>
          <w:szCs w:val="20"/>
          <w:highlight w:val="none"/>
        </w:rPr>
      </w:pPr>
    </w:p>
    <w:p>
      <w:pPr>
        <w:snapToGrid w:val="0"/>
        <w:rPr>
          <w:rFonts w:hint="eastAsia" w:ascii="宋体" w:hAnsi="宋体"/>
          <w:color w:val="auto"/>
          <w:szCs w:val="21"/>
          <w:highlight w:val="none"/>
        </w:rPr>
      </w:pPr>
    </w:p>
    <w:p>
      <w:pPr>
        <w:spacing w:line="400" w:lineRule="exact"/>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br w:type="page"/>
      </w:r>
    </w:p>
    <w:p>
      <w:pPr>
        <w:spacing w:line="400" w:lineRule="exact"/>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②</w:t>
      </w:r>
      <w:r>
        <w:rPr>
          <w:rFonts w:hint="eastAsia" w:ascii="Calibri" w:hAnsi="Calibri"/>
          <w:color w:val="auto"/>
          <w:sz w:val="21"/>
          <w:szCs w:val="21"/>
          <w:highlight w:val="none"/>
        </w:rPr>
        <w:t>近年完成的类似工程业绩情况表（施工项目）</w:t>
      </w:r>
    </w:p>
    <w:tbl>
      <w:tblPr>
        <w:tblStyle w:val="4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400"/>
        <w:gridCol w:w="229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项目名称</w:t>
            </w:r>
          </w:p>
        </w:tc>
        <w:tc>
          <w:tcPr>
            <w:tcW w:w="240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2295"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198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项目所在地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发包人名称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发包人地址</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发包人联系人及电话</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合同价格</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开工日期</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竣工日期</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承担的工作</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工程质量</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项目经理</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技术负责人</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总监理工程师及电话</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项目描述</w:t>
            </w: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40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295"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备     注</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bl>
    <w:p>
      <w:pPr>
        <w:spacing w:line="400" w:lineRule="exact"/>
        <w:ind w:left="-282" w:leftChars="-135" w:right="-286" w:rightChars="-136" w:hanging="1"/>
        <w:rPr>
          <w:rFonts w:ascii="宋体" w:hAnsi="宋体" w:cs="宋体"/>
          <w:color w:val="auto"/>
          <w:szCs w:val="20"/>
          <w:highlight w:val="none"/>
        </w:rPr>
      </w:pPr>
      <w:r>
        <w:rPr>
          <w:rFonts w:hint="eastAsia" w:ascii="宋体" w:hAnsi="宋体" w:cs="宋体"/>
          <w:color w:val="auto"/>
          <w:szCs w:val="20"/>
          <w:highlight w:val="none"/>
        </w:rPr>
        <w:t xml:space="preserve">  说明：1.业绩考核期限1</w:t>
      </w:r>
      <w:r>
        <w:rPr>
          <w:rFonts w:ascii="宋体" w:hAnsi="宋体" w:cs="宋体"/>
          <w:color w:val="auto"/>
          <w:szCs w:val="20"/>
          <w:highlight w:val="none"/>
        </w:rPr>
        <w:t>095</w:t>
      </w:r>
      <w:r>
        <w:rPr>
          <w:rFonts w:hint="eastAsia" w:ascii="宋体" w:hAnsi="宋体" w:cs="宋体"/>
          <w:color w:val="auto"/>
          <w:szCs w:val="20"/>
          <w:highlight w:val="none"/>
        </w:rPr>
        <w:t>天，按工程竣工验收文件中建设单位签字之日起计算。类似工程业绩考核依据中竣工验收备案表未体现建设单位签字之日的以竣工验收备案表“竣工验收日期”栏中注明的时间为准。</w:t>
      </w:r>
    </w:p>
    <w:p>
      <w:pPr>
        <w:snapToGrid w:val="0"/>
        <w:rPr>
          <w:rFonts w:hint="eastAsia" w:ascii="宋体" w:hAnsi="宋体"/>
          <w:color w:val="auto"/>
          <w:szCs w:val="21"/>
          <w:highlight w:val="none"/>
        </w:rPr>
      </w:pPr>
      <w:r>
        <w:rPr>
          <w:rFonts w:hint="eastAsia" w:ascii="宋体" w:hAnsi="宋体" w:cs="宋体"/>
          <w:color w:val="auto"/>
          <w:szCs w:val="20"/>
          <w:highlight w:val="none"/>
        </w:rPr>
        <w:t xml:space="preserve">     2. 请附类似工程业绩证明资料（具体要求见本招标文件第二章投标人须知）。</w:t>
      </w:r>
    </w:p>
    <w:p>
      <w:pPr>
        <w:snapToGrid w:val="0"/>
        <w:spacing w:line="360" w:lineRule="auto"/>
        <w:jc w:val="center"/>
        <w:rPr>
          <w:rFonts w:ascii="宋体" w:hAnsi="宋体"/>
          <w:color w:val="auto"/>
          <w:sz w:val="27"/>
          <w:szCs w:val="27"/>
          <w:highlight w:val="none"/>
        </w:rPr>
      </w:pPr>
      <w:r>
        <w:rPr>
          <w:rFonts w:ascii="宋体" w:hAnsi="宋体"/>
          <w:color w:val="auto"/>
          <w:sz w:val="27"/>
          <w:szCs w:val="27"/>
          <w:highlight w:val="none"/>
        </w:rPr>
        <w:br w:type="page"/>
      </w:r>
    </w:p>
    <w:p>
      <w:pPr>
        <w:snapToGrid w:val="0"/>
        <w:spacing w:line="360" w:lineRule="auto"/>
        <w:jc w:val="center"/>
        <w:rPr>
          <w:rFonts w:ascii="宋体" w:hAnsi="宋体" w:cs="宋体"/>
          <w:b/>
          <w:color w:val="auto"/>
          <w:sz w:val="21"/>
          <w:szCs w:val="21"/>
          <w:highlight w:val="none"/>
        </w:rPr>
      </w:pPr>
      <w:r>
        <w:rPr>
          <w:rFonts w:ascii="宋体" w:hAnsi="宋体" w:cs="宋体"/>
          <w:b/>
          <w:color w:val="auto"/>
          <w:sz w:val="21"/>
          <w:szCs w:val="21"/>
          <w:highlight w:val="none"/>
        </w:rPr>
        <w:fldChar w:fldCharType="begin"/>
      </w:r>
      <w:r>
        <w:rPr>
          <w:rFonts w:ascii="宋体" w:hAnsi="宋体" w:cs="宋体"/>
          <w:b/>
          <w:color w:val="auto"/>
          <w:sz w:val="21"/>
          <w:szCs w:val="21"/>
          <w:highlight w:val="none"/>
        </w:rPr>
        <w:instrText xml:space="preserve"> </w:instrText>
      </w:r>
      <w:r>
        <w:rPr>
          <w:rFonts w:hint="eastAsia" w:ascii="宋体" w:hAnsi="宋体" w:cs="宋体"/>
          <w:b/>
          <w:color w:val="auto"/>
          <w:sz w:val="21"/>
          <w:szCs w:val="21"/>
          <w:highlight w:val="none"/>
        </w:rPr>
        <w:instrText xml:space="preserve">= 3 \* GB3</w:instrText>
      </w:r>
      <w:r>
        <w:rPr>
          <w:rFonts w:ascii="宋体" w:hAnsi="宋体" w:cs="宋体"/>
          <w:b/>
          <w:color w:val="auto"/>
          <w:sz w:val="21"/>
          <w:szCs w:val="21"/>
          <w:highlight w:val="none"/>
        </w:rPr>
        <w:instrText xml:space="preserve"> </w:instrText>
      </w:r>
      <w:r>
        <w:rPr>
          <w:rFonts w:ascii="宋体" w:hAnsi="宋体" w:cs="宋体"/>
          <w:b/>
          <w:color w:val="auto"/>
          <w:sz w:val="21"/>
          <w:szCs w:val="21"/>
          <w:highlight w:val="none"/>
        </w:rPr>
        <w:fldChar w:fldCharType="separate"/>
      </w:r>
      <w:r>
        <w:rPr>
          <w:rFonts w:hint="eastAsia" w:ascii="宋体" w:hAnsi="宋体" w:cs="宋体"/>
          <w:b/>
          <w:color w:val="auto"/>
          <w:sz w:val="21"/>
          <w:szCs w:val="21"/>
          <w:highlight w:val="none"/>
        </w:rPr>
        <w:t>③</w:t>
      </w:r>
      <w:r>
        <w:rPr>
          <w:rFonts w:ascii="宋体" w:hAnsi="宋体" w:cs="宋体"/>
          <w:b/>
          <w:color w:val="auto"/>
          <w:sz w:val="21"/>
          <w:szCs w:val="21"/>
          <w:highlight w:val="none"/>
        </w:rPr>
        <w:fldChar w:fldCharType="end"/>
      </w:r>
      <w:r>
        <w:rPr>
          <w:rFonts w:hint="eastAsia" w:ascii="宋体" w:hAnsi="宋体" w:cs="宋体"/>
          <w:b/>
          <w:color w:val="auto"/>
          <w:sz w:val="21"/>
          <w:szCs w:val="21"/>
          <w:highlight w:val="none"/>
        </w:rPr>
        <w:t>近年完成的类似工程业绩情况表（设计项目）</w:t>
      </w:r>
    </w:p>
    <w:tbl>
      <w:tblPr>
        <w:tblStyle w:val="4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400"/>
        <w:gridCol w:w="229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项目名称</w:t>
            </w:r>
          </w:p>
        </w:tc>
        <w:tc>
          <w:tcPr>
            <w:tcW w:w="240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1</w:t>
            </w:r>
          </w:p>
        </w:tc>
        <w:tc>
          <w:tcPr>
            <w:tcW w:w="2295"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2</w:t>
            </w:r>
          </w:p>
        </w:tc>
        <w:tc>
          <w:tcPr>
            <w:tcW w:w="1980" w:type="dxa"/>
            <w:noWrap w:val="0"/>
            <w:vAlign w:val="top"/>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项目所在地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发包人名称</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发包人地址</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发包人电话</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合同价格</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设计服务期限</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设计内容</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设计负责人</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项目描述</w:t>
            </w: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40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2295"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1" w:type="dxa"/>
            <w:noWrap w:val="0"/>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备     注</w:t>
            </w:r>
          </w:p>
        </w:tc>
        <w:tc>
          <w:tcPr>
            <w:tcW w:w="240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2295"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c>
          <w:tcPr>
            <w:tcW w:w="1980" w:type="dxa"/>
            <w:noWrap w:val="0"/>
            <w:vAlign w:val="top"/>
          </w:tcPr>
          <w:p>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bl>
    <w:p>
      <w:pPr>
        <w:spacing w:line="400" w:lineRule="exact"/>
        <w:jc w:val="left"/>
        <w:rPr>
          <w:rFonts w:hint="eastAsia" w:ascii="宋体" w:hAnsi="宋体" w:cs="宋体"/>
          <w:color w:val="auto"/>
          <w:szCs w:val="20"/>
          <w:highlight w:val="none"/>
        </w:rPr>
      </w:pPr>
      <w:r>
        <w:rPr>
          <w:rFonts w:hint="eastAsia" w:ascii="宋体" w:hAnsi="宋体" w:cs="宋体"/>
          <w:color w:val="auto"/>
          <w:szCs w:val="20"/>
          <w:highlight w:val="none"/>
        </w:rPr>
        <w:t>说明：1.业绩考核期限1</w:t>
      </w:r>
      <w:r>
        <w:rPr>
          <w:rFonts w:ascii="宋体" w:hAnsi="宋体" w:cs="宋体"/>
          <w:color w:val="auto"/>
          <w:szCs w:val="20"/>
          <w:highlight w:val="none"/>
        </w:rPr>
        <w:t>095</w:t>
      </w:r>
      <w:r>
        <w:rPr>
          <w:rFonts w:hint="eastAsia" w:ascii="宋体" w:hAnsi="宋体" w:cs="宋体"/>
          <w:color w:val="auto"/>
          <w:szCs w:val="20"/>
          <w:highlight w:val="none"/>
        </w:rPr>
        <w:t>天，按工程竣工验收文件中建设单位签字之日起计算。类似工程业绩考核依据中竣工验收备案表未体现建设单位签字之日的以竣工验收备案表“竣工验收日期”栏中注明的时间为准）。</w:t>
      </w:r>
    </w:p>
    <w:p>
      <w:pPr>
        <w:spacing w:line="400" w:lineRule="exact"/>
        <w:ind w:firstLine="420" w:firstLineChars="200"/>
        <w:jc w:val="left"/>
        <w:rPr>
          <w:rFonts w:ascii="Calibri" w:hAnsi="Calibri"/>
          <w:color w:val="auto"/>
          <w:highlight w:val="none"/>
        </w:rPr>
      </w:pPr>
      <w:r>
        <w:rPr>
          <w:rFonts w:hint="eastAsia" w:ascii="宋体" w:hAnsi="宋体" w:cs="宋体"/>
          <w:color w:val="auto"/>
          <w:szCs w:val="20"/>
          <w:highlight w:val="none"/>
        </w:rPr>
        <w:t>2. 请附类似工程业绩证明资料（具体要求见本招标文件第二章投标人须知）。</w:t>
      </w:r>
      <w:r>
        <w:rPr>
          <w:rFonts w:hint="eastAsia" w:ascii="宋体" w:hAnsi="宋体" w:cs="宋体"/>
          <w:b/>
          <w:color w:val="auto"/>
          <w:sz w:val="28"/>
          <w:szCs w:val="28"/>
          <w:highlight w:val="none"/>
        </w:rPr>
        <w:t xml:space="preserve"> </w:t>
      </w:r>
    </w:p>
    <w:p>
      <w:pPr>
        <w:spacing w:line="400" w:lineRule="exact"/>
        <w:rPr>
          <w:color w:val="auto"/>
          <w:szCs w:val="21"/>
          <w:highlight w:val="none"/>
        </w:rPr>
      </w:pPr>
    </w:p>
    <w:p>
      <w:pPr>
        <w:pStyle w:val="8"/>
        <w:jc w:val="left"/>
        <w:rPr>
          <w:rFonts w:hint="eastAsia" w:ascii="Times New Roman" w:hAnsi="Times New Roman" w:eastAsia="黑体"/>
          <w:b w:val="0"/>
          <w:bCs w:val="0"/>
          <w:color w:val="auto"/>
          <w:sz w:val="24"/>
          <w:highlight w:val="none"/>
        </w:rPr>
      </w:pPr>
      <w:r>
        <w:rPr>
          <w:color w:val="auto"/>
          <w:szCs w:val="21"/>
          <w:highlight w:val="none"/>
        </w:rPr>
        <w:br w:type="page"/>
      </w:r>
      <w:r>
        <w:rPr>
          <w:rFonts w:hint="eastAsia" w:ascii="Times New Roman" w:hAnsi="Times New Roman" w:eastAsia="黑体"/>
          <w:b w:val="0"/>
          <w:bCs w:val="0"/>
          <w:color w:val="auto"/>
          <w:sz w:val="24"/>
          <w:highlight w:val="none"/>
        </w:rPr>
        <w:t>（4）投标人财务状况</w:t>
      </w:r>
    </w:p>
    <w:p>
      <w:pPr>
        <w:rPr>
          <w:rFonts w:hint="eastAsia"/>
          <w:color w:val="auto"/>
          <w:highlight w:val="none"/>
        </w:rPr>
      </w:pPr>
      <w:r>
        <w:rPr>
          <w:rFonts w:hint="eastAsia"/>
          <w:color w:val="auto"/>
          <w:highlight w:val="none"/>
        </w:rPr>
        <w:t>请附财务状况的证明材料复印件（具体要求见本招标文件第二章投标人须知）。</w:t>
      </w:r>
    </w:p>
    <w:p>
      <w:pPr>
        <w:rPr>
          <w:rFonts w:hint="eastAsia"/>
          <w:color w:val="auto"/>
          <w:highlight w:val="none"/>
        </w:rPr>
      </w:pPr>
    </w:p>
    <w:p>
      <w:pPr>
        <w:rPr>
          <w:rFonts w:hint="eastAsia"/>
          <w:color w:val="auto"/>
          <w:highlight w:val="none"/>
        </w:rPr>
      </w:pPr>
    </w:p>
    <w:p>
      <w:pPr>
        <w:rPr>
          <w:rFonts w:hint="eastAsia"/>
          <w:color w:val="auto"/>
          <w:highlight w:val="none"/>
        </w:rPr>
      </w:pPr>
    </w:p>
    <w:p>
      <w:pPr>
        <w:pStyle w:val="8"/>
        <w:jc w:val="left"/>
        <w:rPr>
          <w:rFonts w:hint="eastAsia" w:ascii="Times New Roman" w:hAnsi="Times New Roman" w:eastAsia="黑体"/>
          <w:b w:val="0"/>
          <w:bCs w:val="0"/>
          <w:color w:val="auto"/>
          <w:sz w:val="24"/>
          <w:highlight w:val="none"/>
        </w:rPr>
      </w:pPr>
      <w:r>
        <w:rPr>
          <w:rFonts w:hint="eastAsia" w:ascii="Times New Roman" w:hAnsi="Times New Roman" w:eastAsia="黑体"/>
          <w:b w:val="0"/>
          <w:bCs w:val="0"/>
          <w:color w:val="auto"/>
          <w:sz w:val="24"/>
          <w:highlight w:val="none"/>
        </w:rPr>
        <w:t>（5）独立投标人（设计资质）或联合体中设计单位奖项情况</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40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序号</w:t>
            </w: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工程项目</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奖项名称</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bl>
    <w:p>
      <w:pPr>
        <w:pStyle w:val="8"/>
        <w:jc w:val="left"/>
        <w:rPr>
          <w:rFonts w:hint="eastAsia" w:ascii="Times New Roman" w:hAnsi="Times New Roman"/>
          <w:b w:val="0"/>
          <w:bCs w:val="0"/>
          <w:color w:val="auto"/>
          <w:szCs w:val="24"/>
          <w:highlight w:val="none"/>
        </w:rPr>
      </w:pPr>
      <w:r>
        <w:rPr>
          <w:rFonts w:hint="eastAsia" w:ascii="Times New Roman" w:hAnsi="Times New Roman"/>
          <w:b w:val="0"/>
          <w:bCs w:val="0"/>
          <w:color w:val="auto"/>
          <w:szCs w:val="24"/>
          <w:highlight w:val="none"/>
        </w:rPr>
        <w:t>请附奖项证明资料复印件</w:t>
      </w:r>
      <w:r>
        <w:rPr>
          <w:rFonts w:hint="eastAsia"/>
          <w:b w:val="0"/>
          <w:bCs w:val="0"/>
          <w:color w:val="auto"/>
          <w:highlight w:val="none"/>
        </w:rPr>
        <w:t>（具体要求见本招标文件第三章评标办法）</w:t>
      </w:r>
      <w:r>
        <w:rPr>
          <w:rFonts w:hint="eastAsia" w:ascii="Times New Roman" w:hAnsi="Times New Roman"/>
          <w:b w:val="0"/>
          <w:bCs w:val="0"/>
          <w:color w:val="auto"/>
          <w:szCs w:val="24"/>
          <w:highlight w:val="none"/>
        </w:rPr>
        <w:t>。</w:t>
      </w:r>
    </w:p>
    <w:p>
      <w:pPr>
        <w:rPr>
          <w:color w:val="auto"/>
          <w:highlight w:val="none"/>
        </w:rPr>
      </w:pPr>
    </w:p>
    <w:p>
      <w:pPr>
        <w:rPr>
          <w:color w:val="auto"/>
          <w:highlight w:val="none"/>
        </w:rPr>
      </w:pPr>
    </w:p>
    <w:p>
      <w:pPr>
        <w:rPr>
          <w:color w:val="auto"/>
          <w:highlight w:val="none"/>
        </w:rPr>
      </w:pPr>
    </w:p>
    <w:p>
      <w:pPr>
        <w:pStyle w:val="8"/>
        <w:jc w:val="left"/>
        <w:rPr>
          <w:rFonts w:hint="eastAsia" w:ascii="Times New Roman" w:hAnsi="Times New Roman" w:eastAsia="黑体"/>
          <w:b w:val="0"/>
          <w:bCs w:val="0"/>
          <w:color w:val="auto"/>
          <w:sz w:val="24"/>
          <w:highlight w:val="none"/>
        </w:rPr>
      </w:pPr>
      <w:r>
        <w:rPr>
          <w:rFonts w:hint="eastAsia" w:ascii="Times New Roman" w:hAnsi="Times New Roman" w:eastAsia="黑体"/>
          <w:b w:val="0"/>
          <w:bCs w:val="0"/>
          <w:color w:val="auto"/>
          <w:sz w:val="24"/>
          <w:highlight w:val="none"/>
        </w:rPr>
        <w:t>（</w:t>
      </w:r>
      <w:r>
        <w:rPr>
          <w:rFonts w:ascii="Times New Roman" w:hAnsi="Times New Roman" w:eastAsia="黑体"/>
          <w:b w:val="0"/>
          <w:bCs w:val="0"/>
          <w:color w:val="auto"/>
          <w:sz w:val="24"/>
          <w:highlight w:val="none"/>
        </w:rPr>
        <w:t>6</w:t>
      </w:r>
      <w:r>
        <w:rPr>
          <w:rFonts w:hint="eastAsia" w:ascii="Times New Roman" w:hAnsi="Times New Roman" w:eastAsia="黑体"/>
          <w:b w:val="0"/>
          <w:bCs w:val="0"/>
          <w:color w:val="auto"/>
          <w:sz w:val="24"/>
          <w:highlight w:val="none"/>
        </w:rPr>
        <w:t>）</w:t>
      </w:r>
      <w:bookmarkStart w:id="224" w:name="_Hlk53732994"/>
      <w:r>
        <w:rPr>
          <w:rFonts w:hint="eastAsia" w:ascii="Times New Roman" w:hAnsi="Times New Roman" w:eastAsia="黑体"/>
          <w:b w:val="0"/>
          <w:bCs w:val="0"/>
          <w:color w:val="auto"/>
          <w:sz w:val="24"/>
          <w:highlight w:val="none"/>
        </w:rPr>
        <w:t>独立投标人（施工资质）或联合体中施工单位奖项情况</w:t>
      </w:r>
      <w:bookmarkEnd w:id="224"/>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40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序号</w:t>
            </w: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工程项目</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奖项名称</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bl>
    <w:p>
      <w:pPr>
        <w:pStyle w:val="8"/>
        <w:jc w:val="left"/>
        <w:rPr>
          <w:rFonts w:hint="eastAsia" w:ascii="Times New Roman" w:hAnsi="Times New Roman"/>
          <w:b w:val="0"/>
          <w:bCs w:val="0"/>
          <w:color w:val="auto"/>
          <w:szCs w:val="24"/>
          <w:highlight w:val="none"/>
        </w:rPr>
      </w:pPr>
      <w:r>
        <w:rPr>
          <w:rFonts w:hint="eastAsia" w:ascii="Times New Roman" w:hAnsi="Times New Roman"/>
          <w:b w:val="0"/>
          <w:bCs w:val="0"/>
          <w:color w:val="auto"/>
          <w:szCs w:val="24"/>
          <w:highlight w:val="none"/>
        </w:rPr>
        <w:t>请附奖项证明资料复印件（具体要求见本招标文件第三章评标办法）。</w:t>
      </w:r>
    </w:p>
    <w:p>
      <w:pPr>
        <w:rPr>
          <w:color w:val="auto"/>
          <w:highlight w:val="none"/>
        </w:rPr>
      </w:pPr>
    </w:p>
    <w:p>
      <w:pPr>
        <w:rPr>
          <w:color w:val="auto"/>
          <w:highlight w:val="none"/>
        </w:rPr>
      </w:pPr>
    </w:p>
    <w:p>
      <w:pPr>
        <w:pStyle w:val="8"/>
        <w:jc w:val="left"/>
        <w:rPr>
          <w:rFonts w:hint="eastAsia" w:ascii="Times New Roman" w:hAnsi="Times New Roman" w:eastAsia="黑体"/>
          <w:b w:val="0"/>
          <w:bCs w:val="0"/>
          <w:color w:val="auto"/>
          <w:sz w:val="24"/>
          <w:highlight w:val="none"/>
        </w:rPr>
      </w:pPr>
      <w:r>
        <w:rPr>
          <w:rFonts w:hint="eastAsia" w:ascii="Times New Roman" w:hAnsi="Times New Roman" w:eastAsia="黑体"/>
          <w:b w:val="0"/>
          <w:bCs w:val="0"/>
          <w:color w:val="auto"/>
          <w:sz w:val="24"/>
          <w:highlight w:val="none"/>
        </w:rPr>
        <w:t>（</w:t>
      </w:r>
      <w:r>
        <w:rPr>
          <w:rFonts w:ascii="Times New Roman" w:hAnsi="Times New Roman" w:eastAsia="黑体"/>
          <w:b w:val="0"/>
          <w:bCs w:val="0"/>
          <w:color w:val="auto"/>
          <w:sz w:val="24"/>
          <w:highlight w:val="none"/>
        </w:rPr>
        <w:t>7</w:t>
      </w:r>
      <w:r>
        <w:rPr>
          <w:rFonts w:hint="eastAsia" w:ascii="Times New Roman" w:hAnsi="Times New Roman" w:eastAsia="黑体"/>
          <w:b w:val="0"/>
          <w:bCs w:val="0"/>
          <w:color w:val="auto"/>
          <w:sz w:val="24"/>
          <w:highlight w:val="none"/>
        </w:rPr>
        <w:t>）独立投标人（施工资质）或联合体中施工单位标准化工地情况</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40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序号</w:t>
            </w: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工程项目</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标准化工地名称</w:t>
            </w: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highlight w:val="none"/>
              </w:rPr>
              <w:t>获得时间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rPr>
        <w:tc>
          <w:tcPr>
            <w:tcW w:w="124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401"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232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bl>
    <w:p>
      <w:pPr>
        <w:pStyle w:val="8"/>
        <w:jc w:val="left"/>
        <w:rPr>
          <w:rFonts w:hint="eastAsia" w:ascii="Times New Roman" w:hAnsi="Times New Roman"/>
          <w:b w:val="0"/>
          <w:bCs w:val="0"/>
          <w:color w:val="auto"/>
          <w:szCs w:val="24"/>
          <w:highlight w:val="none"/>
        </w:rPr>
      </w:pPr>
      <w:r>
        <w:rPr>
          <w:rFonts w:hint="eastAsia" w:ascii="Times New Roman" w:hAnsi="Times New Roman"/>
          <w:b w:val="0"/>
          <w:bCs w:val="0"/>
          <w:color w:val="auto"/>
          <w:szCs w:val="24"/>
          <w:highlight w:val="none"/>
        </w:rPr>
        <w:t>请附标准化工地证明资料复印件（具体要求见本招标文件第三章评标办法）。</w:t>
      </w:r>
    </w:p>
    <w:p>
      <w:pPr>
        <w:rPr>
          <w:rFonts w:hint="eastAsia"/>
          <w:color w:val="auto"/>
          <w:highlight w:val="none"/>
        </w:rPr>
      </w:pPr>
    </w:p>
    <w:p>
      <w:pPr>
        <w:pStyle w:val="8"/>
        <w:jc w:val="center"/>
        <w:rPr>
          <w:rFonts w:ascii="Times New Roman" w:hAnsi="Times New Roman" w:eastAsia="黑体"/>
          <w:color w:val="auto"/>
          <w:sz w:val="24"/>
          <w:highlight w:val="none"/>
        </w:rPr>
      </w:pPr>
      <w:r>
        <w:rPr>
          <w:rFonts w:ascii="Times New Roman" w:hAnsi="Times New Roman" w:eastAsia="黑体"/>
          <w:b w:val="0"/>
          <w:bCs w:val="0"/>
          <w:color w:val="auto"/>
          <w:sz w:val="24"/>
          <w:highlight w:val="none"/>
        </w:rPr>
        <w:br w:type="page"/>
      </w:r>
      <w:bookmarkStart w:id="225" w:name="_Hlk53733018"/>
      <w:r>
        <w:rPr>
          <w:rFonts w:ascii="Times New Roman" w:hAnsi="Times New Roman" w:eastAsia="黑体"/>
          <w:b w:val="0"/>
          <w:bCs w:val="0"/>
          <w:color w:val="auto"/>
          <w:sz w:val="24"/>
          <w:highlight w:val="none"/>
        </w:rPr>
        <w:t>（8）</w:t>
      </w:r>
      <w:r>
        <w:rPr>
          <w:rFonts w:hint="eastAsia" w:ascii="Times New Roman" w:hAnsi="Times New Roman" w:eastAsia="黑体"/>
          <w:b w:val="0"/>
          <w:bCs w:val="0"/>
          <w:color w:val="auto"/>
          <w:sz w:val="24"/>
          <w:highlight w:val="none"/>
        </w:rPr>
        <w:t>独立投标人（设计资质）或联合体中设计单位</w:t>
      </w:r>
      <w:r>
        <w:rPr>
          <w:rFonts w:ascii="Times New Roman" w:hAnsi="Times New Roman" w:eastAsia="黑体"/>
          <w:b w:val="0"/>
          <w:bCs w:val="0"/>
          <w:color w:val="auto"/>
          <w:sz w:val="24"/>
          <w:highlight w:val="none"/>
        </w:rPr>
        <w:t>信用评价</w:t>
      </w:r>
      <w:r>
        <w:rPr>
          <w:rFonts w:hint="eastAsia" w:ascii="Times New Roman" w:hAnsi="Times New Roman" w:eastAsia="黑体"/>
          <w:b w:val="0"/>
          <w:bCs w:val="0"/>
          <w:color w:val="auto"/>
          <w:sz w:val="24"/>
          <w:highlight w:val="none"/>
        </w:rPr>
        <w:t>情况</w:t>
      </w:r>
      <w:bookmarkEnd w:id="225"/>
    </w:p>
    <w:p>
      <w:pPr>
        <w:ind w:firstLine="435"/>
        <w:rPr>
          <w:rFonts w:hint="eastAsia"/>
          <w:color w:val="auto"/>
          <w:szCs w:val="21"/>
          <w:highlight w:val="none"/>
        </w:rPr>
      </w:pP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119" w:type="dxa"/>
            <w:noWrap w:val="0"/>
            <w:vAlign w:val="top"/>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提交投标文件截止之时</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最新公布的信用评价结果</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tc>
        <w:tc>
          <w:tcPr>
            <w:tcW w:w="5953" w:type="dxa"/>
            <w:noWrap w:val="0"/>
            <w:vAlign w:val="top"/>
          </w:tcPr>
          <w:p>
            <w:pPr>
              <w:keepNext w:val="0"/>
              <w:keepLines w:val="0"/>
              <w:widowControl/>
              <w:suppressLineNumbers w:val="0"/>
              <w:spacing w:before="0" w:beforeAutospacing="0" w:after="0" w:afterAutospacing="0"/>
              <w:ind w:left="0" w:right="0"/>
              <w:jc w:val="left"/>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rPr>
                <w:rFonts w:hint="default" w:ascii="Calibri" w:hAnsi="Calibri" w:cs="Calibri"/>
                <w:color w:val="auto"/>
                <w:szCs w:val="21"/>
                <w:highlight w:val="none"/>
              </w:rPr>
            </w:pPr>
            <w:r>
              <w:rPr>
                <w:rFonts w:hint="eastAsia" w:ascii="Calibri" w:hAnsi="Calibri" w:cs="Calibri"/>
                <w:color w:val="auto"/>
                <w:szCs w:val="21"/>
                <w:highlight w:val="none"/>
              </w:rPr>
              <w:t>请附“湖南省智慧住建云—湖南省建筑市场监管公共服务平台”</w:t>
            </w:r>
            <w:r>
              <w:rPr>
                <w:rFonts w:hint="default" w:ascii="Calibri" w:hAnsi="Calibri" w:cs="Calibri"/>
                <w:color w:val="auto"/>
                <w:szCs w:val="21"/>
                <w:highlight w:val="none"/>
              </w:rPr>
              <w:t>上查询的</w:t>
            </w:r>
            <w:r>
              <w:rPr>
                <w:rFonts w:hint="default" w:ascii="Calibri" w:hAnsi="Calibri" w:cs="Calibri"/>
                <w:bCs/>
                <w:color w:val="auto"/>
                <w:szCs w:val="21"/>
                <w:highlight w:val="none"/>
              </w:rPr>
              <w:t>信用评价结果</w:t>
            </w:r>
            <w:r>
              <w:rPr>
                <w:rFonts w:hint="default" w:ascii="Calibri" w:hAnsi="Calibri" w:cs="Calibri"/>
                <w:color w:val="auto"/>
                <w:szCs w:val="21"/>
                <w:highlight w:val="none"/>
              </w:rPr>
              <w:t>详细信息网页截图</w:t>
            </w:r>
          </w:p>
          <w:p>
            <w:pPr>
              <w:keepNext w:val="0"/>
              <w:keepLines w:val="0"/>
              <w:suppressLineNumbers w:val="0"/>
              <w:spacing w:before="0" w:beforeAutospacing="0" w:after="0" w:afterAutospacing="0"/>
              <w:ind w:left="0" w:right="0"/>
              <w:rPr>
                <w:rFonts w:hint="eastAsia"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3119" w:type="dxa"/>
            <w:noWrap w:val="0"/>
            <w:vAlign w:val="top"/>
          </w:tcPr>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备注</w:t>
            </w:r>
          </w:p>
        </w:tc>
        <w:tc>
          <w:tcPr>
            <w:tcW w:w="5953" w:type="dxa"/>
            <w:noWrap w:val="0"/>
            <w:vAlign w:val="top"/>
          </w:tcPr>
          <w:p>
            <w:pPr>
              <w:keepNext w:val="0"/>
              <w:keepLines w:val="0"/>
              <w:suppressLineNumbers w:val="0"/>
              <w:spacing w:before="0" w:beforeAutospacing="0" w:after="0" w:afterAutospacing="0"/>
              <w:ind w:left="0" w:right="0" w:firstLine="420" w:firstLineChars="200"/>
              <w:rPr>
                <w:rFonts w:hint="eastAsia" w:ascii="Calibri" w:hAnsi="Calibri" w:cs="Calibri"/>
                <w:color w:val="auto"/>
                <w:szCs w:val="21"/>
                <w:highlight w:val="none"/>
              </w:rPr>
            </w:pPr>
          </w:p>
        </w:tc>
      </w:tr>
    </w:tbl>
    <w:p>
      <w:pPr>
        <w:pStyle w:val="8"/>
        <w:spacing w:line="240" w:lineRule="auto"/>
        <w:rPr>
          <w:rFonts w:hint="eastAsia" w:ascii="宋体" w:hAnsi="宋体"/>
          <w:color w:val="auto"/>
          <w:szCs w:val="21"/>
          <w:highlight w:val="none"/>
        </w:rPr>
      </w:pPr>
      <w:r>
        <w:rPr>
          <w:rFonts w:hint="eastAsia" w:ascii="宋体" w:hAnsi="宋体"/>
          <w:color w:val="auto"/>
          <w:szCs w:val="21"/>
          <w:highlight w:val="none"/>
        </w:rPr>
        <w:t>注：设计单位信用评价结果未公布之前，投标人无需填写本表。若设计单位有不良行为记录、被列入省公管办或省住建厅发布的黑名单的，则需附设计单位不良行为记录、黑名单证明资料复印件（具体要求见本招标文件第三章评标办法）。如设计单位无不良行为记录、未被列入省公管办或省住建厅发布的黑名单的，投标人需注明“我公司在扣分有效期内无不良行为记录、未被列入省公管办和省住建厅发布的黑名单”。</w:t>
      </w:r>
    </w:p>
    <w:p>
      <w:pPr>
        <w:pStyle w:val="8"/>
        <w:outlineLvl w:val="9"/>
        <w:rPr>
          <w:rFonts w:hint="eastAsia" w:ascii="宋体" w:hAnsi="宋体"/>
          <w:b w:val="0"/>
          <w:bCs w:val="0"/>
          <w:color w:val="auto"/>
          <w:sz w:val="24"/>
          <w:highlight w:val="none"/>
        </w:rPr>
      </w:pPr>
    </w:p>
    <w:p>
      <w:pPr>
        <w:pStyle w:val="8"/>
        <w:jc w:val="center"/>
        <w:outlineLvl w:val="9"/>
        <w:rPr>
          <w:color w:val="auto"/>
          <w:highlight w:val="none"/>
          <w:lang w:val="zh-CN"/>
        </w:rPr>
      </w:pPr>
    </w:p>
    <w:p>
      <w:pPr>
        <w:rPr>
          <w:color w:val="auto"/>
          <w:highlight w:val="none"/>
          <w:lang w:val="zh-CN"/>
        </w:rPr>
      </w:pPr>
    </w:p>
    <w:p>
      <w:pPr>
        <w:pStyle w:val="8"/>
        <w:jc w:val="center"/>
        <w:rPr>
          <w:rFonts w:ascii="Times New Roman" w:hAnsi="Times New Roman" w:eastAsia="黑体"/>
          <w:color w:val="auto"/>
          <w:sz w:val="24"/>
          <w:highlight w:val="none"/>
        </w:rPr>
      </w:pPr>
      <w:r>
        <w:rPr>
          <w:rFonts w:ascii="Times New Roman" w:hAnsi="Times New Roman" w:eastAsia="黑体"/>
          <w:b w:val="0"/>
          <w:bCs w:val="0"/>
          <w:color w:val="auto"/>
          <w:sz w:val="24"/>
          <w:highlight w:val="none"/>
        </w:rPr>
        <w:t>（9）</w:t>
      </w:r>
      <w:r>
        <w:rPr>
          <w:rFonts w:hint="eastAsia" w:ascii="Times New Roman" w:hAnsi="Times New Roman" w:eastAsia="黑体"/>
          <w:b w:val="0"/>
          <w:bCs w:val="0"/>
          <w:color w:val="auto"/>
          <w:sz w:val="24"/>
          <w:highlight w:val="none"/>
        </w:rPr>
        <w:t>独立投标人（施工资质）或联合体中施工单位</w:t>
      </w:r>
      <w:r>
        <w:rPr>
          <w:rFonts w:ascii="Times New Roman" w:hAnsi="Times New Roman" w:eastAsia="黑体"/>
          <w:b w:val="0"/>
          <w:bCs w:val="0"/>
          <w:color w:val="auto"/>
          <w:sz w:val="24"/>
          <w:highlight w:val="none"/>
        </w:rPr>
        <w:t>现场安全质量管理评价</w:t>
      </w:r>
      <w:r>
        <w:rPr>
          <w:rFonts w:hint="eastAsia" w:ascii="Times New Roman" w:hAnsi="Times New Roman" w:eastAsia="黑体"/>
          <w:b w:val="0"/>
          <w:bCs w:val="0"/>
          <w:color w:val="auto"/>
          <w:sz w:val="24"/>
          <w:highlight w:val="none"/>
        </w:rPr>
        <w:t>情况</w:t>
      </w:r>
    </w:p>
    <w:p>
      <w:pPr>
        <w:rPr>
          <w:rFonts w:hint="eastAsia"/>
          <w:color w:val="auto"/>
          <w:szCs w:val="21"/>
          <w:highlight w:val="none"/>
        </w:rPr>
      </w:pPr>
    </w:p>
    <w:tbl>
      <w:tblPr>
        <w:tblStyle w:val="47"/>
        <w:tblW w:w="0" w:type="auto"/>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7"/>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007" w:type="dxa"/>
            <w:noWrap w:val="0"/>
            <w:vAlign w:val="top"/>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提交投标文件截止之时</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最新公布的现场安全</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质量管理评价结果</w:t>
            </w:r>
          </w:p>
        </w:tc>
        <w:tc>
          <w:tcPr>
            <w:tcW w:w="5953" w:type="dxa"/>
            <w:noWrap w:val="0"/>
            <w:vAlign w:val="top"/>
          </w:tcPr>
          <w:p>
            <w:pPr>
              <w:keepNext w:val="0"/>
              <w:keepLines w:val="0"/>
              <w:widowControl/>
              <w:suppressLineNumbers w:val="0"/>
              <w:spacing w:before="0" w:beforeAutospacing="0" w:after="0" w:afterAutospacing="0"/>
              <w:ind w:left="0" w:right="0"/>
              <w:jc w:val="left"/>
              <w:rPr>
                <w:rFonts w:hint="eastAsia" w:ascii="Calibri" w:hAnsi="Calibri" w:cs="Calibri"/>
                <w:color w:val="auto"/>
                <w:szCs w:val="21"/>
                <w:highlight w:val="none"/>
              </w:rPr>
            </w:pPr>
          </w:p>
          <w:p>
            <w:pPr>
              <w:keepNext w:val="0"/>
              <w:keepLines w:val="0"/>
              <w:widowControl/>
              <w:suppressLineNumbers w:val="0"/>
              <w:spacing w:before="0" w:beforeAutospacing="0" w:after="0" w:afterAutospacing="0"/>
              <w:ind w:left="0" w:right="0"/>
              <w:jc w:val="left"/>
              <w:rPr>
                <w:rFonts w:hint="eastAsia" w:ascii="Calibri" w:hAnsi="Calibri" w:cs="Calibri"/>
                <w:color w:val="auto"/>
                <w:szCs w:val="21"/>
                <w:highlight w:val="none"/>
              </w:rPr>
            </w:pPr>
          </w:p>
          <w:p>
            <w:pPr>
              <w:keepNext w:val="0"/>
              <w:keepLines w:val="0"/>
              <w:widowControl/>
              <w:suppressLineNumbers w:val="0"/>
              <w:spacing w:before="0" w:beforeAutospacing="0" w:after="0" w:afterAutospacing="0"/>
              <w:ind w:left="0" w:right="0"/>
              <w:jc w:val="left"/>
              <w:rPr>
                <w:rFonts w:hint="default" w:ascii="Calibri" w:hAnsi="Calibri" w:cs="Calibri"/>
                <w:color w:val="auto"/>
                <w:szCs w:val="21"/>
                <w:highlight w:val="none"/>
              </w:rPr>
            </w:pPr>
          </w:p>
          <w:p>
            <w:pPr>
              <w:keepNext w:val="0"/>
              <w:keepLines w:val="0"/>
              <w:suppressLineNumbers w:val="0"/>
              <w:spacing w:before="0" w:beforeAutospacing="0" w:after="0" w:afterAutospacing="0"/>
              <w:ind w:left="0" w:right="0"/>
              <w:rPr>
                <w:rFonts w:hint="eastAsia" w:ascii="Calibri" w:hAnsi="Calibri" w:cs="Calibri"/>
                <w:color w:val="auto"/>
                <w:szCs w:val="21"/>
                <w:highlight w:val="none"/>
              </w:rPr>
            </w:pPr>
            <w:r>
              <w:rPr>
                <w:rFonts w:hint="eastAsia" w:ascii="Calibri" w:hAnsi="Calibri" w:cs="Calibri"/>
                <w:color w:val="auto"/>
                <w:szCs w:val="21"/>
                <w:highlight w:val="none"/>
              </w:rPr>
              <w:t>请附“湖南省智慧住建云—湖南省建筑市场监管公共服务平台”</w:t>
            </w:r>
            <w:r>
              <w:rPr>
                <w:rFonts w:hint="default" w:ascii="Calibri" w:hAnsi="Calibri" w:cs="Calibri"/>
                <w:color w:val="auto"/>
                <w:szCs w:val="21"/>
                <w:highlight w:val="none"/>
              </w:rPr>
              <w:t>上查询的</w:t>
            </w:r>
            <w:r>
              <w:rPr>
                <w:rFonts w:hint="default" w:ascii="Calibri" w:hAnsi="Calibri" w:cs="Calibri"/>
                <w:bCs/>
                <w:color w:val="auto"/>
                <w:szCs w:val="21"/>
                <w:highlight w:val="none"/>
              </w:rPr>
              <w:t>企业现场安全质量管理评价结果</w:t>
            </w:r>
            <w:r>
              <w:rPr>
                <w:rFonts w:hint="default" w:ascii="Calibri" w:hAnsi="Calibri" w:cs="Calibri"/>
                <w:color w:val="auto"/>
                <w:szCs w:val="21"/>
                <w:highlight w:val="none"/>
              </w:rPr>
              <w:t>详细信息网页截图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007" w:type="dxa"/>
            <w:noWrap w:val="0"/>
            <w:vAlign w:val="top"/>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没有参加现场安全质量管理评价的投标人</w:t>
            </w:r>
          </w:p>
        </w:tc>
        <w:tc>
          <w:tcPr>
            <w:tcW w:w="5953" w:type="dxa"/>
            <w:noWrap w:val="0"/>
            <w:vAlign w:val="top"/>
          </w:tcPr>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r>
              <w:rPr>
                <w:rFonts w:hint="default" w:ascii="Calibri" w:hAnsi="Calibri" w:cs="Calibri"/>
                <w:color w:val="auto"/>
                <w:highlight w:val="none"/>
                <w:u w:val="single"/>
              </w:rPr>
              <w:t xml:space="preserve">                          </w:t>
            </w:r>
            <w:r>
              <w:rPr>
                <w:rFonts w:hint="eastAsia" w:ascii="Calibri" w:hAnsi="Calibri" w:cs="Calibri"/>
                <w:color w:val="auto"/>
                <w:highlight w:val="none"/>
              </w:rPr>
              <w:t>。</w:t>
            </w: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eastAsia" w:ascii="Calibri" w:hAnsi="Calibri" w:cs="Calibri"/>
                <w:color w:val="auto"/>
                <w:szCs w:val="21"/>
                <w:highlight w:val="none"/>
              </w:rPr>
            </w:pPr>
            <w:r>
              <w:rPr>
                <w:rFonts w:hint="eastAsia" w:ascii="Calibri" w:hAnsi="Calibri" w:cs="Calibri"/>
                <w:color w:val="auto"/>
                <w:highlight w:val="none"/>
              </w:rPr>
              <w:t>注：</w:t>
            </w:r>
            <w:r>
              <w:rPr>
                <w:rFonts w:hint="eastAsia" w:ascii="Calibri" w:hAnsi="Calibri" w:cs="Calibri"/>
                <w:color w:val="auto"/>
                <w:szCs w:val="21"/>
                <w:highlight w:val="none"/>
              </w:rPr>
              <w:t>没有参加现场安全质量管理评价的投标人</w:t>
            </w:r>
            <w:r>
              <w:rPr>
                <w:rFonts w:hint="eastAsia" w:ascii="Calibri" w:hAnsi="Calibri" w:cs="Calibri"/>
                <w:color w:val="auto"/>
                <w:highlight w:val="none"/>
              </w:rPr>
              <w:t>请填写“未</w:t>
            </w:r>
            <w:r>
              <w:rPr>
                <w:rFonts w:hint="eastAsia" w:ascii="Calibri" w:hAnsi="Calibri" w:cs="Calibri"/>
                <w:color w:val="auto"/>
                <w:szCs w:val="21"/>
                <w:highlight w:val="none"/>
              </w:rPr>
              <w:t>参加</w:t>
            </w:r>
            <w:r>
              <w:rPr>
                <w:rFonts w:hint="eastAsia" w:ascii="Calibri" w:hAnsi="Calibri" w:cs="Calibri"/>
                <w:color w:val="auto"/>
                <w:highlight w:val="none"/>
              </w:rPr>
              <w:t>”，已</w:t>
            </w:r>
            <w:r>
              <w:rPr>
                <w:rFonts w:hint="eastAsia" w:ascii="Calibri" w:hAnsi="Calibri" w:cs="Calibri"/>
                <w:color w:val="auto"/>
                <w:szCs w:val="21"/>
                <w:highlight w:val="none"/>
              </w:rPr>
              <w:t>参加现场安全质量管理评价的投标人</w:t>
            </w:r>
            <w:r>
              <w:rPr>
                <w:rFonts w:hint="eastAsia" w:ascii="Calibri" w:hAnsi="Calibri" w:cs="Calibri"/>
                <w:color w:val="auto"/>
                <w:highlight w:val="none"/>
              </w:rPr>
              <w:t>请填写“</w:t>
            </w:r>
            <w:r>
              <w:rPr>
                <w:rFonts w:hint="default" w:ascii="Calibri" w:hAnsi="Calibri" w:cs="Calibri"/>
                <w:color w:val="auto"/>
                <w:highlight w:val="none"/>
              </w:rPr>
              <w:t>\</w:t>
            </w:r>
            <w:r>
              <w:rPr>
                <w:rFonts w:hint="eastAsia" w:ascii="Calibri" w:hAnsi="Calibri" w:cs="Calibri"/>
                <w:color w:val="auto"/>
                <w:highlight w:val="none"/>
              </w:rPr>
              <w:t>”。</w:t>
            </w:r>
          </w:p>
        </w:tc>
      </w:tr>
    </w:tbl>
    <w:p>
      <w:pPr>
        <w:pStyle w:val="8"/>
        <w:outlineLvl w:val="9"/>
        <w:rPr>
          <w:rFonts w:ascii="Times New Roman" w:hAnsi="Times New Roman" w:eastAsia="黑体"/>
          <w:b w:val="0"/>
          <w:bCs w:val="0"/>
          <w:color w:val="auto"/>
          <w:sz w:val="24"/>
          <w:highlight w:val="none"/>
        </w:rPr>
      </w:pPr>
      <w:r>
        <w:rPr>
          <w:rFonts w:ascii="Times New Roman" w:hAnsi="Times New Roman" w:eastAsia="黑体"/>
          <w:b w:val="0"/>
          <w:bCs w:val="0"/>
          <w:color w:val="auto"/>
          <w:sz w:val="24"/>
          <w:highlight w:val="none"/>
        </w:rPr>
        <w:br w:type="page"/>
      </w:r>
    </w:p>
    <w:p>
      <w:pPr>
        <w:pStyle w:val="8"/>
        <w:jc w:val="center"/>
        <w:rPr>
          <w:rFonts w:ascii="Times New Roman" w:hAnsi="Times New Roman" w:eastAsia="黑体"/>
          <w:color w:val="auto"/>
          <w:sz w:val="24"/>
          <w:highlight w:val="none"/>
        </w:rPr>
      </w:pPr>
      <w:r>
        <w:rPr>
          <w:rFonts w:ascii="Times New Roman" w:hAnsi="Times New Roman" w:eastAsia="黑体"/>
          <w:b w:val="0"/>
          <w:bCs w:val="0"/>
          <w:color w:val="auto"/>
          <w:sz w:val="24"/>
          <w:highlight w:val="none"/>
        </w:rPr>
        <w:t>（10）</w:t>
      </w:r>
      <w:r>
        <w:rPr>
          <w:rFonts w:hint="eastAsia" w:ascii="Times New Roman" w:hAnsi="Times New Roman" w:eastAsia="黑体"/>
          <w:b w:val="0"/>
          <w:bCs w:val="0"/>
          <w:color w:val="auto"/>
          <w:sz w:val="24"/>
          <w:highlight w:val="none"/>
        </w:rPr>
        <w:t>独立投标人（施工资质）或联合体中施工单位</w:t>
      </w:r>
      <w:r>
        <w:rPr>
          <w:rFonts w:ascii="Times New Roman" w:hAnsi="Times New Roman" w:eastAsia="黑体"/>
          <w:b w:val="0"/>
          <w:bCs w:val="0"/>
          <w:color w:val="auto"/>
          <w:sz w:val="24"/>
          <w:highlight w:val="none"/>
        </w:rPr>
        <w:t>信用评价</w:t>
      </w:r>
      <w:r>
        <w:rPr>
          <w:rFonts w:hint="eastAsia" w:ascii="Times New Roman" w:hAnsi="Times New Roman" w:eastAsia="黑体"/>
          <w:b w:val="0"/>
          <w:bCs w:val="0"/>
          <w:color w:val="auto"/>
          <w:sz w:val="24"/>
          <w:highlight w:val="none"/>
        </w:rPr>
        <w:t>情况</w:t>
      </w:r>
    </w:p>
    <w:p>
      <w:pPr>
        <w:ind w:firstLine="435"/>
        <w:rPr>
          <w:rFonts w:hint="eastAsia"/>
          <w:color w:val="auto"/>
          <w:szCs w:val="21"/>
          <w:highlight w:val="none"/>
        </w:rPr>
      </w:pPr>
    </w:p>
    <w:tbl>
      <w:tblPr>
        <w:tblStyle w:val="47"/>
        <w:tblW w:w="0" w:type="auto"/>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7"/>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007" w:type="dxa"/>
            <w:noWrap w:val="0"/>
            <w:vAlign w:val="top"/>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提交投标文件截止之时</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r>
              <w:rPr>
                <w:rFonts w:hint="eastAsia" w:ascii="Calibri" w:hAnsi="Calibri" w:cs="Calibri"/>
                <w:color w:val="auto"/>
                <w:szCs w:val="21"/>
                <w:highlight w:val="none"/>
              </w:rPr>
              <w:t>最新公布的信用评价结果</w:t>
            </w:r>
          </w:p>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tc>
        <w:tc>
          <w:tcPr>
            <w:tcW w:w="5953" w:type="dxa"/>
            <w:noWrap w:val="0"/>
            <w:vAlign w:val="top"/>
          </w:tcPr>
          <w:p>
            <w:pPr>
              <w:keepNext w:val="0"/>
              <w:keepLines w:val="0"/>
              <w:widowControl/>
              <w:suppressLineNumbers w:val="0"/>
              <w:spacing w:before="0" w:beforeAutospacing="0" w:after="0" w:afterAutospacing="0"/>
              <w:ind w:left="0" w:right="0"/>
              <w:jc w:val="left"/>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rPr>
                <w:rFonts w:hint="eastAsia" w:ascii="Calibri" w:hAnsi="Calibri" w:cs="Calibri"/>
                <w:color w:val="auto"/>
                <w:szCs w:val="21"/>
                <w:highlight w:val="none"/>
              </w:rPr>
            </w:pPr>
            <w:r>
              <w:rPr>
                <w:rFonts w:hint="eastAsia" w:ascii="Calibri" w:hAnsi="Calibri" w:cs="Calibri"/>
                <w:color w:val="auto"/>
                <w:szCs w:val="21"/>
                <w:highlight w:val="none"/>
              </w:rPr>
              <w:t>请附“湖南省智慧住建云—湖南省建筑市场监管公共服务平台”</w:t>
            </w:r>
            <w:r>
              <w:rPr>
                <w:rFonts w:hint="default" w:ascii="Calibri" w:hAnsi="Calibri" w:cs="Calibri"/>
                <w:color w:val="auto"/>
                <w:szCs w:val="21"/>
                <w:highlight w:val="none"/>
              </w:rPr>
              <w:t>上查询的</w:t>
            </w:r>
            <w:r>
              <w:rPr>
                <w:rFonts w:hint="default" w:ascii="Calibri" w:hAnsi="Calibri" w:cs="Calibri"/>
                <w:bCs/>
                <w:color w:val="auto"/>
                <w:szCs w:val="21"/>
                <w:highlight w:val="none"/>
              </w:rPr>
              <w:t>信用评价结果</w:t>
            </w:r>
            <w:r>
              <w:rPr>
                <w:rFonts w:hint="default" w:ascii="Calibri" w:hAnsi="Calibri" w:cs="Calibri"/>
                <w:color w:val="auto"/>
                <w:szCs w:val="21"/>
                <w:highlight w:val="none"/>
              </w:rPr>
              <w:t>详细信息网页截图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007" w:type="dxa"/>
            <w:noWrap w:val="0"/>
            <w:vAlign w:val="top"/>
          </w:tcPr>
          <w:p>
            <w:pPr>
              <w:keepNext w:val="0"/>
              <w:keepLines w:val="0"/>
              <w:suppressLineNumbers w:val="0"/>
              <w:spacing w:before="0" w:beforeAutospacing="0" w:after="0" w:afterAutospacing="0"/>
              <w:ind w:left="0" w:right="0"/>
              <w:jc w:val="center"/>
              <w:rPr>
                <w:rFonts w:hint="eastAsia" w:ascii="Calibri" w:hAnsi="Calibri" w:cs="Calibri"/>
                <w:color w:val="auto"/>
                <w:szCs w:val="21"/>
                <w:highlight w:val="none"/>
              </w:rPr>
            </w:pPr>
          </w:p>
          <w:p>
            <w:pPr>
              <w:keepNext w:val="0"/>
              <w:keepLines w:val="0"/>
              <w:suppressLineNumbers w:val="0"/>
              <w:spacing w:before="0" w:beforeAutospacing="0" w:after="0" w:afterAutospacing="0"/>
              <w:ind w:left="0" w:right="0"/>
              <w:jc w:val="center"/>
              <w:rPr>
                <w:rFonts w:hint="default" w:ascii="Calibri" w:hAnsi="Calibri" w:cs="Calibri"/>
                <w:color w:val="auto"/>
                <w:szCs w:val="21"/>
                <w:highlight w:val="none"/>
              </w:rPr>
            </w:pPr>
            <w:r>
              <w:rPr>
                <w:rFonts w:hint="eastAsia" w:ascii="Calibri" w:hAnsi="Calibri" w:cs="Calibri"/>
                <w:color w:val="auto"/>
                <w:szCs w:val="21"/>
                <w:highlight w:val="none"/>
              </w:rPr>
              <w:t>未参加信用评价的投标人</w:t>
            </w:r>
          </w:p>
        </w:tc>
        <w:tc>
          <w:tcPr>
            <w:tcW w:w="5953" w:type="dxa"/>
            <w:noWrap w:val="0"/>
            <w:vAlign w:val="top"/>
          </w:tcPr>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rPr>
                <w:rFonts w:hint="default" w:ascii="Calibri" w:hAnsi="Calibri" w:cs="Calibri"/>
                <w:color w:val="auto"/>
                <w:highlight w:val="none"/>
              </w:rPr>
            </w:pPr>
            <w:r>
              <w:rPr>
                <w:rFonts w:hint="default" w:ascii="Calibri" w:hAnsi="Calibri" w:cs="Calibri"/>
                <w:color w:val="auto"/>
                <w:highlight w:val="none"/>
                <w:u w:val="single"/>
              </w:rPr>
              <w:t xml:space="preserve">                          </w:t>
            </w:r>
            <w:r>
              <w:rPr>
                <w:rFonts w:hint="eastAsia" w:ascii="Calibri" w:hAnsi="Calibri" w:cs="Calibri"/>
                <w:color w:val="auto"/>
                <w:highlight w:val="none"/>
              </w:rPr>
              <w:t>。</w:t>
            </w:r>
          </w:p>
          <w:p>
            <w:pPr>
              <w:keepNext w:val="0"/>
              <w:keepLines w:val="0"/>
              <w:suppressLineNumbers w:val="0"/>
              <w:spacing w:before="0" w:beforeAutospacing="0" w:after="0" w:afterAutospacing="0"/>
              <w:ind w:left="0" w:right="0"/>
              <w:rPr>
                <w:rFonts w:hint="default" w:ascii="Calibri" w:hAnsi="Calibri" w:cs="Calibri"/>
                <w:color w:val="auto"/>
                <w:highlight w:val="none"/>
              </w:rPr>
            </w:pPr>
          </w:p>
          <w:p>
            <w:pPr>
              <w:keepNext w:val="0"/>
              <w:keepLines w:val="0"/>
              <w:suppressLineNumbers w:val="0"/>
              <w:spacing w:before="0" w:beforeAutospacing="0" w:after="0" w:afterAutospacing="0"/>
              <w:ind w:left="0" w:right="0" w:firstLine="420" w:firstLineChars="200"/>
              <w:rPr>
                <w:rFonts w:hint="eastAsia" w:ascii="Calibri" w:hAnsi="Calibri" w:cs="Calibri"/>
                <w:color w:val="auto"/>
                <w:szCs w:val="21"/>
                <w:highlight w:val="none"/>
              </w:rPr>
            </w:pPr>
            <w:r>
              <w:rPr>
                <w:rFonts w:hint="eastAsia" w:ascii="Calibri" w:hAnsi="Calibri" w:cs="Calibri"/>
                <w:color w:val="auto"/>
                <w:highlight w:val="none"/>
              </w:rPr>
              <w:t>注：</w:t>
            </w:r>
            <w:r>
              <w:rPr>
                <w:rFonts w:hint="eastAsia" w:ascii="Calibri" w:hAnsi="Calibri" w:cs="Calibri"/>
                <w:color w:val="auto"/>
                <w:szCs w:val="21"/>
                <w:highlight w:val="none"/>
              </w:rPr>
              <w:t>未参加信用评价的投标人</w:t>
            </w:r>
            <w:r>
              <w:rPr>
                <w:rFonts w:hint="eastAsia" w:ascii="Calibri" w:hAnsi="Calibri" w:cs="Calibri"/>
                <w:color w:val="auto"/>
                <w:highlight w:val="none"/>
              </w:rPr>
              <w:t>请填写“未参加”，</w:t>
            </w:r>
            <w:r>
              <w:rPr>
                <w:rFonts w:hint="eastAsia" w:ascii="Calibri" w:hAnsi="Calibri" w:cs="Calibri"/>
                <w:color w:val="auto"/>
                <w:szCs w:val="21"/>
                <w:highlight w:val="none"/>
              </w:rPr>
              <w:t>已参加信用评价的投标人</w:t>
            </w:r>
            <w:r>
              <w:rPr>
                <w:rFonts w:hint="eastAsia" w:ascii="Calibri" w:hAnsi="Calibri" w:cs="Calibri"/>
                <w:color w:val="auto"/>
                <w:highlight w:val="none"/>
              </w:rPr>
              <w:t>请填写“</w:t>
            </w:r>
            <w:r>
              <w:rPr>
                <w:rFonts w:hint="default" w:ascii="Calibri" w:hAnsi="Calibri" w:cs="Calibri"/>
                <w:color w:val="auto"/>
                <w:highlight w:val="none"/>
              </w:rPr>
              <w:t>\</w:t>
            </w:r>
            <w:r>
              <w:rPr>
                <w:rFonts w:hint="eastAsia" w:ascii="Calibri" w:hAnsi="Calibri" w:cs="Calibri"/>
                <w:color w:val="auto"/>
                <w:highlight w:val="none"/>
              </w:rPr>
              <w:t>”。</w:t>
            </w:r>
          </w:p>
        </w:tc>
      </w:tr>
    </w:tbl>
    <w:p>
      <w:pPr>
        <w:pStyle w:val="8"/>
        <w:outlineLvl w:val="9"/>
        <w:rPr>
          <w:rFonts w:hint="eastAsia" w:ascii="Times New Roman" w:hAnsi="Times New Roman" w:eastAsia="黑体"/>
          <w:b w:val="0"/>
          <w:bCs w:val="0"/>
          <w:color w:val="auto"/>
          <w:sz w:val="24"/>
          <w:highlight w:val="none"/>
        </w:rPr>
      </w:pPr>
    </w:p>
    <w:p>
      <w:pPr>
        <w:rPr>
          <w:rFonts w:hint="eastAsia"/>
          <w:color w:val="auto"/>
          <w:highlight w:val="none"/>
        </w:rPr>
      </w:pPr>
      <w:r>
        <w:rPr>
          <w:color w:val="auto"/>
          <w:highlight w:val="none"/>
        </w:rPr>
        <w:br w:type="page"/>
      </w:r>
    </w:p>
    <w:p>
      <w:pPr>
        <w:spacing w:line="420" w:lineRule="exact"/>
        <w:rPr>
          <w:rFonts w:eastAsia="黑体"/>
          <w:b/>
          <w:bCs/>
          <w:color w:val="auto"/>
          <w:sz w:val="30"/>
          <w:szCs w:val="30"/>
          <w:highlight w:val="none"/>
        </w:rPr>
      </w:pPr>
      <w:bookmarkStart w:id="226" w:name="_Toc300678589"/>
      <w:r>
        <w:rPr>
          <w:rFonts w:eastAsia="黑体"/>
          <w:color w:val="auto"/>
          <w:sz w:val="24"/>
          <w:highlight w:val="none"/>
        </w:rPr>
        <w:t>（11）</w:t>
      </w:r>
      <w:bookmarkEnd w:id="226"/>
      <w:bookmarkStart w:id="227" w:name="_Hlk53729905"/>
      <w:bookmarkStart w:id="228" w:name="_Hlk53733054"/>
      <w:r>
        <w:rPr>
          <w:rFonts w:hint="eastAsia" w:eastAsia="黑体"/>
          <w:color w:val="auto"/>
          <w:sz w:val="24"/>
          <w:highlight w:val="none"/>
        </w:rPr>
        <w:t>拟任工程总承包项目负责人</w:t>
      </w:r>
      <w:bookmarkStart w:id="229" w:name="_Hlk53730093"/>
      <w:r>
        <w:rPr>
          <w:rFonts w:hint="eastAsia" w:eastAsia="黑体"/>
          <w:color w:val="auto"/>
          <w:sz w:val="24"/>
          <w:highlight w:val="none"/>
        </w:rPr>
        <w:t>不良行为记录</w:t>
      </w:r>
      <w:bookmarkEnd w:id="227"/>
      <w:bookmarkStart w:id="230" w:name="_Toc300678591"/>
      <w:r>
        <w:rPr>
          <w:rFonts w:hint="eastAsia" w:eastAsia="黑体"/>
          <w:color w:val="auto"/>
          <w:sz w:val="24"/>
          <w:highlight w:val="none"/>
        </w:rPr>
        <w:t>、被列入省公管办或省住建厅发布的黑名单的证明资料</w:t>
      </w:r>
      <w:bookmarkEnd w:id="229"/>
      <w:r>
        <w:rPr>
          <w:rFonts w:hint="eastAsia" w:eastAsia="黑体"/>
          <w:color w:val="auto"/>
          <w:sz w:val="24"/>
          <w:highlight w:val="none"/>
        </w:rPr>
        <w:t>复印件</w:t>
      </w:r>
    </w:p>
    <w:bookmarkEnd w:id="228"/>
    <w:p>
      <w:pPr>
        <w:ind w:firstLine="210" w:firstLineChars="100"/>
        <w:rPr>
          <w:rFonts w:hint="eastAsia"/>
          <w:color w:val="auto"/>
          <w:highlight w:val="none"/>
        </w:rPr>
      </w:pPr>
      <w:r>
        <w:rPr>
          <w:rFonts w:hint="eastAsia"/>
          <w:color w:val="auto"/>
          <w:highlight w:val="none"/>
        </w:rPr>
        <w:t>说明：不良行为记录、</w:t>
      </w:r>
      <w:r>
        <w:rPr>
          <w:rFonts w:hint="eastAsia" w:ascii="宋体" w:hAnsi="宋体"/>
          <w:color w:val="auto"/>
          <w:szCs w:val="21"/>
          <w:highlight w:val="none"/>
        </w:rPr>
        <w:t>被列入省公管办或省住建厅发布的黑名单的</w:t>
      </w:r>
      <w:r>
        <w:rPr>
          <w:rFonts w:hint="eastAsia"/>
          <w:color w:val="auto"/>
          <w:highlight w:val="none"/>
        </w:rPr>
        <w:t>证明资料具体要求见本招标文件第三章评标办法。拟任工程总承包项目负责人在扣分有效期内如无不良行为记录、未</w:t>
      </w:r>
      <w:r>
        <w:rPr>
          <w:rFonts w:hint="eastAsia" w:ascii="宋体" w:hAnsi="宋体"/>
          <w:color w:val="auto"/>
          <w:szCs w:val="21"/>
          <w:highlight w:val="none"/>
        </w:rPr>
        <w:t>被列入省公管办或省住建厅发布的黑名单的</w:t>
      </w:r>
      <w:r>
        <w:rPr>
          <w:rFonts w:hint="eastAsia"/>
          <w:color w:val="auto"/>
          <w:highlight w:val="none"/>
        </w:rPr>
        <w:t>，投标人需注明“拟任工程总承包项目负责人在扣分有效期内扣分有效期内无不良行为记录、未</w:t>
      </w:r>
      <w:r>
        <w:rPr>
          <w:rFonts w:hint="eastAsia" w:ascii="宋体" w:hAnsi="宋体"/>
          <w:color w:val="auto"/>
          <w:szCs w:val="21"/>
          <w:highlight w:val="none"/>
        </w:rPr>
        <w:t>被列入省公管办或省住建厅发布的黑名单</w:t>
      </w:r>
      <w:r>
        <w:rPr>
          <w:rFonts w:hint="eastAsia"/>
          <w:color w:val="auto"/>
          <w:highlight w:val="none"/>
        </w:rPr>
        <w:t>”。</w:t>
      </w:r>
    </w:p>
    <w:p>
      <w:pPr>
        <w:pStyle w:val="6"/>
        <w:spacing w:before="0" w:after="0" w:line="360" w:lineRule="auto"/>
        <w:jc w:val="center"/>
        <w:outlineLvl w:val="9"/>
        <w:rPr>
          <w:rFonts w:ascii="Times New Roman" w:hAnsi="Times New Roman" w:eastAsia="黑体"/>
          <w:b w:val="0"/>
          <w:bCs w:val="0"/>
          <w:color w:val="auto"/>
          <w:sz w:val="30"/>
          <w:szCs w:val="30"/>
          <w:highlight w:val="none"/>
        </w:rPr>
      </w:pPr>
    </w:p>
    <w:p>
      <w:pPr>
        <w:pStyle w:val="6"/>
        <w:jc w:val="center"/>
        <w:rPr>
          <w:rFonts w:hint="eastAsia" w:ascii="Times New Roman" w:hAnsi="Times New Roman" w:eastAsia="黑体"/>
          <w:b w:val="0"/>
          <w:bCs w:val="0"/>
          <w:color w:val="auto"/>
          <w:sz w:val="30"/>
          <w:highlight w:val="none"/>
        </w:rPr>
      </w:pPr>
      <w:r>
        <w:rPr>
          <w:rFonts w:eastAsia="黑体"/>
          <w:b w:val="0"/>
          <w:bCs w:val="0"/>
          <w:color w:val="auto"/>
          <w:sz w:val="30"/>
          <w:szCs w:val="30"/>
          <w:highlight w:val="none"/>
        </w:rPr>
        <w:br w:type="page"/>
      </w:r>
      <w:bookmarkStart w:id="231" w:name="_Toc18116"/>
      <w:bookmarkStart w:id="232" w:name="_Toc69199942"/>
      <w:bookmarkStart w:id="233" w:name="_Hlk53733080"/>
      <w:r>
        <w:rPr>
          <w:rFonts w:hint="eastAsia" w:ascii="Times New Roman" w:hAnsi="Times New Roman" w:eastAsia="黑体"/>
          <w:b w:val="0"/>
          <w:bCs w:val="0"/>
          <w:color w:val="auto"/>
          <w:sz w:val="30"/>
          <w:highlight w:val="none"/>
        </w:rPr>
        <w:t>9</w:t>
      </w:r>
      <w:r>
        <w:rPr>
          <w:rFonts w:ascii="Times New Roman" w:hAnsi="Times New Roman" w:eastAsia="黑体"/>
          <w:b w:val="0"/>
          <w:bCs w:val="0"/>
          <w:color w:val="auto"/>
          <w:sz w:val="30"/>
          <w:highlight w:val="none"/>
        </w:rPr>
        <w:t>.</w:t>
      </w:r>
      <w:r>
        <w:rPr>
          <w:rFonts w:hint="eastAsia" w:ascii="Times New Roman" w:hAnsi="Times New Roman" w:eastAsia="黑体"/>
          <w:b w:val="0"/>
          <w:bCs w:val="0"/>
          <w:color w:val="auto"/>
          <w:sz w:val="30"/>
          <w:highlight w:val="none"/>
        </w:rPr>
        <w:t>企业资信及履约能力自评表</w:t>
      </w:r>
      <w:bookmarkEnd w:id="231"/>
      <w:bookmarkEnd w:id="232"/>
    </w:p>
    <w:bookmarkEnd w:id="233"/>
    <w:tbl>
      <w:tblPr>
        <w:tblStyle w:val="47"/>
        <w:tblW w:w="9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611"/>
        <w:gridCol w:w="19"/>
        <w:gridCol w:w="1115"/>
        <w:gridCol w:w="382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exact"/>
        </w:trPr>
        <w:tc>
          <w:tcPr>
            <w:tcW w:w="233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评</w:t>
            </w:r>
            <w:r>
              <w:rPr>
                <w:rFonts w:hint="default" w:ascii="Calibri" w:hAnsi="Calibri" w:cs="Calibri"/>
                <w:color w:val="auto"/>
                <w:sz w:val="18"/>
                <w:szCs w:val="21"/>
                <w:highlight w:val="none"/>
              </w:rPr>
              <w:t>审对象</w:t>
            </w:r>
          </w:p>
        </w:tc>
        <w:tc>
          <w:tcPr>
            <w:tcW w:w="5573" w:type="dxa"/>
            <w:gridSpan w:val="4"/>
            <w:noWrap w:val="0"/>
            <w:vAlign w:val="center"/>
          </w:tcPr>
          <w:p>
            <w:pPr>
              <w:keepNext w:val="0"/>
              <w:keepLines w:val="0"/>
              <w:suppressLineNumbers w:val="0"/>
              <w:spacing w:before="0" w:beforeAutospacing="0" w:after="0" w:afterAutospacing="0"/>
              <w:ind w:left="0" w:right="0"/>
              <w:jc w:val="center"/>
              <w:rPr>
                <w:rFonts w:hint="default" w:ascii="Calibri" w:hAnsi="Calibri" w:cs="Calibri"/>
                <w:color w:val="auto"/>
                <w:sz w:val="18"/>
                <w:szCs w:val="21"/>
                <w:highlight w:val="none"/>
              </w:rPr>
            </w:pPr>
            <w:r>
              <w:rPr>
                <w:rFonts w:hint="eastAsia" w:ascii="Calibri" w:hAnsi="Calibri" w:cs="Calibri"/>
                <w:color w:val="auto"/>
                <w:sz w:val="18"/>
                <w:szCs w:val="21"/>
                <w:highlight w:val="none"/>
              </w:rPr>
              <w:t>评</w:t>
            </w:r>
            <w:r>
              <w:rPr>
                <w:rFonts w:hint="default" w:ascii="Calibri" w:hAnsi="Calibri" w:cs="Calibri"/>
                <w:color w:val="auto"/>
                <w:sz w:val="18"/>
                <w:szCs w:val="21"/>
                <w:highlight w:val="none"/>
              </w:rPr>
              <w:t>审内容</w:t>
            </w:r>
          </w:p>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default" w:ascii="Calibri" w:hAnsi="Calibri" w:cs="Calibri"/>
                <w:color w:val="auto"/>
                <w:sz w:val="18"/>
                <w:szCs w:val="21"/>
                <w:highlight w:val="none"/>
              </w:rPr>
              <w:t>（项目名称、奖项名称）</w:t>
            </w: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材料所在的页码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独立投标人（设计资质）或联合体中设计单位</w:t>
            </w:r>
          </w:p>
        </w:tc>
        <w:tc>
          <w:tcPr>
            <w:tcW w:w="611"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奖项</w:t>
            </w:r>
          </w:p>
        </w:tc>
        <w:tc>
          <w:tcPr>
            <w:tcW w:w="1134"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国家级优秀工程设计奖</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Calibri"/>
                <w:color w:val="auto"/>
                <w:sz w:val="18"/>
                <w:szCs w:val="21"/>
                <w:highlight w:val="none"/>
                <w:lang w:val="en-US" w:eastAsia="zh-CN"/>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11"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34"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eastAsia="宋体" w:cs="Calibri"/>
                <w:color w:val="auto"/>
                <w:sz w:val="18"/>
                <w:szCs w:val="21"/>
                <w:highlight w:val="none"/>
                <w:lang w:val="en-US" w:eastAsia="zh-CN"/>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11"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34"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省级优秀工程设计奖</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11"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34"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745" w:type="dxa"/>
            <w:gridSpan w:val="3"/>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类似工程业绩</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745" w:type="dxa"/>
            <w:gridSpan w:val="3"/>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独立投标人（施工资质）或联合体中施工单位</w:t>
            </w:r>
          </w:p>
        </w:tc>
        <w:tc>
          <w:tcPr>
            <w:tcW w:w="630"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奖项</w:t>
            </w:r>
          </w:p>
        </w:tc>
        <w:tc>
          <w:tcPr>
            <w:tcW w:w="1115"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国家级</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省级</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标准化工地</w:t>
            </w:r>
          </w:p>
        </w:tc>
        <w:tc>
          <w:tcPr>
            <w:tcW w:w="1115"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国家级</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r>
              <w:rPr>
                <w:rFonts w:hint="eastAsia" w:ascii="Calibri" w:hAnsi="Calibri" w:cs="Calibri"/>
                <w:color w:val="auto"/>
                <w:sz w:val="18"/>
                <w:szCs w:val="21"/>
                <w:highlight w:val="none"/>
              </w:rPr>
              <w:t>省级</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630"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115"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745" w:type="dxa"/>
            <w:gridSpan w:val="3"/>
            <w:vMerge w:val="restart"/>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r>
              <w:rPr>
                <w:rFonts w:hint="eastAsia" w:ascii="Calibri" w:hAnsi="Calibri" w:cs="Calibri"/>
                <w:color w:val="auto"/>
                <w:sz w:val="18"/>
                <w:szCs w:val="21"/>
                <w:highlight w:val="none"/>
              </w:rPr>
              <w:t>类似工程业绩</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2332" w:type="dxa"/>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745" w:type="dxa"/>
            <w:gridSpan w:val="3"/>
            <w:vMerge w:val="continue"/>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exact"/>
        </w:trPr>
        <w:tc>
          <w:tcPr>
            <w:tcW w:w="2332"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20"/>
                <w:szCs w:val="20"/>
                <w:highlight w:val="none"/>
              </w:rPr>
            </w:pPr>
            <w:r>
              <w:rPr>
                <w:rFonts w:hint="eastAsia" w:ascii="宋体" w:hAnsi="宋体" w:cs="宋体"/>
                <w:color w:val="auto"/>
                <w:kern w:val="0"/>
                <w:sz w:val="20"/>
                <w:szCs w:val="20"/>
                <w:highlight w:val="none"/>
              </w:rPr>
              <w:t>拟任工程总承包项目负责人</w:t>
            </w:r>
          </w:p>
        </w:tc>
        <w:tc>
          <w:tcPr>
            <w:tcW w:w="1745" w:type="dxa"/>
            <w:gridSpan w:val="3"/>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sz w:val="20"/>
                <w:szCs w:val="20"/>
                <w:highlight w:val="none"/>
              </w:rPr>
            </w:pPr>
            <w:r>
              <w:rPr>
                <w:rFonts w:hint="eastAsia" w:ascii="Calibri" w:hAnsi="Calibri" w:cs="Calibri"/>
                <w:color w:val="auto"/>
                <w:sz w:val="20"/>
                <w:szCs w:val="20"/>
                <w:highlight w:val="none"/>
              </w:rPr>
              <w:t>不良行为记录</w:t>
            </w:r>
          </w:p>
        </w:tc>
        <w:tc>
          <w:tcPr>
            <w:tcW w:w="3828"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c>
          <w:tcPr>
            <w:tcW w:w="1426" w:type="dxa"/>
            <w:noWrap w:val="0"/>
            <w:vAlign w:val="center"/>
          </w:tcPr>
          <w:p>
            <w:pPr>
              <w:keepNext w:val="0"/>
              <w:keepLines w:val="0"/>
              <w:suppressLineNumbers w:val="0"/>
              <w:spacing w:before="0" w:beforeAutospacing="0" w:after="0" w:afterAutospacing="0"/>
              <w:ind w:left="0" w:right="0"/>
              <w:jc w:val="center"/>
              <w:rPr>
                <w:rFonts w:hint="eastAsia" w:ascii="Calibri" w:hAnsi="Calibri" w:cs="Calibri"/>
                <w:color w:val="auto"/>
                <w:highlight w:val="none"/>
              </w:rPr>
            </w:pPr>
          </w:p>
        </w:tc>
      </w:tr>
    </w:tbl>
    <w:p>
      <w:pPr>
        <w:rPr>
          <w:color w:val="auto"/>
          <w:highlight w:val="none"/>
        </w:rPr>
      </w:pPr>
    </w:p>
    <w:bookmarkEnd w:id="230"/>
    <w:p>
      <w:pPr>
        <w:snapToGrid w:val="0"/>
        <w:spacing w:line="360" w:lineRule="auto"/>
        <w:rPr>
          <w:color w:val="auto"/>
          <w:highlight w:val="none"/>
        </w:rPr>
      </w:pPr>
      <w:bookmarkStart w:id="234" w:name="_Toc300678592"/>
      <w:r>
        <w:rPr>
          <w:color w:val="auto"/>
          <w:highlight w:val="none"/>
        </w:rPr>
        <w:br w:type="page"/>
      </w:r>
    </w:p>
    <w:p>
      <w:pPr>
        <w:pStyle w:val="6"/>
        <w:spacing w:before="0" w:after="0" w:line="360" w:lineRule="auto"/>
        <w:jc w:val="center"/>
        <w:rPr>
          <w:rFonts w:ascii="Times New Roman" w:hAnsi="Times New Roman" w:eastAsia="黑体"/>
          <w:b w:val="0"/>
          <w:bCs w:val="0"/>
          <w:color w:val="auto"/>
          <w:sz w:val="30"/>
          <w:szCs w:val="30"/>
          <w:highlight w:val="none"/>
        </w:rPr>
      </w:pPr>
      <w:bookmarkStart w:id="235" w:name="_Toc9178588"/>
      <w:bookmarkStart w:id="236" w:name="_Toc3807"/>
      <w:bookmarkStart w:id="237" w:name="_Toc69199943"/>
      <w:r>
        <w:rPr>
          <w:rFonts w:ascii="Times New Roman" w:hAnsi="Times New Roman" w:eastAsia="黑体"/>
          <w:b w:val="0"/>
          <w:bCs w:val="0"/>
          <w:color w:val="auto"/>
          <w:sz w:val="30"/>
          <w:szCs w:val="30"/>
          <w:highlight w:val="none"/>
        </w:rPr>
        <w:t>10</w:t>
      </w:r>
      <w:r>
        <w:rPr>
          <w:rFonts w:hint="eastAsia" w:ascii="Times New Roman" w:hAnsi="Times New Roman" w:eastAsia="黑体"/>
          <w:b w:val="0"/>
          <w:bCs w:val="0"/>
          <w:color w:val="auto"/>
          <w:sz w:val="30"/>
          <w:szCs w:val="30"/>
          <w:highlight w:val="none"/>
        </w:rPr>
        <w:t>.</w:t>
      </w:r>
      <w:r>
        <w:rPr>
          <w:rFonts w:ascii="Times New Roman" w:hAnsi="Times New Roman" w:eastAsia="黑体"/>
          <w:b w:val="0"/>
          <w:bCs w:val="0"/>
          <w:color w:val="auto"/>
          <w:sz w:val="30"/>
          <w:szCs w:val="30"/>
          <w:highlight w:val="none"/>
        </w:rPr>
        <w:t>承 诺 书</w:t>
      </w:r>
      <w:bookmarkEnd w:id="234"/>
      <w:bookmarkEnd w:id="235"/>
      <w:bookmarkEnd w:id="236"/>
      <w:bookmarkEnd w:id="237"/>
    </w:p>
    <w:p>
      <w:pPr>
        <w:snapToGrid w:val="0"/>
        <w:spacing w:line="360" w:lineRule="auto"/>
        <w:rPr>
          <w:color w:val="auto"/>
          <w:highlight w:val="none"/>
        </w:rPr>
      </w:pPr>
    </w:p>
    <w:p>
      <w:pPr>
        <w:snapToGrid w:val="0"/>
        <w:spacing w:line="360" w:lineRule="auto"/>
        <w:rPr>
          <w:color w:val="auto"/>
          <w:highlight w:val="none"/>
        </w:rPr>
      </w:pPr>
      <w:r>
        <w:rPr>
          <w:color w:val="auto"/>
          <w:highlight w:val="none"/>
          <w:u w:val="single"/>
        </w:rPr>
        <w:t xml:space="preserve">                     </w:t>
      </w:r>
      <w:r>
        <w:rPr>
          <w:color w:val="auto"/>
          <w:highlight w:val="none"/>
        </w:rPr>
        <w:t>（招标人名称）：</w:t>
      </w:r>
    </w:p>
    <w:p>
      <w:pPr>
        <w:snapToGrid w:val="0"/>
        <w:spacing w:line="360" w:lineRule="auto"/>
        <w:rPr>
          <w:color w:val="auto"/>
          <w:highlight w:val="none"/>
        </w:rPr>
      </w:pPr>
    </w:p>
    <w:p>
      <w:pPr>
        <w:snapToGrid w:val="0"/>
        <w:spacing w:line="360" w:lineRule="auto"/>
        <w:ind w:firstLine="420" w:firstLineChars="200"/>
        <w:rPr>
          <w:color w:val="auto"/>
          <w:highlight w:val="none"/>
        </w:rPr>
      </w:pPr>
      <w:r>
        <w:rPr>
          <w:color w:val="auto"/>
          <w:highlight w:val="none"/>
        </w:rPr>
        <w:t>我方在此声明：</w:t>
      </w:r>
    </w:p>
    <w:p>
      <w:pPr>
        <w:snapToGrid w:val="0"/>
        <w:spacing w:line="360" w:lineRule="auto"/>
        <w:ind w:firstLine="420" w:firstLineChars="200"/>
        <w:rPr>
          <w:color w:val="auto"/>
          <w:highlight w:val="none"/>
        </w:rPr>
      </w:pPr>
      <w:r>
        <w:rPr>
          <w:color w:val="auto"/>
          <w:highlight w:val="none"/>
        </w:rPr>
        <w:t>1.我方拟派</w:t>
      </w:r>
      <w:r>
        <w:rPr>
          <w:rFonts w:hint="eastAsia"/>
          <w:color w:val="auto"/>
          <w:highlight w:val="none"/>
        </w:rPr>
        <w:t>往</w:t>
      </w:r>
      <w:r>
        <w:rPr>
          <w:rFonts w:hint="eastAsia"/>
          <w:color w:val="auto"/>
          <w:highlight w:val="none"/>
          <w:u w:val="single"/>
        </w:rPr>
        <w:t xml:space="preserve">   招标项目及标段       </w:t>
      </w:r>
      <w:r>
        <w:rPr>
          <w:rFonts w:hint="eastAsia"/>
          <w:color w:val="auto"/>
          <w:highlight w:val="none"/>
        </w:rPr>
        <w:t xml:space="preserve"> </w:t>
      </w:r>
      <w:r>
        <w:rPr>
          <w:color w:val="auto"/>
          <w:highlight w:val="none"/>
        </w:rPr>
        <w:t>的</w:t>
      </w:r>
      <w:r>
        <w:rPr>
          <w:rFonts w:hint="eastAsia" w:ascii="宋体" w:hAnsi="宋体"/>
          <w:color w:val="auto"/>
          <w:highlight w:val="none"/>
        </w:rPr>
        <w:t>工程总承包项目负责人、</w:t>
      </w:r>
      <w:r>
        <w:rPr>
          <w:rFonts w:hint="eastAsia"/>
          <w:color w:val="auto"/>
          <w:highlight w:val="none"/>
        </w:rPr>
        <w:t>施工项目负责人、设计项目</w:t>
      </w:r>
      <w:r>
        <w:rPr>
          <w:color w:val="auto"/>
          <w:highlight w:val="none"/>
        </w:rPr>
        <w:t>负责人能够到位履行职责，如不能到位，我方自愿接受处罚</w:t>
      </w:r>
      <w:r>
        <w:rPr>
          <w:rFonts w:hint="eastAsia"/>
          <w:color w:val="auto"/>
          <w:highlight w:val="none"/>
        </w:rPr>
        <w:t>和被予不良行为记录</w:t>
      </w:r>
      <w:r>
        <w:rPr>
          <w:color w:val="auto"/>
          <w:highlight w:val="none"/>
        </w:rPr>
        <w:t>。</w:t>
      </w:r>
    </w:p>
    <w:p>
      <w:pPr>
        <w:snapToGrid w:val="0"/>
        <w:spacing w:line="360" w:lineRule="auto"/>
        <w:ind w:firstLine="420" w:firstLineChars="200"/>
        <w:rPr>
          <w:color w:val="auto"/>
          <w:highlight w:val="none"/>
        </w:rPr>
      </w:pPr>
      <w:r>
        <w:rPr>
          <w:color w:val="auto"/>
          <w:highlight w:val="none"/>
        </w:rPr>
        <w:t>2.我方不存在第二章“投标人须知”第1.4.3项规定的任何一种情形。</w:t>
      </w:r>
    </w:p>
    <w:p>
      <w:pPr>
        <w:snapToGrid w:val="0"/>
        <w:spacing w:line="360" w:lineRule="auto"/>
        <w:ind w:firstLine="420" w:firstLineChars="200"/>
        <w:rPr>
          <w:color w:val="auto"/>
          <w:highlight w:val="none"/>
          <w:lang w:val="sq-AL"/>
        </w:rPr>
      </w:pPr>
      <w:r>
        <w:rPr>
          <w:color w:val="auto"/>
          <w:highlight w:val="none"/>
          <w:lang w:val="sq-AL"/>
        </w:rPr>
        <w:t>3.我方严格遵守相关法律法规</w:t>
      </w:r>
      <w:r>
        <w:rPr>
          <w:rFonts w:hint="eastAsia"/>
          <w:color w:val="auto"/>
          <w:highlight w:val="none"/>
          <w:lang w:val="sq-AL"/>
        </w:rPr>
        <w:t>规定</w:t>
      </w:r>
      <w:r>
        <w:rPr>
          <w:color w:val="auto"/>
          <w:highlight w:val="none"/>
          <w:lang w:val="sq-AL"/>
        </w:rPr>
        <w:t>，没有串通投标、资质挂靠等违法、违规行为，投标文件所投入的管理、技术人员均为我公司正式在职人员。</w:t>
      </w:r>
    </w:p>
    <w:p>
      <w:pPr>
        <w:snapToGrid w:val="0"/>
        <w:spacing w:line="360" w:lineRule="auto"/>
        <w:ind w:firstLine="420" w:firstLineChars="200"/>
        <w:rPr>
          <w:color w:val="auto"/>
          <w:highlight w:val="none"/>
          <w:lang w:val="sq-AL"/>
        </w:rPr>
      </w:pPr>
      <w:r>
        <w:rPr>
          <w:color w:val="auto"/>
          <w:highlight w:val="none"/>
          <w:lang w:val="sq-AL"/>
        </w:rPr>
        <w:t>4.我方保证提供的资质、业绩等证明材料真实、合法、有效，</w:t>
      </w:r>
      <w:r>
        <w:rPr>
          <w:color w:val="auto"/>
          <w:highlight w:val="none"/>
        </w:rPr>
        <w:t>并愿意承担因我方就此弄虚作假所引起的一切后果。</w:t>
      </w:r>
    </w:p>
    <w:p>
      <w:pPr>
        <w:snapToGrid w:val="0"/>
        <w:spacing w:line="360" w:lineRule="auto"/>
        <w:ind w:firstLine="420" w:firstLineChars="200"/>
        <w:rPr>
          <w:color w:val="auto"/>
          <w:highlight w:val="none"/>
          <w:lang w:val="sq-AL"/>
        </w:rPr>
      </w:pPr>
      <w:r>
        <w:rPr>
          <w:color w:val="auto"/>
          <w:highlight w:val="none"/>
          <w:lang w:val="sq-AL"/>
        </w:rPr>
        <w:t>5.我方不参与不正当竞争，不向招标人、招标代理机构、交易中心、评标专家以及行业监督部门行贿以谋取不正当利益。</w:t>
      </w:r>
    </w:p>
    <w:p>
      <w:pPr>
        <w:snapToGrid w:val="0"/>
        <w:spacing w:line="360" w:lineRule="auto"/>
        <w:ind w:firstLine="420" w:firstLineChars="200"/>
        <w:rPr>
          <w:color w:val="auto"/>
          <w:highlight w:val="none"/>
          <w:lang w:val="sq-AL"/>
        </w:rPr>
      </w:pPr>
      <w:r>
        <w:rPr>
          <w:color w:val="auto"/>
          <w:highlight w:val="none"/>
          <w:lang w:val="sq-AL"/>
        </w:rPr>
        <w:t>6.我方严格按照招、投标文件约定签订合同，不将中标项目转包或违法分包。</w:t>
      </w:r>
    </w:p>
    <w:p>
      <w:pPr>
        <w:snapToGrid w:val="0"/>
        <w:spacing w:line="360" w:lineRule="auto"/>
        <w:ind w:firstLine="420" w:firstLineChars="200"/>
        <w:rPr>
          <w:color w:val="auto"/>
          <w:highlight w:val="none"/>
        </w:rPr>
      </w:pPr>
      <w:r>
        <w:rPr>
          <w:color w:val="auto"/>
          <w:highlight w:val="none"/>
          <w:lang w:val="sq-AL"/>
        </w:rPr>
        <w:t>7.</w:t>
      </w:r>
      <w:r>
        <w:rPr>
          <w:color w:val="auto"/>
          <w:highlight w:val="none"/>
        </w:rPr>
        <w:t>一旦我方中标，坚决维护农民工的合法权益，按时足额支付农民工工资，决不拖欠。</w:t>
      </w:r>
    </w:p>
    <w:p>
      <w:pPr>
        <w:snapToGrid w:val="0"/>
        <w:spacing w:line="360" w:lineRule="auto"/>
        <w:ind w:firstLine="420" w:firstLineChars="200"/>
        <w:rPr>
          <w:color w:val="auto"/>
          <w:highlight w:val="none"/>
        </w:rPr>
      </w:pPr>
      <w:r>
        <w:rPr>
          <w:color w:val="auto"/>
          <w:highlight w:val="none"/>
        </w:rPr>
        <w:t>特此承诺！</w:t>
      </w:r>
    </w:p>
    <w:p>
      <w:pPr>
        <w:snapToGrid w:val="0"/>
        <w:spacing w:line="360" w:lineRule="auto"/>
        <w:ind w:firstLine="420" w:firstLineChars="200"/>
        <w:rPr>
          <w:color w:val="auto"/>
          <w:highlight w:val="none"/>
        </w:rPr>
      </w:pPr>
    </w:p>
    <w:p>
      <w:pPr>
        <w:snapToGrid w:val="0"/>
        <w:spacing w:line="360" w:lineRule="auto"/>
        <w:ind w:firstLine="420" w:firstLineChars="200"/>
        <w:rPr>
          <w:color w:val="auto"/>
          <w:highlight w:val="none"/>
        </w:rPr>
      </w:pPr>
    </w:p>
    <w:p>
      <w:pPr>
        <w:snapToGrid w:val="0"/>
        <w:spacing w:line="360" w:lineRule="auto"/>
        <w:ind w:firstLine="420" w:firstLineChars="200"/>
        <w:jc w:val="right"/>
        <w:rPr>
          <w:color w:val="auto"/>
          <w:highlight w:val="none"/>
        </w:rPr>
      </w:pPr>
      <w:r>
        <w:rPr>
          <w:color w:val="auto"/>
          <w:highlight w:val="none"/>
        </w:rPr>
        <w:t>投标人：（盖单位章）</w:t>
      </w:r>
    </w:p>
    <w:p>
      <w:pPr>
        <w:snapToGrid w:val="0"/>
        <w:spacing w:line="360" w:lineRule="auto"/>
        <w:ind w:firstLine="420" w:firstLineChars="200"/>
        <w:jc w:val="right"/>
        <w:rPr>
          <w:color w:val="auto"/>
          <w:highlight w:val="none"/>
        </w:rPr>
      </w:pPr>
      <w:r>
        <w:rPr>
          <w:color w:val="auto"/>
          <w:highlight w:val="none"/>
        </w:rPr>
        <w:t>法定代表人或其委托代理人：（签字或盖章）</w:t>
      </w:r>
    </w:p>
    <w:p>
      <w:pPr>
        <w:snapToGrid w:val="0"/>
        <w:spacing w:line="360" w:lineRule="auto"/>
        <w:ind w:firstLine="420" w:firstLineChars="200"/>
        <w:jc w:val="right"/>
        <w:rPr>
          <w:color w:val="auto"/>
          <w:highlight w:val="none"/>
        </w:rPr>
      </w:pPr>
      <w:r>
        <w:rPr>
          <w:color w:val="auto"/>
          <w:highlight w:val="none"/>
        </w:rPr>
        <w:t xml:space="preserve">   年   月  日</w:t>
      </w:r>
    </w:p>
    <w:p>
      <w:pPr>
        <w:widowControl/>
        <w:jc w:val="left"/>
        <w:rPr>
          <w:rFonts w:hint="eastAsia" w:eastAsia="黑体"/>
          <w:bCs/>
          <w:color w:val="auto"/>
          <w:kern w:val="0"/>
          <w:sz w:val="32"/>
          <w:szCs w:val="32"/>
          <w:highlight w:val="none"/>
        </w:rPr>
      </w:pPr>
    </w:p>
    <w:p>
      <w:pPr>
        <w:pStyle w:val="245"/>
        <w:spacing w:line="500" w:lineRule="exact"/>
        <w:ind w:firstLine="211" w:firstLineChars="100"/>
        <w:rPr>
          <w:rFonts w:ascii="Arial" w:hAnsi="Arial" w:eastAsia="新宋体" w:cs="Arial"/>
          <w:b/>
          <w:color w:val="auto"/>
          <w:sz w:val="21"/>
          <w:highlight w:val="none"/>
        </w:rPr>
      </w:pPr>
      <w:r>
        <w:rPr>
          <w:rFonts w:hint="eastAsia" w:ascii="Arial" w:hAnsi="Arial" w:eastAsia="新宋体" w:cs="Arial"/>
          <w:b/>
          <w:color w:val="auto"/>
          <w:sz w:val="21"/>
          <w:highlight w:val="none"/>
        </w:rPr>
        <w:t>注：以联合体形式投标的，本承诺书应由联合体牵头人按上述规定填写并签署。</w:t>
      </w:r>
    </w:p>
    <w:p>
      <w:pPr>
        <w:widowControl/>
        <w:jc w:val="left"/>
        <w:rPr>
          <w:rFonts w:hint="eastAsia" w:eastAsia="黑体"/>
          <w:bCs/>
          <w:color w:val="auto"/>
          <w:kern w:val="0"/>
          <w:sz w:val="32"/>
          <w:szCs w:val="32"/>
          <w:highlight w:val="none"/>
        </w:rPr>
      </w:pPr>
    </w:p>
    <w:p>
      <w:pPr>
        <w:pStyle w:val="6"/>
        <w:spacing w:before="0" w:after="0" w:line="360" w:lineRule="auto"/>
        <w:jc w:val="center"/>
        <w:rPr>
          <w:rFonts w:ascii="Times New Roman" w:hAnsi="Times New Roman" w:eastAsia="黑体"/>
          <w:b w:val="0"/>
          <w:bCs w:val="0"/>
          <w:color w:val="auto"/>
          <w:sz w:val="30"/>
          <w:szCs w:val="30"/>
          <w:highlight w:val="none"/>
        </w:rPr>
      </w:pPr>
      <w:r>
        <w:rPr>
          <w:rFonts w:eastAsia="黑体"/>
          <w:bCs w:val="0"/>
          <w:color w:val="auto"/>
          <w:kern w:val="0"/>
          <w:sz w:val="32"/>
          <w:szCs w:val="32"/>
          <w:highlight w:val="none"/>
        </w:rPr>
        <w:br w:type="page"/>
      </w:r>
      <w:bookmarkStart w:id="238" w:name="_Toc6064"/>
      <w:bookmarkStart w:id="239" w:name="_Toc69199944"/>
      <w:r>
        <w:rPr>
          <w:rFonts w:hint="eastAsia" w:ascii="Times New Roman" w:hAnsi="Times New Roman" w:eastAsia="黑体"/>
          <w:b w:val="0"/>
          <w:bCs w:val="0"/>
          <w:color w:val="auto"/>
          <w:sz w:val="30"/>
          <w:szCs w:val="30"/>
          <w:highlight w:val="none"/>
        </w:rPr>
        <w:t>1</w:t>
      </w:r>
      <w:r>
        <w:rPr>
          <w:rFonts w:ascii="Times New Roman" w:hAnsi="Times New Roman" w:eastAsia="黑体"/>
          <w:b w:val="0"/>
          <w:bCs w:val="0"/>
          <w:color w:val="auto"/>
          <w:sz w:val="30"/>
          <w:szCs w:val="30"/>
          <w:highlight w:val="none"/>
        </w:rPr>
        <w:t>1</w:t>
      </w:r>
      <w:r>
        <w:rPr>
          <w:rFonts w:hint="eastAsia" w:ascii="Times New Roman" w:hAnsi="Times New Roman" w:eastAsia="黑体"/>
          <w:b w:val="0"/>
          <w:bCs w:val="0"/>
          <w:color w:val="auto"/>
          <w:sz w:val="30"/>
          <w:szCs w:val="30"/>
          <w:highlight w:val="none"/>
        </w:rPr>
        <w:t>.</w:t>
      </w:r>
      <w:r>
        <w:rPr>
          <w:rFonts w:ascii="Times New Roman" w:hAnsi="Times New Roman" w:eastAsia="黑体"/>
          <w:b w:val="0"/>
          <w:bCs w:val="0"/>
          <w:color w:val="auto"/>
          <w:sz w:val="30"/>
          <w:szCs w:val="30"/>
          <w:highlight w:val="none"/>
        </w:rPr>
        <w:t>投标信息表</w:t>
      </w:r>
      <w:bookmarkEnd w:id="238"/>
      <w:bookmarkEnd w:id="239"/>
    </w:p>
    <w:tbl>
      <w:tblPr>
        <w:tblStyle w:val="47"/>
        <w:tblW w:w="9439"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77"/>
        <w:gridCol w:w="726"/>
        <w:gridCol w:w="1615"/>
        <w:gridCol w:w="907"/>
        <w:gridCol w:w="531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3218" w:type="dxa"/>
            <w:gridSpan w:val="3"/>
            <w:tcBorders>
              <w:top w:val="single" w:color="auto" w:sz="4" w:space="0"/>
              <w:left w:val="single" w:color="000000" w:sz="8" w:space="0"/>
              <w:bottom w:val="single" w:color="000000" w:sz="8"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投标人</w:t>
            </w:r>
          </w:p>
        </w:tc>
        <w:tc>
          <w:tcPr>
            <w:tcW w:w="6221" w:type="dxa"/>
            <w:gridSpan w:val="2"/>
            <w:tcBorders>
              <w:top w:val="single" w:color="auto" w:sz="4" w:space="0"/>
              <w:left w:val="nil"/>
              <w:bottom w:val="single" w:color="000000" w:sz="8"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218" w:type="dxa"/>
            <w:gridSpan w:val="3"/>
            <w:tcBorders>
              <w:top w:val="nil"/>
              <w:left w:val="single" w:color="000000" w:sz="8" w:space="0"/>
              <w:bottom w:val="single" w:color="000000" w:sz="8"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投标报价（万元）</w:t>
            </w:r>
          </w:p>
        </w:tc>
        <w:tc>
          <w:tcPr>
            <w:tcW w:w="6221" w:type="dxa"/>
            <w:gridSpan w:val="2"/>
            <w:tcBorders>
              <w:top w:val="nil"/>
              <w:left w:val="nil"/>
              <w:bottom w:val="single" w:color="000000" w:sz="8"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restart"/>
            <w:tcBorders>
              <w:top w:val="nil"/>
              <w:left w:val="single" w:color="000000" w:sz="8"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工程</w:t>
            </w:r>
          </w:p>
          <w:p>
            <w:pPr>
              <w:keepNext w:val="0"/>
              <w:keepLines w:val="0"/>
              <w:suppressLineNumbers w:val="0"/>
              <w:spacing w:before="100" w:beforeAutospacing="0" w:after="100" w:afterAutospacing="0"/>
              <w:ind w:left="0" w:right="0"/>
              <w:jc w:val="center"/>
              <w:rPr>
                <w:rFonts w:hint="eastAsia" w:ascii="Calibri" w:hAnsi="Calibri" w:cs="Calibri"/>
                <w:color w:val="auto"/>
                <w:kern w:val="0"/>
                <w:szCs w:val="21"/>
                <w:highlight w:val="none"/>
              </w:rPr>
            </w:pPr>
            <w:r>
              <w:rPr>
                <w:rFonts w:hint="default" w:ascii="Calibri" w:hAnsi="Calibri" w:cs="Calibri"/>
                <w:color w:val="auto"/>
                <w:kern w:val="0"/>
                <w:szCs w:val="21"/>
                <w:highlight w:val="none"/>
              </w:rPr>
              <w:t>业绩</w:t>
            </w:r>
          </w:p>
        </w:tc>
        <w:tc>
          <w:tcPr>
            <w:tcW w:w="2341" w:type="dxa"/>
            <w:gridSpan w:val="2"/>
            <w:tcBorders>
              <w:top w:val="nil"/>
              <w:left w:val="single" w:color="auto" w:sz="4" w:space="0"/>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用于资格要求的业绩</w:t>
            </w:r>
          </w:p>
        </w:tc>
        <w:tc>
          <w:tcPr>
            <w:tcW w:w="907" w:type="dxa"/>
            <w:tcBorders>
              <w:top w:val="nil"/>
              <w:left w:val="nil"/>
              <w:bottom w:val="single" w:color="auto" w:sz="4"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firstLine="315" w:firstLineChars="150"/>
              <w:jc w:val="left"/>
              <w:rPr>
                <w:rFonts w:hint="default" w:ascii="Calibri" w:hAnsi="Calibri" w:cs="Calibri"/>
                <w:color w:val="auto"/>
                <w:kern w:val="0"/>
                <w:szCs w:val="21"/>
                <w:highlight w:val="none"/>
              </w:rPr>
            </w:pPr>
            <w:r>
              <w:rPr>
                <w:rFonts w:hint="eastAsia" w:ascii="Calibri" w:hAnsi="Calibri" w:cs="Calibri"/>
                <w:color w:val="auto"/>
                <w:kern w:val="0"/>
                <w:szCs w:val="21"/>
                <w:highlight w:val="none"/>
              </w:rPr>
              <w:t>1</w:t>
            </w:r>
          </w:p>
        </w:tc>
        <w:tc>
          <w:tcPr>
            <w:tcW w:w="5314" w:type="dxa"/>
            <w:tcBorders>
              <w:top w:val="nil"/>
              <w:left w:val="nil"/>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000000" w:sz="8"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restart"/>
            <w:tcBorders>
              <w:top w:val="single" w:color="auto" w:sz="4" w:space="0"/>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宋体" w:hAnsi="宋体" w:cs="宋体"/>
                <w:color w:val="auto"/>
                <w:kern w:val="0"/>
                <w:szCs w:val="21"/>
                <w:highlight w:val="none"/>
              </w:rPr>
              <w:t>独立投标人（设计资质）或联合体中设计单位</w:t>
            </w:r>
          </w:p>
        </w:tc>
        <w:tc>
          <w:tcPr>
            <w:tcW w:w="907" w:type="dxa"/>
            <w:tcBorders>
              <w:top w:val="single" w:color="auto" w:sz="4" w:space="0"/>
              <w:left w:val="nil"/>
              <w:bottom w:val="single" w:color="auto" w:sz="4"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firstLine="315" w:firstLineChars="15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1</w:t>
            </w:r>
          </w:p>
        </w:tc>
        <w:tc>
          <w:tcPr>
            <w:tcW w:w="5314" w:type="dxa"/>
            <w:tcBorders>
              <w:top w:val="nil"/>
              <w:left w:val="nil"/>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000000" w:sz="8"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tcBorders>
              <w:top w:val="nil"/>
              <w:left w:val="nil"/>
              <w:bottom w:val="single" w:color="auto" w:sz="4"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 xml:space="preserve">   2</w:t>
            </w:r>
          </w:p>
        </w:tc>
        <w:tc>
          <w:tcPr>
            <w:tcW w:w="5314" w:type="dxa"/>
            <w:tcBorders>
              <w:top w:val="nil"/>
              <w:left w:val="nil"/>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000000" w:sz="8"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restart"/>
            <w:tcBorders>
              <w:top w:val="single" w:color="auto" w:sz="4" w:space="0"/>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宋体" w:hAnsi="宋体" w:cs="宋体"/>
                <w:color w:val="auto"/>
                <w:kern w:val="0"/>
                <w:szCs w:val="21"/>
                <w:highlight w:val="none"/>
              </w:rPr>
              <w:t>独立投标人（施工资质）或联合体中施工单位</w:t>
            </w:r>
          </w:p>
        </w:tc>
        <w:tc>
          <w:tcPr>
            <w:tcW w:w="907" w:type="dxa"/>
            <w:tcBorders>
              <w:top w:val="nil"/>
              <w:left w:val="nil"/>
              <w:bottom w:val="single" w:color="auto" w:sz="4"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 xml:space="preserve">   1</w:t>
            </w:r>
          </w:p>
        </w:tc>
        <w:tc>
          <w:tcPr>
            <w:tcW w:w="5314" w:type="dxa"/>
            <w:tcBorders>
              <w:top w:val="nil"/>
              <w:left w:val="nil"/>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000000" w:sz="8"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tcBorders>
              <w:top w:val="nil"/>
              <w:left w:val="nil"/>
              <w:bottom w:val="single" w:color="auto" w:sz="4" w:space="0"/>
              <w:right w:val="single" w:color="000000" w:sz="8"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 xml:space="preserve">   2</w:t>
            </w:r>
          </w:p>
        </w:tc>
        <w:tc>
          <w:tcPr>
            <w:tcW w:w="5314" w:type="dxa"/>
            <w:tcBorders>
              <w:top w:val="nil"/>
              <w:left w:val="nil"/>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restart"/>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eastAsia" w:ascii="Calibri" w:hAnsi="Calibri" w:cs="Calibri"/>
                <w:color w:val="auto"/>
                <w:kern w:val="0"/>
                <w:szCs w:val="21"/>
                <w:highlight w:val="none"/>
              </w:rPr>
            </w:pPr>
            <w:r>
              <w:rPr>
                <w:rFonts w:hint="eastAsia" w:ascii="Calibri" w:hAnsi="Calibri" w:cs="Calibri"/>
                <w:color w:val="auto"/>
                <w:kern w:val="0"/>
                <w:szCs w:val="21"/>
                <w:highlight w:val="none"/>
              </w:rPr>
              <w:t>奖项</w:t>
            </w:r>
          </w:p>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情况</w:t>
            </w:r>
          </w:p>
        </w:tc>
        <w:tc>
          <w:tcPr>
            <w:tcW w:w="2341" w:type="dxa"/>
            <w:gridSpan w:val="2"/>
            <w:vMerge w:val="restart"/>
            <w:tcBorders>
              <w:top w:val="single" w:color="auto" w:sz="4" w:space="0"/>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宋体" w:hAnsi="宋体" w:cs="宋体"/>
                <w:color w:val="auto"/>
                <w:kern w:val="0"/>
                <w:szCs w:val="21"/>
                <w:highlight w:val="none"/>
              </w:rPr>
              <w:t>独立投标人（设计资质）或联合体中设计单位</w:t>
            </w: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国家级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1</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2</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kern w:val="0"/>
                <w:szCs w:val="21"/>
                <w:highlight w:val="none"/>
              </w:rPr>
              <w:t>省级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eastAsia" w:ascii="Calibri" w:hAnsi="Calibri" w:cs="Calibri"/>
                <w:color w:val="auto"/>
                <w:kern w:val="0"/>
                <w:szCs w:val="21"/>
                <w:highlight w:val="none"/>
              </w:rPr>
              <w:t>1</w:t>
            </w:r>
            <w:r>
              <w:rPr>
                <w:rFonts w:hint="default"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eastAsia" w:ascii="Calibri" w:hAnsi="Calibri" w:cs="Calibri"/>
                <w:color w:val="auto"/>
                <w:kern w:val="0"/>
                <w:szCs w:val="21"/>
                <w:highlight w:val="none"/>
              </w:rPr>
              <w:t>2</w:t>
            </w:r>
            <w:r>
              <w:rPr>
                <w:rFonts w:hint="default"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restart"/>
            <w:tcBorders>
              <w:top w:val="single" w:color="auto" w:sz="4" w:space="0"/>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宋体" w:hAnsi="宋体" w:cs="宋体"/>
                <w:color w:val="auto"/>
                <w:kern w:val="0"/>
                <w:szCs w:val="21"/>
                <w:highlight w:val="none"/>
              </w:rPr>
              <w:t>独立投标人（施工资质）或联合体中施工单位</w:t>
            </w: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国家级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1</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top w:val="single" w:color="auto" w:sz="4" w:space="0"/>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2</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kern w:val="0"/>
                <w:szCs w:val="21"/>
                <w:highlight w:val="none"/>
              </w:rPr>
              <w:t>省级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eastAsia" w:ascii="Calibri" w:hAnsi="Calibri" w:cs="Calibri"/>
                <w:color w:val="auto"/>
                <w:kern w:val="0"/>
                <w:szCs w:val="21"/>
                <w:highlight w:val="none"/>
              </w:rPr>
              <w:t>1</w:t>
            </w:r>
            <w:r>
              <w:rPr>
                <w:rFonts w:hint="default"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top w:val="single" w:color="auto" w:sz="4" w:space="0"/>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eastAsia" w:ascii="Calibri" w:hAnsi="Calibri" w:cs="Calibri"/>
                <w:color w:val="auto"/>
                <w:kern w:val="0"/>
                <w:szCs w:val="21"/>
                <w:highlight w:val="none"/>
              </w:rPr>
              <w:t>2</w:t>
            </w:r>
            <w:r>
              <w:rPr>
                <w:rFonts w:hint="default"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top w:val="single" w:color="auto" w:sz="4" w:space="0"/>
              <w:left w:val="nil"/>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restart"/>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kern w:val="0"/>
                <w:szCs w:val="21"/>
                <w:highlight w:val="none"/>
              </w:rPr>
              <w:t>标准化工地</w:t>
            </w:r>
          </w:p>
        </w:tc>
        <w:tc>
          <w:tcPr>
            <w:tcW w:w="2341" w:type="dxa"/>
            <w:gridSpan w:val="2"/>
            <w:vMerge w:val="restart"/>
            <w:tcBorders>
              <w:top w:val="single" w:color="auto" w:sz="4" w:space="0"/>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宋体" w:hAnsi="宋体" w:cs="宋体"/>
                <w:color w:val="auto"/>
                <w:kern w:val="0"/>
                <w:szCs w:val="21"/>
                <w:highlight w:val="none"/>
              </w:rPr>
              <w:t>独立投标人（施工资质）或联合体中施工单位</w:t>
            </w: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国家级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1</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default" w:ascii="Calibri" w:hAnsi="Calibri" w:cs="Calibri"/>
                <w:color w:val="auto"/>
                <w:kern w:val="0"/>
                <w:szCs w:val="21"/>
                <w:highlight w:val="none"/>
              </w:rPr>
              <w:t>2</w:t>
            </w:r>
            <w:r>
              <w:rPr>
                <w:rFonts w:hint="eastAsia"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restart"/>
            <w:tcBorders>
              <w:top w:val="single" w:color="auto" w:sz="4" w:space="0"/>
              <w:left w:val="nil"/>
              <w:right w:val="single" w:color="auto" w:sz="4" w:space="0"/>
            </w:tcBorders>
            <w:noWrap w:val="0"/>
            <w:tcMar>
              <w:left w:w="108" w:type="dxa"/>
              <w:right w:w="108" w:type="dxa"/>
            </w:tcMar>
            <w:vAlign w:val="center"/>
          </w:tcPr>
          <w:p>
            <w:pPr>
              <w:keepNext w:val="0"/>
              <w:keepLines w:val="0"/>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kern w:val="0"/>
                <w:szCs w:val="21"/>
                <w:highlight w:val="none"/>
              </w:rPr>
              <w:t>省级</w:t>
            </w: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eastAsia" w:ascii="Calibri" w:hAnsi="Calibri" w:eastAsia="宋体" w:cs="Calibri"/>
                <w:color w:val="auto"/>
                <w:kern w:val="0"/>
                <w:szCs w:val="21"/>
                <w:highlight w:val="none"/>
                <w:lang w:val="en-US" w:eastAsia="zh-CN"/>
              </w:rPr>
            </w:pPr>
            <w:r>
              <w:rPr>
                <w:rFonts w:hint="eastAsia" w:ascii="Calibri" w:hAnsi="Calibri" w:cs="Calibri"/>
                <w:color w:val="auto"/>
                <w:kern w:val="0"/>
                <w:szCs w:val="21"/>
                <w:highlight w:val="none"/>
              </w:rPr>
              <w:t>1</w:t>
            </w:r>
            <w:r>
              <w:rPr>
                <w:rFonts w:hint="default" w:ascii="Calibri" w:hAnsi="Calibri" w:cs="Calibri"/>
                <w:color w:val="auto"/>
                <w:kern w:val="0"/>
                <w:szCs w:val="21"/>
                <w:highlight w:val="none"/>
              </w:rPr>
              <w:t>.</w:t>
            </w:r>
            <w:r>
              <w:rPr>
                <w:rFonts w:hint="eastAsia" w:ascii="Calibri" w:hAnsi="Calibri" w:cs="Calibri"/>
                <w:color w:val="auto"/>
                <w:kern w:val="0"/>
                <w:szCs w:val="21"/>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77" w:type="dxa"/>
            <w:vMerge w:val="continue"/>
            <w:tcBorders>
              <w:left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left w:val="nil"/>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eastAsia" w:ascii="Calibri" w:hAnsi="Calibri" w:cs="Calibri"/>
                <w:color w:val="auto"/>
                <w:kern w:val="0"/>
                <w:szCs w:val="21"/>
                <w:highlight w:val="none"/>
              </w:rPr>
              <w:t>2</w:t>
            </w:r>
            <w:r>
              <w:rPr>
                <w:rFonts w:hint="default" w:ascii="Calibri" w:hAnsi="Calibri" w:cs="Calibri"/>
                <w:color w:val="auto"/>
                <w:kern w:val="0"/>
                <w:szCs w:val="21"/>
                <w:highlight w:val="none"/>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86" w:hRule="atLeast"/>
          <w:jc w:val="center"/>
        </w:trPr>
        <w:tc>
          <w:tcPr>
            <w:tcW w:w="877" w:type="dxa"/>
            <w:vMerge w:val="continue"/>
            <w:tcBorders>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2341" w:type="dxa"/>
            <w:gridSpan w:val="2"/>
            <w:vMerge w:val="continue"/>
            <w:tcBorders>
              <w:left w:val="single" w:color="auto" w:sz="4" w:space="0"/>
              <w:bottom w:val="single" w:color="auto" w:sz="4" w:space="0"/>
              <w:right w:val="single" w:color="000000" w:sz="8" w:space="0"/>
            </w:tcBorders>
            <w:noWrap w:val="0"/>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907" w:type="dxa"/>
            <w:vMerge w:val="continue"/>
            <w:tcBorders>
              <w:left w:val="nil"/>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c>
          <w:tcPr>
            <w:tcW w:w="5314"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100" w:beforeAutospacing="0" w:after="100" w:afterAutospacing="0"/>
              <w:ind w:left="0" w:right="0"/>
              <w:jc w:val="left"/>
              <w:rPr>
                <w:rFonts w:hint="default" w:ascii="Calibri" w:hAnsi="Calibri" w:cs="Calibri"/>
                <w:color w:val="auto"/>
                <w:kern w:val="0"/>
                <w:szCs w:val="21"/>
                <w:highlight w:val="none"/>
              </w:rPr>
            </w:pPr>
            <w:r>
              <w:rPr>
                <w:rFonts w:hint="default" w:ascii="Calibri" w:hAnsi="Calibri" w:cs="Calibri"/>
                <w:color w:val="auto"/>
                <w:kern w:val="0"/>
                <w:szCs w:val="21"/>
                <w:highlight w:val="none"/>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603"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kern w:val="0"/>
                <w:szCs w:val="21"/>
                <w:highlight w:val="none"/>
              </w:rPr>
              <w:t>拟任工程总承包项目负责人</w:t>
            </w: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姓    名</w:t>
            </w:r>
          </w:p>
        </w:tc>
        <w:tc>
          <w:tcPr>
            <w:tcW w:w="6221"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603"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szCs w:val="21"/>
                <w:highlight w:val="none"/>
              </w:rPr>
              <w:t>拟任施工项目负责人</w:t>
            </w: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姓    名</w:t>
            </w:r>
          </w:p>
        </w:tc>
        <w:tc>
          <w:tcPr>
            <w:tcW w:w="6221" w:type="dxa"/>
            <w:gridSpan w:val="2"/>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4" w:hRule="atLeast"/>
          <w:jc w:val="center"/>
        </w:trPr>
        <w:tc>
          <w:tcPr>
            <w:tcW w:w="1603"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eastAsia" w:ascii="Calibri" w:hAnsi="Calibri" w:cs="Calibri"/>
                <w:color w:val="auto"/>
                <w:szCs w:val="21"/>
                <w:highlight w:val="none"/>
              </w:rPr>
              <w:t>拟任设计项目</w:t>
            </w:r>
            <w:r>
              <w:rPr>
                <w:rFonts w:hint="default" w:ascii="Calibri" w:hAnsi="Calibri" w:cs="Calibri"/>
                <w:color w:val="auto"/>
                <w:szCs w:val="21"/>
                <w:highlight w:val="none"/>
              </w:rPr>
              <w:t>负责人</w:t>
            </w: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eastAsia" w:ascii="Calibri" w:hAnsi="Calibri" w:cs="Calibri"/>
                <w:color w:val="auto"/>
                <w:kern w:val="0"/>
                <w:szCs w:val="21"/>
                <w:highlight w:val="none"/>
              </w:rPr>
            </w:pPr>
            <w:r>
              <w:rPr>
                <w:rFonts w:hint="default" w:ascii="Calibri" w:hAnsi="Calibri" w:cs="Calibri"/>
                <w:color w:val="auto"/>
                <w:kern w:val="0"/>
                <w:szCs w:val="21"/>
                <w:highlight w:val="none"/>
              </w:rPr>
              <w:t>姓    名</w:t>
            </w:r>
          </w:p>
        </w:tc>
        <w:tc>
          <w:tcPr>
            <w:tcW w:w="6221"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603" w:type="dxa"/>
            <w:gridSpan w:val="2"/>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投标担</w:t>
            </w:r>
          </w:p>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保信息</w:t>
            </w: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担保机构</w:t>
            </w:r>
          </w:p>
        </w:tc>
        <w:tc>
          <w:tcPr>
            <w:tcW w:w="6221"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603" w:type="dxa"/>
            <w:gridSpan w:val="2"/>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suppressLineNumbers w:val="0"/>
              <w:spacing w:before="0" w:beforeAutospacing="0" w:after="0" w:afterAutospacing="0"/>
              <w:ind w:left="0" w:right="0"/>
              <w:rPr>
                <w:rFonts w:hint="default" w:ascii="Calibri" w:hAnsi="Calibri" w:cs="Calibri"/>
                <w:color w:val="auto"/>
                <w:szCs w:val="21"/>
                <w:highlight w:val="none"/>
              </w:rPr>
            </w:pP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经营地址</w:t>
            </w:r>
          </w:p>
        </w:tc>
        <w:tc>
          <w:tcPr>
            <w:tcW w:w="6221"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603" w:type="dxa"/>
            <w:gridSpan w:val="2"/>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suppressLineNumbers w:val="0"/>
              <w:spacing w:before="0" w:beforeAutospacing="0" w:after="0" w:afterAutospacing="0"/>
              <w:ind w:left="0" w:right="0"/>
              <w:rPr>
                <w:rFonts w:hint="default" w:ascii="Calibri" w:hAnsi="Calibri" w:cs="Calibri"/>
                <w:color w:val="auto"/>
                <w:szCs w:val="21"/>
                <w:highlight w:val="none"/>
              </w:rPr>
            </w:pPr>
          </w:p>
        </w:tc>
        <w:tc>
          <w:tcPr>
            <w:tcW w:w="161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100" w:beforeAutospacing="0" w:after="100" w:afterAutospacing="0"/>
              <w:ind w:left="0" w:right="0"/>
              <w:jc w:val="center"/>
              <w:rPr>
                <w:rFonts w:hint="default" w:ascii="Calibri" w:hAnsi="Calibri" w:cs="Calibri"/>
                <w:color w:val="auto"/>
                <w:kern w:val="0"/>
                <w:szCs w:val="21"/>
                <w:highlight w:val="none"/>
              </w:rPr>
            </w:pPr>
            <w:r>
              <w:rPr>
                <w:rFonts w:hint="default" w:ascii="Calibri" w:hAnsi="Calibri" w:cs="Calibri"/>
                <w:color w:val="auto"/>
                <w:kern w:val="0"/>
                <w:szCs w:val="21"/>
                <w:highlight w:val="none"/>
              </w:rPr>
              <w:t>联系电话</w:t>
            </w:r>
          </w:p>
        </w:tc>
        <w:tc>
          <w:tcPr>
            <w:tcW w:w="6221" w:type="dxa"/>
            <w:gridSpan w:val="2"/>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Calibri" w:hAnsi="Calibri" w:cs="Calibri"/>
                <w:color w:val="auto"/>
                <w:szCs w:val="21"/>
                <w:highlight w:val="none"/>
              </w:rPr>
            </w:pPr>
          </w:p>
        </w:tc>
      </w:tr>
    </w:tbl>
    <w:p>
      <w:pPr>
        <w:rPr>
          <w:rFonts w:eastAsia="仿宋"/>
          <w:color w:val="auto"/>
          <w:highlight w:val="none"/>
        </w:rPr>
      </w:pPr>
    </w:p>
    <w:p>
      <w:pPr>
        <w:pStyle w:val="6"/>
        <w:spacing w:before="0" w:after="0" w:line="360" w:lineRule="auto"/>
        <w:jc w:val="center"/>
        <w:outlineLvl w:val="9"/>
        <w:rPr>
          <w:rFonts w:ascii="Times New Roman" w:hAnsi="Times New Roman" w:eastAsia="黑体"/>
          <w:b w:val="0"/>
          <w:bCs w:val="0"/>
          <w:color w:val="auto"/>
          <w:sz w:val="30"/>
          <w:szCs w:val="30"/>
          <w:highlight w:val="none"/>
        </w:rPr>
      </w:pPr>
    </w:p>
    <w:p>
      <w:pPr>
        <w:pStyle w:val="6"/>
        <w:spacing w:before="0" w:after="0" w:line="360" w:lineRule="auto"/>
        <w:jc w:val="center"/>
        <w:outlineLvl w:val="9"/>
        <w:rPr>
          <w:rFonts w:ascii="Times New Roman" w:hAnsi="Times New Roman" w:eastAsia="黑体"/>
          <w:b w:val="0"/>
          <w:bCs w:val="0"/>
          <w:color w:val="auto"/>
          <w:sz w:val="30"/>
          <w:szCs w:val="30"/>
          <w:highlight w:val="none"/>
        </w:rPr>
      </w:pPr>
    </w:p>
    <w:p>
      <w:pPr>
        <w:pStyle w:val="6"/>
        <w:spacing w:before="0" w:after="0" w:line="360" w:lineRule="auto"/>
        <w:jc w:val="center"/>
        <w:rPr>
          <w:rFonts w:ascii="Times New Roman" w:hAnsi="Times New Roman" w:eastAsia="黑体"/>
          <w:b w:val="0"/>
          <w:bCs w:val="0"/>
          <w:color w:val="auto"/>
          <w:sz w:val="30"/>
          <w:szCs w:val="30"/>
          <w:highlight w:val="none"/>
        </w:rPr>
      </w:pPr>
      <w:bookmarkStart w:id="240" w:name="_Toc2310"/>
      <w:bookmarkStart w:id="241" w:name="_Toc9178589"/>
      <w:bookmarkStart w:id="242" w:name="_Toc69199945"/>
      <w:r>
        <w:rPr>
          <w:rFonts w:hint="eastAsia" w:ascii="Times New Roman" w:hAnsi="Times New Roman" w:eastAsia="黑体"/>
          <w:b w:val="0"/>
          <w:bCs w:val="0"/>
          <w:color w:val="auto"/>
          <w:sz w:val="30"/>
          <w:szCs w:val="30"/>
          <w:highlight w:val="none"/>
        </w:rPr>
        <w:t>1</w:t>
      </w:r>
      <w:r>
        <w:rPr>
          <w:rFonts w:ascii="Times New Roman" w:hAnsi="Times New Roman" w:eastAsia="黑体"/>
          <w:b w:val="0"/>
          <w:bCs w:val="0"/>
          <w:color w:val="auto"/>
          <w:sz w:val="30"/>
          <w:szCs w:val="30"/>
          <w:highlight w:val="none"/>
        </w:rPr>
        <w:t>2</w:t>
      </w:r>
      <w:r>
        <w:rPr>
          <w:rFonts w:hint="eastAsia" w:ascii="Times New Roman" w:hAnsi="Times New Roman" w:eastAsia="黑体"/>
          <w:b w:val="0"/>
          <w:bCs w:val="0"/>
          <w:color w:val="auto"/>
          <w:sz w:val="30"/>
          <w:szCs w:val="30"/>
          <w:highlight w:val="none"/>
        </w:rPr>
        <w:t>.</w:t>
      </w:r>
      <w:r>
        <w:rPr>
          <w:rFonts w:ascii="Times New Roman" w:hAnsi="Times New Roman" w:eastAsia="黑体"/>
          <w:b w:val="0"/>
          <w:bCs w:val="0"/>
          <w:color w:val="auto"/>
          <w:sz w:val="30"/>
          <w:szCs w:val="30"/>
          <w:highlight w:val="none"/>
        </w:rPr>
        <w:t>其他</w:t>
      </w:r>
      <w:bookmarkEnd w:id="240"/>
      <w:bookmarkEnd w:id="241"/>
      <w:bookmarkEnd w:id="242"/>
    </w:p>
    <w:p>
      <w:pPr>
        <w:widowControl/>
        <w:rPr>
          <w:color w:val="auto"/>
          <w:highlight w:val="none"/>
        </w:rPr>
      </w:pPr>
    </w:p>
    <w:p>
      <w:pPr>
        <w:widowControl/>
        <w:rPr>
          <w:color w:val="auto"/>
          <w:highlight w:val="none"/>
        </w:rPr>
      </w:pPr>
    </w:p>
    <w:p>
      <w:pPr>
        <w:widowControl/>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left"/>
        <w:rPr>
          <w:color w:val="auto"/>
          <w:highlight w:val="none"/>
        </w:rPr>
      </w:pPr>
      <w:r>
        <w:rPr>
          <w:color w:val="auto"/>
          <w:highlight w:val="none"/>
        </w:rPr>
        <w:br w:type="page"/>
      </w:r>
    </w:p>
    <w:p>
      <w:pPr>
        <w:widowControl/>
        <w:rPr>
          <w:color w:val="auto"/>
          <w:highlight w:val="none"/>
        </w:rPr>
      </w:pPr>
    </w:p>
    <w:p>
      <w:pPr>
        <w:widowControl/>
        <w:rPr>
          <w:color w:val="auto"/>
          <w:highlight w:val="none"/>
        </w:rPr>
      </w:pPr>
    </w:p>
    <w:p>
      <w:pPr>
        <w:pStyle w:val="5"/>
        <w:jc w:val="center"/>
        <w:rPr>
          <w:rFonts w:ascii="Times New Roman" w:hAnsi="Times New Roman" w:eastAsia="黑体"/>
          <w:b w:val="0"/>
          <w:color w:val="auto"/>
          <w:highlight w:val="none"/>
        </w:rPr>
      </w:pPr>
      <w:bookmarkStart w:id="243" w:name="_Toc300678593"/>
      <w:bookmarkStart w:id="244" w:name="_Toc69199946"/>
      <w:bookmarkStart w:id="245" w:name="_Toc17430"/>
      <w:r>
        <w:rPr>
          <w:rFonts w:ascii="Times New Roman" w:hAnsi="Times New Roman" w:eastAsia="黑体"/>
          <w:b w:val="0"/>
          <w:color w:val="auto"/>
          <w:highlight w:val="none"/>
        </w:rPr>
        <w:t>第二</w:t>
      </w:r>
      <w:r>
        <w:rPr>
          <w:rFonts w:hint="eastAsia" w:ascii="Times New Roman" w:hAnsi="Times New Roman" w:eastAsia="黑体"/>
          <w:b w:val="0"/>
          <w:color w:val="auto"/>
          <w:highlight w:val="none"/>
        </w:rPr>
        <w:t>节</w:t>
      </w:r>
      <w:r>
        <w:rPr>
          <w:rFonts w:ascii="Times New Roman" w:hAnsi="Times New Roman" w:eastAsia="黑体"/>
          <w:b w:val="0"/>
          <w:color w:val="auto"/>
          <w:highlight w:val="none"/>
        </w:rPr>
        <w:t xml:space="preserve"> 投标报价</w:t>
      </w:r>
      <w:bookmarkEnd w:id="243"/>
      <w:r>
        <w:rPr>
          <w:rFonts w:ascii="Times New Roman" w:hAnsi="Times New Roman" w:eastAsia="黑体"/>
          <w:b w:val="0"/>
          <w:color w:val="auto"/>
          <w:highlight w:val="none"/>
        </w:rPr>
        <w:t>格式</w:t>
      </w:r>
      <w:bookmarkEnd w:id="244"/>
      <w:bookmarkEnd w:id="245"/>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r>
        <w:rPr>
          <w:color w:val="auto"/>
          <w:highlight w:val="none"/>
        </w:rPr>
        <w:br w:type="page"/>
      </w: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jc w:val="center"/>
        <w:rPr>
          <w:rFonts w:eastAsia="黑体"/>
          <w:color w:val="auto"/>
          <w:sz w:val="28"/>
          <w:szCs w:val="28"/>
          <w:highlight w:val="none"/>
        </w:rPr>
      </w:pPr>
      <w:r>
        <w:rPr>
          <w:rFonts w:eastAsia="黑体"/>
          <w:color w:val="auto"/>
          <w:sz w:val="28"/>
          <w:szCs w:val="28"/>
          <w:highlight w:val="none"/>
          <w:u w:val="single"/>
        </w:rPr>
        <w:t xml:space="preserve">        （</w:t>
      </w:r>
      <w:r>
        <w:rPr>
          <w:rFonts w:hint="eastAsia" w:eastAsia="黑体"/>
          <w:color w:val="auto"/>
          <w:sz w:val="28"/>
          <w:szCs w:val="28"/>
          <w:highlight w:val="none"/>
          <w:u w:val="single"/>
        </w:rPr>
        <w:t>招标</w:t>
      </w:r>
      <w:r>
        <w:rPr>
          <w:rFonts w:eastAsia="黑体"/>
          <w:color w:val="auto"/>
          <w:sz w:val="28"/>
          <w:szCs w:val="28"/>
          <w:highlight w:val="none"/>
          <w:u w:val="single"/>
        </w:rPr>
        <w:t>项目</w:t>
      </w:r>
      <w:r>
        <w:rPr>
          <w:rFonts w:hint="eastAsia" w:eastAsia="黑体"/>
          <w:color w:val="auto"/>
          <w:sz w:val="28"/>
          <w:szCs w:val="28"/>
          <w:highlight w:val="none"/>
          <w:u w:val="single"/>
        </w:rPr>
        <w:t>及标段</w:t>
      </w:r>
      <w:r>
        <w:rPr>
          <w:rFonts w:eastAsia="黑体"/>
          <w:color w:val="auto"/>
          <w:sz w:val="28"/>
          <w:szCs w:val="28"/>
          <w:highlight w:val="none"/>
          <w:u w:val="single"/>
        </w:rPr>
        <w:t xml:space="preserve">）   </w:t>
      </w:r>
      <w:r>
        <w:rPr>
          <w:rFonts w:hint="eastAsia" w:eastAsia="黑体"/>
          <w:color w:val="auto"/>
          <w:sz w:val="28"/>
          <w:szCs w:val="28"/>
          <w:highlight w:val="none"/>
        </w:rPr>
        <w:t>工程总承包</w:t>
      </w:r>
      <w:r>
        <w:rPr>
          <w:rFonts w:eastAsia="黑体"/>
          <w:color w:val="auto"/>
          <w:sz w:val="28"/>
          <w:szCs w:val="28"/>
          <w:highlight w:val="none"/>
        </w:rPr>
        <w:t>招标</w:t>
      </w:r>
    </w:p>
    <w:p>
      <w:pPr>
        <w:spacing w:before="240" w:beforeLines="100"/>
        <w:jc w:val="center"/>
        <w:rPr>
          <w:rFonts w:eastAsia="黑体"/>
          <w:color w:val="auto"/>
          <w:sz w:val="44"/>
          <w:szCs w:val="44"/>
          <w:highlight w:val="none"/>
        </w:rPr>
      </w:pPr>
      <w:r>
        <w:rPr>
          <w:rFonts w:eastAsia="黑体"/>
          <w:color w:val="auto"/>
          <w:sz w:val="44"/>
          <w:szCs w:val="44"/>
          <w:highlight w:val="none"/>
        </w:rPr>
        <w:t>投  标  文  件</w:t>
      </w:r>
    </w:p>
    <w:p>
      <w:pPr>
        <w:jc w:val="center"/>
        <w:rPr>
          <w:rFonts w:eastAsia="黑体"/>
          <w:color w:val="auto"/>
          <w:sz w:val="32"/>
          <w:szCs w:val="32"/>
          <w:highlight w:val="none"/>
        </w:rPr>
      </w:pPr>
      <w:r>
        <w:rPr>
          <w:rFonts w:eastAsia="黑体"/>
          <w:color w:val="auto"/>
          <w:sz w:val="32"/>
          <w:szCs w:val="32"/>
          <w:highlight w:val="none"/>
        </w:rPr>
        <w:t>（投标报价）</w:t>
      </w: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widowControl/>
        <w:rPr>
          <w:color w:val="auto"/>
          <w:highlight w:val="none"/>
        </w:rPr>
      </w:pPr>
    </w:p>
    <w:p>
      <w:pPr>
        <w:spacing w:line="360" w:lineRule="auto"/>
        <w:jc w:val="center"/>
        <w:rPr>
          <w:rFonts w:eastAsia="黑体"/>
          <w:color w:val="auto"/>
          <w:sz w:val="24"/>
          <w:szCs w:val="28"/>
          <w:highlight w:val="none"/>
        </w:rPr>
      </w:pPr>
      <w:r>
        <w:rPr>
          <w:rFonts w:eastAsia="黑体"/>
          <w:color w:val="auto"/>
          <w:sz w:val="24"/>
          <w:szCs w:val="28"/>
          <w:highlight w:val="none"/>
        </w:rPr>
        <w:t>投标人：</w:t>
      </w:r>
      <w:r>
        <w:rPr>
          <w:rFonts w:eastAsia="黑体"/>
          <w:color w:val="auto"/>
          <w:sz w:val="24"/>
          <w:szCs w:val="28"/>
          <w:highlight w:val="none"/>
          <w:u w:val="single"/>
        </w:rPr>
        <w:t xml:space="preserve">                         </w:t>
      </w:r>
      <w:r>
        <w:rPr>
          <w:rFonts w:eastAsia="黑体"/>
          <w:color w:val="auto"/>
          <w:sz w:val="24"/>
          <w:szCs w:val="28"/>
          <w:highlight w:val="none"/>
        </w:rPr>
        <w:t>（盖单位章）</w:t>
      </w:r>
    </w:p>
    <w:p>
      <w:pPr>
        <w:spacing w:line="360" w:lineRule="auto"/>
        <w:ind w:firstLine="0" w:firstLineChars="0"/>
        <w:jc w:val="center"/>
        <w:rPr>
          <w:rFonts w:eastAsia="黑体"/>
          <w:color w:val="auto"/>
          <w:sz w:val="28"/>
          <w:szCs w:val="28"/>
          <w:highlight w:val="none"/>
        </w:rPr>
      </w:pPr>
      <w:r>
        <w:rPr>
          <w:rFonts w:eastAsia="黑体"/>
          <w:color w:val="auto"/>
          <w:sz w:val="24"/>
          <w:szCs w:val="28"/>
          <w:highlight w:val="none"/>
        </w:rPr>
        <w:t>法定代表人或其委托代理人：</w:t>
      </w:r>
      <w:r>
        <w:rPr>
          <w:rFonts w:eastAsia="黑体"/>
          <w:color w:val="auto"/>
          <w:sz w:val="24"/>
          <w:szCs w:val="28"/>
          <w:highlight w:val="none"/>
          <w:u w:val="single"/>
        </w:rPr>
        <w:t xml:space="preserve">                    </w:t>
      </w:r>
      <w:r>
        <w:rPr>
          <w:rFonts w:eastAsia="黑体"/>
          <w:color w:val="auto"/>
          <w:sz w:val="24"/>
          <w:szCs w:val="28"/>
          <w:highlight w:val="none"/>
        </w:rPr>
        <w:t>（签字</w:t>
      </w:r>
      <w:r>
        <w:rPr>
          <w:rFonts w:eastAsia="黑体"/>
          <w:color w:val="auto"/>
          <w:kern w:val="0"/>
          <w:sz w:val="24"/>
          <w:szCs w:val="28"/>
          <w:highlight w:val="none"/>
        </w:rPr>
        <w:t>或盖章</w:t>
      </w:r>
      <w:r>
        <w:rPr>
          <w:rFonts w:eastAsia="黑体"/>
          <w:color w:val="auto"/>
          <w:sz w:val="24"/>
          <w:szCs w:val="28"/>
          <w:highlight w:val="none"/>
        </w:rPr>
        <w:t>）</w:t>
      </w:r>
    </w:p>
    <w:p>
      <w:pPr>
        <w:jc w:val="center"/>
        <w:outlineLvl w:val="0"/>
        <w:rPr>
          <w:rFonts w:eastAsia="黑体"/>
          <w:color w:val="auto"/>
          <w:sz w:val="24"/>
          <w:szCs w:val="28"/>
          <w:highlight w:val="none"/>
        </w:rPr>
      </w:pPr>
      <w:bookmarkStart w:id="246" w:name="_Toc3677"/>
      <w:r>
        <w:rPr>
          <w:rFonts w:eastAsia="黑体"/>
          <w:color w:val="auto"/>
          <w:sz w:val="24"/>
          <w:szCs w:val="28"/>
          <w:highlight w:val="none"/>
        </w:rPr>
        <w:t>年</w:t>
      </w:r>
      <w:r>
        <w:rPr>
          <w:rFonts w:eastAsia="黑体"/>
          <w:color w:val="auto"/>
          <w:sz w:val="24"/>
          <w:szCs w:val="28"/>
          <w:highlight w:val="none"/>
          <w:u w:val="single"/>
        </w:rPr>
        <w:t xml:space="preserve">  </w:t>
      </w:r>
      <w:r>
        <w:rPr>
          <w:rFonts w:eastAsia="黑体"/>
          <w:color w:val="auto"/>
          <w:sz w:val="24"/>
          <w:szCs w:val="28"/>
          <w:highlight w:val="none"/>
        </w:rPr>
        <w:t>月</w:t>
      </w:r>
      <w:r>
        <w:rPr>
          <w:rFonts w:eastAsia="黑体"/>
          <w:color w:val="auto"/>
          <w:sz w:val="24"/>
          <w:szCs w:val="28"/>
          <w:highlight w:val="none"/>
          <w:u w:val="single"/>
        </w:rPr>
        <w:t xml:space="preserve">  </w:t>
      </w:r>
      <w:r>
        <w:rPr>
          <w:rFonts w:eastAsia="黑体"/>
          <w:color w:val="auto"/>
          <w:sz w:val="24"/>
          <w:szCs w:val="28"/>
          <w:highlight w:val="none"/>
        </w:rPr>
        <w:t>日</w:t>
      </w:r>
      <w:bookmarkEnd w:id="246"/>
    </w:p>
    <w:p>
      <w:pPr>
        <w:jc w:val="center"/>
        <w:rPr>
          <w:rFonts w:eastAsia="黑体"/>
          <w:color w:val="auto"/>
          <w:sz w:val="24"/>
          <w:szCs w:val="28"/>
          <w:highlight w:val="none"/>
        </w:rPr>
      </w:pPr>
    </w:p>
    <w:p>
      <w:pPr>
        <w:pStyle w:val="245"/>
        <w:spacing w:line="500" w:lineRule="exact"/>
        <w:ind w:firstLine="211" w:firstLineChars="100"/>
        <w:rPr>
          <w:rFonts w:ascii="Arial" w:hAnsi="Arial" w:eastAsia="新宋体" w:cs="Arial"/>
          <w:b/>
          <w:color w:val="auto"/>
          <w:sz w:val="21"/>
          <w:highlight w:val="none"/>
        </w:rPr>
      </w:pPr>
      <w:r>
        <w:rPr>
          <w:rFonts w:hint="eastAsia" w:ascii="Arial" w:hAnsi="Arial" w:eastAsia="新宋体" w:cs="Arial"/>
          <w:b/>
          <w:color w:val="auto"/>
          <w:sz w:val="21"/>
          <w:highlight w:val="none"/>
        </w:rPr>
        <w:t>注：以联合体形式投标的，由联合体牵头人签署。</w:t>
      </w:r>
    </w:p>
    <w:p>
      <w:pPr>
        <w:jc w:val="center"/>
        <w:rPr>
          <w:rFonts w:hint="eastAsia" w:eastAsia="黑体"/>
          <w:color w:val="auto"/>
          <w:sz w:val="24"/>
          <w:szCs w:val="28"/>
          <w:highlight w:val="none"/>
        </w:rPr>
      </w:pPr>
    </w:p>
    <w:p>
      <w:pPr>
        <w:spacing w:line="360" w:lineRule="auto"/>
        <w:rPr>
          <w:color w:val="auto"/>
          <w:highlight w:val="none"/>
        </w:rPr>
      </w:pPr>
      <w:r>
        <w:rPr>
          <w:rFonts w:eastAsia="黑体"/>
          <w:color w:val="auto"/>
          <w:sz w:val="28"/>
          <w:szCs w:val="28"/>
          <w:highlight w:val="none"/>
        </w:rPr>
        <w:br w:type="page"/>
      </w:r>
    </w:p>
    <w:p>
      <w:pPr>
        <w:snapToGrid w:val="0"/>
        <w:spacing w:before="120" w:beforeLines="50" w:after="120" w:afterLines="50" w:line="360" w:lineRule="auto"/>
        <w:jc w:val="center"/>
        <w:outlineLvl w:val="0"/>
        <w:rPr>
          <w:color w:val="auto"/>
          <w:sz w:val="24"/>
          <w:highlight w:val="none"/>
        </w:rPr>
      </w:pPr>
      <w:bookmarkStart w:id="247" w:name="_Toc783"/>
      <w:r>
        <w:rPr>
          <w:rFonts w:hint="eastAsia" w:ascii="宋体" w:hAnsi="宋体" w:cs="宋体"/>
          <w:b/>
          <w:bCs/>
          <w:color w:val="auto"/>
          <w:sz w:val="24"/>
          <w:highlight w:val="none"/>
          <w:shd w:val="clear" w:color="auto" w:fill="FFFFFF"/>
        </w:rPr>
        <w:t>一、</w:t>
      </w:r>
      <w:r>
        <w:rPr>
          <w:rFonts w:ascii="宋体" w:hAnsi="宋体" w:cs="宋体"/>
          <w:b/>
          <w:bCs/>
          <w:color w:val="auto"/>
          <w:sz w:val="24"/>
          <w:highlight w:val="none"/>
          <w:shd w:val="clear" w:color="auto" w:fill="FFFFFF"/>
        </w:rPr>
        <w:t>投标报价</w:t>
      </w:r>
      <w:r>
        <w:rPr>
          <w:rFonts w:hint="eastAsia" w:ascii="宋体" w:hAnsi="宋体" w:cs="宋体"/>
          <w:b/>
          <w:bCs/>
          <w:color w:val="auto"/>
          <w:sz w:val="24"/>
          <w:highlight w:val="none"/>
          <w:shd w:val="clear" w:color="auto" w:fill="FFFFFF"/>
        </w:rPr>
        <w:t>汇总表</w:t>
      </w:r>
      <w:bookmarkEnd w:id="247"/>
    </w:p>
    <w:tbl>
      <w:tblPr>
        <w:tblStyle w:val="47"/>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655"/>
        <w:gridCol w:w="5838"/>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8"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序号</w:t>
            </w:r>
          </w:p>
        </w:tc>
        <w:tc>
          <w:tcPr>
            <w:tcW w:w="832"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项目名称</w:t>
            </w:r>
          </w:p>
        </w:tc>
        <w:tc>
          <w:tcPr>
            <w:tcW w:w="2935"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金额（元）</w:t>
            </w:r>
          </w:p>
        </w:tc>
        <w:tc>
          <w:tcPr>
            <w:tcW w:w="874"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8"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default" w:ascii="宋体" w:hAnsi="宋体" w:cs="宋体"/>
                <w:color w:val="auto"/>
                <w:szCs w:val="21"/>
                <w:highlight w:val="none"/>
              </w:rPr>
              <w:t>1</w:t>
            </w:r>
          </w:p>
        </w:tc>
        <w:tc>
          <w:tcPr>
            <w:tcW w:w="832"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工程费</w:t>
            </w:r>
          </w:p>
        </w:tc>
        <w:tc>
          <w:tcPr>
            <w:tcW w:w="2935" w:type="pct"/>
            <w:noWrap w:val="0"/>
            <w:vAlign w:val="center"/>
          </w:tcPr>
          <w:p>
            <w:pPr>
              <w:keepNext w:val="0"/>
              <w:keepLines w:val="0"/>
              <w:suppressLineNumbers w:val="0"/>
              <w:spacing w:before="0" w:beforeAutospacing="0" w:after="0" w:afterAutospacing="0" w:line="340" w:lineRule="exact"/>
              <w:ind w:left="0" w:right="0"/>
              <w:rPr>
                <w:rFonts w:hint="default" w:ascii="宋体" w:hAnsi="宋体" w:cs="宋体"/>
                <w:color w:val="auto"/>
                <w:szCs w:val="21"/>
                <w:highlight w:val="none"/>
              </w:rPr>
            </w:pPr>
          </w:p>
        </w:tc>
        <w:tc>
          <w:tcPr>
            <w:tcW w:w="874" w:type="pct"/>
            <w:noWrap w:val="0"/>
            <w:vAlign w:val="center"/>
          </w:tcPr>
          <w:p>
            <w:pPr>
              <w:keepNext w:val="0"/>
              <w:keepLines w:val="0"/>
              <w:suppressLineNumbers w:val="0"/>
              <w:spacing w:before="0" w:beforeAutospacing="0" w:after="0" w:afterAutospacing="0" w:line="340" w:lineRule="exact"/>
              <w:ind w:left="0" w:right="0"/>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8"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lang w:val="en-US" w:eastAsia="zh-CN"/>
              </w:rPr>
              <w:t>2</w:t>
            </w:r>
          </w:p>
        </w:tc>
        <w:tc>
          <w:tcPr>
            <w:tcW w:w="832"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 xml:space="preserve"> 其他费</w:t>
            </w:r>
          </w:p>
        </w:tc>
        <w:tc>
          <w:tcPr>
            <w:tcW w:w="2935"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b/>
                <w:color w:val="auto"/>
                <w:szCs w:val="21"/>
                <w:highlight w:val="none"/>
              </w:rPr>
            </w:pPr>
          </w:p>
        </w:tc>
        <w:tc>
          <w:tcPr>
            <w:tcW w:w="874"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8"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832" w:type="pct"/>
            <w:noWrap w:val="0"/>
            <w:vAlign w:val="center"/>
          </w:tcPr>
          <w:p>
            <w:pPr>
              <w:keepNext w:val="0"/>
              <w:keepLines w:val="0"/>
              <w:suppressLineNumbers w:val="0"/>
              <w:spacing w:before="0" w:beforeAutospacing="0" w:after="0" w:afterAutospacing="0" w:line="340" w:lineRule="exact"/>
              <w:ind w:left="0" w:right="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设备费</w:t>
            </w:r>
          </w:p>
        </w:tc>
        <w:tc>
          <w:tcPr>
            <w:tcW w:w="2935"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b/>
                <w:color w:val="auto"/>
                <w:szCs w:val="21"/>
                <w:highlight w:val="none"/>
              </w:rPr>
            </w:pPr>
          </w:p>
        </w:tc>
        <w:tc>
          <w:tcPr>
            <w:tcW w:w="874"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8"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832"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预备费</w:t>
            </w:r>
          </w:p>
        </w:tc>
        <w:tc>
          <w:tcPr>
            <w:tcW w:w="2935"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b/>
                <w:color w:val="auto"/>
                <w:szCs w:val="21"/>
                <w:highlight w:val="none"/>
              </w:rPr>
            </w:pPr>
          </w:p>
        </w:tc>
        <w:tc>
          <w:tcPr>
            <w:tcW w:w="874" w:type="pct"/>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90" w:type="pct"/>
            <w:gridSpan w:val="2"/>
            <w:noWrap w:val="0"/>
            <w:vAlign w:val="center"/>
          </w:tcPr>
          <w:p>
            <w:pPr>
              <w:keepNext w:val="0"/>
              <w:keepLines w:val="0"/>
              <w:suppressLineNumbers w:val="0"/>
              <w:spacing w:before="0" w:beforeAutospacing="0" w:after="0" w:afterAutospacing="0" w:line="34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投标总报价</w:t>
            </w:r>
          </w:p>
        </w:tc>
        <w:tc>
          <w:tcPr>
            <w:tcW w:w="3809" w:type="pct"/>
            <w:gridSpan w:val="2"/>
            <w:noWrap w:val="0"/>
            <w:vAlign w:val="center"/>
          </w:tcPr>
          <w:p>
            <w:pPr>
              <w:keepNext w:val="0"/>
              <w:keepLines w:val="0"/>
              <w:suppressLineNumbers w:val="0"/>
              <w:spacing w:before="0" w:beforeAutospacing="0" w:after="0" w:afterAutospacing="0" w:line="340" w:lineRule="exact"/>
              <w:ind w:left="0" w:right="0"/>
              <w:rPr>
                <w:rFonts w:hint="default" w:ascii="宋体" w:hAnsi="宋体" w:cs="宋体"/>
                <w:b/>
                <w:color w:val="auto"/>
                <w:szCs w:val="21"/>
                <w:highlight w:val="none"/>
                <w:u w:val="single"/>
              </w:rPr>
            </w:pPr>
            <w:r>
              <w:rPr>
                <w:rFonts w:hint="eastAsia" w:ascii="宋体" w:hAnsi="宋体" w:cs="宋体"/>
                <w:b/>
                <w:color w:val="auto"/>
                <w:szCs w:val="21"/>
                <w:highlight w:val="none"/>
              </w:rPr>
              <w:t>人民币大写：</w:t>
            </w:r>
            <w:r>
              <w:rPr>
                <w:rFonts w:hint="default" w:ascii="宋体" w:hAnsi="宋体" w:cs="宋体"/>
                <w:b/>
                <w:color w:val="auto"/>
                <w:szCs w:val="21"/>
                <w:highlight w:val="none"/>
                <w:u w:val="single"/>
              </w:rPr>
              <w:t xml:space="preserve">                 </w:t>
            </w:r>
          </w:p>
          <w:p>
            <w:pPr>
              <w:keepNext w:val="0"/>
              <w:keepLines w:val="0"/>
              <w:suppressLineNumbers w:val="0"/>
              <w:spacing w:before="0" w:beforeAutospacing="0" w:after="0" w:afterAutospacing="0" w:line="340" w:lineRule="exact"/>
              <w:ind w:left="0" w:right="0" w:firstLine="632" w:firstLineChars="300"/>
              <w:rPr>
                <w:rFonts w:hint="default" w:ascii="宋体" w:hAnsi="宋体" w:cs="宋体"/>
                <w:color w:val="auto"/>
                <w:szCs w:val="21"/>
                <w:highlight w:val="none"/>
              </w:rPr>
            </w:pPr>
            <w:r>
              <w:rPr>
                <w:rFonts w:hint="eastAsia" w:ascii="宋体" w:hAnsi="宋体" w:cs="宋体"/>
                <w:b/>
                <w:color w:val="auto"/>
                <w:szCs w:val="21"/>
                <w:highlight w:val="none"/>
              </w:rPr>
              <w:t>小写：</w:t>
            </w:r>
            <w:r>
              <w:rPr>
                <w:rFonts w:hint="default" w:ascii="宋体" w:hAnsi="宋体" w:cs="宋体"/>
                <w:b/>
                <w:color w:val="auto"/>
                <w:szCs w:val="21"/>
                <w:highlight w:val="none"/>
                <w:u w:val="single"/>
              </w:rPr>
              <w:t xml:space="preserve">                 </w:t>
            </w:r>
          </w:p>
        </w:tc>
      </w:tr>
    </w:tbl>
    <w:p>
      <w:pPr>
        <w:rPr>
          <w:rFonts w:ascii="宋体" w:hAnsi="宋体" w:cs="宋体"/>
          <w:color w:val="auto"/>
          <w:kern w:val="0"/>
          <w:szCs w:val="21"/>
          <w:highlight w:val="none"/>
        </w:rPr>
      </w:pPr>
    </w:p>
    <w:p>
      <w:pPr>
        <w:spacing w:line="360" w:lineRule="auto"/>
        <w:ind w:firstLine="420" w:firstLineChars="200"/>
        <w:rPr>
          <w:color w:val="auto"/>
          <w:highlight w:val="none"/>
        </w:rPr>
      </w:pPr>
    </w:p>
    <w:p>
      <w:pPr>
        <w:autoSpaceDE w:val="0"/>
        <w:autoSpaceDN w:val="0"/>
        <w:adjustRightInd w:val="0"/>
        <w:spacing w:before="64"/>
        <w:ind w:right="-23" w:firstLine="0" w:firstLineChars="0"/>
        <w:jc w:val="left"/>
        <w:rPr>
          <w:color w:val="auto"/>
          <w:kern w:val="0"/>
          <w:szCs w:val="21"/>
          <w:highlight w:val="none"/>
        </w:rPr>
      </w:pPr>
    </w:p>
    <w:p>
      <w:pPr>
        <w:autoSpaceDE w:val="0"/>
        <w:autoSpaceDN w:val="0"/>
        <w:adjustRightInd w:val="0"/>
        <w:spacing w:before="64"/>
        <w:ind w:right="-23" w:firstLine="420" w:firstLineChars="200"/>
        <w:jc w:val="left"/>
        <w:rPr>
          <w:color w:val="auto"/>
          <w:kern w:val="0"/>
          <w:szCs w:val="21"/>
          <w:highlight w:val="none"/>
        </w:rPr>
      </w:pPr>
    </w:p>
    <w:p>
      <w:pPr>
        <w:autoSpaceDE w:val="0"/>
        <w:autoSpaceDN w:val="0"/>
        <w:adjustRightInd w:val="0"/>
        <w:spacing w:before="64"/>
        <w:ind w:right="-23" w:firstLine="420" w:firstLineChars="200"/>
        <w:jc w:val="left"/>
        <w:rPr>
          <w:color w:val="auto"/>
          <w:kern w:val="0"/>
          <w:szCs w:val="21"/>
          <w:highlight w:val="none"/>
        </w:rPr>
      </w:pPr>
    </w:p>
    <w:p>
      <w:pPr>
        <w:autoSpaceDE w:val="0"/>
        <w:autoSpaceDN w:val="0"/>
        <w:adjustRightInd w:val="0"/>
        <w:spacing w:before="64"/>
        <w:ind w:right="-23" w:firstLine="420" w:firstLineChars="200"/>
        <w:jc w:val="left"/>
        <w:rPr>
          <w:color w:val="auto"/>
          <w:kern w:val="0"/>
          <w:szCs w:val="21"/>
          <w:highlight w:val="none"/>
        </w:rPr>
      </w:pPr>
    </w:p>
    <w:p>
      <w:pPr>
        <w:widowControl/>
        <w:jc w:val="center"/>
        <w:rPr>
          <w:rFonts w:hint="eastAsia"/>
          <w:color w:val="auto"/>
          <w:kern w:val="0"/>
          <w:szCs w:val="21"/>
          <w:highlight w:val="none"/>
        </w:rPr>
      </w:pPr>
      <w:r>
        <w:rPr>
          <w:color w:val="auto"/>
          <w:kern w:val="0"/>
          <w:szCs w:val="21"/>
          <w:highlight w:val="none"/>
        </w:rPr>
        <w:br w:type="page"/>
      </w:r>
    </w:p>
    <w:p>
      <w:pPr>
        <w:widowControl/>
        <w:jc w:val="center"/>
        <w:outlineLvl w:val="0"/>
        <w:rPr>
          <w:color w:val="auto"/>
          <w:kern w:val="0"/>
          <w:szCs w:val="21"/>
          <w:highlight w:val="none"/>
        </w:rPr>
      </w:pPr>
      <w:bookmarkStart w:id="248" w:name="_Toc6296"/>
      <w:r>
        <w:rPr>
          <w:rFonts w:ascii="黑体" w:hAnsi="黑体" w:eastAsia="黑体"/>
          <w:color w:val="auto"/>
          <w:sz w:val="24"/>
          <w:highlight w:val="none"/>
        </w:rPr>
        <w:sym w:font="Wingdings 2" w:char="0052"/>
      </w:r>
      <w:r>
        <w:rPr>
          <w:rFonts w:hint="eastAsia" w:ascii="宋体" w:hAnsi="宋体" w:cs="宋体"/>
          <w:b/>
          <w:bCs/>
          <w:color w:val="auto"/>
          <w:sz w:val="24"/>
          <w:highlight w:val="none"/>
          <w:shd w:val="clear" w:color="auto" w:fill="FFFFFF"/>
        </w:rPr>
        <w:t>二、投标报价内容及格式</w:t>
      </w:r>
      <w:bookmarkEnd w:id="248"/>
    </w:p>
    <w:p>
      <w:pPr>
        <w:pStyle w:val="33"/>
        <w:tabs>
          <w:tab w:val="right" w:leader="dot" w:pos="8720"/>
        </w:tabs>
        <w:ind w:left="0" w:leftChars="0"/>
        <w:jc w:val="left"/>
        <w:rPr>
          <w:color w:val="auto"/>
          <w:highlight w:val="none"/>
        </w:rPr>
      </w:pPr>
    </w:p>
    <w:p>
      <w:pPr>
        <w:pStyle w:val="7"/>
        <w:keepNext/>
        <w:keepLines/>
        <w:widowControl w:val="0"/>
        <w:jc w:val="left"/>
        <w:rPr>
          <w:rFonts w:eastAsia="黑体"/>
          <w:b w:val="0"/>
          <w:color w:val="auto"/>
          <w:highlight w:val="none"/>
        </w:rPr>
      </w:pPr>
      <w:bookmarkStart w:id="249" w:name="_Toc9178592"/>
      <w:bookmarkStart w:id="250" w:name="_Toc300678595"/>
      <w:bookmarkStart w:id="251" w:name="_Toc69199947"/>
      <w:r>
        <w:rPr>
          <w:rFonts w:hint="eastAsia" w:ascii="Calibri" w:hAnsi="Calibri" w:cs="Calibri"/>
          <w:color w:val="auto"/>
          <w:szCs w:val="21"/>
          <w:highlight w:val="none"/>
        </w:rPr>
        <w:t>□</w:t>
      </w:r>
      <w:r>
        <w:rPr>
          <w:rFonts w:hint="eastAsia" w:eastAsia="黑体"/>
          <w:b w:val="0"/>
          <w:color w:val="auto"/>
          <w:highlight w:val="none"/>
        </w:rPr>
        <w:t>1.</w:t>
      </w:r>
      <w:r>
        <w:rPr>
          <w:rFonts w:hint="eastAsia" w:ascii="宋体" w:hAnsi="宋体" w:cs="宋体"/>
          <w:b w:val="0"/>
          <w:bCs w:val="0"/>
          <w:color w:val="auto"/>
          <w:highlight w:val="none"/>
          <w:shd w:val="clear" w:color="auto" w:fill="FFFFFF"/>
        </w:rPr>
        <w:t xml:space="preserve"> </w:t>
      </w:r>
      <w:r>
        <w:rPr>
          <w:rFonts w:hint="eastAsia" w:eastAsia="黑体"/>
          <w:b w:val="0"/>
          <w:color w:val="auto"/>
          <w:highlight w:val="none"/>
        </w:rPr>
        <w:t>建筑安装工程费（</w:t>
      </w:r>
      <w:r>
        <w:rPr>
          <w:rFonts w:eastAsia="黑体"/>
          <w:b w:val="0"/>
          <w:color w:val="auto"/>
          <w:highlight w:val="none"/>
        </w:rPr>
        <w:t>已标价工程量清单</w:t>
      </w:r>
      <w:r>
        <w:rPr>
          <w:rFonts w:hint="eastAsia" w:eastAsia="黑体"/>
          <w:b w:val="0"/>
          <w:color w:val="auto"/>
          <w:highlight w:val="none"/>
        </w:rPr>
        <w:t>）</w:t>
      </w:r>
      <w:r>
        <w:rPr>
          <w:rFonts w:eastAsia="黑体"/>
          <w:b w:val="0"/>
          <w:color w:val="auto"/>
          <w:highlight w:val="none"/>
        </w:rPr>
        <w:t>内容</w:t>
      </w:r>
      <w:bookmarkEnd w:id="249"/>
      <w:bookmarkEnd w:id="250"/>
      <w:bookmarkEnd w:id="251"/>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52" w:name="_Toc29328"/>
      <w:r>
        <w:rPr>
          <w:color w:val="auto"/>
          <w:highlight w:val="none"/>
        </w:rPr>
        <w:t>（1） 投标总价封面；</w:t>
      </w:r>
      <w:bookmarkEnd w:id="252"/>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53" w:name="_Toc29852"/>
      <w:r>
        <w:rPr>
          <w:color w:val="auto"/>
          <w:highlight w:val="none"/>
        </w:rPr>
        <w:t>（2） 投标总价扉页</w:t>
      </w:r>
      <w:bookmarkEnd w:id="253"/>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54" w:name="_Toc24463"/>
      <w:r>
        <w:rPr>
          <w:color w:val="auto"/>
          <w:highlight w:val="none"/>
        </w:rPr>
        <w:t>（3） 工程计价总说明</w:t>
      </w:r>
      <w:bookmarkEnd w:id="254"/>
    </w:p>
    <w:p>
      <w:pPr>
        <w:autoSpaceDE w:val="0"/>
        <w:autoSpaceDN w:val="0"/>
        <w:adjustRightInd w:val="0"/>
        <w:spacing w:before="64" w:line="360" w:lineRule="auto"/>
        <w:ind w:right="-23" w:firstLine="435"/>
        <w:jc w:val="left"/>
        <w:outlineLvl w:val="0"/>
        <w:rPr>
          <w:color w:val="auto"/>
          <w:highlight w:val="none"/>
        </w:rPr>
      </w:pPr>
      <w:bookmarkStart w:id="255" w:name="_Toc10404"/>
      <w:r>
        <w:rPr>
          <w:color w:val="auto"/>
          <w:highlight w:val="none"/>
        </w:rPr>
        <w:t>（4） 建设项目</w:t>
      </w:r>
      <w:r>
        <w:rPr>
          <w:rFonts w:hint="eastAsia"/>
          <w:color w:val="auto"/>
          <w:highlight w:val="none"/>
        </w:rPr>
        <w:t>投标报价</w:t>
      </w:r>
      <w:r>
        <w:rPr>
          <w:color w:val="auto"/>
          <w:highlight w:val="none"/>
        </w:rPr>
        <w:t>汇总表</w:t>
      </w:r>
      <w:bookmarkEnd w:id="255"/>
    </w:p>
    <w:p>
      <w:pPr>
        <w:autoSpaceDE w:val="0"/>
        <w:autoSpaceDN w:val="0"/>
        <w:adjustRightInd w:val="0"/>
        <w:spacing w:before="64" w:line="360" w:lineRule="auto"/>
        <w:ind w:right="-23" w:firstLine="435"/>
        <w:jc w:val="left"/>
        <w:outlineLvl w:val="0"/>
        <w:rPr>
          <w:color w:val="auto"/>
          <w:highlight w:val="none"/>
        </w:rPr>
      </w:pPr>
      <w:bookmarkStart w:id="256" w:name="_Toc22536"/>
      <w:r>
        <w:rPr>
          <w:rFonts w:hint="eastAsia"/>
          <w:color w:val="auto"/>
          <w:highlight w:val="none"/>
        </w:rPr>
        <w:t>（5） 单项工程投标报价汇总表</w:t>
      </w:r>
      <w:bookmarkEnd w:id="256"/>
    </w:p>
    <w:p>
      <w:pPr>
        <w:autoSpaceDE w:val="0"/>
        <w:autoSpaceDN w:val="0"/>
        <w:adjustRightInd w:val="0"/>
        <w:spacing w:before="64" w:line="360" w:lineRule="auto"/>
        <w:ind w:right="-23" w:firstLine="435"/>
        <w:jc w:val="left"/>
        <w:outlineLvl w:val="0"/>
        <w:rPr>
          <w:color w:val="auto"/>
          <w:highlight w:val="none"/>
        </w:rPr>
      </w:pPr>
      <w:bookmarkStart w:id="257" w:name="_Toc28837"/>
      <w:r>
        <w:rPr>
          <w:color w:val="auto"/>
          <w:highlight w:val="none"/>
        </w:rPr>
        <w:t>（6） 单位工程</w:t>
      </w:r>
      <w:r>
        <w:rPr>
          <w:rFonts w:hint="eastAsia"/>
          <w:color w:val="auto"/>
          <w:highlight w:val="none"/>
        </w:rPr>
        <w:t>投标报价汇总表</w:t>
      </w:r>
      <w:bookmarkEnd w:id="257"/>
    </w:p>
    <w:p>
      <w:pPr>
        <w:autoSpaceDE w:val="0"/>
        <w:autoSpaceDN w:val="0"/>
        <w:adjustRightInd w:val="0"/>
        <w:spacing w:before="64" w:line="360" w:lineRule="auto"/>
        <w:ind w:right="-23" w:firstLine="435"/>
        <w:jc w:val="left"/>
        <w:outlineLvl w:val="0"/>
        <w:rPr>
          <w:color w:val="auto"/>
          <w:highlight w:val="none"/>
        </w:rPr>
      </w:pPr>
      <w:bookmarkStart w:id="258" w:name="_Toc7775"/>
      <w:r>
        <w:rPr>
          <w:color w:val="auto"/>
          <w:highlight w:val="none"/>
        </w:rPr>
        <w:t>（</w:t>
      </w:r>
      <w:r>
        <w:rPr>
          <w:rFonts w:hint="eastAsia"/>
          <w:color w:val="auto"/>
          <w:highlight w:val="none"/>
        </w:rPr>
        <w:t>7</w:t>
      </w:r>
      <w:r>
        <w:rPr>
          <w:color w:val="auto"/>
          <w:highlight w:val="none"/>
        </w:rPr>
        <w:t xml:space="preserve">） </w:t>
      </w:r>
      <w:r>
        <w:rPr>
          <w:rFonts w:hint="eastAsia"/>
          <w:color w:val="auto"/>
          <w:highlight w:val="none"/>
        </w:rPr>
        <w:t>分部分项工程项目清单与措施项目清单计价表</w:t>
      </w:r>
      <w:bookmarkEnd w:id="258"/>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59" w:name="_Toc10926"/>
      <w:r>
        <w:rPr>
          <w:color w:val="auto"/>
          <w:highlight w:val="none"/>
        </w:rPr>
        <w:t xml:space="preserve">（8） </w:t>
      </w:r>
      <w:r>
        <w:rPr>
          <w:rFonts w:hint="eastAsia"/>
          <w:color w:val="auto"/>
          <w:highlight w:val="none"/>
        </w:rPr>
        <w:t>综合单价分析表</w:t>
      </w:r>
      <w:bookmarkEnd w:id="259"/>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0" w:name="_Toc4284"/>
      <w:r>
        <w:rPr>
          <w:color w:val="auto"/>
          <w:highlight w:val="none"/>
        </w:rPr>
        <w:t xml:space="preserve">（9） </w:t>
      </w:r>
      <w:r>
        <w:rPr>
          <w:rFonts w:hint="eastAsia"/>
          <w:color w:val="auto"/>
          <w:highlight w:val="none"/>
        </w:rPr>
        <w:t>总价措施项目清单计费表</w:t>
      </w:r>
      <w:bookmarkEnd w:id="260"/>
    </w:p>
    <w:p>
      <w:pPr>
        <w:autoSpaceDE w:val="0"/>
        <w:autoSpaceDN w:val="0"/>
        <w:adjustRightInd w:val="0"/>
        <w:spacing w:before="64" w:line="360" w:lineRule="auto"/>
        <w:ind w:right="-23" w:firstLine="420"/>
        <w:jc w:val="left"/>
        <w:outlineLvl w:val="0"/>
        <w:rPr>
          <w:color w:val="auto"/>
          <w:highlight w:val="none"/>
        </w:rPr>
      </w:pPr>
      <w:bookmarkStart w:id="261" w:name="_Toc6992"/>
      <w:r>
        <w:rPr>
          <w:color w:val="auto"/>
          <w:highlight w:val="none"/>
        </w:rPr>
        <w:t>（10）</w:t>
      </w:r>
      <w:r>
        <w:rPr>
          <w:rFonts w:hint="eastAsia"/>
          <w:color w:val="auto"/>
          <w:highlight w:val="none"/>
        </w:rPr>
        <w:t>绿色施工安全防护措施项目费计价表（招投标）</w:t>
      </w:r>
      <w:bookmarkEnd w:id="261"/>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2" w:name="_Toc27725"/>
      <w:r>
        <w:rPr>
          <w:color w:val="auto"/>
          <w:highlight w:val="none"/>
        </w:rPr>
        <w:t>（11） 其他项目清单与计价汇总表</w:t>
      </w:r>
      <w:bookmarkEnd w:id="262"/>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3" w:name="_Toc29274"/>
      <w:r>
        <w:rPr>
          <w:color w:val="auto"/>
          <w:highlight w:val="none"/>
        </w:rPr>
        <w:t>（12） 暂列金额明细表</w:t>
      </w:r>
      <w:bookmarkEnd w:id="263"/>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4" w:name="_Toc21397"/>
      <w:r>
        <w:rPr>
          <w:color w:val="auto"/>
          <w:highlight w:val="none"/>
        </w:rPr>
        <w:t>（13） 材料暂估单价及调整表</w:t>
      </w:r>
      <w:bookmarkEnd w:id="264"/>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5" w:name="_Toc31343"/>
      <w:r>
        <w:rPr>
          <w:color w:val="auto"/>
          <w:highlight w:val="none"/>
        </w:rPr>
        <w:t>（14） 专业工程</w:t>
      </w:r>
      <w:r>
        <w:rPr>
          <w:rFonts w:hint="eastAsia"/>
          <w:color w:val="auto"/>
          <w:highlight w:val="none"/>
        </w:rPr>
        <w:t>/分部分项工程</w:t>
      </w:r>
      <w:r>
        <w:rPr>
          <w:color w:val="auto"/>
          <w:highlight w:val="none"/>
        </w:rPr>
        <w:t>暂估价及结算价表</w:t>
      </w:r>
      <w:bookmarkEnd w:id="265"/>
    </w:p>
    <w:p>
      <w:pPr>
        <w:autoSpaceDE w:val="0"/>
        <w:autoSpaceDN w:val="0"/>
        <w:adjustRightInd w:val="0"/>
        <w:spacing w:before="64" w:line="360" w:lineRule="auto"/>
        <w:ind w:right="-23"/>
        <w:jc w:val="left"/>
        <w:outlineLvl w:val="0"/>
        <w:rPr>
          <w:color w:val="auto"/>
          <w:highlight w:val="none"/>
        </w:rPr>
      </w:pPr>
      <w:r>
        <w:rPr>
          <w:color w:val="auto"/>
          <w:highlight w:val="none"/>
        </w:rPr>
        <w:t xml:space="preserve">    </w:t>
      </w:r>
      <w:bookmarkStart w:id="266" w:name="_Toc30767"/>
      <w:r>
        <w:rPr>
          <w:color w:val="auto"/>
          <w:highlight w:val="none"/>
        </w:rPr>
        <w:t>（15） 计日工表</w:t>
      </w:r>
      <w:bookmarkEnd w:id="266"/>
    </w:p>
    <w:p>
      <w:pPr>
        <w:autoSpaceDE w:val="0"/>
        <w:autoSpaceDN w:val="0"/>
        <w:adjustRightInd w:val="0"/>
        <w:spacing w:before="64" w:line="360" w:lineRule="auto"/>
        <w:ind w:right="-23" w:firstLine="420"/>
        <w:jc w:val="left"/>
        <w:outlineLvl w:val="0"/>
        <w:rPr>
          <w:color w:val="auto"/>
          <w:highlight w:val="none"/>
        </w:rPr>
      </w:pPr>
      <w:bookmarkStart w:id="267" w:name="_Toc29241"/>
      <w:r>
        <w:rPr>
          <w:color w:val="auto"/>
          <w:highlight w:val="none"/>
        </w:rPr>
        <w:t>（16）总承包服务费计价表</w:t>
      </w:r>
      <w:bookmarkEnd w:id="267"/>
    </w:p>
    <w:p>
      <w:pPr>
        <w:autoSpaceDE w:val="0"/>
        <w:autoSpaceDN w:val="0"/>
        <w:adjustRightInd w:val="0"/>
        <w:spacing w:before="64" w:line="360" w:lineRule="auto"/>
        <w:ind w:right="-23" w:firstLine="420"/>
        <w:jc w:val="left"/>
        <w:outlineLvl w:val="0"/>
        <w:rPr>
          <w:color w:val="auto"/>
          <w:highlight w:val="none"/>
        </w:rPr>
      </w:pPr>
      <w:bookmarkStart w:id="268" w:name="_Toc2989"/>
      <w:r>
        <w:rPr>
          <w:rFonts w:hint="eastAsia"/>
          <w:color w:val="auto"/>
          <w:highlight w:val="none"/>
        </w:rPr>
        <w:t>（1</w:t>
      </w:r>
      <w:r>
        <w:rPr>
          <w:color w:val="auto"/>
          <w:highlight w:val="none"/>
        </w:rPr>
        <w:t>7</w:t>
      </w:r>
      <w:r>
        <w:rPr>
          <w:rFonts w:hint="eastAsia"/>
          <w:color w:val="auto"/>
          <w:highlight w:val="none"/>
        </w:rPr>
        <w:t>）部分其他项目费计价表</w:t>
      </w:r>
      <w:bookmarkEnd w:id="268"/>
    </w:p>
    <w:p>
      <w:pPr>
        <w:spacing w:line="300" w:lineRule="auto"/>
        <w:outlineLvl w:val="0"/>
        <w:rPr>
          <w:color w:val="auto"/>
          <w:highlight w:val="none"/>
        </w:rPr>
      </w:pPr>
      <w:r>
        <w:rPr>
          <w:color w:val="auto"/>
          <w:highlight w:val="none"/>
        </w:rPr>
        <w:t xml:space="preserve">    </w:t>
      </w:r>
      <w:bookmarkStart w:id="269" w:name="_Toc17481"/>
      <w:r>
        <w:rPr>
          <w:color w:val="auto"/>
          <w:highlight w:val="none"/>
        </w:rPr>
        <w:t>（18）发包人提供材料一览表</w:t>
      </w:r>
      <w:bookmarkEnd w:id="269"/>
    </w:p>
    <w:p>
      <w:pPr>
        <w:autoSpaceDE w:val="0"/>
        <w:autoSpaceDN w:val="0"/>
        <w:adjustRightInd w:val="0"/>
        <w:spacing w:before="64" w:line="360" w:lineRule="auto"/>
        <w:ind w:right="-23" w:firstLine="420"/>
        <w:jc w:val="left"/>
        <w:outlineLvl w:val="0"/>
        <w:rPr>
          <w:color w:val="auto"/>
          <w:highlight w:val="none"/>
        </w:rPr>
      </w:pPr>
      <w:bookmarkStart w:id="270" w:name="_Toc30849"/>
      <w:r>
        <w:rPr>
          <w:color w:val="auto"/>
          <w:highlight w:val="none"/>
        </w:rPr>
        <w:t>（19） 人工、材料、机械汇总表</w:t>
      </w:r>
      <w:bookmarkEnd w:id="270"/>
    </w:p>
    <w:p>
      <w:pPr>
        <w:autoSpaceDE w:val="0"/>
        <w:autoSpaceDN w:val="0"/>
        <w:adjustRightInd w:val="0"/>
        <w:spacing w:before="64" w:line="360" w:lineRule="auto"/>
        <w:ind w:right="-23"/>
        <w:jc w:val="left"/>
        <w:rPr>
          <w:color w:val="auto"/>
          <w:highlight w:val="none"/>
        </w:rPr>
      </w:pPr>
      <w:r>
        <w:rPr>
          <w:color w:val="auto"/>
          <w:highlight w:val="none"/>
        </w:rPr>
        <w:t xml:space="preserve">    </w:t>
      </w:r>
      <w:r>
        <w:rPr>
          <w:rFonts w:hint="eastAsia"/>
          <w:color w:val="auto"/>
          <w:highlight w:val="none"/>
        </w:rPr>
        <w:t>说明</w:t>
      </w:r>
      <w:r>
        <w:rPr>
          <w:color w:val="auto"/>
          <w:highlight w:val="none"/>
        </w:rPr>
        <w:t>：以上表格如为空白表格，可不提供。</w:t>
      </w:r>
    </w:p>
    <w:p>
      <w:pPr>
        <w:autoSpaceDE w:val="0"/>
        <w:autoSpaceDN w:val="0"/>
        <w:adjustRightInd w:val="0"/>
        <w:spacing w:before="64" w:line="360" w:lineRule="auto"/>
        <w:ind w:right="-23"/>
        <w:jc w:val="left"/>
        <w:rPr>
          <w:color w:val="auto"/>
          <w:highlight w:val="none"/>
        </w:rPr>
      </w:pPr>
    </w:p>
    <w:p>
      <w:pPr>
        <w:widowControl/>
        <w:jc w:val="left"/>
        <w:rPr>
          <w:color w:val="auto"/>
          <w:highlight w:val="none"/>
        </w:rPr>
      </w:pPr>
      <w:r>
        <w:rPr>
          <w:color w:val="auto"/>
          <w:highlight w:val="none"/>
        </w:rPr>
        <w:br w:type="page"/>
      </w:r>
    </w:p>
    <w:p>
      <w:pPr>
        <w:spacing w:after="240" w:afterLines="100"/>
        <w:rPr>
          <w:color w:val="auto"/>
          <w:highlight w:val="none"/>
        </w:rPr>
      </w:pPr>
      <w:bookmarkStart w:id="271" w:name="_Toc300678597"/>
    </w:p>
    <w:bookmarkEnd w:id="271"/>
    <w:p>
      <w:pPr>
        <w:pStyle w:val="7"/>
        <w:keepNext/>
        <w:keepLines/>
        <w:widowControl w:val="0"/>
        <w:jc w:val="left"/>
        <w:rPr>
          <w:rFonts w:eastAsia="黑体"/>
          <w:b w:val="0"/>
          <w:color w:val="auto"/>
          <w:highlight w:val="none"/>
        </w:rPr>
      </w:pPr>
      <w:bookmarkStart w:id="272" w:name="_Toc69199948"/>
      <w:r>
        <w:rPr>
          <w:rFonts w:hint="eastAsia" w:ascii="Calibri" w:hAnsi="Calibri" w:cs="Calibri"/>
          <w:color w:val="auto"/>
          <w:szCs w:val="21"/>
          <w:highlight w:val="none"/>
        </w:rPr>
        <w:t>□</w:t>
      </w:r>
      <w:r>
        <w:rPr>
          <w:rFonts w:hint="eastAsia" w:eastAsia="黑体"/>
          <w:b w:val="0"/>
          <w:color w:val="auto"/>
          <w:highlight w:val="none"/>
        </w:rPr>
        <w:t>2. 建筑安装工程费（</w:t>
      </w:r>
      <w:r>
        <w:rPr>
          <w:rFonts w:eastAsia="黑体"/>
          <w:b w:val="0"/>
          <w:color w:val="auto"/>
          <w:highlight w:val="none"/>
        </w:rPr>
        <w:t>已标价工程量清单</w:t>
      </w:r>
      <w:r>
        <w:rPr>
          <w:rFonts w:hint="eastAsia" w:eastAsia="黑体"/>
          <w:b w:val="0"/>
          <w:color w:val="auto"/>
          <w:highlight w:val="none"/>
        </w:rPr>
        <w:t>）</w:t>
      </w:r>
      <w:r>
        <w:rPr>
          <w:rFonts w:eastAsia="黑体"/>
          <w:b w:val="0"/>
          <w:color w:val="auto"/>
          <w:highlight w:val="none"/>
        </w:rPr>
        <w:t>格式</w:t>
      </w:r>
      <w:bookmarkEnd w:id="272"/>
    </w:p>
    <w:p>
      <w:pPr>
        <w:spacing w:line="360" w:lineRule="auto"/>
        <w:ind w:firstLine="480" w:firstLineChars="200"/>
        <w:rPr>
          <w:rFonts w:eastAsia="黑体"/>
          <w:color w:val="auto"/>
          <w:sz w:val="24"/>
          <w:highlight w:val="none"/>
        </w:rPr>
      </w:pPr>
    </w:p>
    <w:p>
      <w:pPr>
        <w:spacing w:line="360" w:lineRule="auto"/>
        <w:ind w:firstLine="480" w:firstLineChars="200"/>
        <w:rPr>
          <w:color w:val="auto"/>
          <w:highlight w:val="none"/>
        </w:rPr>
      </w:pPr>
      <w:r>
        <w:rPr>
          <w:rFonts w:hint="eastAsia" w:eastAsia="黑体"/>
          <w:color w:val="auto"/>
          <w:sz w:val="24"/>
          <w:highlight w:val="none"/>
        </w:rPr>
        <w:t>说明：</w:t>
      </w:r>
      <w:r>
        <w:rPr>
          <w:rFonts w:hint="eastAsia" w:ascii="宋体" w:hAnsi="宋体"/>
          <w:color w:val="auto"/>
          <w:szCs w:val="21"/>
          <w:highlight w:val="none"/>
        </w:rPr>
        <w:t>已标价工程量清单按照</w:t>
      </w:r>
      <w:r>
        <w:rPr>
          <w:color w:val="auto"/>
          <w:szCs w:val="21"/>
          <w:highlight w:val="none"/>
        </w:rPr>
        <w:t>、</w:t>
      </w:r>
      <w:r>
        <w:rPr>
          <w:rFonts w:hint="eastAsia"/>
          <w:color w:val="auto"/>
          <w:szCs w:val="21"/>
          <w:highlight w:val="none"/>
        </w:rPr>
        <w:t>《关于印发2</w:t>
      </w:r>
      <w:r>
        <w:rPr>
          <w:color w:val="auto"/>
          <w:szCs w:val="21"/>
          <w:highlight w:val="none"/>
        </w:rPr>
        <w:t>020</w:t>
      </w:r>
      <w:r>
        <w:rPr>
          <w:rFonts w:hint="eastAsia"/>
          <w:color w:val="auto"/>
          <w:szCs w:val="21"/>
          <w:highlight w:val="none"/>
        </w:rPr>
        <w:t>&lt;</w:t>
      </w:r>
      <w:r>
        <w:rPr>
          <w:color w:val="auto"/>
          <w:szCs w:val="21"/>
          <w:highlight w:val="none"/>
        </w:rPr>
        <w:t>湖南省建设工程计价办法</w:t>
      </w:r>
      <w:r>
        <w:rPr>
          <w:rFonts w:hint="eastAsia"/>
          <w:color w:val="auto"/>
          <w:szCs w:val="21"/>
          <w:highlight w:val="none"/>
        </w:rPr>
        <w:t>&gt;及&lt;湖南省建设工程消耗量标准&gt;的通知》</w:t>
      </w:r>
      <w:r>
        <w:rPr>
          <w:color w:val="auto"/>
          <w:szCs w:val="21"/>
          <w:highlight w:val="none"/>
        </w:rPr>
        <w:t>（湘建价〔2020〕56号</w:t>
      </w:r>
      <w:r>
        <w:rPr>
          <w:color w:val="auto"/>
          <w:highlight w:val="none"/>
        </w:rPr>
        <w:t>等文件规定的格式</w:t>
      </w:r>
      <w:r>
        <w:rPr>
          <w:rFonts w:hint="eastAsia"/>
          <w:color w:val="auto"/>
          <w:highlight w:val="none"/>
        </w:rPr>
        <w:t>填写。由计价软件打印的已标价工程量清单与上述文件格式不一致的，以计价软件打印的表格为准。投标人采用的计价软件应当通过了湖南建设工程造价管理总站的测评。</w:t>
      </w:r>
    </w:p>
    <w:p>
      <w:pPr>
        <w:spacing w:line="360" w:lineRule="auto"/>
        <w:ind w:firstLine="480" w:firstLineChars="200"/>
        <w:rPr>
          <w:rFonts w:hint="eastAsia" w:eastAsia="黑体"/>
          <w:bCs/>
          <w:color w:val="auto"/>
          <w:kern w:val="0"/>
          <w:sz w:val="24"/>
          <w:highlight w:val="none"/>
        </w:rPr>
      </w:pPr>
    </w:p>
    <w:p>
      <w:pPr>
        <w:pStyle w:val="7"/>
        <w:keepNext/>
        <w:keepLines/>
        <w:widowControl w:val="0"/>
        <w:jc w:val="left"/>
        <w:rPr>
          <w:rFonts w:eastAsia="黑体"/>
          <w:b w:val="0"/>
          <w:color w:val="auto"/>
          <w:highlight w:val="none"/>
        </w:rPr>
      </w:pPr>
      <w:bookmarkStart w:id="273" w:name="_Toc69199949"/>
      <w:r>
        <w:rPr>
          <w:rFonts w:hint="eastAsia" w:ascii="黑体" w:hAnsi="黑体" w:eastAsia="黑体"/>
          <w:color w:val="auto"/>
          <w:highlight w:val="none"/>
          <w:lang w:eastAsia="zh-CN"/>
        </w:rPr>
        <w:t>√</w:t>
      </w:r>
      <w:r>
        <w:rPr>
          <w:rFonts w:hint="eastAsia" w:eastAsia="黑体"/>
          <w:b w:val="0"/>
          <w:color w:val="auto"/>
          <w:highlight w:val="none"/>
        </w:rPr>
        <w:t>3.</w:t>
      </w:r>
      <w:r>
        <w:rPr>
          <w:rFonts w:hint="eastAsia" w:eastAsia="黑体"/>
          <w:b w:val="0"/>
          <w:color w:val="auto"/>
          <w:highlight w:val="none"/>
          <w:lang w:val="en-US" w:eastAsia="zh-CN"/>
        </w:rPr>
        <w:t>工程费</w:t>
      </w:r>
      <w:r>
        <w:rPr>
          <w:rFonts w:hint="eastAsia" w:eastAsia="黑体"/>
          <w:b w:val="0"/>
          <w:color w:val="auto"/>
          <w:highlight w:val="none"/>
        </w:rPr>
        <w:t>、</w:t>
      </w:r>
      <w:r>
        <w:rPr>
          <w:rFonts w:hint="eastAsia" w:eastAsia="黑体"/>
          <w:b w:val="0"/>
          <w:color w:val="auto"/>
          <w:highlight w:val="none"/>
          <w:lang w:val="en-US" w:eastAsia="zh-CN"/>
        </w:rPr>
        <w:t>其他费</w:t>
      </w:r>
      <w:r>
        <w:rPr>
          <w:rFonts w:hint="eastAsia" w:eastAsia="黑体"/>
          <w:b w:val="0"/>
          <w:color w:val="auto"/>
          <w:highlight w:val="none"/>
        </w:rPr>
        <w:t>、</w:t>
      </w:r>
      <w:r>
        <w:rPr>
          <w:rFonts w:hint="eastAsia" w:eastAsia="黑体"/>
          <w:b w:val="0"/>
          <w:color w:val="auto"/>
          <w:highlight w:val="none"/>
          <w:lang w:val="en-US" w:eastAsia="zh-CN"/>
        </w:rPr>
        <w:t>预备费</w:t>
      </w:r>
      <w:r>
        <w:rPr>
          <w:rFonts w:hint="eastAsia" w:eastAsia="黑体"/>
          <w:b w:val="0"/>
          <w:color w:val="auto"/>
          <w:highlight w:val="none"/>
        </w:rPr>
        <w:t>的内容及格式以招标人在最高投标限价中明确的具体要求为准。</w:t>
      </w:r>
      <w:bookmarkEnd w:id="273"/>
    </w:p>
    <w:p>
      <w:pPr>
        <w:rPr>
          <w:color w:val="auto"/>
          <w:highlight w:val="none"/>
        </w:rPr>
      </w:pPr>
    </w:p>
    <w:p>
      <w:pPr>
        <w:pStyle w:val="7"/>
        <w:keepNext/>
        <w:keepLines/>
        <w:widowControl w:val="0"/>
        <w:jc w:val="left"/>
        <w:rPr>
          <w:rFonts w:eastAsia="黑体"/>
          <w:b w:val="0"/>
          <w:color w:val="auto"/>
          <w:highlight w:val="none"/>
        </w:rPr>
      </w:pPr>
      <w:bookmarkStart w:id="274" w:name="_Toc69199950"/>
      <w:r>
        <w:rPr>
          <w:rFonts w:hint="eastAsia" w:ascii="黑体" w:hAnsi="黑体" w:eastAsia="黑体"/>
          <w:color w:val="auto"/>
          <w:highlight w:val="none"/>
          <w:lang w:eastAsia="zh-CN"/>
        </w:rPr>
        <w:t>√</w:t>
      </w:r>
      <w:r>
        <w:rPr>
          <w:rFonts w:ascii="黑体" w:hAnsi="黑体" w:eastAsia="黑体"/>
          <w:color w:val="auto"/>
          <w:highlight w:val="none"/>
        </w:rPr>
        <w:t>4</w:t>
      </w:r>
      <w:r>
        <w:rPr>
          <w:rFonts w:hint="eastAsia" w:eastAsia="黑体"/>
          <w:b w:val="0"/>
          <w:color w:val="auto"/>
          <w:highlight w:val="none"/>
        </w:rPr>
        <w:t>.其他（由招标人根据项目情况明确具体要求）</w:t>
      </w:r>
      <w:bookmarkEnd w:id="274"/>
    </w:p>
    <w:p>
      <w:pPr>
        <w:rPr>
          <w:rFonts w:hint="eastAsia"/>
          <w:color w:val="auto"/>
          <w:highlight w:val="none"/>
        </w:rPr>
      </w:pPr>
    </w:p>
    <w:p>
      <w:pPr>
        <w:pStyle w:val="7"/>
        <w:numPr>
          <w:ilvl w:val="0"/>
          <w:numId w:val="0"/>
        </w:numPr>
        <w:ind w:firstLine="241" w:firstLineChars="100"/>
        <w:rPr>
          <w:rFonts w:hint="default"/>
          <w:color w:val="auto"/>
          <w:highlight w:val="none"/>
          <w:lang w:val="en-US" w:eastAsia="zh-CN"/>
        </w:rPr>
      </w:pPr>
      <w:r>
        <w:rPr>
          <w:rFonts w:hint="eastAsia"/>
          <w:color w:val="auto"/>
          <w:highlight w:val="none"/>
          <w:lang w:val="en-US" w:eastAsia="zh-CN"/>
        </w:rPr>
        <w:t>投标人对工程费、其他费和预备费进行报价（其中工程费根据招标人提供的概算清单格式报价），并按投标报价汇总表对报价进行汇总</w:t>
      </w:r>
      <w:r>
        <w:rPr>
          <w:rFonts w:hint="default"/>
          <w:color w:val="auto"/>
          <w:highlight w:val="none"/>
          <w:lang w:val="en-US" w:eastAsia="zh-CN"/>
        </w:rPr>
        <w:t>.</w:t>
      </w:r>
    </w:p>
    <w:p>
      <w:pPr>
        <w:pStyle w:val="7"/>
        <w:numPr>
          <w:ilvl w:val="0"/>
          <w:numId w:val="0"/>
        </w:numPr>
        <w:ind w:firstLine="241" w:firstLineChars="100"/>
        <w:rPr>
          <w:rFonts w:hint="eastAsia"/>
          <w:color w:val="auto"/>
          <w:highlight w:val="none"/>
          <w:lang w:val="en-US" w:eastAsia="zh-CN"/>
        </w:rPr>
      </w:pPr>
      <w:r>
        <w:rPr>
          <w:rFonts w:hint="eastAsia"/>
          <w:color w:val="auto"/>
          <w:highlight w:val="none"/>
          <w:lang w:val="en-US" w:eastAsia="zh-CN"/>
        </w:rPr>
        <w:t>投标报价不得超过最高投标限价。</w:t>
      </w:r>
    </w:p>
    <w:p>
      <w:pPr>
        <w:pStyle w:val="7"/>
        <w:numPr>
          <w:ilvl w:val="0"/>
          <w:numId w:val="0"/>
        </w:numPr>
        <w:ind w:firstLine="241" w:firstLineChars="100"/>
        <w:rPr>
          <w:rFonts w:hint="default"/>
          <w:color w:val="auto"/>
          <w:highlight w:val="none"/>
          <w:lang w:val="en-US" w:eastAsia="zh-CN"/>
        </w:rPr>
      </w:pPr>
      <w:r>
        <w:rPr>
          <w:rFonts w:hint="eastAsia"/>
          <w:color w:val="auto"/>
          <w:highlight w:val="none"/>
          <w:lang w:val="en-US" w:eastAsia="zh-CN"/>
        </w:rPr>
        <w:t>预备费为不可竞争费，不得调整。</w:t>
      </w:r>
    </w:p>
    <w:p>
      <w:pPr>
        <w:widowControl/>
        <w:jc w:val="center"/>
        <w:rPr>
          <w:rFonts w:hint="eastAsia" w:ascii="宋体" w:hAnsi="宋体" w:cs="宋体"/>
          <w:color w:val="auto"/>
          <w:sz w:val="24"/>
          <w:highlight w:val="none"/>
          <w:shd w:val="clear" w:color="auto" w:fill="FFFFFF"/>
        </w:rPr>
      </w:pPr>
    </w:p>
    <w:p>
      <w:pPr>
        <w:spacing w:line="360" w:lineRule="auto"/>
        <w:ind w:firstLine="480" w:firstLineChars="200"/>
        <w:rPr>
          <w:rFonts w:hint="eastAsia"/>
          <w:color w:val="auto"/>
          <w:sz w:val="24"/>
          <w:highlight w:val="none"/>
        </w:rPr>
      </w:pPr>
    </w:p>
    <w:p>
      <w:pPr>
        <w:widowControl/>
        <w:rPr>
          <w:color w:val="auto"/>
          <w:highlight w:val="none"/>
        </w:rPr>
      </w:pPr>
      <w:r>
        <w:rPr>
          <w:color w:val="auto"/>
          <w:highlight w:val="none"/>
        </w:rPr>
        <w:br w:type="page"/>
      </w:r>
    </w:p>
    <w:p>
      <w:pPr>
        <w:widowControl/>
        <w:rPr>
          <w:color w:val="auto"/>
          <w:highlight w:val="none"/>
        </w:rPr>
      </w:pPr>
    </w:p>
    <w:p>
      <w:pPr>
        <w:widowControl/>
        <w:rPr>
          <w:color w:val="auto"/>
          <w:highlight w:val="none"/>
        </w:rPr>
      </w:pPr>
    </w:p>
    <w:p>
      <w:pPr>
        <w:widowControl/>
        <w:rPr>
          <w:color w:val="auto"/>
          <w:highlight w:val="none"/>
        </w:rPr>
      </w:pPr>
    </w:p>
    <w:p>
      <w:pPr>
        <w:widowControl/>
        <w:rPr>
          <w:rFonts w:eastAsia="黑体"/>
          <w:color w:val="auto"/>
          <w:szCs w:val="21"/>
          <w:highlight w:val="none"/>
          <w:u w:val="single"/>
        </w:rPr>
      </w:pPr>
    </w:p>
    <w:p>
      <w:pPr>
        <w:rPr>
          <w:rFonts w:eastAsia="黑体"/>
          <w:color w:val="auto"/>
          <w:szCs w:val="21"/>
          <w:highlight w:val="none"/>
          <w:u w:val="singl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pStyle w:val="5"/>
        <w:jc w:val="center"/>
        <w:rPr>
          <w:rFonts w:ascii="Times New Roman" w:hAnsi="Times New Roman" w:eastAsia="黑体"/>
          <w:b w:val="0"/>
          <w:bCs w:val="0"/>
          <w:color w:val="auto"/>
          <w:highlight w:val="none"/>
        </w:rPr>
      </w:pPr>
      <w:bookmarkStart w:id="275" w:name="_Toc69199951"/>
      <w:bookmarkStart w:id="276" w:name="_Toc15075"/>
      <w:r>
        <w:rPr>
          <w:rFonts w:ascii="Times New Roman" w:hAnsi="Times New Roman" w:eastAsia="黑体"/>
          <w:b w:val="0"/>
          <w:bCs w:val="0"/>
          <w:color w:val="auto"/>
          <w:highlight w:val="none"/>
        </w:rPr>
        <w:t>第三</w:t>
      </w:r>
      <w:r>
        <w:rPr>
          <w:rFonts w:hint="eastAsia" w:ascii="Times New Roman" w:hAnsi="Times New Roman" w:eastAsia="黑体"/>
          <w:b w:val="0"/>
          <w:bCs w:val="0"/>
          <w:color w:val="auto"/>
          <w:highlight w:val="none"/>
        </w:rPr>
        <w:t>节</w:t>
      </w:r>
      <w:r>
        <w:rPr>
          <w:rFonts w:ascii="Times New Roman" w:hAnsi="Times New Roman" w:eastAsia="黑体"/>
          <w:b w:val="0"/>
          <w:bCs w:val="0"/>
          <w:color w:val="auto"/>
          <w:highlight w:val="none"/>
        </w:rPr>
        <w:t xml:space="preserve">  </w:t>
      </w:r>
      <w:r>
        <w:rPr>
          <w:rFonts w:hint="eastAsia" w:ascii="Times New Roman" w:hAnsi="Times New Roman" w:eastAsia="黑体"/>
          <w:b w:val="0"/>
          <w:bCs w:val="0"/>
          <w:color w:val="auto"/>
          <w:highlight w:val="none"/>
        </w:rPr>
        <w:t>技术方案</w:t>
      </w:r>
      <w:r>
        <w:rPr>
          <w:rFonts w:ascii="Times New Roman" w:hAnsi="Times New Roman" w:eastAsia="黑体"/>
          <w:b w:val="0"/>
          <w:bCs w:val="0"/>
          <w:color w:val="auto"/>
          <w:highlight w:val="none"/>
        </w:rPr>
        <w:t>格式</w:t>
      </w:r>
      <w:bookmarkEnd w:id="275"/>
      <w:bookmarkEnd w:id="276"/>
    </w:p>
    <w:p>
      <w:pPr>
        <w:pStyle w:val="5"/>
        <w:jc w:val="center"/>
        <w:rPr>
          <w:rFonts w:ascii="Times New Roman" w:hAnsi="Times New Roman" w:eastAsia="黑体"/>
          <w:b w:val="0"/>
          <w:bCs w:val="0"/>
          <w:color w:val="auto"/>
          <w:sz w:val="24"/>
          <w:szCs w:val="24"/>
          <w:highlight w:val="none"/>
        </w:rPr>
      </w:pPr>
      <w:bookmarkStart w:id="277" w:name="_Toc11022"/>
      <w:bookmarkStart w:id="278" w:name="_Toc69199952"/>
      <w:bookmarkStart w:id="279" w:name="_Toc9189381"/>
      <w:bookmarkStart w:id="280" w:name="_Toc303865023"/>
      <w:r>
        <w:rPr>
          <w:rFonts w:ascii="Times New Roman" w:hAnsi="Times New Roman" w:eastAsia="黑体"/>
          <w:b w:val="0"/>
          <w:bCs w:val="0"/>
          <w:color w:val="auto"/>
          <w:sz w:val="24"/>
          <w:szCs w:val="24"/>
          <w:highlight w:val="none"/>
        </w:rPr>
        <w:t>（暗标）</w:t>
      </w:r>
      <w:bookmarkEnd w:id="277"/>
      <w:bookmarkEnd w:id="278"/>
      <w:bookmarkEnd w:id="279"/>
      <w:bookmarkEnd w:id="280"/>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p>
    <w:p>
      <w:pPr>
        <w:adjustRightInd w:val="0"/>
        <w:snapToGrid w:val="0"/>
        <w:spacing w:line="360" w:lineRule="auto"/>
        <w:ind w:firstLine="560" w:firstLineChars="200"/>
        <w:jc w:val="center"/>
        <w:rPr>
          <w:rFonts w:eastAsia="黑体"/>
          <w:color w:val="auto"/>
          <w:sz w:val="28"/>
          <w:szCs w:val="28"/>
          <w:highlight w:val="none"/>
        </w:rPr>
      </w:pPr>
      <w:r>
        <w:rPr>
          <w:rFonts w:eastAsia="黑体"/>
          <w:color w:val="auto"/>
          <w:sz w:val="28"/>
          <w:szCs w:val="28"/>
          <w:highlight w:val="none"/>
        </w:rPr>
        <w:br w:type="page"/>
      </w:r>
      <w:r>
        <w:rPr>
          <w:rFonts w:hint="eastAsia" w:eastAsia="黑体"/>
          <w:color w:val="auto"/>
          <w:sz w:val="28"/>
          <w:szCs w:val="28"/>
          <w:highlight w:val="none"/>
        </w:rPr>
        <w:t>技术方案</w:t>
      </w:r>
      <w:r>
        <w:rPr>
          <w:rFonts w:eastAsia="黑体"/>
          <w:color w:val="auto"/>
          <w:sz w:val="28"/>
          <w:szCs w:val="28"/>
          <w:highlight w:val="none"/>
        </w:rPr>
        <w:t>编制要求</w:t>
      </w:r>
    </w:p>
    <w:p>
      <w:pPr>
        <w:spacing w:line="360" w:lineRule="auto"/>
        <w:rPr>
          <w:bCs/>
          <w:color w:val="auto"/>
          <w:highlight w:val="none"/>
          <w:u w:val="single"/>
        </w:rPr>
      </w:pPr>
    </w:p>
    <w:p>
      <w:pPr>
        <w:spacing w:line="360" w:lineRule="auto"/>
        <w:ind w:firstLine="420" w:firstLineChars="200"/>
        <w:rPr>
          <w:color w:val="auto"/>
          <w:highlight w:val="none"/>
        </w:rPr>
      </w:pPr>
      <w:r>
        <w:rPr>
          <w:rFonts w:hint="eastAsia"/>
          <w:color w:val="auto"/>
          <w:highlight w:val="none"/>
        </w:rPr>
        <w:t>一、本项目技术方案</w:t>
      </w:r>
      <w:r>
        <w:rPr>
          <w:color w:val="auto"/>
          <w:highlight w:val="none"/>
        </w:rPr>
        <w:t>采用</w:t>
      </w:r>
      <w:r>
        <w:rPr>
          <w:rFonts w:hint="eastAsia"/>
          <w:color w:val="auto"/>
          <w:highlight w:val="none"/>
        </w:rPr>
        <w:t>暗</w:t>
      </w:r>
      <w:r>
        <w:rPr>
          <w:color w:val="auto"/>
          <w:highlight w:val="none"/>
        </w:rPr>
        <w:t>标方式评审，</w:t>
      </w:r>
      <w:r>
        <w:rPr>
          <w:color w:val="auto"/>
          <w:szCs w:val="21"/>
          <w:highlight w:val="none"/>
        </w:rPr>
        <w:t>投标人应</w:t>
      </w:r>
      <w:r>
        <w:rPr>
          <w:rFonts w:hint="eastAsia"/>
          <w:color w:val="auto"/>
          <w:szCs w:val="21"/>
          <w:highlight w:val="none"/>
        </w:rPr>
        <w:t>按招标文件</w:t>
      </w:r>
      <w:r>
        <w:rPr>
          <w:color w:val="auto"/>
          <w:highlight w:val="none"/>
        </w:rPr>
        <w:t>规定的评审内容编制</w:t>
      </w:r>
      <w:r>
        <w:rPr>
          <w:rFonts w:hint="eastAsia"/>
          <w:color w:val="auto"/>
          <w:highlight w:val="none"/>
        </w:rPr>
        <w:t>技术方案，具体包括下列内容（按此顺序）：</w:t>
      </w:r>
    </w:p>
    <w:p>
      <w:pPr>
        <w:spacing w:line="360" w:lineRule="auto"/>
        <w:ind w:firstLine="420" w:firstLineChars="200"/>
        <w:rPr>
          <w:rFonts w:hint="eastAsia"/>
          <w:color w:val="auto"/>
          <w:highlight w:val="none"/>
        </w:rPr>
      </w:pPr>
      <w:r>
        <w:rPr>
          <w:rFonts w:hint="eastAsia"/>
          <w:color w:val="auto"/>
          <w:highlight w:val="none"/>
        </w:rPr>
        <w:t>目录</w:t>
      </w:r>
    </w:p>
    <w:p>
      <w:pPr>
        <w:spacing w:line="360" w:lineRule="auto"/>
        <w:ind w:firstLine="420" w:firstLineChars="200"/>
        <w:rPr>
          <w:rFonts w:hint="eastAsia"/>
          <w:color w:val="auto"/>
          <w:highlight w:val="none"/>
        </w:rPr>
      </w:pPr>
      <w:r>
        <w:rPr>
          <w:rFonts w:hint="eastAsia"/>
          <w:color w:val="auto"/>
          <w:highlight w:val="none"/>
        </w:rPr>
        <w:t xml:space="preserve">1、总承包方案 </w:t>
      </w:r>
    </w:p>
    <w:p>
      <w:pPr>
        <w:spacing w:line="360" w:lineRule="auto"/>
        <w:ind w:firstLine="630" w:firstLineChars="300"/>
        <w:rPr>
          <w:rFonts w:hint="eastAsia"/>
          <w:color w:val="auto"/>
          <w:highlight w:val="none"/>
        </w:rPr>
      </w:pPr>
      <w:r>
        <w:rPr>
          <w:rFonts w:hint="eastAsia"/>
          <w:color w:val="auto"/>
          <w:highlight w:val="none"/>
        </w:rPr>
        <w:t xml:space="preserve">1.1总承包管理方案及措施 </w:t>
      </w:r>
    </w:p>
    <w:p>
      <w:pPr>
        <w:spacing w:line="360" w:lineRule="auto"/>
        <w:ind w:firstLine="630" w:firstLineChars="300"/>
        <w:rPr>
          <w:rFonts w:hint="eastAsia"/>
          <w:color w:val="auto"/>
          <w:highlight w:val="none"/>
        </w:rPr>
      </w:pPr>
      <w:r>
        <w:rPr>
          <w:rFonts w:hint="eastAsia"/>
          <w:color w:val="auto"/>
          <w:highlight w:val="none"/>
        </w:rPr>
        <w:t xml:space="preserve">1.2总承包管理重点、难点分析 </w:t>
      </w:r>
    </w:p>
    <w:p>
      <w:pPr>
        <w:spacing w:line="360" w:lineRule="auto"/>
        <w:ind w:firstLine="420" w:firstLineChars="200"/>
        <w:rPr>
          <w:rFonts w:hint="eastAsia"/>
          <w:color w:val="auto"/>
          <w:highlight w:val="none"/>
        </w:rPr>
      </w:pPr>
      <w:r>
        <w:rPr>
          <w:rFonts w:hint="eastAsia"/>
          <w:color w:val="auto"/>
          <w:highlight w:val="none"/>
        </w:rPr>
        <w:t xml:space="preserve">2、设计方案 </w:t>
      </w:r>
    </w:p>
    <w:p>
      <w:pPr>
        <w:spacing w:line="360" w:lineRule="auto"/>
        <w:ind w:firstLine="630" w:firstLineChars="300"/>
        <w:rPr>
          <w:rFonts w:hint="eastAsia"/>
          <w:color w:val="auto"/>
          <w:highlight w:val="none"/>
        </w:rPr>
      </w:pPr>
      <w:r>
        <w:rPr>
          <w:rFonts w:hint="eastAsia"/>
          <w:color w:val="auto"/>
          <w:highlight w:val="none"/>
        </w:rPr>
        <w:t xml:space="preserve">2.1设计说明  </w:t>
      </w:r>
    </w:p>
    <w:p>
      <w:pPr>
        <w:spacing w:line="360" w:lineRule="auto"/>
        <w:ind w:firstLine="630" w:firstLineChars="300"/>
        <w:rPr>
          <w:rFonts w:hint="eastAsia"/>
          <w:color w:val="auto"/>
          <w:highlight w:val="none"/>
        </w:rPr>
      </w:pPr>
      <w:r>
        <w:rPr>
          <w:rFonts w:hint="eastAsia"/>
          <w:color w:val="auto"/>
          <w:highlight w:val="none"/>
        </w:rPr>
        <w:t xml:space="preserve">2.2优化设计 </w:t>
      </w:r>
    </w:p>
    <w:p>
      <w:pPr>
        <w:spacing w:line="360" w:lineRule="auto"/>
        <w:ind w:firstLine="210" w:firstLineChars="100"/>
        <w:rPr>
          <w:rFonts w:hint="eastAsia"/>
          <w:color w:val="auto"/>
          <w:highlight w:val="none"/>
        </w:rPr>
      </w:pPr>
      <w:r>
        <w:rPr>
          <w:rFonts w:hint="eastAsia"/>
          <w:color w:val="auto"/>
          <w:highlight w:val="none"/>
        </w:rPr>
        <w:t xml:space="preserve"> 3、施工组织设计 </w:t>
      </w:r>
    </w:p>
    <w:p>
      <w:pPr>
        <w:spacing w:line="360" w:lineRule="auto"/>
        <w:ind w:firstLine="630" w:firstLineChars="300"/>
        <w:rPr>
          <w:rFonts w:hint="eastAsia"/>
          <w:color w:val="auto"/>
          <w:highlight w:val="none"/>
        </w:rPr>
      </w:pPr>
      <w:r>
        <w:rPr>
          <w:rFonts w:hint="eastAsia"/>
          <w:color w:val="auto"/>
          <w:highlight w:val="none"/>
        </w:rPr>
        <w:t xml:space="preserve">3.1施工方案与技术措施 </w:t>
      </w:r>
    </w:p>
    <w:p>
      <w:pPr>
        <w:spacing w:line="360" w:lineRule="auto"/>
        <w:ind w:firstLine="630" w:firstLineChars="300"/>
        <w:rPr>
          <w:rFonts w:hint="eastAsia"/>
          <w:color w:val="auto"/>
          <w:highlight w:val="none"/>
        </w:rPr>
      </w:pPr>
      <w:r>
        <w:rPr>
          <w:rFonts w:hint="eastAsia"/>
          <w:color w:val="auto"/>
          <w:highlight w:val="none"/>
        </w:rPr>
        <w:t xml:space="preserve">3.2质量管理体系与措施 </w:t>
      </w:r>
    </w:p>
    <w:p>
      <w:pPr>
        <w:spacing w:line="360" w:lineRule="auto"/>
        <w:ind w:firstLine="630" w:firstLineChars="300"/>
        <w:rPr>
          <w:rFonts w:hint="eastAsia"/>
          <w:color w:val="auto"/>
          <w:highlight w:val="none"/>
        </w:rPr>
      </w:pPr>
      <w:r>
        <w:rPr>
          <w:rFonts w:hint="eastAsia"/>
          <w:color w:val="auto"/>
          <w:highlight w:val="none"/>
        </w:rPr>
        <w:t xml:space="preserve">3.3安全管理体系与措施 </w:t>
      </w:r>
    </w:p>
    <w:p>
      <w:pPr>
        <w:spacing w:line="360" w:lineRule="auto"/>
        <w:ind w:firstLine="630" w:firstLineChars="300"/>
        <w:rPr>
          <w:rFonts w:hint="eastAsia"/>
          <w:color w:val="auto"/>
          <w:highlight w:val="none"/>
        </w:rPr>
      </w:pPr>
      <w:r>
        <w:rPr>
          <w:rFonts w:hint="eastAsia"/>
          <w:color w:val="auto"/>
          <w:highlight w:val="none"/>
        </w:rPr>
        <w:t xml:space="preserve">3.4环境保护管理体系与措施 </w:t>
      </w:r>
    </w:p>
    <w:p>
      <w:pPr>
        <w:spacing w:line="360" w:lineRule="auto"/>
        <w:ind w:firstLine="630" w:firstLineChars="300"/>
        <w:rPr>
          <w:rFonts w:hint="eastAsia"/>
          <w:color w:val="auto"/>
          <w:highlight w:val="none"/>
        </w:rPr>
      </w:pPr>
      <w:r>
        <w:rPr>
          <w:rFonts w:hint="eastAsia"/>
          <w:color w:val="auto"/>
          <w:highlight w:val="none"/>
        </w:rPr>
        <w:t xml:space="preserve">3.5工程进度计划与保证措施 </w:t>
      </w:r>
    </w:p>
    <w:p>
      <w:pPr>
        <w:spacing w:line="360" w:lineRule="auto"/>
        <w:ind w:firstLine="630" w:firstLineChars="300"/>
        <w:rPr>
          <w:rFonts w:hint="eastAsia"/>
          <w:color w:val="auto"/>
          <w:highlight w:val="none"/>
        </w:rPr>
      </w:pPr>
      <w:r>
        <w:rPr>
          <w:rFonts w:hint="eastAsia"/>
          <w:color w:val="auto"/>
          <w:highlight w:val="none"/>
        </w:rPr>
        <w:t xml:space="preserve">3.6资源配备计划  </w:t>
      </w:r>
    </w:p>
    <w:p>
      <w:pPr>
        <w:spacing w:line="360" w:lineRule="auto"/>
        <w:ind w:firstLine="420" w:firstLineChars="200"/>
        <w:rPr>
          <w:rFonts w:hint="eastAsia"/>
          <w:color w:val="auto"/>
          <w:highlight w:val="none"/>
        </w:rPr>
      </w:pPr>
      <w:r>
        <w:rPr>
          <w:rFonts w:hint="eastAsia"/>
          <w:color w:val="auto"/>
          <w:highlight w:val="none"/>
        </w:rPr>
        <w:t>注：技术方案包括的内容由招标人在编制招标文件时根据评审内容编写。</w:t>
      </w:r>
    </w:p>
    <w:p>
      <w:pPr>
        <w:spacing w:line="360" w:lineRule="auto"/>
        <w:rPr>
          <w:color w:val="auto"/>
          <w:highlight w:val="none"/>
        </w:rPr>
      </w:pPr>
      <w:r>
        <w:rPr>
          <w:rFonts w:hint="eastAsia"/>
          <w:color w:val="auto"/>
          <w:highlight w:val="none"/>
        </w:rPr>
        <w:t xml:space="preserve">    二、技术方案（暗标）制作要求</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highlight w:val="none"/>
        </w:rPr>
        <w:t>1、技术方案</w:t>
      </w:r>
      <w:r>
        <w:rPr>
          <w:rFonts w:hint="eastAsia" w:ascii="宋体" w:hAnsi="宋体"/>
          <w:color w:val="auto"/>
          <w:szCs w:val="21"/>
          <w:highlight w:val="none"/>
        </w:rPr>
        <w:t>统一采用仿宋字体，除图纸内、表格内、框图内文字、数字采用仿宋字体（字的大小不作要求）外，其它文字、数字均采用</w:t>
      </w:r>
      <w:r>
        <w:rPr>
          <w:rFonts w:ascii="宋体" w:hAnsi="宋体"/>
          <w:color w:val="auto"/>
          <w:szCs w:val="21"/>
          <w:highlight w:val="none"/>
        </w:rPr>
        <w:t xml:space="preserve"> 4 </w:t>
      </w:r>
      <w:r>
        <w:rPr>
          <w:rFonts w:hint="eastAsia" w:ascii="宋体" w:hAnsi="宋体"/>
          <w:color w:val="auto"/>
          <w:szCs w:val="21"/>
          <w:highlight w:val="none"/>
        </w:rPr>
        <w:t>号仿宋字体，全套投标技术方案文件不得存在空白页，绘图部分不得设图签。</w:t>
      </w:r>
    </w:p>
    <w:p>
      <w:pPr>
        <w:snapToGrid w:val="0"/>
        <w:spacing w:line="360" w:lineRule="auto"/>
        <w:ind w:firstLine="420" w:firstLineChars="200"/>
        <w:jc w:val="left"/>
        <w:rPr>
          <w:rFonts w:ascii="宋体" w:hAnsi="宋体"/>
          <w:color w:val="auto"/>
          <w:highlight w:val="none"/>
        </w:rPr>
      </w:pPr>
      <w:r>
        <w:rPr>
          <w:rFonts w:ascii="宋体" w:hAnsi="宋体"/>
          <w:color w:val="auto"/>
          <w:highlight w:val="none"/>
        </w:rPr>
        <w:t>2</w:t>
      </w:r>
      <w:r>
        <w:rPr>
          <w:rFonts w:hint="eastAsia" w:ascii="宋体" w:hAnsi="宋体"/>
          <w:color w:val="auto"/>
          <w:highlight w:val="none"/>
        </w:rPr>
        <w:t>、</w:t>
      </w:r>
      <w:r>
        <w:rPr>
          <w:rFonts w:ascii="宋体" w:hAnsi="宋体"/>
          <w:color w:val="auto"/>
          <w:highlight w:val="none"/>
        </w:rPr>
        <w:t>应在“</w:t>
      </w:r>
      <w:r>
        <w:rPr>
          <w:rFonts w:hint="eastAsia" w:ascii="宋体" w:hAnsi="宋体"/>
          <w:color w:val="auto"/>
          <w:highlight w:val="none"/>
        </w:rPr>
        <w:t>技术方案</w:t>
      </w:r>
      <w:r>
        <w:rPr>
          <w:rFonts w:ascii="宋体" w:hAnsi="宋体"/>
          <w:color w:val="auto"/>
          <w:highlight w:val="none"/>
        </w:rPr>
        <w:t>暗标”页签中导入电子招标文件生成相关评审模块的目录，并在评审模块目录中导入相关文件。</w:t>
      </w:r>
    </w:p>
    <w:p>
      <w:pPr>
        <w:spacing w:line="360" w:lineRule="auto"/>
        <w:ind w:firstLine="420" w:firstLineChars="200"/>
        <w:rPr>
          <w:color w:val="auto"/>
          <w:szCs w:val="21"/>
          <w:highlight w:val="none"/>
        </w:rPr>
      </w:pPr>
      <w:r>
        <w:rPr>
          <w:rFonts w:ascii="宋体" w:hAnsi="宋体"/>
          <w:color w:val="auto"/>
          <w:highlight w:val="none"/>
        </w:rPr>
        <w:t>3</w:t>
      </w:r>
      <w:r>
        <w:rPr>
          <w:rFonts w:hint="eastAsia" w:ascii="宋体" w:hAnsi="宋体"/>
          <w:color w:val="auto"/>
          <w:highlight w:val="none"/>
        </w:rPr>
        <w:t>、</w:t>
      </w:r>
      <w:r>
        <w:rPr>
          <w:rFonts w:ascii="宋体" w:hAnsi="宋体"/>
          <w:color w:val="auto"/>
          <w:highlight w:val="none"/>
        </w:rPr>
        <w:t>编制“</w:t>
      </w:r>
      <w:r>
        <w:rPr>
          <w:rFonts w:hint="eastAsia" w:ascii="宋体" w:hAnsi="宋体"/>
          <w:color w:val="auto"/>
          <w:highlight w:val="none"/>
        </w:rPr>
        <w:t>技术方案</w:t>
      </w:r>
      <w:r>
        <w:rPr>
          <w:rFonts w:ascii="宋体" w:hAnsi="宋体"/>
          <w:color w:val="auto"/>
          <w:highlight w:val="none"/>
        </w:rPr>
        <w:t>暗标”评审模块的文件时，</w:t>
      </w:r>
      <w:r>
        <w:rPr>
          <w:rFonts w:hint="eastAsia" w:ascii="宋体" w:hAnsi="宋体"/>
          <w:color w:val="auto"/>
          <w:highlight w:val="none"/>
        </w:rPr>
        <w:t>需</w:t>
      </w:r>
      <w:r>
        <w:rPr>
          <w:rFonts w:ascii="宋体" w:hAnsi="宋体"/>
          <w:color w:val="auto"/>
          <w:highlight w:val="none"/>
        </w:rPr>
        <w:t>生成连续的页码。</w:t>
      </w:r>
    </w:p>
    <w:p>
      <w:pPr>
        <w:snapToGrid w:val="0"/>
        <w:spacing w:line="360" w:lineRule="auto"/>
        <w:ind w:firstLine="420" w:firstLineChars="200"/>
        <w:jc w:val="left"/>
        <w:rPr>
          <w:rFonts w:ascii="宋体" w:hAnsi="宋体"/>
          <w:color w:val="auto"/>
          <w:highlight w:val="none"/>
        </w:rPr>
      </w:pPr>
    </w:p>
    <w:p>
      <w:pPr>
        <w:pStyle w:val="5"/>
        <w:spacing w:before="0" w:after="0"/>
        <w:jc w:val="center"/>
        <w:outlineLvl w:val="9"/>
        <w:rPr>
          <w:rFonts w:ascii="Times New Roman" w:hAnsi="Times New Roman"/>
          <w:b w:val="0"/>
          <w:color w:val="auto"/>
          <w:szCs w:val="21"/>
          <w:highlight w:val="none"/>
        </w:rPr>
      </w:pPr>
    </w:p>
    <w:sectPr>
      <w:footerReference r:id="rId15" w:type="default"/>
      <w:pgSz w:w="11907" w:h="16840"/>
      <w:pgMar w:top="1020" w:right="1020" w:bottom="1020" w:left="1020" w:header="851" w:footer="850"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7CBC3A-9E5F-4997-BA7D-34B460B43AFB}"/>
  </w:font>
  <w:font w:name="黑体">
    <w:panose1 w:val="02010609060101010101"/>
    <w:charset w:val="86"/>
    <w:family w:val="auto"/>
    <w:pitch w:val="default"/>
    <w:sig w:usb0="800002BF" w:usb1="38CF7CFA" w:usb2="00000016" w:usb3="00000000" w:csb0="00040001" w:csb1="00000000"/>
    <w:embedRegular r:id="rId2" w:fontKey="{5FBBB167-3BDE-44CD-8EE3-C16DE6D273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0599E2-DF8C-4F6B-9EC9-452CFFBB92F2}"/>
  </w:font>
  <w:font w:name="Cambria">
    <w:panose1 w:val="02040503050406030204"/>
    <w:charset w:val="00"/>
    <w:family w:val="roman"/>
    <w:pitch w:val="default"/>
    <w:sig w:usb0="E00006FF" w:usb1="420024FF" w:usb2="02000000" w:usb3="00000000" w:csb0="2000019F" w:csb1="00000000"/>
    <w:embedRegular r:id="rId4" w:fontKey="{57ED49FB-83DE-405F-AEA8-A322BA17F18D}"/>
  </w:font>
  <w:font w:name="仿宋_GB2312">
    <w:panose1 w:val="02010609030101010101"/>
    <w:charset w:val="86"/>
    <w:family w:val="modern"/>
    <w:pitch w:val="default"/>
    <w:sig w:usb0="00000001" w:usb1="080E0000" w:usb2="00000000" w:usb3="00000000" w:csb0="00040000" w:csb1="00000000"/>
    <w:embedRegular r:id="rId5" w:fontKey="{B8F83CCE-D72E-470F-85CC-7D253C74E6C0}"/>
  </w:font>
  <w:font w:name="MS Sans Serif">
    <w:altName w:val="Segoe Print"/>
    <w:panose1 w:val="000000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CG Times">
    <w:altName w:val="Times New Roman"/>
    <w:panose1 w:val="02020603050405020304"/>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PMingLiU-ExtB"/>
    <w:panose1 w:val="02020509000000000000"/>
    <w:charset w:val="88"/>
    <w:family w:val="modern"/>
    <w:pitch w:val="default"/>
    <w:sig w:usb0="00000000" w:usb1="00000000" w:usb2="00000016"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FZShuSong-Z01">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auto"/>
    <w:pitch w:val="default"/>
    <w:sig w:usb0="00000000" w:usb1="00000000" w:usb2="00000000" w:usb3="00000000" w:csb0="80000000" w:csb1="00000000"/>
    <w:embedRegular r:id="rId6" w:fontKey="{78E8369D-6876-487C-A5C6-D1EBBCA3D1D3}"/>
  </w:font>
  <w:font w:name="楷体_GB2312">
    <w:altName w:val="楷体"/>
    <w:panose1 w:val="02010609030101010101"/>
    <w:charset w:val="86"/>
    <w:family w:val="modern"/>
    <w:pitch w:val="default"/>
    <w:sig w:usb0="00000000" w:usb1="00000000" w:usb2="00000000" w:usb3="00000000" w:csb0="00040000" w:csb1="00000000"/>
    <w:embedRegular r:id="rId7" w:fontKey="{B1027DCE-1855-4C20-A74C-3FA26D66433C}"/>
  </w:font>
  <w:font w:name="方正小标宋简体">
    <w:altName w:val="黑体"/>
    <w:panose1 w:val="03000509000000000000"/>
    <w:charset w:val="86"/>
    <w:family w:val="auto"/>
    <w:pitch w:val="default"/>
    <w:sig w:usb0="00000000" w:usb1="00000000" w:usb2="00000000" w:usb3="00000000" w:csb0="00040000" w:csb1="00000000"/>
    <w:embedRegular r:id="rId8" w:fontKey="{58ADEDBD-F92D-418E-B74F-BDBE9070A9A2}"/>
  </w:font>
  <w:font w:name="楷体">
    <w:panose1 w:val="02010609060101010101"/>
    <w:charset w:val="86"/>
    <w:family w:val="auto"/>
    <w:pitch w:val="default"/>
    <w:sig w:usb0="800002BF" w:usb1="38CF7CFA" w:usb2="00000016" w:usb3="00000000" w:csb0="00040001" w:csb1="00000000"/>
    <w:embedRegular r:id="rId9" w:fontKey="{C68E71B8-C556-486F-B656-C3BA2F12BB24}"/>
  </w:font>
  <w:font w:name="仿宋">
    <w:panose1 w:val="02010609060101010101"/>
    <w:charset w:val="86"/>
    <w:family w:val="auto"/>
    <w:pitch w:val="default"/>
    <w:sig w:usb0="800002BF" w:usb1="38CF7CFA" w:usb2="00000016" w:usb3="00000000" w:csb0="00040001" w:csb1="00000000"/>
    <w:embedRegular r:id="rId10" w:fontKey="{C1A7DD8A-7549-44C5-A629-A7B6494839D5}"/>
  </w:font>
  <w:font w:name="方正小标宋_GBK">
    <w:panose1 w:val="02000000000000000000"/>
    <w:charset w:val="86"/>
    <w:family w:val="script"/>
    <w:pitch w:val="default"/>
    <w:sig w:usb0="A00002BF" w:usb1="38CF7CFA" w:usb2="00082016" w:usb3="00000000" w:csb0="00040001" w:csb1="00000000"/>
    <w:embedRegular r:id="rId11" w:fontKey="{EAAB05AD-C373-4D22-92EC-726B6B10D740}"/>
  </w:font>
  <w:font w:name="新宋体">
    <w:panose1 w:val="02010609030101010101"/>
    <w:charset w:val="86"/>
    <w:family w:val="modern"/>
    <w:pitch w:val="default"/>
    <w:sig w:usb0="00000203" w:usb1="288F0000" w:usb2="00000006" w:usb3="00000000" w:csb0="00040001" w:csb1="00000000"/>
    <w:embedRegular r:id="rId12" w:fontKey="{26D9CBA5-FB9F-4E38-AE1C-E4222AC7D6C6}"/>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29</w:t>
    </w:r>
    <w:r>
      <w:rPr>
        <w:rFonts w:ascii="宋体" w:hAnsi="宋体"/>
        <w:sz w:val="28"/>
        <w:szCs w:val="2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eastAsia" w:ascii="宋体" w:hAnsi="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宋体" w:hAnsi="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51"/>
      </w:rPr>
    </w:pPr>
    <w:r>
      <w:fldChar w:fldCharType="begin"/>
    </w:r>
    <w:r>
      <w:rPr>
        <w:rStyle w:val="51"/>
      </w:rPr>
      <w:instrText xml:space="preserve">PAGE  </w:instrText>
    </w:r>
    <w:r>
      <w:fldChar w:fldCharType="separate"/>
    </w:r>
    <w:r>
      <w:rPr>
        <w:rStyle w:val="51"/>
      </w:rPr>
      <w:t>368</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213"/>
        <w:tab w:val="left" w:pos="7590"/>
      </w:tabs>
      <w:jc w:val="left"/>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67008718"/>
                            <w:docPartObj>
                              <w:docPartGallery w:val="autotext"/>
                            </w:docPartObj>
                          </w:sdtPr>
                          <w:sdtEndPr>
                            <w:rPr>
                              <w:rFonts w:hint="eastAsia" w:ascii="仿宋" w:hAnsi="仿宋" w:eastAsia="仿宋" w:cs="仿宋"/>
                              <w:sz w:val="28"/>
                              <w:szCs w:val="28"/>
                            </w:rPr>
                          </w:sdtEndPr>
                          <w:sdtContent>
                            <w:p>
                              <w:pPr>
                                <w:pStyle w:val="30"/>
                                <w:jc w:val="cente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PAGE   \* MERGEFORMAT</w:instrText>
                              </w:r>
                              <w:r>
                                <w:rPr>
                                  <w:rFonts w:hint="eastAsia" w:ascii="仿宋" w:hAnsi="仿宋" w:eastAsia="仿宋" w:cs="仿宋"/>
                                  <w:sz w:val="28"/>
                                  <w:szCs w:val="28"/>
                                </w:rPr>
                                <w:fldChar w:fldCharType="separate"/>
                              </w:r>
                              <w:r>
                                <w:rPr>
                                  <w:rFonts w:hint="eastAsia" w:ascii="仿宋" w:hAnsi="仿宋" w:eastAsia="仿宋" w:cs="仿宋"/>
                                  <w:sz w:val="28"/>
                                  <w:szCs w:val="28"/>
                                  <w:lang w:val="zh-CN"/>
                                </w:rPr>
                                <w:t>2</w:t>
                              </w:r>
                              <w:r>
                                <w:rPr>
                                  <w:rFonts w:hint="eastAsia" w:ascii="仿宋" w:hAnsi="仿宋" w:eastAsia="仿宋" w:cs="仿宋"/>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967008718"/>
                      <w:docPartObj>
                        <w:docPartGallery w:val="autotext"/>
                      </w:docPartObj>
                    </w:sdtPr>
                    <w:sdtEndPr>
                      <w:rPr>
                        <w:rFonts w:hint="eastAsia" w:ascii="仿宋" w:hAnsi="仿宋" w:eastAsia="仿宋" w:cs="仿宋"/>
                        <w:sz w:val="28"/>
                        <w:szCs w:val="28"/>
                      </w:rPr>
                    </w:sdtEndPr>
                    <w:sdtContent>
                      <w:p>
                        <w:pPr>
                          <w:pStyle w:val="30"/>
                          <w:jc w:val="cente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PAGE   \* MERGEFORMAT</w:instrText>
                        </w:r>
                        <w:r>
                          <w:rPr>
                            <w:rFonts w:hint="eastAsia" w:ascii="仿宋" w:hAnsi="仿宋" w:eastAsia="仿宋" w:cs="仿宋"/>
                            <w:sz w:val="28"/>
                            <w:szCs w:val="28"/>
                          </w:rPr>
                          <w:fldChar w:fldCharType="separate"/>
                        </w:r>
                        <w:r>
                          <w:rPr>
                            <w:rFonts w:hint="eastAsia" w:ascii="仿宋" w:hAnsi="仿宋" w:eastAsia="仿宋" w:cs="仿宋"/>
                            <w:sz w:val="28"/>
                            <w:szCs w:val="28"/>
                            <w:lang w:val="zh-CN"/>
                          </w:rPr>
                          <w:t>2</w:t>
                        </w:r>
                        <w:r>
                          <w:rPr>
                            <w:rFonts w:hint="eastAsia" w:ascii="仿宋" w:hAnsi="仿宋" w:eastAsia="仿宋" w:cs="仿宋"/>
                            <w:sz w:val="28"/>
                            <w:szCs w:val="28"/>
                          </w:rPr>
                          <w:fldChar w:fldCharType="end"/>
                        </w:r>
                      </w:p>
                    </w:sdtContent>
                  </w:sdt>
                  <w:p/>
                </w:txbxContent>
              </v:textbox>
            </v:shape>
          </w:pict>
        </mc:Fallback>
      </mc:AlternateContent>
    </w:r>
    <w:r>
      <w:rPr>
        <w:rFonts w:hint="eastAsia"/>
        <w:sz w:val="18"/>
        <w:lang w:eastAsia="zh-CN"/>
      </w:rPr>
      <w:tab/>
    </w:r>
    <w:r>
      <w:rPr>
        <w:rFonts w:hint="eastAsia"/>
        <w:lang w:eastAsia="zh-CN"/>
      </w:rPr>
      <w:tab/>
    </w:r>
  </w:p>
  <w:p>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eastAsia" w:ascii="宋体" w:hAnsi="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AEEA0"/>
    <w:multiLevelType w:val="multilevel"/>
    <w:tmpl w:val="9D1AEEA0"/>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7D41E23"/>
    <w:multiLevelType w:val="multilevel"/>
    <w:tmpl w:val="D7D41E23"/>
    <w:lvl w:ilvl="0" w:tentative="0">
      <w:start w:val="8"/>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1E967D5"/>
    <w:multiLevelType w:val="multilevel"/>
    <w:tmpl w:val="01E967D5"/>
    <w:lvl w:ilvl="0" w:tentative="0">
      <w:start w:val="1"/>
      <w:numFmt w:val="chineseCountingThousand"/>
      <w:pStyle w:val="244"/>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28D9536E"/>
    <w:multiLevelType w:val="multilevel"/>
    <w:tmpl w:val="28D9536E"/>
    <w:lvl w:ilvl="0" w:tentative="0">
      <w:start w:val="1"/>
      <w:numFmt w:val="upperLetter"/>
      <w:pStyle w:val="186"/>
      <w:lvlText w:val="(%1)"/>
      <w:lvlJc w:val="left"/>
      <w:pPr>
        <w:tabs>
          <w:tab w:val="left" w:pos="624"/>
        </w:tabs>
        <w:ind w:left="624" w:hanging="624"/>
      </w:pPr>
    </w:lvl>
    <w:lvl w:ilvl="1" w:tentative="0">
      <w:start w:val="1"/>
      <w:numFmt w:val="upperLetter"/>
      <w:pStyle w:val="229"/>
      <w:lvlText w:val="(%2)"/>
      <w:lvlJc w:val="left"/>
      <w:pPr>
        <w:tabs>
          <w:tab w:val="left" w:pos="1417"/>
        </w:tabs>
        <w:ind w:left="1417" w:hanging="793"/>
      </w:pPr>
    </w:lvl>
    <w:lvl w:ilvl="2" w:tentative="0">
      <w:start w:val="1"/>
      <w:numFmt w:val="upperLetter"/>
      <w:pStyle w:val="269"/>
      <w:lvlText w:val="(%3)"/>
      <w:lvlJc w:val="left"/>
      <w:pPr>
        <w:tabs>
          <w:tab w:val="left" w:pos="1928"/>
        </w:tabs>
        <w:ind w:left="1928" w:hanging="511"/>
      </w:pPr>
    </w:lvl>
    <w:lvl w:ilvl="3" w:tentative="0">
      <w:start w:val="1"/>
      <w:numFmt w:val="lowerLetter"/>
      <w:lvlText w:val="(%4)"/>
      <w:lvlJc w:val="left"/>
      <w:pPr>
        <w:tabs>
          <w:tab w:val="left" w:pos="1928"/>
        </w:tabs>
        <w:ind w:left="1928" w:hanging="511"/>
      </w:pPr>
    </w:lvl>
    <w:lvl w:ilvl="4" w:tentative="0">
      <w:start w:val="1"/>
      <w:numFmt w:val="lowerRoman"/>
      <w:lvlText w:val="(%5)"/>
      <w:lvlJc w:val="left"/>
      <w:pPr>
        <w:tabs>
          <w:tab w:val="left" w:pos="2438"/>
        </w:tabs>
        <w:ind w:left="2438" w:hanging="510"/>
      </w:pPr>
    </w:lvl>
    <w:lvl w:ilvl="5" w:tentative="0">
      <w:start w:val="1"/>
      <w:numFmt w:val="decimal"/>
      <w:lvlText w:val="(%6)"/>
      <w:lvlJc w:val="left"/>
      <w:pPr>
        <w:tabs>
          <w:tab w:val="left" w:pos="2948"/>
        </w:tabs>
        <w:ind w:left="2948" w:hanging="51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decimal"/>
      <w:lvlRestart w:val="0"/>
      <w:lvlText w:val="SCHEDULE %9"/>
      <w:lvlJc w:val="left"/>
      <w:pPr>
        <w:tabs>
          <w:tab w:val="left" w:pos="0"/>
        </w:tabs>
        <w:ind w:left="0" w:firstLine="0"/>
      </w:pPr>
    </w:lvl>
  </w:abstractNum>
  <w:abstractNum w:abstractNumId="5">
    <w:nsid w:val="301F5202"/>
    <w:multiLevelType w:val="multilevel"/>
    <w:tmpl w:val="301F5202"/>
    <w:lvl w:ilvl="0" w:tentative="0">
      <w:start w:val="1"/>
      <w:numFmt w:val="decimal"/>
      <w:lvlText w:val="第%1条"/>
      <w:lvlJc w:val="left"/>
      <w:pPr>
        <w:ind w:left="851" w:firstLine="0"/>
      </w:pPr>
    </w:lvl>
    <w:lvl w:ilvl="1" w:tentative="0">
      <w:start w:val="1"/>
      <w:numFmt w:val="decimal"/>
      <w:pStyle w:val="274"/>
      <w:lvlText w:val="%1.%2"/>
      <w:lvlJc w:val="left"/>
      <w:pPr>
        <w:ind w:left="991" w:hanging="567"/>
      </w:pPr>
    </w:lvl>
    <w:lvl w:ilvl="2" w:tentative="0">
      <w:start w:val="1"/>
      <w:numFmt w:val="decimal"/>
      <w:pStyle w:val="187"/>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6">
    <w:nsid w:val="3AA800C6"/>
    <w:multiLevelType w:val="multilevel"/>
    <w:tmpl w:val="3AA800C6"/>
    <w:lvl w:ilvl="0" w:tentative="0">
      <w:start w:val="1"/>
      <w:numFmt w:val="decimal"/>
      <w:pStyle w:val="249"/>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pStyle w:val="237"/>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7">
    <w:nsid w:val="61BD6C99"/>
    <w:multiLevelType w:val="multilevel"/>
    <w:tmpl w:val="61BD6C99"/>
    <w:lvl w:ilvl="0" w:tentative="0">
      <w:start w:val="1"/>
      <w:numFmt w:val="lowerRoman"/>
      <w:pStyle w:val="239"/>
      <w:lvlText w:val="(%1)"/>
      <w:lvlJc w:val="left"/>
      <w:pPr>
        <w:ind w:left="1560" w:hanging="7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62687BB6"/>
    <w:multiLevelType w:val="multilevel"/>
    <w:tmpl w:val="62687BB6"/>
    <w:lvl w:ilvl="0" w:tentative="0">
      <w:start w:val="1"/>
      <w:numFmt w:val="decimal"/>
      <w:pStyle w:val="224"/>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9">
    <w:nsid w:val="6E87019F"/>
    <w:multiLevelType w:val="multilevel"/>
    <w:tmpl w:val="6E87019F"/>
    <w:lvl w:ilvl="0" w:tentative="0">
      <w:start w:val="1"/>
      <w:numFmt w:val="chineseCountingThousand"/>
      <w:pStyle w:val="29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7543651A"/>
    <w:multiLevelType w:val="multilevel"/>
    <w:tmpl w:val="7543651A"/>
    <w:lvl w:ilvl="0" w:tentative="0">
      <w:start w:val="1"/>
      <w:numFmt w:val="lowerLetter"/>
      <w:pStyle w:val="24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3"/>
    <w:lvlOverride w:ilvl="0">
      <w:lvl w:ilvl="0" w:tentative="1">
        <w:start w:val="1"/>
        <w:numFmt w:val="decimal"/>
        <w:lvlText w:val="第%1条"/>
        <w:lvlJc w:val="left"/>
        <w:pPr>
          <w:ind w:left="0" w:firstLine="0"/>
        </w:pPr>
      </w:lvl>
    </w:lvlOverride>
    <w:lvlOverride w:ilvl="1">
      <w:lvl w:ilvl="1" w:tentative="1">
        <w:start w:val="1"/>
        <w:numFmt w:val="decimal"/>
        <w:pStyle w:val="303"/>
        <w:lvlText w:val="%1.%2"/>
        <w:lvlJc w:val="left"/>
        <w:pPr>
          <w:ind w:left="1843" w:firstLine="0"/>
        </w:pPr>
      </w:lvl>
    </w:lvlOverride>
    <w:lvlOverride w:ilvl="2">
      <w:lvl w:ilvl="2" w:tentative="1">
        <w:start w:val="1"/>
        <w:numFmt w:val="decimal"/>
        <w:pStyle w:val="299"/>
        <w:lvlText w:val="%1.%2.%3"/>
        <w:lvlJc w:val="left"/>
        <w:pPr>
          <w:ind w:left="2126" w:firstLine="0"/>
        </w:pPr>
      </w:lvl>
    </w:lvlOverride>
    <w:lvlOverride w:ilvl="3">
      <w:lvl w:ilvl="3" w:tentative="1">
        <w:start w:val="1"/>
        <w:numFmt w:val="decimal"/>
        <w:pStyle w:val="215"/>
        <w:lvlText w:val="%1.%2.%3.%4"/>
        <w:lvlJc w:val="left"/>
        <w:pPr>
          <w:ind w:left="710" w:firstLine="0"/>
        </w:pPr>
      </w:lvl>
    </w:lvlOverride>
    <w:lvlOverride w:ilvl="4">
      <w:lvl w:ilvl="4" w:tentative="1">
        <w:start w:val="1"/>
        <w:numFmt w:val="decimal"/>
        <w:pStyle w:val="265"/>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4">
    <w:abstractNumId w:val="8"/>
  </w:num>
  <w:num w:numId="5">
    <w:abstractNumId w:val="6"/>
  </w:num>
  <w:num w:numId="6">
    <w:abstractNumId w:val="7"/>
  </w:num>
  <w:num w:numId="7">
    <w:abstractNumId w:val="10"/>
  </w:num>
  <w:num w:numId="8">
    <w:abstractNumId w:val="2"/>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287"/>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2MjExOGEzZGUyZThiNDIxZjA2ZGFmYjk3OTQwZTUifQ=="/>
  </w:docVars>
  <w:rsids>
    <w:rsidRoot w:val="00172A27"/>
    <w:rsid w:val="0000012A"/>
    <w:rsid w:val="00000D5E"/>
    <w:rsid w:val="00001661"/>
    <w:rsid w:val="000017EF"/>
    <w:rsid w:val="00001EBE"/>
    <w:rsid w:val="00002B9C"/>
    <w:rsid w:val="00002E54"/>
    <w:rsid w:val="00003E74"/>
    <w:rsid w:val="00005300"/>
    <w:rsid w:val="00006179"/>
    <w:rsid w:val="000072F2"/>
    <w:rsid w:val="000077BA"/>
    <w:rsid w:val="0001026F"/>
    <w:rsid w:val="00010A79"/>
    <w:rsid w:val="00010E33"/>
    <w:rsid w:val="00010E3D"/>
    <w:rsid w:val="00010F1F"/>
    <w:rsid w:val="000110F2"/>
    <w:rsid w:val="00011D1C"/>
    <w:rsid w:val="00011E53"/>
    <w:rsid w:val="000124E1"/>
    <w:rsid w:val="00013B8E"/>
    <w:rsid w:val="000143C6"/>
    <w:rsid w:val="00015048"/>
    <w:rsid w:val="00021910"/>
    <w:rsid w:val="0002245E"/>
    <w:rsid w:val="00022A59"/>
    <w:rsid w:val="00022B7F"/>
    <w:rsid w:val="00023647"/>
    <w:rsid w:val="000236D4"/>
    <w:rsid w:val="00023A43"/>
    <w:rsid w:val="000247D1"/>
    <w:rsid w:val="0002517F"/>
    <w:rsid w:val="00025DA7"/>
    <w:rsid w:val="00025FC6"/>
    <w:rsid w:val="000260C3"/>
    <w:rsid w:val="000304C7"/>
    <w:rsid w:val="00030732"/>
    <w:rsid w:val="00030909"/>
    <w:rsid w:val="00030CD6"/>
    <w:rsid w:val="0003143E"/>
    <w:rsid w:val="000315C2"/>
    <w:rsid w:val="00031D21"/>
    <w:rsid w:val="0003301E"/>
    <w:rsid w:val="000339CF"/>
    <w:rsid w:val="00033B73"/>
    <w:rsid w:val="00033D2B"/>
    <w:rsid w:val="00033F28"/>
    <w:rsid w:val="00035EF7"/>
    <w:rsid w:val="000372F0"/>
    <w:rsid w:val="00037802"/>
    <w:rsid w:val="0004080D"/>
    <w:rsid w:val="00040D87"/>
    <w:rsid w:val="00040E6E"/>
    <w:rsid w:val="000410E0"/>
    <w:rsid w:val="00041860"/>
    <w:rsid w:val="00041A17"/>
    <w:rsid w:val="00042481"/>
    <w:rsid w:val="00042805"/>
    <w:rsid w:val="00044C89"/>
    <w:rsid w:val="000456C5"/>
    <w:rsid w:val="000460BB"/>
    <w:rsid w:val="00047109"/>
    <w:rsid w:val="00050314"/>
    <w:rsid w:val="00050A9D"/>
    <w:rsid w:val="00050AB0"/>
    <w:rsid w:val="00051278"/>
    <w:rsid w:val="000514EB"/>
    <w:rsid w:val="00054824"/>
    <w:rsid w:val="000549C7"/>
    <w:rsid w:val="0005509E"/>
    <w:rsid w:val="00055BCC"/>
    <w:rsid w:val="00056B38"/>
    <w:rsid w:val="00056C54"/>
    <w:rsid w:val="00057D18"/>
    <w:rsid w:val="000601DC"/>
    <w:rsid w:val="000609A7"/>
    <w:rsid w:val="00061725"/>
    <w:rsid w:val="0006183F"/>
    <w:rsid w:val="0006219A"/>
    <w:rsid w:val="00063BCA"/>
    <w:rsid w:val="000646B0"/>
    <w:rsid w:val="00064EC4"/>
    <w:rsid w:val="00065172"/>
    <w:rsid w:val="00065F29"/>
    <w:rsid w:val="00066B04"/>
    <w:rsid w:val="00066D53"/>
    <w:rsid w:val="0007046E"/>
    <w:rsid w:val="000716E4"/>
    <w:rsid w:val="00071978"/>
    <w:rsid w:val="000725A8"/>
    <w:rsid w:val="00072C18"/>
    <w:rsid w:val="000731D9"/>
    <w:rsid w:val="0007391F"/>
    <w:rsid w:val="00073922"/>
    <w:rsid w:val="000746E8"/>
    <w:rsid w:val="00074A88"/>
    <w:rsid w:val="00075666"/>
    <w:rsid w:val="0007615A"/>
    <w:rsid w:val="00076278"/>
    <w:rsid w:val="00076A3A"/>
    <w:rsid w:val="00077006"/>
    <w:rsid w:val="0007730E"/>
    <w:rsid w:val="00077337"/>
    <w:rsid w:val="00077482"/>
    <w:rsid w:val="00077CF6"/>
    <w:rsid w:val="000803CF"/>
    <w:rsid w:val="00080CB8"/>
    <w:rsid w:val="00080E31"/>
    <w:rsid w:val="00080EE9"/>
    <w:rsid w:val="000816F4"/>
    <w:rsid w:val="000823F8"/>
    <w:rsid w:val="000827F0"/>
    <w:rsid w:val="0008418D"/>
    <w:rsid w:val="00084370"/>
    <w:rsid w:val="000844E6"/>
    <w:rsid w:val="00084E20"/>
    <w:rsid w:val="00085D01"/>
    <w:rsid w:val="00085D38"/>
    <w:rsid w:val="00085E16"/>
    <w:rsid w:val="00086F79"/>
    <w:rsid w:val="00090BC8"/>
    <w:rsid w:val="0009141B"/>
    <w:rsid w:val="00092B1C"/>
    <w:rsid w:val="000932FD"/>
    <w:rsid w:val="00093D97"/>
    <w:rsid w:val="00094470"/>
    <w:rsid w:val="0009654B"/>
    <w:rsid w:val="00097B15"/>
    <w:rsid w:val="000A0C74"/>
    <w:rsid w:val="000A15B9"/>
    <w:rsid w:val="000A1639"/>
    <w:rsid w:val="000A1DE5"/>
    <w:rsid w:val="000A212C"/>
    <w:rsid w:val="000A3A03"/>
    <w:rsid w:val="000A3B3B"/>
    <w:rsid w:val="000A4843"/>
    <w:rsid w:val="000A5DE3"/>
    <w:rsid w:val="000A69A2"/>
    <w:rsid w:val="000A6C78"/>
    <w:rsid w:val="000A732F"/>
    <w:rsid w:val="000B069F"/>
    <w:rsid w:val="000B2089"/>
    <w:rsid w:val="000B240C"/>
    <w:rsid w:val="000B2564"/>
    <w:rsid w:val="000B25B6"/>
    <w:rsid w:val="000B2885"/>
    <w:rsid w:val="000B3083"/>
    <w:rsid w:val="000B4391"/>
    <w:rsid w:val="000B4868"/>
    <w:rsid w:val="000B5054"/>
    <w:rsid w:val="000B57D0"/>
    <w:rsid w:val="000B5BB7"/>
    <w:rsid w:val="000B6E27"/>
    <w:rsid w:val="000B722E"/>
    <w:rsid w:val="000B7C7E"/>
    <w:rsid w:val="000C0D35"/>
    <w:rsid w:val="000C0DF9"/>
    <w:rsid w:val="000C0FF4"/>
    <w:rsid w:val="000C157D"/>
    <w:rsid w:val="000C1C7E"/>
    <w:rsid w:val="000C2241"/>
    <w:rsid w:val="000C35B2"/>
    <w:rsid w:val="000C39B6"/>
    <w:rsid w:val="000C3E98"/>
    <w:rsid w:val="000C4938"/>
    <w:rsid w:val="000C50B7"/>
    <w:rsid w:val="000C550E"/>
    <w:rsid w:val="000C65BA"/>
    <w:rsid w:val="000C6D5B"/>
    <w:rsid w:val="000C7475"/>
    <w:rsid w:val="000C7D35"/>
    <w:rsid w:val="000D0040"/>
    <w:rsid w:val="000D0398"/>
    <w:rsid w:val="000D320F"/>
    <w:rsid w:val="000D47F5"/>
    <w:rsid w:val="000D4F77"/>
    <w:rsid w:val="000D5451"/>
    <w:rsid w:val="000D5900"/>
    <w:rsid w:val="000D7BC4"/>
    <w:rsid w:val="000E100D"/>
    <w:rsid w:val="000E1C8B"/>
    <w:rsid w:val="000E3DCD"/>
    <w:rsid w:val="000E3FD7"/>
    <w:rsid w:val="000E494A"/>
    <w:rsid w:val="000E4A30"/>
    <w:rsid w:val="000E55CC"/>
    <w:rsid w:val="000E738A"/>
    <w:rsid w:val="000F1449"/>
    <w:rsid w:val="000F1BED"/>
    <w:rsid w:val="000F1E3E"/>
    <w:rsid w:val="000F24DF"/>
    <w:rsid w:val="000F2533"/>
    <w:rsid w:val="000F2A7D"/>
    <w:rsid w:val="000F2F57"/>
    <w:rsid w:val="000F3958"/>
    <w:rsid w:val="000F4252"/>
    <w:rsid w:val="000F458E"/>
    <w:rsid w:val="000F47DB"/>
    <w:rsid w:val="000F536E"/>
    <w:rsid w:val="000F6D7B"/>
    <w:rsid w:val="0010039A"/>
    <w:rsid w:val="00100629"/>
    <w:rsid w:val="001009E7"/>
    <w:rsid w:val="00100A0D"/>
    <w:rsid w:val="001022A2"/>
    <w:rsid w:val="00102524"/>
    <w:rsid w:val="00102D90"/>
    <w:rsid w:val="00103D42"/>
    <w:rsid w:val="00104314"/>
    <w:rsid w:val="001044BB"/>
    <w:rsid w:val="00105D95"/>
    <w:rsid w:val="001063B6"/>
    <w:rsid w:val="001063ED"/>
    <w:rsid w:val="00110001"/>
    <w:rsid w:val="00110BAA"/>
    <w:rsid w:val="00110E41"/>
    <w:rsid w:val="001128F6"/>
    <w:rsid w:val="001133E8"/>
    <w:rsid w:val="00113400"/>
    <w:rsid w:val="001134DA"/>
    <w:rsid w:val="00113569"/>
    <w:rsid w:val="001149B3"/>
    <w:rsid w:val="00114E9A"/>
    <w:rsid w:val="0011607D"/>
    <w:rsid w:val="00120E42"/>
    <w:rsid w:val="0012105F"/>
    <w:rsid w:val="00121DB8"/>
    <w:rsid w:val="00122A22"/>
    <w:rsid w:val="00123C2D"/>
    <w:rsid w:val="00124748"/>
    <w:rsid w:val="00125038"/>
    <w:rsid w:val="0012535A"/>
    <w:rsid w:val="00125BBA"/>
    <w:rsid w:val="00125FA2"/>
    <w:rsid w:val="00125FE0"/>
    <w:rsid w:val="0012612A"/>
    <w:rsid w:val="00126981"/>
    <w:rsid w:val="0012714D"/>
    <w:rsid w:val="00127A6C"/>
    <w:rsid w:val="00127D73"/>
    <w:rsid w:val="001302F1"/>
    <w:rsid w:val="0013039A"/>
    <w:rsid w:val="001309B7"/>
    <w:rsid w:val="0013172B"/>
    <w:rsid w:val="00131A66"/>
    <w:rsid w:val="001321A3"/>
    <w:rsid w:val="00133444"/>
    <w:rsid w:val="001336CC"/>
    <w:rsid w:val="001336EB"/>
    <w:rsid w:val="00133B31"/>
    <w:rsid w:val="00134F96"/>
    <w:rsid w:val="00135863"/>
    <w:rsid w:val="001379AC"/>
    <w:rsid w:val="00140D0C"/>
    <w:rsid w:val="00141437"/>
    <w:rsid w:val="0014147A"/>
    <w:rsid w:val="00141822"/>
    <w:rsid w:val="00142830"/>
    <w:rsid w:val="00142A16"/>
    <w:rsid w:val="0014627A"/>
    <w:rsid w:val="001462F6"/>
    <w:rsid w:val="00147330"/>
    <w:rsid w:val="001477FD"/>
    <w:rsid w:val="001479A2"/>
    <w:rsid w:val="00150643"/>
    <w:rsid w:val="001509E2"/>
    <w:rsid w:val="00151B63"/>
    <w:rsid w:val="00151FB5"/>
    <w:rsid w:val="00154052"/>
    <w:rsid w:val="001546C6"/>
    <w:rsid w:val="00154FF1"/>
    <w:rsid w:val="00155573"/>
    <w:rsid w:val="00155596"/>
    <w:rsid w:val="00155E1A"/>
    <w:rsid w:val="0015715B"/>
    <w:rsid w:val="001573E1"/>
    <w:rsid w:val="0016053D"/>
    <w:rsid w:val="001607AD"/>
    <w:rsid w:val="001625CB"/>
    <w:rsid w:val="00162A9C"/>
    <w:rsid w:val="00163B47"/>
    <w:rsid w:val="00163BF1"/>
    <w:rsid w:val="001645AF"/>
    <w:rsid w:val="001645ED"/>
    <w:rsid w:val="001647CA"/>
    <w:rsid w:val="00165400"/>
    <w:rsid w:val="0016562D"/>
    <w:rsid w:val="001656C6"/>
    <w:rsid w:val="00167203"/>
    <w:rsid w:val="00170487"/>
    <w:rsid w:val="001709ED"/>
    <w:rsid w:val="00171938"/>
    <w:rsid w:val="00172A27"/>
    <w:rsid w:val="00173E59"/>
    <w:rsid w:val="00174080"/>
    <w:rsid w:val="00174D63"/>
    <w:rsid w:val="00175746"/>
    <w:rsid w:val="001759CE"/>
    <w:rsid w:val="0017678E"/>
    <w:rsid w:val="001807AA"/>
    <w:rsid w:val="00181963"/>
    <w:rsid w:val="00181A76"/>
    <w:rsid w:val="00182550"/>
    <w:rsid w:val="00183FA7"/>
    <w:rsid w:val="0018442E"/>
    <w:rsid w:val="001848E9"/>
    <w:rsid w:val="001850A2"/>
    <w:rsid w:val="0018678E"/>
    <w:rsid w:val="00187A73"/>
    <w:rsid w:val="00190E5F"/>
    <w:rsid w:val="001916B2"/>
    <w:rsid w:val="00191B87"/>
    <w:rsid w:val="0019233E"/>
    <w:rsid w:val="001929B5"/>
    <w:rsid w:val="0019326F"/>
    <w:rsid w:val="00193BEB"/>
    <w:rsid w:val="00194B00"/>
    <w:rsid w:val="001963F0"/>
    <w:rsid w:val="00197171"/>
    <w:rsid w:val="001971B3"/>
    <w:rsid w:val="00197C09"/>
    <w:rsid w:val="001A0673"/>
    <w:rsid w:val="001A10B7"/>
    <w:rsid w:val="001A1379"/>
    <w:rsid w:val="001A31C0"/>
    <w:rsid w:val="001A3529"/>
    <w:rsid w:val="001A42BF"/>
    <w:rsid w:val="001A4AB6"/>
    <w:rsid w:val="001A5479"/>
    <w:rsid w:val="001A575C"/>
    <w:rsid w:val="001A5F4D"/>
    <w:rsid w:val="001A5FA8"/>
    <w:rsid w:val="001A66C5"/>
    <w:rsid w:val="001A7BEF"/>
    <w:rsid w:val="001B0197"/>
    <w:rsid w:val="001B1C2E"/>
    <w:rsid w:val="001B1EE2"/>
    <w:rsid w:val="001B2111"/>
    <w:rsid w:val="001B2284"/>
    <w:rsid w:val="001B2533"/>
    <w:rsid w:val="001B2B55"/>
    <w:rsid w:val="001B37CB"/>
    <w:rsid w:val="001B39F6"/>
    <w:rsid w:val="001B3C9A"/>
    <w:rsid w:val="001B593C"/>
    <w:rsid w:val="001B5FBA"/>
    <w:rsid w:val="001B6111"/>
    <w:rsid w:val="001B6ADB"/>
    <w:rsid w:val="001B7695"/>
    <w:rsid w:val="001C14D8"/>
    <w:rsid w:val="001C1569"/>
    <w:rsid w:val="001C2E14"/>
    <w:rsid w:val="001C30FF"/>
    <w:rsid w:val="001C3F8E"/>
    <w:rsid w:val="001C43F1"/>
    <w:rsid w:val="001C4A5D"/>
    <w:rsid w:val="001C4E35"/>
    <w:rsid w:val="001C5163"/>
    <w:rsid w:val="001C518E"/>
    <w:rsid w:val="001C6461"/>
    <w:rsid w:val="001D014A"/>
    <w:rsid w:val="001D1644"/>
    <w:rsid w:val="001D3FB1"/>
    <w:rsid w:val="001D4D10"/>
    <w:rsid w:val="001D55AE"/>
    <w:rsid w:val="001E0A51"/>
    <w:rsid w:val="001E2006"/>
    <w:rsid w:val="001E21D2"/>
    <w:rsid w:val="001E495D"/>
    <w:rsid w:val="001E51F0"/>
    <w:rsid w:val="001E58E4"/>
    <w:rsid w:val="001E596D"/>
    <w:rsid w:val="001E5999"/>
    <w:rsid w:val="001E5AAC"/>
    <w:rsid w:val="001E604B"/>
    <w:rsid w:val="001E6794"/>
    <w:rsid w:val="001E6C29"/>
    <w:rsid w:val="001E7736"/>
    <w:rsid w:val="001E7F10"/>
    <w:rsid w:val="001F037B"/>
    <w:rsid w:val="001F08D9"/>
    <w:rsid w:val="001F0D6B"/>
    <w:rsid w:val="001F1841"/>
    <w:rsid w:val="001F18F2"/>
    <w:rsid w:val="001F1FA2"/>
    <w:rsid w:val="001F21B1"/>
    <w:rsid w:val="001F253E"/>
    <w:rsid w:val="001F2A0C"/>
    <w:rsid w:val="001F31DD"/>
    <w:rsid w:val="001F354E"/>
    <w:rsid w:val="001F4778"/>
    <w:rsid w:val="001F4D76"/>
    <w:rsid w:val="001F5941"/>
    <w:rsid w:val="001F5BE0"/>
    <w:rsid w:val="001F7131"/>
    <w:rsid w:val="001F7958"/>
    <w:rsid w:val="001F7CBB"/>
    <w:rsid w:val="00200311"/>
    <w:rsid w:val="0020093F"/>
    <w:rsid w:val="00200ECE"/>
    <w:rsid w:val="00201C7A"/>
    <w:rsid w:val="0020269E"/>
    <w:rsid w:val="0020382F"/>
    <w:rsid w:val="00203B75"/>
    <w:rsid w:val="0020447D"/>
    <w:rsid w:val="002044B3"/>
    <w:rsid w:val="0020511B"/>
    <w:rsid w:val="002066B6"/>
    <w:rsid w:val="00210C1C"/>
    <w:rsid w:val="00210ED6"/>
    <w:rsid w:val="002110AE"/>
    <w:rsid w:val="002111ED"/>
    <w:rsid w:val="00211239"/>
    <w:rsid w:val="00212378"/>
    <w:rsid w:val="00212660"/>
    <w:rsid w:val="002129F9"/>
    <w:rsid w:val="00212B80"/>
    <w:rsid w:val="00213002"/>
    <w:rsid w:val="00213D46"/>
    <w:rsid w:val="00213D47"/>
    <w:rsid w:val="00213E8A"/>
    <w:rsid w:val="00214127"/>
    <w:rsid w:val="0021420B"/>
    <w:rsid w:val="0021443E"/>
    <w:rsid w:val="0021472F"/>
    <w:rsid w:val="00216750"/>
    <w:rsid w:val="002169A1"/>
    <w:rsid w:val="00217126"/>
    <w:rsid w:val="002209F0"/>
    <w:rsid w:val="00221357"/>
    <w:rsid w:val="00221885"/>
    <w:rsid w:val="002219CA"/>
    <w:rsid w:val="00221E87"/>
    <w:rsid w:val="00222B4B"/>
    <w:rsid w:val="00223C02"/>
    <w:rsid w:val="00224096"/>
    <w:rsid w:val="0022412D"/>
    <w:rsid w:val="00224BB7"/>
    <w:rsid w:val="00224BDC"/>
    <w:rsid w:val="00224CBD"/>
    <w:rsid w:val="00224F55"/>
    <w:rsid w:val="00225648"/>
    <w:rsid w:val="002257B9"/>
    <w:rsid w:val="002259BE"/>
    <w:rsid w:val="00225C0D"/>
    <w:rsid w:val="00225CD7"/>
    <w:rsid w:val="00226AA1"/>
    <w:rsid w:val="0022719D"/>
    <w:rsid w:val="00230102"/>
    <w:rsid w:val="0023078C"/>
    <w:rsid w:val="002312F5"/>
    <w:rsid w:val="00232249"/>
    <w:rsid w:val="00232D5D"/>
    <w:rsid w:val="00233EAA"/>
    <w:rsid w:val="00234911"/>
    <w:rsid w:val="002354C5"/>
    <w:rsid w:val="00236211"/>
    <w:rsid w:val="00236EA2"/>
    <w:rsid w:val="00236F1A"/>
    <w:rsid w:val="00240221"/>
    <w:rsid w:val="00240554"/>
    <w:rsid w:val="002411C0"/>
    <w:rsid w:val="002419BF"/>
    <w:rsid w:val="00241EA6"/>
    <w:rsid w:val="002425F2"/>
    <w:rsid w:val="00242D37"/>
    <w:rsid w:val="00242EFB"/>
    <w:rsid w:val="002456C5"/>
    <w:rsid w:val="00245948"/>
    <w:rsid w:val="00247671"/>
    <w:rsid w:val="002506CA"/>
    <w:rsid w:val="0025132B"/>
    <w:rsid w:val="00251360"/>
    <w:rsid w:val="002516C0"/>
    <w:rsid w:val="00252462"/>
    <w:rsid w:val="00252776"/>
    <w:rsid w:val="00252AD0"/>
    <w:rsid w:val="0025346F"/>
    <w:rsid w:val="00253AA4"/>
    <w:rsid w:val="00254005"/>
    <w:rsid w:val="0025435A"/>
    <w:rsid w:val="00254581"/>
    <w:rsid w:val="00254F9A"/>
    <w:rsid w:val="00256F9B"/>
    <w:rsid w:val="0026091C"/>
    <w:rsid w:val="002637B7"/>
    <w:rsid w:val="00263B77"/>
    <w:rsid w:val="00264149"/>
    <w:rsid w:val="002641C6"/>
    <w:rsid w:val="00264443"/>
    <w:rsid w:val="00266064"/>
    <w:rsid w:val="00267B44"/>
    <w:rsid w:val="00272A69"/>
    <w:rsid w:val="00272F81"/>
    <w:rsid w:val="00273597"/>
    <w:rsid w:val="0027399E"/>
    <w:rsid w:val="00274426"/>
    <w:rsid w:val="00274592"/>
    <w:rsid w:val="00274A1D"/>
    <w:rsid w:val="00274C58"/>
    <w:rsid w:val="00274E07"/>
    <w:rsid w:val="00274F2A"/>
    <w:rsid w:val="002758FD"/>
    <w:rsid w:val="0027603A"/>
    <w:rsid w:val="00276971"/>
    <w:rsid w:val="00276C74"/>
    <w:rsid w:val="0028002F"/>
    <w:rsid w:val="00280150"/>
    <w:rsid w:val="00280C8B"/>
    <w:rsid w:val="00283304"/>
    <w:rsid w:val="00283BBA"/>
    <w:rsid w:val="00284179"/>
    <w:rsid w:val="002849FC"/>
    <w:rsid w:val="00285520"/>
    <w:rsid w:val="0028671E"/>
    <w:rsid w:val="00286C5D"/>
    <w:rsid w:val="00286F67"/>
    <w:rsid w:val="002870A4"/>
    <w:rsid w:val="002879DB"/>
    <w:rsid w:val="00290ED2"/>
    <w:rsid w:val="0029168E"/>
    <w:rsid w:val="002921BD"/>
    <w:rsid w:val="002925B0"/>
    <w:rsid w:val="002926AA"/>
    <w:rsid w:val="00292958"/>
    <w:rsid w:val="00292C0C"/>
    <w:rsid w:val="00292E30"/>
    <w:rsid w:val="0029307D"/>
    <w:rsid w:val="002930BE"/>
    <w:rsid w:val="00293584"/>
    <w:rsid w:val="002937C3"/>
    <w:rsid w:val="00293A46"/>
    <w:rsid w:val="00293B78"/>
    <w:rsid w:val="00294125"/>
    <w:rsid w:val="00294432"/>
    <w:rsid w:val="00295335"/>
    <w:rsid w:val="00296937"/>
    <w:rsid w:val="00296C1B"/>
    <w:rsid w:val="0029726C"/>
    <w:rsid w:val="002A03B0"/>
    <w:rsid w:val="002A121B"/>
    <w:rsid w:val="002A1BBC"/>
    <w:rsid w:val="002A201F"/>
    <w:rsid w:val="002A2229"/>
    <w:rsid w:val="002A22B2"/>
    <w:rsid w:val="002A4C0D"/>
    <w:rsid w:val="002A50DF"/>
    <w:rsid w:val="002A585F"/>
    <w:rsid w:val="002A5A1C"/>
    <w:rsid w:val="002A663B"/>
    <w:rsid w:val="002A70FE"/>
    <w:rsid w:val="002A7623"/>
    <w:rsid w:val="002A7805"/>
    <w:rsid w:val="002A7E5A"/>
    <w:rsid w:val="002B0607"/>
    <w:rsid w:val="002B08CE"/>
    <w:rsid w:val="002B14F7"/>
    <w:rsid w:val="002B1F73"/>
    <w:rsid w:val="002B25DB"/>
    <w:rsid w:val="002B2CE0"/>
    <w:rsid w:val="002B355C"/>
    <w:rsid w:val="002B3BCE"/>
    <w:rsid w:val="002B4194"/>
    <w:rsid w:val="002B4787"/>
    <w:rsid w:val="002B4E1B"/>
    <w:rsid w:val="002B51B5"/>
    <w:rsid w:val="002B58D3"/>
    <w:rsid w:val="002B6307"/>
    <w:rsid w:val="002B65E9"/>
    <w:rsid w:val="002C0210"/>
    <w:rsid w:val="002C05C1"/>
    <w:rsid w:val="002C1C2C"/>
    <w:rsid w:val="002C29C9"/>
    <w:rsid w:val="002C2A5C"/>
    <w:rsid w:val="002C48A4"/>
    <w:rsid w:val="002C4CDA"/>
    <w:rsid w:val="002C6383"/>
    <w:rsid w:val="002C6EF9"/>
    <w:rsid w:val="002C700E"/>
    <w:rsid w:val="002C765C"/>
    <w:rsid w:val="002C79A1"/>
    <w:rsid w:val="002D0A26"/>
    <w:rsid w:val="002D0E39"/>
    <w:rsid w:val="002D2FA4"/>
    <w:rsid w:val="002D3A3D"/>
    <w:rsid w:val="002D4A45"/>
    <w:rsid w:val="002D533C"/>
    <w:rsid w:val="002D589E"/>
    <w:rsid w:val="002D5B19"/>
    <w:rsid w:val="002D5B58"/>
    <w:rsid w:val="002D5B82"/>
    <w:rsid w:val="002D697E"/>
    <w:rsid w:val="002D6F6C"/>
    <w:rsid w:val="002D725C"/>
    <w:rsid w:val="002D7BCF"/>
    <w:rsid w:val="002E0625"/>
    <w:rsid w:val="002E0A66"/>
    <w:rsid w:val="002E12CD"/>
    <w:rsid w:val="002E21EE"/>
    <w:rsid w:val="002E2AA2"/>
    <w:rsid w:val="002E35ED"/>
    <w:rsid w:val="002E4053"/>
    <w:rsid w:val="002E4625"/>
    <w:rsid w:val="002E46C2"/>
    <w:rsid w:val="002E4B82"/>
    <w:rsid w:val="002E4D13"/>
    <w:rsid w:val="002E59B4"/>
    <w:rsid w:val="002E65F1"/>
    <w:rsid w:val="002E6A9F"/>
    <w:rsid w:val="002E7A59"/>
    <w:rsid w:val="002E7F08"/>
    <w:rsid w:val="002F24FF"/>
    <w:rsid w:val="002F2600"/>
    <w:rsid w:val="002F27FD"/>
    <w:rsid w:val="002F2906"/>
    <w:rsid w:val="002F3195"/>
    <w:rsid w:val="002F363B"/>
    <w:rsid w:val="002F37E5"/>
    <w:rsid w:val="002F3CDB"/>
    <w:rsid w:val="002F3DA5"/>
    <w:rsid w:val="002F65E8"/>
    <w:rsid w:val="003002F7"/>
    <w:rsid w:val="00300386"/>
    <w:rsid w:val="00300D6E"/>
    <w:rsid w:val="00300DBF"/>
    <w:rsid w:val="00300F08"/>
    <w:rsid w:val="00300F48"/>
    <w:rsid w:val="00302279"/>
    <w:rsid w:val="00302519"/>
    <w:rsid w:val="003028AE"/>
    <w:rsid w:val="003042F8"/>
    <w:rsid w:val="00304F0B"/>
    <w:rsid w:val="00305028"/>
    <w:rsid w:val="00305F90"/>
    <w:rsid w:val="00306577"/>
    <w:rsid w:val="00307038"/>
    <w:rsid w:val="003070EF"/>
    <w:rsid w:val="00310293"/>
    <w:rsid w:val="00310D7D"/>
    <w:rsid w:val="00310EC9"/>
    <w:rsid w:val="00310FA4"/>
    <w:rsid w:val="00311237"/>
    <w:rsid w:val="00311436"/>
    <w:rsid w:val="00311705"/>
    <w:rsid w:val="00311A7F"/>
    <w:rsid w:val="00312384"/>
    <w:rsid w:val="003142C0"/>
    <w:rsid w:val="003144C6"/>
    <w:rsid w:val="00314566"/>
    <w:rsid w:val="00316F15"/>
    <w:rsid w:val="0031739B"/>
    <w:rsid w:val="00320AE1"/>
    <w:rsid w:val="00323177"/>
    <w:rsid w:val="003232E7"/>
    <w:rsid w:val="00323FB0"/>
    <w:rsid w:val="00324631"/>
    <w:rsid w:val="003247DA"/>
    <w:rsid w:val="00324D4A"/>
    <w:rsid w:val="00326B99"/>
    <w:rsid w:val="0032762C"/>
    <w:rsid w:val="00327988"/>
    <w:rsid w:val="00327F51"/>
    <w:rsid w:val="003309A7"/>
    <w:rsid w:val="00330F08"/>
    <w:rsid w:val="00330F3E"/>
    <w:rsid w:val="00331F93"/>
    <w:rsid w:val="003324FD"/>
    <w:rsid w:val="00332AB5"/>
    <w:rsid w:val="00332DDB"/>
    <w:rsid w:val="003353A4"/>
    <w:rsid w:val="003358FC"/>
    <w:rsid w:val="00335C44"/>
    <w:rsid w:val="00336B41"/>
    <w:rsid w:val="00337E93"/>
    <w:rsid w:val="003400CE"/>
    <w:rsid w:val="0034089A"/>
    <w:rsid w:val="00341031"/>
    <w:rsid w:val="0034183E"/>
    <w:rsid w:val="00342588"/>
    <w:rsid w:val="00342EB6"/>
    <w:rsid w:val="00343428"/>
    <w:rsid w:val="00343467"/>
    <w:rsid w:val="00343691"/>
    <w:rsid w:val="00344099"/>
    <w:rsid w:val="0034455F"/>
    <w:rsid w:val="00346E9A"/>
    <w:rsid w:val="003474D9"/>
    <w:rsid w:val="0034766B"/>
    <w:rsid w:val="00347912"/>
    <w:rsid w:val="00347F42"/>
    <w:rsid w:val="00347FCB"/>
    <w:rsid w:val="0035021D"/>
    <w:rsid w:val="0035023B"/>
    <w:rsid w:val="00350AB3"/>
    <w:rsid w:val="00350C3C"/>
    <w:rsid w:val="00351152"/>
    <w:rsid w:val="0035122E"/>
    <w:rsid w:val="003518A9"/>
    <w:rsid w:val="00351CC8"/>
    <w:rsid w:val="003524F9"/>
    <w:rsid w:val="00353944"/>
    <w:rsid w:val="00354387"/>
    <w:rsid w:val="003545AB"/>
    <w:rsid w:val="00354BF7"/>
    <w:rsid w:val="00354D46"/>
    <w:rsid w:val="003556C6"/>
    <w:rsid w:val="00355AEF"/>
    <w:rsid w:val="00355CDA"/>
    <w:rsid w:val="00355ED9"/>
    <w:rsid w:val="00356C3C"/>
    <w:rsid w:val="00357846"/>
    <w:rsid w:val="00360D53"/>
    <w:rsid w:val="003624CA"/>
    <w:rsid w:val="0036273D"/>
    <w:rsid w:val="00362F36"/>
    <w:rsid w:val="00364D43"/>
    <w:rsid w:val="00364D62"/>
    <w:rsid w:val="00365808"/>
    <w:rsid w:val="00365DED"/>
    <w:rsid w:val="00366055"/>
    <w:rsid w:val="0036622E"/>
    <w:rsid w:val="00366A27"/>
    <w:rsid w:val="00367CBF"/>
    <w:rsid w:val="003701C3"/>
    <w:rsid w:val="00372D48"/>
    <w:rsid w:val="00372FCC"/>
    <w:rsid w:val="003739F2"/>
    <w:rsid w:val="00376915"/>
    <w:rsid w:val="003772DB"/>
    <w:rsid w:val="00377389"/>
    <w:rsid w:val="00377AD1"/>
    <w:rsid w:val="00380281"/>
    <w:rsid w:val="00380287"/>
    <w:rsid w:val="003802C8"/>
    <w:rsid w:val="00380A92"/>
    <w:rsid w:val="00380ECB"/>
    <w:rsid w:val="00381F70"/>
    <w:rsid w:val="003828B3"/>
    <w:rsid w:val="00383DC5"/>
    <w:rsid w:val="0038666E"/>
    <w:rsid w:val="00387153"/>
    <w:rsid w:val="00387A73"/>
    <w:rsid w:val="00390858"/>
    <w:rsid w:val="00390BAC"/>
    <w:rsid w:val="003910DE"/>
    <w:rsid w:val="003925A9"/>
    <w:rsid w:val="00393987"/>
    <w:rsid w:val="003957F5"/>
    <w:rsid w:val="00395D87"/>
    <w:rsid w:val="00396B81"/>
    <w:rsid w:val="00396E9E"/>
    <w:rsid w:val="003971B4"/>
    <w:rsid w:val="003A098E"/>
    <w:rsid w:val="003A0AB7"/>
    <w:rsid w:val="003A0FB8"/>
    <w:rsid w:val="003A1635"/>
    <w:rsid w:val="003A1E93"/>
    <w:rsid w:val="003A2121"/>
    <w:rsid w:val="003A3586"/>
    <w:rsid w:val="003A4F77"/>
    <w:rsid w:val="003A6508"/>
    <w:rsid w:val="003A6FB2"/>
    <w:rsid w:val="003A7C11"/>
    <w:rsid w:val="003B0032"/>
    <w:rsid w:val="003B0DC0"/>
    <w:rsid w:val="003B0E5F"/>
    <w:rsid w:val="003B11BB"/>
    <w:rsid w:val="003B1472"/>
    <w:rsid w:val="003B2A39"/>
    <w:rsid w:val="003B2BB6"/>
    <w:rsid w:val="003B3F79"/>
    <w:rsid w:val="003B4436"/>
    <w:rsid w:val="003B4B0D"/>
    <w:rsid w:val="003B4DAD"/>
    <w:rsid w:val="003B560B"/>
    <w:rsid w:val="003B58B2"/>
    <w:rsid w:val="003B5C12"/>
    <w:rsid w:val="003B5D25"/>
    <w:rsid w:val="003B5E0B"/>
    <w:rsid w:val="003B74D9"/>
    <w:rsid w:val="003C0D20"/>
    <w:rsid w:val="003C235C"/>
    <w:rsid w:val="003C292A"/>
    <w:rsid w:val="003C293F"/>
    <w:rsid w:val="003C2A55"/>
    <w:rsid w:val="003C3609"/>
    <w:rsid w:val="003C4566"/>
    <w:rsid w:val="003C5342"/>
    <w:rsid w:val="003C561B"/>
    <w:rsid w:val="003C56A9"/>
    <w:rsid w:val="003C7491"/>
    <w:rsid w:val="003C7737"/>
    <w:rsid w:val="003C7F06"/>
    <w:rsid w:val="003D1571"/>
    <w:rsid w:val="003D328F"/>
    <w:rsid w:val="003D33EF"/>
    <w:rsid w:val="003D3A7F"/>
    <w:rsid w:val="003D4D29"/>
    <w:rsid w:val="003D544A"/>
    <w:rsid w:val="003D55CE"/>
    <w:rsid w:val="003D63AC"/>
    <w:rsid w:val="003D6A5B"/>
    <w:rsid w:val="003D7595"/>
    <w:rsid w:val="003D7FAC"/>
    <w:rsid w:val="003E2090"/>
    <w:rsid w:val="003E3183"/>
    <w:rsid w:val="003E345F"/>
    <w:rsid w:val="003E3CBC"/>
    <w:rsid w:val="003E4089"/>
    <w:rsid w:val="003E4AD0"/>
    <w:rsid w:val="003E5DC4"/>
    <w:rsid w:val="003E621B"/>
    <w:rsid w:val="003E6C93"/>
    <w:rsid w:val="003E6D1B"/>
    <w:rsid w:val="003E6D56"/>
    <w:rsid w:val="003E7736"/>
    <w:rsid w:val="003F0884"/>
    <w:rsid w:val="003F0C4F"/>
    <w:rsid w:val="003F108C"/>
    <w:rsid w:val="003F221F"/>
    <w:rsid w:val="003F28E7"/>
    <w:rsid w:val="003F328E"/>
    <w:rsid w:val="003F3782"/>
    <w:rsid w:val="003F3AAC"/>
    <w:rsid w:val="003F3EA8"/>
    <w:rsid w:val="003F3FA8"/>
    <w:rsid w:val="003F4DAD"/>
    <w:rsid w:val="003F536A"/>
    <w:rsid w:val="003F570C"/>
    <w:rsid w:val="003F6462"/>
    <w:rsid w:val="003F6E59"/>
    <w:rsid w:val="003F77AA"/>
    <w:rsid w:val="003F7B6F"/>
    <w:rsid w:val="00400616"/>
    <w:rsid w:val="0040395B"/>
    <w:rsid w:val="00403A3D"/>
    <w:rsid w:val="0040445B"/>
    <w:rsid w:val="00404AAF"/>
    <w:rsid w:val="00404BC3"/>
    <w:rsid w:val="00404F81"/>
    <w:rsid w:val="004053B6"/>
    <w:rsid w:val="0040586A"/>
    <w:rsid w:val="0040794D"/>
    <w:rsid w:val="0040797D"/>
    <w:rsid w:val="00410210"/>
    <w:rsid w:val="0041278E"/>
    <w:rsid w:val="0041364A"/>
    <w:rsid w:val="00414A2A"/>
    <w:rsid w:val="00415114"/>
    <w:rsid w:val="0041529B"/>
    <w:rsid w:val="00415320"/>
    <w:rsid w:val="00415848"/>
    <w:rsid w:val="0041689E"/>
    <w:rsid w:val="004202C8"/>
    <w:rsid w:val="004207F0"/>
    <w:rsid w:val="00421173"/>
    <w:rsid w:val="004214B7"/>
    <w:rsid w:val="0042194D"/>
    <w:rsid w:val="00422308"/>
    <w:rsid w:val="00424073"/>
    <w:rsid w:val="0042483F"/>
    <w:rsid w:val="0042693C"/>
    <w:rsid w:val="00427167"/>
    <w:rsid w:val="0042724A"/>
    <w:rsid w:val="00427327"/>
    <w:rsid w:val="00427946"/>
    <w:rsid w:val="00430439"/>
    <w:rsid w:val="0043044A"/>
    <w:rsid w:val="004305EC"/>
    <w:rsid w:val="00430F9B"/>
    <w:rsid w:val="0043175E"/>
    <w:rsid w:val="00432043"/>
    <w:rsid w:val="00432060"/>
    <w:rsid w:val="004328C8"/>
    <w:rsid w:val="00433E3B"/>
    <w:rsid w:val="00434866"/>
    <w:rsid w:val="00434882"/>
    <w:rsid w:val="00434D7F"/>
    <w:rsid w:val="00435771"/>
    <w:rsid w:val="00435DEC"/>
    <w:rsid w:val="00435ED7"/>
    <w:rsid w:val="004361C2"/>
    <w:rsid w:val="00436981"/>
    <w:rsid w:val="0044011D"/>
    <w:rsid w:val="00440678"/>
    <w:rsid w:val="00440931"/>
    <w:rsid w:val="00441F79"/>
    <w:rsid w:val="0044302A"/>
    <w:rsid w:val="0044310D"/>
    <w:rsid w:val="00443620"/>
    <w:rsid w:val="00443A20"/>
    <w:rsid w:val="004441C3"/>
    <w:rsid w:val="004460E0"/>
    <w:rsid w:val="00451490"/>
    <w:rsid w:val="004514A3"/>
    <w:rsid w:val="004514EA"/>
    <w:rsid w:val="00451941"/>
    <w:rsid w:val="00451C9C"/>
    <w:rsid w:val="004526A9"/>
    <w:rsid w:val="00452703"/>
    <w:rsid w:val="00452A0F"/>
    <w:rsid w:val="0045304A"/>
    <w:rsid w:val="0045403F"/>
    <w:rsid w:val="004542CB"/>
    <w:rsid w:val="00454A46"/>
    <w:rsid w:val="00454E38"/>
    <w:rsid w:val="0045503D"/>
    <w:rsid w:val="0045540B"/>
    <w:rsid w:val="00456DC8"/>
    <w:rsid w:val="004579B9"/>
    <w:rsid w:val="00457F0F"/>
    <w:rsid w:val="00460365"/>
    <w:rsid w:val="00460380"/>
    <w:rsid w:val="0046128E"/>
    <w:rsid w:val="0046138A"/>
    <w:rsid w:val="00461941"/>
    <w:rsid w:val="00461FF6"/>
    <w:rsid w:val="00462062"/>
    <w:rsid w:val="00462C7E"/>
    <w:rsid w:val="00463E50"/>
    <w:rsid w:val="004642B5"/>
    <w:rsid w:val="0046463E"/>
    <w:rsid w:val="00466CBC"/>
    <w:rsid w:val="00470216"/>
    <w:rsid w:val="004710E2"/>
    <w:rsid w:val="0047123B"/>
    <w:rsid w:val="00471DDC"/>
    <w:rsid w:val="004721FA"/>
    <w:rsid w:val="00472754"/>
    <w:rsid w:val="004730FB"/>
    <w:rsid w:val="00474156"/>
    <w:rsid w:val="0047634B"/>
    <w:rsid w:val="00477025"/>
    <w:rsid w:val="004778A8"/>
    <w:rsid w:val="00477E6A"/>
    <w:rsid w:val="00482557"/>
    <w:rsid w:val="004825AA"/>
    <w:rsid w:val="004835A3"/>
    <w:rsid w:val="00483BB9"/>
    <w:rsid w:val="00483C82"/>
    <w:rsid w:val="00484926"/>
    <w:rsid w:val="00485D4D"/>
    <w:rsid w:val="004863D3"/>
    <w:rsid w:val="004873C2"/>
    <w:rsid w:val="004875E4"/>
    <w:rsid w:val="0048776B"/>
    <w:rsid w:val="00487A5B"/>
    <w:rsid w:val="00491157"/>
    <w:rsid w:val="00491762"/>
    <w:rsid w:val="00492BC1"/>
    <w:rsid w:val="00492F95"/>
    <w:rsid w:val="00493AFB"/>
    <w:rsid w:val="00493F3A"/>
    <w:rsid w:val="00494777"/>
    <w:rsid w:val="0049498F"/>
    <w:rsid w:val="004950A4"/>
    <w:rsid w:val="004960F5"/>
    <w:rsid w:val="00497497"/>
    <w:rsid w:val="004A152E"/>
    <w:rsid w:val="004A1931"/>
    <w:rsid w:val="004A255D"/>
    <w:rsid w:val="004A2F38"/>
    <w:rsid w:val="004A4EF1"/>
    <w:rsid w:val="004A4F3B"/>
    <w:rsid w:val="004A5338"/>
    <w:rsid w:val="004A53BD"/>
    <w:rsid w:val="004A69E4"/>
    <w:rsid w:val="004A6E10"/>
    <w:rsid w:val="004A7FF3"/>
    <w:rsid w:val="004B0297"/>
    <w:rsid w:val="004B03AA"/>
    <w:rsid w:val="004B2192"/>
    <w:rsid w:val="004B27E2"/>
    <w:rsid w:val="004B28DA"/>
    <w:rsid w:val="004B2969"/>
    <w:rsid w:val="004B2F55"/>
    <w:rsid w:val="004B2F79"/>
    <w:rsid w:val="004B3871"/>
    <w:rsid w:val="004B4161"/>
    <w:rsid w:val="004B4B68"/>
    <w:rsid w:val="004B4BFC"/>
    <w:rsid w:val="004B54B5"/>
    <w:rsid w:val="004B6A3B"/>
    <w:rsid w:val="004B7591"/>
    <w:rsid w:val="004B7792"/>
    <w:rsid w:val="004B7921"/>
    <w:rsid w:val="004C134F"/>
    <w:rsid w:val="004C16FD"/>
    <w:rsid w:val="004C2972"/>
    <w:rsid w:val="004C374B"/>
    <w:rsid w:val="004C5219"/>
    <w:rsid w:val="004C5CBB"/>
    <w:rsid w:val="004C61A5"/>
    <w:rsid w:val="004C70A6"/>
    <w:rsid w:val="004D0543"/>
    <w:rsid w:val="004D0DCE"/>
    <w:rsid w:val="004D1C93"/>
    <w:rsid w:val="004D223C"/>
    <w:rsid w:val="004D2605"/>
    <w:rsid w:val="004D29F4"/>
    <w:rsid w:val="004D2EA7"/>
    <w:rsid w:val="004D451A"/>
    <w:rsid w:val="004D4844"/>
    <w:rsid w:val="004D48A3"/>
    <w:rsid w:val="004D543F"/>
    <w:rsid w:val="004D5BB3"/>
    <w:rsid w:val="004D5ECA"/>
    <w:rsid w:val="004D6371"/>
    <w:rsid w:val="004D639D"/>
    <w:rsid w:val="004D69C6"/>
    <w:rsid w:val="004D6E10"/>
    <w:rsid w:val="004D70CA"/>
    <w:rsid w:val="004D7496"/>
    <w:rsid w:val="004D77AD"/>
    <w:rsid w:val="004D7ADC"/>
    <w:rsid w:val="004E0DAA"/>
    <w:rsid w:val="004E12BB"/>
    <w:rsid w:val="004E1AC3"/>
    <w:rsid w:val="004E22A1"/>
    <w:rsid w:val="004E28C3"/>
    <w:rsid w:val="004E290B"/>
    <w:rsid w:val="004E2EFF"/>
    <w:rsid w:val="004E31E7"/>
    <w:rsid w:val="004E3C96"/>
    <w:rsid w:val="004E4349"/>
    <w:rsid w:val="004E6E4B"/>
    <w:rsid w:val="004E755A"/>
    <w:rsid w:val="004E7749"/>
    <w:rsid w:val="004F0014"/>
    <w:rsid w:val="004F123A"/>
    <w:rsid w:val="004F171E"/>
    <w:rsid w:val="004F184F"/>
    <w:rsid w:val="004F1A28"/>
    <w:rsid w:val="004F25C8"/>
    <w:rsid w:val="004F37CB"/>
    <w:rsid w:val="004F3974"/>
    <w:rsid w:val="004F5B5F"/>
    <w:rsid w:val="004F5E7E"/>
    <w:rsid w:val="004F6266"/>
    <w:rsid w:val="004F6AAF"/>
    <w:rsid w:val="004F6AF0"/>
    <w:rsid w:val="004F6D8F"/>
    <w:rsid w:val="004F7800"/>
    <w:rsid w:val="004F785A"/>
    <w:rsid w:val="004F7EBE"/>
    <w:rsid w:val="00500C14"/>
    <w:rsid w:val="005015D6"/>
    <w:rsid w:val="0050163E"/>
    <w:rsid w:val="00501697"/>
    <w:rsid w:val="0050203D"/>
    <w:rsid w:val="005029BC"/>
    <w:rsid w:val="00502C2B"/>
    <w:rsid w:val="0050402A"/>
    <w:rsid w:val="005048F7"/>
    <w:rsid w:val="0050524D"/>
    <w:rsid w:val="005058EE"/>
    <w:rsid w:val="005061C8"/>
    <w:rsid w:val="00506296"/>
    <w:rsid w:val="0050683D"/>
    <w:rsid w:val="00506A52"/>
    <w:rsid w:val="005077BD"/>
    <w:rsid w:val="00507A9E"/>
    <w:rsid w:val="00510FD7"/>
    <w:rsid w:val="00511523"/>
    <w:rsid w:val="00512296"/>
    <w:rsid w:val="005126BC"/>
    <w:rsid w:val="00512E3D"/>
    <w:rsid w:val="005130C3"/>
    <w:rsid w:val="005135DC"/>
    <w:rsid w:val="00513FB0"/>
    <w:rsid w:val="00514A66"/>
    <w:rsid w:val="00517124"/>
    <w:rsid w:val="005171EE"/>
    <w:rsid w:val="005173CF"/>
    <w:rsid w:val="0051760C"/>
    <w:rsid w:val="00517DF1"/>
    <w:rsid w:val="00517E8E"/>
    <w:rsid w:val="00520982"/>
    <w:rsid w:val="005209D1"/>
    <w:rsid w:val="00520C58"/>
    <w:rsid w:val="00521FB4"/>
    <w:rsid w:val="005226F7"/>
    <w:rsid w:val="00525D63"/>
    <w:rsid w:val="005260E6"/>
    <w:rsid w:val="00526916"/>
    <w:rsid w:val="005269B8"/>
    <w:rsid w:val="00530277"/>
    <w:rsid w:val="00531BC3"/>
    <w:rsid w:val="0053264A"/>
    <w:rsid w:val="00532C0E"/>
    <w:rsid w:val="00533B84"/>
    <w:rsid w:val="00534918"/>
    <w:rsid w:val="00534C93"/>
    <w:rsid w:val="00535F6E"/>
    <w:rsid w:val="00537FCD"/>
    <w:rsid w:val="0054156E"/>
    <w:rsid w:val="005417FB"/>
    <w:rsid w:val="00541B38"/>
    <w:rsid w:val="00541DA1"/>
    <w:rsid w:val="00543C86"/>
    <w:rsid w:val="00544249"/>
    <w:rsid w:val="00544E60"/>
    <w:rsid w:val="005452E5"/>
    <w:rsid w:val="005457AC"/>
    <w:rsid w:val="00545B0B"/>
    <w:rsid w:val="00546806"/>
    <w:rsid w:val="00547A4B"/>
    <w:rsid w:val="00547A7E"/>
    <w:rsid w:val="00547E4F"/>
    <w:rsid w:val="005501D2"/>
    <w:rsid w:val="005505F2"/>
    <w:rsid w:val="00551EBD"/>
    <w:rsid w:val="00552538"/>
    <w:rsid w:val="005534C2"/>
    <w:rsid w:val="00553729"/>
    <w:rsid w:val="00553832"/>
    <w:rsid w:val="005554CC"/>
    <w:rsid w:val="0055556D"/>
    <w:rsid w:val="00555EBF"/>
    <w:rsid w:val="00556917"/>
    <w:rsid w:val="005570FF"/>
    <w:rsid w:val="00557739"/>
    <w:rsid w:val="005579E5"/>
    <w:rsid w:val="00557C9D"/>
    <w:rsid w:val="00557D6B"/>
    <w:rsid w:val="00557EF2"/>
    <w:rsid w:val="005601F0"/>
    <w:rsid w:val="00560685"/>
    <w:rsid w:val="0056163C"/>
    <w:rsid w:val="00561834"/>
    <w:rsid w:val="00561A02"/>
    <w:rsid w:val="00561C0C"/>
    <w:rsid w:val="00562207"/>
    <w:rsid w:val="00563ADE"/>
    <w:rsid w:val="00564778"/>
    <w:rsid w:val="0056481D"/>
    <w:rsid w:val="00564F6E"/>
    <w:rsid w:val="00565830"/>
    <w:rsid w:val="00565AE0"/>
    <w:rsid w:val="00565D45"/>
    <w:rsid w:val="00566E5D"/>
    <w:rsid w:val="00567298"/>
    <w:rsid w:val="005677BC"/>
    <w:rsid w:val="005700A0"/>
    <w:rsid w:val="00570994"/>
    <w:rsid w:val="005712F3"/>
    <w:rsid w:val="00571DCE"/>
    <w:rsid w:val="005727CE"/>
    <w:rsid w:val="00572A0C"/>
    <w:rsid w:val="005743F4"/>
    <w:rsid w:val="00574968"/>
    <w:rsid w:val="00574D34"/>
    <w:rsid w:val="005752F4"/>
    <w:rsid w:val="00575903"/>
    <w:rsid w:val="00575DBF"/>
    <w:rsid w:val="005778A2"/>
    <w:rsid w:val="005778F8"/>
    <w:rsid w:val="00581587"/>
    <w:rsid w:val="00582610"/>
    <w:rsid w:val="00582B3D"/>
    <w:rsid w:val="00582F34"/>
    <w:rsid w:val="005831A4"/>
    <w:rsid w:val="005838C9"/>
    <w:rsid w:val="00583D57"/>
    <w:rsid w:val="00584C08"/>
    <w:rsid w:val="00585203"/>
    <w:rsid w:val="005852C9"/>
    <w:rsid w:val="0058574A"/>
    <w:rsid w:val="00585E43"/>
    <w:rsid w:val="00586B01"/>
    <w:rsid w:val="0058717F"/>
    <w:rsid w:val="00587784"/>
    <w:rsid w:val="00591048"/>
    <w:rsid w:val="00591568"/>
    <w:rsid w:val="00591752"/>
    <w:rsid w:val="00591973"/>
    <w:rsid w:val="00591ED6"/>
    <w:rsid w:val="005922C5"/>
    <w:rsid w:val="00592671"/>
    <w:rsid w:val="00592A3C"/>
    <w:rsid w:val="00595BB9"/>
    <w:rsid w:val="00596A1D"/>
    <w:rsid w:val="005A041F"/>
    <w:rsid w:val="005A16B2"/>
    <w:rsid w:val="005A1935"/>
    <w:rsid w:val="005A2CD1"/>
    <w:rsid w:val="005A3F30"/>
    <w:rsid w:val="005A46F2"/>
    <w:rsid w:val="005A4EA9"/>
    <w:rsid w:val="005A4EB8"/>
    <w:rsid w:val="005A62F3"/>
    <w:rsid w:val="005A7447"/>
    <w:rsid w:val="005A7585"/>
    <w:rsid w:val="005A7F96"/>
    <w:rsid w:val="005B0201"/>
    <w:rsid w:val="005B0555"/>
    <w:rsid w:val="005B1879"/>
    <w:rsid w:val="005B1F7E"/>
    <w:rsid w:val="005B255A"/>
    <w:rsid w:val="005B3767"/>
    <w:rsid w:val="005B441A"/>
    <w:rsid w:val="005B5083"/>
    <w:rsid w:val="005B515B"/>
    <w:rsid w:val="005B613F"/>
    <w:rsid w:val="005B7216"/>
    <w:rsid w:val="005B77B4"/>
    <w:rsid w:val="005B7D57"/>
    <w:rsid w:val="005C022F"/>
    <w:rsid w:val="005C16FD"/>
    <w:rsid w:val="005C1BB3"/>
    <w:rsid w:val="005C2ACE"/>
    <w:rsid w:val="005C3A6F"/>
    <w:rsid w:val="005C3A77"/>
    <w:rsid w:val="005C507F"/>
    <w:rsid w:val="005C655A"/>
    <w:rsid w:val="005C67B4"/>
    <w:rsid w:val="005C6DD8"/>
    <w:rsid w:val="005C73A0"/>
    <w:rsid w:val="005C73DD"/>
    <w:rsid w:val="005D0147"/>
    <w:rsid w:val="005D02D8"/>
    <w:rsid w:val="005D0DAD"/>
    <w:rsid w:val="005D1307"/>
    <w:rsid w:val="005D1963"/>
    <w:rsid w:val="005D4188"/>
    <w:rsid w:val="005D471E"/>
    <w:rsid w:val="005D523A"/>
    <w:rsid w:val="005D685D"/>
    <w:rsid w:val="005D6AD9"/>
    <w:rsid w:val="005D6F83"/>
    <w:rsid w:val="005D7D04"/>
    <w:rsid w:val="005D7E88"/>
    <w:rsid w:val="005E0263"/>
    <w:rsid w:val="005E132F"/>
    <w:rsid w:val="005E18B1"/>
    <w:rsid w:val="005E2350"/>
    <w:rsid w:val="005E2450"/>
    <w:rsid w:val="005E39FC"/>
    <w:rsid w:val="005E47E3"/>
    <w:rsid w:val="005E48BD"/>
    <w:rsid w:val="005E6148"/>
    <w:rsid w:val="005E6B51"/>
    <w:rsid w:val="005E7297"/>
    <w:rsid w:val="005E7414"/>
    <w:rsid w:val="005E76CF"/>
    <w:rsid w:val="005F077E"/>
    <w:rsid w:val="005F141D"/>
    <w:rsid w:val="005F1421"/>
    <w:rsid w:val="005F15DD"/>
    <w:rsid w:val="005F2A71"/>
    <w:rsid w:val="005F2E7E"/>
    <w:rsid w:val="005F4674"/>
    <w:rsid w:val="005F70F0"/>
    <w:rsid w:val="005F768A"/>
    <w:rsid w:val="006004D7"/>
    <w:rsid w:val="006012DA"/>
    <w:rsid w:val="00601BE7"/>
    <w:rsid w:val="00602556"/>
    <w:rsid w:val="0060423A"/>
    <w:rsid w:val="006043D2"/>
    <w:rsid w:val="0060453D"/>
    <w:rsid w:val="00604CDB"/>
    <w:rsid w:val="0060520D"/>
    <w:rsid w:val="006053B0"/>
    <w:rsid w:val="006057A8"/>
    <w:rsid w:val="0060669E"/>
    <w:rsid w:val="006068C8"/>
    <w:rsid w:val="00606D5B"/>
    <w:rsid w:val="00607A27"/>
    <w:rsid w:val="006112F9"/>
    <w:rsid w:val="00611B3A"/>
    <w:rsid w:val="00612047"/>
    <w:rsid w:val="0061250B"/>
    <w:rsid w:val="00613621"/>
    <w:rsid w:val="00613751"/>
    <w:rsid w:val="00614390"/>
    <w:rsid w:val="00614EEE"/>
    <w:rsid w:val="0061522F"/>
    <w:rsid w:val="0061550C"/>
    <w:rsid w:val="0061568C"/>
    <w:rsid w:val="0061569D"/>
    <w:rsid w:val="00615EAC"/>
    <w:rsid w:val="00616B41"/>
    <w:rsid w:val="0062100B"/>
    <w:rsid w:val="00621242"/>
    <w:rsid w:val="0062190F"/>
    <w:rsid w:val="00621D20"/>
    <w:rsid w:val="00624542"/>
    <w:rsid w:val="0062496B"/>
    <w:rsid w:val="00625245"/>
    <w:rsid w:val="00625497"/>
    <w:rsid w:val="00625B90"/>
    <w:rsid w:val="00625C7E"/>
    <w:rsid w:val="0062602A"/>
    <w:rsid w:val="00626537"/>
    <w:rsid w:val="0062767B"/>
    <w:rsid w:val="00627975"/>
    <w:rsid w:val="006306F4"/>
    <w:rsid w:val="0063070C"/>
    <w:rsid w:val="00630CE1"/>
    <w:rsid w:val="00631033"/>
    <w:rsid w:val="00631E41"/>
    <w:rsid w:val="006331B6"/>
    <w:rsid w:val="00634204"/>
    <w:rsid w:val="006348C1"/>
    <w:rsid w:val="00635168"/>
    <w:rsid w:val="00635B9D"/>
    <w:rsid w:val="00636397"/>
    <w:rsid w:val="00636EC6"/>
    <w:rsid w:val="0063762A"/>
    <w:rsid w:val="00637DB8"/>
    <w:rsid w:val="0064102A"/>
    <w:rsid w:val="006413BE"/>
    <w:rsid w:val="0064299C"/>
    <w:rsid w:val="00642BCD"/>
    <w:rsid w:val="006433A1"/>
    <w:rsid w:val="006441B7"/>
    <w:rsid w:val="006446F1"/>
    <w:rsid w:val="0064488E"/>
    <w:rsid w:val="00645108"/>
    <w:rsid w:val="006458BA"/>
    <w:rsid w:val="00645A6B"/>
    <w:rsid w:val="006460BF"/>
    <w:rsid w:val="00647F3E"/>
    <w:rsid w:val="00650218"/>
    <w:rsid w:val="0065075E"/>
    <w:rsid w:val="00650C7E"/>
    <w:rsid w:val="0065175A"/>
    <w:rsid w:val="0065197F"/>
    <w:rsid w:val="0065307D"/>
    <w:rsid w:val="0065329D"/>
    <w:rsid w:val="0065338F"/>
    <w:rsid w:val="00653A60"/>
    <w:rsid w:val="006553B1"/>
    <w:rsid w:val="0065668D"/>
    <w:rsid w:val="0065677B"/>
    <w:rsid w:val="0065794F"/>
    <w:rsid w:val="0066000F"/>
    <w:rsid w:val="00661A7B"/>
    <w:rsid w:val="0066202A"/>
    <w:rsid w:val="00662C6D"/>
    <w:rsid w:val="00662E6E"/>
    <w:rsid w:val="0066303C"/>
    <w:rsid w:val="00663B73"/>
    <w:rsid w:val="00663B8D"/>
    <w:rsid w:val="00663C00"/>
    <w:rsid w:val="006651DD"/>
    <w:rsid w:val="0066597F"/>
    <w:rsid w:val="00666018"/>
    <w:rsid w:val="00666877"/>
    <w:rsid w:val="0066698F"/>
    <w:rsid w:val="00667ADA"/>
    <w:rsid w:val="00670FBD"/>
    <w:rsid w:val="006710E7"/>
    <w:rsid w:val="00671930"/>
    <w:rsid w:val="006722A8"/>
    <w:rsid w:val="006722CE"/>
    <w:rsid w:val="006731EA"/>
    <w:rsid w:val="006739A2"/>
    <w:rsid w:val="00674FBB"/>
    <w:rsid w:val="006759C2"/>
    <w:rsid w:val="00675C42"/>
    <w:rsid w:val="00676B6E"/>
    <w:rsid w:val="006778BE"/>
    <w:rsid w:val="0068016F"/>
    <w:rsid w:val="00680C09"/>
    <w:rsid w:val="00682C30"/>
    <w:rsid w:val="00683380"/>
    <w:rsid w:val="006833EF"/>
    <w:rsid w:val="0068352E"/>
    <w:rsid w:val="006835D0"/>
    <w:rsid w:val="006839EF"/>
    <w:rsid w:val="006840D6"/>
    <w:rsid w:val="0068434D"/>
    <w:rsid w:val="00684734"/>
    <w:rsid w:val="0068520F"/>
    <w:rsid w:val="0068550F"/>
    <w:rsid w:val="006859AC"/>
    <w:rsid w:val="00686EF3"/>
    <w:rsid w:val="0069000B"/>
    <w:rsid w:val="00691295"/>
    <w:rsid w:val="006918A9"/>
    <w:rsid w:val="00691C25"/>
    <w:rsid w:val="00691FF7"/>
    <w:rsid w:val="00693119"/>
    <w:rsid w:val="0069313A"/>
    <w:rsid w:val="006935D4"/>
    <w:rsid w:val="00693A38"/>
    <w:rsid w:val="00694BC8"/>
    <w:rsid w:val="00694F6F"/>
    <w:rsid w:val="006952C2"/>
    <w:rsid w:val="006957BD"/>
    <w:rsid w:val="00695CBA"/>
    <w:rsid w:val="00697CA8"/>
    <w:rsid w:val="006A0EE5"/>
    <w:rsid w:val="006A1073"/>
    <w:rsid w:val="006A1C23"/>
    <w:rsid w:val="006A475A"/>
    <w:rsid w:val="006A6E07"/>
    <w:rsid w:val="006B0BEB"/>
    <w:rsid w:val="006B1145"/>
    <w:rsid w:val="006B19A4"/>
    <w:rsid w:val="006B1E9B"/>
    <w:rsid w:val="006B1F85"/>
    <w:rsid w:val="006B24D1"/>
    <w:rsid w:val="006B3920"/>
    <w:rsid w:val="006B3992"/>
    <w:rsid w:val="006B3C74"/>
    <w:rsid w:val="006B4042"/>
    <w:rsid w:val="006B47C7"/>
    <w:rsid w:val="006B4D64"/>
    <w:rsid w:val="006B4F1A"/>
    <w:rsid w:val="006B558C"/>
    <w:rsid w:val="006B598B"/>
    <w:rsid w:val="006B6381"/>
    <w:rsid w:val="006B672D"/>
    <w:rsid w:val="006B723B"/>
    <w:rsid w:val="006B74BD"/>
    <w:rsid w:val="006C0AAD"/>
    <w:rsid w:val="006C125C"/>
    <w:rsid w:val="006C1694"/>
    <w:rsid w:val="006C19B2"/>
    <w:rsid w:val="006C1C19"/>
    <w:rsid w:val="006C2556"/>
    <w:rsid w:val="006C3990"/>
    <w:rsid w:val="006C3D6B"/>
    <w:rsid w:val="006C3E18"/>
    <w:rsid w:val="006C43A6"/>
    <w:rsid w:val="006C48C4"/>
    <w:rsid w:val="006C4DED"/>
    <w:rsid w:val="006C6EAD"/>
    <w:rsid w:val="006C6F4F"/>
    <w:rsid w:val="006D086D"/>
    <w:rsid w:val="006D29B7"/>
    <w:rsid w:val="006D335E"/>
    <w:rsid w:val="006D4134"/>
    <w:rsid w:val="006D4B75"/>
    <w:rsid w:val="006D50BE"/>
    <w:rsid w:val="006D6720"/>
    <w:rsid w:val="006D7381"/>
    <w:rsid w:val="006D763B"/>
    <w:rsid w:val="006E022A"/>
    <w:rsid w:val="006E0307"/>
    <w:rsid w:val="006E03F7"/>
    <w:rsid w:val="006E2069"/>
    <w:rsid w:val="006E2558"/>
    <w:rsid w:val="006E265E"/>
    <w:rsid w:val="006E315A"/>
    <w:rsid w:val="006E4629"/>
    <w:rsid w:val="006E48FA"/>
    <w:rsid w:val="006E4BEF"/>
    <w:rsid w:val="006E5019"/>
    <w:rsid w:val="006E57D9"/>
    <w:rsid w:val="006E5B23"/>
    <w:rsid w:val="006E6232"/>
    <w:rsid w:val="006E66DF"/>
    <w:rsid w:val="006E7605"/>
    <w:rsid w:val="006E7D10"/>
    <w:rsid w:val="006F0401"/>
    <w:rsid w:val="006F122A"/>
    <w:rsid w:val="006F17F7"/>
    <w:rsid w:val="006F1DDB"/>
    <w:rsid w:val="006F205A"/>
    <w:rsid w:val="006F2B4E"/>
    <w:rsid w:val="006F35A8"/>
    <w:rsid w:val="006F39AD"/>
    <w:rsid w:val="006F3F93"/>
    <w:rsid w:val="006F41A1"/>
    <w:rsid w:val="006F6325"/>
    <w:rsid w:val="006F6714"/>
    <w:rsid w:val="006F6DCC"/>
    <w:rsid w:val="00700114"/>
    <w:rsid w:val="00700871"/>
    <w:rsid w:val="00700A66"/>
    <w:rsid w:val="00702052"/>
    <w:rsid w:val="00702501"/>
    <w:rsid w:val="0070306C"/>
    <w:rsid w:val="0070395C"/>
    <w:rsid w:val="00703A2C"/>
    <w:rsid w:val="007041F9"/>
    <w:rsid w:val="0070434D"/>
    <w:rsid w:val="007045F9"/>
    <w:rsid w:val="007050AB"/>
    <w:rsid w:val="00705C52"/>
    <w:rsid w:val="00705F7F"/>
    <w:rsid w:val="007062A1"/>
    <w:rsid w:val="007063A3"/>
    <w:rsid w:val="00706868"/>
    <w:rsid w:val="007079FD"/>
    <w:rsid w:val="0071098F"/>
    <w:rsid w:val="00710F37"/>
    <w:rsid w:val="00712081"/>
    <w:rsid w:val="00712405"/>
    <w:rsid w:val="007129BD"/>
    <w:rsid w:val="00713713"/>
    <w:rsid w:val="00713941"/>
    <w:rsid w:val="007143FB"/>
    <w:rsid w:val="007149D1"/>
    <w:rsid w:val="00716092"/>
    <w:rsid w:val="0071614D"/>
    <w:rsid w:val="007174CA"/>
    <w:rsid w:val="00720292"/>
    <w:rsid w:val="00720399"/>
    <w:rsid w:val="0072274C"/>
    <w:rsid w:val="007228CA"/>
    <w:rsid w:val="00722F46"/>
    <w:rsid w:val="00722FD2"/>
    <w:rsid w:val="0072353B"/>
    <w:rsid w:val="007235C4"/>
    <w:rsid w:val="0072389B"/>
    <w:rsid w:val="0072502F"/>
    <w:rsid w:val="007276F3"/>
    <w:rsid w:val="007302E2"/>
    <w:rsid w:val="00730914"/>
    <w:rsid w:val="00730E68"/>
    <w:rsid w:val="0073155F"/>
    <w:rsid w:val="00731ABE"/>
    <w:rsid w:val="00731B78"/>
    <w:rsid w:val="007325B4"/>
    <w:rsid w:val="00732B59"/>
    <w:rsid w:val="00733D0B"/>
    <w:rsid w:val="00733F1F"/>
    <w:rsid w:val="007346D8"/>
    <w:rsid w:val="0073643D"/>
    <w:rsid w:val="007370B6"/>
    <w:rsid w:val="00740C47"/>
    <w:rsid w:val="007413B7"/>
    <w:rsid w:val="00741C61"/>
    <w:rsid w:val="00743126"/>
    <w:rsid w:val="007434F8"/>
    <w:rsid w:val="007443D0"/>
    <w:rsid w:val="00744869"/>
    <w:rsid w:val="00745D18"/>
    <w:rsid w:val="00746814"/>
    <w:rsid w:val="00746E20"/>
    <w:rsid w:val="0074709E"/>
    <w:rsid w:val="00747443"/>
    <w:rsid w:val="007475AD"/>
    <w:rsid w:val="0074789B"/>
    <w:rsid w:val="007504A9"/>
    <w:rsid w:val="00750C47"/>
    <w:rsid w:val="00752882"/>
    <w:rsid w:val="00752E32"/>
    <w:rsid w:val="0075345E"/>
    <w:rsid w:val="00753B8C"/>
    <w:rsid w:val="00753C3E"/>
    <w:rsid w:val="00754BFE"/>
    <w:rsid w:val="007551BC"/>
    <w:rsid w:val="00755313"/>
    <w:rsid w:val="00755E9F"/>
    <w:rsid w:val="00757141"/>
    <w:rsid w:val="00757EA8"/>
    <w:rsid w:val="007602EC"/>
    <w:rsid w:val="00761DE2"/>
    <w:rsid w:val="00762072"/>
    <w:rsid w:val="00763880"/>
    <w:rsid w:val="007649F8"/>
    <w:rsid w:val="00764E32"/>
    <w:rsid w:val="00764EFA"/>
    <w:rsid w:val="00765454"/>
    <w:rsid w:val="007706ED"/>
    <w:rsid w:val="00770A71"/>
    <w:rsid w:val="00773D77"/>
    <w:rsid w:val="00774A8E"/>
    <w:rsid w:val="00774F03"/>
    <w:rsid w:val="00775DB2"/>
    <w:rsid w:val="0077608B"/>
    <w:rsid w:val="007766CC"/>
    <w:rsid w:val="00777365"/>
    <w:rsid w:val="00777405"/>
    <w:rsid w:val="00777527"/>
    <w:rsid w:val="007775C2"/>
    <w:rsid w:val="00777CF6"/>
    <w:rsid w:val="00777E81"/>
    <w:rsid w:val="007807EF"/>
    <w:rsid w:val="00780A33"/>
    <w:rsid w:val="00781B06"/>
    <w:rsid w:val="007834BD"/>
    <w:rsid w:val="0078455B"/>
    <w:rsid w:val="00784C30"/>
    <w:rsid w:val="00785268"/>
    <w:rsid w:val="0078551D"/>
    <w:rsid w:val="007863CA"/>
    <w:rsid w:val="00786C8D"/>
    <w:rsid w:val="00787B45"/>
    <w:rsid w:val="00790275"/>
    <w:rsid w:val="00790A16"/>
    <w:rsid w:val="00790D3E"/>
    <w:rsid w:val="00790D82"/>
    <w:rsid w:val="00791BD5"/>
    <w:rsid w:val="007928AB"/>
    <w:rsid w:val="00792AA4"/>
    <w:rsid w:val="00793349"/>
    <w:rsid w:val="00794121"/>
    <w:rsid w:val="0079502A"/>
    <w:rsid w:val="0079514C"/>
    <w:rsid w:val="007958B1"/>
    <w:rsid w:val="00795ADC"/>
    <w:rsid w:val="00795F67"/>
    <w:rsid w:val="00795FE9"/>
    <w:rsid w:val="00796968"/>
    <w:rsid w:val="00796C05"/>
    <w:rsid w:val="00797394"/>
    <w:rsid w:val="00797AD9"/>
    <w:rsid w:val="00797FAF"/>
    <w:rsid w:val="007A0797"/>
    <w:rsid w:val="007A07E4"/>
    <w:rsid w:val="007A2B3A"/>
    <w:rsid w:val="007A2BE0"/>
    <w:rsid w:val="007A2F04"/>
    <w:rsid w:val="007A3BA0"/>
    <w:rsid w:val="007A5843"/>
    <w:rsid w:val="007A6053"/>
    <w:rsid w:val="007A67EA"/>
    <w:rsid w:val="007A6F63"/>
    <w:rsid w:val="007A754C"/>
    <w:rsid w:val="007A7BD8"/>
    <w:rsid w:val="007B06A3"/>
    <w:rsid w:val="007B0752"/>
    <w:rsid w:val="007B1445"/>
    <w:rsid w:val="007B18A7"/>
    <w:rsid w:val="007B2616"/>
    <w:rsid w:val="007B288E"/>
    <w:rsid w:val="007B2F3C"/>
    <w:rsid w:val="007B3A13"/>
    <w:rsid w:val="007B405C"/>
    <w:rsid w:val="007B4174"/>
    <w:rsid w:val="007B431E"/>
    <w:rsid w:val="007B46B7"/>
    <w:rsid w:val="007B4771"/>
    <w:rsid w:val="007B47D1"/>
    <w:rsid w:val="007B5253"/>
    <w:rsid w:val="007B6EAE"/>
    <w:rsid w:val="007B70B3"/>
    <w:rsid w:val="007B743C"/>
    <w:rsid w:val="007B794C"/>
    <w:rsid w:val="007B7A3A"/>
    <w:rsid w:val="007C0283"/>
    <w:rsid w:val="007C180A"/>
    <w:rsid w:val="007C273D"/>
    <w:rsid w:val="007C29C8"/>
    <w:rsid w:val="007C2B33"/>
    <w:rsid w:val="007C3636"/>
    <w:rsid w:val="007C4DA9"/>
    <w:rsid w:val="007C5E21"/>
    <w:rsid w:val="007C5EFC"/>
    <w:rsid w:val="007C66D6"/>
    <w:rsid w:val="007C66E7"/>
    <w:rsid w:val="007C6F5C"/>
    <w:rsid w:val="007C7ED8"/>
    <w:rsid w:val="007D0563"/>
    <w:rsid w:val="007D0CED"/>
    <w:rsid w:val="007D12D0"/>
    <w:rsid w:val="007D20E0"/>
    <w:rsid w:val="007D36F7"/>
    <w:rsid w:val="007D3832"/>
    <w:rsid w:val="007D3F3B"/>
    <w:rsid w:val="007D4779"/>
    <w:rsid w:val="007D53EF"/>
    <w:rsid w:val="007D55E1"/>
    <w:rsid w:val="007D591A"/>
    <w:rsid w:val="007D5C5F"/>
    <w:rsid w:val="007D6757"/>
    <w:rsid w:val="007D67E2"/>
    <w:rsid w:val="007D6CE7"/>
    <w:rsid w:val="007D6EC5"/>
    <w:rsid w:val="007E01A4"/>
    <w:rsid w:val="007E1246"/>
    <w:rsid w:val="007E130E"/>
    <w:rsid w:val="007E1A1F"/>
    <w:rsid w:val="007E212D"/>
    <w:rsid w:val="007E25B0"/>
    <w:rsid w:val="007E2A9A"/>
    <w:rsid w:val="007E2E20"/>
    <w:rsid w:val="007E3EE6"/>
    <w:rsid w:val="007E48C1"/>
    <w:rsid w:val="007E4A8B"/>
    <w:rsid w:val="007E4E86"/>
    <w:rsid w:val="007E5951"/>
    <w:rsid w:val="007E68A6"/>
    <w:rsid w:val="007E6DE9"/>
    <w:rsid w:val="007E7B67"/>
    <w:rsid w:val="007F032A"/>
    <w:rsid w:val="007F05F4"/>
    <w:rsid w:val="007F0F01"/>
    <w:rsid w:val="007F2912"/>
    <w:rsid w:val="007F563B"/>
    <w:rsid w:val="007F56D0"/>
    <w:rsid w:val="007F5714"/>
    <w:rsid w:val="007F6327"/>
    <w:rsid w:val="007F6BA5"/>
    <w:rsid w:val="007F7A2C"/>
    <w:rsid w:val="00800533"/>
    <w:rsid w:val="00800C1D"/>
    <w:rsid w:val="0080102D"/>
    <w:rsid w:val="00801E1A"/>
    <w:rsid w:val="00803569"/>
    <w:rsid w:val="008035D9"/>
    <w:rsid w:val="00803806"/>
    <w:rsid w:val="00803916"/>
    <w:rsid w:val="00803971"/>
    <w:rsid w:val="00803E70"/>
    <w:rsid w:val="008047CE"/>
    <w:rsid w:val="008052DA"/>
    <w:rsid w:val="00805355"/>
    <w:rsid w:val="00806139"/>
    <w:rsid w:val="008069D7"/>
    <w:rsid w:val="008103C5"/>
    <w:rsid w:val="00810754"/>
    <w:rsid w:val="00810EAE"/>
    <w:rsid w:val="00811347"/>
    <w:rsid w:val="00811444"/>
    <w:rsid w:val="00812F51"/>
    <w:rsid w:val="00813181"/>
    <w:rsid w:val="0081341F"/>
    <w:rsid w:val="00814CFA"/>
    <w:rsid w:val="00815FBE"/>
    <w:rsid w:val="00816634"/>
    <w:rsid w:val="00816ACC"/>
    <w:rsid w:val="00817298"/>
    <w:rsid w:val="00820C04"/>
    <w:rsid w:val="00820D30"/>
    <w:rsid w:val="00821FB8"/>
    <w:rsid w:val="00822358"/>
    <w:rsid w:val="008230BC"/>
    <w:rsid w:val="00824539"/>
    <w:rsid w:val="00824782"/>
    <w:rsid w:val="00825A58"/>
    <w:rsid w:val="00825B3F"/>
    <w:rsid w:val="00825D1C"/>
    <w:rsid w:val="00826271"/>
    <w:rsid w:val="0082685F"/>
    <w:rsid w:val="008275DE"/>
    <w:rsid w:val="00830637"/>
    <w:rsid w:val="00830F97"/>
    <w:rsid w:val="008310C0"/>
    <w:rsid w:val="00831ACA"/>
    <w:rsid w:val="00832098"/>
    <w:rsid w:val="00832158"/>
    <w:rsid w:val="00832396"/>
    <w:rsid w:val="0083265D"/>
    <w:rsid w:val="00835787"/>
    <w:rsid w:val="00836146"/>
    <w:rsid w:val="0083624D"/>
    <w:rsid w:val="00837F77"/>
    <w:rsid w:val="00840331"/>
    <w:rsid w:val="00840972"/>
    <w:rsid w:val="00840E94"/>
    <w:rsid w:val="00841550"/>
    <w:rsid w:val="008416C6"/>
    <w:rsid w:val="008429A7"/>
    <w:rsid w:val="00842D5B"/>
    <w:rsid w:val="00842D8B"/>
    <w:rsid w:val="00842EF5"/>
    <w:rsid w:val="0084599C"/>
    <w:rsid w:val="00846BC8"/>
    <w:rsid w:val="00847EDC"/>
    <w:rsid w:val="00850774"/>
    <w:rsid w:val="00851B30"/>
    <w:rsid w:val="0085225E"/>
    <w:rsid w:val="00852D92"/>
    <w:rsid w:val="00854487"/>
    <w:rsid w:val="008547F0"/>
    <w:rsid w:val="0085547D"/>
    <w:rsid w:val="00856931"/>
    <w:rsid w:val="00857291"/>
    <w:rsid w:val="008572AC"/>
    <w:rsid w:val="00857639"/>
    <w:rsid w:val="00857ABA"/>
    <w:rsid w:val="0086049A"/>
    <w:rsid w:val="00863887"/>
    <w:rsid w:val="008644CD"/>
    <w:rsid w:val="0086477F"/>
    <w:rsid w:val="00865FC4"/>
    <w:rsid w:val="00866AB0"/>
    <w:rsid w:val="0086722D"/>
    <w:rsid w:val="008673FF"/>
    <w:rsid w:val="0087082E"/>
    <w:rsid w:val="00872713"/>
    <w:rsid w:val="008732FB"/>
    <w:rsid w:val="00873F9B"/>
    <w:rsid w:val="0087546A"/>
    <w:rsid w:val="00875B72"/>
    <w:rsid w:val="008764A8"/>
    <w:rsid w:val="00876E53"/>
    <w:rsid w:val="008771B6"/>
    <w:rsid w:val="00877716"/>
    <w:rsid w:val="0088000D"/>
    <w:rsid w:val="00881E24"/>
    <w:rsid w:val="0088239A"/>
    <w:rsid w:val="00882BE0"/>
    <w:rsid w:val="00882D6E"/>
    <w:rsid w:val="00883390"/>
    <w:rsid w:val="00883700"/>
    <w:rsid w:val="00883BAD"/>
    <w:rsid w:val="00883D0E"/>
    <w:rsid w:val="00884086"/>
    <w:rsid w:val="008843EE"/>
    <w:rsid w:val="008849CE"/>
    <w:rsid w:val="00884BF2"/>
    <w:rsid w:val="00884CC1"/>
    <w:rsid w:val="00884E20"/>
    <w:rsid w:val="00887CC5"/>
    <w:rsid w:val="00887F41"/>
    <w:rsid w:val="0089010D"/>
    <w:rsid w:val="00890AA0"/>
    <w:rsid w:val="00892B73"/>
    <w:rsid w:val="00893066"/>
    <w:rsid w:val="008940EA"/>
    <w:rsid w:val="00894290"/>
    <w:rsid w:val="00894385"/>
    <w:rsid w:val="008953D4"/>
    <w:rsid w:val="00895F1C"/>
    <w:rsid w:val="00896C44"/>
    <w:rsid w:val="00897679"/>
    <w:rsid w:val="008A0B5D"/>
    <w:rsid w:val="008A116B"/>
    <w:rsid w:val="008A1875"/>
    <w:rsid w:val="008A1D7D"/>
    <w:rsid w:val="008A2D2D"/>
    <w:rsid w:val="008A360B"/>
    <w:rsid w:val="008A53FD"/>
    <w:rsid w:val="008A5CD1"/>
    <w:rsid w:val="008A5CEE"/>
    <w:rsid w:val="008A5EE6"/>
    <w:rsid w:val="008A5FBF"/>
    <w:rsid w:val="008A75FF"/>
    <w:rsid w:val="008A7D85"/>
    <w:rsid w:val="008B178A"/>
    <w:rsid w:val="008B3439"/>
    <w:rsid w:val="008B404A"/>
    <w:rsid w:val="008B475E"/>
    <w:rsid w:val="008B5400"/>
    <w:rsid w:val="008B547D"/>
    <w:rsid w:val="008B5FF4"/>
    <w:rsid w:val="008B6272"/>
    <w:rsid w:val="008B6A5F"/>
    <w:rsid w:val="008B6ADC"/>
    <w:rsid w:val="008B6F9C"/>
    <w:rsid w:val="008C0091"/>
    <w:rsid w:val="008C07C3"/>
    <w:rsid w:val="008C099A"/>
    <w:rsid w:val="008C1107"/>
    <w:rsid w:val="008C1910"/>
    <w:rsid w:val="008C19AE"/>
    <w:rsid w:val="008C1C6C"/>
    <w:rsid w:val="008C24CF"/>
    <w:rsid w:val="008C38BF"/>
    <w:rsid w:val="008C412D"/>
    <w:rsid w:val="008C46E1"/>
    <w:rsid w:val="008C594F"/>
    <w:rsid w:val="008C5C0C"/>
    <w:rsid w:val="008C653C"/>
    <w:rsid w:val="008C68E4"/>
    <w:rsid w:val="008C7215"/>
    <w:rsid w:val="008C77C6"/>
    <w:rsid w:val="008C7E47"/>
    <w:rsid w:val="008D0556"/>
    <w:rsid w:val="008D0775"/>
    <w:rsid w:val="008D1162"/>
    <w:rsid w:val="008D2A00"/>
    <w:rsid w:val="008D3232"/>
    <w:rsid w:val="008D41F2"/>
    <w:rsid w:val="008D4234"/>
    <w:rsid w:val="008D4926"/>
    <w:rsid w:val="008D5624"/>
    <w:rsid w:val="008D5694"/>
    <w:rsid w:val="008D61A2"/>
    <w:rsid w:val="008D61F3"/>
    <w:rsid w:val="008D622A"/>
    <w:rsid w:val="008D78C3"/>
    <w:rsid w:val="008D7B9F"/>
    <w:rsid w:val="008E0023"/>
    <w:rsid w:val="008E09DD"/>
    <w:rsid w:val="008E1579"/>
    <w:rsid w:val="008E170B"/>
    <w:rsid w:val="008E23D5"/>
    <w:rsid w:val="008E2933"/>
    <w:rsid w:val="008E3162"/>
    <w:rsid w:val="008E41DC"/>
    <w:rsid w:val="008E512A"/>
    <w:rsid w:val="008F0B3E"/>
    <w:rsid w:val="008F2305"/>
    <w:rsid w:val="008F3242"/>
    <w:rsid w:val="008F32CF"/>
    <w:rsid w:val="008F4475"/>
    <w:rsid w:val="008F4905"/>
    <w:rsid w:val="008F5180"/>
    <w:rsid w:val="008F5FE2"/>
    <w:rsid w:val="008F6483"/>
    <w:rsid w:val="008F6D33"/>
    <w:rsid w:val="009003E6"/>
    <w:rsid w:val="00901027"/>
    <w:rsid w:val="00901F70"/>
    <w:rsid w:val="00903060"/>
    <w:rsid w:val="00903AE2"/>
    <w:rsid w:val="009054BD"/>
    <w:rsid w:val="00905A47"/>
    <w:rsid w:val="0090678A"/>
    <w:rsid w:val="0090690A"/>
    <w:rsid w:val="00906D07"/>
    <w:rsid w:val="00907677"/>
    <w:rsid w:val="00910AFD"/>
    <w:rsid w:val="0091145C"/>
    <w:rsid w:val="00913266"/>
    <w:rsid w:val="00915873"/>
    <w:rsid w:val="009158A7"/>
    <w:rsid w:val="009160C8"/>
    <w:rsid w:val="00916511"/>
    <w:rsid w:val="00916E58"/>
    <w:rsid w:val="009171D5"/>
    <w:rsid w:val="0091751C"/>
    <w:rsid w:val="009209FD"/>
    <w:rsid w:val="00922D20"/>
    <w:rsid w:val="00923AF9"/>
    <w:rsid w:val="009247D5"/>
    <w:rsid w:val="00924890"/>
    <w:rsid w:val="009258A3"/>
    <w:rsid w:val="00925D0F"/>
    <w:rsid w:val="00925D57"/>
    <w:rsid w:val="00925E17"/>
    <w:rsid w:val="00926767"/>
    <w:rsid w:val="00927842"/>
    <w:rsid w:val="0092795F"/>
    <w:rsid w:val="0093013B"/>
    <w:rsid w:val="00930C38"/>
    <w:rsid w:val="00930EE6"/>
    <w:rsid w:val="009316E4"/>
    <w:rsid w:val="00932110"/>
    <w:rsid w:val="00932761"/>
    <w:rsid w:val="009334FD"/>
    <w:rsid w:val="009355F8"/>
    <w:rsid w:val="00935ADB"/>
    <w:rsid w:val="00937B6F"/>
    <w:rsid w:val="00940EF0"/>
    <w:rsid w:val="00941018"/>
    <w:rsid w:val="00941459"/>
    <w:rsid w:val="00941600"/>
    <w:rsid w:val="009424BD"/>
    <w:rsid w:val="00943224"/>
    <w:rsid w:val="00943C06"/>
    <w:rsid w:val="0094488A"/>
    <w:rsid w:val="00946165"/>
    <w:rsid w:val="00946715"/>
    <w:rsid w:val="00946EF3"/>
    <w:rsid w:val="00947AA8"/>
    <w:rsid w:val="0095047B"/>
    <w:rsid w:val="00951CD2"/>
    <w:rsid w:val="00951E56"/>
    <w:rsid w:val="00953A72"/>
    <w:rsid w:val="009548BA"/>
    <w:rsid w:val="00954EA1"/>
    <w:rsid w:val="009550D7"/>
    <w:rsid w:val="0095719C"/>
    <w:rsid w:val="009575B2"/>
    <w:rsid w:val="009576DE"/>
    <w:rsid w:val="009579CB"/>
    <w:rsid w:val="0096210B"/>
    <w:rsid w:val="00962217"/>
    <w:rsid w:val="00962545"/>
    <w:rsid w:val="00962883"/>
    <w:rsid w:val="00963883"/>
    <w:rsid w:val="009641BC"/>
    <w:rsid w:val="0096497B"/>
    <w:rsid w:val="00965A04"/>
    <w:rsid w:val="00965D5F"/>
    <w:rsid w:val="0096730A"/>
    <w:rsid w:val="0096735A"/>
    <w:rsid w:val="009675B0"/>
    <w:rsid w:val="00967838"/>
    <w:rsid w:val="00970444"/>
    <w:rsid w:val="009736EA"/>
    <w:rsid w:val="0097441F"/>
    <w:rsid w:val="00974918"/>
    <w:rsid w:val="00975AA6"/>
    <w:rsid w:val="00975FCC"/>
    <w:rsid w:val="00977981"/>
    <w:rsid w:val="00980159"/>
    <w:rsid w:val="00980240"/>
    <w:rsid w:val="009804BF"/>
    <w:rsid w:val="0098120F"/>
    <w:rsid w:val="00981BFE"/>
    <w:rsid w:val="00981E71"/>
    <w:rsid w:val="00981FA1"/>
    <w:rsid w:val="0098282B"/>
    <w:rsid w:val="009841C9"/>
    <w:rsid w:val="00984719"/>
    <w:rsid w:val="009848BA"/>
    <w:rsid w:val="00984C65"/>
    <w:rsid w:val="009858AC"/>
    <w:rsid w:val="009872A2"/>
    <w:rsid w:val="00990918"/>
    <w:rsid w:val="009914D1"/>
    <w:rsid w:val="00991A8E"/>
    <w:rsid w:val="00992553"/>
    <w:rsid w:val="009959F0"/>
    <w:rsid w:val="0099623A"/>
    <w:rsid w:val="00996CBF"/>
    <w:rsid w:val="00996CFD"/>
    <w:rsid w:val="009A05A3"/>
    <w:rsid w:val="009A0ED9"/>
    <w:rsid w:val="009A233D"/>
    <w:rsid w:val="009A2349"/>
    <w:rsid w:val="009A279E"/>
    <w:rsid w:val="009A3538"/>
    <w:rsid w:val="009A35C5"/>
    <w:rsid w:val="009A44F8"/>
    <w:rsid w:val="009A52BD"/>
    <w:rsid w:val="009A6403"/>
    <w:rsid w:val="009A6783"/>
    <w:rsid w:val="009A7110"/>
    <w:rsid w:val="009A788B"/>
    <w:rsid w:val="009A7C1E"/>
    <w:rsid w:val="009B0058"/>
    <w:rsid w:val="009B0601"/>
    <w:rsid w:val="009B0E6F"/>
    <w:rsid w:val="009B12D1"/>
    <w:rsid w:val="009B14CA"/>
    <w:rsid w:val="009B14E7"/>
    <w:rsid w:val="009B1932"/>
    <w:rsid w:val="009B1E46"/>
    <w:rsid w:val="009B1EC4"/>
    <w:rsid w:val="009B2884"/>
    <w:rsid w:val="009B3020"/>
    <w:rsid w:val="009B3141"/>
    <w:rsid w:val="009B3AC2"/>
    <w:rsid w:val="009B3B00"/>
    <w:rsid w:val="009B4064"/>
    <w:rsid w:val="009B4147"/>
    <w:rsid w:val="009B44B6"/>
    <w:rsid w:val="009B52E1"/>
    <w:rsid w:val="009B58EC"/>
    <w:rsid w:val="009B71AF"/>
    <w:rsid w:val="009C0133"/>
    <w:rsid w:val="009C03E9"/>
    <w:rsid w:val="009C0670"/>
    <w:rsid w:val="009C0BE7"/>
    <w:rsid w:val="009C0D74"/>
    <w:rsid w:val="009C191C"/>
    <w:rsid w:val="009C33B0"/>
    <w:rsid w:val="009C3EA3"/>
    <w:rsid w:val="009C45A1"/>
    <w:rsid w:val="009C503E"/>
    <w:rsid w:val="009C539C"/>
    <w:rsid w:val="009C5AD6"/>
    <w:rsid w:val="009C6676"/>
    <w:rsid w:val="009C66AD"/>
    <w:rsid w:val="009C7820"/>
    <w:rsid w:val="009D062C"/>
    <w:rsid w:val="009D0844"/>
    <w:rsid w:val="009D0848"/>
    <w:rsid w:val="009D1309"/>
    <w:rsid w:val="009D17DC"/>
    <w:rsid w:val="009D2EC6"/>
    <w:rsid w:val="009D4C16"/>
    <w:rsid w:val="009D4C49"/>
    <w:rsid w:val="009D57A2"/>
    <w:rsid w:val="009D5F09"/>
    <w:rsid w:val="009D60EE"/>
    <w:rsid w:val="009D653F"/>
    <w:rsid w:val="009D7167"/>
    <w:rsid w:val="009E02A5"/>
    <w:rsid w:val="009E0A77"/>
    <w:rsid w:val="009E0EB2"/>
    <w:rsid w:val="009E1D7F"/>
    <w:rsid w:val="009E4226"/>
    <w:rsid w:val="009E4FD8"/>
    <w:rsid w:val="009E50B2"/>
    <w:rsid w:val="009E6131"/>
    <w:rsid w:val="009E7CA9"/>
    <w:rsid w:val="009F096C"/>
    <w:rsid w:val="009F1196"/>
    <w:rsid w:val="009F1B5E"/>
    <w:rsid w:val="009F2620"/>
    <w:rsid w:val="009F4682"/>
    <w:rsid w:val="009F524C"/>
    <w:rsid w:val="009F6309"/>
    <w:rsid w:val="00A0033B"/>
    <w:rsid w:val="00A00FDE"/>
    <w:rsid w:val="00A02316"/>
    <w:rsid w:val="00A028D1"/>
    <w:rsid w:val="00A03379"/>
    <w:rsid w:val="00A03AAD"/>
    <w:rsid w:val="00A03BF7"/>
    <w:rsid w:val="00A04B4A"/>
    <w:rsid w:val="00A050D6"/>
    <w:rsid w:val="00A055F1"/>
    <w:rsid w:val="00A0565C"/>
    <w:rsid w:val="00A05C0A"/>
    <w:rsid w:val="00A06C20"/>
    <w:rsid w:val="00A077C0"/>
    <w:rsid w:val="00A1042C"/>
    <w:rsid w:val="00A10B94"/>
    <w:rsid w:val="00A12779"/>
    <w:rsid w:val="00A14351"/>
    <w:rsid w:val="00A14B89"/>
    <w:rsid w:val="00A14D3F"/>
    <w:rsid w:val="00A14FED"/>
    <w:rsid w:val="00A151C7"/>
    <w:rsid w:val="00A15DB0"/>
    <w:rsid w:val="00A168F1"/>
    <w:rsid w:val="00A1726A"/>
    <w:rsid w:val="00A17937"/>
    <w:rsid w:val="00A17F7F"/>
    <w:rsid w:val="00A20238"/>
    <w:rsid w:val="00A214EB"/>
    <w:rsid w:val="00A21592"/>
    <w:rsid w:val="00A21DF7"/>
    <w:rsid w:val="00A2247E"/>
    <w:rsid w:val="00A23465"/>
    <w:rsid w:val="00A23F00"/>
    <w:rsid w:val="00A23FEF"/>
    <w:rsid w:val="00A24FBF"/>
    <w:rsid w:val="00A258C3"/>
    <w:rsid w:val="00A258EB"/>
    <w:rsid w:val="00A25ECE"/>
    <w:rsid w:val="00A25F3F"/>
    <w:rsid w:val="00A26B51"/>
    <w:rsid w:val="00A2757F"/>
    <w:rsid w:val="00A27A0D"/>
    <w:rsid w:val="00A31205"/>
    <w:rsid w:val="00A3132C"/>
    <w:rsid w:val="00A323DE"/>
    <w:rsid w:val="00A3268C"/>
    <w:rsid w:val="00A34240"/>
    <w:rsid w:val="00A351BD"/>
    <w:rsid w:val="00A3558A"/>
    <w:rsid w:val="00A3594B"/>
    <w:rsid w:val="00A3603A"/>
    <w:rsid w:val="00A36745"/>
    <w:rsid w:val="00A376A2"/>
    <w:rsid w:val="00A404BA"/>
    <w:rsid w:val="00A405E9"/>
    <w:rsid w:val="00A40AD1"/>
    <w:rsid w:val="00A41171"/>
    <w:rsid w:val="00A41873"/>
    <w:rsid w:val="00A42D1C"/>
    <w:rsid w:val="00A43A71"/>
    <w:rsid w:val="00A44FAB"/>
    <w:rsid w:val="00A45777"/>
    <w:rsid w:val="00A463CF"/>
    <w:rsid w:val="00A46A23"/>
    <w:rsid w:val="00A46B32"/>
    <w:rsid w:val="00A46C2B"/>
    <w:rsid w:val="00A46C2F"/>
    <w:rsid w:val="00A46CE1"/>
    <w:rsid w:val="00A46EDE"/>
    <w:rsid w:val="00A470D5"/>
    <w:rsid w:val="00A4793F"/>
    <w:rsid w:val="00A502E2"/>
    <w:rsid w:val="00A50763"/>
    <w:rsid w:val="00A5379B"/>
    <w:rsid w:val="00A54E30"/>
    <w:rsid w:val="00A55A20"/>
    <w:rsid w:val="00A55AB8"/>
    <w:rsid w:val="00A56D35"/>
    <w:rsid w:val="00A56EA6"/>
    <w:rsid w:val="00A576ED"/>
    <w:rsid w:val="00A602D8"/>
    <w:rsid w:val="00A618E4"/>
    <w:rsid w:val="00A62774"/>
    <w:rsid w:val="00A62DDE"/>
    <w:rsid w:val="00A632A6"/>
    <w:rsid w:val="00A63A6E"/>
    <w:rsid w:val="00A64216"/>
    <w:rsid w:val="00A64AF2"/>
    <w:rsid w:val="00A64DDF"/>
    <w:rsid w:val="00A67B3C"/>
    <w:rsid w:val="00A67CF3"/>
    <w:rsid w:val="00A71AB6"/>
    <w:rsid w:val="00A72506"/>
    <w:rsid w:val="00A7271E"/>
    <w:rsid w:val="00A73D96"/>
    <w:rsid w:val="00A740B9"/>
    <w:rsid w:val="00A74640"/>
    <w:rsid w:val="00A746D0"/>
    <w:rsid w:val="00A74CFD"/>
    <w:rsid w:val="00A76672"/>
    <w:rsid w:val="00A76FCB"/>
    <w:rsid w:val="00A774C7"/>
    <w:rsid w:val="00A7779E"/>
    <w:rsid w:val="00A80190"/>
    <w:rsid w:val="00A8034A"/>
    <w:rsid w:val="00A80370"/>
    <w:rsid w:val="00A806EA"/>
    <w:rsid w:val="00A81072"/>
    <w:rsid w:val="00A818D2"/>
    <w:rsid w:val="00A81E4F"/>
    <w:rsid w:val="00A82B03"/>
    <w:rsid w:val="00A82D54"/>
    <w:rsid w:val="00A8308F"/>
    <w:rsid w:val="00A832B1"/>
    <w:rsid w:val="00A832D6"/>
    <w:rsid w:val="00A834B7"/>
    <w:rsid w:val="00A8376E"/>
    <w:rsid w:val="00A83F70"/>
    <w:rsid w:val="00A8475F"/>
    <w:rsid w:val="00A85DE3"/>
    <w:rsid w:val="00A85F15"/>
    <w:rsid w:val="00A86A72"/>
    <w:rsid w:val="00A86DE7"/>
    <w:rsid w:val="00A87294"/>
    <w:rsid w:val="00A87D76"/>
    <w:rsid w:val="00A87E33"/>
    <w:rsid w:val="00A9042F"/>
    <w:rsid w:val="00A912A6"/>
    <w:rsid w:val="00A91765"/>
    <w:rsid w:val="00A91A26"/>
    <w:rsid w:val="00A92008"/>
    <w:rsid w:val="00A92D8B"/>
    <w:rsid w:val="00A9339F"/>
    <w:rsid w:val="00A934BE"/>
    <w:rsid w:val="00A9540E"/>
    <w:rsid w:val="00A96927"/>
    <w:rsid w:val="00AA06DF"/>
    <w:rsid w:val="00AA128A"/>
    <w:rsid w:val="00AA1CCA"/>
    <w:rsid w:val="00AA1E85"/>
    <w:rsid w:val="00AA22BC"/>
    <w:rsid w:val="00AA2CD3"/>
    <w:rsid w:val="00AA37C0"/>
    <w:rsid w:val="00AA4950"/>
    <w:rsid w:val="00AA50A5"/>
    <w:rsid w:val="00AA5120"/>
    <w:rsid w:val="00AA592B"/>
    <w:rsid w:val="00AA5F61"/>
    <w:rsid w:val="00AA6493"/>
    <w:rsid w:val="00AA6C57"/>
    <w:rsid w:val="00AA704F"/>
    <w:rsid w:val="00AA71E5"/>
    <w:rsid w:val="00AA72BA"/>
    <w:rsid w:val="00AB0651"/>
    <w:rsid w:val="00AB4B0E"/>
    <w:rsid w:val="00AB55C3"/>
    <w:rsid w:val="00AB56CD"/>
    <w:rsid w:val="00AB5DBF"/>
    <w:rsid w:val="00AB77C4"/>
    <w:rsid w:val="00AC0533"/>
    <w:rsid w:val="00AC0818"/>
    <w:rsid w:val="00AC2083"/>
    <w:rsid w:val="00AC2538"/>
    <w:rsid w:val="00AC261A"/>
    <w:rsid w:val="00AC32CA"/>
    <w:rsid w:val="00AC37B7"/>
    <w:rsid w:val="00AC39A3"/>
    <w:rsid w:val="00AC6115"/>
    <w:rsid w:val="00AC614D"/>
    <w:rsid w:val="00AC6C86"/>
    <w:rsid w:val="00AC73B4"/>
    <w:rsid w:val="00AC789F"/>
    <w:rsid w:val="00AD013E"/>
    <w:rsid w:val="00AD0DE4"/>
    <w:rsid w:val="00AD15B0"/>
    <w:rsid w:val="00AD226D"/>
    <w:rsid w:val="00AD2C59"/>
    <w:rsid w:val="00AD2F96"/>
    <w:rsid w:val="00AD3B94"/>
    <w:rsid w:val="00AD3EF7"/>
    <w:rsid w:val="00AD4C74"/>
    <w:rsid w:val="00AD5F0A"/>
    <w:rsid w:val="00AD5F29"/>
    <w:rsid w:val="00AD669B"/>
    <w:rsid w:val="00AE0E57"/>
    <w:rsid w:val="00AE1856"/>
    <w:rsid w:val="00AE2C7A"/>
    <w:rsid w:val="00AE2CF2"/>
    <w:rsid w:val="00AE3F55"/>
    <w:rsid w:val="00AE4A45"/>
    <w:rsid w:val="00AE5403"/>
    <w:rsid w:val="00AE64E5"/>
    <w:rsid w:val="00AE6A2B"/>
    <w:rsid w:val="00AE71E0"/>
    <w:rsid w:val="00AF0660"/>
    <w:rsid w:val="00AF09BA"/>
    <w:rsid w:val="00AF1703"/>
    <w:rsid w:val="00AF19EE"/>
    <w:rsid w:val="00AF1A93"/>
    <w:rsid w:val="00AF241D"/>
    <w:rsid w:val="00AF297E"/>
    <w:rsid w:val="00AF2BEE"/>
    <w:rsid w:val="00AF3271"/>
    <w:rsid w:val="00AF3373"/>
    <w:rsid w:val="00AF3D23"/>
    <w:rsid w:val="00AF43D9"/>
    <w:rsid w:val="00AF4647"/>
    <w:rsid w:val="00AF49BE"/>
    <w:rsid w:val="00AF4A33"/>
    <w:rsid w:val="00AF4C87"/>
    <w:rsid w:val="00AF5529"/>
    <w:rsid w:val="00AF608C"/>
    <w:rsid w:val="00AF6A12"/>
    <w:rsid w:val="00AF6DF4"/>
    <w:rsid w:val="00AF79B4"/>
    <w:rsid w:val="00AF7F3A"/>
    <w:rsid w:val="00B006D4"/>
    <w:rsid w:val="00B015DC"/>
    <w:rsid w:val="00B01C6D"/>
    <w:rsid w:val="00B03D44"/>
    <w:rsid w:val="00B040E5"/>
    <w:rsid w:val="00B04676"/>
    <w:rsid w:val="00B05075"/>
    <w:rsid w:val="00B05F5C"/>
    <w:rsid w:val="00B05F99"/>
    <w:rsid w:val="00B06179"/>
    <w:rsid w:val="00B06580"/>
    <w:rsid w:val="00B07916"/>
    <w:rsid w:val="00B07DDD"/>
    <w:rsid w:val="00B108DB"/>
    <w:rsid w:val="00B114EA"/>
    <w:rsid w:val="00B11617"/>
    <w:rsid w:val="00B1225A"/>
    <w:rsid w:val="00B131C0"/>
    <w:rsid w:val="00B13A33"/>
    <w:rsid w:val="00B15BD6"/>
    <w:rsid w:val="00B16913"/>
    <w:rsid w:val="00B207DF"/>
    <w:rsid w:val="00B216F9"/>
    <w:rsid w:val="00B219F6"/>
    <w:rsid w:val="00B21A19"/>
    <w:rsid w:val="00B23088"/>
    <w:rsid w:val="00B23774"/>
    <w:rsid w:val="00B26C50"/>
    <w:rsid w:val="00B26F7D"/>
    <w:rsid w:val="00B275B2"/>
    <w:rsid w:val="00B30990"/>
    <w:rsid w:val="00B30FCC"/>
    <w:rsid w:val="00B31143"/>
    <w:rsid w:val="00B32829"/>
    <w:rsid w:val="00B33D0A"/>
    <w:rsid w:val="00B3466E"/>
    <w:rsid w:val="00B351B7"/>
    <w:rsid w:val="00B371CF"/>
    <w:rsid w:val="00B378A1"/>
    <w:rsid w:val="00B40713"/>
    <w:rsid w:val="00B41D86"/>
    <w:rsid w:val="00B4276B"/>
    <w:rsid w:val="00B4279C"/>
    <w:rsid w:val="00B43BC9"/>
    <w:rsid w:val="00B442E2"/>
    <w:rsid w:val="00B4460E"/>
    <w:rsid w:val="00B44668"/>
    <w:rsid w:val="00B4593E"/>
    <w:rsid w:val="00B45E0D"/>
    <w:rsid w:val="00B46443"/>
    <w:rsid w:val="00B46DA5"/>
    <w:rsid w:val="00B470E3"/>
    <w:rsid w:val="00B50216"/>
    <w:rsid w:val="00B50C80"/>
    <w:rsid w:val="00B5375A"/>
    <w:rsid w:val="00B56884"/>
    <w:rsid w:val="00B56B87"/>
    <w:rsid w:val="00B5743B"/>
    <w:rsid w:val="00B5776C"/>
    <w:rsid w:val="00B57BD6"/>
    <w:rsid w:val="00B57FCC"/>
    <w:rsid w:val="00B60263"/>
    <w:rsid w:val="00B603BA"/>
    <w:rsid w:val="00B605C0"/>
    <w:rsid w:val="00B62190"/>
    <w:rsid w:val="00B62374"/>
    <w:rsid w:val="00B63704"/>
    <w:rsid w:val="00B63AD3"/>
    <w:rsid w:val="00B63C5B"/>
    <w:rsid w:val="00B63F77"/>
    <w:rsid w:val="00B63F7A"/>
    <w:rsid w:val="00B65192"/>
    <w:rsid w:val="00B6540F"/>
    <w:rsid w:val="00B65549"/>
    <w:rsid w:val="00B65632"/>
    <w:rsid w:val="00B6667D"/>
    <w:rsid w:val="00B67A9D"/>
    <w:rsid w:val="00B7006D"/>
    <w:rsid w:val="00B70F58"/>
    <w:rsid w:val="00B71CC1"/>
    <w:rsid w:val="00B71E9B"/>
    <w:rsid w:val="00B72072"/>
    <w:rsid w:val="00B729E5"/>
    <w:rsid w:val="00B72ADE"/>
    <w:rsid w:val="00B73F81"/>
    <w:rsid w:val="00B7416E"/>
    <w:rsid w:val="00B745D4"/>
    <w:rsid w:val="00B7617B"/>
    <w:rsid w:val="00B761B8"/>
    <w:rsid w:val="00B76B62"/>
    <w:rsid w:val="00B77E23"/>
    <w:rsid w:val="00B77F3D"/>
    <w:rsid w:val="00B81408"/>
    <w:rsid w:val="00B81725"/>
    <w:rsid w:val="00B81994"/>
    <w:rsid w:val="00B81F00"/>
    <w:rsid w:val="00B82196"/>
    <w:rsid w:val="00B821A6"/>
    <w:rsid w:val="00B822DD"/>
    <w:rsid w:val="00B82543"/>
    <w:rsid w:val="00B82FDE"/>
    <w:rsid w:val="00B84436"/>
    <w:rsid w:val="00B84E36"/>
    <w:rsid w:val="00B862C7"/>
    <w:rsid w:val="00B87873"/>
    <w:rsid w:val="00B87D70"/>
    <w:rsid w:val="00B90A40"/>
    <w:rsid w:val="00B92491"/>
    <w:rsid w:val="00B92903"/>
    <w:rsid w:val="00B936BF"/>
    <w:rsid w:val="00B95251"/>
    <w:rsid w:val="00B95309"/>
    <w:rsid w:val="00B95C08"/>
    <w:rsid w:val="00B95E5F"/>
    <w:rsid w:val="00B96AAD"/>
    <w:rsid w:val="00B97045"/>
    <w:rsid w:val="00B97541"/>
    <w:rsid w:val="00B97A6D"/>
    <w:rsid w:val="00BA0776"/>
    <w:rsid w:val="00BA0823"/>
    <w:rsid w:val="00BA0D51"/>
    <w:rsid w:val="00BA0F80"/>
    <w:rsid w:val="00BA14BC"/>
    <w:rsid w:val="00BA1939"/>
    <w:rsid w:val="00BA1B09"/>
    <w:rsid w:val="00BA1C56"/>
    <w:rsid w:val="00BA2F99"/>
    <w:rsid w:val="00BA3119"/>
    <w:rsid w:val="00BA3C65"/>
    <w:rsid w:val="00BA4CB3"/>
    <w:rsid w:val="00BA5681"/>
    <w:rsid w:val="00BA5685"/>
    <w:rsid w:val="00BA5A03"/>
    <w:rsid w:val="00BA5A9A"/>
    <w:rsid w:val="00BA5D22"/>
    <w:rsid w:val="00BA677A"/>
    <w:rsid w:val="00BA69E5"/>
    <w:rsid w:val="00BA6D38"/>
    <w:rsid w:val="00BA770D"/>
    <w:rsid w:val="00BA7CBC"/>
    <w:rsid w:val="00BB0534"/>
    <w:rsid w:val="00BB2029"/>
    <w:rsid w:val="00BB2341"/>
    <w:rsid w:val="00BB2D89"/>
    <w:rsid w:val="00BB3717"/>
    <w:rsid w:val="00BB3A89"/>
    <w:rsid w:val="00BB3B30"/>
    <w:rsid w:val="00BB4D80"/>
    <w:rsid w:val="00BB56BE"/>
    <w:rsid w:val="00BB7E49"/>
    <w:rsid w:val="00BC04AC"/>
    <w:rsid w:val="00BC0986"/>
    <w:rsid w:val="00BC0F18"/>
    <w:rsid w:val="00BC1277"/>
    <w:rsid w:val="00BC1591"/>
    <w:rsid w:val="00BC1D15"/>
    <w:rsid w:val="00BC1D92"/>
    <w:rsid w:val="00BC2090"/>
    <w:rsid w:val="00BC2A07"/>
    <w:rsid w:val="00BC2B49"/>
    <w:rsid w:val="00BC2CA8"/>
    <w:rsid w:val="00BC2D00"/>
    <w:rsid w:val="00BC3499"/>
    <w:rsid w:val="00BC4B6E"/>
    <w:rsid w:val="00BC4C5C"/>
    <w:rsid w:val="00BC54D0"/>
    <w:rsid w:val="00BC6392"/>
    <w:rsid w:val="00BC67FF"/>
    <w:rsid w:val="00BC7C1C"/>
    <w:rsid w:val="00BD0054"/>
    <w:rsid w:val="00BD08E4"/>
    <w:rsid w:val="00BD1C8F"/>
    <w:rsid w:val="00BD2038"/>
    <w:rsid w:val="00BD3D24"/>
    <w:rsid w:val="00BD4A6C"/>
    <w:rsid w:val="00BD53CD"/>
    <w:rsid w:val="00BD6004"/>
    <w:rsid w:val="00BD6278"/>
    <w:rsid w:val="00BD6E02"/>
    <w:rsid w:val="00BD6FD8"/>
    <w:rsid w:val="00BD7496"/>
    <w:rsid w:val="00BD78C3"/>
    <w:rsid w:val="00BD7E3D"/>
    <w:rsid w:val="00BD7F9D"/>
    <w:rsid w:val="00BE0309"/>
    <w:rsid w:val="00BE032A"/>
    <w:rsid w:val="00BE1214"/>
    <w:rsid w:val="00BE1372"/>
    <w:rsid w:val="00BE182E"/>
    <w:rsid w:val="00BE275F"/>
    <w:rsid w:val="00BE292F"/>
    <w:rsid w:val="00BE2BB3"/>
    <w:rsid w:val="00BE2C64"/>
    <w:rsid w:val="00BE38F0"/>
    <w:rsid w:val="00BE4DA4"/>
    <w:rsid w:val="00BE4E3E"/>
    <w:rsid w:val="00BE5022"/>
    <w:rsid w:val="00BE5589"/>
    <w:rsid w:val="00BE5C0D"/>
    <w:rsid w:val="00BE6FDD"/>
    <w:rsid w:val="00BE72CD"/>
    <w:rsid w:val="00BE7FB5"/>
    <w:rsid w:val="00BF059C"/>
    <w:rsid w:val="00BF06E8"/>
    <w:rsid w:val="00BF1D79"/>
    <w:rsid w:val="00BF2A0F"/>
    <w:rsid w:val="00BF4426"/>
    <w:rsid w:val="00BF4DEE"/>
    <w:rsid w:val="00BF521A"/>
    <w:rsid w:val="00BF5DB9"/>
    <w:rsid w:val="00C00AFB"/>
    <w:rsid w:val="00C00B79"/>
    <w:rsid w:val="00C03BF1"/>
    <w:rsid w:val="00C048B4"/>
    <w:rsid w:val="00C04E59"/>
    <w:rsid w:val="00C101D6"/>
    <w:rsid w:val="00C10ECC"/>
    <w:rsid w:val="00C11398"/>
    <w:rsid w:val="00C11E82"/>
    <w:rsid w:val="00C12E06"/>
    <w:rsid w:val="00C131F5"/>
    <w:rsid w:val="00C13CA8"/>
    <w:rsid w:val="00C14065"/>
    <w:rsid w:val="00C14263"/>
    <w:rsid w:val="00C15252"/>
    <w:rsid w:val="00C15E10"/>
    <w:rsid w:val="00C16C2B"/>
    <w:rsid w:val="00C17115"/>
    <w:rsid w:val="00C203CD"/>
    <w:rsid w:val="00C20480"/>
    <w:rsid w:val="00C21F3B"/>
    <w:rsid w:val="00C225AA"/>
    <w:rsid w:val="00C24783"/>
    <w:rsid w:val="00C25D96"/>
    <w:rsid w:val="00C25E2B"/>
    <w:rsid w:val="00C25F1A"/>
    <w:rsid w:val="00C2600F"/>
    <w:rsid w:val="00C26EEB"/>
    <w:rsid w:val="00C2776B"/>
    <w:rsid w:val="00C27BD4"/>
    <w:rsid w:val="00C31210"/>
    <w:rsid w:val="00C319EF"/>
    <w:rsid w:val="00C32333"/>
    <w:rsid w:val="00C329AF"/>
    <w:rsid w:val="00C3346B"/>
    <w:rsid w:val="00C3524F"/>
    <w:rsid w:val="00C35A4B"/>
    <w:rsid w:val="00C35DBE"/>
    <w:rsid w:val="00C3605B"/>
    <w:rsid w:val="00C369CA"/>
    <w:rsid w:val="00C4001D"/>
    <w:rsid w:val="00C401EF"/>
    <w:rsid w:val="00C40371"/>
    <w:rsid w:val="00C412CD"/>
    <w:rsid w:val="00C446A0"/>
    <w:rsid w:val="00C45225"/>
    <w:rsid w:val="00C457D1"/>
    <w:rsid w:val="00C466D8"/>
    <w:rsid w:val="00C507A9"/>
    <w:rsid w:val="00C50BAF"/>
    <w:rsid w:val="00C50E13"/>
    <w:rsid w:val="00C50E8B"/>
    <w:rsid w:val="00C51AA0"/>
    <w:rsid w:val="00C52564"/>
    <w:rsid w:val="00C525B0"/>
    <w:rsid w:val="00C52FEB"/>
    <w:rsid w:val="00C53978"/>
    <w:rsid w:val="00C53E16"/>
    <w:rsid w:val="00C54834"/>
    <w:rsid w:val="00C54A3B"/>
    <w:rsid w:val="00C54B85"/>
    <w:rsid w:val="00C54DDC"/>
    <w:rsid w:val="00C550F0"/>
    <w:rsid w:val="00C55146"/>
    <w:rsid w:val="00C55E69"/>
    <w:rsid w:val="00C56AD9"/>
    <w:rsid w:val="00C56CE9"/>
    <w:rsid w:val="00C56E04"/>
    <w:rsid w:val="00C56E5D"/>
    <w:rsid w:val="00C574E4"/>
    <w:rsid w:val="00C575AF"/>
    <w:rsid w:val="00C57B6C"/>
    <w:rsid w:val="00C60D1E"/>
    <w:rsid w:val="00C6100E"/>
    <w:rsid w:val="00C6168B"/>
    <w:rsid w:val="00C621B3"/>
    <w:rsid w:val="00C6492C"/>
    <w:rsid w:val="00C64F65"/>
    <w:rsid w:val="00C65F61"/>
    <w:rsid w:val="00C66427"/>
    <w:rsid w:val="00C66541"/>
    <w:rsid w:val="00C66D2F"/>
    <w:rsid w:val="00C676ED"/>
    <w:rsid w:val="00C67AED"/>
    <w:rsid w:val="00C70442"/>
    <w:rsid w:val="00C7081C"/>
    <w:rsid w:val="00C71087"/>
    <w:rsid w:val="00C71380"/>
    <w:rsid w:val="00C72C05"/>
    <w:rsid w:val="00C73EDA"/>
    <w:rsid w:val="00C73F21"/>
    <w:rsid w:val="00C7421E"/>
    <w:rsid w:val="00C7451C"/>
    <w:rsid w:val="00C74791"/>
    <w:rsid w:val="00C754C2"/>
    <w:rsid w:val="00C7687C"/>
    <w:rsid w:val="00C76963"/>
    <w:rsid w:val="00C80B31"/>
    <w:rsid w:val="00C80FB7"/>
    <w:rsid w:val="00C819C2"/>
    <w:rsid w:val="00C81BFC"/>
    <w:rsid w:val="00C823E1"/>
    <w:rsid w:val="00C8276F"/>
    <w:rsid w:val="00C82919"/>
    <w:rsid w:val="00C82C41"/>
    <w:rsid w:val="00C83B90"/>
    <w:rsid w:val="00C83D59"/>
    <w:rsid w:val="00C84072"/>
    <w:rsid w:val="00C840B0"/>
    <w:rsid w:val="00C867FB"/>
    <w:rsid w:val="00C8706A"/>
    <w:rsid w:val="00C875FA"/>
    <w:rsid w:val="00C8798F"/>
    <w:rsid w:val="00C87A5E"/>
    <w:rsid w:val="00C90DC2"/>
    <w:rsid w:val="00C90F4C"/>
    <w:rsid w:val="00C91388"/>
    <w:rsid w:val="00C934F9"/>
    <w:rsid w:val="00C9366F"/>
    <w:rsid w:val="00C94A59"/>
    <w:rsid w:val="00C951D0"/>
    <w:rsid w:val="00C96F4C"/>
    <w:rsid w:val="00CA1878"/>
    <w:rsid w:val="00CA1A63"/>
    <w:rsid w:val="00CA1DB7"/>
    <w:rsid w:val="00CA2696"/>
    <w:rsid w:val="00CA2B8E"/>
    <w:rsid w:val="00CA2CC8"/>
    <w:rsid w:val="00CA30BC"/>
    <w:rsid w:val="00CA438B"/>
    <w:rsid w:val="00CA4535"/>
    <w:rsid w:val="00CA6BF5"/>
    <w:rsid w:val="00CA7104"/>
    <w:rsid w:val="00CA7524"/>
    <w:rsid w:val="00CA7844"/>
    <w:rsid w:val="00CA7DAD"/>
    <w:rsid w:val="00CB030F"/>
    <w:rsid w:val="00CB08AC"/>
    <w:rsid w:val="00CB09BF"/>
    <w:rsid w:val="00CB0A43"/>
    <w:rsid w:val="00CB0D24"/>
    <w:rsid w:val="00CB2958"/>
    <w:rsid w:val="00CB4809"/>
    <w:rsid w:val="00CB63DC"/>
    <w:rsid w:val="00CB63F9"/>
    <w:rsid w:val="00CB6801"/>
    <w:rsid w:val="00CB69F5"/>
    <w:rsid w:val="00CB6BC1"/>
    <w:rsid w:val="00CB77EA"/>
    <w:rsid w:val="00CB7C12"/>
    <w:rsid w:val="00CB7FE8"/>
    <w:rsid w:val="00CC009E"/>
    <w:rsid w:val="00CC00FB"/>
    <w:rsid w:val="00CC025B"/>
    <w:rsid w:val="00CC0692"/>
    <w:rsid w:val="00CC090D"/>
    <w:rsid w:val="00CC102C"/>
    <w:rsid w:val="00CC1268"/>
    <w:rsid w:val="00CC15EB"/>
    <w:rsid w:val="00CC261D"/>
    <w:rsid w:val="00CC28F9"/>
    <w:rsid w:val="00CC2EFB"/>
    <w:rsid w:val="00CC353C"/>
    <w:rsid w:val="00CC364F"/>
    <w:rsid w:val="00CC3E82"/>
    <w:rsid w:val="00CC5638"/>
    <w:rsid w:val="00CC5CFD"/>
    <w:rsid w:val="00CC6DC2"/>
    <w:rsid w:val="00CC7674"/>
    <w:rsid w:val="00CC7789"/>
    <w:rsid w:val="00CD11C2"/>
    <w:rsid w:val="00CD1332"/>
    <w:rsid w:val="00CD2D55"/>
    <w:rsid w:val="00CD30DC"/>
    <w:rsid w:val="00CD4ED2"/>
    <w:rsid w:val="00CD5D14"/>
    <w:rsid w:val="00CD6879"/>
    <w:rsid w:val="00CD7626"/>
    <w:rsid w:val="00CE050E"/>
    <w:rsid w:val="00CE124D"/>
    <w:rsid w:val="00CE1335"/>
    <w:rsid w:val="00CE1609"/>
    <w:rsid w:val="00CE18A6"/>
    <w:rsid w:val="00CE2636"/>
    <w:rsid w:val="00CE263B"/>
    <w:rsid w:val="00CE3916"/>
    <w:rsid w:val="00CE3E05"/>
    <w:rsid w:val="00CE4814"/>
    <w:rsid w:val="00CE61B9"/>
    <w:rsid w:val="00CE6A17"/>
    <w:rsid w:val="00CE77FC"/>
    <w:rsid w:val="00CE7D99"/>
    <w:rsid w:val="00CF0768"/>
    <w:rsid w:val="00CF1AD6"/>
    <w:rsid w:val="00CF22A0"/>
    <w:rsid w:val="00CF25AA"/>
    <w:rsid w:val="00CF26BB"/>
    <w:rsid w:val="00CF2B16"/>
    <w:rsid w:val="00CF45DC"/>
    <w:rsid w:val="00CF46EC"/>
    <w:rsid w:val="00CF493B"/>
    <w:rsid w:val="00CF4BB2"/>
    <w:rsid w:val="00CF521B"/>
    <w:rsid w:val="00CF5315"/>
    <w:rsid w:val="00CF5471"/>
    <w:rsid w:val="00CF5F28"/>
    <w:rsid w:val="00CF71A8"/>
    <w:rsid w:val="00D01910"/>
    <w:rsid w:val="00D01FEF"/>
    <w:rsid w:val="00D03290"/>
    <w:rsid w:val="00D03A0B"/>
    <w:rsid w:val="00D0411D"/>
    <w:rsid w:val="00D04489"/>
    <w:rsid w:val="00D06134"/>
    <w:rsid w:val="00D065A7"/>
    <w:rsid w:val="00D078DC"/>
    <w:rsid w:val="00D1078E"/>
    <w:rsid w:val="00D10ACB"/>
    <w:rsid w:val="00D1228F"/>
    <w:rsid w:val="00D12693"/>
    <w:rsid w:val="00D12767"/>
    <w:rsid w:val="00D13261"/>
    <w:rsid w:val="00D13EFD"/>
    <w:rsid w:val="00D1410D"/>
    <w:rsid w:val="00D15024"/>
    <w:rsid w:val="00D15275"/>
    <w:rsid w:val="00D15BE2"/>
    <w:rsid w:val="00D166AA"/>
    <w:rsid w:val="00D1737E"/>
    <w:rsid w:val="00D17932"/>
    <w:rsid w:val="00D17A8C"/>
    <w:rsid w:val="00D2209C"/>
    <w:rsid w:val="00D22726"/>
    <w:rsid w:val="00D22952"/>
    <w:rsid w:val="00D24001"/>
    <w:rsid w:val="00D24465"/>
    <w:rsid w:val="00D24C30"/>
    <w:rsid w:val="00D25145"/>
    <w:rsid w:val="00D25ECA"/>
    <w:rsid w:val="00D262DA"/>
    <w:rsid w:val="00D26D8F"/>
    <w:rsid w:val="00D2758D"/>
    <w:rsid w:val="00D30734"/>
    <w:rsid w:val="00D30B07"/>
    <w:rsid w:val="00D31174"/>
    <w:rsid w:val="00D31A57"/>
    <w:rsid w:val="00D32EC8"/>
    <w:rsid w:val="00D3312E"/>
    <w:rsid w:val="00D33834"/>
    <w:rsid w:val="00D33959"/>
    <w:rsid w:val="00D33962"/>
    <w:rsid w:val="00D34699"/>
    <w:rsid w:val="00D34CFC"/>
    <w:rsid w:val="00D351D1"/>
    <w:rsid w:val="00D3532A"/>
    <w:rsid w:val="00D35BDE"/>
    <w:rsid w:val="00D35C53"/>
    <w:rsid w:val="00D366A8"/>
    <w:rsid w:val="00D41375"/>
    <w:rsid w:val="00D419B7"/>
    <w:rsid w:val="00D41C8F"/>
    <w:rsid w:val="00D41FF0"/>
    <w:rsid w:val="00D435C2"/>
    <w:rsid w:val="00D437F2"/>
    <w:rsid w:val="00D43A4A"/>
    <w:rsid w:val="00D44089"/>
    <w:rsid w:val="00D4538B"/>
    <w:rsid w:val="00D4610F"/>
    <w:rsid w:val="00D47155"/>
    <w:rsid w:val="00D47BBD"/>
    <w:rsid w:val="00D47DBC"/>
    <w:rsid w:val="00D504E4"/>
    <w:rsid w:val="00D50940"/>
    <w:rsid w:val="00D50983"/>
    <w:rsid w:val="00D50D3E"/>
    <w:rsid w:val="00D51175"/>
    <w:rsid w:val="00D511C1"/>
    <w:rsid w:val="00D5185F"/>
    <w:rsid w:val="00D51B3D"/>
    <w:rsid w:val="00D52053"/>
    <w:rsid w:val="00D530BA"/>
    <w:rsid w:val="00D53AB5"/>
    <w:rsid w:val="00D53C02"/>
    <w:rsid w:val="00D543A9"/>
    <w:rsid w:val="00D55025"/>
    <w:rsid w:val="00D556E8"/>
    <w:rsid w:val="00D560D5"/>
    <w:rsid w:val="00D560F8"/>
    <w:rsid w:val="00D567BB"/>
    <w:rsid w:val="00D57AB0"/>
    <w:rsid w:val="00D57FDC"/>
    <w:rsid w:val="00D57FE0"/>
    <w:rsid w:val="00D60295"/>
    <w:rsid w:val="00D6029A"/>
    <w:rsid w:val="00D603BD"/>
    <w:rsid w:val="00D60AB3"/>
    <w:rsid w:val="00D60BBA"/>
    <w:rsid w:val="00D60CCC"/>
    <w:rsid w:val="00D6174F"/>
    <w:rsid w:val="00D61C7D"/>
    <w:rsid w:val="00D620EF"/>
    <w:rsid w:val="00D6406B"/>
    <w:rsid w:val="00D6483C"/>
    <w:rsid w:val="00D649C3"/>
    <w:rsid w:val="00D64A87"/>
    <w:rsid w:val="00D65ADE"/>
    <w:rsid w:val="00D6603A"/>
    <w:rsid w:val="00D67242"/>
    <w:rsid w:val="00D7072C"/>
    <w:rsid w:val="00D7120D"/>
    <w:rsid w:val="00D72823"/>
    <w:rsid w:val="00D73FF8"/>
    <w:rsid w:val="00D749FF"/>
    <w:rsid w:val="00D74DA5"/>
    <w:rsid w:val="00D750A6"/>
    <w:rsid w:val="00D750B6"/>
    <w:rsid w:val="00D751D4"/>
    <w:rsid w:val="00D7594A"/>
    <w:rsid w:val="00D77572"/>
    <w:rsid w:val="00D77B38"/>
    <w:rsid w:val="00D80E45"/>
    <w:rsid w:val="00D8126E"/>
    <w:rsid w:val="00D81CD4"/>
    <w:rsid w:val="00D82EAF"/>
    <w:rsid w:val="00D833C0"/>
    <w:rsid w:val="00D85198"/>
    <w:rsid w:val="00D85B53"/>
    <w:rsid w:val="00D85CEB"/>
    <w:rsid w:val="00D86EF4"/>
    <w:rsid w:val="00D87FDE"/>
    <w:rsid w:val="00D90186"/>
    <w:rsid w:val="00D913F6"/>
    <w:rsid w:val="00D914AA"/>
    <w:rsid w:val="00D9161D"/>
    <w:rsid w:val="00D920CF"/>
    <w:rsid w:val="00D92258"/>
    <w:rsid w:val="00D925D1"/>
    <w:rsid w:val="00D93D2A"/>
    <w:rsid w:val="00D95161"/>
    <w:rsid w:val="00D95A0A"/>
    <w:rsid w:val="00D96429"/>
    <w:rsid w:val="00D96B6A"/>
    <w:rsid w:val="00D976C1"/>
    <w:rsid w:val="00D9790B"/>
    <w:rsid w:val="00D97F3A"/>
    <w:rsid w:val="00DA08BB"/>
    <w:rsid w:val="00DA1022"/>
    <w:rsid w:val="00DA10D5"/>
    <w:rsid w:val="00DA283F"/>
    <w:rsid w:val="00DA2F7B"/>
    <w:rsid w:val="00DA512F"/>
    <w:rsid w:val="00DA5620"/>
    <w:rsid w:val="00DA5D89"/>
    <w:rsid w:val="00DA698B"/>
    <w:rsid w:val="00DA7193"/>
    <w:rsid w:val="00DA7733"/>
    <w:rsid w:val="00DA7903"/>
    <w:rsid w:val="00DA7D8A"/>
    <w:rsid w:val="00DA7D91"/>
    <w:rsid w:val="00DA7FE9"/>
    <w:rsid w:val="00DB0B5B"/>
    <w:rsid w:val="00DB2FA8"/>
    <w:rsid w:val="00DB3F07"/>
    <w:rsid w:val="00DB5119"/>
    <w:rsid w:val="00DB51FE"/>
    <w:rsid w:val="00DB56EC"/>
    <w:rsid w:val="00DB605B"/>
    <w:rsid w:val="00DB6913"/>
    <w:rsid w:val="00DB694E"/>
    <w:rsid w:val="00DC0473"/>
    <w:rsid w:val="00DC0D92"/>
    <w:rsid w:val="00DC16C4"/>
    <w:rsid w:val="00DC1840"/>
    <w:rsid w:val="00DC1D0E"/>
    <w:rsid w:val="00DC1D5A"/>
    <w:rsid w:val="00DC2F28"/>
    <w:rsid w:val="00DC3EAD"/>
    <w:rsid w:val="00DC429F"/>
    <w:rsid w:val="00DC44BB"/>
    <w:rsid w:val="00DC5E87"/>
    <w:rsid w:val="00DC630F"/>
    <w:rsid w:val="00DC6B7B"/>
    <w:rsid w:val="00DC6BF8"/>
    <w:rsid w:val="00DC7538"/>
    <w:rsid w:val="00DD0231"/>
    <w:rsid w:val="00DD0850"/>
    <w:rsid w:val="00DD0988"/>
    <w:rsid w:val="00DD10E8"/>
    <w:rsid w:val="00DD2175"/>
    <w:rsid w:val="00DD312E"/>
    <w:rsid w:val="00DD387B"/>
    <w:rsid w:val="00DD3A08"/>
    <w:rsid w:val="00DD43D0"/>
    <w:rsid w:val="00DD468F"/>
    <w:rsid w:val="00DD46A2"/>
    <w:rsid w:val="00DD4723"/>
    <w:rsid w:val="00DD615E"/>
    <w:rsid w:val="00DD630D"/>
    <w:rsid w:val="00DD6E4B"/>
    <w:rsid w:val="00DD7254"/>
    <w:rsid w:val="00DD7F58"/>
    <w:rsid w:val="00DE0048"/>
    <w:rsid w:val="00DE0C0C"/>
    <w:rsid w:val="00DE26EE"/>
    <w:rsid w:val="00DE49DF"/>
    <w:rsid w:val="00DE4D07"/>
    <w:rsid w:val="00DE4FBF"/>
    <w:rsid w:val="00DE518B"/>
    <w:rsid w:val="00DE5865"/>
    <w:rsid w:val="00DE605C"/>
    <w:rsid w:val="00DE7296"/>
    <w:rsid w:val="00DE7A27"/>
    <w:rsid w:val="00DF01CF"/>
    <w:rsid w:val="00DF026E"/>
    <w:rsid w:val="00DF0696"/>
    <w:rsid w:val="00DF15A8"/>
    <w:rsid w:val="00DF25B5"/>
    <w:rsid w:val="00DF27F0"/>
    <w:rsid w:val="00DF3290"/>
    <w:rsid w:val="00DF456A"/>
    <w:rsid w:val="00DF4F76"/>
    <w:rsid w:val="00DF6698"/>
    <w:rsid w:val="00E01DB7"/>
    <w:rsid w:val="00E0235E"/>
    <w:rsid w:val="00E02695"/>
    <w:rsid w:val="00E02C38"/>
    <w:rsid w:val="00E05162"/>
    <w:rsid w:val="00E05F5F"/>
    <w:rsid w:val="00E0750D"/>
    <w:rsid w:val="00E07B71"/>
    <w:rsid w:val="00E07D3F"/>
    <w:rsid w:val="00E107DF"/>
    <w:rsid w:val="00E10DA4"/>
    <w:rsid w:val="00E11E7E"/>
    <w:rsid w:val="00E12016"/>
    <w:rsid w:val="00E12502"/>
    <w:rsid w:val="00E13019"/>
    <w:rsid w:val="00E1436D"/>
    <w:rsid w:val="00E14594"/>
    <w:rsid w:val="00E14598"/>
    <w:rsid w:val="00E14717"/>
    <w:rsid w:val="00E14952"/>
    <w:rsid w:val="00E149AF"/>
    <w:rsid w:val="00E14D1D"/>
    <w:rsid w:val="00E14E21"/>
    <w:rsid w:val="00E154BF"/>
    <w:rsid w:val="00E1595D"/>
    <w:rsid w:val="00E15E3A"/>
    <w:rsid w:val="00E16DB3"/>
    <w:rsid w:val="00E20639"/>
    <w:rsid w:val="00E207E1"/>
    <w:rsid w:val="00E20A1F"/>
    <w:rsid w:val="00E20D51"/>
    <w:rsid w:val="00E2124F"/>
    <w:rsid w:val="00E218EE"/>
    <w:rsid w:val="00E21CF1"/>
    <w:rsid w:val="00E21D51"/>
    <w:rsid w:val="00E2443D"/>
    <w:rsid w:val="00E24D5C"/>
    <w:rsid w:val="00E260BB"/>
    <w:rsid w:val="00E26EDD"/>
    <w:rsid w:val="00E2739D"/>
    <w:rsid w:val="00E2756F"/>
    <w:rsid w:val="00E30DA9"/>
    <w:rsid w:val="00E311CB"/>
    <w:rsid w:val="00E313A3"/>
    <w:rsid w:val="00E31A57"/>
    <w:rsid w:val="00E31DCB"/>
    <w:rsid w:val="00E32EC4"/>
    <w:rsid w:val="00E33104"/>
    <w:rsid w:val="00E33748"/>
    <w:rsid w:val="00E33D62"/>
    <w:rsid w:val="00E33DFB"/>
    <w:rsid w:val="00E348A0"/>
    <w:rsid w:val="00E34BB5"/>
    <w:rsid w:val="00E35072"/>
    <w:rsid w:val="00E35AE3"/>
    <w:rsid w:val="00E3625D"/>
    <w:rsid w:val="00E3681E"/>
    <w:rsid w:val="00E37864"/>
    <w:rsid w:val="00E37A59"/>
    <w:rsid w:val="00E40348"/>
    <w:rsid w:val="00E4064B"/>
    <w:rsid w:val="00E409E4"/>
    <w:rsid w:val="00E415F2"/>
    <w:rsid w:val="00E41FB4"/>
    <w:rsid w:val="00E4205C"/>
    <w:rsid w:val="00E44AE0"/>
    <w:rsid w:val="00E462EC"/>
    <w:rsid w:val="00E46410"/>
    <w:rsid w:val="00E469E9"/>
    <w:rsid w:val="00E512DE"/>
    <w:rsid w:val="00E5238C"/>
    <w:rsid w:val="00E534C7"/>
    <w:rsid w:val="00E5371F"/>
    <w:rsid w:val="00E53B16"/>
    <w:rsid w:val="00E546B4"/>
    <w:rsid w:val="00E548D7"/>
    <w:rsid w:val="00E54F7B"/>
    <w:rsid w:val="00E5558E"/>
    <w:rsid w:val="00E56904"/>
    <w:rsid w:val="00E57CEE"/>
    <w:rsid w:val="00E57D1B"/>
    <w:rsid w:val="00E57EC1"/>
    <w:rsid w:val="00E6147B"/>
    <w:rsid w:val="00E61B20"/>
    <w:rsid w:val="00E61DC6"/>
    <w:rsid w:val="00E61E3D"/>
    <w:rsid w:val="00E620FA"/>
    <w:rsid w:val="00E62182"/>
    <w:rsid w:val="00E624DF"/>
    <w:rsid w:val="00E632D4"/>
    <w:rsid w:val="00E64582"/>
    <w:rsid w:val="00E64A40"/>
    <w:rsid w:val="00E6579D"/>
    <w:rsid w:val="00E65C07"/>
    <w:rsid w:val="00E664B7"/>
    <w:rsid w:val="00E67C13"/>
    <w:rsid w:val="00E70A9F"/>
    <w:rsid w:val="00E7105F"/>
    <w:rsid w:val="00E7115D"/>
    <w:rsid w:val="00E713C3"/>
    <w:rsid w:val="00E71438"/>
    <w:rsid w:val="00E7268D"/>
    <w:rsid w:val="00E72A13"/>
    <w:rsid w:val="00E72BC2"/>
    <w:rsid w:val="00E72D47"/>
    <w:rsid w:val="00E738AA"/>
    <w:rsid w:val="00E739BE"/>
    <w:rsid w:val="00E7470F"/>
    <w:rsid w:val="00E7483B"/>
    <w:rsid w:val="00E74AEE"/>
    <w:rsid w:val="00E75C9D"/>
    <w:rsid w:val="00E76092"/>
    <w:rsid w:val="00E76441"/>
    <w:rsid w:val="00E76EBB"/>
    <w:rsid w:val="00E77141"/>
    <w:rsid w:val="00E80508"/>
    <w:rsid w:val="00E80911"/>
    <w:rsid w:val="00E81253"/>
    <w:rsid w:val="00E822B1"/>
    <w:rsid w:val="00E826D5"/>
    <w:rsid w:val="00E8273B"/>
    <w:rsid w:val="00E8394A"/>
    <w:rsid w:val="00E849EA"/>
    <w:rsid w:val="00E85DA7"/>
    <w:rsid w:val="00E85E4A"/>
    <w:rsid w:val="00E868D2"/>
    <w:rsid w:val="00E878B4"/>
    <w:rsid w:val="00E87B47"/>
    <w:rsid w:val="00E90C8B"/>
    <w:rsid w:val="00E90D82"/>
    <w:rsid w:val="00E911AB"/>
    <w:rsid w:val="00E9175E"/>
    <w:rsid w:val="00E92528"/>
    <w:rsid w:val="00E92B93"/>
    <w:rsid w:val="00E93361"/>
    <w:rsid w:val="00E93836"/>
    <w:rsid w:val="00E93893"/>
    <w:rsid w:val="00E93CEF"/>
    <w:rsid w:val="00E93E97"/>
    <w:rsid w:val="00E93EDA"/>
    <w:rsid w:val="00E94886"/>
    <w:rsid w:val="00E94F43"/>
    <w:rsid w:val="00E96091"/>
    <w:rsid w:val="00E96139"/>
    <w:rsid w:val="00E97544"/>
    <w:rsid w:val="00E97D5B"/>
    <w:rsid w:val="00EA08FF"/>
    <w:rsid w:val="00EA15EB"/>
    <w:rsid w:val="00EA173F"/>
    <w:rsid w:val="00EA19F5"/>
    <w:rsid w:val="00EA1EE9"/>
    <w:rsid w:val="00EA2499"/>
    <w:rsid w:val="00EA3128"/>
    <w:rsid w:val="00EA31BE"/>
    <w:rsid w:val="00EA3B4B"/>
    <w:rsid w:val="00EA424B"/>
    <w:rsid w:val="00EA42D6"/>
    <w:rsid w:val="00EA4DE3"/>
    <w:rsid w:val="00EA55D3"/>
    <w:rsid w:val="00EA5A16"/>
    <w:rsid w:val="00EA6AC7"/>
    <w:rsid w:val="00EA6B9A"/>
    <w:rsid w:val="00EA7384"/>
    <w:rsid w:val="00EA75AE"/>
    <w:rsid w:val="00EA75F0"/>
    <w:rsid w:val="00EA7932"/>
    <w:rsid w:val="00EB0389"/>
    <w:rsid w:val="00EB0876"/>
    <w:rsid w:val="00EB0902"/>
    <w:rsid w:val="00EB1592"/>
    <w:rsid w:val="00EB2696"/>
    <w:rsid w:val="00EB43F8"/>
    <w:rsid w:val="00EB481E"/>
    <w:rsid w:val="00EB4B6D"/>
    <w:rsid w:val="00EB5805"/>
    <w:rsid w:val="00EB5F7F"/>
    <w:rsid w:val="00EB5FFD"/>
    <w:rsid w:val="00EB6BDA"/>
    <w:rsid w:val="00EB78B7"/>
    <w:rsid w:val="00EB7953"/>
    <w:rsid w:val="00EB79E4"/>
    <w:rsid w:val="00EB7ACC"/>
    <w:rsid w:val="00EB7E73"/>
    <w:rsid w:val="00EC1655"/>
    <w:rsid w:val="00EC1C87"/>
    <w:rsid w:val="00EC2583"/>
    <w:rsid w:val="00EC2E64"/>
    <w:rsid w:val="00EC3101"/>
    <w:rsid w:val="00EC3604"/>
    <w:rsid w:val="00EC3A12"/>
    <w:rsid w:val="00EC48A5"/>
    <w:rsid w:val="00EC4D6A"/>
    <w:rsid w:val="00EC5471"/>
    <w:rsid w:val="00EC5DA2"/>
    <w:rsid w:val="00EC5F15"/>
    <w:rsid w:val="00EC64FC"/>
    <w:rsid w:val="00EC6D9A"/>
    <w:rsid w:val="00EC77A0"/>
    <w:rsid w:val="00EC7F3F"/>
    <w:rsid w:val="00ED0C17"/>
    <w:rsid w:val="00ED20BB"/>
    <w:rsid w:val="00ED2184"/>
    <w:rsid w:val="00ED2979"/>
    <w:rsid w:val="00ED313F"/>
    <w:rsid w:val="00ED357B"/>
    <w:rsid w:val="00ED3A38"/>
    <w:rsid w:val="00ED40B3"/>
    <w:rsid w:val="00ED51C2"/>
    <w:rsid w:val="00ED5B3F"/>
    <w:rsid w:val="00ED63C3"/>
    <w:rsid w:val="00ED6D96"/>
    <w:rsid w:val="00ED76F1"/>
    <w:rsid w:val="00ED7E06"/>
    <w:rsid w:val="00ED7E20"/>
    <w:rsid w:val="00EE026D"/>
    <w:rsid w:val="00EE02EF"/>
    <w:rsid w:val="00EE0649"/>
    <w:rsid w:val="00EE1153"/>
    <w:rsid w:val="00EE13D9"/>
    <w:rsid w:val="00EE1CFA"/>
    <w:rsid w:val="00EE3235"/>
    <w:rsid w:val="00EE390E"/>
    <w:rsid w:val="00EE3E5C"/>
    <w:rsid w:val="00EE412B"/>
    <w:rsid w:val="00EE44B1"/>
    <w:rsid w:val="00EE4E17"/>
    <w:rsid w:val="00EE61F5"/>
    <w:rsid w:val="00EE650E"/>
    <w:rsid w:val="00EE68D0"/>
    <w:rsid w:val="00EE6F6E"/>
    <w:rsid w:val="00EE78BE"/>
    <w:rsid w:val="00EF05E4"/>
    <w:rsid w:val="00EF0F16"/>
    <w:rsid w:val="00EF1B5E"/>
    <w:rsid w:val="00EF2928"/>
    <w:rsid w:val="00EF3025"/>
    <w:rsid w:val="00EF592D"/>
    <w:rsid w:val="00EF664B"/>
    <w:rsid w:val="00EF6873"/>
    <w:rsid w:val="00EF68D4"/>
    <w:rsid w:val="00F00735"/>
    <w:rsid w:val="00F0274E"/>
    <w:rsid w:val="00F027B9"/>
    <w:rsid w:val="00F02BAD"/>
    <w:rsid w:val="00F02EFE"/>
    <w:rsid w:val="00F054ED"/>
    <w:rsid w:val="00F05F12"/>
    <w:rsid w:val="00F10841"/>
    <w:rsid w:val="00F1097A"/>
    <w:rsid w:val="00F10EEB"/>
    <w:rsid w:val="00F11217"/>
    <w:rsid w:val="00F12A70"/>
    <w:rsid w:val="00F13F06"/>
    <w:rsid w:val="00F1463D"/>
    <w:rsid w:val="00F15F7C"/>
    <w:rsid w:val="00F16AB9"/>
    <w:rsid w:val="00F17069"/>
    <w:rsid w:val="00F179E5"/>
    <w:rsid w:val="00F17C4C"/>
    <w:rsid w:val="00F17D1F"/>
    <w:rsid w:val="00F20347"/>
    <w:rsid w:val="00F209DB"/>
    <w:rsid w:val="00F236C0"/>
    <w:rsid w:val="00F23962"/>
    <w:rsid w:val="00F251CA"/>
    <w:rsid w:val="00F260F4"/>
    <w:rsid w:val="00F26CFE"/>
    <w:rsid w:val="00F312D5"/>
    <w:rsid w:val="00F31368"/>
    <w:rsid w:val="00F3193C"/>
    <w:rsid w:val="00F3199C"/>
    <w:rsid w:val="00F31D49"/>
    <w:rsid w:val="00F32572"/>
    <w:rsid w:val="00F326CC"/>
    <w:rsid w:val="00F3275E"/>
    <w:rsid w:val="00F329A0"/>
    <w:rsid w:val="00F33400"/>
    <w:rsid w:val="00F33881"/>
    <w:rsid w:val="00F33A01"/>
    <w:rsid w:val="00F34530"/>
    <w:rsid w:val="00F34B74"/>
    <w:rsid w:val="00F34BC9"/>
    <w:rsid w:val="00F34C6A"/>
    <w:rsid w:val="00F34E02"/>
    <w:rsid w:val="00F34F39"/>
    <w:rsid w:val="00F36351"/>
    <w:rsid w:val="00F36CA0"/>
    <w:rsid w:val="00F372C8"/>
    <w:rsid w:val="00F37C45"/>
    <w:rsid w:val="00F41009"/>
    <w:rsid w:val="00F4294A"/>
    <w:rsid w:val="00F42984"/>
    <w:rsid w:val="00F44D5D"/>
    <w:rsid w:val="00F44D96"/>
    <w:rsid w:val="00F44FDF"/>
    <w:rsid w:val="00F450B7"/>
    <w:rsid w:val="00F4642B"/>
    <w:rsid w:val="00F469F3"/>
    <w:rsid w:val="00F46EB1"/>
    <w:rsid w:val="00F47C5F"/>
    <w:rsid w:val="00F50B66"/>
    <w:rsid w:val="00F512AA"/>
    <w:rsid w:val="00F5247F"/>
    <w:rsid w:val="00F5402C"/>
    <w:rsid w:val="00F55B3D"/>
    <w:rsid w:val="00F55D07"/>
    <w:rsid w:val="00F57185"/>
    <w:rsid w:val="00F571A3"/>
    <w:rsid w:val="00F5729B"/>
    <w:rsid w:val="00F57453"/>
    <w:rsid w:val="00F57C02"/>
    <w:rsid w:val="00F60502"/>
    <w:rsid w:val="00F60A54"/>
    <w:rsid w:val="00F615BC"/>
    <w:rsid w:val="00F617A1"/>
    <w:rsid w:val="00F61DA9"/>
    <w:rsid w:val="00F62527"/>
    <w:rsid w:val="00F6255D"/>
    <w:rsid w:val="00F626D0"/>
    <w:rsid w:val="00F638D8"/>
    <w:rsid w:val="00F63D29"/>
    <w:rsid w:val="00F650A1"/>
    <w:rsid w:val="00F654E8"/>
    <w:rsid w:val="00F656CC"/>
    <w:rsid w:val="00F6652F"/>
    <w:rsid w:val="00F66BBF"/>
    <w:rsid w:val="00F70BAD"/>
    <w:rsid w:val="00F71CA2"/>
    <w:rsid w:val="00F730D3"/>
    <w:rsid w:val="00F735F4"/>
    <w:rsid w:val="00F7381A"/>
    <w:rsid w:val="00F7388F"/>
    <w:rsid w:val="00F74318"/>
    <w:rsid w:val="00F74688"/>
    <w:rsid w:val="00F7523A"/>
    <w:rsid w:val="00F765BB"/>
    <w:rsid w:val="00F76836"/>
    <w:rsid w:val="00F76FB2"/>
    <w:rsid w:val="00F7786E"/>
    <w:rsid w:val="00F77E86"/>
    <w:rsid w:val="00F80710"/>
    <w:rsid w:val="00F81334"/>
    <w:rsid w:val="00F81342"/>
    <w:rsid w:val="00F8138A"/>
    <w:rsid w:val="00F81F9D"/>
    <w:rsid w:val="00F82269"/>
    <w:rsid w:val="00F82C51"/>
    <w:rsid w:val="00F84276"/>
    <w:rsid w:val="00F84C40"/>
    <w:rsid w:val="00F84D5C"/>
    <w:rsid w:val="00F8561A"/>
    <w:rsid w:val="00F90128"/>
    <w:rsid w:val="00F906F8"/>
    <w:rsid w:val="00F90979"/>
    <w:rsid w:val="00F91A5D"/>
    <w:rsid w:val="00F92218"/>
    <w:rsid w:val="00F93353"/>
    <w:rsid w:val="00F9461E"/>
    <w:rsid w:val="00F94CB4"/>
    <w:rsid w:val="00F95371"/>
    <w:rsid w:val="00F9584F"/>
    <w:rsid w:val="00F96113"/>
    <w:rsid w:val="00F965F1"/>
    <w:rsid w:val="00F97A11"/>
    <w:rsid w:val="00FA0446"/>
    <w:rsid w:val="00FA0C17"/>
    <w:rsid w:val="00FA1E5C"/>
    <w:rsid w:val="00FA2355"/>
    <w:rsid w:val="00FA2C03"/>
    <w:rsid w:val="00FA2CB0"/>
    <w:rsid w:val="00FA34A4"/>
    <w:rsid w:val="00FA3522"/>
    <w:rsid w:val="00FA353D"/>
    <w:rsid w:val="00FA38B4"/>
    <w:rsid w:val="00FA390B"/>
    <w:rsid w:val="00FA3AEF"/>
    <w:rsid w:val="00FA3EDA"/>
    <w:rsid w:val="00FA594E"/>
    <w:rsid w:val="00FA66F4"/>
    <w:rsid w:val="00FB28E3"/>
    <w:rsid w:val="00FB2D6A"/>
    <w:rsid w:val="00FB2FE4"/>
    <w:rsid w:val="00FB47E3"/>
    <w:rsid w:val="00FB4DF6"/>
    <w:rsid w:val="00FB540F"/>
    <w:rsid w:val="00FB5745"/>
    <w:rsid w:val="00FB5EA4"/>
    <w:rsid w:val="00FB779B"/>
    <w:rsid w:val="00FB7E36"/>
    <w:rsid w:val="00FC0258"/>
    <w:rsid w:val="00FC25EF"/>
    <w:rsid w:val="00FC31A1"/>
    <w:rsid w:val="00FC3E94"/>
    <w:rsid w:val="00FC451A"/>
    <w:rsid w:val="00FC47E5"/>
    <w:rsid w:val="00FC5057"/>
    <w:rsid w:val="00FC5247"/>
    <w:rsid w:val="00FC54C6"/>
    <w:rsid w:val="00FC5C5F"/>
    <w:rsid w:val="00FC7E2F"/>
    <w:rsid w:val="00FD15DB"/>
    <w:rsid w:val="00FD160F"/>
    <w:rsid w:val="00FD1E5A"/>
    <w:rsid w:val="00FD2215"/>
    <w:rsid w:val="00FD2EBA"/>
    <w:rsid w:val="00FD370F"/>
    <w:rsid w:val="00FD4970"/>
    <w:rsid w:val="00FD4CA4"/>
    <w:rsid w:val="00FD5C20"/>
    <w:rsid w:val="00FD615E"/>
    <w:rsid w:val="00FD61FD"/>
    <w:rsid w:val="00FD6268"/>
    <w:rsid w:val="00FD6669"/>
    <w:rsid w:val="00FD7AD3"/>
    <w:rsid w:val="00FD7C6F"/>
    <w:rsid w:val="00FE10AC"/>
    <w:rsid w:val="00FE2290"/>
    <w:rsid w:val="00FE2B03"/>
    <w:rsid w:val="00FE2B5C"/>
    <w:rsid w:val="00FE3258"/>
    <w:rsid w:val="00FE4AAC"/>
    <w:rsid w:val="00FE6276"/>
    <w:rsid w:val="00FE6B12"/>
    <w:rsid w:val="00FE7F95"/>
    <w:rsid w:val="00FF0CC9"/>
    <w:rsid w:val="00FF0D8C"/>
    <w:rsid w:val="00FF0F9B"/>
    <w:rsid w:val="00FF1359"/>
    <w:rsid w:val="00FF490C"/>
    <w:rsid w:val="00FF4B9A"/>
    <w:rsid w:val="00FF6428"/>
    <w:rsid w:val="00FF6A3A"/>
    <w:rsid w:val="00FF7986"/>
    <w:rsid w:val="00FF7B76"/>
    <w:rsid w:val="010C2C96"/>
    <w:rsid w:val="010C5046"/>
    <w:rsid w:val="010D671E"/>
    <w:rsid w:val="01124840"/>
    <w:rsid w:val="011C1FFB"/>
    <w:rsid w:val="011F1DB8"/>
    <w:rsid w:val="012B351C"/>
    <w:rsid w:val="012D7A79"/>
    <w:rsid w:val="012F0913"/>
    <w:rsid w:val="013E35E1"/>
    <w:rsid w:val="015402FD"/>
    <w:rsid w:val="0154106A"/>
    <w:rsid w:val="016844A4"/>
    <w:rsid w:val="01724F7C"/>
    <w:rsid w:val="01785C2C"/>
    <w:rsid w:val="01800DA6"/>
    <w:rsid w:val="018F0ADB"/>
    <w:rsid w:val="01911169"/>
    <w:rsid w:val="01920EA6"/>
    <w:rsid w:val="01982A7C"/>
    <w:rsid w:val="019A1914"/>
    <w:rsid w:val="019B1A9C"/>
    <w:rsid w:val="019E7BD8"/>
    <w:rsid w:val="01AA0068"/>
    <w:rsid w:val="01B862EF"/>
    <w:rsid w:val="01BD66C9"/>
    <w:rsid w:val="01C20A07"/>
    <w:rsid w:val="01D34206"/>
    <w:rsid w:val="01EB1997"/>
    <w:rsid w:val="01ED7119"/>
    <w:rsid w:val="01F80CAB"/>
    <w:rsid w:val="0206558C"/>
    <w:rsid w:val="021C6DDB"/>
    <w:rsid w:val="021D78AB"/>
    <w:rsid w:val="02200B7B"/>
    <w:rsid w:val="022210FA"/>
    <w:rsid w:val="023F2703"/>
    <w:rsid w:val="02442B96"/>
    <w:rsid w:val="024C066E"/>
    <w:rsid w:val="024F27D3"/>
    <w:rsid w:val="02536C27"/>
    <w:rsid w:val="02692B30"/>
    <w:rsid w:val="027C7864"/>
    <w:rsid w:val="02951F19"/>
    <w:rsid w:val="02A036F5"/>
    <w:rsid w:val="02B611E1"/>
    <w:rsid w:val="02B77957"/>
    <w:rsid w:val="02BB0734"/>
    <w:rsid w:val="02C42214"/>
    <w:rsid w:val="02CC6CBE"/>
    <w:rsid w:val="02CD5A24"/>
    <w:rsid w:val="02D25939"/>
    <w:rsid w:val="02DA3C5B"/>
    <w:rsid w:val="02E14199"/>
    <w:rsid w:val="02E57F58"/>
    <w:rsid w:val="02E71A69"/>
    <w:rsid w:val="02FE20CD"/>
    <w:rsid w:val="03024A00"/>
    <w:rsid w:val="03032339"/>
    <w:rsid w:val="030625CB"/>
    <w:rsid w:val="030C6F29"/>
    <w:rsid w:val="030D1D2D"/>
    <w:rsid w:val="0320730B"/>
    <w:rsid w:val="0323792C"/>
    <w:rsid w:val="03245DFE"/>
    <w:rsid w:val="032E6D36"/>
    <w:rsid w:val="032F672A"/>
    <w:rsid w:val="03344220"/>
    <w:rsid w:val="033928D2"/>
    <w:rsid w:val="033E7560"/>
    <w:rsid w:val="03625B00"/>
    <w:rsid w:val="03666FB7"/>
    <w:rsid w:val="0369412B"/>
    <w:rsid w:val="036D6BA3"/>
    <w:rsid w:val="037736BF"/>
    <w:rsid w:val="03791753"/>
    <w:rsid w:val="0388753D"/>
    <w:rsid w:val="03AC26DB"/>
    <w:rsid w:val="03BA4347"/>
    <w:rsid w:val="03BB37B6"/>
    <w:rsid w:val="03D06CE8"/>
    <w:rsid w:val="03D3487F"/>
    <w:rsid w:val="03DA050F"/>
    <w:rsid w:val="03E1434F"/>
    <w:rsid w:val="03E24779"/>
    <w:rsid w:val="04031645"/>
    <w:rsid w:val="04123DBD"/>
    <w:rsid w:val="0415791F"/>
    <w:rsid w:val="04247E93"/>
    <w:rsid w:val="04296770"/>
    <w:rsid w:val="042D4BCA"/>
    <w:rsid w:val="0438233B"/>
    <w:rsid w:val="043C6A22"/>
    <w:rsid w:val="04415975"/>
    <w:rsid w:val="04422EA4"/>
    <w:rsid w:val="04453FA6"/>
    <w:rsid w:val="045654C5"/>
    <w:rsid w:val="045841FB"/>
    <w:rsid w:val="04635E28"/>
    <w:rsid w:val="046E0340"/>
    <w:rsid w:val="0470433C"/>
    <w:rsid w:val="04795398"/>
    <w:rsid w:val="047D3A77"/>
    <w:rsid w:val="047E4E8C"/>
    <w:rsid w:val="048250A5"/>
    <w:rsid w:val="04965B36"/>
    <w:rsid w:val="04A171B4"/>
    <w:rsid w:val="04AC5A06"/>
    <w:rsid w:val="04AE7343"/>
    <w:rsid w:val="04B90BB3"/>
    <w:rsid w:val="04C00867"/>
    <w:rsid w:val="04C4109A"/>
    <w:rsid w:val="04D26CFA"/>
    <w:rsid w:val="04E847E3"/>
    <w:rsid w:val="04F66915"/>
    <w:rsid w:val="04F964FE"/>
    <w:rsid w:val="050F0C3B"/>
    <w:rsid w:val="051038C0"/>
    <w:rsid w:val="05130A9A"/>
    <w:rsid w:val="0519559F"/>
    <w:rsid w:val="05202CD7"/>
    <w:rsid w:val="05284567"/>
    <w:rsid w:val="052E677A"/>
    <w:rsid w:val="05320B7C"/>
    <w:rsid w:val="053467E6"/>
    <w:rsid w:val="0537577B"/>
    <w:rsid w:val="055968F8"/>
    <w:rsid w:val="055E2363"/>
    <w:rsid w:val="056475CC"/>
    <w:rsid w:val="05656253"/>
    <w:rsid w:val="05711383"/>
    <w:rsid w:val="057920E8"/>
    <w:rsid w:val="057A271D"/>
    <w:rsid w:val="05994192"/>
    <w:rsid w:val="059F4AC3"/>
    <w:rsid w:val="05A31D76"/>
    <w:rsid w:val="05AD247A"/>
    <w:rsid w:val="05BE291C"/>
    <w:rsid w:val="05C575C9"/>
    <w:rsid w:val="05CB0777"/>
    <w:rsid w:val="05D53D9D"/>
    <w:rsid w:val="05D64790"/>
    <w:rsid w:val="05D86F60"/>
    <w:rsid w:val="05DA39A6"/>
    <w:rsid w:val="05E1417C"/>
    <w:rsid w:val="05EF05A3"/>
    <w:rsid w:val="05F02461"/>
    <w:rsid w:val="05F42BDE"/>
    <w:rsid w:val="05FC2CC6"/>
    <w:rsid w:val="060E60F1"/>
    <w:rsid w:val="06151530"/>
    <w:rsid w:val="061E78E4"/>
    <w:rsid w:val="062524A0"/>
    <w:rsid w:val="0629366B"/>
    <w:rsid w:val="062C1339"/>
    <w:rsid w:val="06396C2F"/>
    <w:rsid w:val="06414FF3"/>
    <w:rsid w:val="06496457"/>
    <w:rsid w:val="0655713A"/>
    <w:rsid w:val="06625D2A"/>
    <w:rsid w:val="06651536"/>
    <w:rsid w:val="066E6FEA"/>
    <w:rsid w:val="067C1790"/>
    <w:rsid w:val="067D6DB8"/>
    <w:rsid w:val="069271F5"/>
    <w:rsid w:val="06984400"/>
    <w:rsid w:val="06A74C05"/>
    <w:rsid w:val="06B4093A"/>
    <w:rsid w:val="06C34D8E"/>
    <w:rsid w:val="06D020E0"/>
    <w:rsid w:val="06ED199B"/>
    <w:rsid w:val="06EF716D"/>
    <w:rsid w:val="07010286"/>
    <w:rsid w:val="070241E9"/>
    <w:rsid w:val="07106769"/>
    <w:rsid w:val="071A4087"/>
    <w:rsid w:val="071B04B1"/>
    <w:rsid w:val="07203EF1"/>
    <w:rsid w:val="073D0D2B"/>
    <w:rsid w:val="07413E54"/>
    <w:rsid w:val="074E2EF7"/>
    <w:rsid w:val="07525D62"/>
    <w:rsid w:val="075F4260"/>
    <w:rsid w:val="076F68F3"/>
    <w:rsid w:val="078134DF"/>
    <w:rsid w:val="07882FBE"/>
    <w:rsid w:val="078B3763"/>
    <w:rsid w:val="078B6222"/>
    <w:rsid w:val="079727D2"/>
    <w:rsid w:val="079F7CA9"/>
    <w:rsid w:val="07A1167C"/>
    <w:rsid w:val="07AE108C"/>
    <w:rsid w:val="07B27B3D"/>
    <w:rsid w:val="07BA4CCA"/>
    <w:rsid w:val="07BF360B"/>
    <w:rsid w:val="07C210D3"/>
    <w:rsid w:val="07C43646"/>
    <w:rsid w:val="07CB3790"/>
    <w:rsid w:val="07D17825"/>
    <w:rsid w:val="07D46474"/>
    <w:rsid w:val="07E35AB4"/>
    <w:rsid w:val="0810594A"/>
    <w:rsid w:val="081B6711"/>
    <w:rsid w:val="081E5651"/>
    <w:rsid w:val="083539DF"/>
    <w:rsid w:val="084D1E2B"/>
    <w:rsid w:val="08547508"/>
    <w:rsid w:val="08615E14"/>
    <w:rsid w:val="088A0187"/>
    <w:rsid w:val="08931EB9"/>
    <w:rsid w:val="089A3757"/>
    <w:rsid w:val="08B46DEE"/>
    <w:rsid w:val="08BE644F"/>
    <w:rsid w:val="08BF6A3F"/>
    <w:rsid w:val="08CD18C2"/>
    <w:rsid w:val="08CD6A8F"/>
    <w:rsid w:val="08D67A04"/>
    <w:rsid w:val="08DA7138"/>
    <w:rsid w:val="08DB1649"/>
    <w:rsid w:val="08DE7603"/>
    <w:rsid w:val="08E01623"/>
    <w:rsid w:val="08F338B7"/>
    <w:rsid w:val="08F911E2"/>
    <w:rsid w:val="08FD1E49"/>
    <w:rsid w:val="090066FB"/>
    <w:rsid w:val="09193480"/>
    <w:rsid w:val="092903B1"/>
    <w:rsid w:val="093662E3"/>
    <w:rsid w:val="09392DE8"/>
    <w:rsid w:val="0949606C"/>
    <w:rsid w:val="09564770"/>
    <w:rsid w:val="095E1A3B"/>
    <w:rsid w:val="095F2523"/>
    <w:rsid w:val="096676A7"/>
    <w:rsid w:val="096C6A74"/>
    <w:rsid w:val="096D7FB2"/>
    <w:rsid w:val="09712142"/>
    <w:rsid w:val="09772C47"/>
    <w:rsid w:val="09865AC0"/>
    <w:rsid w:val="0987783C"/>
    <w:rsid w:val="098D4755"/>
    <w:rsid w:val="09941D3F"/>
    <w:rsid w:val="09942912"/>
    <w:rsid w:val="099D6E4D"/>
    <w:rsid w:val="09A9376A"/>
    <w:rsid w:val="09AE11F7"/>
    <w:rsid w:val="09B84622"/>
    <w:rsid w:val="09B96184"/>
    <w:rsid w:val="09C45552"/>
    <w:rsid w:val="09CE177B"/>
    <w:rsid w:val="09D443EF"/>
    <w:rsid w:val="09DA3055"/>
    <w:rsid w:val="09EA6024"/>
    <w:rsid w:val="09FB48BE"/>
    <w:rsid w:val="0A017F6F"/>
    <w:rsid w:val="0A0D7F05"/>
    <w:rsid w:val="0A2E2DC6"/>
    <w:rsid w:val="0A2F05B8"/>
    <w:rsid w:val="0A310D95"/>
    <w:rsid w:val="0A442F3E"/>
    <w:rsid w:val="0A5B02BB"/>
    <w:rsid w:val="0A6527F0"/>
    <w:rsid w:val="0A67309C"/>
    <w:rsid w:val="0A6A061B"/>
    <w:rsid w:val="0A6C53BD"/>
    <w:rsid w:val="0A7D6CA0"/>
    <w:rsid w:val="0A91410C"/>
    <w:rsid w:val="0A9F4449"/>
    <w:rsid w:val="0AAB1C3E"/>
    <w:rsid w:val="0AAD6510"/>
    <w:rsid w:val="0AB511CC"/>
    <w:rsid w:val="0AD211EC"/>
    <w:rsid w:val="0AD52C15"/>
    <w:rsid w:val="0B03303B"/>
    <w:rsid w:val="0B177AE4"/>
    <w:rsid w:val="0B1E1622"/>
    <w:rsid w:val="0B1E4234"/>
    <w:rsid w:val="0B210FF4"/>
    <w:rsid w:val="0B214EC8"/>
    <w:rsid w:val="0B4C4CA4"/>
    <w:rsid w:val="0B4C67B5"/>
    <w:rsid w:val="0B5625FF"/>
    <w:rsid w:val="0B5C0F89"/>
    <w:rsid w:val="0B5C2E5A"/>
    <w:rsid w:val="0B671C59"/>
    <w:rsid w:val="0B6D7F8B"/>
    <w:rsid w:val="0B7456C3"/>
    <w:rsid w:val="0B825193"/>
    <w:rsid w:val="0B8437E7"/>
    <w:rsid w:val="0B844680"/>
    <w:rsid w:val="0B8D3582"/>
    <w:rsid w:val="0B9968BD"/>
    <w:rsid w:val="0B9B252E"/>
    <w:rsid w:val="0BA86BCF"/>
    <w:rsid w:val="0BC504C7"/>
    <w:rsid w:val="0BC52D14"/>
    <w:rsid w:val="0BC6680E"/>
    <w:rsid w:val="0BD654CD"/>
    <w:rsid w:val="0BE74C1A"/>
    <w:rsid w:val="0BEF058D"/>
    <w:rsid w:val="0BFB2986"/>
    <w:rsid w:val="0BFD70B9"/>
    <w:rsid w:val="0C010F49"/>
    <w:rsid w:val="0C0254AB"/>
    <w:rsid w:val="0C0517F8"/>
    <w:rsid w:val="0C354CA2"/>
    <w:rsid w:val="0C3A499F"/>
    <w:rsid w:val="0C3C1277"/>
    <w:rsid w:val="0C5B1651"/>
    <w:rsid w:val="0C6C1A7E"/>
    <w:rsid w:val="0C7E1018"/>
    <w:rsid w:val="0C7F2301"/>
    <w:rsid w:val="0C7F6489"/>
    <w:rsid w:val="0C815E9E"/>
    <w:rsid w:val="0C981DBF"/>
    <w:rsid w:val="0C984295"/>
    <w:rsid w:val="0CAE3418"/>
    <w:rsid w:val="0CAF3007"/>
    <w:rsid w:val="0CBB578A"/>
    <w:rsid w:val="0CD636EC"/>
    <w:rsid w:val="0CE72916"/>
    <w:rsid w:val="0CF7154E"/>
    <w:rsid w:val="0D0F45AD"/>
    <w:rsid w:val="0D184BF2"/>
    <w:rsid w:val="0D2248EA"/>
    <w:rsid w:val="0D3A4CFC"/>
    <w:rsid w:val="0D3F0D33"/>
    <w:rsid w:val="0D401645"/>
    <w:rsid w:val="0D5C24F9"/>
    <w:rsid w:val="0D6F127E"/>
    <w:rsid w:val="0D777DEE"/>
    <w:rsid w:val="0D7B7804"/>
    <w:rsid w:val="0D8205BD"/>
    <w:rsid w:val="0D8E2736"/>
    <w:rsid w:val="0D9C6CDB"/>
    <w:rsid w:val="0DAE7784"/>
    <w:rsid w:val="0DB86A13"/>
    <w:rsid w:val="0DBB3214"/>
    <w:rsid w:val="0DC71A36"/>
    <w:rsid w:val="0DCB220A"/>
    <w:rsid w:val="0DCE08EE"/>
    <w:rsid w:val="0DE30F5D"/>
    <w:rsid w:val="0DF70178"/>
    <w:rsid w:val="0E014504"/>
    <w:rsid w:val="0E1171EA"/>
    <w:rsid w:val="0E176264"/>
    <w:rsid w:val="0E4168D4"/>
    <w:rsid w:val="0E44065A"/>
    <w:rsid w:val="0E486F1E"/>
    <w:rsid w:val="0E4A6C28"/>
    <w:rsid w:val="0E4D0134"/>
    <w:rsid w:val="0E50142D"/>
    <w:rsid w:val="0E65495E"/>
    <w:rsid w:val="0E680D42"/>
    <w:rsid w:val="0E6F26FB"/>
    <w:rsid w:val="0E740ECE"/>
    <w:rsid w:val="0E7C070E"/>
    <w:rsid w:val="0E7D4BB9"/>
    <w:rsid w:val="0E836F21"/>
    <w:rsid w:val="0E85455D"/>
    <w:rsid w:val="0E913E6E"/>
    <w:rsid w:val="0E973A69"/>
    <w:rsid w:val="0E981D86"/>
    <w:rsid w:val="0E997FE5"/>
    <w:rsid w:val="0E9F5CF3"/>
    <w:rsid w:val="0EA65EF1"/>
    <w:rsid w:val="0EAB581F"/>
    <w:rsid w:val="0EB01965"/>
    <w:rsid w:val="0EB633D9"/>
    <w:rsid w:val="0EBC4089"/>
    <w:rsid w:val="0EC224D5"/>
    <w:rsid w:val="0ED25BA6"/>
    <w:rsid w:val="0ED472D6"/>
    <w:rsid w:val="0EDF78EC"/>
    <w:rsid w:val="0EE44596"/>
    <w:rsid w:val="0EF04C39"/>
    <w:rsid w:val="0EF331DC"/>
    <w:rsid w:val="0F007636"/>
    <w:rsid w:val="0F23590D"/>
    <w:rsid w:val="0F2B3839"/>
    <w:rsid w:val="0F335E45"/>
    <w:rsid w:val="0F36664C"/>
    <w:rsid w:val="0F3B100B"/>
    <w:rsid w:val="0F413A6B"/>
    <w:rsid w:val="0F4B6991"/>
    <w:rsid w:val="0F511440"/>
    <w:rsid w:val="0F597D2B"/>
    <w:rsid w:val="0F6B69E6"/>
    <w:rsid w:val="0F6D453B"/>
    <w:rsid w:val="0F700740"/>
    <w:rsid w:val="0F784778"/>
    <w:rsid w:val="0F810E9F"/>
    <w:rsid w:val="0F89215E"/>
    <w:rsid w:val="0F9C4063"/>
    <w:rsid w:val="0FAB1E67"/>
    <w:rsid w:val="0FB77A13"/>
    <w:rsid w:val="0FBC57C0"/>
    <w:rsid w:val="0FBD7320"/>
    <w:rsid w:val="0FBE40CD"/>
    <w:rsid w:val="0FC30926"/>
    <w:rsid w:val="0FC47161"/>
    <w:rsid w:val="0FCB4F52"/>
    <w:rsid w:val="0FCC07F4"/>
    <w:rsid w:val="0FCE48F6"/>
    <w:rsid w:val="0FDD7C8F"/>
    <w:rsid w:val="0FE25E26"/>
    <w:rsid w:val="0FF124F0"/>
    <w:rsid w:val="0FF27C75"/>
    <w:rsid w:val="0FF27F99"/>
    <w:rsid w:val="0FF51B44"/>
    <w:rsid w:val="0FFA769E"/>
    <w:rsid w:val="0FFD3763"/>
    <w:rsid w:val="0FFD7E18"/>
    <w:rsid w:val="0FFE2D95"/>
    <w:rsid w:val="100A2A84"/>
    <w:rsid w:val="1015521C"/>
    <w:rsid w:val="101755AD"/>
    <w:rsid w:val="10190390"/>
    <w:rsid w:val="1024738C"/>
    <w:rsid w:val="102F53C5"/>
    <w:rsid w:val="103074A4"/>
    <w:rsid w:val="103E26EE"/>
    <w:rsid w:val="10421258"/>
    <w:rsid w:val="104256C4"/>
    <w:rsid w:val="104E2DB8"/>
    <w:rsid w:val="105F615E"/>
    <w:rsid w:val="10697481"/>
    <w:rsid w:val="10761009"/>
    <w:rsid w:val="10784A30"/>
    <w:rsid w:val="107E1D28"/>
    <w:rsid w:val="109346BA"/>
    <w:rsid w:val="10A35CFB"/>
    <w:rsid w:val="10A926B4"/>
    <w:rsid w:val="10B64C68"/>
    <w:rsid w:val="10D67C00"/>
    <w:rsid w:val="10DF46E6"/>
    <w:rsid w:val="10F16032"/>
    <w:rsid w:val="10F36698"/>
    <w:rsid w:val="10F555B9"/>
    <w:rsid w:val="110847AA"/>
    <w:rsid w:val="11093E8E"/>
    <w:rsid w:val="11094750"/>
    <w:rsid w:val="110B0C32"/>
    <w:rsid w:val="110E0640"/>
    <w:rsid w:val="110E22B2"/>
    <w:rsid w:val="111473A3"/>
    <w:rsid w:val="11166585"/>
    <w:rsid w:val="11252757"/>
    <w:rsid w:val="11381078"/>
    <w:rsid w:val="113832BD"/>
    <w:rsid w:val="1138366C"/>
    <w:rsid w:val="11386B92"/>
    <w:rsid w:val="1142142D"/>
    <w:rsid w:val="115619BD"/>
    <w:rsid w:val="11657599"/>
    <w:rsid w:val="1182367E"/>
    <w:rsid w:val="118F20F0"/>
    <w:rsid w:val="11A7561A"/>
    <w:rsid w:val="11AA141F"/>
    <w:rsid w:val="11AB3608"/>
    <w:rsid w:val="11B36E5C"/>
    <w:rsid w:val="11B63D10"/>
    <w:rsid w:val="11C03964"/>
    <w:rsid w:val="11C67F9C"/>
    <w:rsid w:val="11CA0EC8"/>
    <w:rsid w:val="11D06FB5"/>
    <w:rsid w:val="11D61453"/>
    <w:rsid w:val="11DF7916"/>
    <w:rsid w:val="11E85055"/>
    <w:rsid w:val="11EB0245"/>
    <w:rsid w:val="11EB03E8"/>
    <w:rsid w:val="11F35B9A"/>
    <w:rsid w:val="11FC5539"/>
    <w:rsid w:val="12030AA7"/>
    <w:rsid w:val="12060AC1"/>
    <w:rsid w:val="121D6A8E"/>
    <w:rsid w:val="12247759"/>
    <w:rsid w:val="122A0EC2"/>
    <w:rsid w:val="122A14A8"/>
    <w:rsid w:val="122A6356"/>
    <w:rsid w:val="122F70E6"/>
    <w:rsid w:val="12353A38"/>
    <w:rsid w:val="124555A0"/>
    <w:rsid w:val="124F6BF8"/>
    <w:rsid w:val="12527B47"/>
    <w:rsid w:val="125604F3"/>
    <w:rsid w:val="125F5D8E"/>
    <w:rsid w:val="1267491D"/>
    <w:rsid w:val="12731475"/>
    <w:rsid w:val="1282593C"/>
    <w:rsid w:val="12831FD8"/>
    <w:rsid w:val="12921E76"/>
    <w:rsid w:val="129A23CF"/>
    <w:rsid w:val="129F7FD1"/>
    <w:rsid w:val="12A05C8E"/>
    <w:rsid w:val="12A637B6"/>
    <w:rsid w:val="12A721AB"/>
    <w:rsid w:val="12A9508B"/>
    <w:rsid w:val="12AA3981"/>
    <w:rsid w:val="12B84F0D"/>
    <w:rsid w:val="12C059DF"/>
    <w:rsid w:val="12D2740C"/>
    <w:rsid w:val="12E61FC8"/>
    <w:rsid w:val="12EB782C"/>
    <w:rsid w:val="12EF12CC"/>
    <w:rsid w:val="12F50B90"/>
    <w:rsid w:val="12FC3C3E"/>
    <w:rsid w:val="130100E0"/>
    <w:rsid w:val="13025D0D"/>
    <w:rsid w:val="13096F29"/>
    <w:rsid w:val="130B50AE"/>
    <w:rsid w:val="1319260B"/>
    <w:rsid w:val="131C13A9"/>
    <w:rsid w:val="132847E3"/>
    <w:rsid w:val="133E02C4"/>
    <w:rsid w:val="133E5DF7"/>
    <w:rsid w:val="134C2116"/>
    <w:rsid w:val="13521337"/>
    <w:rsid w:val="13592639"/>
    <w:rsid w:val="135F6DFD"/>
    <w:rsid w:val="13676827"/>
    <w:rsid w:val="137B4C85"/>
    <w:rsid w:val="137F60C1"/>
    <w:rsid w:val="138D1F7C"/>
    <w:rsid w:val="13957A8B"/>
    <w:rsid w:val="139D681F"/>
    <w:rsid w:val="139F09FA"/>
    <w:rsid w:val="13A609E7"/>
    <w:rsid w:val="13AD4474"/>
    <w:rsid w:val="13B1147D"/>
    <w:rsid w:val="13B4698A"/>
    <w:rsid w:val="13BD019D"/>
    <w:rsid w:val="13CE63E6"/>
    <w:rsid w:val="13E21CD1"/>
    <w:rsid w:val="13E342D2"/>
    <w:rsid w:val="13E346E1"/>
    <w:rsid w:val="13E57A43"/>
    <w:rsid w:val="13FC3E5D"/>
    <w:rsid w:val="140719E6"/>
    <w:rsid w:val="14093A6F"/>
    <w:rsid w:val="14266D5F"/>
    <w:rsid w:val="142733EA"/>
    <w:rsid w:val="145A1D34"/>
    <w:rsid w:val="146042B9"/>
    <w:rsid w:val="14604F96"/>
    <w:rsid w:val="14634C74"/>
    <w:rsid w:val="14656774"/>
    <w:rsid w:val="146614E2"/>
    <w:rsid w:val="14762D0E"/>
    <w:rsid w:val="147809E1"/>
    <w:rsid w:val="149A22F6"/>
    <w:rsid w:val="149E0BD6"/>
    <w:rsid w:val="149F0103"/>
    <w:rsid w:val="14A6546F"/>
    <w:rsid w:val="14B41CB6"/>
    <w:rsid w:val="14BB16C1"/>
    <w:rsid w:val="14BF4344"/>
    <w:rsid w:val="14C352AB"/>
    <w:rsid w:val="14C43015"/>
    <w:rsid w:val="14C72E33"/>
    <w:rsid w:val="14D14737"/>
    <w:rsid w:val="14DD64AD"/>
    <w:rsid w:val="14E07294"/>
    <w:rsid w:val="14E243FA"/>
    <w:rsid w:val="15000605"/>
    <w:rsid w:val="15186E7A"/>
    <w:rsid w:val="151D5AB3"/>
    <w:rsid w:val="152B59BE"/>
    <w:rsid w:val="154A78EE"/>
    <w:rsid w:val="155852D1"/>
    <w:rsid w:val="155D389D"/>
    <w:rsid w:val="156241AD"/>
    <w:rsid w:val="156E7678"/>
    <w:rsid w:val="157F5F3D"/>
    <w:rsid w:val="159A3460"/>
    <w:rsid w:val="15A518E9"/>
    <w:rsid w:val="15B266E7"/>
    <w:rsid w:val="15BD6D37"/>
    <w:rsid w:val="15C1546A"/>
    <w:rsid w:val="15CB1A43"/>
    <w:rsid w:val="15D2294C"/>
    <w:rsid w:val="15D95D02"/>
    <w:rsid w:val="15DE0CCC"/>
    <w:rsid w:val="15DE48AA"/>
    <w:rsid w:val="15E1693C"/>
    <w:rsid w:val="15F647D0"/>
    <w:rsid w:val="1600660E"/>
    <w:rsid w:val="161B6920"/>
    <w:rsid w:val="16223B81"/>
    <w:rsid w:val="16270BED"/>
    <w:rsid w:val="162E0482"/>
    <w:rsid w:val="16303C30"/>
    <w:rsid w:val="1645537C"/>
    <w:rsid w:val="16597989"/>
    <w:rsid w:val="165D0B20"/>
    <w:rsid w:val="165F29AD"/>
    <w:rsid w:val="165F5254"/>
    <w:rsid w:val="16773DA9"/>
    <w:rsid w:val="16783169"/>
    <w:rsid w:val="167F185A"/>
    <w:rsid w:val="16801BCC"/>
    <w:rsid w:val="16833D6B"/>
    <w:rsid w:val="168827BB"/>
    <w:rsid w:val="168855BC"/>
    <w:rsid w:val="168E4861"/>
    <w:rsid w:val="16962C45"/>
    <w:rsid w:val="169D633A"/>
    <w:rsid w:val="16AF52BC"/>
    <w:rsid w:val="16C23278"/>
    <w:rsid w:val="16C3321D"/>
    <w:rsid w:val="16C87465"/>
    <w:rsid w:val="16CA18BE"/>
    <w:rsid w:val="16D30710"/>
    <w:rsid w:val="16DE5DCD"/>
    <w:rsid w:val="16E3612D"/>
    <w:rsid w:val="16F57D88"/>
    <w:rsid w:val="16FD2F2F"/>
    <w:rsid w:val="1701270F"/>
    <w:rsid w:val="17190EAD"/>
    <w:rsid w:val="17233957"/>
    <w:rsid w:val="17257E6A"/>
    <w:rsid w:val="172B0CA4"/>
    <w:rsid w:val="172D25D1"/>
    <w:rsid w:val="173C4F5C"/>
    <w:rsid w:val="173C59CD"/>
    <w:rsid w:val="173C6D9B"/>
    <w:rsid w:val="17504B00"/>
    <w:rsid w:val="17533F7B"/>
    <w:rsid w:val="175D7DCB"/>
    <w:rsid w:val="176E37C0"/>
    <w:rsid w:val="176F63F4"/>
    <w:rsid w:val="17774395"/>
    <w:rsid w:val="177D764E"/>
    <w:rsid w:val="17814641"/>
    <w:rsid w:val="178733D8"/>
    <w:rsid w:val="178C2935"/>
    <w:rsid w:val="17A34DC3"/>
    <w:rsid w:val="17AC2CDF"/>
    <w:rsid w:val="17BE5764"/>
    <w:rsid w:val="17C02955"/>
    <w:rsid w:val="17C42F08"/>
    <w:rsid w:val="17D0765E"/>
    <w:rsid w:val="17E1659F"/>
    <w:rsid w:val="17F75EA0"/>
    <w:rsid w:val="180954C1"/>
    <w:rsid w:val="1816284D"/>
    <w:rsid w:val="181B2821"/>
    <w:rsid w:val="181D5806"/>
    <w:rsid w:val="1824493C"/>
    <w:rsid w:val="18284F0C"/>
    <w:rsid w:val="18295AD9"/>
    <w:rsid w:val="182C3E2A"/>
    <w:rsid w:val="18351C95"/>
    <w:rsid w:val="183930B0"/>
    <w:rsid w:val="183A3546"/>
    <w:rsid w:val="183F0EA9"/>
    <w:rsid w:val="184A7867"/>
    <w:rsid w:val="184F7A96"/>
    <w:rsid w:val="185871DF"/>
    <w:rsid w:val="185E49B4"/>
    <w:rsid w:val="18626AF6"/>
    <w:rsid w:val="18810459"/>
    <w:rsid w:val="18950F85"/>
    <w:rsid w:val="189917C4"/>
    <w:rsid w:val="18A53A61"/>
    <w:rsid w:val="18A57935"/>
    <w:rsid w:val="18B12020"/>
    <w:rsid w:val="18B262F7"/>
    <w:rsid w:val="18B7276D"/>
    <w:rsid w:val="18C45EB5"/>
    <w:rsid w:val="18DA686A"/>
    <w:rsid w:val="18DE4004"/>
    <w:rsid w:val="18E13FAA"/>
    <w:rsid w:val="18E263FE"/>
    <w:rsid w:val="18E26B60"/>
    <w:rsid w:val="18E36A88"/>
    <w:rsid w:val="18E43848"/>
    <w:rsid w:val="18EF6F6A"/>
    <w:rsid w:val="19101703"/>
    <w:rsid w:val="192155E5"/>
    <w:rsid w:val="192447C5"/>
    <w:rsid w:val="193819F6"/>
    <w:rsid w:val="19385F26"/>
    <w:rsid w:val="19424962"/>
    <w:rsid w:val="19442754"/>
    <w:rsid w:val="19443B37"/>
    <w:rsid w:val="19447ACE"/>
    <w:rsid w:val="19501C54"/>
    <w:rsid w:val="195645B9"/>
    <w:rsid w:val="195A51EA"/>
    <w:rsid w:val="195E486D"/>
    <w:rsid w:val="1963665A"/>
    <w:rsid w:val="196569EA"/>
    <w:rsid w:val="198A0B2E"/>
    <w:rsid w:val="198E36B4"/>
    <w:rsid w:val="19945392"/>
    <w:rsid w:val="19950B90"/>
    <w:rsid w:val="199969C7"/>
    <w:rsid w:val="19B22870"/>
    <w:rsid w:val="19C40F6B"/>
    <w:rsid w:val="19C66F6C"/>
    <w:rsid w:val="19DC46BF"/>
    <w:rsid w:val="19DE2365"/>
    <w:rsid w:val="19E06EFC"/>
    <w:rsid w:val="19EA439C"/>
    <w:rsid w:val="19F8661C"/>
    <w:rsid w:val="19FA5C8A"/>
    <w:rsid w:val="1A027EDB"/>
    <w:rsid w:val="1A0318F2"/>
    <w:rsid w:val="1A107549"/>
    <w:rsid w:val="1A1663D4"/>
    <w:rsid w:val="1A263FDE"/>
    <w:rsid w:val="1A2F2A5E"/>
    <w:rsid w:val="1A402A83"/>
    <w:rsid w:val="1A412A5F"/>
    <w:rsid w:val="1A587316"/>
    <w:rsid w:val="1A671C93"/>
    <w:rsid w:val="1A6F695E"/>
    <w:rsid w:val="1A78055F"/>
    <w:rsid w:val="1A7C5B0B"/>
    <w:rsid w:val="1A992AA9"/>
    <w:rsid w:val="1A9B372A"/>
    <w:rsid w:val="1AA55B7F"/>
    <w:rsid w:val="1AAE178F"/>
    <w:rsid w:val="1AB25285"/>
    <w:rsid w:val="1ABD5800"/>
    <w:rsid w:val="1AEC3962"/>
    <w:rsid w:val="1AF81775"/>
    <w:rsid w:val="1AFD16E0"/>
    <w:rsid w:val="1B3237B5"/>
    <w:rsid w:val="1B32716B"/>
    <w:rsid w:val="1B4972A7"/>
    <w:rsid w:val="1B511989"/>
    <w:rsid w:val="1B5418FE"/>
    <w:rsid w:val="1B8841DE"/>
    <w:rsid w:val="1B98518A"/>
    <w:rsid w:val="1BA15FE4"/>
    <w:rsid w:val="1BA42378"/>
    <w:rsid w:val="1BA61A06"/>
    <w:rsid w:val="1BA957E2"/>
    <w:rsid w:val="1BB1659A"/>
    <w:rsid w:val="1BB64B12"/>
    <w:rsid w:val="1BE60593"/>
    <w:rsid w:val="1BE81287"/>
    <w:rsid w:val="1BF3115B"/>
    <w:rsid w:val="1BF76A7A"/>
    <w:rsid w:val="1BF93BFC"/>
    <w:rsid w:val="1BFA255D"/>
    <w:rsid w:val="1C167667"/>
    <w:rsid w:val="1C266E97"/>
    <w:rsid w:val="1C2B2DDB"/>
    <w:rsid w:val="1C300581"/>
    <w:rsid w:val="1C321D73"/>
    <w:rsid w:val="1C3B3467"/>
    <w:rsid w:val="1C413C84"/>
    <w:rsid w:val="1C4224CA"/>
    <w:rsid w:val="1C486B9A"/>
    <w:rsid w:val="1C4A36C8"/>
    <w:rsid w:val="1C570DDB"/>
    <w:rsid w:val="1C6A6813"/>
    <w:rsid w:val="1C8E42F9"/>
    <w:rsid w:val="1CA31D49"/>
    <w:rsid w:val="1CAE3FF4"/>
    <w:rsid w:val="1CAF7B9C"/>
    <w:rsid w:val="1CB00001"/>
    <w:rsid w:val="1CBD4F58"/>
    <w:rsid w:val="1CCE4D04"/>
    <w:rsid w:val="1CD132AD"/>
    <w:rsid w:val="1CD65C5D"/>
    <w:rsid w:val="1CE10CB1"/>
    <w:rsid w:val="1CE17219"/>
    <w:rsid w:val="1CE654FE"/>
    <w:rsid w:val="1CE90CEC"/>
    <w:rsid w:val="1CFC7CE7"/>
    <w:rsid w:val="1CFD3156"/>
    <w:rsid w:val="1D0A638B"/>
    <w:rsid w:val="1D0E0D07"/>
    <w:rsid w:val="1D0F2537"/>
    <w:rsid w:val="1D1E1666"/>
    <w:rsid w:val="1D2364DF"/>
    <w:rsid w:val="1D260219"/>
    <w:rsid w:val="1D4A1CE0"/>
    <w:rsid w:val="1D4F1B96"/>
    <w:rsid w:val="1D5A5795"/>
    <w:rsid w:val="1D5A7F77"/>
    <w:rsid w:val="1D64043C"/>
    <w:rsid w:val="1D6B214C"/>
    <w:rsid w:val="1D6D0733"/>
    <w:rsid w:val="1D7B10C7"/>
    <w:rsid w:val="1D812265"/>
    <w:rsid w:val="1D84340E"/>
    <w:rsid w:val="1D8704DB"/>
    <w:rsid w:val="1D8D1FD3"/>
    <w:rsid w:val="1D941AC7"/>
    <w:rsid w:val="1D987CBA"/>
    <w:rsid w:val="1D9C098F"/>
    <w:rsid w:val="1D9C5FC4"/>
    <w:rsid w:val="1DA100CA"/>
    <w:rsid w:val="1DB72819"/>
    <w:rsid w:val="1DBB675A"/>
    <w:rsid w:val="1DBD2F9A"/>
    <w:rsid w:val="1DC0455E"/>
    <w:rsid w:val="1DC22763"/>
    <w:rsid w:val="1DC25D24"/>
    <w:rsid w:val="1DC65AB1"/>
    <w:rsid w:val="1DCE3FFE"/>
    <w:rsid w:val="1DD832F6"/>
    <w:rsid w:val="1DD83933"/>
    <w:rsid w:val="1DDA40C8"/>
    <w:rsid w:val="1DDB45A9"/>
    <w:rsid w:val="1DE70C5B"/>
    <w:rsid w:val="1DE73511"/>
    <w:rsid w:val="1DF94C86"/>
    <w:rsid w:val="1E0B50F4"/>
    <w:rsid w:val="1E0C793C"/>
    <w:rsid w:val="1E102152"/>
    <w:rsid w:val="1E283E02"/>
    <w:rsid w:val="1E460348"/>
    <w:rsid w:val="1E516D5B"/>
    <w:rsid w:val="1E52442C"/>
    <w:rsid w:val="1E637415"/>
    <w:rsid w:val="1E644095"/>
    <w:rsid w:val="1E7A27EB"/>
    <w:rsid w:val="1E7E3792"/>
    <w:rsid w:val="1E834016"/>
    <w:rsid w:val="1E886A65"/>
    <w:rsid w:val="1EA2204E"/>
    <w:rsid w:val="1EA255E0"/>
    <w:rsid w:val="1EA87ECC"/>
    <w:rsid w:val="1EAF3C67"/>
    <w:rsid w:val="1EC517F0"/>
    <w:rsid w:val="1EC633BA"/>
    <w:rsid w:val="1EE259DB"/>
    <w:rsid w:val="1EE4183B"/>
    <w:rsid w:val="1EE75A1B"/>
    <w:rsid w:val="1EF20D52"/>
    <w:rsid w:val="1F112940"/>
    <w:rsid w:val="1F200118"/>
    <w:rsid w:val="1F275E44"/>
    <w:rsid w:val="1F2968FE"/>
    <w:rsid w:val="1F346147"/>
    <w:rsid w:val="1F3954DA"/>
    <w:rsid w:val="1F3A5D79"/>
    <w:rsid w:val="1F6571E7"/>
    <w:rsid w:val="1F6F453F"/>
    <w:rsid w:val="1F777037"/>
    <w:rsid w:val="1F7B1D02"/>
    <w:rsid w:val="1F7C464D"/>
    <w:rsid w:val="1F972CE6"/>
    <w:rsid w:val="1F994EA3"/>
    <w:rsid w:val="1F9C32DD"/>
    <w:rsid w:val="1FBD6756"/>
    <w:rsid w:val="1FC3430B"/>
    <w:rsid w:val="1FC63586"/>
    <w:rsid w:val="1FE864AB"/>
    <w:rsid w:val="1FF354D1"/>
    <w:rsid w:val="1FFA7348"/>
    <w:rsid w:val="1FFC2901"/>
    <w:rsid w:val="1FFF2EF5"/>
    <w:rsid w:val="200529AD"/>
    <w:rsid w:val="200B5B4F"/>
    <w:rsid w:val="2018203E"/>
    <w:rsid w:val="2018599A"/>
    <w:rsid w:val="202D110C"/>
    <w:rsid w:val="20325711"/>
    <w:rsid w:val="2033143A"/>
    <w:rsid w:val="203B7477"/>
    <w:rsid w:val="20404975"/>
    <w:rsid w:val="20471356"/>
    <w:rsid w:val="20556C8D"/>
    <w:rsid w:val="20594D80"/>
    <w:rsid w:val="206435D7"/>
    <w:rsid w:val="206D35F1"/>
    <w:rsid w:val="206D466F"/>
    <w:rsid w:val="2071563A"/>
    <w:rsid w:val="20787351"/>
    <w:rsid w:val="2079128E"/>
    <w:rsid w:val="208A5CA8"/>
    <w:rsid w:val="20A72B6F"/>
    <w:rsid w:val="20AA0ECB"/>
    <w:rsid w:val="20B36581"/>
    <w:rsid w:val="20B66441"/>
    <w:rsid w:val="20B77B53"/>
    <w:rsid w:val="20BA2C6B"/>
    <w:rsid w:val="20BA463F"/>
    <w:rsid w:val="20BD1651"/>
    <w:rsid w:val="20BD1763"/>
    <w:rsid w:val="20BF6BA7"/>
    <w:rsid w:val="20C20828"/>
    <w:rsid w:val="20C330DB"/>
    <w:rsid w:val="20C87661"/>
    <w:rsid w:val="20CC7A11"/>
    <w:rsid w:val="20D76576"/>
    <w:rsid w:val="20E223C4"/>
    <w:rsid w:val="20E536B6"/>
    <w:rsid w:val="20FA2DBA"/>
    <w:rsid w:val="21040F03"/>
    <w:rsid w:val="210752C6"/>
    <w:rsid w:val="210A1FC8"/>
    <w:rsid w:val="21111320"/>
    <w:rsid w:val="21150C97"/>
    <w:rsid w:val="212719AD"/>
    <w:rsid w:val="214A321C"/>
    <w:rsid w:val="214F69C3"/>
    <w:rsid w:val="21597BE7"/>
    <w:rsid w:val="21760F63"/>
    <w:rsid w:val="21832276"/>
    <w:rsid w:val="2188584E"/>
    <w:rsid w:val="21943617"/>
    <w:rsid w:val="21D708FC"/>
    <w:rsid w:val="21E64786"/>
    <w:rsid w:val="21EC5D9B"/>
    <w:rsid w:val="21EC6AEC"/>
    <w:rsid w:val="21EE7310"/>
    <w:rsid w:val="21F962CD"/>
    <w:rsid w:val="22040412"/>
    <w:rsid w:val="22135B75"/>
    <w:rsid w:val="22226E2D"/>
    <w:rsid w:val="222F68A5"/>
    <w:rsid w:val="223C2798"/>
    <w:rsid w:val="22460F9B"/>
    <w:rsid w:val="225215FB"/>
    <w:rsid w:val="226D1E72"/>
    <w:rsid w:val="227475A2"/>
    <w:rsid w:val="227576FF"/>
    <w:rsid w:val="228618EC"/>
    <w:rsid w:val="228864DE"/>
    <w:rsid w:val="22AB2187"/>
    <w:rsid w:val="22AF4D88"/>
    <w:rsid w:val="22BE30F3"/>
    <w:rsid w:val="22C82BDA"/>
    <w:rsid w:val="22CA44DF"/>
    <w:rsid w:val="22CD7AC4"/>
    <w:rsid w:val="22E14913"/>
    <w:rsid w:val="22E501D9"/>
    <w:rsid w:val="22E57272"/>
    <w:rsid w:val="22F61DC1"/>
    <w:rsid w:val="22F914EA"/>
    <w:rsid w:val="22FA40FC"/>
    <w:rsid w:val="23123721"/>
    <w:rsid w:val="231A4909"/>
    <w:rsid w:val="231D7CF3"/>
    <w:rsid w:val="231E592E"/>
    <w:rsid w:val="231E7BD2"/>
    <w:rsid w:val="2327191F"/>
    <w:rsid w:val="23273E23"/>
    <w:rsid w:val="232E371D"/>
    <w:rsid w:val="23305710"/>
    <w:rsid w:val="23384115"/>
    <w:rsid w:val="2347179E"/>
    <w:rsid w:val="234C202C"/>
    <w:rsid w:val="23540162"/>
    <w:rsid w:val="235422BB"/>
    <w:rsid w:val="23592472"/>
    <w:rsid w:val="235D4796"/>
    <w:rsid w:val="23603B5C"/>
    <w:rsid w:val="23704D42"/>
    <w:rsid w:val="23795955"/>
    <w:rsid w:val="237E1306"/>
    <w:rsid w:val="237F1759"/>
    <w:rsid w:val="23803936"/>
    <w:rsid w:val="238925F8"/>
    <w:rsid w:val="239857CE"/>
    <w:rsid w:val="23A00778"/>
    <w:rsid w:val="23A55874"/>
    <w:rsid w:val="23B86C1E"/>
    <w:rsid w:val="23C40371"/>
    <w:rsid w:val="23C7201E"/>
    <w:rsid w:val="23CE2493"/>
    <w:rsid w:val="23E372C7"/>
    <w:rsid w:val="23F37570"/>
    <w:rsid w:val="23FF389D"/>
    <w:rsid w:val="24051444"/>
    <w:rsid w:val="24084291"/>
    <w:rsid w:val="240932EA"/>
    <w:rsid w:val="2422188D"/>
    <w:rsid w:val="24250EB0"/>
    <w:rsid w:val="242669EB"/>
    <w:rsid w:val="24275BFF"/>
    <w:rsid w:val="243144DD"/>
    <w:rsid w:val="24385779"/>
    <w:rsid w:val="2439048D"/>
    <w:rsid w:val="243D1B12"/>
    <w:rsid w:val="244467AE"/>
    <w:rsid w:val="244B06CE"/>
    <w:rsid w:val="24595C73"/>
    <w:rsid w:val="24611D6A"/>
    <w:rsid w:val="24634BD4"/>
    <w:rsid w:val="24697BE1"/>
    <w:rsid w:val="246D4098"/>
    <w:rsid w:val="246F4775"/>
    <w:rsid w:val="24722BBA"/>
    <w:rsid w:val="247923A6"/>
    <w:rsid w:val="2482408A"/>
    <w:rsid w:val="24915DE6"/>
    <w:rsid w:val="24952391"/>
    <w:rsid w:val="24967284"/>
    <w:rsid w:val="249F3EE3"/>
    <w:rsid w:val="24A221EB"/>
    <w:rsid w:val="24B4024C"/>
    <w:rsid w:val="24B84316"/>
    <w:rsid w:val="24C16969"/>
    <w:rsid w:val="24C8076E"/>
    <w:rsid w:val="24C84772"/>
    <w:rsid w:val="24C94374"/>
    <w:rsid w:val="24D460A8"/>
    <w:rsid w:val="24D52451"/>
    <w:rsid w:val="24D80201"/>
    <w:rsid w:val="24D8566C"/>
    <w:rsid w:val="24E639F7"/>
    <w:rsid w:val="24EC3B78"/>
    <w:rsid w:val="24F471BD"/>
    <w:rsid w:val="24FC01F0"/>
    <w:rsid w:val="25006ABF"/>
    <w:rsid w:val="251958FB"/>
    <w:rsid w:val="2524326C"/>
    <w:rsid w:val="25267333"/>
    <w:rsid w:val="253B090B"/>
    <w:rsid w:val="25467A6A"/>
    <w:rsid w:val="254D6D91"/>
    <w:rsid w:val="25570701"/>
    <w:rsid w:val="25575A0D"/>
    <w:rsid w:val="256A5217"/>
    <w:rsid w:val="257A56A1"/>
    <w:rsid w:val="257B0359"/>
    <w:rsid w:val="25812537"/>
    <w:rsid w:val="2581650E"/>
    <w:rsid w:val="258411EE"/>
    <w:rsid w:val="25860CED"/>
    <w:rsid w:val="259C3E27"/>
    <w:rsid w:val="25A434FE"/>
    <w:rsid w:val="25A612D4"/>
    <w:rsid w:val="25A76945"/>
    <w:rsid w:val="25AB1780"/>
    <w:rsid w:val="25B071DC"/>
    <w:rsid w:val="25B21673"/>
    <w:rsid w:val="25B34B3F"/>
    <w:rsid w:val="25B97A00"/>
    <w:rsid w:val="25BB0565"/>
    <w:rsid w:val="25BC078D"/>
    <w:rsid w:val="25CD3419"/>
    <w:rsid w:val="25CE3F53"/>
    <w:rsid w:val="25F67ADA"/>
    <w:rsid w:val="25F76A2E"/>
    <w:rsid w:val="25F77FC6"/>
    <w:rsid w:val="25FF490E"/>
    <w:rsid w:val="26045BA5"/>
    <w:rsid w:val="2608147E"/>
    <w:rsid w:val="2616589F"/>
    <w:rsid w:val="261B1965"/>
    <w:rsid w:val="261D5681"/>
    <w:rsid w:val="261E1EAF"/>
    <w:rsid w:val="2622515D"/>
    <w:rsid w:val="263006FF"/>
    <w:rsid w:val="2632779F"/>
    <w:rsid w:val="26343C0E"/>
    <w:rsid w:val="263F46CF"/>
    <w:rsid w:val="2648160D"/>
    <w:rsid w:val="264D54A2"/>
    <w:rsid w:val="26546311"/>
    <w:rsid w:val="2672473F"/>
    <w:rsid w:val="267628A6"/>
    <w:rsid w:val="267642F1"/>
    <w:rsid w:val="267E0CF9"/>
    <w:rsid w:val="26994EDC"/>
    <w:rsid w:val="26A154E9"/>
    <w:rsid w:val="26A250CF"/>
    <w:rsid w:val="26B600FB"/>
    <w:rsid w:val="26BC749F"/>
    <w:rsid w:val="26C65259"/>
    <w:rsid w:val="26D65B56"/>
    <w:rsid w:val="26DC3482"/>
    <w:rsid w:val="26E65B25"/>
    <w:rsid w:val="26E84D2B"/>
    <w:rsid w:val="26EC063F"/>
    <w:rsid w:val="27050675"/>
    <w:rsid w:val="2708144A"/>
    <w:rsid w:val="271040C1"/>
    <w:rsid w:val="27127E66"/>
    <w:rsid w:val="27195161"/>
    <w:rsid w:val="271C2021"/>
    <w:rsid w:val="27385D11"/>
    <w:rsid w:val="274E7CB5"/>
    <w:rsid w:val="274F1F02"/>
    <w:rsid w:val="274F4827"/>
    <w:rsid w:val="27512E91"/>
    <w:rsid w:val="27630444"/>
    <w:rsid w:val="276F21FD"/>
    <w:rsid w:val="27727E31"/>
    <w:rsid w:val="27762FBF"/>
    <w:rsid w:val="277D7A50"/>
    <w:rsid w:val="278A5388"/>
    <w:rsid w:val="278C5C0D"/>
    <w:rsid w:val="279244D2"/>
    <w:rsid w:val="279B2893"/>
    <w:rsid w:val="279B7BA8"/>
    <w:rsid w:val="27A30394"/>
    <w:rsid w:val="27A54E69"/>
    <w:rsid w:val="27A650A2"/>
    <w:rsid w:val="27AB6A48"/>
    <w:rsid w:val="27C272BD"/>
    <w:rsid w:val="27D36066"/>
    <w:rsid w:val="27D82D80"/>
    <w:rsid w:val="27D90366"/>
    <w:rsid w:val="27EB572C"/>
    <w:rsid w:val="27EC51D1"/>
    <w:rsid w:val="27F2052B"/>
    <w:rsid w:val="280D010C"/>
    <w:rsid w:val="28110812"/>
    <w:rsid w:val="283748DE"/>
    <w:rsid w:val="2842661D"/>
    <w:rsid w:val="28461DD4"/>
    <w:rsid w:val="284A39DF"/>
    <w:rsid w:val="28592B32"/>
    <w:rsid w:val="285A17B0"/>
    <w:rsid w:val="285D0806"/>
    <w:rsid w:val="28640251"/>
    <w:rsid w:val="286F7AFC"/>
    <w:rsid w:val="28767569"/>
    <w:rsid w:val="287C5A7F"/>
    <w:rsid w:val="28994FB0"/>
    <w:rsid w:val="289F1006"/>
    <w:rsid w:val="28AA3FD9"/>
    <w:rsid w:val="28BC3ACC"/>
    <w:rsid w:val="28CD3212"/>
    <w:rsid w:val="28D215E5"/>
    <w:rsid w:val="28D8743F"/>
    <w:rsid w:val="28FA031C"/>
    <w:rsid w:val="28FB5098"/>
    <w:rsid w:val="28FC354A"/>
    <w:rsid w:val="290D6A87"/>
    <w:rsid w:val="290D6A89"/>
    <w:rsid w:val="291A7232"/>
    <w:rsid w:val="29206950"/>
    <w:rsid w:val="2923219A"/>
    <w:rsid w:val="29271D87"/>
    <w:rsid w:val="292C2CE7"/>
    <w:rsid w:val="2943618E"/>
    <w:rsid w:val="29442273"/>
    <w:rsid w:val="294C5164"/>
    <w:rsid w:val="294D0EDE"/>
    <w:rsid w:val="29524C95"/>
    <w:rsid w:val="29542371"/>
    <w:rsid w:val="295B4611"/>
    <w:rsid w:val="2966697A"/>
    <w:rsid w:val="297010F4"/>
    <w:rsid w:val="29741B2A"/>
    <w:rsid w:val="2975147B"/>
    <w:rsid w:val="297A02CA"/>
    <w:rsid w:val="297C00DF"/>
    <w:rsid w:val="297C42B2"/>
    <w:rsid w:val="2988011B"/>
    <w:rsid w:val="298A7624"/>
    <w:rsid w:val="29976295"/>
    <w:rsid w:val="29A1563D"/>
    <w:rsid w:val="29A65BB9"/>
    <w:rsid w:val="29AF672C"/>
    <w:rsid w:val="29B24A91"/>
    <w:rsid w:val="29C0237F"/>
    <w:rsid w:val="29C56187"/>
    <w:rsid w:val="29C95CDF"/>
    <w:rsid w:val="29F93DD5"/>
    <w:rsid w:val="2A0030F5"/>
    <w:rsid w:val="2A007F4D"/>
    <w:rsid w:val="2A0565D5"/>
    <w:rsid w:val="2A065CAC"/>
    <w:rsid w:val="2A075FF1"/>
    <w:rsid w:val="2A0A0D9A"/>
    <w:rsid w:val="2A0E7FF9"/>
    <w:rsid w:val="2A122F64"/>
    <w:rsid w:val="2A1E2C0E"/>
    <w:rsid w:val="2A25266A"/>
    <w:rsid w:val="2A2811FA"/>
    <w:rsid w:val="2A2C2886"/>
    <w:rsid w:val="2A344036"/>
    <w:rsid w:val="2A3E5895"/>
    <w:rsid w:val="2A3E65DB"/>
    <w:rsid w:val="2A4552C3"/>
    <w:rsid w:val="2A5305C7"/>
    <w:rsid w:val="2A727492"/>
    <w:rsid w:val="2A7E0F37"/>
    <w:rsid w:val="2A8559E6"/>
    <w:rsid w:val="2A8F6F3F"/>
    <w:rsid w:val="2A901C2B"/>
    <w:rsid w:val="2A9F3C29"/>
    <w:rsid w:val="2AAE6795"/>
    <w:rsid w:val="2AB32CF4"/>
    <w:rsid w:val="2AB91FEA"/>
    <w:rsid w:val="2AE2161C"/>
    <w:rsid w:val="2AE9447E"/>
    <w:rsid w:val="2B0D6304"/>
    <w:rsid w:val="2B14781C"/>
    <w:rsid w:val="2B164C68"/>
    <w:rsid w:val="2B1D0329"/>
    <w:rsid w:val="2B1D7991"/>
    <w:rsid w:val="2B365002"/>
    <w:rsid w:val="2B3B6E94"/>
    <w:rsid w:val="2B435E63"/>
    <w:rsid w:val="2B4469C1"/>
    <w:rsid w:val="2B4F5B82"/>
    <w:rsid w:val="2B570107"/>
    <w:rsid w:val="2B630075"/>
    <w:rsid w:val="2B685155"/>
    <w:rsid w:val="2B692B5C"/>
    <w:rsid w:val="2B8F51B1"/>
    <w:rsid w:val="2B9D67E1"/>
    <w:rsid w:val="2B9F51DE"/>
    <w:rsid w:val="2BA33D69"/>
    <w:rsid w:val="2BA7398D"/>
    <w:rsid w:val="2BAC4459"/>
    <w:rsid w:val="2BB2781C"/>
    <w:rsid w:val="2BB4281F"/>
    <w:rsid w:val="2BBD6854"/>
    <w:rsid w:val="2BBF3CF6"/>
    <w:rsid w:val="2BC8348A"/>
    <w:rsid w:val="2BD25B64"/>
    <w:rsid w:val="2BD66D4A"/>
    <w:rsid w:val="2BDD6532"/>
    <w:rsid w:val="2BDE16A6"/>
    <w:rsid w:val="2BF40635"/>
    <w:rsid w:val="2BF634B3"/>
    <w:rsid w:val="2BF65315"/>
    <w:rsid w:val="2BFE0842"/>
    <w:rsid w:val="2C0D771E"/>
    <w:rsid w:val="2C1418EE"/>
    <w:rsid w:val="2C197811"/>
    <w:rsid w:val="2C1C20B2"/>
    <w:rsid w:val="2C225E33"/>
    <w:rsid w:val="2C2C398B"/>
    <w:rsid w:val="2C2E43F5"/>
    <w:rsid w:val="2C2E5B5A"/>
    <w:rsid w:val="2C3063A5"/>
    <w:rsid w:val="2C312730"/>
    <w:rsid w:val="2C422201"/>
    <w:rsid w:val="2C4626FE"/>
    <w:rsid w:val="2C4C387B"/>
    <w:rsid w:val="2C543547"/>
    <w:rsid w:val="2C633505"/>
    <w:rsid w:val="2C764BB0"/>
    <w:rsid w:val="2C8E045B"/>
    <w:rsid w:val="2C8E2C2F"/>
    <w:rsid w:val="2C9D2F6E"/>
    <w:rsid w:val="2CA028D8"/>
    <w:rsid w:val="2CA456F0"/>
    <w:rsid w:val="2CB973C4"/>
    <w:rsid w:val="2CBE3E5B"/>
    <w:rsid w:val="2CBE5AD8"/>
    <w:rsid w:val="2CC327BE"/>
    <w:rsid w:val="2CCB06D5"/>
    <w:rsid w:val="2CD30CCF"/>
    <w:rsid w:val="2CD72DF0"/>
    <w:rsid w:val="2CE05000"/>
    <w:rsid w:val="2CFE206D"/>
    <w:rsid w:val="2D08702F"/>
    <w:rsid w:val="2D093793"/>
    <w:rsid w:val="2D1233EE"/>
    <w:rsid w:val="2D3B1A61"/>
    <w:rsid w:val="2D4979AE"/>
    <w:rsid w:val="2D622606"/>
    <w:rsid w:val="2D733457"/>
    <w:rsid w:val="2D88553C"/>
    <w:rsid w:val="2D8957F2"/>
    <w:rsid w:val="2D8E39EF"/>
    <w:rsid w:val="2D917DB2"/>
    <w:rsid w:val="2DAA00E6"/>
    <w:rsid w:val="2DAD145A"/>
    <w:rsid w:val="2DB1787A"/>
    <w:rsid w:val="2DB753F1"/>
    <w:rsid w:val="2DC3563E"/>
    <w:rsid w:val="2DCA67CB"/>
    <w:rsid w:val="2DDC38A4"/>
    <w:rsid w:val="2DDD39D0"/>
    <w:rsid w:val="2DDD402A"/>
    <w:rsid w:val="2DE65CA4"/>
    <w:rsid w:val="2DE8380B"/>
    <w:rsid w:val="2DFE338A"/>
    <w:rsid w:val="2E115812"/>
    <w:rsid w:val="2E1E7826"/>
    <w:rsid w:val="2E204D3E"/>
    <w:rsid w:val="2E317F3A"/>
    <w:rsid w:val="2E357B89"/>
    <w:rsid w:val="2E36630F"/>
    <w:rsid w:val="2E3C6A58"/>
    <w:rsid w:val="2E491A04"/>
    <w:rsid w:val="2E4A062B"/>
    <w:rsid w:val="2E4C2DB0"/>
    <w:rsid w:val="2E503A6F"/>
    <w:rsid w:val="2E65509F"/>
    <w:rsid w:val="2E6B4307"/>
    <w:rsid w:val="2E7569C8"/>
    <w:rsid w:val="2E757257"/>
    <w:rsid w:val="2E8707D0"/>
    <w:rsid w:val="2E887E60"/>
    <w:rsid w:val="2E8A51D9"/>
    <w:rsid w:val="2E9F5560"/>
    <w:rsid w:val="2EA32FC7"/>
    <w:rsid w:val="2EC34F02"/>
    <w:rsid w:val="2EE3269E"/>
    <w:rsid w:val="2EE50876"/>
    <w:rsid w:val="2EEB2D22"/>
    <w:rsid w:val="2EEB508A"/>
    <w:rsid w:val="2EF35C02"/>
    <w:rsid w:val="2EF37A30"/>
    <w:rsid w:val="2F0C22DF"/>
    <w:rsid w:val="2F0C6673"/>
    <w:rsid w:val="2F0C6CC1"/>
    <w:rsid w:val="2F0F6299"/>
    <w:rsid w:val="2F1A09D7"/>
    <w:rsid w:val="2F1F5E73"/>
    <w:rsid w:val="2F297A0F"/>
    <w:rsid w:val="2F2D4335"/>
    <w:rsid w:val="2F351401"/>
    <w:rsid w:val="2F36517B"/>
    <w:rsid w:val="2F374462"/>
    <w:rsid w:val="2F3A0746"/>
    <w:rsid w:val="2F4157CA"/>
    <w:rsid w:val="2F416D1A"/>
    <w:rsid w:val="2F5E236A"/>
    <w:rsid w:val="2F7D6077"/>
    <w:rsid w:val="2F890F26"/>
    <w:rsid w:val="2F892A83"/>
    <w:rsid w:val="2F8D5AFF"/>
    <w:rsid w:val="2F914A98"/>
    <w:rsid w:val="2FA93357"/>
    <w:rsid w:val="2FB7592E"/>
    <w:rsid w:val="2FBB3CC4"/>
    <w:rsid w:val="2FBD7037"/>
    <w:rsid w:val="2FBF1818"/>
    <w:rsid w:val="2FBF5DAF"/>
    <w:rsid w:val="2FC76584"/>
    <w:rsid w:val="2FD067F9"/>
    <w:rsid w:val="2FD25A98"/>
    <w:rsid w:val="2FD43C00"/>
    <w:rsid w:val="2FD75F88"/>
    <w:rsid w:val="2FDE7F5F"/>
    <w:rsid w:val="2FE30138"/>
    <w:rsid w:val="2FE93FB2"/>
    <w:rsid w:val="30067394"/>
    <w:rsid w:val="300866EE"/>
    <w:rsid w:val="30097368"/>
    <w:rsid w:val="300E2502"/>
    <w:rsid w:val="302225B6"/>
    <w:rsid w:val="302E3742"/>
    <w:rsid w:val="30336BB7"/>
    <w:rsid w:val="303402FA"/>
    <w:rsid w:val="304E5D9F"/>
    <w:rsid w:val="305020CD"/>
    <w:rsid w:val="30582162"/>
    <w:rsid w:val="305962BE"/>
    <w:rsid w:val="30621351"/>
    <w:rsid w:val="3066745B"/>
    <w:rsid w:val="306C0C44"/>
    <w:rsid w:val="3072406D"/>
    <w:rsid w:val="3079775E"/>
    <w:rsid w:val="307F501C"/>
    <w:rsid w:val="30831440"/>
    <w:rsid w:val="3093575F"/>
    <w:rsid w:val="30962BE9"/>
    <w:rsid w:val="30B10D3B"/>
    <w:rsid w:val="30B95467"/>
    <w:rsid w:val="30BF7B47"/>
    <w:rsid w:val="30C107BB"/>
    <w:rsid w:val="30D40121"/>
    <w:rsid w:val="30DB0A08"/>
    <w:rsid w:val="30FA7003"/>
    <w:rsid w:val="30FB361B"/>
    <w:rsid w:val="30FE742F"/>
    <w:rsid w:val="31003D11"/>
    <w:rsid w:val="310400D0"/>
    <w:rsid w:val="31101A10"/>
    <w:rsid w:val="31105362"/>
    <w:rsid w:val="31167642"/>
    <w:rsid w:val="311A50A9"/>
    <w:rsid w:val="311C6E8A"/>
    <w:rsid w:val="311F5E48"/>
    <w:rsid w:val="31337DED"/>
    <w:rsid w:val="31406FE3"/>
    <w:rsid w:val="31586037"/>
    <w:rsid w:val="315E5060"/>
    <w:rsid w:val="31794CFE"/>
    <w:rsid w:val="317A520D"/>
    <w:rsid w:val="317D6C86"/>
    <w:rsid w:val="31863CE6"/>
    <w:rsid w:val="3191467E"/>
    <w:rsid w:val="31915E58"/>
    <w:rsid w:val="31A67FFB"/>
    <w:rsid w:val="31B10FD7"/>
    <w:rsid w:val="31BC1074"/>
    <w:rsid w:val="31C07379"/>
    <w:rsid w:val="31CA37B5"/>
    <w:rsid w:val="31D74458"/>
    <w:rsid w:val="31D86C9C"/>
    <w:rsid w:val="31DD10CA"/>
    <w:rsid w:val="31DE4047"/>
    <w:rsid w:val="31E622F8"/>
    <w:rsid w:val="31E74B3F"/>
    <w:rsid w:val="31EB61D0"/>
    <w:rsid w:val="32045F7A"/>
    <w:rsid w:val="32154C9B"/>
    <w:rsid w:val="32230360"/>
    <w:rsid w:val="322B6D64"/>
    <w:rsid w:val="32350D48"/>
    <w:rsid w:val="323F2DBF"/>
    <w:rsid w:val="32457FC4"/>
    <w:rsid w:val="325A5918"/>
    <w:rsid w:val="325F7B08"/>
    <w:rsid w:val="32655415"/>
    <w:rsid w:val="326671D7"/>
    <w:rsid w:val="3267043F"/>
    <w:rsid w:val="3273555E"/>
    <w:rsid w:val="327E3E2B"/>
    <w:rsid w:val="32833846"/>
    <w:rsid w:val="328E1775"/>
    <w:rsid w:val="329C546E"/>
    <w:rsid w:val="32A900D9"/>
    <w:rsid w:val="32AB075E"/>
    <w:rsid w:val="32DD3D03"/>
    <w:rsid w:val="32DF6972"/>
    <w:rsid w:val="32E12C59"/>
    <w:rsid w:val="33145FBC"/>
    <w:rsid w:val="33222B35"/>
    <w:rsid w:val="332B40B2"/>
    <w:rsid w:val="332C690B"/>
    <w:rsid w:val="332D2637"/>
    <w:rsid w:val="33394A74"/>
    <w:rsid w:val="338334E0"/>
    <w:rsid w:val="339A067B"/>
    <w:rsid w:val="339A1840"/>
    <w:rsid w:val="33A56B5C"/>
    <w:rsid w:val="33A6417A"/>
    <w:rsid w:val="33A94F4C"/>
    <w:rsid w:val="33AB6A2B"/>
    <w:rsid w:val="33B026C0"/>
    <w:rsid w:val="33C70CDA"/>
    <w:rsid w:val="33E633F0"/>
    <w:rsid w:val="33EA6B29"/>
    <w:rsid w:val="33ED7D27"/>
    <w:rsid w:val="33F82A12"/>
    <w:rsid w:val="33FB3647"/>
    <w:rsid w:val="34087F11"/>
    <w:rsid w:val="34255290"/>
    <w:rsid w:val="34304091"/>
    <w:rsid w:val="34486194"/>
    <w:rsid w:val="344F34FB"/>
    <w:rsid w:val="34550914"/>
    <w:rsid w:val="34555A90"/>
    <w:rsid w:val="346933EF"/>
    <w:rsid w:val="346C6F59"/>
    <w:rsid w:val="34706CD0"/>
    <w:rsid w:val="34881304"/>
    <w:rsid w:val="34A32499"/>
    <w:rsid w:val="34C208C3"/>
    <w:rsid w:val="34D32F61"/>
    <w:rsid w:val="34E22D79"/>
    <w:rsid w:val="34E4672C"/>
    <w:rsid w:val="34E478F6"/>
    <w:rsid w:val="34F25A3D"/>
    <w:rsid w:val="34F65429"/>
    <w:rsid w:val="350A0037"/>
    <w:rsid w:val="351D347B"/>
    <w:rsid w:val="35236E85"/>
    <w:rsid w:val="352D499F"/>
    <w:rsid w:val="35316ADD"/>
    <w:rsid w:val="353640EF"/>
    <w:rsid w:val="353F2148"/>
    <w:rsid w:val="35430C24"/>
    <w:rsid w:val="35440D49"/>
    <w:rsid w:val="354A2942"/>
    <w:rsid w:val="354A3EEE"/>
    <w:rsid w:val="354D4FDA"/>
    <w:rsid w:val="35545073"/>
    <w:rsid w:val="356C3AF7"/>
    <w:rsid w:val="356D2A92"/>
    <w:rsid w:val="356E0822"/>
    <w:rsid w:val="356F70BE"/>
    <w:rsid w:val="35796219"/>
    <w:rsid w:val="357E4924"/>
    <w:rsid w:val="35884BC3"/>
    <w:rsid w:val="359B02ED"/>
    <w:rsid w:val="35A95619"/>
    <w:rsid w:val="35A9795A"/>
    <w:rsid w:val="35AC2418"/>
    <w:rsid w:val="35B757CB"/>
    <w:rsid w:val="35C21836"/>
    <w:rsid w:val="35D903C5"/>
    <w:rsid w:val="35E30C82"/>
    <w:rsid w:val="35F11141"/>
    <w:rsid w:val="36042ECA"/>
    <w:rsid w:val="36060737"/>
    <w:rsid w:val="36077B54"/>
    <w:rsid w:val="36207AC5"/>
    <w:rsid w:val="36272C9D"/>
    <w:rsid w:val="362B29F8"/>
    <w:rsid w:val="36314450"/>
    <w:rsid w:val="36321FF8"/>
    <w:rsid w:val="363757EE"/>
    <w:rsid w:val="363A7105"/>
    <w:rsid w:val="363B221C"/>
    <w:rsid w:val="364748F2"/>
    <w:rsid w:val="36705D62"/>
    <w:rsid w:val="36711624"/>
    <w:rsid w:val="367162EC"/>
    <w:rsid w:val="36756EF5"/>
    <w:rsid w:val="36905601"/>
    <w:rsid w:val="36921F96"/>
    <w:rsid w:val="36965535"/>
    <w:rsid w:val="369D0EC6"/>
    <w:rsid w:val="36A3118C"/>
    <w:rsid w:val="36B22E6E"/>
    <w:rsid w:val="36B857E4"/>
    <w:rsid w:val="36BC4C4E"/>
    <w:rsid w:val="36C344B8"/>
    <w:rsid w:val="36C60C21"/>
    <w:rsid w:val="36C942C1"/>
    <w:rsid w:val="36D92F69"/>
    <w:rsid w:val="36E12AF9"/>
    <w:rsid w:val="36E531DA"/>
    <w:rsid w:val="36E57B09"/>
    <w:rsid w:val="36EE057B"/>
    <w:rsid w:val="36EE59D9"/>
    <w:rsid w:val="3724157D"/>
    <w:rsid w:val="3734642A"/>
    <w:rsid w:val="37356D35"/>
    <w:rsid w:val="373E4A93"/>
    <w:rsid w:val="37493A61"/>
    <w:rsid w:val="37575408"/>
    <w:rsid w:val="37596AF9"/>
    <w:rsid w:val="37635839"/>
    <w:rsid w:val="37645D5E"/>
    <w:rsid w:val="377045A5"/>
    <w:rsid w:val="377644C8"/>
    <w:rsid w:val="377A2FE2"/>
    <w:rsid w:val="379716F7"/>
    <w:rsid w:val="379F49D5"/>
    <w:rsid w:val="37A32FBF"/>
    <w:rsid w:val="37A64CDE"/>
    <w:rsid w:val="37AD17D5"/>
    <w:rsid w:val="37B4396B"/>
    <w:rsid w:val="37B8715D"/>
    <w:rsid w:val="37BA328B"/>
    <w:rsid w:val="37D27ED7"/>
    <w:rsid w:val="37E11E05"/>
    <w:rsid w:val="37E33CA6"/>
    <w:rsid w:val="37E85E95"/>
    <w:rsid w:val="37EC5862"/>
    <w:rsid w:val="37F45447"/>
    <w:rsid w:val="37F747D6"/>
    <w:rsid w:val="37FD3E8B"/>
    <w:rsid w:val="38025172"/>
    <w:rsid w:val="380335C1"/>
    <w:rsid w:val="38186634"/>
    <w:rsid w:val="38186965"/>
    <w:rsid w:val="381E48A0"/>
    <w:rsid w:val="3820363A"/>
    <w:rsid w:val="38281018"/>
    <w:rsid w:val="382D20F9"/>
    <w:rsid w:val="382E0700"/>
    <w:rsid w:val="385C1CFE"/>
    <w:rsid w:val="385F02D5"/>
    <w:rsid w:val="38610E8A"/>
    <w:rsid w:val="3867258C"/>
    <w:rsid w:val="38731364"/>
    <w:rsid w:val="387A4397"/>
    <w:rsid w:val="387D3ED4"/>
    <w:rsid w:val="38831870"/>
    <w:rsid w:val="38837174"/>
    <w:rsid w:val="388F5960"/>
    <w:rsid w:val="38A15C6B"/>
    <w:rsid w:val="38AA37B9"/>
    <w:rsid w:val="38AF73EA"/>
    <w:rsid w:val="38BA23E6"/>
    <w:rsid w:val="38C37C42"/>
    <w:rsid w:val="38CE6D0B"/>
    <w:rsid w:val="38D12C91"/>
    <w:rsid w:val="38DA5BE2"/>
    <w:rsid w:val="38E349E7"/>
    <w:rsid w:val="38EA7903"/>
    <w:rsid w:val="38F048BA"/>
    <w:rsid w:val="38F73FA5"/>
    <w:rsid w:val="38F90A7D"/>
    <w:rsid w:val="39012407"/>
    <w:rsid w:val="390F6BF8"/>
    <w:rsid w:val="391136F4"/>
    <w:rsid w:val="391A2AB5"/>
    <w:rsid w:val="392326BF"/>
    <w:rsid w:val="394443D5"/>
    <w:rsid w:val="3948157E"/>
    <w:rsid w:val="395555D4"/>
    <w:rsid w:val="395B3B87"/>
    <w:rsid w:val="395E51BC"/>
    <w:rsid w:val="396122F5"/>
    <w:rsid w:val="396167D3"/>
    <w:rsid w:val="397357E1"/>
    <w:rsid w:val="3974291A"/>
    <w:rsid w:val="397B107A"/>
    <w:rsid w:val="397B54A2"/>
    <w:rsid w:val="397C3D6C"/>
    <w:rsid w:val="398A1D32"/>
    <w:rsid w:val="398C51A8"/>
    <w:rsid w:val="398F3288"/>
    <w:rsid w:val="39902E32"/>
    <w:rsid w:val="399F120C"/>
    <w:rsid w:val="39A6259B"/>
    <w:rsid w:val="39AD1B7B"/>
    <w:rsid w:val="39CA0C6B"/>
    <w:rsid w:val="39CC5D52"/>
    <w:rsid w:val="39CE22D2"/>
    <w:rsid w:val="39D82886"/>
    <w:rsid w:val="39D92970"/>
    <w:rsid w:val="39DD0211"/>
    <w:rsid w:val="39DD5C82"/>
    <w:rsid w:val="39E0408B"/>
    <w:rsid w:val="39E201AD"/>
    <w:rsid w:val="39FD052B"/>
    <w:rsid w:val="39FD7296"/>
    <w:rsid w:val="3A1717A2"/>
    <w:rsid w:val="3A2630E3"/>
    <w:rsid w:val="3A2C0D88"/>
    <w:rsid w:val="3A4D6EBA"/>
    <w:rsid w:val="3A5B03D7"/>
    <w:rsid w:val="3A662076"/>
    <w:rsid w:val="3A7663FB"/>
    <w:rsid w:val="3A7F6F62"/>
    <w:rsid w:val="3A8920E3"/>
    <w:rsid w:val="3A8A6F26"/>
    <w:rsid w:val="3A8B18ED"/>
    <w:rsid w:val="3A905261"/>
    <w:rsid w:val="3AB40EBA"/>
    <w:rsid w:val="3AB41012"/>
    <w:rsid w:val="3ABF0340"/>
    <w:rsid w:val="3AC058C7"/>
    <w:rsid w:val="3AC47EC3"/>
    <w:rsid w:val="3ACA05E3"/>
    <w:rsid w:val="3ACE2164"/>
    <w:rsid w:val="3ACF19A3"/>
    <w:rsid w:val="3ADF3B02"/>
    <w:rsid w:val="3B066C9A"/>
    <w:rsid w:val="3B1B31C9"/>
    <w:rsid w:val="3B2457DA"/>
    <w:rsid w:val="3B2957E3"/>
    <w:rsid w:val="3B2E0C51"/>
    <w:rsid w:val="3B333DDD"/>
    <w:rsid w:val="3B385567"/>
    <w:rsid w:val="3B3A244A"/>
    <w:rsid w:val="3B3D0E85"/>
    <w:rsid w:val="3B3F12DA"/>
    <w:rsid w:val="3B403B20"/>
    <w:rsid w:val="3B434D6B"/>
    <w:rsid w:val="3B4469DE"/>
    <w:rsid w:val="3B4801A8"/>
    <w:rsid w:val="3B496C1B"/>
    <w:rsid w:val="3B514A99"/>
    <w:rsid w:val="3B5261C9"/>
    <w:rsid w:val="3B674CA9"/>
    <w:rsid w:val="3B68169C"/>
    <w:rsid w:val="3B685713"/>
    <w:rsid w:val="3B8319A0"/>
    <w:rsid w:val="3B961032"/>
    <w:rsid w:val="3BA17842"/>
    <w:rsid w:val="3BA411C8"/>
    <w:rsid w:val="3BA7014B"/>
    <w:rsid w:val="3BAC0493"/>
    <w:rsid w:val="3BAF2423"/>
    <w:rsid w:val="3BBC230F"/>
    <w:rsid w:val="3BC83523"/>
    <w:rsid w:val="3BC86522"/>
    <w:rsid w:val="3BE32424"/>
    <w:rsid w:val="3BEF0F0F"/>
    <w:rsid w:val="3BEF707C"/>
    <w:rsid w:val="3BF3295B"/>
    <w:rsid w:val="3C213FA8"/>
    <w:rsid w:val="3C223AF0"/>
    <w:rsid w:val="3C227775"/>
    <w:rsid w:val="3C2735D4"/>
    <w:rsid w:val="3C2A6480"/>
    <w:rsid w:val="3C2B327D"/>
    <w:rsid w:val="3C2F0B9F"/>
    <w:rsid w:val="3C305D6E"/>
    <w:rsid w:val="3C382266"/>
    <w:rsid w:val="3C391DD4"/>
    <w:rsid w:val="3C463576"/>
    <w:rsid w:val="3C472A0E"/>
    <w:rsid w:val="3C572E9F"/>
    <w:rsid w:val="3C5E23E6"/>
    <w:rsid w:val="3C6436EA"/>
    <w:rsid w:val="3C657A3E"/>
    <w:rsid w:val="3C6727DF"/>
    <w:rsid w:val="3C6E6FCF"/>
    <w:rsid w:val="3C880C1A"/>
    <w:rsid w:val="3C8D4BE6"/>
    <w:rsid w:val="3CA02607"/>
    <w:rsid w:val="3CAB7D63"/>
    <w:rsid w:val="3CC527C1"/>
    <w:rsid w:val="3CCA0754"/>
    <w:rsid w:val="3CDA0620"/>
    <w:rsid w:val="3CE04B7A"/>
    <w:rsid w:val="3CE3763E"/>
    <w:rsid w:val="3CEA37D7"/>
    <w:rsid w:val="3CF71419"/>
    <w:rsid w:val="3CFA508D"/>
    <w:rsid w:val="3D170712"/>
    <w:rsid w:val="3D1721C0"/>
    <w:rsid w:val="3D225D36"/>
    <w:rsid w:val="3D227735"/>
    <w:rsid w:val="3D28077F"/>
    <w:rsid w:val="3D2E7689"/>
    <w:rsid w:val="3D4972EE"/>
    <w:rsid w:val="3D573277"/>
    <w:rsid w:val="3D6D6539"/>
    <w:rsid w:val="3D7E29F6"/>
    <w:rsid w:val="3DA2705B"/>
    <w:rsid w:val="3DA53539"/>
    <w:rsid w:val="3DB0458E"/>
    <w:rsid w:val="3DB35694"/>
    <w:rsid w:val="3DB43634"/>
    <w:rsid w:val="3DB71B33"/>
    <w:rsid w:val="3DB911D4"/>
    <w:rsid w:val="3DCA4D98"/>
    <w:rsid w:val="3DDB632B"/>
    <w:rsid w:val="3DDF227B"/>
    <w:rsid w:val="3DE577D0"/>
    <w:rsid w:val="3DE9500F"/>
    <w:rsid w:val="3DFE29BC"/>
    <w:rsid w:val="3E0A013E"/>
    <w:rsid w:val="3E13386A"/>
    <w:rsid w:val="3E1E7FF9"/>
    <w:rsid w:val="3E2829A8"/>
    <w:rsid w:val="3E284CAD"/>
    <w:rsid w:val="3E3D6BE8"/>
    <w:rsid w:val="3E4D5AA5"/>
    <w:rsid w:val="3E4F4D95"/>
    <w:rsid w:val="3E5325C6"/>
    <w:rsid w:val="3E5C1C0B"/>
    <w:rsid w:val="3E605D7B"/>
    <w:rsid w:val="3E613884"/>
    <w:rsid w:val="3E640B33"/>
    <w:rsid w:val="3E671F5B"/>
    <w:rsid w:val="3E680161"/>
    <w:rsid w:val="3E696B7E"/>
    <w:rsid w:val="3E6B55A3"/>
    <w:rsid w:val="3E707498"/>
    <w:rsid w:val="3E7567DF"/>
    <w:rsid w:val="3E782FDC"/>
    <w:rsid w:val="3E7B0AF2"/>
    <w:rsid w:val="3E8F178D"/>
    <w:rsid w:val="3E906406"/>
    <w:rsid w:val="3E91532E"/>
    <w:rsid w:val="3E9970E7"/>
    <w:rsid w:val="3EA4146C"/>
    <w:rsid w:val="3EAD648A"/>
    <w:rsid w:val="3EAE0FDE"/>
    <w:rsid w:val="3EBB4AEE"/>
    <w:rsid w:val="3EC33289"/>
    <w:rsid w:val="3EC97967"/>
    <w:rsid w:val="3ECA0657"/>
    <w:rsid w:val="3ECC0FDD"/>
    <w:rsid w:val="3ECF6094"/>
    <w:rsid w:val="3EDE6D1E"/>
    <w:rsid w:val="3EE55C57"/>
    <w:rsid w:val="3F036EB6"/>
    <w:rsid w:val="3F2269B3"/>
    <w:rsid w:val="3F236909"/>
    <w:rsid w:val="3F316D95"/>
    <w:rsid w:val="3F3D6303"/>
    <w:rsid w:val="3F3E75F0"/>
    <w:rsid w:val="3F5453E8"/>
    <w:rsid w:val="3F5A7FC0"/>
    <w:rsid w:val="3F5C181C"/>
    <w:rsid w:val="3F6001B4"/>
    <w:rsid w:val="3F603114"/>
    <w:rsid w:val="3F634BD5"/>
    <w:rsid w:val="3F6B59AE"/>
    <w:rsid w:val="3F744EE9"/>
    <w:rsid w:val="3FAD53DA"/>
    <w:rsid w:val="3FAE2AC7"/>
    <w:rsid w:val="3FB0000E"/>
    <w:rsid w:val="3FB005D8"/>
    <w:rsid w:val="3FB05F40"/>
    <w:rsid w:val="3FB12920"/>
    <w:rsid w:val="3FB400A8"/>
    <w:rsid w:val="3FBC72A1"/>
    <w:rsid w:val="3FBD191B"/>
    <w:rsid w:val="3FC71D63"/>
    <w:rsid w:val="3FD74950"/>
    <w:rsid w:val="40006336"/>
    <w:rsid w:val="40040006"/>
    <w:rsid w:val="400B5238"/>
    <w:rsid w:val="40104FD1"/>
    <w:rsid w:val="40151314"/>
    <w:rsid w:val="40161F75"/>
    <w:rsid w:val="401A51BC"/>
    <w:rsid w:val="402B6F32"/>
    <w:rsid w:val="4035462F"/>
    <w:rsid w:val="404D2230"/>
    <w:rsid w:val="404F5D16"/>
    <w:rsid w:val="4066620A"/>
    <w:rsid w:val="406978DD"/>
    <w:rsid w:val="406B5E40"/>
    <w:rsid w:val="40741E03"/>
    <w:rsid w:val="40821699"/>
    <w:rsid w:val="408E7728"/>
    <w:rsid w:val="40922062"/>
    <w:rsid w:val="409C6247"/>
    <w:rsid w:val="40B969ED"/>
    <w:rsid w:val="40D14E28"/>
    <w:rsid w:val="40E32783"/>
    <w:rsid w:val="40EB65DD"/>
    <w:rsid w:val="40EF658B"/>
    <w:rsid w:val="40F20AB7"/>
    <w:rsid w:val="41155C7D"/>
    <w:rsid w:val="411D2572"/>
    <w:rsid w:val="411F3F16"/>
    <w:rsid w:val="41220CE1"/>
    <w:rsid w:val="41307274"/>
    <w:rsid w:val="41313857"/>
    <w:rsid w:val="413C0683"/>
    <w:rsid w:val="4149513D"/>
    <w:rsid w:val="414C289C"/>
    <w:rsid w:val="41556A1E"/>
    <w:rsid w:val="4162705B"/>
    <w:rsid w:val="41684027"/>
    <w:rsid w:val="41756B8B"/>
    <w:rsid w:val="41846666"/>
    <w:rsid w:val="418F5CEE"/>
    <w:rsid w:val="41956FC3"/>
    <w:rsid w:val="419D59DD"/>
    <w:rsid w:val="419F2EA3"/>
    <w:rsid w:val="41A55979"/>
    <w:rsid w:val="41AF5D96"/>
    <w:rsid w:val="41B34155"/>
    <w:rsid w:val="41B80FEA"/>
    <w:rsid w:val="41BB789D"/>
    <w:rsid w:val="41CB2E95"/>
    <w:rsid w:val="41CE5D6F"/>
    <w:rsid w:val="41CE5E80"/>
    <w:rsid w:val="41D44F29"/>
    <w:rsid w:val="41D47CA6"/>
    <w:rsid w:val="41D9224B"/>
    <w:rsid w:val="41DA7E07"/>
    <w:rsid w:val="41DB3703"/>
    <w:rsid w:val="41DD216B"/>
    <w:rsid w:val="41DE58F1"/>
    <w:rsid w:val="41E626FC"/>
    <w:rsid w:val="41F84C3F"/>
    <w:rsid w:val="42020CB8"/>
    <w:rsid w:val="42053DF6"/>
    <w:rsid w:val="42077BE9"/>
    <w:rsid w:val="42101F23"/>
    <w:rsid w:val="421E7EC4"/>
    <w:rsid w:val="42267A5C"/>
    <w:rsid w:val="422F407F"/>
    <w:rsid w:val="423730E7"/>
    <w:rsid w:val="42393A30"/>
    <w:rsid w:val="424478C7"/>
    <w:rsid w:val="42525529"/>
    <w:rsid w:val="42642385"/>
    <w:rsid w:val="42682E1D"/>
    <w:rsid w:val="42690B0A"/>
    <w:rsid w:val="426F4B6A"/>
    <w:rsid w:val="426F6060"/>
    <w:rsid w:val="427F4441"/>
    <w:rsid w:val="42875AF2"/>
    <w:rsid w:val="42884F70"/>
    <w:rsid w:val="428C5320"/>
    <w:rsid w:val="429123AD"/>
    <w:rsid w:val="42A42A04"/>
    <w:rsid w:val="42AE127C"/>
    <w:rsid w:val="42B545E4"/>
    <w:rsid w:val="42C50FBA"/>
    <w:rsid w:val="42C53FC1"/>
    <w:rsid w:val="42D24020"/>
    <w:rsid w:val="42DC3FE9"/>
    <w:rsid w:val="42F36C4D"/>
    <w:rsid w:val="430742C8"/>
    <w:rsid w:val="435278F3"/>
    <w:rsid w:val="43652ADE"/>
    <w:rsid w:val="4367719E"/>
    <w:rsid w:val="436B02D7"/>
    <w:rsid w:val="436F2539"/>
    <w:rsid w:val="437602C4"/>
    <w:rsid w:val="43796616"/>
    <w:rsid w:val="437B6846"/>
    <w:rsid w:val="43A655CA"/>
    <w:rsid w:val="43AB3053"/>
    <w:rsid w:val="43AF6312"/>
    <w:rsid w:val="43B20353"/>
    <w:rsid w:val="43B60B7C"/>
    <w:rsid w:val="43BB792D"/>
    <w:rsid w:val="43C912ED"/>
    <w:rsid w:val="43D057F1"/>
    <w:rsid w:val="43D1414A"/>
    <w:rsid w:val="43D26B6F"/>
    <w:rsid w:val="43D67E4D"/>
    <w:rsid w:val="43DA6B76"/>
    <w:rsid w:val="43DD67D9"/>
    <w:rsid w:val="43DF56DB"/>
    <w:rsid w:val="43E21A42"/>
    <w:rsid w:val="43F61EFF"/>
    <w:rsid w:val="43F6705C"/>
    <w:rsid w:val="43FB7B69"/>
    <w:rsid w:val="44053304"/>
    <w:rsid w:val="440C0538"/>
    <w:rsid w:val="440E0A54"/>
    <w:rsid w:val="44141688"/>
    <w:rsid w:val="44175663"/>
    <w:rsid w:val="442A3260"/>
    <w:rsid w:val="443A68E8"/>
    <w:rsid w:val="44417472"/>
    <w:rsid w:val="44493192"/>
    <w:rsid w:val="444C7891"/>
    <w:rsid w:val="44504583"/>
    <w:rsid w:val="44546900"/>
    <w:rsid w:val="445A7412"/>
    <w:rsid w:val="44615D4D"/>
    <w:rsid w:val="446263B0"/>
    <w:rsid w:val="446933DB"/>
    <w:rsid w:val="447851A5"/>
    <w:rsid w:val="447C21A2"/>
    <w:rsid w:val="447E71DD"/>
    <w:rsid w:val="448133F2"/>
    <w:rsid w:val="44897E0A"/>
    <w:rsid w:val="4490797F"/>
    <w:rsid w:val="44A231B6"/>
    <w:rsid w:val="44A24CE2"/>
    <w:rsid w:val="44AC6AA0"/>
    <w:rsid w:val="44C02FBC"/>
    <w:rsid w:val="44C9166B"/>
    <w:rsid w:val="44CF1F14"/>
    <w:rsid w:val="44D43250"/>
    <w:rsid w:val="44D477D8"/>
    <w:rsid w:val="44DB79B8"/>
    <w:rsid w:val="44DE66C3"/>
    <w:rsid w:val="44EF65A4"/>
    <w:rsid w:val="450353C6"/>
    <w:rsid w:val="45050ABD"/>
    <w:rsid w:val="4509333F"/>
    <w:rsid w:val="45116BFC"/>
    <w:rsid w:val="45172FC8"/>
    <w:rsid w:val="451A4682"/>
    <w:rsid w:val="45273624"/>
    <w:rsid w:val="452A7E19"/>
    <w:rsid w:val="4535604E"/>
    <w:rsid w:val="45477A03"/>
    <w:rsid w:val="45534F41"/>
    <w:rsid w:val="45610A71"/>
    <w:rsid w:val="45783A8C"/>
    <w:rsid w:val="45784EAF"/>
    <w:rsid w:val="457E73D9"/>
    <w:rsid w:val="458D1EE2"/>
    <w:rsid w:val="45975583"/>
    <w:rsid w:val="45A23E4F"/>
    <w:rsid w:val="45A864FE"/>
    <w:rsid w:val="45AB5683"/>
    <w:rsid w:val="45BA2A70"/>
    <w:rsid w:val="45C110D3"/>
    <w:rsid w:val="45D04FEF"/>
    <w:rsid w:val="45D33485"/>
    <w:rsid w:val="45EE5900"/>
    <w:rsid w:val="46092E53"/>
    <w:rsid w:val="462214B8"/>
    <w:rsid w:val="46240A0D"/>
    <w:rsid w:val="462D5FEF"/>
    <w:rsid w:val="462D6E9A"/>
    <w:rsid w:val="46423B27"/>
    <w:rsid w:val="464B0531"/>
    <w:rsid w:val="464C3A05"/>
    <w:rsid w:val="46511E10"/>
    <w:rsid w:val="46586D6A"/>
    <w:rsid w:val="465E0569"/>
    <w:rsid w:val="465E3098"/>
    <w:rsid w:val="46623D1B"/>
    <w:rsid w:val="46672F35"/>
    <w:rsid w:val="466C3BF2"/>
    <w:rsid w:val="466D4269"/>
    <w:rsid w:val="46753A27"/>
    <w:rsid w:val="468B615B"/>
    <w:rsid w:val="46943FE6"/>
    <w:rsid w:val="46986572"/>
    <w:rsid w:val="469C5366"/>
    <w:rsid w:val="46BE554E"/>
    <w:rsid w:val="46C45D65"/>
    <w:rsid w:val="46D07416"/>
    <w:rsid w:val="46D22372"/>
    <w:rsid w:val="46E74CC0"/>
    <w:rsid w:val="46F24A9C"/>
    <w:rsid w:val="46F33B59"/>
    <w:rsid w:val="470D0168"/>
    <w:rsid w:val="470D4174"/>
    <w:rsid w:val="47221EC0"/>
    <w:rsid w:val="472A79E0"/>
    <w:rsid w:val="472C105B"/>
    <w:rsid w:val="4736137F"/>
    <w:rsid w:val="473769F4"/>
    <w:rsid w:val="473D5031"/>
    <w:rsid w:val="47436F93"/>
    <w:rsid w:val="47497CED"/>
    <w:rsid w:val="474E3CA6"/>
    <w:rsid w:val="474F2EE8"/>
    <w:rsid w:val="47585BA0"/>
    <w:rsid w:val="475A1D2F"/>
    <w:rsid w:val="475A7944"/>
    <w:rsid w:val="476436A4"/>
    <w:rsid w:val="47823144"/>
    <w:rsid w:val="478F23A2"/>
    <w:rsid w:val="47981AFC"/>
    <w:rsid w:val="479876C5"/>
    <w:rsid w:val="47A2298A"/>
    <w:rsid w:val="47C30CFF"/>
    <w:rsid w:val="47D538BF"/>
    <w:rsid w:val="47E76128"/>
    <w:rsid w:val="47EC3BCC"/>
    <w:rsid w:val="47EF48E2"/>
    <w:rsid w:val="48056817"/>
    <w:rsid w:val="48071009"/>
    <w:rsid w:val="48160910"/>
    <w:rsid w:val="481D2E0A"/>
    <w:rsid w:val="482917DE"/>
    <w:rsid w:val="48314497"/>
    <w:rsid w:val="484357FE"/>
    <w:rsid w:val="48454B43"/>
    <w:rsid w:val="484E2F53"/>
    <w:rsid w:val="484E459F"/>
    <w:rsid w:val="485174E3"/>
    <w:rsid w:val="48566197"/>
    <w:rsid w:val="486E0331"/>
    <w:rsid w:val="4873740A"/>
    <w:rsid w:val="4877279F"/>
    <w:rsid w:val="487A27E0"/>
    <w:rsid w:val="4883006D"/>
    <w:rsid w:val="48832C3B"/>
    <w:rsid w:val="489176F0"/>
    <w:rsid w:val="48A01DC6"/>
    <w:rsid w:val="48AD5CB8"/>
    <w:rsid w:val="48AE7B29"/>
    <w:rsid w:val="48B34240"/>
    <w:rsid w:val="48C85917"/>
    <w:rsid w:val="48D05068"/>
    <w:rsid w:val="48D72399"/>
    <w:rsid w:val="48D926AD"/>
    <w:rsid w:val="48DC03DD"/>
    <w:rsid w:val="48E21116"/>
    <w:rsid w:val="48F2474B"/>
    <w:rsid w:val="48FC4609"/>
    <w:rsid w:val="4900376F"/>
    <w:rsid w:val="49046090"/>
    <w:rsid w:val="490578A2"/>
    <w:rsid w:val="4924152D"/>
    <w:rsid w:val="4924574C"/>
    <w:rsid w:val="492B380B"/>
    <w:rsid w:val="49306605"/>
    <w:rsid w:val="4932429E"/>
    <w:rsid w:val="493317E9"/>
    <w:rsid w:val="4933521B"/>
    <w:rsid w:val="49344B77"/>
    <w:rsid w:val="49515037"/>
    <w:rsid w:val="495441DE"/>
    <w:rsid w:val="49590D13"/>
    <w:rsid w:val="496603CB"/>
    <w:rsid w:val="496E2B2A"/>
    <w:rsid w:val="49722813"/>
    <w:rsid w:val="49727215"/>
    <w:rsid w:val="49752438"/>
    <w:rsid w:val="497E3FC3"/>
    <w:rsid w:val="49825179"/>
    <w:rsid w:val="49827172"/>
    <w:rsid w:val="49857B3C"/>
    <w:rsid w:val="49891345"/>
    <w:rsid w:val="498F3090"/>
    <w:rsid w:val="499049E3"/>
    <w:rsid w:val="49A30128"/>
    <w:rsid w:val="49B01BAE"/>
    <w:rsid w:val="49B54250"/>
    <w:rsid w:val="49B61DD3"/>
    <w:rsid w:val="49B8517B"/>
    <w:rsid w:val="49B854B2"/>
    <w:rsid w:val="49C2169A"/>
    <w:rsid w:val="49C41D97"/>
    <w:rsid w:val="49C42A10"/>
    <w:rsid w:val="49C76AA2"/>
    <w:rsid w:val="49CD79A4"/>
    <w:rsid w:val="49DF3699"/>
    <w:rsid w:val="49EB61F2"/>
    <w:rsid w:val="49EC674C"/>
    <w:rsid w:val="49EC7055"/>
    <w:rsid w:val="49F47F64"/>
    <w:rsid w:val="49FD7E22"/>
    <w:rsid w:val="4A0D1E47"/>
    <w:rsid w:val="4A0E2BA8"/>
    <w:rsid w:val="4A111BFA"/>
    <w:rsid w:val="4A267576"/>
    <w:rsid w:val="4A280B0E"/>
    <w:rsid w:val="4A2C3C74"/>
    <w:rsid w:val="4A2D7BC9"/>
    <w:rsid w:val="4A327B46"/>
    <w:rsid w:val="4A3845C5"/>
    <w:rsid w:val="4A3B2897"/>
    <w:rsid w:val="4A3B2DB5"/>
    <w:rsid w:val="4A4044A1"/>
    <w:rsid w:val="4A4B3F70"/>
    <w:rsid w:val="4A51261B"/>
    <w:rsid w:val="4A543304"/>
    <w:rsid w:val="4A5D123E"/>
    <w:rsid w:val="4A5F2B0E"/>
    <w:rsid w:val="4A6075A3"/>
    <w:rsid w:val="4A6514DB"/>
    <w:rsid w:val="4A664A90"/>
    <w:rsid w:val="4A80341B"/>
    <w:rsid w:val="4A811C9F"/>
    <w:rsid w:val="4A816144"/>
    <w:rsid w:val="4A8A1046"/>
    <w:rsid w:val="4A98092D"/>
    <w:rsid w:val="4A9B3DA6"/>
    <w:rsid w:val="4AAB13E0"/>
    <w:rsid w:val="4AB604A6"/>
    <w:rsid w:val="4AD32458"/>
    <w:rsid w:val="4AD75D13"/>
    <w:rsid w:val="4AE67BDD"/>
    <w:rsid w:val="4AF41A83"/>
    <w:rsid w:val="4AF64EB3"/>
    <w:rsid w:val="4AF8077D"/>
    <w:rsid w:val="4AF854A5"/>
    <w:rsid w:val="4AFE02EB"/>
    <w:rsid w:val="4B0B061E"/>
    <w:rsid w:val="4B116C3A"/>
    <w:rsid w:val="4B1A31D2"/>
    <w:rsid w:val="4B1F2755"/>
    <w:rsid w:val="4B21349F"/>
    <w:rsid w:val="4B2947A3"/>
    <w:rsid w:val="4B424673"/>
    <w:rsid w:val="4B43687B"/>
    <w:rsid w:val="4B4C4C91"/>
    <w:rsid w:val="4B4F585E"/>
    <w:rsid w:val="4B5066D3"/>
    <w:rsid w:val="4B556C18"/>
    <w:rsid w:val="4B5B00CB"/>
    <w:rsid w:val="4B5C2A02"/>
    <w:rsid w:val="4B5D1505"/>
    <w:rsid w:val="4B5D2F0E"/>
    <w:rsid w:val="4B63744F"/>
    <w:rsid w:val="4B670EEB"/>
    <w:rsid w:val="4B700715"/>
    <w:rsid w:val="4B7837FE"/>
    <w:rsid w:val="4B842536"/>
    <w:rsid w:val="4B857330"/>
    <w:rsid w:val="4B8D6483"/>
    <w:rsid w:val="4B9426D6"/>
    <w:rsid w:val="4BA9427B"/>
    <w:rsid w:val="4BB21BF5"/>
    <w:rsid w:val="4BC93340"/>
    <w:rsid w:val="4BCD5D8A"/>
    <w:rsid w:val="4BD667C4"/>
    <w:rsid w:val="4BDB6730"/>
    <w:rsid w:val="4BE50349"/>
    <w:rsid w:val="4BF11E1A"/>
    <w:rsid w:val="4BF9699A"/>
    <w:rsid w:val="4C0A56D4"/>
    <w:rsid w:val="4C0D086F"/>
    <w:rsid w:val="4C1233AD"/>
    <w:rsid w:val="4C1648A2"/>
    <w:rsid w:val="4C185ADC"/>
    <w:rsid w:val="4C1F4B55"/>
    <w:rsid w:val="4C364701"/>
    <w:rsid w:val="4C3A367A"/>
    <w:rsid w:val="4C4233CF"/>
    <w:rsid w:val="4C4502B3"/>
    <w:rsid w:val="4C4C2ECA"/>
    <w:rsid w:val="4C5114DD"/>
    <w:rsid w:val="4C5B4E2F"/>
    <w:rsid w:val="4C64188F"/>
    <w:rsid w:val="4C6B203A"/>
    <w:rsid w:val="4C7B3AF3"/>
    <w:rsid w:val="4CB94893"/>
    <w:rsid w:val="4CD40156"/>
    <w:rsid w:val="4CD97F00"/>
    <w:rsid w:val="4CE507BB"/>
    <w:rsid w:val="4CE84B1E"/>
    <w:rsid w:val="4CF84925"/>
    <w:rsid w:val="4CFB7174"/>
    <w:rsid w:val="4D0541DC"/>
    <w:rsid w:val="4D0828E9"/>
    <w:rsid w:val="4D083099"/>
    <w:rsid w:val="4D08524C"/>
    <w:rsid w:val="4D1413B4"/>
    <w:rsid w:val="4D17385C"/>
    <w:rsid w:val="4D433305"/>
    <w:rsid w:val="4D4B4412"/>
    <w:rsid w:val="4D503413"/>
    <w:rsid w:val="4D5353B7"/>
    <w:rsid w:val="4D605026"/>
    <w:rsid w:val="4D6A54AB"/>
    <w:rsid w:val="4D815267"/>
    <w:rsid w:val="4D882DD6"/>
    <w:rsid w:val="4D8C0894"/>
    <w:rsid w:val="4D8F1DE7"/>
    <w:rsid w:val="4D9D0D26"/>
    <w:rsid w:val="4DA16801"/>
    <w:rsid w:val="4DA20DFB"/>
    <w:rsid w:val="4DA51261"/>
    <w:rsid w:val="4DAD5859"/>
    <w:rsid w:val="4DB85C63"/>
    <w:rsid w:val="4DB9274D"/>
    <w:rsid w:val="4DCA0A14"/>
    <w:rsid w:val="4DE15ABD"/>
    <w:rsid w:val="4DE91693"/>
    <w:rsid w:val="4DEE3FB3"/>
    <w:rsid w:val="4DF20E52"/>
    <w:rsid w:val="4DF52C1C"/>
    <w:rsid w:val="4DFE09DF"/>
    <w:rsid w:val="4DFF3390"/>
    <w:rsid w:val="4E0144FA"/>
    <w:rsid w:val="4E055215"/>
    <w:rsid w:val="4E0A289D"/>
    <w:rsid w:val="4E0B0488"/>
    <w:rsid w:val="4E10399C"/>
    <w:rsid w:val="4E2D7F67"/>
    <w:rsid w:val="4E444909"/>
    <w:rsid w:val="4E604970"/>
    <w:rsid w:val="4E691FCA"/>
    <w:rsid w:val="4E70427F"/>
    <w:rsid w:val="4E7B161E"/>
    <w:rsid w:val="4E8B1F86"/>
    <w:rsid w:val="4E8C412A"/>
    <w:rsid w:val="4E9F52CA"/>
    <w:rsid w:val="4EAE7377"/>
    <w:rsid w:val="4EB44996"/>
    <w:rsid w:val="4EBA01BB"/>
    <w:rsid w:val="4EC0075D"/>
    <w:rsid w:val="4EC1374B"/>
    <w:rsid w:val="4ECD2946"/>
    <w:rsid w:val="4ED147C1"/>
    <w:rsid w:val="4ED374D0"/>
    <w:rsid w:val="4EE27D7A"/>
    <w:rsid w:val="4EED6AB4"/>
    <w:rsid w:val="4EEE4967"/>
    <w:rsid w:val="4EFF10AB"/>
    <w:rsid w:val="4F0711B8"/>
    <w:rsid w:val="4F072983"/>
    <w:rsid w:val="4F0D1F32"/>
    <w:rsid w:val="4F105E49"/>
    <w:rsid w:val="4F32541F"/>
    <w:rsid w:val="4F3A6287"/>
    <w:rsid w:val="4F3B2C0D"/>
    <w:rsid w:val="4F3F0431"/>
    <w:rsid w:val="4F404EE0"/>
    <w:rsid w:val="4F503EC3"/>
    <w:rsid w:val="4F64394D"/>
    <w:rsid w:val="4F647FE0"/>
    <w:rsid w:val="4F65431D"/>
    <w:rsid w:val="4F83000A"/>
    <w:rsid w:val="4F9B16D6"/>
    <w:rsid w:val="4FA856E5"/>
    <w:rsid w:val="4FB01DB0"/>
    <w:rsid w:val="4FC44ABC"/>
    <w:rsid w:val="4FD33681"/>
    <w:rsid w:val="4FDD4119"/>
    <w:rsid w:val="4FDF5DEF"/>
    <w:rsid w:val="4FE06B2A"/>
    <w:rsid w:val="4FE859C5"/>
    <w:rsid w:val="4FEC47F8"/>
    <w:rsid w:val="4FFD4FFE"/>
    <w:rsid w:val="50067C30"/>
    <w:rsid w:val="501244E2"/>
    <w:rsid w:val="502D57C0"/>
    <w:rsid w:val="503451F3"/>
    <w:rsid w:val="50397B2D"/>
    <w:rsid w:val="50440A06"/>
    <w:rsid w:val="505644F6"/>
    <w:rsid w:val="50785C87"/>
    <w:rsid w:val="508250F6"/>
    <w:rsid w:val="50963EF0"/>
    <w:rsid w:val="509E3987"/>
    <w:rsid w:val="50A06EBA"/>
    <w:rsid w:val="50AB60FF"/>
    <w:rsid w:val="50B93817"/>
    <w:rsid w:val="50BE405E"/>
    <w:rsid w:val="50C75459"/>
    <w:rsid w:val="50D16BC1"/>
    <w:rsid w:val="50D77449"/>
    <w:rsid w:val="50E104DF"/>
    <w:rsid w:val="510A147E"/>
    <w:rsid w:val="510F5F49"/>
    <w:rsid w:val="51123DFB"/>
    <w:rsid w:val="51150696"/>
    <w:rsid w:val="511600C5"/>
    <w:rsid w:val="511E4130"/>
    <w:rsid w:val="511F0A79"/>
    <w:rsid w:val="51215BB8"/>
    <w:rsid w:val="51235A2B"/>
    <w:rsid w:val="513B53D4"/>
    <w:rsid w:val="513B5867"/>
    <w:rsid w:val="513C181E"/>
    <w:rsid w:val="51462300"/>
    <w:rsid w:val="51496907"/>
    <w:rsid w:val="514D1F01"/>
    <w:rsid w:val="51576E2F"/>
    <w:rsid w:val="515C7FB9"/>
    <w:rsid w:val="516D6307"/>
    <w:rsid w:val="517065DD"/>
    <w:rsid w:val="517270B8"/>
    <w:rsid w:val="51792B6A"/>
    <w:rsid w:val="517A55E8"/>
    <w:rsid w:val="517C5C51"/>
    <w:rsid w:val="517E23B6"/>
    <w:rsid w:val="5182302A"/>
    <w:rsid w:val="518F2363"/>
    <w:rsid w:val="51963BA3"/>
    <w:rsid w:val="519F7FAC"/>
    <w:rsid w:val="51A018B7"/>
    <w:rsid w:val="51A14737"/>
    <w:rsid w:val="51A2158E"/>
    <w:rsid w:val="51A8382E"/>
    <w:rsid w:val="51A87469"/>
    <w:rsid w:val="51AB4F07"/>
    <w:rsid w:val="51B67F42"/>
    <w:rsid w:val="51BB6817"/>
    <w:rsid w:val="51CA475C"/>
    <w:rsid w:val="51CE5C4C"/>
    <w:rsid w:val="51DD57B6"/>
    <w:rsid w:val="51DF350E"/>
    <w:rsid w:val="51DF412A"/>
    <w:rsid w:val="520B2C6D"/>
    <w:rsid w:val="52133C34"/>
    <w:rsid w:val="52140036"/>
    <w:rsid w:val="522638BE"/>
    <w:rsid w:val="5229322C"/>
    <w:rsid w:val="522A0C52"/>
    <w:rsid w:val="522A1EF5"/>
    <w:rsid w:val="523D30C4"/>
    <w:rsid w:val="523F5929"/>
    <w:rsid w:val="52403BF9"/>
    <w:rsid w:val="524150BF"/>
    <w:rsid w:val="5248662E"/>
    <w:rsid w:val="524D1DE7"/>
    <w:rsid w:val="52586AC4"/>
    <w:rsid w:val="526C3022"/>
    <w:rsid w:val="527B219E"/>
    <w:rsid w:val="528449E8"/>
    <w:rsid w:val="52876BEF"/>
    <w:rsid w:val="528B2294"/>
    <w:rsid w:val="52987A13"/>
    <w:rsid w:val="52995E1D"/>
    <w:rsid w:val="52A37469"/>
    <w:rsid w:val="52A43264"/>
    <w:rsid w:val="52BC333B"/>
    <w:rsid w:val="52D4020B"/>
    <w:rsid w:val="52E54444"/>
    <w:rsid w:val="52FF4BFF"/>
    <w:rsid w:val="53030788"/>
    <w:rsid w:val="530D327B"/>
    <w:rsid w:val="53170583"/>
    <w:rsid w:val="53234FBA"/>
    <w:rsid w:val="532663CB"/>
    <w:rsid w:val="533C7CC3"/>
    <w:rsid w:val="534731E7"/>
    <w:rsid w:val="53596866"/>
    <w:rsid w:val="536870CF"/>
    <w:rsid w:val="53840791"/>
    <w:rsid w:val="538728EC"/>
    <w:rsid w:val="538D5A45"/>
    <w:rsid w:val="53930A17"/>
    <w:rsid w:val="53A17B6E"/>
    <w:rsid w:val="53A345E8"/>
    <w:rsid w:val="53AA69EC"/>
    <w:rsid w:val="53B94E28"/>
    <w:rsid w:val="53BA2060"/>
    <w:rsid w:val="53C70176"/>
    <w:rsid w:val="53EC4262"/>
    <w:rsid w:val="53F97037"/>
    <w:rsid w:val="540353D1"/>
    <w:rsid w:val="54060F9D"/>
    <w:rsid w:val="540B11D4"/>
    <w:rsid w:val="540F235E"/>
    <w:rsid w:val="54213DCB"/>
    <w:rsid w:val="54222B22"/>
    <w:rsid w:val="542C7A98"/>
    <w:rsid w:val="543B63E2"/>
    <w:rsid w:val="544615F0"/>
    <w:rsid w:val="544909BE"/>
    <w:rsid w:val="545C145C"/>
    <w:rsid w:val="545D2C15"/>
    <w:rsid w:val="54605FBD"/>
    <w:rsid w:val="5463724D"/>
    <w:rsid w:val="54652DF3"/>
    <w:rsid w:val="54676070"/>
    <w:rsid w:val="546E0797"/>
    <w:rsid w:val="54825E65"/>
    <w:rsid w:val="54892033"/>
    <w:rsid w:val="548A5B56"/>
    <w:rsid w:val="54A86A7C"/>
    <w:rsid w:val="54AF16DE"/>
    <w:rsid w:val="54B50CF1"/>
    <w:rsid w:val="54B95EEC"/>
    <w:rsid w:val="54C0394D"/>
    <w:rsid w:val="54CE39BB"/>
    <w:rsid w:val="54D166F6"/>
    <w:rsid w:val="54D71321"/>
    <w:rsid w:val="54D90BDE"/>
    <w:rsid w:val="54E131E2"/>
    <w:rsid w:val="54F43303"/>
    <w:rsid w:val="54F457BC"/>
    <w:rsid w:val="54FC2BCD"/>
    <w:rsid w:val="55131FEC"/>
    <w:rsid w:val="551630FC"/>
    <w:rsid w:val="55197C6D"/>
    <w:rsid w:val="55301446"/>
    <w:rsid w:val="554307FE"/>
    <w:rsid w:val="554C05D6"/>
    <w:rsid w:val="555F1B75"/>
    <w:rsid w:val="556A47BF"/>
    <w:rsid w:val="55733F59"/>
    <w:rsid w:val="55750BCE"/>
    <w:rsid w:val="557C0D96"/>
    <w:rsid w:val="55863FAB"/>
    <w:rsid w:val="559A3850"/>
    <w:rsid w:val="55A03D0C"/>
    <w:rsid w:val="55B81E3A"/>
    <w:rsid w:val="55C62557"/>
    <w:rsid w:val="55CC6981"/>
    <w:rsid w:val="55D02071"/>
    <w:rsid w:val="55D2248F"/>
    <w:rsid w:val="55DE46F8"/>
    <w:rsid w:val="55DF4042"/>
    <w:rsid w:val="55E30963"/>
    <w:rsid w:val="55E85F28"/>
    <w:rsid w:val="55F15FDB"/>
    <w:rsid w:val="55F86847"/>
    <w:rsid w:val="55F86F0A"/>
    <w:rsid w:val="56217B10"/>
    <w:rsid w:val="56394636"/>
    <w:rsid w:val="564718FB"/>
    <w:rsid w:val="564D42F2"/>
    <w:rsid w:val="565B4EAE"/>
    <w:rsid w:val="565F6532"/>
    <w:rsid w:val="5662423A"/>
    <w:rsid w:val="56647180"/>
    <w:rsid w:val="566E7783"/>
    <w:rsid w:val="567574D3"/>
    <w:rsid w:val="56853787"/>
    <w:rsid w:val="569128DB"/>
    <w:rsid w:val="56980CBC"/>
    <w:rsid w:val="569A2AE4"/>
    <w:rsid w:val="56A43F9B"/>
    <w:rsid w:val="56A44466"/>
    <w:rsid w:val="56A61297"/>
    <w:rsid w:val="56B66789"/>
    <w:rsid w:val="56BA4629"/>
    <w:rsid w:val="56C27357"/>
    <w:rsid w:val="56C4073B"/>
    <w:rsid w:val="56D4259B"/>
    <w:rsid w:val="56DC30A2"/>
    <w:rsid w:val="56DC433C"/>
    <w:rsid w:val="56E62A25"/>
    <w:rsid w:val="56E70E91"/>
    <w:rsid w:val="56E945D8"/>
    <w:rsid w:val="56F140FB"/>
    <w:rsid w:val="56FA2572"/>
    <w:rsid w:val="56FB42D4"/>
    <w:rsid w:val="570F38FB"/>
    <w:rsid w:val="57317A2D"/>
    <w:rsid w:val="573343D5"/>
    <w:rsid w:val="57456A3C"/>
    <w:rsid w:val="57480C7E"/>
    <w:rsid w:val="574E044C"/>
    <w:rsid w:val="577229A2"/>
    <w:rsid w:val="577919F1"/>
    <w:rsid w:val="57837719"/>
    <w:rsid w:val="578F77B5"/>
    <w:rsid w:val="579537F7"/>
    <w:rsid w:val="57C14AD0"/>
    <w:rsid w:val="57CA10D2"/>
    <w:rsid w:val="57CD6833"/>
    <w:rsid w:val="57FD013B"/>
    <w:rsid w:val="57FF729E"/>
    <w:rsid w:val="58027708"/>
    <w:rsid w:val="58106CA6"/>
    <w:rsid w:val="58130A39"/>
    <w:rsid w:val="5814199B"/>
    <w:rsid w:val="581553C8"/>
    <w:rsid w:val="58176D45"/>
    <w:rsid w:val="58207C92"/>
    <w:rsid w:val="58247D50"/>
    <w:rsid w:val="58381E6A"/>
    <w:rsid w:val="583C62B7"/>
    <w:rsid w:val="5848185C"/>
    <w:rsid w:val="584F7D5F"/>
    <w:rsid w:val="585B1210"/>
    <w:rsid w:val="585E5941"/>
    <w:rsid w:val="585E782A"/>
    <w:rsid w:val="58654640"/>
    <w:rsid w:val="58656967"/>
    <w:rsid w:val="587E014A"/>
    <w:rsid w:val="5887397A"/>
    <w:rsid w:val="588D33E6"/>
    <w:rsid w:val="58987989"/>
    <w:rsid w:val="58A04617"/>
    <w:rsid w:val="58A545FC"/>
    <w:rsid w:val="58CA623D"/>
    <w:rsid w:val="58E53FCB"/>
    <w:rsid w:val="58EA2C4B"/>
    <w:rsid w:val="58F10149"/>
    <w:rsid w:val="58F7366B"/>
    <w:rsid w:val="59042F7C"/>
    <w:rsid w:val="591050F0"/>
    <w:rsid w:val="592430C6"/>
    <w:rsid w:val="59264D2A"/>
    <w:rsid w:val="593C6A0C"/>
    <w:rsid w:val="59402925"/>
    <w:rsid w:val="59446117"/>
    <w:rsid w:val="59592ED1"/>
    <w:rsid w:val="59610D60"/>
    <w:rsid w:val="596541E5"/>
    <w:rsid w:val="596C0F43"/>
    <w:rsid w:val="596D77E3"/>
    <w:rsid w:val="59744FD4"/>
    <w:rsid w:val="599C00A2"/>
    <w:rsid w:val="599F418D"/>
    <w:rsid w:val="59A821F1"/>
    <w:rsid w:val="59B21A2E"/>
    <w:rsid w:val="59B23C9A"/>
    <w:rsid w:val="59B94819"/>
    <w:rsid w:val="59C84333"/>
    <w:rsid w:val="59D32AE1"/>
    <w:rsid w:val="59D90040"/>
    <w:rsid w:val="59DE28FC"/>
    <w:rsid w:val="59E05471"/>
    <w:rsid w:val="59EC3189"/>
    <w:rsid w:val="59F304B9"/>
    <w:rsid w:val="5A0B34F7"/>
    <w:rsid w:val="5A0D5EFA"/>
    <w:rsid w:val="5A100BCE"/>
    <w:rsid w:val="5A100EB5"/>
    <w:rsid w:val="5A114CC0"/>
    <w:rsid w:val="5A1D7EF7"/>
    <w:rsid w:val="5A2E3986"/>
    <w:rsid w:val="5A356DD6"/>
    <w:rsid w:val="5A382C39"/>
    <w:rsid w:val="5A3C0583"/>
    <w:rsid w:val="5A42051E"/>
    <w:rsid w:val="5A445430"/>
    <w:rsid w:val="5A4E0741"/>
    <w:rsid w:val="5A534FF7"/>
    <w:rsid w:val="5A5B386F"/>
    <w:rsid w:val="5A6B2DA3"/>
    <w:rsid w:val="5A6D0771"/>
    <w:rsid w:val="5A787E0A"/>
    <w:rsid w:val="5A8265BB"/>
    <w:rsid w:val="5A890355"/>
    <w:rsid w:val="5A9601DB"/>
    <w:rsid w:val="5AC616A0"/>
    <w:rsid w:val="5AD259D8"/>
    <w:rsid w:val="5AD53FD1"/>
    <w:rsid w:val="5AD97181"/>
    <w:rsid w:val="5AEB60C3"/>
    <w:rsid w:val="5AF93E8D"/>
    <w:rsid w:val="5AFE2F42"/>
    <w:rsid w:val="5B036C0E"/>
    <w:rsid w:val="5B0A4061"/>
    <w:rsid w:val="5B0C5FBD"/>
    <w:rsid w:val="5B0F7B59"/>
    <w:rsid w:val="5B1B000A"/>
    <w:rsid w:val="5B1C6576"/>
    <w:rsid w:val="5B2100D5"/>
    <w:rsid w:val="5B2C792B"/>
    <w:rsid w:val="5B464B7E"/>
    <w:rsid w:val="5B4726B5"/>
    <w:rsid w:val="5B4A13C2"/>
    <w:rsid w:val="5B6E69CA"/>
    <w:rsid w:val="5B6F606C"/>
    <w:rsid w:val="5B710FC8"/>
    <w:rsid w:val="5B716D64"/>
    <w:rsid w:val="5B743C52"/>
    <w:rsid w:val="5B772B5D"/>
    <w:rsid w:val="5B7B067C"/>
    <w:rsid w:val="5B863B83"/>
    <w:rsid w:val="5B890F47"/>
    <w:rsid w:val="5B9A3F92"/>
    <w:rsid w:val="5B9B465A"/>
    <w:rsid w:val="5B9E2B29"/>
    <w:rsid w:val="5BA036A9"/>
    <w:rsid w:val="5BA5170C"/>
    <w:rsid w:val="5BA861E5"/>
    <w:rsid w:val="5BAC7567"/>
    <w:rsid w:val="5BAD110F"/>
    <w:rsid w:val="5BBE2742"/>
    <w:rsid w:val="5BC551D7"/>
    <w:rsid w:val="5BCF5FD7"/>
    <w:rsid w:val="5BD64CF3"/>
    <w:rsid w:val="5BD77AF6"/>
    <w:rsid w:val="5BE31D71"/>
    <w:rsid w:val="5BFB2A09"/>
    <w:rsid w:val="5BFB638B"/>
    <w:rsid w:val="5C014C14"/>
    <w:rsid w:val="5C0F6CB9"/>
    <w:rsid w:val="5C16288F"/>
    <w:rsid w:val="5C207758"/>
    <w:rsid w:val="5C2969DD"/>
    <w:rsid w:val="5C517365"/>
    <w:rsid w:val="5C5A7340"/>
    <w:rsid w:val="5C5C2761"/>
    <w:rsid w:val="5C617983"/>
    <w:rsid w:val="5C6A76B9"/>
    <w:rsid w:val="5C6F147B"/>
    <w:rsid w:val="5C764E25"/>
    <w:rsid w:val="5C7C3DBC"/>
    <w:rsid w:val="5C9763F1"/>
    <w:rsid w:val="5C9E7C2E"/>
    <w:rsid w:val="5CA15D23"/>
    <w:rsid w:val="5CAC4F60"/>
    <w:rsid w:val="5CC334F6"/>
    <w:rsid w:val="5CCC07B0"/>
    <w:rsid w:val="5CD90705"/>
    <w:rsid w:val="5CEB1B81"/>
    <w:rsid w:val="5CEC2D02"/>
    <w:rsid w:val="5CF86D3C"/>
    <w:rsid w:val="5D0015BF"/>
    <w:rsid w:val="5D06031B"/>
    <w:rsid w:val="5D0C3DC7"/>
    <w:rsid w:val="5D193471"/>
    <w:rsid w:val="5D1E77D4"/>
    <w:rsid w:val="5D3025FF"/>
    <w:rsid w:val="5D324075"/>
    <w:rsid w:val="5D3F4041"/>
    <w:rsid w:val="5D4261AF"/>
    <w:rsid w:val="5D4C134D"/>
    <w:rsid w:val="5D4D3D32"/>
    <w:rsid w:val="5D6111F2"/>
    <w:rsid w:val="5D6E6F86"/>
    <w:rsid w:val="5D77069D"/>
    <w:rsid w:val="5D7D7FA0"/>
    <w:rsid w:val="5D8A3A67"/>
    <w:rsid w:val="5D9F4100"/>
    <w:rsid w:val="5DB00D3B"/>
    <w:rsid w:val="5DC243DB"/>
    <w:rsid w:val="5DCF5FA1"/>
    <w:rsid w:val="5DD30236"/>
    <w:rsid w:val="5DDD7DB4"/>
    <w:rsid w:val="5DE72BB9"/>
    <w:rsid w:val="5DF17B97"/>
    <w:rsid w:val="5DFE49EE"/>
    <w:rsid w:val="5DFF737F"/>
    <w:rsid w:val="5E00208A"/>
    <w:rsid w:val="5E0A43F8"/>
    <w:rsid w:val="5E0C5298"/>
    <w:rsid w:val="5E1272FB"/>
    <w:rsid w:val="5E150433"/>
    <w:rsid w:val="5E1702B0"/>
    <w:rsid w:val="5E1C1670"/>
    <w:rsid w:val="5E1C73DF"/>
    <w:rsid w:val="5E3067A8"/>
    <w:rsid w:val="5E3B61F4"/>
    <w:rsid w:val="5E442AFD"/>
    <w:rsid w:val="5E4E152D"/>
    <w:rsid w:val="5E5100E1"/>
    <w:rsid w:val="5E532D1B"/>
    <w:rsid w:val="5E591204"/>
    <w:rsid w:val="5E6663C5"/>
    <w:rsid w:val="5E690D5E"/>
    <w:rsid w:val="5E746F2A"/>
    <w:rsid w:val="5E775B99"/>
    <w:rsid w:val="5E8D32BA"/>
    <w:rsid w:val="5EA93002"/>
    <w:rsid w:val="5EB13B1E"/>
    <w:rsid w:val="5EB65622"/>
    <w:rsid w:val="5EBA5148"/>
    <w:rsid w:val="5ECE6451"/>
    <w:rsid w:val="5ED460B2"/>
    <w:rsid w:val="5ED91797"/>
    <w:rsid w:val="5EDF206B"/>
    <w:rsid w:val="5EEB40CF"/>
    <w:rsid w:val="5EF8260C"/>
    <w:rsid w:val="5EFC246C"/>
    <w:rsid w:val="5F061CD1"/>
    <w:rsid w:val="5F1E30E5"/>
    <w:rsid w:val="5F377813"/>
    <w:rsid w:val="5F39549A"/>
    <w:rsid w:val="5F3D7AAC"/>
    <w:rsid w:val="5F4E354E"/>
    <w:rsid w:val="5F812EE3"/>
    <w:rsid w:val="5F8E39E6"/>
    <w:rsid w:val="5F922566"/>
    <w:rsid w:val="5F9A7B6B"/>
    <w:rsid w:val="5FAA70C2"/>
    <w:rsid w:val="5FB454E8"/>
    <w:rsid w:val="5FC376E3"/>
    <w:rsid w:val="5FC559AB"/>
    <w:rsid w:val="5FC876E1"/>
    <w:rsid w:val="5FCD0F39"/>
    <w:rsid w:val="5FD70898"/>
    <w:rsid w:val="5FDB1CEF"/>
    <w:rsid w:val="6000247B"/>
    <w:rsid w:val="60026C59"/>
    <w:rsid w:val="600D2427"/>
    <w:rsid w:val="601F0A73"/>
    <w:rsid w:val="604416A4"/>
    <w:rsid w:val="60465395"/>
    <w:rsid w:val="60477519"/>
    <w:rsid w:val="60575B6D"/>
    <w:rsid w:val="605B70B7"/>
    <w:rsid w:val="6065314B"/>
    <w:rsid w:val="606E6BE4"/>
    <w:rsid w:val="6086096B"/>
    <w:rsid w:val="60885CA7"/>
    <w:rsid w:val="608C7161"/>
    <w:rsid w:val="609A1105"/>
    <w:rsid w:val="609B59DA"/>
    <w:rsid w:val="60C44D75"/>
    <w:rsid w:val="60C54619"/>
    <w:rsid w:val="60CC3323"/>
    <w:rsid w:val="60CE267F"/>
    <w:rsid w:val="60D35802"/>
    <w:rsid w:val="60E0624B"/>
    <w:rsid w:val="60E1532B"/>
    <w:rsid w:val="60EC1F9E"/>
    <w:rsid w:val="610067DF"/>
    <w:rsid w:val="610805B6"/>
    <w:rsid w:val="61105C30"/>
    <w:rsid w:val="61114DB3"/>
    <w:rsid w:val="611B075B"/>
    <w:rsid w:val="611C0A48"/>
    <w:rsid w:val="61202836"/>
    <w:rsid w:val="612C1086"/>
    <w:rsid w:val="61330DFC"/>
    <w:rsid w:val="613A76B5"/>
    <w:rsid w:val="613E7918"/>
    <w:rsid w:val="61420DBB"/>
    <w:rsid w:val="61443667"/>
    <w:rsid w:val="61452033"/>
    <w:rsid w:val="6148394B"/>
    <w:rsid w:val="614A6ACB"/>
    <w:rsid w:val="616630C6"/>
    <w:rsid w:val="61665F39"/>
    <w:rsid w:val="616B0236"/>
    <w:rsid w:val="61725C05"/>
    <w:rsid w:val="617B16A8"/>
    <w:rsid w:val="61867B8D"/>
    <w:rsid w:val="619028A6"/>
    <w:rsid w:val="61A82072"/>
    <w:rsid w:val="61B22B22"/>
    <w:rsid w:val="61BC65D1"/>
    <w:rsid w:val="61C675E9"/>
    <w:rsid w:val="61CB5C30"/>
    <w:rsid w:val="61D758F4"/>
    <w:rsid w:val="61D80FC7"/>
    <w:rsid w:val="61E33148"/>
    <w:rsid w:val="61EB1D46"/>
    <w:rsid w:val="61FF1DCD"/>
    <w:rsid w:val="620F5E0E"/>
    <w:rsid w:val="6215352D"/>
    <w:rsid w:val="622324D6"/>
    <w:rsid w:val="62246687"/>
    <w:rsid w:val="62264FF6"/>
    <w:rsid w:val="62355ABE"/>
    <w:rsid w:val="624443CC"/>
    <w:rsid w:val="625379F3"/>
    <w:rsid w:val="625F1916"/>
    <w:rsid w:val="626058A9"/>
    <w:rsid w:val="627002FC"/>
    <w:rsid w:val="627A4079"/>
    <w:rsid w:val="62AC2443"/>
    <w:rsid w:val="62B0741E"/>
    <w:rsid w:val="62BE7C14"/>
    <w:rsid w:val="62C165DD"/>
    <w:rsid w:val="62CB7263"/>
    <w:rsid w:val="62DA0E37"/>
    <w:rsid w:val="62DB4EDF"/>
    <w:rsid w:val="62DD1B78"/>
    <w:rsid w:val="62DE182A"/>
    <w:rsid w:val="62E32931"/>
    <w:rsid w:val="62E609AF"/>
    <w:rsid w:val="62EE2350"/>
    <w:rsid w:val="62F62D17"/>
    <w:rsid w:val="63076198"/>
    <w:rsid w:val="631619EE"/>
    <w:rsid w:val="63197191"/>
    <w:rsid w:val="632F1AEC"/>
    <w:rsid w:val="6332257C"/>
    <w:rsid w:val="63393250"/>
    <w:rsid w:val="633F7B08"/>
    <w:rsid w:val="63415C65"/>
    <w:rsid w:val="63534332"/>
    <w:rsid w:val="635C2933"/>
    <w:rsid w:val="635C3D24"/>
    <w:rsid w:val="635E2BE0"/>
    <w:rsid w:val="63636EB0"/>
    <w:rsid w:val="636C3444"/>
    <w:rsid w:val="63777076"/>
    <w:rsid w:val="637E241F"/>
    <w:rsid w:val="63836FE7"/>
    <w:rsid w:val="63840FA0"/>
    <w:rsid w:val="63907C89"/>
    <w:rsid w:val="6398788F"/>
    <w:rsid w:val="63A07392"/>
    <w:rsid w:val="63A15013"/>
    <w:rsid w:val="63A71D99"/>
    <w:rsid w:val="63A857C6"/>
    <w:rsid w:val="63C079C8"/>
    <w:rsid w:val="63C41718"/>
    <w:rsid w:val="63C50CA4"/>
    <w:rsid w:val="63D53F5A"/>
    <w:rsid w:val="63DA198A"/>
    <w:rsid w:val="63EC42CE"/>
    <w:rsid w:val="63F15D77"/>
    <w:rsid w:val="63FD3C8B"/>
    <w:rsid w:val="64060E58"/>
    <w:rsid w:val="64086BE0"/>
    <w:rsid w:val="640E1042"/>
    <w:rsid w:val="64103871"/>
    <w:rsid w:val="64210CCB"/>
    <w:rsid w:val="64217B8D"/>
    <w:rsid w:val="6446311F"/>
    <w:rsid w:val="6449081E"/>
    <w:rsid w:val="6455400F"/>
    <w:rsid w:val="64572E6D"/>
    <w:rsid w:val="64593DFA"/>
    <w:rsid w:val="645A1DAF"/>
    <w:rsid w:val="645B1206"/>
    <w:rsid w:val="645E5D2E"/>
    <w:rsid w:val="646D06C4"/>
    <w:rsid w:val="646E2EB8"/>
    <w:rsid w:val="646F3E18"/>
    <w:rsid w:val="647E7E08"/>
    <w:rsid w:val="64830F69"/>
    <w:rsid w:val="64931F11"/>
    <w:rsid w:val="649A0ABA"/>
    <w:rsid w:val="64AB6DAD"/>
    <w:rsid w:val="64AC4B27"/>
    <w:rsid w:val="64AF3FF1"/>
    <w:rsid w:val="64B23CB6"/>
    <w:rsid w:val="64BC17BB"/>
    <w:rsid w:val="64BD2338"/>
    <w:rsid w:val="64C427EC"/>
    <w:rsid w:val="64D77EEC"/>
    <w:rsid w:val="64DA391C"/>
    <w:rsid w:val="64DF0B2B"/>
    <w:rsid w:val="64E301FD"/>
    <w:rsid w:val="64F1178E"/>
    <w:rsid w:val="64FC5F3B"/>
    <w:rsid w:val="65111636"/>
    <w:rsid w:val="651D0BB5"/>
    <w:rsid w:val="652C1CD6"/>
    <w:rsid w:val="652D1935"/>
    <w:rsid w:val="65404114"/>
    <w:rsid w:val="655532F7"/>
    <w:rsid w:val="65705687"/>
    <w:rsid w:val="65783306"/>
    <w:rsid w:val="657F76F2"/>
    <w:rsid w:val="658247E4"/>
    <w:rsid w:val="65827F06"/>
    <w:rsid w:val="658436AB"/>
    <w:rsid w:val="65851ECA"/>
    <w:rsid w:val="658C75DF"/>
    <w:rsid w:val="659C3613"/>
    <w:rsid w:val="659D195E"/>
    <w:rsid w:val="659F0550"/>
    <w:rsid w:val="65A37DBC"/>
    <w:rsid w:val="65AB71D2"/>
    <w:rsid w:val="65AD3140"/>
    <w:rsid w:val="65B540D9"/>
    <w:rsid w:val="65C1767E"/>
    <w:rsid w:val="65D122BF"/>
    <w:rsid w:val="65D57E0E"/>
    <w:rsid w:val="65D61B1A"/>
    <w:rsid w:val="65D7651B"/>
    <w:rsid w:val="65E03D80"/>
    <w:rsid w:val="65E3601A"/>
    <w:rsid w:val="65E62ED8"/>
    <w:rsid w:val="65EB6C6F"/>
    <w:rsid w:val="65F10948"/>
    <w:rsid w:val="65F35F04"/>
    <w:rsid w:val="6601485A"/>
    <w:rsid w:val="66046B4E"/>
    <w:rsid w:val="6615758F"/>
    <w:rsid w:val="66196ECC"/>
    <w:rsid w:val="662D4566"/>
    <w:rsid w:val="66304E17"/>
    <w:rsid w:val="663E460A"/>
    <w:rsid w:val="6657159A"/>
    <w:rsid w:val="665D343F"/>
    <w:rsid w:val="665E5D15"/>
    <w:rsid w:val="66644753"/>
    <w:rsid w:val="66694836"/>
    <w:rsid w:val="666E4B39"/>
    <w:rsid w:val="66727DB4"/>
    <w:rsid w:val="66760BD7"/>
    <w:rsid w:val="669361A9"/>
    <w:rsid w:val="66981796"/>
    <w:rsid w:val="66A3333B"/>
    <w:rsid w:val="66A43DB4"/>
    <w:rsid w:val="66A71C88"/>
    <w:rsid w:val="66EE6FD6"/>
    <w:rsid w:val="66F35B61"/>
    <w:rsid w:val="6703713B"/>
    <w:rsid w:val="670F2CA0"/>
    <w:rsid w:val="6710438A"/>
    <w:rsid w:val="67155466"/>
    <w:rsid w:val="671F4472"/>
    <w:rsid w:val="672B629B"/>
    <w:rsid w:val="672F1E85"/>
    <w:rsid w:val="6768274A"/>
    <w:rsid w:val="677364EC"/>
    <w:rsid w:val="67750ABD"/>
    <w:rsid w:val="678122F4"/>
    <w:rsid w:val="678D736E"/>
    <w:rsid w:val="678E2725"/>
    <w:rsid w:val="679B08DF"/>
    <w:rsid w:val="67A40605"/>
    <w:rsid w:val="67A4786A"/>
    <w:rsid w:val="67A7026C"/>
    <w:rsid w:val="67CF0021"/>
    <w:rsid w:val="67D742CB"/>
    <w:rsid w:val="67DE0D83"/>
    <w:rsid w:val="67DF1078"/>
    <w:rsid w:val="67EF03F0"/>
    <w:rsid w:val="67F17257"/>
    <w:rsid w:val="68027B8F"/>
    <w:rsid w:val="680728BA"/>
    <w:rsid w:val="680817AE"/>
    <w:rsid w:val="68206398"/>
    <w:rsid w:val="682279B0"/>
    <w:rsid w:val="68231AA6"/>
    <w:rsid w:val="6832387B"/>
    <w:rsid w:val="683B523E"/>
    <w:rsid w:val="684405CC"/>
    <w:rsid w:val="6844104D"/>
    <w:rsid w:val="68496D13"/>
    <w:rsid w:val="68503BF2"/>
    <w:rsid w:val="68513875"/>
    <w:rsid w:val="68692696"/>
    <w:rsid w:val="688D2B33"/>
    <w:rsid w:val="689C79FC"/>
    <w:rsid w:val="689D6171"/>
    <w:rsid w:val="68A87DD3"/>
    <w:rsid w:val="68AA72DB"/>
    <w:rsid w:val="68AD4BCE"/>
    <w:rsid w:val="68CC3DE0"/>
    <w:rsid w:val="68CE14E2"/>
    <w:rsid w:val="68E324DC"/>
    <w:rsid w:val="68EA6E38"/>
    <w:rsid w:val="68F6776E"/>
    <w:rsid w:val="690A2A6D"/>
    <w:rsid w:val="69142C71"/>
    <w:rsid w:val="69172F0A"/>
    <w:rsid w:val="69214729"/>
    <w:rsid w:val="6922067B"/>
    <w:rsid w:val="69321A61"/>
    <w:rsid w:val="694A4E99"/>
    <w:rsid w:val="69520496"/>
    <w:rsid w:val="695C6610"/>
    <w:rsid w:val="696449B4"/>
    <w:rsid w:val="69695B9C"/>
    <w:rsid w:val="696A640D"/>
    <w:rsid w:val="697164A6"/>
    <w:rsid w:val="69792ADF"/>
    <w:rsid w:val="699A2A0E"/>
    <w:rsid w:val="699C354E"/>
    <w:rsid w:val="69A311FE"/>
    <w:rsid w:val="69B311E0"/>
    <w:rsid w:val="69CB25F8"/>
    <w:rsid w:val="69DF1C8C"/>
    <w:rsid w:val="69E42E40"/>
    <w:rsid w:val="69E9611D"/>
    <w:rsid w:val="69F149EA"/>
    <w:rsid w:val="69FE5BB5"/>
    <w:rsid w:val="6A0C66E5"/>
    <w:rsid w:val="6A137278"/>
    <w:rsid w:val="6A15629A"/>
    <w:rsid w:val="6A1B4786"/>
    <w:rsid w:val="6A25691C"/>
    <w:rsid w:val="6A2E45BB"/>
    <w:rsid w:val="6A362A0F"/>
    <w:rsid w:val="6A55282D"/>
    <w:rsid w:val="6A6447E5"/>
    <w:rsid w:val="6A76433A"/>
    <w:rsid w:val="6A7A4451"/>
    <w:rsid w:val="6A7D22D8"/>
    <w:rsid w:val="6A81547A"/>
    <w:rsid w:val="6A930F1A"/>
    <w:rsid w:val="6A9339C4"/>
    <w:rsid w:val="6A94212E"/>
    <w:rsid w:val="6A9D0F09"/>
    <w:rsid w:val="6AA831C5"/>
    <w:rsid w:val="6AB271BF"/>
    <w:rsid w:val="6AB303A3"/>
    <w:rsid w:val="6AB37396"/>
    <w:rsid w:val="6AB978A5"/>
    <w:rsid w:val="6ACF11A8"/>
    <w:rsid w:val="6AD47CD9"/>
    <w:rsid w:val="6ADA325C"/>
    <w:rsid w:val="6ADD01AA"/>
    <w:rsid w:val="6AF25534"/>
    <w:rsid w:val="6AF76936"/>
    <w:rsid w:val="6AF9322F"/>
    <w:rsid w:val="6AFB08D2"/>
    <w:rsid w:val="6B0344BB"/>
    <w:rsid w:val="6B0530ED"/>
    <w:rsid w:val="6B103135"/>
    <w:rsid w:val="6B1A45E2"/>
    <w:rsid w:val="6B277907"/>
    <w:rsid w:val="6B296584"/>
    <w:rsid w:val="6B322D81"/>
    <w:rsid w:val="6B340849"/>
    <w:rsid w:val="6B3928B6"/>
    <w:rsid w:val="6B462CE0"/>
    <w:rsid w:val="6B4F273B"/>
    <w:rsid w:val="6B514E1B"/>
    <w:rsid w:val="6B577EAB"/>
    <w:rsid w:val="6B6432ED"/>
    <w:rsid w:val="6B786F8B"/>
    <w:rsid w:val="6B866978"/>
    <w:rsid w:val="6B891E19"/>
    <w:rsid w:val="6B941FCC"/>
    <w:rsid w:val="6B9D3663"/>
    <w:rsid w:val="6B9E2231"/>
    <w:rsid w:val="6BA935C4"/>
    <w:rsid w:val="6BC43F1F"/>
    <w:rsid w:val="6BC91D6E"/>
    <w:rsid w:val="6BD839B0"/>
    <w:rsid w:val="6BDB5C94"/>
    <w:rsid w:val="6BDB6090"/>
    <w:rsid w:val="6BDC1899"/>
    <w:rsid w:val="6BED3CC8"/>
    <w:rsid w:val="6BF07518"/>
    <w:rsid w:val="6C040C2B"/>
    <w:rsid w:val="6C122656"/>
    <w:rsid w:val="6C1B696A"/>
    <w:rsid w:val="6C285280"/>
    <w:rsid w:val="6C2B4CD0"/>
    <w:rsid w:val="6C394A87"/>
    <w:rsid w:val="6C396A79"/>
    <w:rsid w:val="6C3B6833"/>
    <w:rsid w:val="6C3E677A"/>
    <w:rsid w:val="6C4F610C"/>
    <w:rsid w:val="6C7B5E0B"/>
    <w:rsid w:val="6C7F69A8"/>
    <w:rsid w:val="6C8E5586"/>
    <w:rsid w:val="6C9E52CA"/>
    <w:rsid w:val="6CA21347"/>
    <w:rsid w:val="6CAE06F8"/>
    <w:rsid w:val="6CB12C8C"/>
    <w:rsid w:val="6CB32FFA"/>
    <w:rsid w:val="6CB973DE"/>
    <w:rsid w:val="6CC3557E"/>
    <w:rsid w:val="6CC96B43"/>
    <w:rsid w:val="6CDE1346"/>
    <w:rsid w:val="6CEA65C7"/>
    <w:rsid w:val="6CF648CC"/>
    <w:rsid w:val="6D0336F9"/>
    <w:rsid w:val="6D064EC8"/>
    <w:rsid w:val="6D260C96"/>
    <w:rsid w:val="6D36300F"/>
    <w:rsid w:val="6D413F66"/>
    <w:rsid w:val="6D434685"/>
    <w:rsid w:val="6D4836EB"/>
    <w:rsid w:val="6D9F0301"/>
    <w:rsid w:val="6DB678CB"/>
    <w:rsid w:val="6DBD23B8"/>
    <w:rsid w:val="6DC30087"/>
    <w:rsid w:val="6DE35E23"/>
    <w:rsid w:val="6DEC597F"/>
    <w:rsid w:val="6DF450FF"/>
    <w:rsid w:val="6DF46255"/>
    <w:rsid w:val="6DFC5EAD"/>
    <w:rsid w:val="6E1A4D22"/>
    <w:rsid w:val="6E2D02DD"/>
    <w:rsid w:val="6E2E476A"/>
    <w:rsid w:val="6E4C5B50"/>
    <w:rsid w:val="6E642863"/>
    <w:rsid w:val="6E923D3F"/>
    <w:rsid w:val="6EA16762"/>
    <w:rsid w:val="6EAF0BF3"/>
    <w:rsid w:val="6EBE1A41"/>
    <w:rsid w:val="6EC0731A"/>
    <w:rsid w:val="6EC529FD"/>
    <w:rsid w:val="6EF07EC9"/>
    <w:rsid w:val="6EFB632C"/>
    <w:rsid w:val="6F0714A5"/>
    <w:rsid w:val="6F0E30D9"/>
    <w:rsid w:val="6F183C2E"/>
    <w:rsid w:val="6F1A7F51"/>
    <w:rsid w:val="6F264D12"/>
    <w:rsid w:val="6F290204"/>
    <w:rsid w:val="6F2C7DCC"/>
    <w:rsid w:val="6F2D30A9"/>
    <w:rsid w:val="6F322600"/>
    <w:rsid w:val="6F3327D0"/>
    <w:rsid w:val="6F33787F"/>
    <w:rsid w:val="6F345DA1"/>
    <w:rsid w:val="6F35675E"/>
    <w:rsid w:val="6F45623B"/>
    <w:rsid w:val="6F460A3C"/>
    <w:rsid w:val="6F461E62"/>
    <w:rsid w:val="6F4A0249"/>
    <w:rsid w:val="6F5233AC"/>
    <w:rsid w:val="6F536E13"/>
    <w:rsid w:val="6F67541A"/>
    <w:rsid w:val="6F7C2D15"/>
    <w:rsid w:val="6F7F634F"/>
    <w:rsid w:val="6F817ABF"/>
    <w:rsid w:val="6F852C45"/>
    <w:rsid w:val="6F861E4D"/>
    <w:rsid w:val="6F944884"/>
    <w:rsid w:val="6F9B66B7"/>
    <w:rsid w:val="6F9F2391"/>
    <w:rsid w:val="6FA61111"/>
    <w:rsid w:val="6FB552C1"/>
    <w:rsid w:val="6FB707C0"/>
    <w:rsid w:val="6FB813DA"/>
    <w:rsid w:val="6FBD2CF9"/>
    <w:rsid w:val="6FC43F33"/>
    <w:rsid w:val="6FCA5E05"/>
    <w:rsid w:val="6FD511D2"/>
    <w:rsid w:val="6FF87E02"/>
    <w:rsid w:val="6FFE0C27"/>
    <w:rsid w:val="6FFF1D0E"/>
    <w:rsid w:val="70023EF4"/>
    <w:rsid w:val="700C0DDB"/>
    <w:rsid w:val="700C30E5"/>
    <w:rsid w:val="70234C2A"/>
    <w:rsid w:val="702E6608"/>
    <w:rsid w:val="7031537B"/>
    <w:rsid w:val="7035627A"/>
    <w:rsid w:val="703774A1"/>
    <w:rsid w:val="703C60B0"/>
    <w:rsid w:val="704824E5"/>
    <w:rsid w:val="704D6F6E"/>
    <w:rsid w:val="704E6356"/>
    <w:rsid w:val="70536C3C"/>
    <w:rsid w:val="706106E9"/>
    <w:rsid w:val="706F6846"/>
    <w:rsid w:val="70716992"/>
    <w:rsid w:val="70816334"/>
    <w:rsid w:val="709A06F7"/>
    <w:rsid w:val="709C5A9C"/>
    <w:rsid w:val="709F599B"/>
    <w:rsid w:val="70A02966"/>
    <w:rsid w:val="70A316C1"/>
    <w:rsid w:val="70A64BAB"/>
    <w:rsid w:val="70B369E3"/>
    <w:rsid w:val="70BF18F1"/>
    <w:rsid w:val="70C44BE7"/>
    <w:rsid w:val="70C65C06"/>
    <w:rsid w:val="70C84DF3"/>
    <w:rsid w:val="70C942BC"/>
    <w:rsid w:val="70CE1848"/>
    <w:rsid w:val="70D94197"/>
    <w:rsid w:val="70EC3566"/>
    <w:rsid w:val="70F96E79"/>
    <w:rsid w:val="70FF6A13"/>
    <w:rsid w:val="7115523A"/>
    <w:rsid w:val="711B525A"/>
    <w:rsid w:val="712D47C3"/>
    <w:rsid w:val="712E0FDD"/>
    <w:rsid w:val="7133503F"/>
    <w:rsid w:val="7138443C"/>
    <w:rsid w:val="713C3926"/>
    <w:rsid w:val="715E10D1"/>
    <w:rsid w:val="71644260"/>
    <w:rsid w:val="716B6DA7"/>
    <w:rsid w:val="7170132E"/>
    <w:rsid w:val="717F6036"/>
    <w:rsid w:val="718423DB"/>
    <w:rsid w:val="71A62743"/>
    <w:rsid w:val="71AB0D49"/>
    <w:rsid w:val="71B11300"/>
    <w:rsid w:val="71B41465"/>
    <w:rsid w:val="71C54CF1"/>
    <w:rsid w:val="71C903BF"/>
    <w:rsid w:val="71C94930"/>
    <w:rsid w:val="71DD3962"/>
    <w:rsid w:val="71F540EF"/>
    <w:rsid w:val="71FF7992"/>
    <w:rsid w:val="72107D9F"/>
    <w:rsid w:val="721643D1"/>
    <w:rsid w:val="72232265"/>
    <w:rsid w:val="72263B15"/>
    <w:rsid w:val="72402198"/>
    <w:rsid w:val="72412528"/>
    <w:rsid w:val="724128C6"/>
    <w:rsid w:val="724441A8"/>
    <w:rsid w:val="724D02ED"/>
    <w:rsid w:val="72595B49"/>
    <w:rsid w:val="726F6D5C"/>
    <w:rsid w:val="7275483D"/>
    <w:rsid w:val="72765C32"/>
    <w:rsid w:val="728E5B8B"/>
    <w:rsid w:val="72906E04"/>
    <w:rsid w:val="729F1235"/>
    <w:rsid w:val="729F77E1"/>
    <w:rsid w:val="72A102BB"/>
    <w:rsid w:val="72B478D1"/>
    <w:rsid w:val="72B47B95"/>
    <w:rsid w:val="72BF79CF"/>
    <w:rsid w:val="72C7434F"/>
    <w:rsid w:val="72DE2745"/>
    <w:rsid w:val="72E054B1"/>
    <w:rsid w:val="72E607CB"/>
    <w:rsid w:val="72EA4FFC"/>
    <w:rsid w:val="72FE7918"/>
    <w:rsid w:val="73047A73"/>
    <w:rsid w:val="73114E7C"/>
    <w:rsid w:val="73156D94"/>
    <w:rsid w:val="7318429A"/>
    <w:rsid w:val="732D5CDB"/>
    <w:rsid w:val="73334648"/>
    <w:rsid w:val="734D4252"/>
    <w:rsid w:val="73555484"/>
    <w:rsid w:val="737B6E01"/>
    <w:rsid w:val="738B68E0"/>
    <w:rsid w:val="738D3F2F"/>
    <w:rsid w:val="7391660C"/>
    <w:rsid w:val="739E52C3"/>
    <w:rsid w:val="73A45FC4"/>
    <w:rsid w:val="73AA6454"/>
    <w:rsid w:val="73AB73FF"/>
    <w:rsid w:val="73C26A0C"/>
    <w:rsid w:val="73CE552C"/>
    <w:rsid w:val="73CF3490"/>
    <w:rsid w:val="73DA682A"/>
    <w:rsid w:val="73F50B4E"/>
    <w:rsid w:val="740510C6"/>
    <w:rsid w:val="74196000"/>
    <w:rsid w:val="7427607C"/>
    <w:rsid w:val="74586E75"/>
    <w:rsid w:val="746077C0"/>
    <w:rsid w:val="747A4689"/>
    <w:rsid w:val="748616D3"/>
    <w:rsid w:val="749909AF"/>
    <w:rsid w:val="74A04908"/>
    <w:rsid w:val="74A07CEC"/>
    <w:rsid w:val="74A940DE"/>
    <w:rsid w:val="74AC43EA"/>
    <w:rsid w:val="74BA5741"/>
    <w:rsid w:val="74C462AD"/>
    <w:rsid w:val="74C46333"/>
    <w:rsid w:val="74C9141D"/>
    <w:rsid w:val="74DA056B"/>
    <w:rsid w:val="74EA4752"/>
    <w:rsid w:val="74EE476F"/>
    <w:rsid w:val="74FA1A86"/>
    <w:rsid w:val="750C07C0"/>
    <w:rsid w:val="750E7294"/>
    <w:rsid w:val="7512566A"/>
    <w:rsid w:val="75150800"/>
    <w:rsid w:val="75201419"/>
    <w:rsid w:val="75235EAD"/>
    <w:rsid w:val="752524C3"/>
    <w:rsid w:val="752A4FEA"/>
    <w:rsid w:val="752E62B7"/>
    <w:rsid w:val="753303E3"/>
    <w:rsid w:val="75342C09"/>
    <w:rsid w:val="753A14EF"/>
    <w:rsid w:val="75467961"/>
    <w:rsid w:val="75607745"/>
    <w:rsid w:val="75632990"/>
    <w:rsid w:val="75662603"/>
    <w:rsid w:val="7567515E"/>
    <w:rsid w:val="756763C0"/>
    <w:rsid w:val="75733B41"/>
    <w:rsid w:val="758C63AD"/>
    <w:rsid w:val="758D5366"/>
    <w:rsid w:val="7590597C"/>
    <w:rsid w:val="759A1FF9"/>
    <w:rsid w:val="75A05D4D"/>
    <w:rsid w:val="75F24E3F"/>
    <w:rsid w:val="75FD3550"/>
    <w:rsid w:val="75FE013E"/>
    <w:rsid w:val="76066D64"/>
    <w:rsid w:val="76073E2F"/>
    <w:rsid w:val="760A5457"/>
    <w:rsid w:val="761C35EB"/>
    <w:rsid w:val="761D10F5"/>
    <w:rsid w:val="76206BF8"/>
    <w:rsid w:val="76217E36"/>
    <w:rsid w:val="762348EF"/>
    <w:rsid w:val="763358B6"/>
    <w:rsid w:val="764351DD"/>
    <w:rsid w:val="764470CE"/>
    <w:rsid w:val="764D5B5A"/>
    <w:rsid w:val="76632F71"/>
    <w:rsid w:val="76667CCC"/>
    <w:rsid w:val="76706ECF"/>
    <w:rsid w:val="767D62A9"/>
    <w:rsid w:val="767F4BED"/>
    <w:rsid w:val="7690759B"/>
    <w:rsid w:val="76914810"/>
    <w:rsid w:val="76A044CE"/>
    <w:rsid w:val="76A9542E"/>
    <w:rsid w:val="76AA10FD"/>
    <w:rsid w:val="76B35FF5"/>
    <w:rsid w:val="76B878EB"/>
    <w:rsid w:val="76BB1322"/>
    <w:rsid w:val="76CE1B1D"/>
    <w:rsid w:val="76CE44E2"/>
    <w:rsid w:val="76D0048F"/>
    <w:rsid w:val="76D222A7"/>
    <w:rsid w:val="76D57902"/>
    <w:rsid w:val="76DB2223"/>
    <w:rsid w:val="76E625D6"/>
    <w:rsid w:val="76EE647F"/>
    <w:rsid w:val="76F679B7"/>
    <w:rsid w:val="77081635"/>
    <w:rsid w:val="77127D5F"/>
    <w:rsid w:val="77135A93"/>
    <w:rsid w:val="771C2CB9"/>
    <w:rsid w:val="77223989"/>
    <w:rsid w:val="772445FD"/>
    <w:rsid w:val="772A243C"/>
    <w:rsid w:val="77334555"/>
    <w:rsid w:val="77397AF3"/>
    <w:rsid w:val="773E41EC"/>
    <w:rsid w:val="775F7ED4"/>
    <w:rsid w:val="77602396"/>
    <w:rsid w:val="77660E84"/>
    <w:rsid w:val="777109FF"/>
    <w:rsid w:val="7774505B"/>
    <w:rsid w:val="777520F0"/>
    <w:rsid w:val="77790B86"/>
    <w:rsid w:val="77865529"/>
    <w:rsid w:val="77A05409"/>
    <w:rsid w:val="77A116E4"/>
    <w:rsid w:val="77A14537"/>
    <w:rsid w:val="77A25E80"/>
    <w:rsid w:val="77AA0850"/>
    <w:rsid w:val="77AF7330"/>
    <w:rsid w:val="77B925A6"/>
    <w:rsid w:val="77BC3C32"/>
    <w:rsid w:val="77BC6EFE"/>
    <w:rsid w:val="77CE5F93"/>
    <w:rsid w:val="77D74233"/>
    <w:rsid w:val="77D873B8"/>
    <w:rsid w:val="77E63BD8"/>
    <w:rsid w:val="77F3388A"/>
    <w:rsid w:val="77F8507F"/>
    <w:rsid w:val="78024CAA"/>
    <w:rsid w:val="780E1489"/>
    <w:rsid w:val="78107604"/>
    <w:rsid w:val="78192C2A"/>
    <w:rsid w:val="782E7B78"/>
    <w:rsid w:val="78390651"/>
    <w:rsid w:val="7847671C"/>
    <w:rsid w:val="785100AD"/>
    <w:rsid w:val="785D207F"/>
    <w:rsid w:val="785F3F4E"/>
    <w:rsid w:val="786666E0"/>
    <w:rsid w:val="786A1C66"/>
    <w:rsid w:val="786A5DDD"/>
    <w:rsid w:val="7873085C"/>
    <w:rsid w:val="78825341"/>
    <w:rsid w:val="7884737B"/>
    <w:rsid w:val="788530DA"/>
    <w:rsid w:val="78860546"/>
    <w:rsid w:val="788900E3"/>
    <w:rsid w:val="78907BEC"/>
    <w:rsid w:val="789869F2"/>
    <w:rsid w:val="78A1579C"/>
    <w:rsid w:val="78A43C9F"/>
    <w:rsid w:val="78A57541"/>
    <w:rsid w:val="78B24F86"/>
    <w:rsid w:val="78B26191"/>
    <w:rsid w:val="78B91E23"/>
    <w:rsid w:val="78BA7E4F"/>
    <w:rsid w:val="78D179BD"/>
    <w:rsid w:val="78F70794"/>
    <w:rsid w:val="78FE1436"/>
    <w:rsid w:val="78FF5ADA"/>
    <w:rsid w:val="790615DD"/>
    <w:rsid w:val="790B19DC"/>
    <w:rsid w:val="7910114E"/>
    <w:rsid w:val="791909DD"/>
    <w:rsid w:val="7919794D"/>
    <w:rsid w:val="79297F54"/>
    <w:rsid w:val="79353CEE"/>
    <w:rsid w:val="793762C5"/>
    <w:rsid w:val="793B32B4"/>
    <w:rsid w:val="79475B93"/>
    <w:rsid w:val="795433A4"/>
    <w:rsid w:val="79660D5F"/>
    <w:rsid w:val="79666829"/>
    <w:rsid w:val="796B7191"/>
    <w:rsid w:val="796F0574"/>
    <w:rsid w:val="797B664A"/>
    <w:rsid w:val="7985035C"/>
    <w:rsid w:val="798E52BC"/>
    <w:rsid w:val="799C0111"/>
    <w:rsid w:val="799D4319"/>
    <w:rsid w:val="799F189F"/>
    <w:rsid w:val="79A33C3A"/>
    <w:rsid w:val="79A43C91"/>
    <w:rsid w:val="79A95071"/>
    <w:rsid w:val="79AC38BC"/>
    <w:rsid w:val="79AC7B66"/>
    <w:rsid w:val="79C128E4"/>
    <w:rsid w:val="79C911C2"/>
    <w:rsid w:val="79CE67DB"/>
    <w:rsid w:val="79D6563F"/>
    <w:rsid w:val="79D838BA"/>
    <w:rsid w:val="79F620AD"/>
    <w:rsid w:val="79F649EE"/>
    <w:rsid w:val="79FB25B1"/>
    <w:rsid w:val="7A0C0F31"/>
    <w:rsid w:val="7A0F38B5"/>
    <w:rsid w:val="7A101D0D"/>
    <w:rsid w:val="7A120C0C"/>
    <w:rsid w:val="7A1C44DD"/>
    <w:rsid w:val="7A1C66FB"/>
    <w:rsid w:val="7A2E68F6"/>
    <w:rsid w:val="7A396E1F"/>
    <w:rsid w:val="7A4C5A3B"/>
    <w:rsid w:val="7A5339A0"/>
    <w:rsid w:val="7A5B05B6"/>
    <w:rsid w:val="7A630172"/>
    <w:rsid w:val="7A631309"/>
    <w:rsid w:val="7A921E21"/>
    <w:rsid w:val="7AA03F00"/>
    <w:rsid w:val="7AA91090"/>
    <w:rsid w:val="7AAE0490"/>
    <w:rsid w:val="7AB900AB"/>
    <w:rsid w:val="7AD22A12"/>
    <w:rsid w:val="7AD41622"/>
    <w:rsid w:val="7ADE3173"/>
    <w:rsid w:val="7AE85D98"/>
    <w:rsid w:val="7AEB5162"/>
    <w:rsid w:val="7AED5C05"/>
    <w:rsid w:val="7AF94986"/>
    <w:rsid w:val="7AFE39BA"/>
    <w:rsid w:val="7B232943"/>
    <w:rsid w:val="7B407DF2"/>
    <w:rsid w:val="7B46015A"/>
    <w:rsid w:val="7B553B77"/>
    <w:rsid w:val="7B553CD4"/>
    <w:rsid w:val="7B577614"/>
    <w:rsid w:val="7B5B56F4"/>
    <w:rsid w:val="7B5E0DB7"/>
    <w:rsid w:val="7B5F4FA3"/>
    <w:rsid w:val="7B682767"/>
    <w:rsid w:val="7B6B63B3"/>
    <w:rsid w:val="7B6D2EE4"/>
    <w:rsid w:val="7B721623"/>
    <w:rsid w:val="7B77357A"/>
    <w:rsid w:val="7B81467A"/>
    <w:rsid w:val="7B8222D7"/>
    <w:rsid w:val="7B827C63"/>
    <w:rsid w:val="7B830CED"/>
    <w:rsid w:val="7B864D11"/>
    <w:rsid w:val="7B8C69E6"/>
    <w:rsid w:val="7B8F38AD"/>
    <w:rsid w:val="7BA76A30"/>
    <w:rsid w:val="7BAB12DE"/>
    <w:rsid w:val="7BAF2CBB"/>
    <w:rsid w:val="7BC24390"/>
    <w:rsid w:val="7BC5165B"/>
    <w:rsid w:val="7BCF2869"/>
    <w:rsid w:val="7BCF6C15"/>
    <w:rsid w:val="7BD90D2F"/>
    <w:rsid w:val="7BDC50B8"/>
    <w:rsid w:val="7BE10C35"/>
    <w:rsid w:val="7BE450B6"/>
    <w:rsid w:val="7BE903F1"/>
    <w:rsid w:val="7BEF1C83"/>
    <w:rsid w:val="7C0229E6"/>
    <w:rsid w:val="7C04625C"/>
    <w:rsid w:val="7C075762"/>
    <w:rsid w:val="7C095B24"/>
    <w:rsid w:val="7C2D166E"/>
    <w:rsid w:val="7C3004E9"/>
    <w:rsid w:val="7C402DC0"/>
    <w:rsid w:val="7C42146D"/>
    <w:rsid w:val="7C431890"/>
    <w:rsid w:val="7C455A03"/>
    <w:rsid w:val="7C46358F"/>
    <w:rsid w:val="7C5235E8"/>
    <w:rsid w:val="7C560E66"/>
    <w:rsid w:val="7C5A69A9"/>
    <w:rsid w:val="7C86627E"/>
    <w:rsid w:val="7C902C69"/>
    <w:rsid w:val="7C9219F0"/>
    <w:rsid w:val="7C9B5E75"/>
    <w:rsid w:val="7C9E1DC2"/>
    <w:rsid w:val="7CA51C14"/>
    <w:rsid w:val="7CB1607B"/>
    <w:rsid w:val="7CB22A7F"/>
    <w:rsid w:val="7CB86601"/>
    <w:rsid w:val="7CCC5DCB"/>
    <w:rsid w:val="7CD5443E"/>
    <w:rsid w:val="7CD87C72"/>
    <w:rsid w:val="7CE713DA"/>
    <w:rsid w:val="7CFD4F92"/>
    <w:rsid w:val="7D165668"/>
    <w:rsid w:val="7D1E7890"/>
    <w:rsid w:val="7D272F8B"/>
    <w:rsid w:val="7D296B44"/>
    <w:rsid w:val="7D2D63C4"/>
    <w:rsid w:val="7D3527F4"/>
    <w:rsid w:val="7D3828C0"/>
    <w:rsid w:val="7D3B7807"/>
    <w:rsid w:val="7D3D61DC"/>
    <w:rsid w:val="7D472501"/>
    <w:rsid w:val="7D6F4AB7"/>
    <w:rsid w:val="7D8218FC"/>
    <w:rsid w:val="7D8F6E98"/>
    <w:rsid w:val="7D9B5AE7"/>
    <w:rsid w:val="7D9D7BD9"/>
    <w:rsid w:val="7D9F6383"/>
    <w:rsid w:val="7DAC3944"/>
    <w:rsid w:val="7DB75882"/>
    <w:rsid w:val="7DBB11DB"/>
    <w:rsid w:val="7DCC0A2B"/>
    <w:rsid w:val="7DCC5093"/>
    <w:rsid w:val="7DD33820"/>
    <w:rsid w:val="7DD94AF6"/>
    <w:rsid w:val="7DEF2BA0"/>
    <w:rsid w:val="7DF41B1B"/>
    <w:rsid w:val="7DFA31D3"/>
    <w:rsid w:val="7E0361AC"/>
    <w:rsid w:val="7E0B01EB"/>
    <w:rsid w:val="7E0D256D"/>
    <w:rsid w:val="7E0E521A"/>
    <w:rsid w:val="7E122526"/>
    <w:rsid w:val="7E142131"/>
    <w:rsid w:val="7E29173D"/>
    <w:rsid w:val="7E29625B"/>
    <w:rsid w:val="7E2A5025"/>
    <w:rsid w:val="7E3475ED"/>
    <w:rsid w:val="7E371CBF"/>
    <w:rsid w:val="7E3878B3"/>
    <w:rsid w:val="7E4705DD"/>
    <w:rsid w:val="7E4E20C0"/>
    <w:rsid w:val="7E51187F"/>
    <w:rsid w:val="7E5451F3"/>
    <w:rsid w:val="7E5A49F9"/>
    <w:rsid w:val="7E5D2F33"/>
    <w:rsid w:val="7E6D681F"/>
    <w:rsid w:val="7E742FE5"/>
    <w:rsid w:val="7E9341F9"/>
    <w:rsid w:val="7E9533D1"/>
    <w:rsid w:val="7E977A27"/>
    <w:rsid w:val="7E9E133E"/>
    <w:rsid w:val="7EA42208"/>
    <w:rsid w:val="7EA64774"/>
    <w:rsid w:val="7EB2376F"/>
    <w:rsid w:val="7EB30370"/>
    <w:rsid w:val="7EC6658B"/>
    <w:rsid w:val="7ECF321E"/>
    <w:rsid w:val="7ED376FB"/>
    <w:rsid w:val="7EE61A0F"/>
    <w:rsid w:val="7EEB6599"/>
    <w:rsid w:val="7EF87786"/>
    <w:rsid w:val="7EFC319C"/>
    <w:rsid w:val="7EFE2BE9"/>
    <w:rsid w:val="7F001583"/>
    <w:rsid w:val="7F045366"/>
    <w:rsid w:val="7F064738"/>
    <w:rsid w:val="7F0661BC"/>
    <w:rsid w:val="7F0C4577"/>
    <w:rsid w:val="7F1461EA"/>
    <w:rsid w:val="7F1C2950"/>
    <w:rsid w:val="7F336E18"/>
    <w:rsid w:val="7F344AE7"/>
    <w:rsid w:val="7F39050D"/>
    <w:rsid w:val="7F3F11CB"/>
    <w:rsid w:val="7F484E4F"/>
    <w:rsid w:val="7F4D0362"/>
    <w:rsid w:val="7F580778"/>
    <w:rsid w:val="7F6B0CB3"/>
    <w:rsid w:val="7F6C22EA"/>
    <w:rsid w:val="7F702395"/>
    <w:rsid w:val="7F7E325D"/>
    <w:rsid w:val="7F8128FC"/>
    <w:rsid w:val="7F891A38"/>
    <w:rsid w:val="7F8F0DA3"/>
    <w:rsid w:val="7F953A44"/>
    <w:rsid w:val="7FA32206"/>
    <w:rsid w:val="7FA54BBC"/>
    <w:rsid w:val="7FA67086"/>
    <w:rsid w:val="7FB229EA"/>
    <w:rsid w:val="7FBA461D"/>
    <w:rsid w:val="7FC41AD7"/>
    <w:rsid w:val="7FCD7503"/>
    <w:rsid w:val="7FD51FC5"/>
    <w:rsid w:val="7FE252A4"/>
    <w:rsid w:val="7FE30A57"/>
    <w:rsid w:val="7FE9630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qFormat="1" w:unhideWhenUsed="0"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iPriority="99"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nhideWhenUsed="0" w:uiPriority="0" w:semiHidden="0" w:name="HTML Code"/>
    <w:lsdException w:qFormat="1" w:uiPriority="0" w:name="HTML Definition"/>
    <w:lsdException w:qFormat="1" w:uiPriority="0" w:name="HTML Keyboard"/>
    <w:lsdException w:qFormat="1" w:uiPriority="99" w:semiHidden="0" w:name="HTML Preformatted"/>
    <w:lsdException w:qFormat="1" w:uiPriority="0" w:name="HTML Sample"/>
    <w:lsdException w:qFormat="1" w:uiPriority="0" w:name="HTML Typewriter"/>
    <w:lsdException w:qFormat="1"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9"/>
    <w:qFormat/>
    <w:uiPriority w:val="0"/>
    <w:pPr>
      <w:keepNext/>
      <w:spacing w:before="240" w:after="60"/>
      <w:outlineLvl w:val="0"/>
    </w:pPr>
    <w:rPr>
      <w:rFonts w:ascii="Cambria" w:hAnsi="Cambria"/>
      <w:b/>
      <w:bCs/>
      <w:kern w:val="32"/>
      <w:sz w:val="32"/>
      <w:szCs w:val="32"/>
    </w:rPr>
  </w:style>
  <w:style w:type="paragraph" w:styleId="6">
    <w:name w:val="heading 2"/>
    <w:basedOn w:val="1"/>
    <w:next w:val="1"/>
    <w:link w:val="70"/>
    <w:qFormat/>
    <w:uiPriority w:val="0"/>
    <w:pPr>
      <w:keepNext/>
      <w:keepLines/>
      <w:spacing w:before="260" w:after="260" w:line="413" w:lineRule="auto"/>
      <w:outlineLvl w:val="1"/>
    </w:pPr>
    <w:rPr>
      <w:rFonts w:ascii="Cambria" w:hAnsi="Cambria"/>
      <w:b/>
      <w:bCs/>
      <w:sz w:val="32"/>
      <w:szCs w:val="32"/>
    </w:rPr>
  </w:style>
  <w:style w:type="paragraph" w:styleId="7">
    <w:name w:val="heading 3"/>
    <w:basedOn w:val="1"/>
    <w:next w:val="1"/>
    <w:link w:val="71"/>
    <w:qFormat/>
    <w:uiPriority w:val="0"/>
    <w:pPr>
      <w:widowControl/>
      <w:spacing w:line="360" w:lineRule="auto"/>
      <w:outlineLvl w:val="2"/>
    </w:pPr>
    <w:rPr>
      <w:b/>
      <w:bCs/>
      <w:kern w:val="0"/>
      <w:sz w:val="24"/>
    </w:rPr>
  </w:style>
  <w:style w:type="paragraph" w:styleId="8">
    <w:name w:val="heading 4"/>
    <w:basedOn w:val="1"/>
    <w:next w:val="1"/>
    <w:link w:val="72"/>
    <w:qFormat/>
    <w:uiPriority w:val="0"/>
    <w:pPr>
      <w:keepNext/>
      <w:keepLines/>
      <w:spacing w:line="360" w:lineRule="auto"/>
      <w:outlineLvl w:val="3"/>
    </w:pPr>
    <w:rPr>
      <w:rFonts w:ascii="Arial" w:hAnsi="Arial"/>
      <w:b/>
      <w:bCs/>
      <w:szCs w:val="28"/>
    </w:rPr>
  </w:style>
  <w:style w:type="paragraph" w:styleId="9">
    <w:name w:val="heading 5"/>
    <w:basedOn w:val="1"/>
    <w:next w:val="1"/>
    <w:link w:val="73"/>
    <w:qFormat/>
    <w:uiPriority w:val="0"/>
    <w:pPr>
      <w:keepNext/>
      <w:keepLines/>
      <w:spacing w:before="280" w:after="290" w:line="372" w:lineRule="auto"/>
      <w:outlineLvl w:val="4"/>
    </w:pPr>
    <w:rPr>
      <w:b/>
      <w:bCs/>
      <w:sz w:val="28"/>
      <w:szCs w:val="28"/>
    </w:rPr>
  </w:style>
  <w:style w:type="paragraph" w:styleId="10">
    <w:name w:val="heading 6"/>
    <w:basedOn w:val="1"/>
    <w:next w:val="1"/>
    <w:link w:val="74"/>
    <w:qFormat/>
    <w:uiPriority w:val="0"/>
    <w:pPr>
      <w:keepNext/>
      <w:keepLines/>
      <w:widowControl/>
      <w:tabs>
        <w:tab w:val="left" w:pos="1440"/>
      </w:tabs>
      <w:spacing w:before="240" w:after="64" w:line="317" w:lineRule="auto"/>
      <w:ind w:left="1152" w:hanging="1152"/>
      <w:jc w:val="left"/>
      <w:outlineLvl w:val="5"/>
    </w:pPr>
    <w:rPr>
      <w:rFonts w:ascii="Arial" w:hAnsi="Arial" w:eastAsia="黑体"/>
      <w:b/>
      <w:bCs/>
      <w:kern w:val="0"/>
      <w:sz w:val="24"/>
    </w:rPr>
  </w:style>
  <w:style w:type="paragraph" w:styleId="11">
    <w:name w:val="heading 7"/>
    <w:basedOn w:val="1"/>
    <w:next w:val="1"/>
    <w:link w:val="75"/>
    <w:qFormat/>
    <w:uiPriority w:val="0"/>
    <w:pPr>
      <w:keepNext/>
      <w:keepLines/>
      <w:widowControl/>
      <w:tabs>
        <w:tab w:val="left" w:pos="2520"/>
      </w:tabs>
      <w:spacing w:before="240" w:after="64" w:line="317" w:lineRule="auto"/>
      <w:ind w:left="1296" w:hanging="1296"/>
      <w:jc w:val="left"/>
      <w:outlineLvl w:val="6"/>
    </w:pPr>
    <w:rPr>
      <w:b/>
      <w:bCs/>
      <w:kern w:val="0"/>
      <w:sz w:val="24"/>
    </w:rPr>
  </w:style>
  <w:style w:type="paragraph" w:styleId="12">
    <w:name w:val="heading 8"/>
    <w:basedOn w:val="1"/>
    <w:next w:val="1"/>
    <w:link w:val="76"/>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rPr>
  </w:style>
  <w:style w:type="paragraph" w:styleId="13">
    <w:name w:val="heading 9"/>
    <w:basedOn w:val="1"/>
    <w:next w:val="1"/>
    <w:link w:val="77"/>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szCs w:val="21"/>
    </w:rPr>
  </w:style>
  <w:style w:type="character" w:default="1" w:styleId="49">
    <w:name w:val="Default Paragraph Font"/>
    <w:unhideWhenUsed/>
    <w:qFormat/>
    <w:uiPriority w:val="1"/>
  </w:style>
  <w:style w:type="table" w:default="1" w:styleId="4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309" w:firstLineChars="100"/>
      <w:outlineLvl w:val="0"/>
    </w:pPr>
    <w:rPr>
      <w:bCs/>
      <w:color w:val="000000"/>
      <w:kern w:val="28"/>
      <w:szCs w:val="21"/>
    </w:rPr>
  </w:style>
  <w:style w:type="paragraph" w:styleId="3">
    <w:name w:val="Body Text"/>
    <w:basedOn w:val="1"/>
    <w:next w:val="4"/>
    <w:link w:val="68"/>
    <w:qFormat/>
    <w:uiPriority w:val="0"/>
    <w:pPr>
      <w:spacing w:after="120"/>
    </w:pPr>
  </w:style>
  <w:style w:type="paragraph" w:customStyle="1" w:styleId="4">
    <w:name w:val="正文首行缩进1"/>
    <w:basedOn w:val="1"/>
    <w:qFormat/>
    <w:uiPriority w:val="99"/>
    <w:pPr>
      <w:spacing w:after="120"/>
      <w:ind w:firstLine="420" w:firstLineChars="100"/>
    </w:pPr>
  </w:style>
  <w:style w:type="paragraph" w:styleId="14">
    <w:name w:val="toc 7"/>
    <w:basedOn w:val="1"/>
    <w:next w:val="1"/>
    <w:qFormat/>
    <w:uiPriority w:val="39"/>
    <w:pPr>
      <w:ind w:left="2520" w:leftChars="1200"/>
    </w:pPr>
    <w:rPr>
      <w:rFonts w:ascii="Calibri" w:hAnsi="Calibri"/>
      <w:szCs w:val="22"/>
    </w:rPr>
  </w:style>
  <w:style w:type="paragraph" w:styleId="15">
    <w:name w:val="Normal Indent"/>
    <w:basedOn w:val="1"/>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78"/>
    <w:qFormat/>
    <w:uiPriority w:val="0"/>
    <w:pPr>
      <w:shd w:val="clear" w:color="auto" w:fill="000080"/>
    </w:pPr>
  </w:style>
  <w:style w:type="paragraph" w:styleId="18">
    <w:name w:val="annotation text"/>
    <w:basedOn w:val="1"/>
    <w:link w:val="79"/>
    <w:qFormat/>
    <w:uiPriority w:val="0"/>
    <w:pPr>
      <w:jc w:val="left"/>
    </w:pPr>
  </w:style>
  <w:style w:type="paragraph" w:styleId="19">
    <w:name w:val="Body Text 3"/>
    <w:basedOn w:val="1"/>
    <w:link w:val="80"/>
    <w:unhideWhenUsed/>
    <w:qFormat/>
    <w:uiPriority w:val="99"/>
    <w:pPr>
      <w:widowControl/>
      <w:wordWrap w:val="0"/>
      <w:topLinePunct/>
      <w:adjustRightInd w:val="0"/>
      <w:snapToGrid w:val="0"/>
      <w:spacing w:after="120" w:afterLines="50" w:line="360" w:lineRule="auto"/>
      <w:ind w:firstLine="480" w:firstLineChars="200"/>
    </w:pPr>
    <w:rPr>
      <w:rFonts w:ascii="Calibri" w:hAnsi="Calibri"/>
      <w:sz w:val="16"/>
      <w:szCs w:val="16"/>
    </w:rPr>
  </w:style>
  <w:style w:type="paragraph" w:styleId="20">
    <w:name w:val="Body Text Indent"/>
    <w:basedOn w:val="1"/>
    <w:next w:val="1"/>
    <w:link w:val="81"/>
    <w:qFormat/>
    <w:uiPriority w:val="0"/>
    <w:pPr>
      <w:spacing w:after="120"/>
      <w:ind w:left="420" w:leftChars="200"/>
    </w:pPr>
  </w:style>
  <w:style w:type="paragraph" w:styleId="21">
    <w:name w:val="Block Text"/>
    <w:basedOn w:val="1"/>
    <w:unhideWhenUsed/>
    <w:qFormat/>
    <w:uiPriority w:val="0"/>
    <w:pPr>
      <w:ind w:left="1440" w:leftChars="700" w:right="700" w:rightChars="700"/>
    </w:pPr>
  </w:style>
  <w:style w:type="paragraph" w:styleId="22">
    <w:name w:val="index 4"/>
    <w:basedOn w:val="1"/>
    <w:next w:val="1"/>
    <w:qFormat/>
    <w:uiPriority w:val="0"/>
    <w:pPr>
      <w:ind w:left="600" w:leftChars="600"/>
    </w:pPr>
  </w:style>
  <w:style w:type="paragraph" w:styleId="23">
    <w:name w:val="toc 5"/>
    <w:basedOn w:val="1"/>
    <w:next w:val="1"/>
    <w:qFormat/>
    <w:uiPriority w:val="39"/>
    <w:pPr>
      <w:ind w:left="1680" w:leftChars="800"/>
    </w:pPr>
    <w:rPr>
      <w:rFonts w:ascii="Calibri" w:hAnsi="Calibri"/>
      <w:szCs w:val="22"/>
    </w:rPr>
  </w:style>
  <w:style w:type="paragraph" w:styleId="24">
    <w:name w:val="toc 3"/>
    <w:basedOn w:val="1"/>
    <w:next w:val="1"/>
    <w:qFormat/>
    <w:uiPriority w:val="39"/>
    <w:pPr>
      <w:ind w:left="840" w:leftChars="400"/>
    </w:pPr>
  </w:style>
  <w:style w:type="paragraph" w:styleId="25">
    <w:name w:val="Plain Text"/>
    <w:basedOn w:val="1"/>
    <w:link w:val="82"/>
    <w:qFormat/>
    <w:uiPriority w:val="0"/>
    <w:rPr>
      <w:rFonts w:ascii="宋体" w:hAnsi="Courier New" w:eastAsia="仿宋_GB2312"/>
      <w:sz w:val="32"/>
    </w:rPr>
  </w:style>
  <w:style w:type="paragraph" w:styleId="26">
    <w:name w:val="toc 8"/>
    <w:basedOn w:val="1"/>
    <w:next w:val="1"/>
    <w:qFormat/>
    <w:uiPriority w:val="39"/>
    <w:pPr>
      <w:ind w:left="2940" w:leftChars="1400"/>
    </w:pPr>
    <w:rPr>
      <w:rFonts w:ascii="Calibri" w:hAnsi="Calibri"/>
      <w:szCs w:val="22"/>
    </w:rPr>
  </w:style>
  <w:style w:type="paragraph" w:styleId="27">
    <w:name w:val="Date"/>
    <w:basedOn w:val="1"/>
    <w:next w:val="1"/>
    <w:link w:val="83"/>
    <w:qFormat/>
    <w:uiPriority w:val="0"/>
    <w:pPr>
      <w:ind w:left="100" w:leftChars="2500"/>
    </w:pPr>
  </w:style>
  <w:style w:type="paragraph" w:styleId="28">
    <w:name w:val="Body Text Indent 2"/>
    <w:basedOn w:val="1"/>
    <w:link w:val="84"/>
    <w:qFormat/>
    <w:uiPriority w:val="0"/>
    <w:pPr>
      <w:autoSpaceDE w:val="0"/>
      <w:autoSpaceDN w:val="0"/>
      <w:adjustRightInd w:val="0"/>
      <w:spacing w:line="410" w:lineRule="atLeast"/>
      <w:ind w:left="480"/>
      <w:jc w:val="left"/>
    </w:pPr>
    <w:rPr>
      <w:rFonts w:ascii="宋体" w:hAnsi="Calibri"/>
      <w:color w:val="000000"/>
    </w:rPr>
  </w:style>
  <w:style w:type="paragraph" w:styleId="29">
    <w:name w:val="Balloon Text"/>
    <w:basedOn w:val="1"/>
    <w:link w:val="85"/>
    <w:qFormat/>
    <w:uiPriority w:val="0"/>
    <w:rPr>
      <w:sz w:val="18"/>
      <w:szCs w:val="18"/>
    </w:rPr>
  </w:style>
  <w:style w:type="paragraph" w:styleId="30">
    <w:name w:val="footer"/>
    <w:basedOn w:val="1"/>
    <w:link w:val="86"/>
    <w:qFormat/>
    <w:uiPriority w:val="99"/>
    <w:pPr>
      <w:tabs>
        <w:tab w:val="center" w:pos="4153"/>
        <w:tab w:val="right" w:pos="8306"/>
      </w:tabs>
      <w:snapToGrid w:val="0"/>
      <w:jc w:val="left"/>
    </w:pPr>
    <w:rPr>
      <w:sz w:val="18"/>
      <w:szCs w:val="18"/>
    </w:rPr>
  </w:style>
  <w:style w:type="paragraph" w:styleId="31">
    <w:name w:val="header"/>
    <w:basedOn w:val="1"/>
    <w:link w:val="87"/>
    <w:qFormat/>
    <w:uiPriority w:val="99"/>
    <w:pPr>
      <w:tabs>
        <w:tab w:val="center" w:pos="4153"/>
        <w:tab w:val="right" w:pos="8306"/>
      </w:tabs>
      <w:snapToGrid w:val="0"/>
      <w:jc w:val="center"/>
    </w:pPr>
    <w:rPr>
      <w:sz w:val="18"/>
      <w:szCs w:val="18"/>
    </w:rPr>
  </w:style>
  <w:style w:type="paragraph" w:styleId="32">
    <w:name w:val="toc 1"/>
    <w:basedOn w:val="1"/>
    <w:next w:val="1"/>
    <w:qFormat/>
    <w:uiPriority w:val="39"/>
  </w:style>
  <w:style w:type="paragraph" w:styleId="33">
    <w:name w:val="toc 4"/>
    <w:basedOn w:val="1"/>
    <w:next w:val="1"/>
    <w:qFormat/>
    <w:uiPriority w:val="39"/>
    <w:pPr>
      <w:ind w:left="1260" w:leftChars="600"/>
    </w:pPr>
  </w:style>
  <w:style w:type="paragraph" w:styleId="34">
    <w:name w:val="Subtitle"/>
    <w:basedOn w:val="1"/>
    <w:next w:val="1"/>
    <w:link w:val="88"/>
    <w:qFormat/>
    <w:uiPriority w:val="0"/>
    <w:pPr>
      <w:spacing w:before="240" w:after="60" w:line="312" w:lineRule="auto"/>
      <w:jc w:val="center"/>
      <w:outlineLvl w:val="1"/>
    </w:pPr>
    <w:rPr>
      <w:rFonts w:ascii="Cambria" w:hAnsi="Cambria"/>
      <w:b/>
      <w:bCs/>
      <w:kern w:val="28"/>
      <w:sz w:val="32"/>
      <w:szCs w:val="32"/>
    </w:rPr>
  </w:style>
  <w:style w:type="paragraph" w:styleId="35">
    <w:name w:val="toc 6"/>
    <w:basedOn w:val="1"/>
    <w:next w:val="1"/>
    <w:qFormat/>
    <w:uiPriority w:val="39"/>
    <w:pPr>
      <w:ind w:left="2100" w:leftChars="1000"/>
    </w:pPr>
    <w:rPr>
      <w:rFonts w:ascii="Calibri" w:hAnsi="Calibri"/>
      <w:szCs w:val="22"/>
    </w:rPr>
  </w:style>
  <w:style w:type="paragraph" w:styleId="36">
    <w:name w:val="Body Text Indent 3"/>
    <w:basedOn w:val="1"/>
    <w:link w:val="89"/>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37">
    <w:name w:val="table of figures"/>
    <w:basedOn w:val="1"/>
    <w:next w:val="1"/>
    <w:qFormat/>
    <w:uiPriority w:val="0"/>
    <w:pPr>
      <w:ind w:left="200" w:leftChars="200" w:hanging="200" w:hangingChars="200"/>
    </w:pPr>
    <w:rPr>
      <w:rFonts w:ascii="Times New Roman" w:hAnsi="Times New Roman" w:eastAsia="宋体" w:cs="Times New Roman"/>
      <w:szCs w:val="24"/>
    </w:rPr>
  </w:style>
  <w:style w:type="paragraph" w:styleId="38">
    <w:name w:val="toc 2"/>
    <w:basedOn w:val="1"/>
    <w:next w:val="1"/>
    <w:qFormat/>
    <w:uiPriority w:val="39"/>
    <w:pPr>
      <w:ind w:left="420" w:leftChars="200"/>
    </w:pPr>
  </w:style>
  <w:style w:type="paragraph" w:styleId="39">
    <w:name w:val="toc 9"/>
    <w:basedOn w:val="1"/>
    <w:next w:val="1"/>
    <w:qFormat/>
    <w:uiPriority w:val="39"/>
    <w:pPr>
      <w:ind w:left="3360" w:leftChars="1600"/>
    </w:pPr>
    <w:rPr>
      <w:rFonts w:ascii="Calibri" w:hAnsi="Calibri"/>
      <w:szCs w:val="22"/>
    </w:rPr>
  </w:style>
  <w:style w:type="paragraph" w:styleId="40">
    <w:name w:val="Body Text 2"/>
    <w:basedOn w:val="1"/>
    <w:link w:val="90"/>
    <w:unhideWhenUsed/>
    <w:qFormat/>
    <w:uiPriority w:val="99"/>
    <w:pPr>
      <w:widowControl/>
      <w:wordWrap w:val="0"/>
      <w:topLinePunct/>
      <w:adjustRightInd w:val="0"/>
      <w:snapToGrid w:val="0"/>
      <w:spacing w:after="120" w:afterLines="50" w:line="480" w:lineRule="auto"/>
      <w:ind w:firstLine="480" w:firstLineChars="200"/>
    </w:pPr>
    <w:rPr>
      <w:rFonts w:ascii="Calibri" w:hAnsi="Calibri"/>
      <w:sz w:val="24"/>
      <w:szCs w:val="22"/>
    </w:rPr>
  </w:style>
  <w:style w:type="paragraph" w:styleId="41">
    <w:name w:val="HTML Preformatted"/>
    <w:basedOn w:val="1"/>
    <w:link w:val="9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jc w:val="left"/>
    </w:pPr>
    <w:rPr>
      <w:rFonts w:ascii="宋体" w:hAnsi="宋体"/>
      <w:kern w:val="0"/>
      <w:sz w:val="24"/>
    </w:rPr>
  </w:style>
  <w:style w:type="paragraph" w:styleId="42">
    <w:name w:val="Normal (Web)"/>
    <w:basedOn w:val="1"/>
    <w:qFormat/>
    <w:uiPriority w:val="99"/>
    <w:pPr>
      <w:widowControl/>
      <w:spacing w:before="100" w:beforeAutospacing="1" w:after="100" w:afterAutospacing="1"/>
      <w:jc w:val="left"/>
    </w:pPr>
    <w:rPr>
      <w:kern w:val="0"/>
    </w:rPr>
  </w:style>
  <w:style w:type="paragraph" w:styleId="43">
    <w:name w:val="index 2"/>
    <w:basedOn w:val="1"/>
    <w:next w:val="1"/>
    <w:semiHidden/>
    <w:qFormat/>
    <w:uiPriority w:val="0"/>
    <w:pPr>
      <w:widowControl w:val="0"/>
      <w:autoSpaceDE/>
      <w:autoSpaceDN/>
      <w:spacing w:before="0" w:after="0" w:line="240" w:lineRule="auto"/>
      <w:ind w:left="200" w:firstLine="3584"/>
      <w:jc w:val="both"/>
    </w:pPr>
  </w:style>
  <w:style w:type="paragraph" w:styleId="44">
    <w:name w:val="Title"/>
    <w:basedOn w:val="1"/>
    <w:next w:val="1"/>
    <w:link w:val="92"/>
    <w:qFormat/>
    <w:uiPriority w:val="0"/>
    <w:pPr>
      <w:spacing w:before="240" w:after="60"/>
      <w:jc w:val="center"/>
      <w:outlineLvl w:val="0"/>
    </w:pPr>
    <w:rPr>
      <w:rFonts w:ascii="Cambria" w:hAnsi="Cambria"/>
      <w:b/>
      <w:sz w:val="32"/>
    </w:rPr>
  </w:style>
  <w:style w:type="paragraph" w:styleId="45">
    <w:name w:val="annotation subject"/>
    <w:basedOn w:val="18"/>
    <w:next w:val="18"/>
    <w:link w:val="93"/>
    <w:qFormat/>
    <w:uiPriority w:val="0"/>
    <w:rPr>
      <w:b/>
      <w:bCs/>
    </w:rPr>
  </w:style>
  <w:style w:type="paragraph" w:styleId="46">
    <w:name w:val="Body Text First Indent 2"/>
    <w:basedOn w:val="20"/>
    <w:next w:val="1"/>
    <w:qFormat/>
    <w:uiPriority w:val="0"/>
    <w:pPr>
      <w:tabs>
        <w:tab w:val="left" w:pos="630"/>
      </w:tabs>
      <w:adjustRightInd/>
      <w:spacing w:after="120" w:line="360" w:lineRule="auto"/>
      <w:ind w:left="420" w:leftChars="200" w:firstLine="420" w:firstLineChars="200"/>
      <w:textAlignment w:val="auto"/>
    </w:pPr>
    <w:rPr>
      <w:szCs w:val="20"/>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qFormat/>
    <w:uiPriority w:val="0"/>
    <w:rPr>
      <w:i/>
      <w:iCs/>
    </w:rPr>
  </w:style>
  <w:style w:type="character" w:styleId="54">
    <w:name w:val="HTML Definition"/>
    <w:basedOn w:val="49"/>
    <w:semiHidden/>
    <w:unhideWhenUsed/>
    <w:qFormat/>
    <w:uiPriority w:val="0"/>
  </w:style>
  <w:style w:type="character" w:styleId="55">
    <w:name w:val="HTML Typewriter"/>
    <w:basedOn w:val="49"/>
    <w:semiHidden/>
    <w:unhideWhenUsed/>
    <w:qFormat/>
    <w:uiPriority w:val="0"/>
    <w:rPr>
      <w:rFonts w:ascii="monospace" w:hAnsi="monospace" w:eastAsia="monospace" w:cs="monospace"/>
      <w:sz w:val="20"/>
    </w:rPr>
  </w:style>
  <w:style w:type="character" w:styleId="56">
    <w:name w:val="HTML Acronym"/>
    <w:basedOn w:val="49"/>
    <w:semiHidden/>
    <w:unhideWhenUsed/>
    <w:qFormat/>
    <w:uiPriority w:val="0"/>
  </w:style>
  <w:style w:type="character" w:styleId="57">
    <w:name w:val="HTML Variable"/>
    <w:basedOn w:val="49"/>
    <w:semiHidden/>
    <w:unhideWhenUsed/>
    <w:qFormat/>
    <w:uiPriority w:val="0"/>
  </w:style>
  <w:style w:type="character" w:styleId="58">
    <w:name w:val="Hyperlink"/>
    <w:qFormat/>
    <w:uiPriority w:val="99"/>
    <w:rPr>
      <w:color w:val="0000FF"/>
      <w:u w:val="single"/>
    </w:rPr>
  </w:style>
  <w:style w:type="character" w:styleId="59">
    <w:name w:val="HTML Code"/>
    <w:basedOn w:val="49"/>
    <w:qFormat/>
    <w:uiPriority w:val="0"/>
    <w:rPr>
      <w:rFonts w:hint="default" w:ascii="monospace" w:hAnsi="monospace" w:eastAsia="monospace" w:cs="monospace"/>
      <w:sz w:val="20"/>
    </w:rPr>
  </w:style>
  <w:style w:type="character" w:styleId="60">
    <w:name w:val="annotation reference"/>
    <w:qFormat/>
    <w:uiPriority w:val="99"/>
    <w:rPr>
      <w:sz w:val="21"/>
      <w:szCs w:val="21"/>
    </w:rPr>
  </w:style>
  <w:style w:type="character" w:styleId="61">
    <w:name w:val="HTML Cite"/>
    <w:basedOn w:val="49"/>
    <w:semiHidden/>
    <w:unhideWhenUsed/>
    <w:qFormat/>
    <w:uiPriority w:val="0"/>
  </w:style>
  <w:style w:type="character" w:styleId="62">
    <w:name w:val="HTML Keyboard"/>
    <w:basedOn w:val="49"/>
    <w:semiHidden/>
    <w:unhideWhenUsed/>
    <w:qFormat/>
    <w:uiPriority w:val="0"/>
    <w:rPr>
      <w:rFonts w:hint="default" w:ascii="monospace" w:hAnsi="monospace" w:eastAsia="monospace" w:cs="monospace"/>
      <w:sz w:val="20"/>
    </w:rPr>
  </w:style>
  <w:style w:type="character" w:styleId="63">
    <w:name w:val="HTML Sample"/>
    <w:basedOn w:val="49"/>
    <w:semiHidden/>
    <w:unhideWhenUsed/>
    <w:qFormat/>
    <w:uiPriority w:val="0"/>
    <w:rPr>
      <w:rFonts w:hint="default" w:ascii="monospace" w:hAnsi="monospace" w:eastAsia="monospace" w:cs="monospace"/>
    </w:rPr>
  </w:style>
  <w:style w:type="paragraph" w:customStyle="1" w:styleId="64">
    <w:name w:val="一级条标题"/>
    <w:basedOn w:val="65"/>
    <w:next w:val="66"/>
    <w:qFormat/>
    <w:uiPriority w:val="0"/>
    <w:pPr>
      <w:spacing w:line="240" w:lineRule="auto"/>
      <w:ind w:left="420"/>
      <w:outlineLvl w:val="2"/>
    </w:pPr>
  </w:style>
  <w:style w:type="paragraph" w:customStyle="1" w:styleId="65">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66">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67">
    <w:name w:val="正文格式"/>
    <w:basedOn w:val="1"/>
    <w:qFormat/>
    <w:uiPriority w:val="99"/>
    <w:pPr>
      <w:adjustRightInd w:val="0"/>
      <w:snapToGrid w:val="0"/>
      <w:spacing w:line="360" w:lineRule="auto"/>
      <w:ind w:firstLine="228" w:firstLineChars="228"/>
    </w:pPr>
    <w:rPr>
      <w:color w:val="000000"/>
      <w:sz w:val="28"/>
      <w:szCs w:val="28"/>
    </w:rPr>
  </w:style>
  <w:style w:type="character" w:customStyle="1" w:styleId="68">
    <w:name w:val="正文文本 Char"/>
    <w:link w:val="3"/>
    <w:qFormat/>
    <w:uiPriority w:val="0"/>
    <w:rPr>
      <w:kern w:val="2"/>
      <w:sz w:val="21"/>
      <w:szCs w:val="24"/>
    </w:rPr>
  </w:style>
  <w:style w:type="character" w:customStyle="1" w:styleId="69">
    <w:name w:val="标题 1 Char"/>
    <w:link w:val="5"/>
    <w:qFormat/>
    <w:uiPriority w:val="0"/>
    <w:rPr>
      <w:rFonts w:ascii="Cambria" w:hAnsi="Cambria"/>
      <w:b/>
      <w:bCs/>
      <w:kern w:val="32"/>
      <w:sz w:val="32"/>
      <w:szCs w:val="32"/>
    </w:rPr>
  </w:style>
  <w:style w:type="character" w:customStyle="1" w:styleId="70">
    <w:name w:val="标题 2 Char"/>
    <w:link w:val="6"/>
    <w:qFormat/>
    <w:uiPriority w:val="0"/>
    <w:rPr>
      <w:rFonts w:ascii="Cambria" w:hAnsi="Cambria" w:eastAsia="宋体" w:cs="Times New Roman"/>
      <w:b/>
      <w:bCs/>
      <w:kern w:val="2"/>
      <w:sz w:val="32"/>
      <w:szCs w:val="32"/>
    </w:rPr>
  </w:style>
  <w:style w:type="character" w:customStyle="1" w:styleId="71">
    <w:name w:val="标题 3 Char"/>
    <w:link w:val="7"/>
    <w:qFormat/>
    <w:uiPriority w:val="0"/>
    <w:rPr>
      <w:b/>
      <w:bCs/>
      <w:sz w:val="24"/>
      <w:szCs w:val="24"/>
    </w:rPr>
  </w:style>
  <w:style w:type="character" w:customStyle="1" w:styleId="72">
    <w:name w:val="标题 4 Char"/>
    <w:link w:val="8"/>
    <w:qFormat/>
    <w:uiPriority w:val="0"/>
    <w:rPr>
      <w:rFonts w:ascii="Arial" w:hAnsi="Arial"/>
      <w:b/>
      <w:bCs/>
      <w:kern w:val="2"/>
      <w:sz w:val="21"/>
      <w:szCs w:val="28"/>
    </w:rPr>
  </w:style>
  <w:style w:type="character" w:customStyle="1" w:styleId="73">
    <w:name w:val="标题 5 Char"/>
    <w:link w:val="9"/>
    <w:qFormat/>
    <w:uiPriority w:val="0"/>
    <w:rPr>
      <w:b/>
      <w:bCs/>
      <w:kern w:val="2"/>
      <w:sz w:val="28"/>
      <w:szCs w:val="28"/>
    </w:rPr>
  </w:style>
  <w:style w:type="character" w:customStyle="1" w:styleId="74">
    <w:name w:val="标题 6 Char"/>
    <w:link w:val="10"/>
    <w:qFormat/>
    <w:uiPriority w:val="0"/>
    <w:rPr>
      <w:rFonts w:ascii="Arial" w:hAnsi="Arial" w:eastAsia="黑体"/>
      <w:b/>
      <w:bCs/>
      <w:sz w:val="24"/>
      <w:szCs w:val="24"/>
    </w:rPr>
  </w:style>
  <w:style w:type="character" w:customStyle="1" w:styleId="75">
    <w:name w:val="标题 7 Char"/>
    <w:link w:val="11"/>
    <w:qFormat/>
    <w:uiPriority w:val="0"/>
    <w:rPr>
      <w:b/>
      <w:bCs/>
      <w:sz w:val="24"/>
      <w:szCs w:val="24"/>
    </w:rPr>
  </w:style>
  <w:style w:type="character" w:customStyle="1" w:styleId="76">
    <w:name w:val="标题 8 Char"/>
    <w:link w:val="12"/>
    <w:qFormat/>
    <w:uiPriority w:val="0"/>
    <w:rPr>
      <w:rFonts w:ascii="Arial" w:hAnsi="Arial" w:eastAsia="黑体"/>
      <w:sz w:val="24"/>
      <w:szCs w:val="24"/>
    </w:rPr>
  </w:style>
  <w:style w:type="character" w:customStyle="1" w:styleId="77">
    <w:name w:val="标题 9 Char"/>
    <w:link w:val="13"/>
    <w:qFormat/>
    <w:uiPriority w:val="0"/>
    <w:rPr>
      <w:rFonts w:ascii="Arial" w:hAnsi="Arial" w:eastAsia="黑体"/>
      <w:sz w:val="21"/>
      <w:szCs w:val="21"/>
    </w:rPr>
  </w:style>
  <w:style w:type="character" w:customStyle="1" w:styleId="78">
    <w:name w:val="文档结构图 Char"/>
    <w:link w:val="17"/>
    <w:qFormat/>
    <w:uiPriority w:val="0"/>
    <w:rPr>
      <w:kern w:val="2"/>
      <w:sz w:val="21"/>
      <w:szCs w:val="24"/>
      <w:shd w:val="clear" w:color="auto" w:fill="000080"/>
    </w:rPr>
  </w:style>
  <w:style w:type="character" w:customStyle="1" w:styleId="79">
    <w:name w:val="批注文字 Char"/>
    <w:link w:val="18"/>
    <w:qFormat/>
    <w:uiPriority w:val="0"/>
    <w:rPr>
      <w:kern w:val="2"/>
      <w:sz w:val="21"/>
      <w:szCs w:val="24"/>
    </w:rPr>
  </w:style>
  <w:style w:type="character" w:customStyle="1" w:styleId="80">
    <w:name w:val="正文文本 3 Char"/>
    <w:link w:val="19"/>
    <w:qFormat/>
    <w:uiPriority w:val="99"/>
    <w:rPr>
      <w:rFonts w:ascii="Calibri" w:hAnsi="Calibri"/>
      <w:kern w:val="2"/>
      <w:sz w:val="16"/>
      <w:szCs w:val="16"/>
    </w:rPr>
  </w:style>
  <w:style w:type="character" w:customStyle="1" w:styleId="81">
    <w:name w:val="正文文本缩进 Char"/>
    <w:link w:val="20"/>
    <w:qFormat/>
    <w:uiPriority w:val="0"/>
    <w:rPr>
      <w:kern w:val="2"/>
      <w:sz w:val="21"/>
      <w:szCs w:val="24"/>
    </w:rPr>
  </w:style>
  <w:style w:type="character" w:customStyle="1" w:styleId="82">
    <w:name w:val="纯文本 Char"/>
    <w:link w:val="25"/>
    <w:qFormat/>
    <w:uiPriority w:val="0"/>
    <w:rPr>
      <w:rFonts w:ascii="宋体" w:hAnsi="Courier New" w:eastAsia="仿宋_GB2312"/>
      <w:kern w:val="2"/>
      <w:sz w:val="32"/>
      <w:szCs w:val="24"/>
    </w:rPr>
  </w:style>
  <w:style w:type="character" w:customStyle="1" w:styleId="83">
    <w:name w:val="日期 Char"/>
    <w:link w:val="27"/>
    <w:qFormat/>
    <w:uiPriority w:val="0"/>
    <w:rPr>
      <w:kern w:val="2"/>
      <w:sz w:val="21"/>
      <w:szCs w:val="24"/>
    </w:rPr>
  </w:style>
  <w:style w:type="character" w:customStyle="1" w:styleId="84">
    <w:name w:val="正文文本缩进 2 Char"/>
    <w:link w:val="28"/>
    <w:qFormat/>
    <w:uiPriority w:val="0"/>
    <w:rPr>
      <w:rFonts w:ascii="宋体" w:hAnsi="Calibri"/>
      <w:color w:val="000000"/>
      <w:kern w:val="2"/>
      <w:sz w:val="21"/>
      <w:szCs w:val="24"/>
    </w:rPr>
  </w:style>
  <w:style w:type="character" w:customStyle="1" w:styleId="85">
    <w:name w:val="批注框文本 Char"/>
    <w:link w:val="29"/>
    <w:qFormat/>
    <w:uiPriority w:val="0"/>
    <w:rPr>
      <w:kern w:val="2"/>
      <w:sz w:val="18"/>
      <w:szCs w:val="18"/>
    </w:rPr>
  </w:style>
  <w:style w:type="character" w:customStyle="1" w:styleId="86">
    <w:name w:val="页脚 Char"/>
    <w:link w:val="30"/>
    <w:qFormat/>
    <w:uiPriority w:val="99"/>
    <w:rPr>
      <w:kern w:val="2"/>
      <w:sz w:val="18"/>
      <w:szCs w:val="18"/>
    </w:rPr>
  </w:style>
  <w:style w:type="character" w:customStyle="1" w:styleId="87">
    <w:name w:val="页眉 Char"/>
    <w:link w:val="31"/>
    <w:qFormat/>
    <w:uiPriority w:val="99"/>
    <w:rPr>
      <w:kern w:val="2"/>
      <w:sz w:val="18"/>
      <w:szCs w:val="18"/>
    </w:rPr>
  </w:style>
  <w:style w:type="character" w:customStyle="1" w:styleId="88">
    <w:name w:val="副标题 Char"/>
    <w:link w:val="34"/>
    <w:qFormat/>
    <w:uiPriority w:val="0"/>
    <w:rPr>
      <w:rFonts w:ascii="Cambria" w:hAnsi="Cambria"/>
      <w:b/>
      <w:bCs/>
      <w:kern w:val="28"/>
      <w:sz w:val="32"/>
      <w:szCs w:val="32"/>
    </w:rPr>
  </w:style>
  <w:style w:type="character" w:customStyle="1" w:styleId="89">
    <w:name w:val="正文文本缩进 3 Char"/>
    <w:link w:val="36"/>
    <w:qFormat/>
    <w:uiPriority w:val="0"/>
    <w:rPr>
      <w:rFonts w:ascii="宋体" w:hAnsi="MS Sans Serif"/>
      <w:color w:val="000000"/>
      <w:sz w:val="24"/>
    </w:rPr>
  </w:style>
  <w:style w:type="character" w:customStyle="1" w:styleId="90">
    <w:name w:val="正文文本 2 Char"/>
    <w:link w:val="40"/>
    <w:qFormat/>
    <w:uiPriority w:val="99"/>
    <w:rPr>
      <w:rFonts w:ascii="Calibri" w:hAnsi="Calibri"/>
      <w:kern w:val="2"/>
      <w:sz w:val="24"/>
      <w:szCs w:val="22"/>
    </w:rPr>
  </w:style>
  <w:style w:type="character" w:customStyle="1" w:styleId="91">
    <w:name w:val="HTML 预设格式 Char"/>
    <w:link w:val="41"/>
    <w:qFormat/>
    <w:uiPriority w:val="99"/>
    <w:rPr>
      <w:rFonts w:ascii="宋体" w:hAnsi="宋体" w:cs="宋体"/>
      <w:sz w:val="24"/>
      <w:szCs w:val="24"/>
    </w:rPr>
  </w:style>
  <w:style w:type="character" w:customStyle="1" w:styleId="92">
    <w:name w:val="标题 Char"/>
    <w:link w:val="44"/>
    <w:qFormat/>
    <w:uiPriority w:val="0"/>
    <w:rPr>
      <w:rFonts w:ascii="Cambria" w:hAnsi="Cambria"/>
      <w:b/>
      <w:kern w:val="2"/>
      <w:sz w:val="32"/>
      <w:szCs w:val="24"/>
    </w:rPr>
  </w:style>
  <w:style w:type="character" w:customStyle="1" w:styleId="93">
    <w:name w:val="批注主题 Char"/>
    <w:link w:val="45"/>
    <w:qFormat/>
    <w:uiPriority w:val="0"/>
    <w:rPr>
      <w:b/>
      <w:bCs/>
      <w:kern w:val="2"/>
      <w:sz w:val="21"/>
      <w:szCs w:val="24"/>
    </w:rPr>
  </w:style>
  <w:style w:type="paragraph" w:customStyle="1" w:styleId="94">
    <w:name w:val="Body Text Indent 21"/>
    <w:basedOn w:val="1"/>
    <w:next w:val="31"/>
    <w:qFormat/>
    <w:uiPriority w:val="0"/>
    <w:pPr>
      <w:widowControl/>
      <w:overflowPunct w:val="0"/>
      <w:autoSpaceDE w:val="0"/>
      <w:autoSpaceDN w:val="0"/>
      <w:adjustRightInd w:val="0"/>
      <w:spacing w:line="360" w:lineRule="auto"/>
      <w:ind w:firstLine="555"/>
      <w:textAlignment w:val="baseline"/>
    </w:pPr>
    <w:rPr>
      <w:rFonts w:ascii="宋体"/>
      <w:spacing w:val="12"/>
      <w:kern w:val="0"/>
      <w:sz w:val="24"/>
    </w:rPr>
  </w:style>
  <w:style w:type="character" w:customStyle="1" w:styleId="95">
    <w:name w:val="textcontents"/>
    <w:qFormat/>
    <w:uiPriority w:val="0"/>
    <w:rPr>
      <w:rFonts w:cs="Times New Roman"/>
    </w:rPr>
  </w:style>
  <w:style w:type="character" w:customStyle="1" w:styleId="96">
    <w:name w:val="引用 Char1"/>
    <w:qFormat/>
    <w:uiPriority w:val="99"/>
    <w:rPr>
      <w:i/>
      <w:iCs/>
      <w:color w:val="000000"/>
      <w:kern w:val="2"/>
      <w:sz w:val="21"/>
      <w:szCs w:val="24"/>
    </w:rPr>
  </w:style>
  <w:style w:type="character" w:customStyle="1" w:styleId="97">
    <w:name w:val="search-in-page-highlight-wrapper"/>
    <w:basedOn w:val="49"/>
    <w:qFormat/>
    <w:uiPriority w:val="0"/>
  </w:style>
  <w:style w:type="character" w:customStyle="1" w:styleId="98">
    <w:name w:val="content"/>
    <w:basedOn w:val="49"/>
    <w:qFormat/>
    <w:uiPriority w:val="0"/>
  </w:style>
  <w:style w:type="character" w:customStyle="1" w:styleId="99">
    <w:name w:val="批注框文本 字符"/>
    <w:semiHidden/>
    <w:qFormat/>
    <w:uiPriority w:val="99"/>
    <w:rPr>
      <w:sz w:val="18"/>
      <w:szCs w:val="18"/>
    </w:rPr>
  </w:style>
  <w:style w:type="character" w:customStyle="1" w:styleId="100">
    <w:name w:val="批注主题 Char1"/>
    <w:qFormat/>
    <w:uiPriority w:val="0"/>
    <w:rPr>
      <w:rFonts w:ascii="Times New Roman" w:hAnsi="Times New Roman" w:eastAsia="宋体" w:cs="Times New Roman"/>
      <w:b/>
      <w:bCs/>
      <w:szCs w:val="24"/>
    </w:rPr>
  </w:style>
  <w:style w:type="character" w:customStyle="1" w:styleId="101">
    <w:name w:val="search-in-page-highlight-item"/>
    <w:basedOn w:val="49"/>
    <w:qFormat/>
    <w:uiPriority w:val="0"/>
  </w:style>
  <w:style w:type="character" w:customStyle="1" w:styleId="102">
    <w:name w:val="Font Style121"/>
    <w:unhideWhenUsed/>
    <w:qFormat/>
    <w:uiPriority w:val="99"/>
    <w:rPr>
      <w:rFonts w:hint="eastAsia" w:ascii="宋体" w:hAnsi="宋体" w:eastAsia="宋体"/>
      <w:spacing w:val="-10"/>
      <w:sz w:val="30"/>
    </w:rPr>
  </w:style>
  <w:style w:type="character" w:customStyle="1" w:styleId="103">
    <w:name w:val="副标题 字符"/>
    <w:qFormat/>
    <w:uiPriority w:val="11"/>
    <w:rPr>
      <w:rFonts w:ascii="宋体" w:hAnsi="宋体"/>
      <w:b/>
      <w:bCs/>
      <w:kern w:val="28"/>
      <w:sz w:val="24"/>
      <w:szCs w:val="32"/>
      <w:lang w:val="en-US" w:eastAsia="zh-CN" w:bidi="ar-SA"/>
    </w:rPr>
  </w:style>
  <w:style w:type="character" w:customStyle="1" w:styleId="104">
    <w:name w:val="标题 Char1"/>
    <w:qFormat/>
    <w:uiPriority w:val="0"/>
    <w:rPr>
      <w:rFonts w:ascii="Cambria" w:hAnsi="Cambria" w:eastAsia="宋体" w:cs="Times New Roman"/>
      <w:b/>
      <w:bCs/>
      <w:sz w:val="32"/>
      <w:szCs w:val="32"/>
    </w:rPr>
  </w:style>
  <w:style w:type="character" w:customStyle="1" w:styleId="105">
    <w:name w:val="标题 9 字符"/>
    <w:qFormat/>
    <w:uiPriority w:val="0"/>
    <w:rPr>
      <w:rFonts w:ascii="CG Times" w:hAnsi="CG Times"/>
      <w:b/>
      <w:smallCaps/>
      <w:sz w:val="21"/>
      <w:lang w:val="en-GB"/>
    </w:rPr>
  </w:style>
  <w:style w:type="character" w:customStyle="1" w:styleId="106">
    <w:name w:val="正文文本缩进 2 Char1"/>
    <w:semiHidden/>
    <w:qFormat/>
    <w:uiPriority w:val="0"/>
    <w:rPr>
      <w:kern w:val="2"/>
      <w:sz w:val="21"/>
      <w:szCs w:val="24"/>
    </w:rPr>
  </w:style>
  <w:style w:type="character" w:customStyle="1" w:styleId="107">
    <w:name w:val="Font Style116"/>
    <w:unhideWhenUsed/>
    <w:qFormat/>
    <w:uiPriority w:val="99"/>
    <w:rPr>
      <w:rFonts w:hint="eastAsia" w:ascii="宋体" w:hAnsi="宋体" w:eastAsia="宋体"/>
      <w:spacing w:val="-20"/>
      <w:sz w:val="24"/>
    </w:rPr>
  </w:style>
  <w:style w:type="character" w:customStyle="1" w:styleId="108">
    <w:name w:val="正文文本 2 字符1"/>
    <w:semiHidden/>
    <w:qFormat/>
    <w:uiPriority w:val="0"/>
    <w:rPr>
      <w:kern w:val="2"/>
      <w:sz w:val="21"/>
      <w:szCs w:val="24"/>
    </w:rPr>
  </w:style>
  <w:style w:type="character" w:customStyle="1" w:styleId="109">
    <w:name w:val="Font Style86"/>
    <w:unhideWhenUsed/>
    <w:qFormat/>
    <w:uiPriority w:val="99"/>
    <w:rPr>
      <w:rFonts w:hint="eastAsia" w:ascii="黑体" w:hAnsi="黑体" w:eastAsia="黑体"/>
      <w:spacing w:val="10"/>
      <w:sz w:val="30"/>
    </w:rPr>
  </w:style>
  <w:style w:type="character" w:customStyle="1" w:styleId="110">
    <w:name w:val="Font Style119"/>
    <w:unhideWhenUsed/>
    <w:qFormat/>
    <w:uiPriority w:val="99"/>
    <w:rPr>
      <w:rFonts w:hint="eastAsia" w:ascii="宋体" w:hAnsi="宋体" w:eastAsia="宋体"/>
      <w:sz w:val="24"/>
    </w:rPr>
  </w:style>
  <w:style w:type="character" w:customStyle="1" w:styleId="111">
    <w:name w:val="页脚 字符"/>
    <w:qFormat/>
    <w:uiPriority w:val="99"/>
    <w:rPr>
      <w:rFonts w:ascii="宋体" w:hAnsi="宋体"/>
      <w:kern w:val="2"/>
      <w:sz w:val="18"/>
      <w:szCs w:val="18"/>
      <w:lang w:val="en-US" w:eastAsia="zh-CN" w:bidi="ar-SA"/>
    </w:rPr>
  </w:style>
  <w:style w:type="character" w:customStyle="1" w:styleId="112">
    <w:name w:val="日期 Char1"/>
    <w:qFormat/>
    <w:uiPriority w:val="0"/>
    <w:rPr>
      <w:rFonts w:ascii="Times New Roman" w:hAnsi="Times New Roman" w:eastAsia="宋体" w:cs="Times New Roman"/>
      <w:szCs w:val="24"/>
    </w:rPr>
  </w:style>
  <w:style w:type="character" w:customStyle="1" w:styleId="113">
    <w:name w:val="标题 7 字符"/>
    <w:qFormat/>
    <w:uiPriority w:val="0"/>
    <w:rPr>
      <w:rFonts w:ascii="CG Times" w:hAnsi="CG Times"/>
      <w:sz w:val="22"/>
      <w:lang w:val="en-GB"/>
    </w:rPr>
  </w:style>
  <w:style w:type="character" w:customStyle="1" w:styleId="114">
    <w:name w:val="Font Style117"/>
    <w:unhideWhenUsed/>
    <w:qFormat/>
    <w:uiPriority w:val="99"/>
    <w:rPr>
      <w:rFonts w:hint="eastAsia" w:ascii="宋体" w:hAnsi="宋体" w:eastAsia="宋体"/>
      <w:spacing w:val="20"/>
      <w:sz w:val="24"/>
    </w:rPr>
  </w:style>
  <w:style w:type="character" w:customStyle="1" w:styleId="115">
    <w:name w:val="批注文字 Char Char"/>
    <w:qFormat/>
    <w:uiPriority w:val="0"/>
    <w:rPr>
      <w:kern w:val="2"/>
      <w:sz w:val="21"/>
      <w:szCs w:val="24"/>
      <w:lang w:bidi="ar-SA"/>
    </w:rPr>
  </w:style>
  <w:style w:type="character" w:customStyle="1" w:styleId="116">
    <w:name w:val="refer-count"/>
    <w:basedOn w:val="49"/>
    <w:qFormat/>
    <w:uiPriority w:val="0"/>
  </w:style>
  <w:style w:type="character" w:customStyle="1" w:styleId="117">
    <w:name w:val="标题4 Char Char"/>
    <w:link w:val="118"/>
    <w:qFormat/>
    <w:uiPriority w:val="0"/>
    <w:rPr>
      <w:rFonts w:ascii="Arial" w:hAnsi="Arial"/>
      <w:b/>
      <w:bCs/>
      <w:sz w:val="24"/>
      <w:szCs w:val="32"/>
    </w:rPr>
  </w:style>
  <w:style w:type="paragraph" w:customStyle="1" w:styleId="118">
    <w:name w:val="标题4"/>
    <w:basedOn w:val="6"/>
    <w:next w:val="22"/>
    <w:link w:val="117"/>
    <w:qFormat/>
    <w:uiPriority w:val="0"/>
    <w:rPr>
      <w:rFonts w:ascii="Arial" w:hAnsi="Arial"/>
      <w:kern w:val="0"/>
      <w:sz w:val="24"/>
    </w:rPr>
  </w:style>
  <w:style w:type="character" w:customStyle="1" w:styleId="119">
    <w:name w:val="正文文本 字符"/>
    <w:qFormat/>
    <w:uiPriority w:val="99"/>
    <w:rPr>
      <w:rFonts w:ascii="Calibri" w:hAnsi="Calibri" w:eastAsia="宋体" w:cs="Times New Roman"/>
      <w:kern w:val="2"/>
      <w:sz w:val="24"/>
      <w:szCs w:val="22"/>
    </w:rPr>
  </w:style>
  <w:style w:type="character" w:customStyle="1" w:styleId="120">
    <w:name w:val="Char Char14"/>
    <w:qFormat/>
    <w:uiPriority w:val="0"/>
    <w:rPr>
      <w:rFonts w:ascii="Arial" w:hAnsi="Arial"/>
      <w:b/>
      <w:bCs/>
      <w:kern w:val="2"/>
      <w:sz w:val="21"/>
      <w:szCs w:val="28"/>
    </w:rPr>
  </w:style>
  <w:style w:type="character" w:customStyle="1" w:styleId="121">
    <w:name w:val="标题 5 字符"/>
    <w:qFormat/>
    <w:uiPriority w:val="9"/>
    <w:rPr>
      <w:b/>
      <w:bCs/>
      <w:kern w:val="2"/>
      <w:sz w:val="28"/>
      <w:szCs w:val="28"/>
    </w:rPr>
  </w:style>
  <w:style w:type="character" w:customStyle="1" w:styleId="122">
    <w:name w:val="未处理的提及1"/>
    <w:unhideWhenUsed/>
    <w:qFormat/>
    <w:uiPriority w:val="99"/>
    <w:rPr>
      <w:color w:val="605E5C"/>
      <w:shd w:val="clear" w:color="auto" w:fill="E1DFDD"/>
    </w:rPr>
  </w:style>
  <w:style w:type="character" w:customStyle="1" w:styleId="123">
    <w:name w:val="p0 Char"/>
    <w:link w:val="124"/>
    <w:qFormat/>
    <w:uiPriority w:val="0"/>
    <w:rPr>
      <w:rFonts w:eastAsia="宋体"/>
      <w:kern w:val="2"/>
      <w:sz w:val="21"/>
      <w:szCs w:val="21"/>
      <w:lang w:val="en-US" w:eastAsia="zh-CN" w:bidi="ar-SA"/>
    </w:rPr>
  </w:style>
  <w:style w:type="paragraph" w:customStyle="1" w:styleId="124">
    <w:name w:val="p0"/>
    <w:basedOn w:val="1"/>
    <w:link w:val="123"/>
    <w:qFormat/>
    <w:uiPriority w:val="0"/>
    <w:pPr>
      <w:widowControl/>
    </w:pPr>
    <w:rPr>
      <w:szCs w:val="21"/>
    </w:rPr>
  </w:style>
  <w:style w:type="character" w:customStyle="1" w:styleId="125">
    <w:name w:val="纯文本 Char1"/>
    <w:qFormat/>
    <w:uiPriority w:val="0"/>
    <w:rPr>
      <w:rFonts w:ascii="宋体" w:hAnsi="Courier New" w:eastAsia="宋体" w:cs="Courier New"/>
      <w:szCs w:val="21"/>
    </w:rPr>
  </w:style>
  <w:style w:type="character" w:customStyle="1" w:styleId="126">
    <w:name w:val="Font Style124"/>
    <w:unhideWhenUsed/>
    <w:qFormat/>
    <w:uiPriority w:val="99"/>
    <w:rPr>
      <w:rFonts w:hint="eastAsia" w:ascii="宋体" w:hAnsi="宋体" w:eastAsia="宋体"/>
      <w:spacing w:val="30"/>
      <w:sz w:val="24"/>
    </w:rPr>
  </w:style>
  <w:style w:type="character" w:customStyle="1" w:styleId="127">
    <w:name w:val="未处理的提及2"/>
    <w:unhideWhenUsed/>
    <w:qFormat/>
    <w:uiPriority w:val="99"/>
    <w:rPr>
      <w:color w:val="605E5C"/>
      <w:shd w:val="clear" w:color="auto" w:fill="E1DFDD"/>
    </w:rPr>
  </w:style>
  <w:style w:type="character" w:customStyle="1" w:styleId="128">
    <w:name w:val="批注文字 Char1"/>
    <w:semiHidden/>
    <w:qFormat/>
    <w:uiPriority w:val="99"/>
    <w:rPr>
      <w:rFonts w:ascii="Times New Roman" w:hAnsi="Times New Roman" w:eastAsia="宋体" w:cs="Times New Roman"/>
      <w:szCs w:val="24"/>
    </w:rPr>
  </w:style>
  <w:style w:type="character" w:customStyle="1" w:styleId="129">
    <w:name w:val="未处理的提及3"/>
    <w:unhideWhenUsed/>
    <w:qFormat/>
    <w:uiPriority w:val="99"/>
    <w:rPr>
      <w:color w:val="605E5C"/>
      <w:shd w:val="clear" w:color="auto" w:fill="E1DFDD"/>
    </w:rPr>
  </w:style>
  <w:style w:type="character" w:customStyle="1" w:styleId="130">
    <w:name w:val="law-parenthese"/>
    <w:basedOn w:val="49"/>
    <w:qFormat/>
    <w:uiPriority w:val="0"/>
  </w:style>
  <w:style w:type="character" w:customStyle="1" w:styleId="131">
    <w:name w:val="标题 1 字符"/>
    <w:qFormat/>
    <w:uiPriority w:val="9"/>
    <w:rPr>
      <w:b/>
      <w:kern w:val="44"/>
      <w:sz w:val="30"/>
      <w:szCs w:val="22"/>
      <w:lang w:bidi="ar-SA"/>
    </w:rPr>
  </w:style>
  <w:style w:type="character" w:customStyle="1" w:styleId="132">
    <w:name w:val="纯文本 Char Char"/>
    <w:qFormat/>
    <w:uiPriority w:val="0"/>
    <w:rPr>
      <w:rFonts w:ascii="宋体" w:hAnsi="Courier New" w:eastAsia="仿宋_GB2312"/>
      <w:kern w:val="2"/>
      <w:sz w:val="32"/>
      <w:szCs w:val="24"/>
      <w:lang w:bidi="ar-SA"/>
    </w:rPr>
  </w:style>
  <w:style w:type="character" w:customStyle="1" w:styleId="133">
    <w:name w:val="Font Style131"/>
    <w:unhideWhenUsed/>
    <w:qFormat/>
    <w:uiPriority w:val="99"/>
    <w:rPr>
      <w:rFonts w:hint="eastAsia" w:ascii="Times New Roman" w:hAnsi="Times New Roman" w:eastAsia="Times New Roman"/>
      <w:sz w:val="18"/>
    </w:rPr>
  </w:style>
  <w:style w:type="character" w:customStyle="1" w:styleId="134">
    <w:name w:val="明显引用 Char"/>
    <w:link w:val="135"/>
    <w:qFormat/>
    <w:uiPriority w:val="0"/>
    <w:rPr>
      <w:b/>
      <w:bCs/>
      <w:i/>
      <w:iCs/>
      <w:color w:val="4F81BD"/>
      <w:kern w:val="2"/>
      <w:sz w:val="21"/>
      <w:szCs w:val="22"/>
    </w:rPr>
  </w:style>
  <w:style w:type="paragraph" w:styleId="135">
    <w:name w:val="Intense Quote"/>
    <w:basedOn w:val="1"/>
    <w:next w:val="1"/>
    <w:link w:val="134"/>
    <w:qFormat/>
    <w:uiPriority w:val="0"/>
    <w:pPr>
      <w:pBdr>
        <w:bottom w:val="single" w:color="4F81BD" w:sz="4" w:space="4"/>
      </w:pBdr>
      <w:spacing w:before="200" w:after="280"/>
      <w:ind w:left="936" w:right="936"/>
    </w:pPr>
    <w:rPr>
      <w:b/>
      <w:bCs/>
      <w:i/>
      <w:iCs/>
      <w:color w:val="4F81BD"/>
      <w:szCs w:val="22"/>
    </w:rPr>
  </w:style>
  <w:style w:type="character" w:customStyle="1" w:styleId="136">
    <w:name w:val="明显强调1"/>
    <w:qFormat/>
    <w:uiPriority w:val="0"/>
    <w:rPr>
      <w:b/>
      <w:bCs/>
      <w:i/>
      <w:iCs/>
      <w:color w:val="4F81BD"/>
    </w:rPr>
  </w:style>
  <w:style w:type="character" w:customStyle="1" w:styleId="137">
    <w:name w:val="正文文本缩进 3 Char1"/>
    <w:qFormat/>
    <w:uiPriority w:val="0"/>
    <w:rPr>
      <w:rFonts w:ascii="Times New Roman" w:hAnsi="Times New Roman" w:eastAsia="宋体" w:cs="Times New Roman"/>
      <w:sz w:val="16"/>
      <w:szCs w:val="16"/>
    </w:rPr>
  </w:style>
  <w:style w:type="character" w:customStyle="1" w:styleId="138">
    <w:name w:val="标题 4 Char_1_0"/>
    <w:link w:val="139"/>
    <w:qFormat/>
    <w:uiPriority w:val="0"/>
    <w:rPr>
      <w:rFonts w:ascii="Arial" w:hAnsi="Arial"/>
      <w:b/>
      <w:bCs/>
      <w:kern w:val="2"/>
      <w:sz w:val="21"/>
      <w:szCs w:val="28"/>
    </w:rPr>
  </w:style>
  <w:style w:type="paragraph" w:customStyle="1" w:styleId="139">
    <w:name w:val="标题 4_1_0"/>
    <w:basedOn w:val="140"/>
    <w:next w:val="140"/>
    <w:link w:val="138"/>
    <w:qFormat/>
    <w:uiPriority w:val="0"/>
    <w:pPr>
      <w:keepNext/>
      <w:keepLines/>
      <w:spacing w:line="360" w:lineRule="auto"/>
      <w:outlineLvl w:val="3"/>
    </w:pPr>
    <w:rPr>
      <w:rFonts w:ascii="Arial" w:hAnsi="Arial"/>
      <w:b/>
      <w:bCs/>
      <w:szCs w:val="28"/>
    </w:rPr>
  </w:style>
  <w:style w:type="paragraph" w:customStyle="1" w:styleId="140">
    <w:name w:val="正文_7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1">
    <w:name w:val="文档结构图 字符"/>
    <w:semiHidden/>
    <w:qFormat/>
    <w:uiPriority w:val="99"/>
    <w:rPr>
      <w:rFonts w:ascii="宋体" w:hAnsi="Calibri" w:cs="Times New Roman"/>
      <w:kern w:val="2"/>
      <w:sz w:val="24"/>
      <w:szCs w:val="24"/>
    </w:rPr>
  </w:style>
  <w:style w:type="character" w:customStyle="1" w:styleId="142">
    <w:name w:val="Font Style125"/>
    <w:unhideWhenUsed/>
    <w:qFormat/>
    <w:uiPriority w:val="99"/>
    <w:rPr>
      <w:rFonts w:hint="eastAsia" w:ascii="宋体" w:hAnsi="宋体" w:eastAsia="宋体"/>
      <w:b/>
      <w:sz w:val="26"/>
    </w:rPr>
  </w:style>
  <w:style w:type="character" w:customStyle="1" w:styleId="143">
    <w:name w:val="HTML 预设格式 字符1"/>
    <w:semiHidden/>
    <w:qFormat/>
    <w:uiPriority w:val="0"/>
    <w:rPr>
      <w:rFonts w:ascii="Courier New" w:hAnsi="Courier New" w:cs="Courier New"/>
      <w:kern w:val="2"/>
    </w:rPr>
  </w:style>
  <w:style w:type="character" w:customStyle="1" w:styleId="144">
    <w:name w:val="Font Style94"/>
    <w:unhideWhenUsed/>
    <w:qFormat/>
    <w:uiPriority w:val="99"/>
    <w:rPr>
      <w:rFonts w:hint="eastAsia" w:ascii="Times New Roman" w:hAnsi="Times New Roman" w:eastAsia="Times New Roman"/>
      <w:sz w:val="28"/>
    </w:rPr>
  </w:style>
  <w:style w:type="character" w:customStyle="1" w:styleId="145">
    <w:name w:val="副标题 Char1"/>
    <w:qFormat/>
    <w:uiPriority w:val="11"/>
    <w:rPr>
      <w:rFonts w:ascii="Cambria" w:hAnsi="Cambria" w:cs="Times New Roman"/>
      <w:b/>
      <w:bCs/>
      <w:kern w:val="28"/>
      <w:sz w:val="32"/>
      <w:szCs w:val="32"/>
    </w:rPr>
  </w:style>
  <w:style w:type="character" w:customStyle="1" w:styleId="146">
    <w:name w:val="标题 3 Char1"/>
    <w:qFormat/>
    <w:uiPriority w:val="0"/>
    <w:rPr>
      <w:b/>
      <w:bCs/>
      <w:sz w:val="24"/>
      <w:szCs w:val="24"/>
    </w:rPr>
  </w:style>
  <w:style w:type="character" w:customStyle="1" w:styleId="147">
    <w:name w:val="不明显强调1"/>
    <w:qFormat/>
    <w:uiPriority w:val="0"/>
    <w:rPr>
      <w:i/>
      <w:iCs/>
      <w:color w:val="808080"/>
    </w:rPr>
  </w:style>
  <w:style w:type="character" w:customStyle="1" w:styleId="148">
    <w:name w:val="批注文字 字符"/>
    <w:qFormat/>
    <w:uiPriority w:val="99"/>
    <w:rPr>
      <w:rFonts w:ascii="Calibri" w:hAnsi="Calibri" w:eastAsia="宋体" w:cs="Times New Roman"/>
      <w:kern w:val="2"/>
      <w:sz w:val="24"/>
      <w:szCs w:val="22"/>
    </w:rPr>
  </w:style>
  <w:style w:type="character" w:customStyle="1" w:styleId="149">
    <w:name w:val="Font Style128"/>
    <w:unhideWhenUsed/>
    <w:qFormat/>
    <w:uiPriority w:val="99"/>
    <w:rPr>
      <w:rFonts w:hint="eastAsia" w:ascii="Times New Roman" w:hAnsi="Times New Roman" w:eastAsia="Times New Roman"/>
      <w:sz w:val="16"/>
    </w:rPr>
  </w:style>
  <w:style w:type="character" w:styleId="150">
    <w:name w:val="Placeholder Text"/>
    <w:unhideWhenUsed/>
    <w:qFormat/>
    <w:uiPriority w:val="99"/>
    <w:rPr>
      <w:color w:val="808080"/>
    </w:rPr>
  </w:style>
  <w:style w:type="character" w:customStyle="1" w:styleId="151">
    <w:name w:val="Font Style122"/>
    <w:unhideWhenUsed/>
    <w:qFormat/>
    <w:uiPriority w:val="99"/>
    <w:rPr>
      <w:rFonts w:hint="eastAsia" w:ascii="宋体" w:hAnsi="宋体" w:eastAsia="宋体"/>
      <w:spacing w:val="20"/>
      <w:sz w:val="24"/>
    </w:rPr>
  </w:style>
  <w:style w:type="character" w:customStyle="1" w:styleId="152">
    <w:name w:val="Char Char141"/>
    <w:qFormat/>
    <w:uiPriority w:val="0"/>
    <w:rPr>
      <w:rFonts w:ascii="Arial" w:hAnsi="Arial"/>
      <w:b/>
      <w:bCs/>
      <w:kern w:val="2"/>
      <w:sz w:val="21"/>
      <w:szCs w:val="28"/>
    </w:rPr>
  </w:style>
  <w:style w:type="character" w:customStyle="1" w:styleId="153">
    <w:name w:val="Font Style126"/>
    <w:unhideWhenUsed/>
    <w:qFormat/>
    <w:uiPriority w:val="99"/>
    <w:rPr>
      <w:rFonts w:hint="eastAsia" w:ascii="宋体" w:hAnsi="宋体" w:eastAsia="宋体"/>
      <w:b/>
      <w:spacing w:val="-30"/>
      <w:sz w:val="28"/>
    </w:rPr>
  </w:style>
  <w:style w:type="character" w:customStyle="1" w:styleId="154">
    <w:name w:val="书籍标题1"/>
    <w:qFormat/>
    <w:uiPriority w:val="0"/>
    <w:rPr>
      <w:b/>
      <w:bCs/>
      <w:smallCaps/>
      <w:spacing w:val="5"/>
    </w:rPr>
  </w:style>
  <w:style w:type="character" w:customStyle="1" w:styleId="155">
    <w:name w:val="标题 4 Char1"/>
    <w:qFormat/>
    <w:uiPriority w:val="0"/>
    <w:rPr>
      <w:rFonts w:ascii="Arial" w:hAnsi="Arial" w:eastAsia="宋体" w:cs="Times New Roman"/>
      <w:b/>
      <w:bCs/>
      <w:szCs w:val="28"/>
    </w:rPr>
  </w:style>
  <w:style w:type="character" w:customStyle="1" w:styleId="156">
    <w:name w:val="页脚 Char1"/>
    <w:semiHidden/>
    <w:qFormat/>
    <w:uiPriority w:val="99"/>
    <w:rPr>
      <w:rFonts w:ascii="Times New Roman" w:hAnsi="Times New Roman" w:eastAsia="宋体" w:cs="Times New Roman"/>
      <w:sz w:val="18"/>
      <w:szCs w:val="18"/>
    </w:rPr>
  </w:style>
  <w:style w:type="character" w:customStyle="1" w:styleId="157">
    <w:name w:val="日期 字符"/>
    <w:basedOn w:val="49"/>
    <w:qFormat/>
    <w:uiPriority w:val="0"/>
  </w:style>
  <w:style w:type="character" w:customStyle="1" w:styleId="158">
    <w:name w:val="正文文本 3 字符1"/>
    <w:semiHidden/>
    <w:qFormat/>
    <w:uiPriority w:val="0"/>
    <w:rPr>
      <w:kern w:val="2"/>
      <w:sz w:val="16"/>
      <w:szCs w:val="16"/>
    </w:rPr>
  </w:style>
  <w:style w:type="character" w:customStyle="1" w:styleId="159">
    <w:name w:val="页眉 字符"/>
    <w:qFormat/>
    <w:uiPriority w:val="99"/>
    <w:rPr>
      <w:rFonts w:ascii="宋体" w:hAnsi="宋体" w:cs="Times New Roman"/>
      <w:kern w:val="2"/>
      <w:sz w:val="18"/>
      <w:szCs w:val="18"/>
    </w:rPr>
  </w:style>
  <w:style w:type="character" w:customStyle="1" w:styleId="160">
    <w:name w:val="引用 Char"/>
    <w:link w:val="161"/>
    <w:qFormat/>
    <w:uiPriority w:val="0"/>
    <w:rPr>
      <w:i/>
      <w:iCs/>
      <w:color w:val="000000"/>
      <w:kern w:val="2"/>
      <w:sz w:val="21"/>
      <w:szCs w:val="22"/>
    </w:rPr>
  </w:style>
  <w:style w:type="paragraph" w:styleId="161">
    <w:name w:val="Quote"/>
    <w:basedOn w:val="1"/>
    <w:next w:val="1"/>
    <w:link w:val="160"/>
    <w:qFormat/>
    <w:uiPriority w:val="0"/>
    <w:rPr>
      <w:i/>
      <w:iCs/>
      <w:color w:val="000000"/>
      <w:szCs w:val="22"/>
    </w:rPr>
  </w:style>
  <w:style w:type="character" w:customStyle="1" w:styleId="162">
    <w:name w:val="明显参考1"/>
    <w:qFormat/>
    <w:uiPriority w:val="0"/>
    <w:rPr>
      <w:b/>
      <w:bCs/>
      <w:smallCaps/>
      <w:color w:val="C0504D"/>
      <w:spacing w:val="5"/>
      <w:u w:val="single"/>
    </w:rPr>
  </w:style>
  <w:style w:type="character" w:customStyle="1" w:styleId="163">
    <w:name w:val="标题 4 Char Char"/>
    <w:qFormat/>
    <w:uiPriority w:val="0"/>
    <w:rPr>
      <w:rFonts w:ascii="Arial" w:hAnsi="Arial" w:eastAsia="宋体"/>
      <w:b/>
      <w:bCs/>
      <w:kern w:val="2"/>
      <w:sz w:val="21"/>
      <w:szCs w:val="28"/>
      <w:lang w:val="en-US" w:eastAsia="zh-CN" w:bidi="ar-SA"/>
    </w:rPr>
  </w:style>
  <w:style w:type="character" w:customStyle="1" w:styleId="164">
    <w:name w:val="样式1 字符"/>
    <w:link w:val="165"/>
    <w:qFormat/>
    <w:uiPriority w:val="0"/>
    <w:rPr>
      <w:rFonts w:ascii="宋体" w:hAnsi="宋体"/>
      <w:kern w:val="2"/>
      <w:sz w:val="28"/>
    </w:rPr>
  </w:style>
  <w:style w:type="paragraph" w:customStyle="1" w:styleId="165">
    <w:name w:val="样式1"/>
    <w:basedOn w:val="1"/>
    <w:link w:val="164"/>
    <w:qFormat/>
    <w:uiPriority w:val="0"/>
    <w:pPr>
      <w:tabs>
        <w:tab w:val="right" w:leader="dot" w:pos="10142"/>
      </w:tabs>
      <w:autoSpaceDN w:val="0"/>
    </w:pPr>
    <w:rPr>
      <w:rFonts w:ascii="宋体" w:hAnsi="宋体"/>
      <w:sz w:val="28"/>
      <w:szCs w:val="20"/>
    </w:rPr>
  </w:style>
  <w:style w:type="character" w:customStyle="1" w:styleId="166">
    <w:name w:val="标题5 Char Char"/>
    <w:link w:val="167"/>
    <w:qFormat/>
    <w:uiPriority w:val="0"/>
    <w:rPr>
      <w:rFonts w:ascii="Arial" w:hAnsi="Arial"/>
      <w:b/>
      <w:bCs/>
      <w:sz w:val="24"/>
      <w:szCs w:val="32"/>
    </w:rPr>
  </w:style>
  <w:style w:type="paragraph" w:customStyle="1" w:styleId="167">
    <w:name w:val="标题5"/>
    <w:basedOn w:val="7"/>
    <w:link w:val="166"/>
    <w:qFormat/>
    <w:uiPriority w:val="0"/>
    <w:pPr>
      <w:keepNext/>
      <w:keepLines/>
      <w:widowControl w:val="0"/>
      <w:spacing w:before="260" w:after="260" w:line="413" w:lineRule="auto"/>
    </w:pPr>
    <w:rPr>
      <w:rFonts w:ascii="Arial" w:hAnsi="Arial"/>
      <w:szCs w:val="32"/>
    </w:rPr>
  </w:style>
  <w:style w:type="character" w:customStyle="1" w:styleId="168">
    <w:name w:val="明显引用 Char1"/>
    <w:qFormat/>
    <w:uiPriority w:val="99"/>
    <w:rPr>
      <w:b/>
      <w:bCs/>
      <w:i/>
      <w:iCs/>
      <w:color w:val="4F81BD"/>
      <w:kern w:val="2"/>
      <w:sz w:val="21"/>
      <w:szCs w:val="24"/>
    </w:rPr>
  </w:style>
  <w:style w:type="character" w:customStyle="1" w:styleId="169">
    <w:name w:val="正文文本缩进 Char1"/>
    <w:semiHidden/>
    <w:qFormat/>
    <w:uiPriority w:val="99"/>
    <w:rPr>
      <w:kern w:val="2"/>
      <w:sz w:val="21"/>
      <w:szCs w:val="24"/>
    </w:rPr>
  </w:style>
  <w:style w:type="character" w:customStyle="1" w:styleId="170">
    <w:name w:val="未处理的提及"/>
    <w:unhideWhenUsed/>
    <w:qFormat/>
    <w:uiPriority w:val="99"/>
    <w:rPr>
      <w:color w:val="605E5C"/>
      <w:shd w:val="clear" w:color="auto" w:fill="E1DFDD"/>
    </w:rPr>
  </w:style>
  <w:style w:type="character" w:customStyle="1" w:styleId="171">
    <w:name w:val="p0 Char Char"/>
    <w:qFormat/>
    <w:uiPriority w:val="0"/>
    <w:rPr>
      <w:rFonts w:eastAsia="宋体"/>
      <w:kern w:val="2"/>
      <w:sz w:val="21"/>
      <w:szCs w:val="21"/>
      <w:lang w:val="en-US" w:eastAsia="zh-CN" w:bidi="ar-SA"/>
    </w:rPr>
  </w:style>
  <w:style w:type="character" w:customStyle="1" w:styleId="172">
    <w:name w:val="Font Style115"/>
    <w:unhideWhenUsed/>
    <w:qFormat/>
    <w:uiPriority w:val="99"/>
    <w:rPr>
      <w:rFonts w:hint="eastAsia" w:ascii="Times New Roman" w:hAnsi="Times New Roman" w:eastAsia="Times New Roman"/>
      <w:sz w:val="16"/>
    </w:rPr>
  </w:style>
  <w:style w:type="character" w:customStyle="1" w:styleId="173">
    <w:name w:val="正文文本 Char1"/>
    <w:qFormat/>
    <w:uiPriority w:val="0"/>
    <w:rPr>
      <w:kern w:val="2"/>
      <w:sz w:val="21"/>
      <w:szCs w:val="22"/>
    </w:rPr>
  </w:style>
  <w:style w:type="character" w:customStyle="1" w:styleId="174">
    <w:name w:val="标题 3 字符"/>
    <w:qFormat/>
    <w:uiPriority w:val="0"/>
    <w:rPr>
      <w:rFonts w:ascii="宋体" w:hAnsi="Calibri" w:cs="Times New Roman"/>
      <w:b/>
      <w:kern w:val="2"/>
      <w:sz w:val="24"/>
      <w:szCs w:val="22"/>
    </w:rPr>
  </w:style>
  <w:style w:type="character" w:customStyle="1" w:styleId="175">
    <w:name w:val="批注框文本 Char1"/>
    <w:qFormat/>
    <w:uiPriority w:val="0"/>
    <w:rPr>
      <w:rFonts w:ascii="Times New Roman" w:hAnsi="Times New Roman" w:eastAsia="宋体" w:cs="Times New Roman"/>
      <w:sz w:val="18"/>
      <w:szCs w:val="18"/>
    </w:rPr>
  </w:style>
  <w:style w:type="character" w:customStyle="1" w:styleId="176">
    <w:name w:val="文档结构图 Char1"/>
    <w:qFormat/>
    <w:uiPriority w:val="0"/>
    <w:rPr>
      <w:rFonts w:ascii="宋体" w:hAnsi="Times New Roman" w:eastAsia="宋体" w:cs="Times New Roman"/>
      <w:sz w:val="18"/>
      <w:szCs w:val="18"/>
    </w:rPr>
  </w:style>
  <w:style w:type="character" w:customStyle="1" w:styleId="177">
    <w:name w:val="批注主题 字符"/>
    <w:semiHidden/>
    <w:qFormat/>
    <w:uiPriority w:val="99"/>
    <w:rPr>
      <w:rFonts w:ascii="Calibri" w:hAnsi="Calibri" w:eastAsia="宋体" w:cs="Times New Roman"/>
      <w:b/>
      <w:bCs/>
      <w:kern w:val="2"/>
      <w:sz w:val="24"/>
      <w:szCs w:val="22"/>
    </w:rPr>
  </w:style>
  <w:style w:type="character" w:customStyle="1" w:styleId="178">
    <w:name w:val="页眉 Char1"/>
    <w:semiHidden/>
    <w:qFormat/>
    <w:uiPriority w:val="99"/>
    <w:rPr>
      <w:rFonts w:ascii="Times New Roman" w:hAnsi="Times New Roman" w:eastAsia="宋体" w:cs="Times New Roman"/>
      <w:sz w:val="18"/>
      <w:szCs w:val="18"/>
    </w:rPr>
  </w:style>
  <w:style w:type="character" w:customStyle="1" w:styleId="179">
    <w:name w:val="纯文本 字符"/>
    <w:qFormat/>
    <w:uiPriority w:val="0"/>
    <w:rPr>
      <w:rFonts w:ascii="宋体" w:hAnsi="宋体" w:cs="宋体"/>
      <w:kern w:val="2"/>
      <w:sz w:val="24"/>
      <w:szCs w:val="24"/>
      <w:lang w:val="en-US" w:eastAsia="zh-CN" w:bidi="ar-SA"/>
    </w:rPr>
  </w:style>
  <w:style w:type="character" w:customStyle="1" w:styleId="180">
    <w:name w:val="标题 8 字符"/>
    <w:qFormat/>
    <w:uiPriority w:val="0"/>
    <w:rPr>
      <w:rFonts w:ascii="CG Times" w:hAnsi="CG Times"/>
      <w:sz w:val="22"/>
      <w:lang w:val="en-GB"/>
    </w:rPr>
  </w:style>
  <w:style w:type="character" w:customStyle="1" w:styleId="181">
    <w:name w:val="标题 6 字符"/>
    <w:semiHidden/>
    <w:qFormat/>
    <w:uiPriority w:val="9"/>
    <w:rPr>
      <w:rFonts w:ascii="Calibri Light" w:hAnsi="Calibri Light" w:eastAsia="宋体" w:cs="Times New Roman"/>
      <w:b/>
      <w:bCs/>
      <w:kern w:val="2"/>
      <w:sz w:val="24"/>
      <w:szCs w:val="24"/>
    </w:rPr>
  </w:style>
  <w:style w:type="character" w:customStyle="1" w:styleId="182">
    <w:name w:val="Font Style127"/>
    <w:unhideWhenUsed/>
    <w:qFormat/>
    <w:uiPriority w:val="99"/>
    <w:rPr>
      <w:rFonts w:hint="eastAsia" w:ascii="Times New Roman" w:hAnsi="Times New Roman" w:eastAsia="Times New Roman"/>
      <w:sz w:val="20"/>
    </w:rPr>
  </w:style>
  <w:style w:type="character" w:customStyle="1" w:styleId="183">
    <w:name w:val="不明显参考1"/>
    <w:qFormat/>
    <w:uiPriority w:val="0"/>
    <w:rPr>
      <w:smallCaps/>
      <w:color w:val="C0504D"/>
      <w:u w:val="single"/>
    </w:rPr>
  </w:style>
  <w:style w:type="character" w:customStyle="1" w:styleId="184">
    <w:name w:val="Font Style123"/>
    <w:unhideWhenUsed/>
    <w:qFormat/>
    <w:uiPriority w:val="99"/>
    <w:rPr>
      <w:rFonts w:hint="eastAsia" w:ascii="宋体" w:hAnsi="宋体" w:eastAsia="宋体"/>
      <w:b/>
      <w:sz w:val="32"/>
    </w:rPr>
  </w:style>
  <w:style w:type="paragraph" w:customStyle="1" w:styleId="185">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186">
    <w:name w:val="List ALPHA CAPS 1"/>
    <w:basedOn w:val="1"/>
    <w:next w:val="3"/>
    <w:qFormat/>
    <w:uiPriority w:val="0"/>
    <w:pPr>
      <w:widowControl/>
      <w:numPr>
        <w:ilvl w:val="0"/>
        <w:numId w:val="1"/>
      </w:numPr>
      <w:tabs>
        <w:tab w:val="left" w:pos="22"/>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187">
    <w:name w:val="专用标题4"/>
    <w:basedOn w:val="8"/>
    <w:next w:val="1"/>
    <w:qFormat/>
    <w:uiPriority w:val="0"/>
    <w:pPr>
      <w:widowControl/>
      <w:numPr>
        <w:ilvl w:val="2"/>
        <w:numId w:val="2"/>
      </w:numPr>
      <w:adjustRightInd w:val="0"/>
      <w:snapToGrid w:val="0"/>
      <w:spacing w:line="240" w:lineRule="auto"/>
      <w:jc w:val="left"/>
    </w:pPr>
    <w:rPr>
      <w:b w:val="0"/>
      <w:bCs w:val="0"/>
      <w:sz w:val="28"/>
      <w:szCs w:val="22"/>
      <w:lang w:val="en-US" w:eastAsia="zh-CN"/>
    </w:rPr>
  </w:style>
  <w:style w:type="paragraph" w:customStyle="1" w:styleId="188">
    <w:name w:val="Style21"/>
    <w:basedOn w:val="1"/>
    <w:unhideWhenUsed/>
    <w:qFormat/>
    <w:uiPriority w:val="99"/>
    <w:pPr>
      <w:spacing w:line="566" w:lineRule="exact"/>
      <w:ind w:firstLine="682"/>
    </w:pPr>
    <w:rPr>
      <w:rFonts w:ascii="Calibri" w:hAnsi="Calibri"/>
    </w:rPr>
  </w:style>
  <w:style w:type="paragraph" w:customStyle="1" w:styleId="189">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90">
    <w:name w:val="Style50"/>
    <w:basedOn w:val="1"/>
    <w:unhideWhenUsed/>
    <w:qFormat/>
    <w:uiPriority w:val="99"/>
    <w:rPr>
      <w:rFonts w:ascii="Calibri" w:hAnsi="Calibri"/>
    </w:rPr>
  </w:style>
  <w:style w:type="paragraph" w:customStyle="1" w:styleId="191">
    <w:name w:val="Style13"/>
    <w:basedOn w:val="1"/>
    <w:unhideWhenUsed/>
    <w:qFormat/>
    <w:uiPriority w:val="99"/>
    <w:rPr>
      <w:rFonts w:ascii="Calibri" w:hAnsi="Calibri"/>
    </w:rPr>
  </w:style>
  <w:style w:type="paragraph" w:customStyle="1" w:styleId="192">
    <w:name w:val="标题2"/>
    <w:basedOn w:val="44"/>
    <w:qFormat/>
    <w:uiPriority w:val="0"/>
    <w:pPr>
      <w:spacing w:after="240"/>
      <w:jc w:val="left"/>
    </w:pPr>
    <w:rPr>
      <w:sz w:val="30"/>
    </w:rPr>
  </w:style>
  <w:style w:type="paragraph" w:customStyle="1" w:styleId="193">
    <w:name w:val="_Style 4"/>
    <w:basedOn w:val="1"/>
    <w:qFormat/>
    <w:uiPriority w:val="34"/>
    <w:pPr>
      <w:widowControl/>
      <w:spacing w:line="120" w:lineRule="exact"/>
      <w:ind w:firstLine="420" w:firstLineChars="200"/>
      <w:jc w:val="left"/>
    </w:pPr>
    <w:rPr>
      <w:rFonts w:ascii="Calibri" w:hAnsi="Calibri"/>
      <w:sz w:val="18"/>
      <w:szCs w:val="18"/>
    </w:rPr>
  </w:style>
  <w:style w:type="paragraph" w:customStyle="1" w:styleId="194">
    <w:name w:val="Style10"/>
    <w:basedOn w:val="1"/>
    <w:unhideWhenUsed/>
    <w:qFormat/>
    <w:uiPriority w:val="99"/>
    <w:pPr>
      <w:spacing w:line="538" w:lineRule="exact"/>
    </w:pPr>
    <w:rPr>
      <w:rFonts w:ascii="Calibri" w:hAnsi="Calibri"/>
    </w:rPr>
  </w:style>
  <w:style w:type="paragraph" w:customStyle="1" w:styleId="195">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196">
    <w:name w:val="Style46"/>
    <w:basedOn w:val="1"/>
    <w:unhideWhenUsed/>
    <w:qFormat/>
    <w:uiPriority w:val="99"/>
    <w:pPr>
      <w:spacing w:line="672" w:lineRule="exact"/>
    </w:pPr>
    <w:rPr>
      <w:rFonts w:ascii="Calibri" w:hAnsi="Calibri"/>
    </w:rPr>
  </w:style>
  <w:style w:type="paragraph" w:customStyle="1" w:styleId="197">
    <w:name w:val="Style64"/>
    <w:basedOn w:val="1"/>
    <w:unhideWhenUsed/>
    <w:qFormat/>
    <w:uiPriority w:val="99"/>
    <w:rPr>
      <w:rFonts w:ascii="Calibri" w:hAnsi="Calibri"/>
    </w:rPr>
  </w:style>
  <w:style w:type="paragraph" w:customStyle="1" w:styleId="198">
    <w:name w:val="Style28"/>
    <w:basedOn w:val="1"/>
    <w:unhideWhenUsed/>
    <w:qFormat/>
    <w:uiPriority w:val="99"/>
    <w:pPr>
      <w:spacing w:line="552" w:lineRule="exact"/>
      <w:ind w:firstLine="547"/>
    </w:pPr>
    <w:rPr>
      <w:rFonts w:ascii="Calibri" w:hAnsi="Calibri"/>
    </w:rPr>
  </w:style>
  <w:style w:type="paragraph" w:customStyle="1" w:styleId="199">
    <w:name w:val="_Style 31"/>
    <w:basedOn w:val="1"/>
    <w:qFormat/>
    <w:uiPriority w:val="0"/>
    <w:rPr>
      <w:rFonts w:ascii="仿宋_GB2312" w:eastAsia="仿宋_GB2312"/>
      <w:kern w:val="0"/>
      <w:szCs w:val="20"/>
    </w:rPr>
  </w:style>
  <w:style w:type="paragraph" w:customStyle="1" w:styleId="200">
    <w:name w:val="TOC 标题2"/>
    <w:basedOn w:val="5"/>
    <w:next w:val="1"/>
    <w:qFormat/>
    <w:uiPriority w:val="0"/>
    <w:pPr>
      <w:keepLines/>
      <w:spacing w:before="340" w:after="330" w:line="576" w:lineRule="auto"/>
      <w:outlineLvl w:val="9"/>
    </w:pPr>
    <w:rPr>
      <w:rFonts w:ascii="Calibri" w:hAnsi="Calibri"/>
      <w:kern w:val="44"/>
      <w:sz w:val="44"/>
      <w:szCs w:val="44"/>
    </w:rPr>
  </w:style>
  <w:style w:type="paragraph" w:customStyle="1" w:styleId="201">
    <w:name w:val="Char Char Char Char Char Char Char Char Char Char"/>
    <w:basedOn w:val="1"/>
    <w:qFormat/>
    <w:uiPriority w:val="0"/>
    <w:rPr>
      <w:rFonts w:ascii="Calibri" w:hAnsi="Calibri"/>
    </w:rPr>
  </w:style>
  <w:style w:type="paragraph" w:customStyle="1" w:styleId="202">
    <w:name w:val="Style68"/>
    <w:basedOn w:val="1"/>
    <w:unhideWhenUsed/>
    <w:qFormat/>
    <w:uiPriority w:val="99"/>
    <w:pPr>
      <w:spacing w:line="547" w:lineRule="exact"/>
    </w:pPr>
    <w:rPr>
      <w:rFonts w:ascii="Calibri" w:hAnsi="Calibri"/>
    </w:rPr>
  </w:style>
  <w:style w:type="paragraph" w:customStyle="1" w:styleId="203">
    <w:name w:val="Style34"/>
    <w:basedOn w:val="1"/>
    <w:unhideWhenUsed/>
    <w:qFormat/>
    <w:uiPriority w:val="99"/>
    <w:pPr>
      <w:spacing w:line="375" w:lineRule="exact"/>
    </w:pPr>
    <w:rPr>
      <w:rFonts w:ascii="Calibri" w:hAnsi="Calibri"/>
    </w:rPr>
  </w:style>
  <w:style w:type="paragraph" w:customStyle="1" w:styleId="204">
    <w:name w:val="List Paragraph1"/>
    <w:basedOn w:val="1"/>
    <w:qFormat/>
    <w:uiPriority w:val="0"/>
    <w:pPr>
      <w:ind w:firstLine="420" w:firstLineChars="200"/>
    </w:pPr>
    <w:rPr>
      <w:rFonts w:ascii="Calibri" w:hAnsi="Calibri"/>
      <w:szCs w:val="22"/>
    </w:rPr>
  </w:style>
  <w:style w:type="paragraph" w:customStyle="1" w:styleId="205">
    <w:name w:val="正文文本2"/>
    <w:basedOn w:val="1"/>
    <w:qFormat/>
    <w:uiPriority w:val="0"/>
    <w:pPr>
      <w:widowControl/>
      <w:shd w:val="clear" w:color="auto" w:fill="FFFFFF"/>
      <w:spacing w:before="120" w:line="391" w:lineRule="exact"/>
      <w:ind w:hanging="420"/>
      <w:jc w:val="distribute"/>
    </w:pPr>
    <w:rPr>
      <w:rFonts w:ascii="MingLiU" w:hAnsi="MingLiU" w:eastAsia="MingLiU" w:cs="MingLiU"/>
      <w:szCs w:val="21"/>
      <w:shd w:val="clear" w:color="auto" w:fill="FFFFFF"/>
    </w:rPr>
  </w:style>
  <w:style w:type="paragraph" w:customStyle="1" w:styleId="206">
    <w:name w:val="Style16"/>
    <w:basedOn w:val="1"/>
    <w:unhideWhenUsed/>
    <w:qFormat/>
    <w:uiPriority w:val="99"/>
    <w:pPr>
      <w:jc w:val="right"/>
    </w:pPr>
    <w:rPr>
      <w:rFonts w:ascii="Calibri" w:hAnsi="Calibri"/>
    </w:rPr>
  </w:style>
  <w:style w:type="paragraph" w:customStyle="1" w:styleId="207">
    <w:name w:val="Style63"/>
    <w:basedOn w:val="1"/>
    <w:unhideWhenUsed/>
    <w:qFormat/>
    <w:uiPriority w:val="99"/>
    <w:pPr>
      <w:spacing w:line="564" w:lineRule="exact"/>
      <w:ind w:firstLine="682"/>
    </w:pPr>
    <w:rPr>
      <w:rFonts w:ascii="Calibri" w:hAnsi="Calibri"/>
    </w:rPr>
  </w:style>
  <w:style w:type="paragraph" w:customStyle="1" w:styleId="208">
    <w:name w:val="1"/>
    <w:next w:val="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10">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211">
    <w:name w:val="Style5"/>
    <w:basedOn w:val="1"/>
    <w:unhideWhenUsed/>
    <w:qFormat/>
    <w:uiPriority w:val="99"/>
    <w:rPr>
      <w:rFonts w:ascii="Calibri" w:hAnsi="Calibri"/>
    </w:rPr>
  </w:style>
  <w:style w:type="paragraph" w:customStyle="1" w:styleId="212">
    <w:name w:val="Style29"/>
    <w:basedOn w:val="1"/>
    <w:unhideWhenUsed/>
    <w:qFormat/>
    <w:uiPriority w:val="99"/>
    <w:pPr>
      <w:spacing w:line="547" w:lineRule="exact"/>
      <w:ind w:firstLine="547"/>
    </w:pPr>
    <w:rPr>
      <w:rFonts w:ascii="Calibri" w:hAnsi="Calibri"/>
    </w:rPr>
  </w:style>
  <w:style w:type="paragraph" w:customStyle="1" w:styleId="213">
    <w:name w:val="Char Char Char Char Char Char Char11"/>
    <w:basedOn w:val="1"/>
    <w:qFormat/>
    <w:uiPriority w:val="0"/>
    <w:pPr>
      <w:snapToGrid w:val="0"/>
      <w:spacing w:line="360" w:lineRule="auto"/>
      <w:ind w:firstLine="200" w:firstLineChars="200"/>
    </w:pPr>
    <w:rPr>
      <w:rFonts w:ascii="Calibri" w:hAnsi="Calibri" w:eastAsia="仿宋_GB2312"/>
      <w:sz w:val="24"/>
    </w:rPr>
  </w:style>
  <w:style w:type="paragraph" w:customStyle="1" w:styleId="214">
    <w:name w:val="普通 (Web)"/>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215">
    <w:name w:val="通用标题5"/>
    <w:qFormat/>
    <w:uiPriority w:val="0"/>
    <w:pPr>
      <w:widowControl w:val="0"/>
      <w:numPr>
        <w:ilvl w:val="3"/>
        <w:numId w:val="3"/>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216">
    <w:name w:val="修订3"/>
    <w:unhideWhenUsed/>
    <w:qFormat/>
    <w:uiPriority w:val="0"/>
    <w:rPr>
      <w:rFonts w:ascii="Times New Roman" w:hAnsi="Times New Roman" w:eastAsia="宋体" w:cs="Times New Roman"/>
      <w:kern w:val="2"/>
      <w:sz w:val="21"/>
      <w:szCs w:val="24"/>
      <w:lang w:val="en-US" w:eastAsia="zh-CN" w:bidi="ar-SA"/>
    </w:rPr>
  </w:style>
  <w:style w:type="paragraph" w:customStyle="1" w:styleId="217">
    <w:name w:val="Style8"/>
    <w:basedOn w:val="1"/>
    <w:unhideWhenUsed/>
    <w:qFormat/>
    <w:uiPriority w:val="99"/>
    <w:pPr>
      <w:spacing w:line="566" w:lineRule="exact"/>
      <w:jc w:val="center"/>
    </w:pPr>
    <w:rPr>
      <w:rFonts w:ascii="Calibri" w:hAnsi="Calibri"/>
    </w:rPr>
  </w:style>
  <w:style w:type="paragraph" w:customStyle="1" w:styleId="218">
    <w:name w:val="Char2"/>
    <w:basedOn w:val="1"/>
    <w:qFormat/>
    <w:uiPriority w:val="0"/>
    <w:pPr>
      <w:widowControl/>
      <w:spacing w:after="160" w:line="240" w:lineRule="exact"/>
      <w:jc w:val="left"/>
    </w:pPr>
    <w:rPr>
      <w:rFonts w:ascii="Calibri" w:hAnsi="Calibri"/>
    </w:rPr>
  </w:style>
  <w:style w:type="paragraph" w:customStyle="1" w:styleId="219">
    <w:name w:val="Style53"/>
    <w:basedOn w:val="1"/>
    <w:unhideWhenUsed/>
    <w:qFormat/>
    <w:uiPriority w:val="99"/>
    <w:pPr>
      <w:spacing w:line="533" w:lineRule="exact"/>
      <w:ind w:firstLine="581"/>
    </w:pPr>
    <w:rPr>
      <w:rFonts w:ascii="Calibri" w:hAnsi="Calibri"/>
    </w:rPr>
  </w:style>
  <w:style w:type="paragraph" w:customStyle="1" w:styleId="220">
    <w:name w:val="Style61"/>
    <w:basedOn w:val="1"/>
    <w:unhideWhenUsed/>
    <w:qFormat/>
    <w:uiPriority w:val="99"/>
    <w:rPr>
      <w:rFonts w:ascii="Calibri" w:hAnsi="Calibri"/>
    </w:rPr>
  </w:style>
  <w:style w:type="paragraph" w:customStyle="1" w:styleId="221">
    <w:name w:val="修订21"/>
    <w:qFormat/>
    <w:uiPriority w:val="0"/>
    <w:rPr>
      <w:rFonts w:ascii="Times New Roman" w:hAnsi="Times New Roman" w:eastAsia="宋体" w:cs="Times New Roman"/>
      <w:kern w:val="2"/>
      <w:sz w:val="21"/>
      <w:szCs w:val="24"/>
      <w:lang w:val="en-US" w:eastAsia="zh-CN" w:bidi="ar-SA"/>
    </w:rPr>
  </w:style>
  <w:style w:type="paragraph" w:customStyle="1" w:styleId="222">
    <w:name w:val="Style73"/>
    <w:basedOn w:val="1"/>
    <w:unhideWhenUsed/>
    <w:qFormat/>
    <w:uiPriority w:val="99"/>
    <w:pPr>
      <w:spacing w:line="538" w:lineRule="exact"/>
      <w:ind w:firstLine="533"/>
    </w:pPr>
    <w:rPr>
      <w:rFonts w:ascii="Calibri" w:hAnsi="Calibri"/>
    </w:rPr>
  </w:style>
  <w:style w:type="paragraph" w:customStyle="1" w:styleId="223">
    <w:name w:val="Style4"/>
    <w:basedOn w:val="1"/>
    <w:unhideWhenUsed/>
    <w:qFormat/>
    <w:uiPriority w:val="99"/>
    <w:rPr>
      <w:rFonts w:ascii="Calibri" w:hAnsi="Calibri"/>
    </w:rPr>
  </w:style>
  <w:style w:type="paragraph" w:customStyle="1" w:styleId="224">
    <w:name w:val="附件标题"/>
    <w:basedOn w:val="6"/>
    <w:next w:val="1"/>
    <w:qFormat/>
    <w:uiPriority w:val="0"/>
    <w:pPr>
      <w:widowControl/>
      <w:numPr>
        <w:ilvl w:val="0"/>
        <w:numId w:val="4"/>
      </w:numPr>
      <w:tabs>
        <w:tab w:val="left" w:pos="1134"/>
      </w:tabs>
      <w:wordWrap w:val="0"/>
      <w:topLinePunct/>
      <w:adjustRightInd w:val="0"/>
      <w:snapToGrid w:val="0"/>
      <w:spacing w:before="0" w:after="120" w:afterLines="50" w:line="360" w:lineRule="auto"/>
      <w:ind w:firstLine="0"/>
      <w:jc w:val="center"/>
    </w:pPr>
    <w:rPr>
      <w:rFonts w:ascii="黑体" w:hAnsi="黑体" w:eastAsia="黑体"/>
      <w:bCs w:val="0"/>
      <w:kern w:val="0"/>
      <w:sz w:val="30"/>
      <w:szCs w:val="30"/>
      <w:lang w:val="en-US" w:eastAsia="zh-CN"/>
    </w:rPr>
  </w:style>
  <w:style w:type="paragraph" w:customStyle="1" w:styleId="225">
    <w:name w:val="修订2"/>
    <w:qFormat/>
    <w:uiPriority w:val="99"/>
    <w:rPr>
      <w:rFonts w:ascii="Calibri" w:hAnsi="Calibri" w:eastAsia="宋体" w:cs="Times New Roman"/>
      <w:kern w:val="2"/>
      <w:sz w:val="21"/>
      <w:szCs w:val="24"/>
      <w:lang w:val="en-US" w:eastAsia="zh-CN" w:bidi="ar-SA"/>
    </w:rPr>
  </w:style>
  <w:style w:type="paragraph" w:customStyle="1" w:styleId="226">
    <w:name w:val="through-content"/>
    <w:basedOn w:val="1"/>
    <w:qFormat/>
    <w:uiPriority w:val="0"/>
    <w:pPr>
      <w:widowControl/>
      <w:wordWrap w:val="0"/>
      <w:topLinePunct/>
      <w:spacing w:before="100" w:beforeAutospacing="1" w:after="100" w:afterAutospacing="1"/>
      <w:jc w:val="left"/>
    </w:pPr>
    <w:rPr>
      <w:rFonts w:ascii="宋体" w:hAnsi="宋体" w:cs="宋体"/>
      <w:kern w:val="0"/>
      <w:sz w:val="24"/>
      <w:szCs w:val="20"/>
    </w:rPr>
  </w:style>
  <w:style w:type="paragraph" w:customStyle="1" w:styleId="227">
    <w:name w:val="Style12"/>
    <w:basedOn w:val="1"/>
    <w:unhideWhenUsed/>
    <w:qFormat/>
    <w:uiPriority w:val="99"/>
    <w:pPr>
      <w:spacing w:line="564" w:lineRule="exact"/>
      <w:ind w:hanging="115"/>
    </w:pPr>
    <w:rPr>
      <w:rFonts w:ascii="Calibri" w:hAnsi="Calibri"/>
    </w:rPr>
  </w:style>
  <w:style w:type="paragraph" w:customStyle="1" w:styleId="228">
    <w:name w:val="Char1 Char Char Char 字元 Char Char 字元 Char 字元 Char1 Char Char Char"/>
    <w:basedOn w:val="1"/>
    <w:qFormat/>
    <w:uiPriority w:val="0"/>
  </w:style>
  <w:style w:type="paragraph" w:customStyle="1" w:styleId="229">
    <w:name w:val="LIST ALPHA CAPS 2"/>
    <w:basedOn w:val="1"/>
    <w:next w:val="40"/>
    <w:qFormat/>
    <w:uiPriority w:val="0"/>
    <w:pPr>
      <w:widowControl/>
      <w:numPr>
        <w:ilvl w:val="1"/>
        <w:numId w:val="1"/>
      </w:numPr>
      <w:tabs>
        <w:tab w:val="left" w:pos="50"/>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230">
    <w:name w:val="Char Char Char Char Char Char Char Char Char Char1"/>
    <w:basedOn w:val="1"/>
    <w:qFormat/>
    <w:uiPriority w:val="0"/>
    <w:rPr>
      <w:rFonts w:ascii="Calibri" w:hAnsi="Calibri"/>
    </w:rPr>
  </w:style>
  <w:style w:type="paragraph" w:customStyle="1" w:styleId="231">
    <w:name w:val="Aufzaehlung"/>
    <w:basedOn w:val="1"/>
    <w:qFormat/>
    <w:uiPriority w:val="0"/>
    <w:pPr>
      <w:widowControl/>
      <w:spacing w:line="240" w:lineRule="atLeast"/>
      <w:ind w:left="284" w:hanging="284"/>
      <w:jc w:val="left"/>
    </w:pPr>
    <w:rPr>
      <w:rFonts w:ascii="Arial" w:hAnsi="Arial"/>
      <w:kern w:val="0"/>
      <w:sz w:val="22"/>
      <w:lang w:eastAsia="en-US"/>
    </w:rPr>
  </w:style>
  <w:style w:type="paragraph" w:customStyle="1" w:styleId="232">
    <w:name w:val="Style71"/>
    <w:basedOn w:val="1"/>
    <w:unhideWhenUsed/>
    <w:qFormat/>
    <w:uiPriority w:val="99"/>
    <w:pPr>
      <w:spacing w:line="538" w:lineRule="exact"/>
      <w:ind w:firstLine="101"/>
    </w:pPr>
    <w:rPr>
      <w:rFonts w:ascii="Calibri" w:hAnsi="Calibri"/>
    </w:rPr>
  </w:style>
  <w:style w:type="paragraph" w:customStyle="1" w:styleId="233">
    <w:name w:val="样式8"/>
    <w:basedOn w:val="1"/>
    <w:qFormat/>
    <w:uiPriority w:val="0"/>
    <w:pPr>
      <w:widowControl/>
      <w:wordWrap w:val="0"/>
      <w:topLinePunct/>
      <w:autoSpaceDE w:val="0"/>
      <w:autoSpaceDN w:val="0"/>
      <w:adjustRightInd w:val="0"/>
      <w:ind w:left="1274" w:leftChars="531" w:firstLine="2"/>
    </w:pPr>
    <w:rPr>
      <w:rFonts w:ascii="宋体" w:hAnsi="宋体"/>
      <w:bCs/>
      <w:kern w:val="0"/>
      <w:sz w:val="24"/>
      <w:szCs w:val="20"/>
    </w:rPr>
  </w:style>
  <w:style w:type="paragraph" w:customStyle="1" w:styleId="234">
    <w:name w:val="Style70"/>
    <w:basedOn w:val="1"/>
    <w:unhideWhenUsed/>
    <w:qFormat/>
    <w:uiPriority w:val="99"/>
    <w:pPr>
      <w:spacing w:line="549" w:lineRule="exact"/>
      <w:ind w:firstLine="686"/>
    </w:pPr>
    <w:rPr>
      <w:rFonts w:ascii="Calibri" w:hAnsi="Calibri"/>
    </w:rPr>
  </w:style>
  <w:style w:type="paragraph" w:customStyle="1" w:styleId="235">
    <w:name w:val="CM99"/>
    <w:basedOn w:val="1"/>
    <w:next w:val="1"/>
    <w:qFormat/>
    <w:uiPriority w:val="0"/>
    <w:pPr>
      <w:autoSpaceDE w:val="0"/>
      <w:autoSpaceDN w:val="0"/>
      <w:adjustRightInd w:val="0"/>
      <w:spacing w:after="443"/>
      <w:jc w:val="left"/>
    </w:pPr>
    <w:rPr>
      <w:rFonts w:ascii="宋体" w:hAnsi="Times New Roman" w:eastAsia="宋体" w:cs="Times New Roman"/>
      <w:kern w:val="0"/>
      <w:sz w:val="24"/>
      <w:szCs w:val="20"/>
    </w:rPr>
  </w:style>
  <w:style w:type="paragraph" w:customStyle="1" w:styleId="236">
    <w:name w:val="Style69"/>
    <w:basedOn w:val="1"/>
    <w:unhideWhenUsed/>
    <w:qFormat/>
    <w:uiPriority w:val="99"/>
    <w:pPr>
      <w:spacing w:line="557" w:lineRule="exact"/>
      <w:ind w:firstLine="1666"/>
    </w:pPr>
    <w:rPr>
      <w:rFonts w:ascii="Calibri" w:hAnsi="Calibri"/>
    </w:rPr>
  </w:style>
  <w:style w:type="paragraph" w:customStyle="1" w:styleId="237">
    <w:name w:val="通用标题7"/>
    <w:basedOn w:val="1"/>
    <w:qFormat/>
    <w:uiPriority w:val="0"/>
    <w:pPr>
      <w:widowControl/>
      <w:numPr>
        <w:ilvl w:val="5"/>
        <w:numId w:val="5"/>
      </w:numPr>
      <w:wordWrap w:val="0"/>
      <w:topLinePunct/>
      <w:adjustRightInd w:val="0"/>
      <w:snapToGrid w:val="0"/>
      <w:spacing w:after="120" w:afterLines="50" w:line="360" w:lineRule="auto"/>
      <w:ind w:firstLineChars="200"/>
    </w:pPr>
    <w:rPr>
      <w:rFonts w:ascii="宋体" w:hAnsi="宋体"/>
      <w:kern w:val="0"/>
      <w:sz w:val="24"/>
      <w:szCs w:val="20"/>
    </w:rPr>
  </w:style>
  <w:style w:type="paragraph" w:customStyle="1" w:styleId="23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9">
    <w:name w:val="Title 5"/>
    <w:next w:val="240"/>
    <w:qFormat/>
    <w:uiPriority w:val="0"/>
    <w:pPr>
      <w:numPr>
        <w:ilvl w:val="0"/>
        <w:numId w:val="6"/>
      </w:numPr>
      <w:ind w:left="1701" w:hanging="426"/>
      <w:jc w:val="both"/>
    </w:pPr>
    <w:rPr>
      <w:rFonts w:ascii="Times New Roman" w:hAnsi="Times New Roman" w:eastAsia="宋体" w:cs="Times New Roman"/>
      <w:kern w:val="2"/>
      <w:sz w:val="24"/>
      <w:szCs w:val="24"/>
      <w:lang w:val="en-US" w:eastAsia="zh-CN" w:bidi="ar-SA"/>
    </w:rPr>
  </w:style>
  <w:style w:type="paragraph" w:customStyle="1" w:styleId="240">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241">
    <w:name w:val="Title 4"/>
    <w:next w:val="210"/>
    <w:qFormat/>
    <w:uiPriority w:val="0"/>
    <w:pPr>
      <w:numPr>
        <w:ilvl w:val="0"/>
        <w:numId w:val="7"/>
      </w:numPr>
      <w:ind w:left="1276" w:hanging="562"/>
      <w:jc w:val="both"/>
    </w:pPr>
    <w:rPr>
      <w:rFonts w:ascii="Times New Roman" w:hAnsi="Times New Roman" w:eastAsia="宋体" w:cs="Times New Roman"/>
      <w:kern w:val="2"/>
      <w:sz w:val="24"/>
      <w:szCs w:val="24"/>
      <w:lang w:val="en-US" w:eastAsia="zh-CN" w:bidi="ar-SA"/>
    </w:rPr>
  </w:style>
  <w:style w:type="paragraph" w:customStyle="1" w:styleId="242">
    <w:name w:val="Style76"/>
    <w:basedOn w:val="1"/>
    <w:unhideWhenUsed/>
    <w:qFormat/>
    <w:uiPriority w:val="99"/>
    <w:rPr>
      <w:rFonts w:ascii="Calibri" w:hAnsi="Calibri"/>
    </w:rPr>
  </w:style>
  <w:style w:type="paragraph" w:customStyle="1" w:styleId="243">
    <w:name w:val="样式 标题 2 + Times New Roman 四号 非加粗 段前: 5 磅 段后: 0 磅 行距: 固定值 20..."/>
    <w:basedOn w:val="6"/>
    <w:qFormat/>
    <w:uiPriority w:val="0"/>
    <w:pPr>
      <w:spacing w:before="100" w:after="0" w:line="400" w:lineRule="exact"/>
    </w:pPr>
    <w:rPr>
      <w:rFonts w:ascii="Times New Roman" w:hAnsi="Times New Roman" w:eastAsia="黑体" w:cs="宋体"/>
      <w:b w:val="0"/>
      <w:bCs w:val="0"/>
      <w:kern w:val="0"/>
      <w:sz w:val="28"/>
      <w:szCs w:val="20"/>
    </w:rPr>
  </w:style>
  <w:style w:type="paragraph" w:customStyle="1" w:styleId="244">
    <w:name w:val="附件标题1"/>
    <w:next w:val="1"/>
    <w:qFormat/>
    <w:uiPriority w:val="0"/>
    <w:pPr>
      <w:numPr>
        <w:ilvl w:val="0"/>
        <w:numId w:val="8"/>
      </w:numPr>
      <w:tabs>
        <w:tab w:val="left" w:pos="567"/>
      </w:tabs>
      <w:adjustRightInd w:val="0"/>
      <w:snapToGrid w:val="0"/>
      <w:spacing w:after="120" w:afterLines="50" w:line="312" w:lineRule="auto"/>
    </w:pPr>
    <w:rPr>
      <w:rFonts w:ascii="黑体" w:hAnsi="黑体" w:eastAsia="黑体" w:cs="Times New Roman"/>
      <w:b/>
      <w:kern w:val="2"/>
      <w:sz w:val="24"/>
      <w:szCs w:val="24"/>
      <w:lang w:val="en-US" w:eastAsia="zh-CN" w:bidi="ar-SA"/>
    </w:rPr>
  </w:style>
  <w:style w:type="paragraph" w:customStyle="1" w:styleId="245">
    <w:name w:val="Default"/>
    <w:qFormat/>
    <w:uiPriority w:val="0"/>
    <w:pPr>
      <w:widowControl w:val="0"/>
      <w:autoSpaceDE w:val="0"/>
      <w:autoSpaceDN w:val="0"/>
      <w:adjustRightInd w:val="0"/>
    </w:pPr>
    <w:rPr>
      <w:rFonts w:ascii="FZShuSong-Z01" w:hAnsi="Times New Roman" w:eastAsia="FZShuSong-Z01" w:cs="FZShuSong-Z01"/>
      <w:color w:val="000000"/>
      <w:sz w:val="24"/>
      <w:szCs w:val="24"/>
      <w:lang w:val="en-US" w:eastAsia="zh-CN" w:bidi="ar-SA"/>
    </w:rPr>
  </w:style>
  <w:style w:type="paragraph" w:customStyle="1" w:styleId="246">
    <w:name w:val="Style77"/>
    <w:basedOn w:val="1"/>
    <w:unhideWhenUsed/>
    <w:qFormat/>
    <w:uiPriority w:val="99"/>
    <w:rPr>
      <w:rFonts w:ascii="Calibri" w:hAnsi="Calibri"/>
    </w:rPr>
  </w:style>
  <w:style w:type="paragraph" w:customStyle="1" w:styleId="247">
    <w:name w:val="样式3"/>
    <w:basedOn w:val="7"/>
    <w:qFormat/>
    <w:uiPriority w:val="0"/>
    <w:pPr>
      <w:jc w:val="left"/>
    </w:pPr>
    <w:rPr>
      <w:b w:val="0"/>
      <w:bCs w:val="0"/>
      <w:kern w:val="2"/>
      <w:sz w:val="28"/>
      <w:szCs w:val="28"/>
    </w:rPr>
  </w:style>
  <w:style w:type="paragraph" w:customStyle="1" w:styleId="248">
    <w:name w:val="Style48"/>
    <w:basedOn w:val="1"/>
    <w:unhideWhenUsed/>
    <w:qFormat/>
    <w:uiPriority w:val="99"/>
    <w:pPr>
      <w:spacing w:line="542" w:lineRule="exact"/>
      <w:jc w:val="right"/>
    </w:pPr>
    <w:rPr>
      <w:rFonts w:ascii="Calibri" w:hAnsi="Calibri"/>
    </w:rPr>
  </w:style>
  <w:style w:type="paragraph" w:customStyle="1" w:styleId="249">
    <w:name w:val="通用标题2"/>
    <w:basedOn w:val="6"/>
    <w:next w:val="1"/>
    <w:qFormat/>
    <w:uiPriority w:val="0"/>
    <w:pPr>
      <w:keepNext w:val="0"/>
      <w:keepLines w:val="0"/>
      <w:widowControl/>
      <w:numPr>
        <w:ilvl w:val="0"/>
        <w:numId w:val="5"/>
      </w:numPr>
      <w:tabs>
        <w:tab w:val="left" w:pos="993"/>
      </w:tabs>
      <w:wordWrap w:val="0"/>
      <w:topLinePunct/>
      <w:adjustRightInd w:val="0"/>
      <w:snapToGrid w:val="0"/>
      <w:spacing w:before="0" w:after="120" w:afterLines="50" w:line="360" w:lineRule="auto"/>
    </w:pPr>
    <w:rPr>
      <w:rFonts w:ascii="黑体" w:hAnsi="黑体" w:eastAsia="黑体"/>
      <w:bCs w:val="0"/>
      <w:kern w:val="0"/>
      <w:sz w:val="28"/>
      <w:szCs w:val="20"/>
      <w:lang w:val="en-US" w:eastAsia="zh-CN"/>
    </w:rPr>
  </w:style>
  <w:style w:type="paragraph" w:customStyle="1" w:styleId="250">
    <w:name w:val="Style9"/>
    <w:basedOn w:val="1"/>
    <w:unhideWhenUsed/>
    <w:qFormat/>
    <w:uiPriority w:val="99"/>
    <w:rPr>
      <w:rFonts w:ascii="Calibri" w:hAnsi="Calibri"/>
    </w:rPr>
  </w:style>
  <w:style w:type="paragraph" w:customStyle="1" w:styleId="251">
    <w:name w:val="Style44"/>
    <w:basedOn w:val="1"/>
    <w:unhideWhenUsed/>
    <w:qFormat/>
    <w:uiPriority w:val="99"/>
    <w:rPr>
      <w:rFonts w:ascii="Calibri" w:hAnsi="Calibri"/>
    </w:rPr>
  </w:style>
  <w:style w:type="paragraph" w:customStyle="1" w:styleId="252">
    <w:name w:val="Char Char Char Char Char Char Char Char Char Char Char Char Char"/>
    <w:basedOn w:val="1"/>
    <w:qFormat/>
    <w:uiPriority w:val="0"/>
    <w:rPr>
      <w:rFonts w:ascii="宋体" w:hAnsi="宋体"/>
      <w:sz w:val="24"/>
    </w:rPr>
  </w:style>
  <w:style w:type="paragraph" w:customStyle="1" w:styleId="253">
    <w:name w:val="标题 1 +"/>
    <w:basedOn w:val="5"/>
    <w:next w:val="1"/>
    <w:qFormat/>
    <w:uiPriority w:val="0"/>
    <w:pPr>
      <w:keepLines/>
      <w:spacing w:before="0" w:after="0" w:line="600" w:lineRule="auto"/>
      <w:jc w:val="center"/>
    </w:pPr>
    <w:rPr>
      <w:rFonts w:ascii="Times New Roman" w:hAnsi="Times New Roman" w:eastAsia="黑体"/>
      <w:kern w:val="0"/>
    </w:rPr>
  </w:style>
  <w:style w:type="paragraph" w:customStyle="1" w:styleId="254">
    <w:name w:val="_Style 39"/>
    <w:basedOn w:val="255"/>
    <w:qFormat/>
    <w:uiPriority w:val="0"/>
  </w:style>
  <w:style w:type="paragraph" w:customStyle="1" w:styleId="255">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6">
    <w:name w:val="Style41"/>
    <w:basedOn w:val="1"/>
    <w:unhideWhenUsed/>
    <w:qFormat/>
    <w:uiPriority w:val="99"/>
    <w:pPr>
      <w:spacing w:line="542" w:lineRule="exact"/>
      <w:ind w:firstLine="125"/>
    </w:pPr>
    <w:rPr>
      <w:rFonts w:ascii="Calibri" w:hAnsi="Calibri"/>
    </w:rPr>
  </w:style>
  <w:style w:type="paragraph" w:customStyle="1" w:styleId="257">
    <w:name w:val="样式2"/>
    <w:basedOn w:val="5"/>
    <w:qFormat/>
    <w:uiPriority w:val="0"/>
    <w:pPr>
      <w:jc w:val="left"/>
    </w:pPr>
    <w:rPr>
      <w:rFonts w:ascii="Times New Roman" w:hAnsi="Times New Roman"/>
      <w:b w:val="0"/>
      <w:bCs w:val="0"/>
      <w:kern w:val="2"/>
      <w:sz w:val="28"/>
      <w:szCs w:val="21"/>
    </w:rPr>
  </w:style>
  <w:style w:type="paragraph" w:customStyle="1" w:styleId="258">
    <w:name w:val="Char Char Char Char Char Char Char1"/>
    <w:basedOn w:val="1"/>
    <w:qFormat/>
    <w:uiPriority w:val="0"/>
    <w:pPr>
      <w:snapToGrid w:val="0"/>
      <w:spacing w:line="360" w:lineRule="auto"/>
      <w:ind w:firstLine="200" w:firstLineChars="200"/>
    </w:pPr>
    <w:rPr>
      <w:rFonts w:ascii="Calibri" w:hAnsi="Calibri" w:eastAsia="仿宋_GB2312"/>
      <w:sz w:val="24"/>
    </w:rPr>
  </w:style>
  <w:style w:type="paragraph" w:customStyle="1" w:styleId="259">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260">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61">
    <w:name w:val="1 Char Char Char Char"/>
    <w:basedOn w:val="255"/>
    <w:qFormat/>
    <w:uiPriority w:val="0"/>
  </w:style>
  <w:style w:type="paragraph" w:customStyle="1" w:styleId="262">
    <w:name w:val="CM91"/>
    <w:basedOn w:val="1"/>
    <w:next w:val="1"/>
    <w:qFormat/>
    <w:uiPriority w:val="0"/>
    <w:pPr>
      <w:autoSpaceDE w:val="0"/>
      <w:autoSpaceDN w:val="0"/>
      <w:adjustRightInd w:val="0"/>
      <w:spacing w:after="160"/>
      <w:jc w:val="left"/>
    </w:pPr>
    <w:rPr>
      <w:rFonts w:ascii="宋体" w:hAnsi="Times New Roman" w:eastAsia="宋体" w:cs="Times New Roman"/>
      <w:kern w:val="0"/>
      <w:sz w:val="24"/>
      <w:szCs w:val="20"/>
    </w:rPr>
  </w:style>
  <w:style w:type="paragraph" w:customStyle="1" w:styleId="263">
    <w:name w:val="Style11"/>
    <w:basedOn w:val="1"/>
    <w:unhideWhenUsed/>
    <w:qFormat/>
    <w:uiPriority w:val="99"/>
    <w:pPr>
      <w:spacing w:line="559" w:lineRule="exact"/>
      <w:ind w:firstLine="590"/>
    </w:pPr>
    <w:rPr>
      <w:rFonts w:ascii="Calibri" w:hAnsi="Calibri"/>
    </w:rPr>
  </w:style>
  <w:style w:type="paragraph" w:customStyle="1" w:styleId="264">
    <w:name w:val="列出段落21"/>
    <w:basedOn w:val="1"/>
    <w:qFormat/>
    <w:uiPriority w:val="0"/>
    <w:pPr>
      <w:ind w:firstLine="200" w:firstLineChars="200"/>
    </w:pPr>
    <w:rPr>
      <w:rFonts w:ascii="Calibri" w:hAnsi="Calibri"/>
      <w:szCs w:val="22"/>
    </w:rPr>
  </w:style>
  <w:style w:type="paragraph" w:customStyle="1" w:styleId="265">
    <w:name w:val="通用标题6"/>
    <w:basedOn w:val="1"/>
    <w:qFormat/>
    <w:uiPriority w:val="0"/>
    <w:pPr>
      <w:widowControl/>
      <w:numPr>
        <w:ilvl w:val="4"/>
        <w:numId w:val="3"/>
      </w:numPr>
      <w:tabs>
        <w:tab w:val="left" w:pos="993"/>
      </w:tabs>
      <w:adjustRightInd w:val="0"/>
      <w:snapToGrid w:val="0"/>
      <w:spacing w:after="120" w:afterLines="50" w:line="360" w:lineRule="auto"/>
      <w:ind w:left="310"/>
    </w:pPr>
    <w:rPr>
      <w:rFonts w:ascii="宋体" w:hAnsi="宋体"/>
      <w:kern w:val="0"/>
      <w:sz w:val="24"/>
      <w:szCs w:val="20"/>
    </w:rPr>
  </w:style>
  <w:style w:type="paragraph" w:customStyle="1" w:styleId="26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267">
    <w:name w:val="修订1"/>
    <w:qFormat/>
    <w:uiPriority w:val="99"/>
    <w:rPr>
      <w:rFonts w:ascii="Times New Roman" w:hAnsi="Times New Roman" w:eastAsia="宋体" w:cs="Times New Roman"/>
      <w:kern w:val="2"/>
      <w:sz w:val="21"/>
      <w:szCs w:val="24"/>
      <w:lang w:val="en-US" w:eastAsia="zh-CN" w:bidi="ar-SA"/>
    </w:rPr>
  </w:style>
  <w:style w:type="paragraph" w:customStyle="1" w:styleId="268">
    <w:name w:val="列出段落1"/>
    <w:basedOn w:val="1"/>
    <w:qFormat/>
    <w:uiPriority w:val="99"/>
    <w:pPr>
      <w:ind w:firstLine="420" w:firstLineChars="200"/>
    </w:pPr>
  </w:style>
  <w:style w:type="paragraph" w:customStyle="1" w:styleId="269">
    <w:name w:val="LIST ALPHA CAPS 3"/>
    <w:basedOn w:val="1"/>
    <w:next w:val="19"/>
    <w:qFormat/>
    <w:uiPriority w:val="0"/>
    <w:pPr>
      <w:widowControl/>
      <w:numPr>
        <w:ilvl w:val="2"/>
        <w:numId w:val="1"/>
      </w:numPr>
      <w:tabs>
        <w:tab w:val="left" w:pos="68"/>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270">
    <w:name w:val="Style78"/>
    <w:basedOn w:val="1"/>
    <w:unhideWhenUsed/>
    <w:qFormat/>
    <w:uiPriority w:val="99"/>
    <w:rPr>
      <w:rFonts w:ascii="Calibri" w:hAnsi="Calibri"/>
    </w:rPr>
  </w:style>
  <w:style w:type="paragraph" w:styleId="271">
    <w:name w:val="List Paragraph"/>
    <w:basedOn w:val="1"/>
    <w:qFormat/>
    <w:uiPriority w:val="34"/>
    <w:pPr>
      <w:ind w:firstLine="420" w:firstLineChars="200"/>
    </w:pPr>
    <w:rPr>
      <w:rFonts w:ascii="Calibri" w:hAnsi="Calibri"/>
      <w:szCs w:val="22"/>
    </w:rPr>
  </w:style>
  <w:style w:type="paragraph" w:customStyle="1" w:styleId="272">
    <w:name w:val="Table Paragraph"/>
    <w:basedOn w:val="1"/>
    <w:qFormat/>
    <w:uiPriority w:val="1"/>
    <w:pPr>
      <w:autoSpaceDE w:val="0"/>
      <w:autoSpaceDN w:val="0"/>
      <w:adjustRightInd w:val="0"/>
      <w:jc w:val="left"/>
    </w:pPr>
    <w:rPr>
      <w:kern w:val="0"/>
      <w:sz w:val="24"/>
    </w:rPr>
  </w:style>
  <w:style w:type="paragraph" w:customStyle="1" w:styleId="273">
    <w:name w:val="Style26"/>
    <w:basedOn w:val="1"/>
    <w:unhideWhenUsed/>
    <w:qFormat/>
    <w:uiPriority w:val="99"/>
    <w:rPr>
      <w:rFonts w:ascii="Calibri" w:hAnsi="Calibri"/>
    </w:rPr>
  </w:style>
  <w:style w:type="paragraph" w:customStyle="1" w:styleId="274">
    <w:name w:val="专用标题3"/>
    <w:basedOn w:val="7"/>
    <w:qFormat/>
    <w:uiPriority w:val="0"/>
    <w:pPr>
      <w:keepNext/>
      <w:keepLines/>
      <w:numPr>
        <w:ilvl w:val="1"/>
        <w:numId w:val="2"/>
      </w:numPr>
      <w:wordWrap w:val="0"/>
      <w:topLinePunct/>
      <w:adjustRightInd w:val="0"/>
      <w:snapToGrid w:val="0"/>
      <w:spacing w:after="120" w:afterLines="50"/>
      <w:jc w:val="left"/>
    </w:pPr>
    <w:rPr>
      <w:rFonts w:ascii="宋体" w:hAnsi="Calibri"/>
      <w:bCs w:val="0"/>
      <w:kern w:val="2"/>
      <w:szCs w:val="22"/>
    </w:rPr>
  </w:style>
  <w:style w:type="paragraph" w:customStyle="1" w:styleId="275">
    <w:name w:val="专用标题2"/>
    <w:basedOn w:val="6"/>
    <w:next w:val="1"/>
    <w:qFormat/>
    <w:uiPriority w:val="0"/>
    <w:pPr>
      <w:keepNext w:val="0"/>
      <w:keepLines w:val="0"/>
      <w:widowControl/>
      <w:tabs>
        <w:tab w:val="left" w:pos="993"/>
      </w:tabs>
      <w:adjustRightInd w:val="0"/>
      <w:snapToGrid w:val="0"/>
      <w:spacing w:before="0" w:after="120" w:afterLines="50" w:line="360" w:lineRule="auto"/>
    </w:pPr>
    <w:rPr>
      <w:rFonts w:ascii="宋体" w:hAnsi="宋体" w:cs="Times"/>
      <w:bCs w:val="0"/>
      <w:kern w:val="0"/>
      <w:sz w:val="28"/>
      <w:szCs w:val="20"/>
      <w:lang w:val="en-US" w:eastAsia="zh-CN"/>
    </w:rPr>
  </w:style>
  <w:style w:type="paragraph" w:customStyle="1" w:styleId="276">
    <w:name w:val="Style27"/>
    <w:basedOn w:val="1"/>
    <w:unhideWhenUsed/>
    <w:qFormat/>
    <w:uiPriority w:val="99"/>
    <w:rPr>
      <w:rFonts w:ascii="Calibri" w:hAnsi="Calibri"/>
    </w:rPr>
  </w:style>
  <w:style w:type="paragraph" w:customStyle="1" w:styleId="277">
    <w:name w:val="TOC 标题1"/>
    <w:basedOn w:val="5"/>
    <w:next w:val="1"/>
    <w:qFormat/>
    <w:uiPriority w:val="39"/>
    <w:pPr>
      <w:keepLines/>
      <w:spacing w:before="340" w:after="330" w:line="578" w:lineRule="auto"/>
      <w:outlineLvl w:val="9"/>
    </w:pPr>
    <w:rPr>
      <w:rFonts w:ascii="Times New Roman" w:hAnsi="Times New Roman"/>
      <w:kern w:val="44"/>
      <w:sz w:val="44"/>
      <w:szCs w:val="44"/>
    </w:rPr>
  </w:style>
  <w:style w:type="paragraph" w:customStyle="1" w:styleId="278">
    <w:name w:val="Style62"/>
    <w:basedOn w:val="1"/>
    <w:unhideWhenUsed/>
    <w:qFormat/>
    <w:uiPriority w:val="99"/>
    <w:rPr>
      <w:rFonts w:ascii="Calibri" w:hAnsi="Calibri"/>
    </w:rPr>
  </w:style>
  <w:style w:type="paragraph" w:customStyle="1" w:styleId="279">
    <w:name w:val="标题3"/>
    <w:basedOn w:val="5"/>
    <w:qFormat/>
    <w:uiPriority w:val="0"/>
    <w:pPr>
      <w:spacing w:beforeLines="50" w:afterLines="50" w:line="400" w:lineRule="exact"/>
    </w:pPr>
    <w:rPr>
      <w:rFonts w:ascii="宋体" w:hAnsi="宋体"/>
      <w:sz w:val="24"/>
    </w:rPr>
  </w:style>
  <w:style w:type="paragraph" w:customStyle="1" w:styleId="280">
    <w:name w:val="Style23"/>
    <w:basedOn w:val="1"/>
    <w:unhideWhenUsed/>
    <w:qFormat/>
    <w:uiPriority w:val="99"/>
    <w:rPr>
      <w:rFonts w:ascii="Calibri" w:hAnsi="Calibri"/>
    </w:rPr>
  </w:style>
  <w:style w:type="paragraph" w:customStyle="1" w:styleId="281">
    <w:name w:val="Char"/>
    <w:basedOn w:val="1"/>
    <w:qFormat/>
    <w:uiPriority w:val="0"/>
    <w:rPr>
      <w:rFonts w:ascii="Tahoma" w:hAnsi="Tahoma" w:eastAsia="仿宋_GB2312"/>
      <w:sz w:val="24"/>
      <w:szCs w:val="20"/>
    </w:rPr>
  </w:style>
  <w:style w:type="paragraph" w:customStyle="1" w:styleId="282">
    <w:name w:val="Style52"/>
    <w:basedOn w:val="1"/>
    <w:unhideWhenUsed/>
    <w:qFormat/>
    <w:uiPriority w:val="99"/>
    <w:pPr>
      <w:spacing w:line="682" w:lineRule="exact"/>
      <w:ind w:firstLine="557"/>
    </w:pPr>
    <w:rPr>
      <w:rFonts w:ascii="Calibri" w:hAnsi="Calibri"/>
    </w:rPr>
  </w:style>
  <w:style w:type="paragraph" w:customStyle="1" w:styleId="283">
    <w:name w:val="Char Char"/>
    <w:basedOn w:val="1"/>
    <w:qFormat/>
    <w:uiPriority w:val="0"/>
  </w:style>
  <w:style w:type="paragraph" w:customStyle="1" w:styleId="284">
    <w:name w:val="TOC 标题11"/>
    <w:basedOn w:val="5"/>
    <w:next w:val="1"/>
    <w:qFormat/>
    <w:uiPriority w:val="39"/>
    <w:pPr>
      <w:keepLines/>
      <w:spacing w:before="340" w:after="330" w:line="578" w:lineRule="auto"/>
      <w:outlineLvl w:val="9"/>
    </w:pPr>
    <w:rPr>
      <w:rFonts w:ascii="Times New Roman" w:hAnsi="Times New Roman"/>
      <w:kern w:val="44"/>
      <w:sz w:val="44"/>
      <w:szCs w:val="44"/>
    </w:rPr>
  </w:style>
  <w:style w:type="paragraph" w:customStyle="1" w:styleId="285">
    <w:name w:val="Style42"/>
    <w:basedOn w:val="1"/>
    <w:unhideWhenUsed/>
    <w:qFormat/>
    <w:uiPriority w:val="99"/>
    <w:pPr>
      <w:spacing w:line="542" w:lineRule="exact"/>
      <w:ind w:firstLine="547"/>
    </w:pPr>
    <w:rPr>
      <w:rFonts w:ascii="Calibri" w:hAnsi="Calibri"/>
    </w:rPr>
  </w:style>
  <w:style w:type="paragraph" w:customStyle="1" w:styleId="286">
    <w:name w:val="Style36"/>
    <w:basedOn w:val="1"/>
    <w:unhideWhenUsed/>
    <w:qFormat/>
    <w:uiPriority w:val="99"/>
    <w:rPr>
      <w:rFonts w:ascii="Calibri" w:hAnsi="Calibri"/>
    </w:rPr>
  </w:style>
  <w:style w:type="paragraph" w:customStyle="1" w:styleId="28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88">
    <w:name w:val="Style15"/>
    <w:basedOn w:val="1"/>
    <w:unhideWhenUsed/>
    <w:qFormat/>
    <w:uiPriority w:val="99"/>
    <w:pPr>
      <w:spacing w:line="557" w:lineRule="exact"/>
      <w:ind w:firstLine="672"/>
    </w:pPr>
    <w:rPr>
      <w:rFonts w:ascii="Calibri" w:hAnsi="Calibri"/>
    </w:rPr>
  </w:style>
  <w:style w:type="paragraph" w:customStyle="1" w:styleId="289">
    <w:name w:val="列出段落2"/>
    <w:basedOn w:val="1"/>
    <w:qFormat/>
    <w:uiPriority w:val="0"/>
    <w:pPr>
      <w:ind w:firstLine="200" w:firstLineChars="200"/>
    </w:pPr>
    <w:rPr>
      <w:rFonts w:ascii="Calibri" w:hAnsi="Calibri"/>
      <w:szCs w:val="22"/>
    </w:rPr>
  </w:style>
  <w:style w:type="paragraph" w:customStyle="1" w:styleId="290">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91">
    <w:name w:val="Style72"/>
    <w:basedOn w:val="1"/>
    <w:unhideWhenUsed/>
    <w:qFormat/>
    <w:uiPriority w:val="99"/>
    <w:rPr>
      <w:rFonts w:ascii="Calibri" w:hAnsi="Calibri"/>
    </w:rPr>
  </w:style>
  <w:style w:type="paragraph" w:customStyle="1" w:styleId="292">
    <w:name w:val="协议书标题2"/>
    <w:basedOn w:val="6"/>
    <w:next w:val="1"/>
    <w:qFormat/>
    <w:uiPriority w:val="0"/>
    <w:pPr>
      <w:keepNext w:val="0"/>
      <w:keepLines w:val="0"/>
      <w:widowControl/>
      <w:numPr>
        <w:ilvl w:val="0"/>
        <w:numId w:val="9"/>
      </w:numPr>
      <w:tabs>
        <w:tab w:val="left" w:pos="567"/>
      </w:tabs>
      <w:wordWrap w:val="0"/>
      <w:topLinePunct/>
      <w:adjustRightInd w:val="0"/>
      <w:snapToGrid w:val="0"/>
      <w:spacing w:before="0" w:after="120" w:afterLines="50" w:line="360" w:lineRule="auto"/>
      <w:ind w:firstLine="0"/>
      <w:jc w:val="left"/>
    </w:pPr>
    <w:rPr>
      <w:rFonts w:ascii="宋体" w:hAnsi="宋体"/>
      <w:bCs w:val="0"/>
      <w:kern w:val="0"/>
      <w:sz w:val="24"/>
      <w:szCs w:val="20"/>
      <w:lang w:val="en-US" w:eastAsia="zh-CN"/>
    </w:rPr>
  </w:style>
  <w:style w:type="paragraph" w:customStyle="1" w:styleId="293">
    <w:name w:val="_Style 281"/>
    <w:unhideWhenUsed/>
    <w:qFormat/>
    <w:uiPriority w:val="99"/>
    <w:rPr>
      <w:rFonts w:ascii="Times New Roman" w:hAnsi="Times New Roman" w:eastAsia="宋体" w:cs="Times New Roman"/>
      <w:kern w:val="2"/>
      <w:sz w:val="21"/>
      <w:szCs w:val="24"/>
      <w:lang w:val="en-US" w:eastAsia="zh-CN" w:bidi="ar-SA"/>
    </w:rPr>
  </w:style>
  <w:style w:type="paragraph" w:customStyle="1" w:styleId="294">
    <w:name w:val="样式 图表 + 五号"/>
    <w:basedOn w:val="1"/>
    <w:qFormat/>
    <w:uiPriority w:val="0"/>
    <w:pPr>
      <w:spacing w:line="360" w:lineRule="auto"/>
      <w:ind w:left="-61" w:leftChars="-29" w:firstLine="522" w:firstLineChars="200"/>
    </w:pPr>
    <w:rPr>
      <w:rFonts w:ascii="宋体" w:hAnsi="宋体"/>
      <w:b/>
      <w:color w:val="FF0000"/>
      <w:spacing w:val="-10"/>
      <w:sz w:val="28"/>
      <w:szCs w:val="28"/>
    </w:rPr>
  </w:style>
  <w:style w:type="paragraph" w:customStyle="1" w:styleId="295">
    <w:name w:val="Char Char Char Char Char Char Char Char Char"/>
    <w:basedOn w:val="1"/>
    <w:qFormat/>
    <w:uiPriority w:val="0"/>
    <w:pPr>
      <w:spacing w:line="360" w:lineRule="auto"/>
      <w:ind w:firstLine="200" w:firstLineChars="200"/>
    </w:pPr>
  </w:style>
  <w:style w:type="paragraph"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样式 标题 3 + (中文) 黑体 小四 非加粗 段前: 7.8 磅 段后: 0 磅 行距: 固定值 20 磅"/>
    <w:basedOn w:val="7"/>
    <w:qFormat/>
    <w:uiPriority w:val="0"/>
    <w:pPr>
      <w:keepNext/>
      <w:keepLines/>
      <w:widowControl w:val="0"/>
      <w:spacing w:line="400" w:lineRule="exact"/>
    </w:pPr>
    <w:rPr>
      <w:rFonts w:eastAsia="黑体" w:cs="宋体"/>
      <w:b w:val="0"/>
      <w:bCs w:val="0"/>
      <w:kern w:val="2"/>
      <w:szCs w:val="20"/>
      <w:lang w:val="en-US"/>
    </w:rPr>
  </w:style>
  <w:style w:type="paragraph" w:customStyle="1" w:styleId="298">
    <w:name w:val="_Style 36"/>
    <w:qFormat/>
    <w:uiPriority w:val="0"/>
    <w:rPr>
      <w:rFonts w:ascii="Times New Roman" w:hAnsi="Times New Roman" w:eastAsia="宋体" w:cs="Times New Roman"/>
      <w:kern w:val="2"/>
      <w:sz w:val="21"/>
      <w:szCs w:val="24"/>
      <w:lang w:val="en-US" w:eastAsia="zh-CN" w:bidi="ar-SA"/>
    </w:rPr>
  </w:style>
  <w:style w:type="paragraph" w:customStyle="1" w:styleId="299">
    <w:name w:val="通用标题4"/>
    <w:next w:val="1"/>
    <w:qFormat/>
    <w:uiPriority w:val="0"/>
    <w:pPr>
      <w:numPr>
        <w:ilvl w:val="2"/>
        <w:numId w:val="3"/>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300">
    <w:name w:val="Style45"/>
    <w:basedOn w:val="1"/>
    <w:unhideWhenUsed/>
    <w:qFormat/>
    <w:uiPriority w:val="99"/>
    <w:rPr>
      <w:rFonts w:ascii="Calibri" w:hAnsi="Calibri"/>
    </w:rPr>
  </w:style>
  <w:style w:type="paragraph" w:customStyle="1" w:styleId="301">
    <w:name w:val="默认段落字体 Para Char Char Char Char Char Char Char Char Char Char Char Char Char Char Char Char Char Char Char"/>
    <w:basedOn w:val="1"/>
    <w:qFormat/>
    <w:uiPriority w:val="0"/>
  </w:style>
  <w:style w:type="paragraph" w:customStyle="1" w:styleId="302">
    <w:name w:val="Style24"/>
    <w:basedOn w:val="1"/>
    <w:unhideWhenUsed/>
    <w:qFormat/>
    <w:uiPriority w:val="99"/>
    <w:rPr>
      <w:rFonts w:ascii="Calibri" w:hAnsi="Calibri"/>
    </w:rPr>
  </w:style>
  <w:style w:type="paragraph" w:customStyle="1" w:styleId="303">
    <w:name w:val="通用标题3"/>
    <w:next w:val="1"/>
    <w:qFormat/>
    <w:uiPriority w:val="0"/>
    <w:pPr>
      <w:widowControl w:val="0"/>
      <w:numPr>
        <w:ilvl w:val="1"/>
        <w:numId w:val="3"/>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table" w:customStyle="1" w:styleId="304">
    <w:name w:val="TableGrid"/>
    <w:qFormat/>
    <w:uiPriority w:val="0"/>
    <w:rPr>
      <w:lang w:val="en-US" w:eastAsia="zh-CN" w:bidi="ar-SA"/>
    </w:rPr>
    <w:tblPr>
      <w:tblCellMar>
        <w:top w:w="0" w:type="dxa"/>
        <w:left w:w="0" w:type="dxa"/>
        <w:bottom w:w="0" w:type="dxa"/>
        <w:right w:w="0" w:type="dxa"/>
      </w:tblCellMar>
    </w:tblPr>
  </w:style>
  <w:style w:type="table" w:customStyle="1" w:styleId="305">
    <w:name w:val="网格型1"/>
    <w:basedOn w:val="47"/>
    <w:qFormat/>
    <w:uiPriority w:val="39"/>
    <w:rPr>
      <w:rFonts w:eastAsia="Times New Roman" w:cs="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6">
    <w:name w:val="Table Normal"/>
    <w:unhideWhenUsed/>
    <w:qFormat/>
    <w:uiPriority w:val="0"/>
    <w:tblPr>
      <w:tblCellMar>
        <w:top w:w="0" w:type="dxa"/>
        <w:left w:w="0" w:type="dxa"/>
        <w:bottom w:w="0" w:type="dxa"/>
        <w:right w:w="0" w:type="dxa"/>
      </w:tblCellMar>
    </w:tblPr>
  </w:style>
  <w:style w:type="paragraph" w:customStyle="1" w:styleId="307">
    <w:name w:val="WPSOffice手动目录 1"/>
    <w:qFormat/>
    <w:uiPriority w:val="0"/>
    <w:pPr>
      <w:ind w:leftChars="0"/>
    </w:pPr>
    <w:rPr>
      <w:rFonts w:ascii="Times New Roman" w:hAnsi="Times New Roman" w:eastAsia="宋体" w:cs="Times New Roman"/>
      <w:sz w:val="20"/>
      <w:szCs w:val="20"/>
    </w:rPr>
  </w:style>
  <w:style w:type="paragraph" w:customStyle="1" w:styleId="308">
    <w:name w:val="WPSOffice手动目录 2"/>
    <w:qFormat/>
    <w:uiPriority w:val="0"/>
    <w:pPr>
      <w:ind w:leftChars="200"/>
    </w:pPr>
    <w:rPr>
      <w:rFonts w:ascii="Times New Roman" w:hAnsi="Times New Roman" w:eastAsia="宋体" w:cs="Times New Roman"/>
      <w:sz w:val="20"/>
      <w:szCs w:val="20"/>
    </w:rPr>
  </w:style>
  <w:style w:type="paragraph" w:customStyle="1" w:styleId="309">
    <w:name w:val="List Paragraph2"/>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paragraph" w:customStyle="1" w:styleId="310">
    <w:name w:val="font5"/>
    <w:basedOn w:val="1"/>
    <w:qFormat/>
    <w:uiPriority w:val="0"/>
    <w:pPr>
      <w:widowControl/>
      <w:autoSpaceDE/>
      <w:autoSpaceDN/>
      <w:spacing w:before="280" w:after="280" w:line="240" w:lineRule="auto"/>
      <w:ind w:left="0" w:firstLine="3584"/>
    </w:pPr>
  </w:style>
  <w:style w:type="character" w:customStyle="1" w:styleId="311">
    <w:name w:val="wx-space"/>
    <w:basedOn w:val="49"/>
    <w:qFormat/>
    <w:uiPriority w:val="0"/>
  </w:style>
  <w:style w:type="character" w:customStyle="1" w:styleId="312">
    <w:name w:val="wx-space1"/>
    <w:basedOn w:val="49"/>
    <w:qFormat/>
    <w:uiPriority w:val="0"/>
  </w:style>
  <w:style w:type="character" w:customStyle="1" w:styleId="313">
    <w:name w:val="hover8"/>
    <w:basedOn w:val="49"/>
    <w:qFormat/>
    <w:uiPriority w:val="0"/>
    <w:rPr>
      <w:color w:val="000000"/>
      <w:shd w:val="clear" w:fill="FFFFFF"/>
    </w:rPr>
  </w:style>
  <w:style w:type="character" w:customStyle="1" w:styleId="314">
    <w:name w:val="bsharetext"/>
    <w:basedOn w:val="49"/>
    <w:qFormat/>
    <w:uiPriority w:val="0"/>
  </w:style>
  <w:style w:type="character" w:customStyle="1" w:styleId="315">
    <w:name w:val="hover"/>
    <w:basedOn w:val="49"/>
    <w:qFormat/>
    <w:uiPriority w:val="0"/>
    <w:rPr>
      <w:color w:val="00000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header" Target="header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55330</Words>
  <Characters>58485</Characters>
  <Lines>567</Lines>
  <Paragraphs>159</Paragraphs>
  <TotalTime>11</TotalTime>
  <ScaleCrop>false</ScaleCrop>
  <LinksUpToDate>false</LinksUpToDate>
  <CharactersWithSpaces>66701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2021-03-30T01:11:00Z</dcterms:created>
  <dc:creator>User</dc:creator>
  <cp:lastModifiedBy>L</cp:lastModifiedBy>
  <cp:lastPrinted>2023-05-23T07:18:00Z</cp:lastPrinted>
  <dcterms:modified xsi:type="dcterms:W3CDTF">2023-11-06T07:01:52Z</dcterms:modified>
  <dc:title>第二章  投标人须知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16DF7C5CD0C0427694D812B9D1E861EC_13</vt:lpwstr>
  </property>
  <property fmtid="{D5CDD505-2E9C-101B-9397-08002B2CF9AE}" pid="4" name="KSOSaveFontToCloudKey">
    <vt:lpwstr>247858411_btnclosed</vt:lpwstr>
  </property>
</Properties>
</file>