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0"/>
        <w:jc w:val="center"/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44"/>
          <w:szCs w:val="44"/>
        </w:rPr>
      </w:pPr>
      <w:r>
        <w:rPr>
          <w:rStyle w:val="style87"/>
          <w:rFonts w:ascii="黑体" w:cs="黑体" w:eastAsia="黑体" w:hAnsi="黑体" w:hint="eastAsia"/>
          <w:i w:val="false"/>
          <w:caps w:val="false"/>
          <w:color w:val="auto"/>
          <w:spacing w:val="0"/>
          <w:sz w:val="44"/>
          <w:szCs w:val="44"/>
          <w:shd w:val="clear" w:color="auto" w:fill="ffffff"/>
          <w:lang w:eastAsia="zh-CN"/>
        </w:rPr>
        <w:t>岳阳学院项目（一期）</w:t>
      </w:r>
      <w:r>
        <w:rPr>
          <w:rStyle w:val="style87"/>
          <w:rFonts w:ascii="黑体" w:cs="黑体" w:eastAsia="黑体" w:hAnsi="黑体" w:hint="eastAsia"/>
          <w:i w:val="false"/>
          <w:caps w:val="false"/>
          <w:color w:val="auto"/>
          <w:spacing w:val="0"/>
          <w:sz w:val="44"/>
          <w:szCs w:val="44"/>
          <w:shd w:val="clear" w:color="auto" w:fill="ffffff"/>
        </w:rPr>
        <w:t>设计任务书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0"/>
        <w:jc w:val="center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</w:rPr>
      </w:pPr>
      <w:r>
        <w:rPr>
          <w:rStyle w:val="style87"/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/>
        </w:rPr>
        <w:t> 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right="0" w:firstLine="640" w:firstLineChars="200"/>
        <w:jc w:val="left"/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一、项目概况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岳阳学院项目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</w:rPr>
        <w:t>位于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岳阳市南湖新区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赶山片区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，四至范围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赶山路以南、东坡路以东、樊陈路以北、郭麻路以西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共由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6个地块组成，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</w:rPr>
        <w:t>占地面积约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1180亩，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办学规模为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15000人，分三期实施，项目用地北边为一级保护山体，东边为梅溪港保护水体，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</w:rPr>
        <w:t>校内有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城市主干道，二条城市支路和一个山体公园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</w:rPr>
        <w:t>，地势高差明显。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本项目规划方案设计主要为一期工程，一期工程用地为3、4、6号地块（详见概念性规划方案），用地面积约544亩，办学规模6000人。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right="0" w:firstLine="640" w:firstLineChars="200"/>
        <w:jc w:val="left"/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二、主要设计内容和拟建项目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right="0" w:firstLine="640" w:firstLineChars="20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本次设计主要包括规划方案设计、建筑方案设计、初步设计、投资概算编制、方案设计动画制作等。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主要建设内容有教室、实验实习用房、图书馆、室内体育用房、会堂、学生宿舍、食堂、教师公寓、附属用房、地下建筑、室内外配套</w:t>
      </w:r>
      <w:r>
        <w:rPr>
          <w:rFonts w:ascii="仿宋" w:cs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eastAsia="zh-CN"/>
        </w:rPr>
        <w:t>海绵城市设计等。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right="0" w:firstLine="640" w:firstLineChars="200"/>
        <w:jc w:val="left"/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三、主要经济技术指标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right="0" w:firstLine="640" w:firstLineChars="20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岳阳学院项目由六个独立地块指标组成，总技术经济指标为净用地面积786049平方米、计容建筑面积403125平方米、容积率0.62平方米、建筑密度30%、绿地率35%、建筑高度≤36米（枫树山路以北≤30米）。本项目一期工程规划指标为概念性规划方案中的3、4、6号地块（具体详见概念性规划图）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四、设计依据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1、按照中华人民共和国所颁发的法令、法规、湖南省和岳阳市相关规定和国家设计规范、规程、规则标准以及有关要求等进行设计。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2、岳阳学院项目控规调整论证报告、概念性规划方案、国土空间规划委员会纪要。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3、岳阳学院项目带地形图的用地蓝线图（含一期工程用地蓝线图）。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4、可行性研究报告及立项批复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cs="黑体" w:eastAsia="黑体" w:hAnsi="黑体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五、招标人的设计要求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1、本项目方案设计需综合考虑岳阳学院项目一、二、三期整体规划，整体规划可仅做简单设计及描述，一期工程为本次设计的主要任务。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2、本项目设计应考虑控制项目建设成本，在不突破可研批复的前提下，尽量节省投资。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3、鉴于本项目范围内有四条市政道路，在设计中需考虑各地块之间的连接互通，招标人建议在充分考虑现状地形及道路竖向标高的前提下，将章华路的东、西校区用地设计为局部加盖</w:t>
      </w:r>
      <w:bookmarkStart w:id="0" w:name="_GoBack"/>
      <w:bookmarkEnd w:id="0"/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形式连通。其他地块之间的连接互通由设计单位综合考虑。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鉴于目前岳阳市正系统化全域推进海绵城市建设示范城市，本项目应体现海绵城市设计。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、本项目一期工程暂不建设体育馆，先采用简单风雨场馆方式修建体育馆用房。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、本项目一期工程图书馆按三期总规模15000人建设，图书馆暂按一期6000人规模设置，其余面积先作为行政办公或其它用途。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、本项目一期工程净用地面积约544亩，办学规模为6000人，在满足一期办学规模的前提下，预留一部分土地作为二期（或三期）建设使用，预留用地可适当做为地面停车场使用。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、需按相关规定要求进行装配式建筑及海绵城市设计。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、地下建筑应考虑人防设计。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、校园内交通设计要考虑人流、车流通行，车行出入口应合理设置。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、学校大门应结合三期整体考虑。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、室外配套合理配置广场硬质景观、软质景观、绿地植被、小品、水景、雕塑等元素。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、绿化以本地植被为主，不建议使用高端、名贵树种或其它高价绿植。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、地块指标在不突破总指标及国家规范要求的前提下，可适当优化调整。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、建筑退让道路、山体、水体距离如下表：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style154"/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35"/>
        <w:gridCol w:w="1365"/>
        <w:gridCol w:w="1320"/>
        <w:gridCol w:w="1350"/>
        <w:gridCol w:w="1515"/>
        <w:gridCol w:w="705"/>
        <w:gridCol w:w="638"/>
      </w:tblGrid>
      <w:tr>
        <w:trPr>
          <w:jc w:val="center"/>
        </w:trPr>
        <w:tc>
          <w:tcPr>
            <w:tcW w:w="1321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赶山路</w:t>
            </w:r>
          </w:p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（46米）</w:t>
            </w:r>
          </w:p>
        </w:tc>
        <w:tc>
          <w:tcPr>
            <w:tcW w:w="133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枫树山路</w:t>
            </w:r>
          </w:p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（40米）</w:t>
            </w:r>
          </w:p>
        </w:tc>
        <w:tc>
          <w:tcPr>
            <w:tcW w:w="136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樊陈路</w:t>
            </w:r>
          </w:p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（40米）</w:t>
            </w:r>
          </w:p>
        </w:tc>
        <w:tc>
          <w:tcPr>
            <w:tcW w:w="1320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章华路</w:t>
            </w:r>
          </w:p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default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(40米)</w:t>
            </w:r>
          </w:p>
        </w:tc>
        <w:tc>
          <w:tcPr>
            <w:tcW w:w="1350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郭麻路</w:t>
            </w:r>
          </w:p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（40米）</w:t>
            </w:r>
          </w:p>
        </w:tc>
        <w:tc>
          <w:tcPr>
            <w:tcW w:w="151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东坡路、学府路、大山路</w:t>
            </w:r>
          </w:p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（20米）</w:t>
            </w:r>
          </w:p>
        </w:tc>
        <w:tc>
          <w:tcPr>
            <w:tcW w:w="70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一级山体</w:t>
            </w:r>
          </w:p>
        </w:tc>
        <w:tc>
          <w:tcPr>
            <w:tcW w:w="638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一级水体</w:t>
            </w:r>
          </w:p>
        </w:tc>
      </w:tr>
      <w:tr>
        <w:tblPrEx/>
        <w:trPr>
          <w:trHeight w:val="523" w:hRule="atLeast"/>
          <w:jc w:val="center"/>
        </w:trPr>
        <w:tc>
          <w:tcPr>
            <w:tcW w:w="1321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default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平行红线17</w:t>
            </w:r>
          </w:p>
        </w:tc>
        <w:tc>
          <w:tcPr>
            <w:tcW w:w="133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平行红线14</w:t>
            </w:r>
          </w:p>
        </w:tc>
        <w:tc>
          <w:tcPr>
            <w:tcW w:w="136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平行红线14</w:t>
            </w:r>
          </w:p>
        </w:tc>
        <w:tc>
          <w:tcPr>
            <w:tcW w:w="1320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default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平行红线14</w:t>
            </w:r>
          </w:p>
        </w:tc>
        <w:tc>
          <w:tcPr>
            <w:tcW w:w="1350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平行红线14</w:t>
            </w:r>
          </w:p>
        </w:tc>
        <w:tc>
          <w:tcPr>
            <w:tcW w:w="151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平行红线11</w:t>
            </w:r>
          </w:p>
        </w:tc>
        <w:tc>
          <w:tcPr>
            <w:tcW w:w="70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default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  <w:t>30</w:t>
            </w:r>
          </w:p>
        </w:tc>
        <w:tc>
          <w:tcPr>
            <w:tcW w:w="638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default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60</w:t>
            </w:r>
          </w:p>
        </w:tc>
      </w:tr>
      <w:tr>
        <w:tblPrEx/>
        <w:trPr>
          <w:trHeight w:val="578" w:hRule="atLeast"/>
          <w:jc w:val="center"/>
        </w:trPr>
        <w:tc>
          <w:tcPr>
            <w:tcW w:w="1321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default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垂直红线15</w:t>
            </w:r>
          </w:p>
        </w:tc>
        <w:tc>
          <w:tcPr>
            <w:tcW w:w="133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垂直红线11</w:t>
            </w:r>
          </w:p>
        </w:tc>
        <w:tc>
          <w:tcPr>
            <w:tcW w:w="136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垂直红线11</w:t>
            </w:r>
          </w:p>
        </w:tc>
        <w:tc>
          <w:tcPr>
            <w:tcW w:w="1320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垂直红线11</w:t>
            </w:r>
          </w:p>
        </w:tc>
        <w:tc>
          <w:tcPr>
            <w:tcW w:w="1350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垂直红线11</w:t>
            </w:r>
          </w:p>
        </w:tc>
        <w:tc>
          <w:tcPr>
            <w:tcW w:w="151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垂直红线8</w:t>
            </w:r>
          </w:p>
        </w:tc>
        <w:tc>
          <w:tcPr>
            <w:tcW w:w="705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 w:rightChars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bidi="ar-SA" w:eastAsia="zh-CN"/>
              </w:rPr>
            </w:pPr>
          </w:p>
        </w:tc>
        <w:tc>
          <w:tcPr>
            <w:tcW w:w="638" w:type="dxa"/>
            <w:tcBorders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338"/>
              <w:ind w:right="0"/>
              <w:jc w:val="left"/>
              <w:rPr>
                <w:rFonts w:ascii="仿宋" w:cs="仿宋" w:eastAsia="仿宋" w:hAnsi="仿宋" w:hint="eastAsia"/>
                <w:i w:val="false"/>
                <w:caps w:val="false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right="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、设计成果资料包括规划方案设计、建筑方案设计、初步设计、投资概算、方案设计动画汇报稿等资料。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default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、项目设计应考虑现代高校发展趋势，体现“方便学生，一切为了学生”的理念。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spacing w:before="0" w:beforeAutospacing="false" w:after="0" w:afterAutospacing="false" w:lineRule="atLeast" w:line="338"/>
        <w:ind w:left="0" w:right="0" w:firstLine="480"/>
        <w:jc w:val="left"/>
        <w:rPr>
          <w:rFonts w:ascii="仿宋" w:cs="仿宋" w:eastAsia="仿宋" w:hAnsi="仿宋" w:hint="eastAsia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1466</Words>
  <Pages>1</Pages>
  <Characters>1537</Characters>
  <Application>WPS Office</Application>
  <DocSecurity>0</DocSecurity>
  <Paragraphs>71</Paragraphs>
  <ScaleCrop>false</ScaleCrop>
  <LinksUpToDate>false</LinksUpToDate>
  <CharactersWithSpaces>1539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2021-06-27T07:33:00Z</dcterms:created>
  <dc:creator>Administrator</dc:creator>
  <lastModifiedBy>ELE-AL00</lastModifiedBy>
  <dcterms:modified xsi:type="dcterms:W3CDTF">2021-07-06T11:04:39Z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0cdca0086cc1481d9d4d2ad98e971083</vt:lpwstr>
  </property>
</Properties>
</file>