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color w:val="auto"/>
          <w:szCs w:val="21"/>
          <w:highlight w:val="none"/>
          <w:u w:val="single"/>
        </w:rPr>
      </w:pPr>
      <w:bookmarkStart w:id="0" w:name="_Toc458942549"/>
      <w:bookmarkStart w:id="1" w:name="_Toc459816271"/>
      <w:bookmarkStart w:id="2" w:name="_Toc458193340"/>
      <w:bookmarkStart w:id="3" w:name="_Toc152042286"/>
      <w:bookmarkStart w:id="4" w:name="_Toc247527532"/>
      <w:bookmarkStart w:id="5" w:name="_Toc512487746"/>
      <w:bookmarkStart w:id="6" w:name="_Toc453749350"/>
      <w:bookmarkStart w:id="7" w:name="_Toc300834926"/>
      <w:bookmarkStart w:id="8" w:name="_Toc465007293"/>
      <w:bookmarkStart w:id="9" w:name="_Toc459465145"/>
      <w:bookmarkStart w:id="10" w:name="_Toc459405298"/>
      <w:bookmarkStart w:id="11" w:name="_Toc459816563"/>
      <w:bookmarkStart w:id="12" w:name="_Toc15571"/>
      <w:bookmarkStart w:id="13" w:name="_Toc458272942"/>
      <w:bookmarkStart w:id="14" w:name="_Toc144974478"/>
      <w:bookmarkStart w:id="15" w:name="_Toc465968682"/>
      <w:bookmarkStart w:id="16" w:name="_Toc458273992"/>
      <w:bookmarkStart w:id="17" w:name="_Toc453700417"/>
      <w:bookmarkStart w:id="18" w:name="_Toc530034606"/>
      <w:bookmarkStart w:id="19" w:name="_Toc458940994"/>
    </w:p>
    <w:p>
      <w:pPr>
        <w:spacing w:line="360" w:lineRule="auto"/>
        <w:rPr>
          <w:rFonts w:hint="eastAsia" w:ascii="宋体"/>
          <w:b/>
          <w:color w:val="auto"/>
          <w:szCs w:val="21"/>
          <w:highlight w:val="none"/>
          <w:u w:val="single"/>
        </w:rPr>
      </w:pPr>
    </w:p>
    <w:p>
      <w:pPr>
        <w:spacing w:line="360" w:lineRule="auto"/>
        <w:jc w:val="center"/>
        <w:rPr>
          <w:rFonts w:hint="eastAsia" w:ascii="宋体"/>
          <w:b/>
          <w:color w:val="auto"/>
          <w:szCs w:val="21"/>
          <w:highlight w:val="none"/>
          <w:u w:val="single"/>
        </w:rPr>
      </w:pPr>
    </w:p>
    <w:p>
      <w:pPr>
        <w:keepNext w:val="0"/>
        <w:keepLines w:val="0"/>
        <w:pageBreakBefore w:val="0"/>
        <w:widowControl w:val="0"/>
        <w:kinsoku/>
        <w:wordWrap/>
        <w:overflowPunct/>
        <w:topLinePunct w:val="0"/>
        <w:autoSpaceDE/>
        <w:autoSpaceDN/>
        <w:bidi w:val="0"/>
        <w:adjustRightInd/>
        <w:snapToGrid/>
        <w:spacing w:line="480" w:lineRule="auto"/>
        <w:ind w:firstLine="437"/>
        <w:jc w:val="center"/>
        <w:textAlignment w:val="auto"/>
        <w:rPr>
          <w:rFonts w:hint="eastAsia" w:asciiTheme="majorEastAsia" w:hAnsiTheme="majorEastAsia" w:eastAsiaTheme="majorEastAsia" w:cstheme="majorEastAsia"/>
          <w:b/>
          <w:bCs/>
          <w:color w:val="auto"/>
          <w:sz w:val="44"/>
          <w:szCs w:val="44"/>
          <w:highlight w:val="none"/>
          <w:lang w:val="en-US" w:eastAsia="zh-CN"/>
        </w:rPr>
      </w:pPr>
      <w:bookmarkStart w:id="20" w:name="_Toc73785534"/>
      <w:r>
        <w:rPr>
          <w:rFonts w:hint="eastAsia" w:asciiTheme="majorEastAsia" w:hAnsiTheme="majorEastAsia" w:eastAsiaTheme="majorEastAsia" w:cstheme="majorEastAsia"/>
          <w:b/>
          <w:bCs/>
          <w:color w:val="auto"/>
          <w:sz w:val="44"/>
          <w:szCs w:val="44"/>
          <w:highlight w:val="none"/>
          <w:lang w:val="en-US" w:eastAsia="zh-CN"/>
        </w:rPr>
        <w:t>岳阳市中心医院门急诊医技综合楼项目</w:t>
      </w:r>
    </w:p>
    <w:p>
      <w:pPr>
        <w:keepNext w:val="0"/>
        <w:keepLines w:val="0"/>
        <w:pageBreakBefore w:val="0"/>
        <w:widowControl w:val="0"/>
        <w:kinsoku/>
        <w:wordWrap/>
        <w:overflowPunct/>
        <w:topLinePunct w:val="0"/>
        <w:autoSpaceDE/>
        <w:autoSpaceDN/>
        <w:bidi w:val="0"/>
        <w:adjustRightInd/>
        <w:snapToGrid/>
        <w:spacing w:line="480" w:lineRule="auto"/>
        <w:ind w:firstLine="437"/>
        <w:jc w:val="center"/>
        <w:textAlignment w:val="auto"/>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val="en-US" w:eastAsia="zh-CN"/>
        </w:rPr>
        <w:t>工程总承包</w:t>
      </w:r>
    </w:p>
    <w:p>
      <w:pPr>
        <w:ind w:firstLine="435"/>
        <w:rPr>
          <w:rFonts w:hint="eastAsia" w:asciiTheme="majorEastAsia" w:hAnsiTheme="majorEastAsia" w:eastAsiaTheme="majorEastAsia" w:cstheme="majorEastAsia"/>
          <w:color w:val="auto"/>
          <w:szCs w:val="21"/>
          <w:highlight w:val="none"/>
        </w:rPr>
      </w:pPr>
    </w:p>
    <w:p>
      <w:pPr>
        <w:ind w:firstLine="435"/>
        <w:rPr>
          <w:rFonts w:hint="eastAsia" w:asciiTheme="majorEastAsia" w:hAnsiTheme="majorEastAsia" w:eastAsiaTheme="majorEastAsia" w:cstheme="majorEastAsia"/>
          <w:color w:val="auto"/>
          <w:szCs w:val="21"/>
          <w:highlight w:val="none"/>
        </w:rPr>
      </w:pPr>
    </w:p>
    <w:p>
      <w:pPr>
        <w:ind w:firstLine="435"/>
        <w:rPr>
          <w:rFonts w:hint="eastAsia" w:asciiTheme="majorEastAsia" w:hAnsiTheme="majorEastAsia" w:eastAsiaTheme="majorEastAsia" w:cstheme="majorEastAsia"/>
          <w:color w:val="auto"/>
          <w:szCs w:val="21"/>
          <w:highlight w:val="none"/>
        </w:rPr>
      </w:pPr>
    </w:p>
    <w:p>
      <w:pPr>
        <w:ind w:firstLine="435"/>
        <w:rPr>
          <w:rFonts w:hint="eastAsia" w:asciiTheme="majorEastAsia" w:hAnsiTheme="majorEastAsia" w:eastAsiaTheme="majorEastAsia" w:cstheme="majorEastAsia"/>
          <w:color w:val="auto"/>
          <w:szCs w:val="21"/>
          <w:highlight w:val="none"/>
        </w:rPr>
      </w:pPr>
    </w:p>
    <w:p>
      <w:pPr>
        <w:ind w:firstLine="435"/>
        <w:rPr>
          <w:rFonts w:hint="eastAsia" w:asciiTheme="majorEastAsia" w:hAnsiTheme="majorEastAsia" w:eastAsiaTheme="majorEastAsia" w:cstheme="majorEastAsia"/>
          <w:color w:val="auto"/>
          <w:szCs w:val="21"/>
          <w:highlight w:val="none"/>
        </w:rPr>
      </w:pPr>
    </w:p>
    <w:p>
      <w:pPr>
        <w:ind w:firstLine="435"/>
        <w:rPr>
          <w:rFonts w:hint="eastAsia" w:asciiTheme="majorEastAsia" w:hAnsiTheme="majorEastAsia" w:eastAsiaTheme="majorEastAsia" w:cstheme="majorEastAsia"/>
          <w:color w:val="auto"/>
          <w:szCs w:val="21"/>
          <w:highlight w:val="none"/>
        </w:rPr>
      </w:pPr>
    </w:p>
    <w:p>
      <w:pPr>
        <w:ind w:firstLine="435"/>
        <w:rPr>
          <w:rFonts w:hint="eastAsia" w:asciiTheme="majorEastAsia" w:hAnsiTheme="majorEastAsia" w:eastAsiaTheme="majorEastAsia" w:cstheme="majorEastAsia"/>
          <w:color w:val="auto"/>
          <w:szCs w:val="21"/>
          <w:highlight w:val="none"/>
        </w:rPr>
      </w:pPr>
    </w:p>
    <w:p>
      <w:pPr>
        <w:jc w:val="center"/>
        <w:rPr>
          <w:rFonts w:hint="eastAsia" w:asciiTheme="majorEastAsia" w:hAnsiTheme="majorEastAsia" w:eastAsiaTheme="majorEastAsia" w:cstheme="majorEastAsia"/>
          <w:b/>
          <w:bCs/>
          <w:color w:val="auto"/>
          <w:sz w:val="72"/>
          <w:szCs w:val="72"/>
          <w:highlight w:val="none"/>
        </w:rPr>
      </w:pPr>
      <w:r>
        <w:rPr>
          <w:rFonts w:hint="eastAsia" w:asciiTheme="majorEastAsia" w:hAnsiTheme="majorEastAsia" w:eastAsiaTheme="majorEastAsia" w:cstheme="majorEastAsia"/>
          <w:b/>
          <w:bCs/>
          <w:color w:val="auto"/>
          <w:sz w:val="72"/>
          <w:szCs w:val="72"/>
          <w:highlight w:val="none"/>
        </w:rPr>
        <w:t>招  标  文  件</w:t>
      </w:r>
    </w:p>
    <w:p>
      <w:pPr>
        <w:ind w:firstLine="2674" w:firstLineChars="955"/>
        <w:rPr>
          <w:rFonts w:hint="eastAsia" w:asciiTheme="majorEastAsia" w:hAnsiTheme="majorEastAsia" w:eastAsiaTheme="majorEastAsia" w:cstheme="majorEastAsia"/>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37"/>
        <w:jc w:val="center"/>
        <w:textAlignment w:val="auto"/>
        <w:rPr>
          <w:rFonts w:hint="eastAsia" w:asciiTheme="majorEastAsia" w:hAnsiTheme="majorEastAsia" w:eastAsiaTheme="majorEastAsia" w:cstheme="majorEastAsia"/>
          <w:b/>
          <w:bCs/>
          <w:color w:val="auto"/>
          <w:sz w:val="30"/>
          <w:szCs w:val="30"/>
          <w:highlight w:val="none"/>
          <w:lang w:val="en-US" w:eastAsia="zh-CN"/>
        </w:rPr>
      </w:pPr>
      <w:r>
        <w:rPr>
          <w:rFonts w:hint="eastAsia" w:asciiTheme="majorEastAsia" w:hAnsiTheme="majorEastAsia" w:eastAsiaTheme="majorEastAsia" w:cstheme="majorEastAsia"/>
          <w:b/>
          <w:bCs/>
          <w:color w:val="auto"/>
          <w:sz w:val="30"/>
          <w:szCs w:val="30"/>
          <w:highlight w:val="none"/>
          <w:lang w:val="en-US" w:eastAsia="zh-CN"/>
        </w:rPr>
        <w:t>（招标代理编号：SHXM-21010）</w:t>
      </w:r>
    </w:p>
    <w:p>
      <w:pPr>
        <w:ind w:firstLine="435"/>
        <w:rPr>
          <w:rFonts w:hint="eastAsia" w:asciiTheme="majorEastAsia" w:hAnsiTheme="majorEastAsia" w:eastAsiaTheme="majorEastAsia" w:cstheme="majorEastAsia"/>
          <w:color w:val="auto"/>
          <w:highlight w:val="none"/>
        </w:rPr>
      </w:pPr>
    </w:p>
    <w:p>
      <w:pPr>
        <w:pStyle w:val="28"/>
        <w:ind w:left="0" w:leftChars="0" w:firstLine="0" w:firstLineChars="0"/>
        <w:rPr>
          <w:rFonts w:hint="eastAsia" w:asciiTheme="majorEastAsia" w:hAnsiTheme="majorEastAsia" w:eastAsiaTheme="majorEastAsia" w:cstheme="majorEastAsia"/>
          <w:color w:val="auto"/>
          <w:highlight w:val="none"/>
        </w:rPr>
      </w:pPr>
    </w:p>
    <w:p>
      <w:pPr>
        <w:ind w:firstLine="435"/>
        <w:rPr>
          <w:rFonts w:hint="eastAsia" w:asciiTheme="majorEastAsia" w:hAnsiTheme="majorEastAsia" w:eastAsiaTheme="majorEastAsia" w:cstheme="major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3516" w:leftChars="608" w:hanging="2240" w:hangingChars="700"/>
        <w:jc w:val="both"/>
        <w:textAlignment w:val="auto"/>
        <w:rPr>
          <w:rFonts w:hint="default" w:asciiTheme="majorEastAsia" w:hAnsiTheme="majorEastAsia" w:eastAsiaTheme="majorEastAsia" w:cstheme="majorEastAsia"/>
          <w:b/>
          <w:bCs/>
          <w:color w:val="auto"/>
          <w:kern w:val="0"/>
          <w:sz w:val="32"/>
          <w:szCs w:val="32"/>
          <w:highlight w:val="none"/>
          <w:lang w:val="en-US" w:eastAsia="zh-CN"/>
        </w:rPr>
      </w:pPr>
      <w:r>
        <w:rPr>
          <w:rFonts w:hint="eastAsia" w:asciiTheme="majorEastAsia" w:hAnsiTheme="majorEastAsia" w:eastAsiaTheme="majorEastAsia" w:cstheme="majorEastAsia"/>
          <w:b/>
          <w:bCs/>
          <w:color w:val="auto"/>
          <w:kern w:val="0"/>
          <w:sz w:val="32"/>
          <w:szCs w:val="32"/>
          <w:highlight w:val="none"/>
        </w:rPr>
        <w:t xml:space="preserve">招 </w:t>
      </w:r>
      <w:r>
        <w:rPr>
          <w:rFonts w:hint="eastAsia" w:asciiTheme="majorEastAsia" w:hAnsiTheme="majorEastAsia" w:eastAsiaTheme="majorEastAsia" w:cstheme="majorEastAsia"/>
          <w:b/>
          <w:bCs/>
          <w:color w:val="auto"/>
          <w:kern w:val="0"/>
          <w:sz w:val="32"/>
          <w:szCs w:val="32"/>
          <w:highlight w:val="none"/>
          <w:lang w:val="en-US" w:eastAsia="zh-CN"/>
        </w:rPr>
        <w:t xml:space="preserve">  </w:t>
      </w:r>
      <w:r>
        <w:rPr>
          <w:rFonts w:hint="eastAsia" w:asciiTheme="majorEastAsia" w:hAnsiTheme="majorEastAsia" w:eastAsiaTheme="majorEastAsia" w:cstheme="majorEastAsia"/>
          <w:b/>
          <w:bCs/>
          <w:color w:val="auto"/>
          <w:kern w:val="0"/>
          <w:sz w:val="32"/>
          <w:szCs w:val="32"/>
          <w:highlight w:val="none"/>
        </w:rPr>
        <w:t xml:space="preserve">标 </w:t>
      </w:r>
      <w:r>
        <w:rPr>
          <w:rFonts w:hint="eastAsia" w:asciiTheme="majorEastAsia" w:hAnsiTheme="majorEastAsia" w:eastAsiaTheme="majorEastAsia" w:cstheme="majorEastAsia"/>
          <w:b/>
          <w:bCs/>
          <w:color w:val="auto"/>
          <w:kern w:val="0"/>
          <w:sz w:val="32"/>
          <w:szCs w:val="32"/>
          <w:highlight w:val="none"/>
          <w:lang w:val="en-US" w:eastAsia="zh-CN"/>
        </w:rPr>
        <w:t xml:space="preserve"> </w:t>
      </w:r>
      <w:r>
        <w:rPr>
          <w:rFonts w:hint="eastAsia" w:asciiTheme="majorEastAsia" w:hAnsiTheme="majorEastAsia" w:eastAsiaTheme="majorEastAsia" w:cstheme="majorEastAsia"/>
          <w:b/>
          <w:bCs/>
          <w:color w:val="auto"/>
          <w:kern w:val="0"/>
          <w:sz w:val="32"/>
          <w:szCs w:val="32"/>
          <w:highlight w:val="none"/>
        </w:rPr>
        <w:t>人</w:t>
      </w:r>
      <w:r>
        <w:rPr>
          <w:rFonts w:hint="eastAsia" w:asciiTheme="majorEastAsia" w:hAnsiTheme="majorEastAsia" w:eastAsiaTheme="majorEastAsia" w:cstheme="majorEastAsia"/>
          <w:b/>
          <w:bCs/>
          <w:color w:val="auto"/>
          <w:kern w:val="0"/>
          <w:sz w:val="32"/>
          <w:szCs w:val="32"/>
          <w:highlight w:val="none"/>
          <w:lang w:eastAsia="zh-CN"/>
        </w:rPr>
        <w:t>：岳阳市</w:t>
      </w:r>
      <w:r>
        <w:rPr>
          <w:rFonts w:hint="eastAsia" w:asciiTheme="majorEastAsia" w:hAnsiTheme="majorEastAsia" w:eastAsiaTheme="majorEastAsia" w:cstheme="majorEastAsia"/>
          <w:b/>
          <w:bCs/>
          <w:color w:val="auto"/>
          <w:kern w:val="0"/>
          <w:sz w:val="32"/>
          <w:szCs w:val="32"/>
          <w:highlight w:val="none"/>
          <w:lang w:val="en-US" w:eastAsia="zh-CN"/>
        </w:rPr>
        <w:t>交投医养服务有限公司</w:t>
      </w:r>
    </w:p>
    <w:p>
      <w:pPr>
        <w:keepNext w:val="0"/>
        <w:keepLines w:val="0"/>
        <w:pageBreakBefore w:val="0"/>
        <w:widowControl w:val="0"/>
        <w:kinsoku/>
        <w:wordWrap/>
        <w:overflowPunct/>
        <w:topLinePunct w:val="0"/>
        <w:autoSpaceDE/>
        <w:autoSpaceDN/>
        <w:bidi w:val="0"/>
        <w:adjustRightInd/>
        <w:snapToGrid/>
        <w:spacing w:line="480" w:lineRule="auto"/>
        <w:ind w:firstLine="1280" w:firstLineChars="400"/>
        <w:textAlignment w:val="auto"/>
        <w:rPr>
          <w:rFonts w:hint="eastAsia" w:asciiTheme="majorEastAsia" w:hAnsiTheme="majorEastAsia" w:eastAsiaTheme="majorEastAsia" w:cstheme="majorEastAsia"/>
          <w:b/>
          <w:bCs/>
          <w:color w:val="auto"/>
          <w:kern w:val="0"/>
          <w:sz w:val="32"/>
          <w:szCs w:val="32"/>
          <w:highlight w:val="none"/>
        </w:rPr>
      </w:pPr>
      <w:r>
        <w:rPr>
          <w:rFonts w:hint="eastAsia" w:asciiTheme="majorEastAsia" w:hAnsiTheme="majorEastAsia" w:eastAsiaTheme="majorEastAsia" w:cstheme="majorEastAsia"/>
          <w:b/>
          <w:bCs/>
          <w:color w:val="auto"/>
          <w:kern w:val="0"/>
          <w:sz w:val="32"/>
          <w:szCs w:val="32"/>
          <w:highlight w:val="none"/>
        </w:rPr>
        <w:t>招标代理机构：</w:t>
      </w:r>
      <w:r>
        <w:rPr>
          <w:rFonts w:hint="eastAsia" w:asciiTheme="majorEastAsia" w:hAnsiTheme="majorEastAsia" w:eastAsiaTheme="majorEastAsia" w:cstheme="majorEastAsia"/>
          <w:b/>
          <w:bCs/>
          <w:color w:val="auto"/>
          <w:kern w:val="0"/>
          <w:sz w:val="32"/>
          <w:szCs w:val="32"/>
          <w:highlight w:val="none"/>
          <w:shd w:val="clear" w:color="auto" w:fill="FFFFFF"/>
        </w:rPr>
        <w:t>湖南晟弘项目管理有限公司</w:t>
      </w:r>
    </w:p>
    <w:p>
      <w:pPr>
        <w:keepNext w:val="0"/>
        <w:keepLines w:val="0"/>
        <w:pageBreakBefore w:val="0"/>
        <w:widowControl w:val="0"/>
        <w:kinsoku/>
        <w:wordWrap/>
        <w:overflowPunct/>
        <w:topLinePunct w:val="0"/>
        <w:autoSpaceDE/>
        <w:autoSpaceDN/>
        <w:bidi w:val="0"/>
        <w:adjustRightInd/>
        <w:snapToGrid/>
        <w:spacing w:line="480" w:lineRule="auto"/>
        <w:ind w:firstLine="1280" w:firstLineChars="400"/>
        <w:jc w:val="left"/>
        <w:textAlignment w:val="auto"/>
        <w:rPr>
          <w:rFonts w:hint="default" w:asciiTheme="majorEastAsia" w:hAnsiTheme="majorEastAsia" w:eastAsiaTheme="majorEastAsia" w:cstheme="majorEastAsia"/>
          <w:b/>
          <w:color w:val="auto"/>
          <w:sz w:val="28"/>
          <w:szCs w:val="28"/>
          <w:highlight w:val="none"/>
          <w:lang w:val="en-US" w:eastAsia="zh-CN"/>
        </w:rPr>
      </w:pPr>
      <w:r>
        <w:rPr>
          <w:rFonts w:hint="eastAsia" w:asciiTheme="majorEastAsia" w:hAnsiTheme="majorEastAsia" w:eastAsiaTheme="majorEastAsia" w:cstheme="majorEastAsia"/>
          <w:b/>
          <w:bCs/>
          <w:color w:val="auto"/>
          <w:kern w:val="0"/>
          <w:sz w:val="32"/>
          <w:szCs w:val="32"/>
          <w:highlight w:val="none"/>
          <w:lang w:val="en-US" w:eastAsia="zh-CN"/>
        </w:rPr>
        <w:t>备 案 机 构 ：岳阳市建设工程招标投标管理办公室</w:t>
      </w:r>
    </w:p>
    <w:p>
      <w:pPr>
        <w:keepNext w:val="0"/>
        <w:keepLines w:val="0"/>
        <w:pageBreakBefore w:val="0"/>
        <w:widowControl w:val="0"/>
        <w:tabs>
          <w:tab w:val="left" w:pos="1228"/>
        </w:tabs>
        <w:kinsoku/>
        <w:wordWrap/>
        <w:overflowPunct/>
        <w:topLinePunct w:val="0"/>
        <w:autoSpaceDE/>
        <w:autoSpaceDN/>
        <w:bidi w:val="0"/>
        <w:adjustRightInd/>
        <w:snapToGrid/>
        <w:spacing w:line="480" w:lineRule="auto"/>
        <w:ind w:firstLine="1280" w:firstLineChars="400"/>
        <w:jc w:val="center"/>
        <w:textAlignment w:val="auto"/>
        <w:rPr>
          <w:rFonts w:hint="eastAsia" w:asciiTheme="majorEastAsia" w:hAnsiTheme="majorEastAsia" w:eastAsiaTheme="majorEastAsia" w:cstheme="majorEastAsia"/>
          <w:b/>
          <w:bCs/>
          <w:color w:val="auto"/>
          <w:kern w:val="0"/>
          <w:sz w:val="32"/>
          <w:szCs w:val="32"/>
          <w:highlight w:val="none"/>
          <w:lang w:val="en-US" w:eastAsia="zh-CN"/>
        </w:rPr>
      </w:pPr>
    </w:p>
    <w:p>
      <w:pPr>
        <w:keepNext w:val="0"/>
        <w:keepLines w:val="0"/>
        <w:pageBreakBefore w:val="0"/>
        <w:widowControl w:val="0"/>
        <w:tabs>
          <w:tab w:val="left" w:pos="1228"/>
        </w:tabs>
        <w:kinsoku/>
        <w:wordWrap/>
        <w:overflowPunct/>
        <w:topLinePunct w:val="0"/>
        <w:autoSpaceDE/>
        <w:autoSpaceDN/>
        <w:bidi w:val="0"/>
        <w:adjustRightInd/>
        <w:snapToGrid/>
        <w:spacing w:line="480" w:lineRule="auto"/>
        <w:ind w:firstLine="1280" w:firstLineChars="400"/>
        <w:jc w:val="center"/>
        <w:textAlignment w:val="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bCs/>
          <w:color w:val="auto"/>
          <w:kern w:val="0"/>
          <w:sz w:val="32"/>
          <w:szCs w:val="32"/>
          <w:highlight w:val="none"/>
          <w:lang w:val="en-US" w:eastAsia="zh-CN"/>
        </w:rPr>
        <w:t>日    期：二○二一年六月</w:t>
      </w:r>
    </w:p>
    <w:p>
      <w:pPr>
        <w:spacing w:line="400" w:lineRule="exact"/>
        <w:rPr>
          <w:rFonts w:hint="eastAsia" w:asciiTheme="majorEastAsia" w:hAnsiTheme="majorEastAsia" w:eastAsiaTheme="majorEastAsia" w:cstheme="majorEastAsia"/>
          <w:color w:val="auto"/>
          <w:highlight w:val="none"/>
        </w:rPr>
        <w:sectPr>
          <w:footerReference r:id="rId4" w:type="first"/>
          <w:footerReference r:id="rId3" w:type="even"/>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sdt>
      <w:sdtPr>
        <w:rPr>
          <w:rFonts w:ascii="宋体" w:hAnsi="宋体" w:eastAsia="宋体" w:cs="Times New Roman"/>
          <w:color w:val="auto"/>
          <w:kern w:val="2"/>
          <w:sz w:val="21"/>
          <w:szCs w:val="24"/>
          <w:highlight w:val="none"/>
          <w:lang w:val="en-US" w:eastAsia="zh-CN" w:bidi="ar-SA"/>
        </w:rPr>
        <w:id w:val="147456188"/>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48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p>
        <w:p>
          <w:pPr>
            <w:spacing w:before="0" w:beforeLines="0" w:after="0" w:afterLines="0" w:line="48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p>
        <w:p>
          <w:pPr>
            <w:pStyle w:val="63"/>
            <w:tabs>
              <w:tab w:val="right" w:leader="dot" w:pos="9781"/>
            </w:tabs>
            <w:spacing w:line="60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目</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录</w:t>
          </w:r>
        </w:p>
        <w:p>
          <w:pPr>
            <w:pStyle w:val="63"/>
            <w:tabs>
              <w:tab w:val="right" w:leader="dot" w:pos="9781"/>
            </w:tabs>
            <w:spacing w:line="600" w:lineRule="auto"/>
            <w:jc w:val="center"/>
            <w:rPr>
              <w:rFonts w:hint="eastAsia" w:ascii="宋体" w:hAnsi="宋体" w:cs="宋体"/>
              <w:b/>
              <w:bCs/>
              <w:color w:val="auto"/>
              <w:sz w:val="30"/>
              <w:szCs w:val="30"/>
              <w:highlight w:val="none"/>
            </w:rPr>
          </w:pPr>
        </w:p>
        <w:p>
          <w:pPr>
            <w:pStyle w:val="63"/>
            <w:tabs>
              <w:tab w:val="right" w:leader="dot" w:pos="9781"/>
            </w:tabs>
            <w:spacing w:line="600" w:lineRule="auto"/>
            <w:rPr>
              <w:rFonts w:hint="eastAsia" w:ascii="宋体" w:hAnsi="宋体" w:cs="宋体"/>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TOC \o "1-1" \h \u </w:instrText>
          </w:r>
          <w:r>
            <w:rPr>
              <w:b w:val="0"/>
              <w:bCs w:val="0"/>
              <w:color w:val="auto"/>
              <w:sz w:val="28"/>
              <w:szCs w:val="28"/>
              <w:highlight w:val="none"/>
            </w:rPr>
            <w:fldChar w:fldCharType="separate"/>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HYPERLINK \l _Toc14252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第一章  招标公告</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lang w:val="en-US" w:eastAsia="zh-CN"/>
            </w:rPr>
            <w:t>2</w:t>
          </w:r>
          <w:r>
            <w:rPr>
              <w:rFonts w:hint="eastAsia" w:ascii="宋体" w:hAnsi="宋体" w:cs="宋体"/>
              <w:b w:val="0"/>
              <w:bCs w:val="0"/>
              <w:color w:val="auto"/>
              <w:sz w:val="28"/>
              <w:szCs w:val="28"/>
              <w:highlight w:val="none"/>
            </w:rPr>
            <w:fldChar w:fldCharType="end"/>
          </w:r>
        </w:p>
        <w:p>
          <w:pPr>
            <w:pStyle w:val="63"/>
            <w:tabs>
              <w:tab w:val="right" w:leader="dot" w:pos="9781"/>
            </w:tabs>
            <w:spacing w:line="600" w:lineRule="auto"/>
            <w:rPr>
              <w:b w:val="0"/>
              <w:bCs w:val="0"/>
              <w:color w:val="auto"/>
              <w:sz w:val="28"/>
              <w:szCs w:val="28"/>
              <w:highlight w:val="none"/>
            </w:rPr>
          </w:pP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HYPERLINK \l _Toc26933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第二章</w:t>
          </w:r>
          <w:r>
            <w:rPr>
              <w:rFonts w:hint="eastAsia" w:ascii="宋体" w:hAnsi="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rPr>
            <w:t>投标人须知</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lang w:val="en-US" w:eastAsia="zh-CN"/>
            </w:rPr>
            <w:t>7</w:t>
          </w:r>
          <w:r>
            <w:rPr>
              <w:rFonts w:hint="eastAsia" w:ascii="宋体" w:hAnsi="宋体" w:cs="宋体"/>
              <w:b w:val="0"/>
              <w:bCs w:val="0"/>
              <w:color w:val="auto"/>
              <w:sz w:val="28"/>
              <w:szCs w:val="28"/>
              <w:highlight w:val="none"/>
            </w:rPr>
            <w:fldChar w:fldCharType="end"/>
          </w:r>
        </w:p>
        <w:p>
          <w:pPr>
            <w:pStyle w:val="63"/>
            <w:tabs>
              <w:tab w:val="right" w:leader="dot" w:pos="9781"/>
            </w:tabs>
            <w:spacing w:line="600" w:lineRule="auto"/>
            <w:rPr>
              <w:rFonts w:hint="eastAsia" w:eastAsia="方正小标宋简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_Toc2059 </w:instrText>
          </w:r>
          <w:r>
            <w:rPr>
              <w:b w:val="0"/>
              <w:bCs w:val="0"/>
              <w:color w:val="auto"/>
              <w:sz w:val="28"/>
              <w:szCs w:val="28"/>
              <w:highlight w:val="none"/>
            </w:rPr>
            <w:fldChar w:fldCharType="separate"/>
          </w:r>
          <w:r>
            <w:rPr>
              <w:rFonts w:hint="eastAsia" w:ascii="宋体" w:hAnsi="宋体" w:cs="宋体"/>
              <w:b w:val="0"/>
              <w:bCs w:val="0"/>
              <w:color w:val="auto"/>
              <w:sz w:val="28"/>
              <w:szCs w:val="28"/>
              <w:highlight w:val="none"/>
            </w:rPr>
            <w:t xml:space="preserve">第三章 </w:t>
          </w:r>
          <w:r>
            <w:rPr>
              <w:rFonts w:hint="eastAsia" w:ascii="宋体" w:hAnsi="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rPr>
            <w:t>评标办法（综合评估法）</w:t>
          </w:r>
          <w:r>
            <w:rPr>
              <w:b w:val="0"/>
              <w:bCs w:val="0"/>
              <w:color w:val="auto"/>
              <w:sz w:val="28"/>
              <w:szCs w:val="28"/>
              <w:highlight w:val="none"/>
            </w:rPr>
            <w:tab/>
          </w:r>
          <w:r>
            <w:rPr>
              <w:rFonts w:hint="eastAsia"/>
              <w:b w:val="0"/>
              <w:bCs w:val="0"/>
              <w:color w:val="auto"/>
              <w:sz w:val="28"/>
              <w:szCs w:val="28"/>
              <w:highlight w:val="none"/>
              <w:lang w:val="en-US" w:eastAsia="zh-CN"/>
            </w:rPr>
            <w:t>2</w:t>
          </w:r>
          <w:r>
            <w:rPr>
              <w:b w:val="0"/>
              <w:bCs w:val="0"/>
              <w:color w:val="auto"/>
              <w:sz w:val="28"/>
              <w:szCs w:val="28"/>
              <w:highlight w:val="none"/>
            </w:rPr>
            <w:fldChar w:fldCharType="end"/>
          </w:r>
          <w:r>
            <w:rPr>
              <w:rFonts w:hint="eastAsia"/>
              <w:b w:val="0"/>
              <w:bCs w:val="0"/>
              <w:color w:val="auto"/>
              <w:sz w:val="28"/>
              <w:szCs w:val="28"/>
              <w:highlight w:val="none"/>
              <w:lang w:val="en-US" w:eastAsia="zh-CN"/>
            </w:rPr>
            <w:t>6</w:t>
          </w:r>
        </w:p>
        <w:p>
          <w:pPr>
            <w:pStyle w:val="63"/>
            <w:tabs>
              <w:tab w:val="right" w:leader="dot" w:pos="9781"/>
            </w:tabs>
            <w:spacing w:line="600" w:lineRule="auto"/>
            <w:rPr>
              <w:rFonts w:hint="eastAsia" w:eastAsia="方正小标宋简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_Toc26151 </w:instrText>
          </w:r>
          <w:r>
            <w:rPr>
              <w:b w:val="0"/>
              <w:bCs w:val="0"/>
              <w:color w:val="auto"/>
              <w:sz w:val="28"/>
              <w:szCs w:val="28"/>
              <w:highlight w:val="none"/>
            </w:rPr>
            <w:fldChar w:fldCharType="separate"/>
          </w:r>
          <w:r>
            <w:rPr>
              <w:rFonts w:hint="eastAsia" w:ascii="宋体" w:hAnsi="宋体" w:cs="宋体"/>
              <w:b w:val="0"/>
              <w:bCs w:val="0"/>
              <w:color w:val="auto"/>
              <w:sz w:val="28"/>
              <w:szCs w:val="28"/>
              <w:highlight w:val="none"/>
            </w:rPr>
            <w:t>第四章</w:t>
          </w:r>
          <w:r>
            <w:rPr>
              <w:rFonts w:hint="eastAsia" w:ascii="宋体" w:hAnsi="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rPr>
            <w:t>合同条款及格式</w:t>
          </w:r>
          <w:r>
            <w:rPr>
              <w:b w:val="0"/>
              <w:bCs w:val="0"/>
              <w:color w:val="auto"/>
              <w:sz w:val="28"/>
              <w:szCs w:val="28"/>
              <w:highlight w:val="none"/>
            </w:rPr>
            <w:tab/>
          </w:r>
          <w:r>
            <w:rPr>
              <w:rFonts w:hint="eastAsia"/>
              <w:b w:val="0"/>
              <w:bCs w:val="0"/>
              <w:color w:val="auto"/>
              <w:sz w:val="28"/>
              <w:szCs w:val="28"/>
              <w:highlight w:val="none"/>
              <w:lang w:val="en-US" w:eastAsia="zh-CN"/>
            </w:rPr>
            <w:t>5</w:t>
          </w:r>
          <w:r>
            <w:rPr>
              <w:b w:val="0"/>
              <w:bCs w:val="0"/>
              <w:color w:val="auto"/>
              <w:sz w:val="28"/>
              <w:szCs w:val="28"/>
              <w:highlight w:val="none"/>
            </w:rPr>
            <w:fldChar w:fldCharType="end"/>
          </w:r>
          <w:r>
            <w:rPr>
              <w:rFonts w:hint="eastAsia"/>
              <w:b w:val="0"/>
              <w:bCs w:val="0"/>
              <w:color w:val="auto"/>
              <w:sz w:val="28"/>
              <w:szCs w:val="28"/>
              <w:highlight w:val="none"/>
              <w:lang w:val="en-US" w:eastAsia="zh-CN"/>
            </w:rPr>
            <w:t>4</w:t>
          </w:r>
        </w:p>
        <w:p>
          <w:pPr>
            <w:pStyle w:val="63"/>
            <w:tabs>
              <w:tab w:val="right" w:leader="dot" w:pos="9781"/>
            </w:tabs>
            <w:spacing w:line="600" w:lineRule="auto"/>
            <w:rPr>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_Toc17532 </w:instrText>
          </w:r>
          <w:r>
            <w:rPr>
              <w:b w:val="0"/>
              <w:bCs w:val="0"/>
              <w:color w:val="auto"/>
              <w:sz w:val="28"/>
              <w:szCs w:val="28"/>
              <w:highlight w:val="none"/>
            </w:rPr>
            <w:fldChar w:fldCharType="separate"/>
          </w:r>
          <w:r>
            <w:rPr>
              <w:rFonts w:hint="eastAsia" w:ascii="宋体" w:hAnsi="宋体" w:cs="宋体"/>
              <w:b w:val="0"/>
              <w:bCs w:val="0"/>
              <w:color w:val="auto"/>
              <w:sz w:val="28"/>
              <w:szCs w:val="28"/>
              <w:highlight w:val="none"/>
            </w:rPr>
            <w:t>第五章  发包人要求</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_Toc17532 \h </w:instrText>
          </w:r>
          <w:r>
            <w:rPr>
              <w:b w:val="0"/>
              <w:bCs w:val="0"/>
              <w:color w:val="auto"/>
              <w:sz w:val="28"/>
              <w:szCs w:val="28"/>
              <w:highlight w:val="none"/>
            </w:rPr>
            <w:fldChar w:fldCharType="separate"/>
          </w:r>
          <w:r>
            <w:rPr>
              <w:b w:val="0"/>
              <w:bCs w:val="0"/>
              <w:color w:val="auto"/>
              <w:sz w:val="28"/>
              <w:szCs w:val="28"/>
              <w:highlight w:val="none"/>
            </w:rPr>
            <w:t>15</w:t>
          </w:r>
          <w:r>
            <w:rPr>
              <w:rFonts w:hint="eastAsia"/>
              <w:b w:val="0"/>
              <w:bCs w:val="0"/>
              <w:color w:val="auto"/>
              <w:sz w:val="28"/>
              <w:szCs w:val="28"/>
              <w:highlight w:val="none"/>
              <w:lang w:val="en-US" w:eastAsia="zh-CN"/>
            </w:rPr>
            <w:t>7</w:t>
          </w:r>
          <w:r>
            <w:rPr>
              <w:b w:val="0"/>
              <w:bCs w:val="0"/>
              <w:color w:val="auto"/>
              <w:sz w:val="28"/>
              <w:szCs w:val="28"/>
              <w:highlight w:val="none"/>
            </w:rPr>
            <w:fldChar w:fldCharType="end"/>
          </w:r>
          <w:r>
            <w:rPr>
              <w:b w:val="0"/>
              <w:bCs w:val="0"/>
              <w:color w:val="auto"/>
              <w:sz w:val="28"/>
              <w:szCs w:val="28"/>
              <w:highlight w:val="none"/>
            </w:rPr>
            <w:fldChar w:fldCharType="end"/>
          </w:r>
        </w:p>
        <w:p>
          <w:pPr>
            <w:pStyle w:val="63"/>
            <w:tabs>
              <w:tab w:val="right" w:leader="dot" w:pos="9781"/>
            </w:tabs>
            <w:spacing w:line="600" w:lineRule="auto"/>
            <w:rPr>
              <w:rFonts w:hint="eastAsia" w:eastAsia="方正小标宋简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_Toc31747 </w:instrText>
          </w:r>
          <w:r>
            <w:rPr>
              <w:b w:val="0"/>
              <w:bCs w:val="0"/>
              <w:color w:val="auto"/>
              <w:sz w:val="28"/>
              <w:szCs w:val="28"/>
              <w:highlight w:val="none"/>
            </w:rPr>
            <w:fldChar w:fldCharType="separate"/>
          </w:r>
          <w:r>
            <w:rPr>
              <w:rFonts w:hint="eastAsia" w:ascii="宋体" w:hAnsi="宋体" w:cs="宋体"/>
              <w:b w:val="0"/>
              <w:bCs w:val="0"/>
              <w:color w:val="auto"/>
              <w:sz w:val="28"/>
              <w:szCs w:val="28"/>
              <w:highlight w:val="none"/>
              <w:lang w:val="en-US" w:eastAsia="zh-CN"/>
            </w:rPr>
            <w:t xml:space="preserve">第六章  </w:t>
          </w:r>
          <w:r>
            <w:rPr>
              <w:rFonts w:hint="eastAsia" w:ascii="宋体" w:hAnsi="宋体" w:cs="宋体"/>
              <w:b w:val="0"/>
              <w:bCs w:val="0"/>
              <w:color w:val="auto"/>
              <w:sz w:val="28"/>
              <w:szCs w:val="28"/>
              <w:highlight w:val="none"/>
            </w:rPr>
            <w:t>发包人提供的资料</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_Toc31747 \h </w:instrText>
          </w:r>
          <w:r>
            <w:rPr>
              <w:b w:val="0"/>
              <w:bCs w:val="0"/>
              <w:color w:val="auto"/>
              <w:sz w:val="28"/>
              <w:szCs w:val="28"/>
              <w:highlight w:val="none"/>
            </w:rPr>
            <w:fldChar w:fldCharType="separate"/>
          </w:r>
          <w:r>
            <w:rPr>
              <w:b w:val="0"/>
              <w:bCs w:val="0"/>
              <w:color w:val="auto"/>
              <w:sz w:val="28"/>
              <w:szCs w:val="28"/>
              <w:highlight w:val="none"/>
            </w:rPr>
            <w:t>1</w:t>
          </w:r>
          <w:r>
            <w:rPr>
              <w:rFonts w:hint="eastAsia"/>
              <w:b w:val="0"/>
              <w:bCs w:val="0"/>
              <w:color w:val="auto"/>
              <w:sz w:val="28"/>
              <w:szCs w:val="28"/>
              <w:highlight w:val="none"/>
              <w:lang w:val="en-US" w:eastAsia="zh-CN"/>
            </w:rPr>
            <w:t>5</w:t>
          </w:r>
          <w:r>
            <w:rPr>
              <w:b w:val="0"/>
              <w:bCs w:val="0"/>
              <w:color w:val="auto"/>
              <w:sz w:val="28"/>
              <w:szCs w:val="28"/>
              <w:highlight w:val="none"/>
            </w:rPr>
            <w:fldChar w:fldCharType="end"/>
          </w:r>
          <w:r>
            <w:rPr>
              <w:b w:val="0"/>
              <w:bCs w:val="0"/>
              <w:color w:val="auto"/>
              <w:sz w:val="28"/>
              <w:szCs w:val="28"/>
              <w:highlight w:val="none"/>
            </w:rPr>
            <w:fldChar w:fldCharType="end"/>
          </w:r>
          <w:r>
            <w:rPr>
              <w:rFonts w:hint="eastAsia"/>
              <w:b w:val="0"/>
              <w:bCs w:val="0"/>
              <w:color w:val="auto"/>
              <w:sz w:val="28"/>
              <w:szCs w:val="28"/>
              <w:highlight w:val="none"/>
              <w:lang w:val="en-US" w:eastAsia="zh-CN"/>
            </w:rPr>
            <w:t>9</w:t>
          </w:r>
        </w:p>
        <w:p>
          <w:pPr>
            <w:pStyle w:val="63"/>
            <w:tabs>
              <w:tab w:val="right" w:leader="dot" w:pos="9781"/>
            </w:tabs>
            <w:spacing w:line="600" w:lineRule="auto"/>
            <w:rPr>
              <w:rFonts w:hint="eastAsia" w:eastAsia="方正小标宋简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_Toc26534 </w:instrText>
          </w:r>
          <w:r>
            <w:rPr>
              <w:b w:val="0"/>
              <w:bCs w:val="0"/>
              <w:color w:val="auto"/>
              <w:sz w:val="28"/>
              <w:szCs w:val="28"/>
              <w:highlight w:val="none"/>
            </w:rPr>
            <w:fldChar w:fldCharType="separate"/>
          </w:r>
          <w:r>
            <w:rPr>
              <w:rFonts w:hint="eastAsia" w:ascii="宋体" w:hAnsi="宋体" w:cs="宋体"/>
              <w:b w:val="0"/>
              <w:bCs w:val="0"/>
              <w:color w:val="auto"/>
              <w:sz w:val="28"/>
              <w:szCs w:val="28"/>
              <w:highlight w:val="none"/>
            </w:rPr>
            <w:t>第七章</w:t>
          </w:r>
          <w:r>
            <w:rPr>
              <w:rFonts w:hint="eastAsia" w:ascii="宋体" w:hAnsi="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rPr>
            <w:t>投标文件格式</w:t>
          </w:r>
          <w:r>
            <w:rPr>
              <w:b w:val="0"/>
              <w:bCs w:val="0"/>
              <w:color w:val="auto"/>
              <w:sz w:val="28"/>
              <w:szCs w:val="28"/>
              <w:highlight w:val="none"/>
            </w:rPr>
            <w:tab/>
          </w:r>
          <w:r>
            <w:rPr>
              <w:rFonts w:hint="eastAsia"/>
              <w:b w:val="0"/>
              <w:bCs w:val="0"/>
              <w:color w:val="auto"/>
              <w:sz w:val="28"/>
              <w:szCs w:val="28"/>
              <w:highlight w:val="none"/>
              <w:lang w:val="en-US" w:eastAsia="zh-CN"/>
            </w:rPr>
            <w:t>1</w:t>
          </w:r>
          <w:r>
            <w:rPr>
              <w:b w:val="0"/>
              <w:bCs w:val="0"/>
              <w:color w:val="auto"/>
              <w:sz w:val="28"/>
              <w:szCs w:val="28"/>
              <w:highlight w:val="none"/>
            </w:rPr>
            <w:fldChar w:fldCharType="end"/>
          </w:r>
          <w:r>
            <w:rPr>
              <w:rFonts w:hint="eastAsia"/>
              <w:b w:val="0"/>
              <w:bCs w:val="0"/>
              <w:color w:val="auto"/>
              <w:sz w:val="28"/>
              <w:szCs w:val="28"/>
              <w:highlight w:val="none"/>
              <w:lang w:val="en-US" w:eastAsia="zh-CN"/>
            </w:rPr>
            <w:t>60</w:t>
          </w:r>
        </w:p>
        <w:p>
          <w:pPr>
            <w:pStyle w:val="63"/>
            <w:tabs>
              <w:tab w:val="right" w:leader="dot" w:pos="9781"/>
            </w:tabs>
            <w:spacing w:line="600" w:lineRule="auto"/>
            <w:rPr>
              <w:b w:val="0"/>
              <w:bCs w:val="0"/>
              <w:color w:val="auto"/>
              <w:sz w:val="28"/>
              <w:szCs w:val="28"/>
              <w:highlight w:val="none"/>
            </w:rPr>
          </w:pPr>
        </w:p>
        <w:p>
          <w:pPr>
            <w:spacing w:line="600" w:lineRule="auto"/>
            <w:rPr>
              <w:color w:val="auto"/>
              <w:highlight w:val="none"/>
            </w:rPr>
          </w:pPr>
          <w:r>
            <w:rPr>
              <w:b w:val="0"/>
              <w:bCs w:val="0"/>
              <w:color w:val="auto"/>
              <w:sz w:val="28"/>
              <w:szCs w:val="28"/>
              <w:highlight w:val="none"/>
            </w:rPr>
            <w:fldChar w:fldCharType="end"/>
          </w:r>
        </w:p>
      </w:sdtContent>
    </w:sdt>
    <w:p>
      <w:pPr>
        <w:tabs>
          <w:tab w:val="center" w:pos="4830"/>
          <w:tab w:val="left" w:pos="8425"/>
        </w:tabs>
        <w:spacing w:before="312" w:beforeLines="100" w:after="312" w:afterLines="100" w:line="1100" w:lineRule="exact"/>
        <w:jc w:val="left"/>
        <w:rPr>
          <w:rFonts w:hint="eastAsia" w:ascii="宋体" w:hAnsi="宋体" w:cs="宋体"/>
          <w:b/>
          <w:color w:val="auto"/>
          <w:sz w:val="32"/>
          <w:szCs w:val="32"/>
          <w:highlight w:val="none"/>
        </w:rPr>
        <w:sectPr>
          <w:headerReference r:id="rId5" w:type="default"/>
          <w:footerReference r:id="rId6" w:type="default"/>
          <w:pgSz w:w="11906" w:h="16838"/>
          <w:pgMar w:top="1134" w:right="991" w:bottom="1134" w:left="1134"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宋体" w:hAnsi="宋体" w:cs="宋体"/>
          <w:b/>
          <w:color w:val="auto"/>
          <w:sz w:val="32"/>
          <w:szCs w:val="32"/>
          <w:highlight w:val="none"/>
        </w:rPr>
        <w:tab/>
      </w:r>
    </w:p>
    <w:p>
      <w:pPr>
        <w:pStyle w:val="3"/>
        <w:keepLines w:val="0"/>
        <w:spacing w:before="156" w:beforeLines="50" w:after="156" w:afterLines="50" w:line="360" w:lineRule="auto"/>
        <w:jc w:val="center"/>
        <w:rPr>
          <w:rFonts w:hint="eastAsia" w:ascii="宋体" w:hAnsi="宋体" w:eastAsia="宋体" w:cs="宋体"/>
          <w:bCs/>
          <w:color w:val="auto"/>
          <w:highlight w:val="none"/>
        </w:rPr>
      </w:pPr>
      <w:r>
        <w:rPr>
          <w:rFonts w:hint="eastAsia" w:ascii="宋体" w:hAnsi="宋体" w:cs="宋体"/>
          <w:b w:val="0"/>
          <w:color w:val="auto"/>
          <w:sz w:val="32"/>
          <w:szCs w:val="32"/>
          <w:highlight w:val="none"/>
        </w:rPr>
        <w:tab/>
      </w:r>
      <w:bookmarkStart w:id="21" w:name="_Toc73785535"/>
      <w:bookmarkStart w:id="22" w:name="_Toc14252"/>
      <w:bookmarkStart w:id="23" w:name="_Hlk529956814"/>
      <w:bookmarkStart w:id="24" w:name="_Toc444687546"/>
      <w:bookmarkStart w:id="25" w:name="_Toc458942551"/>
      <w:bookmarkStart w:id="26" w:name="_Toc458193342"/>
      <w:bookmarkStart w:id="27" w:name="_Toc444689177"/>
      <w:bookmarkStart w:id="28" w:name="_Hlk530476019"/>
      <w:bookmarkStart w:id="29" w:name="_Toc459816273"/>
      <w:bookmarkStart w:id="30" w:name="_Toc453749352"/>
      <w:bookmarkStart w:id="31" w:name="_Toc453700419"/>
      <w:bookmarkStart w:id="32" w:name="_Toc459405300"/>
      <w:bookmarkStart w:id="33" w:name="_Toc465968684"/>
      <w:r>
        <w:rPr>
          <w:rFonts w:hint="eastAsia" w:ascii="宋体" w:hAnsi="宋体" w:eastAsia="宋体" w:cs="宋体"/>
          <w:bCs/>
          <w:color w:val="auto"/>
          <w:sz w:val="32"/>
          <w:szCs w:val="32"/>
          <w:highlight w:val="none"/>
        </w:rPr>
        <w:t>第一章  招标公告</w:t>
      </w:r>
      <w:bookmarkEnd w:id="21"/>
      <w:bookmarkEnd w:id="22"/>
    </w:p>
    <w:bookmarkEnd w:id="23"/>
    <w:bookmarkEnd w:id="24"/>
    <w:bookmarkEnd w:id="25"/>
    <w:bookmarkEnd w:id="26"/>
    <w:bookmarkEnd w:id="27"/>
    <w:bookmarkEnd w:id="28"/>
    <w:bookmarkEnd w:id="29"/>
    <w:bookmarkEnd w:id="30"/>
    <w:bookmarkEnd w:id="31"/>
    <w:bookmarkEnd w:id="32"/>
    <w:bookmarkEnd w:id="33"/>
    <w:p>
      <w:pPr>
        <w:jc w:val="center"/>
        <w:rPr>
          <w:rFonts w:hint="eastAsia" w:ascii="宋体" w:hAnsi="宋体" w:eastAsia="宋体" w:cs="宋体"/>
          <w:b/>
          <w:color w:val="auto"/>
          <w:sz w:val="28"/>
          <w:szCs w:val="28"/>
          <w:highlight w:val="none"/>
          <w:u w:val="single"/>
        </w:rPr>
      </w:pPr>
      <w:bookmarkStart w:id="34" w:name="_Toc247513950"/>
      <w:bookmarkStart w:id="35" w:name="_Toc453749361"/>
      <w:bookmarkStart w:id="36" w:name="_Toc247527551"/>
      <w:bookmarkStart w:id="37" w:name="_Toc458942561"/>
      <w:bookmarkStart w:id="38" w:name="_Toc152042303"/>
      <w:bookmarkStart w:id="39" w:name="_Toc458193352"/>
      <w:bookmarkStart w:id="40" w:name="_Toc459816283"/>
      <w:bookmarkStart w:id="41" w:name="_Toc152045527"/>
      <w:bookmarkStart w:id="42" w:name="_Toc144974495"/>
      <w:bookmarkStart w:id="43" w:name="_Toc300834947"/>
      <w:bookmarkStart w:id="44" w:name="_Toc459405310"/>
      <w:r>
        <w:rPr>
          <w:rFonts w:hint="eastAsia" w:ascii="宋体" w:hAnsi="宋体" w:eastAsia="宋体" w:cs="宋体"/>
          <w:b/>
          <w:color w:val="auto"/>
          <w:sz w:val="28"/>
          <w:szCs w:val="28"/>
          <w:highlight w:val="none"/>
          <w:lang w:eastAsia="zh-CN"/>
        </w:rPr>
        <w:t>岳阳市中心医院门急诊医技综合楼项目工程总承包</w:t>
      </w:r>
      <w:r>
        <w:rPr>
          <w:rFonts w:hint="eastAsia" w:ascii="宋体" w:hAnsi="宋体" w:eastAsia="宋体" w:cs="宋体"/>
          <w:b/>
          <w:color w:val="auto"/>
          <w:sz w:val="28"/>
          <w:szCs w:val="28"/>
          <w:highlight w:val="none"/>
        </w:rPr>
        <w:t>招标公告</w:t>
      </w:r>
    </w:p>
    <w:p>
      <w:pPr>
        <w:spacing w:line="440" w:lineRule="exact"/>
        <w:jc w:val="center"/>
        <w:rPr>
          <w:rFonts w:hint="eastAsia" w:asciiTheme="majorEastAsia" w:hAnsiTheme="majorEastAsia" w:eastAsiaTheme="majorEastAsia" w:cstheme="majorEastAsia"/>
          <w:color w:val="auto"/>
          <w:sz w:val="28"/>
          <w:szCs w:val="28"/>
          <w:highlight w:val="none"/>
        </w:rPr>
      </w:pP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Cs w:val="0"/>
          <w:color w:val="auto"/>
          <w:sz w:val="24"/>
          <w:szCs w:val="24"/>
          <w:highlight w:val="none"/>
          <w:lang w:val="zh-CN"/>
        </w:rPr>
      </w:pPr>
      <w:bookmarkStart w:id="45" w:name="_Toc17876405"/>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lang w:val="zh-CN"/>
        </w:rPr>
        <w:t>招标条件</w:t>
      </w:r>
      <w:bookmarkEnd w:id="45"/>
    </w:p>
    <w:p>
      <w:pPr>
        <w:pStyle w:val="4"/>
        <w:pageBreakBefore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岳阳市中心医院门急诊医技综合楼项目</w:t>
      </w:r>
      <w:r>
        <w:rPr>
          <w:rFonts w:hint="eastAsia" w:ascii="宋体" w:hAnsi="宋体" w:eastAsia="宋体" w:cs="宋体"/>
          <w:b w:val="0"/>
          <w:bCs/>
          <w:color w:val="auto"/>
          <w:sz w:val="21"/>
          <w:szCs w:val="21"/>
          <w:highlight w:val="none"/>
        </w:rPr>
        <w:t>已由岳阳市发展和改革委员会以岳发改审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20</w:t>
      </w:r>
      <w:r>
        <w:rPr>
          <w:rFonts w:hint="eastAsia" w:ascii="宋体" w:hAnsi="宋体" w:eastAsia="宋体" w:cs="宋体"/>
          <w:b w:val="0"/>
          <w:bCs/>
          <w:color w:val="auto"/>
          <w:sz w:val="21"/>
          <w:szCs w:val="21"/>
          <w:highlight w:val="none"/>
          <w:lang w:val="en-US" w:eastAsia="zh-CN"/>
        </w:rPr>
        <w:t>21】33</w:t>
      </w:r>
      <w:r>
        <w:rPr>
          <w:rFonts w:hint="eastAsia" w:ascii="宋体" w:hAnsi="宋体" w:eastAsia="宋体" w:cs="宋体"/>
          <w:b w:val="0"/>
          <w:bCs/>
          <w:color w:val="auto"/>
          <w:sz w:val="21"/>
          <w:szCs w:val="21"/>
          <w:highlight w:val="none"/>
        </w:rPr>
        <w:t>号文批准建设，招标人为</w:t>
      </w:r>
      <w:r>
        <w:rPr>
          <w:rFonts w:hint="eastAsia" w:ascii="宋体" w:hAnsi="宋体" w:eastAsia="宋体" w:cs="宋体"/>
          <w:b w:val="0"/>
          <w:bCs/>
          <w:color w:val="auto"/>
          <w:sz w:val="21"/>
          <w:szCs w:val="21"/>
          <w:highlight w:val="none"/>
          <w:lang w:eastAsia="zh-CN"/>
        </w:rPr>
        <w:t>岳阳市交投医养服务有限公司</w:t>
      </w:r>
      <w:r>
        <w:rPr>
          <w:rFonts w:hint="eastAsia" w:ascii="宋体" w:hAnsi="宋体" w:eastAsia="宋体" w:cs="宋体"/>
          <w:b w:val="0"/>
          <w:bCs/>
          <w:color w:val="auto"/>
          <w:sz w:val="21"/>
          <w:szCs w:val="21"/>
          <w:highlight w:val="none"/>
        </w:rPr>
        <w:t>，建设资金</w:t>
      </w:r>
      <w:r>
        <w:rPr>
          <w:rFonts w:hint="eastAsia" w:ascii="宋体" w:hAnsi="宋体" w:eastAsia="宋体" w:cs="宋体"/>
          <w:b w:val="0"/>
          <w:bCs/>
          <w:color w:val="auto"/>
          <w:sz w:val="21"/>
          <w:szCs w:val="21"/>
          <w:highlight w:val="none"/>
          <w:lang w:val="en-US" w:eastAsia="zh-CN"/>
        </w:rPr>
        <w:t>为</w:t>
      </w:r>
      <w:r>
        <w:rPr>
          <w:rFonts w:hint="eastAsia" w:ascii="宋体" w:hAnsi="宋体" w:eastAsia="宋体" w:cs="宋体"/>
          <w:b w:val="0"/>
          <w:bCs/>
          <w:color w:val="auto"/>
          <w:sz w:val="21"/>
          <w:szCs w:val="21"/>
          <w:highlight w:val="none"/>
        </w:rPr>
        <w:t>单位自筹</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项目已具备招标条件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招标代理机构为</w:t>
      </w:r>
      <w:r>
        <w:rPr>
          <w:rFonts w:hint="eastAsia" w:ascii="宋体" w:hAnsi="宋体" w:eastAsia="宋体" w:cs="宋体"/>
          <w:b w:val="0"/>
          <w:bCs/>
          <w:color w:val="auto"/>
          <w:sz w:val="21"/>
          <w:szCs w:val="21"/>
          <w:highlight w:val="none"/>
          <w:lang w:eastAsia="zh-CN"/>
        </w:rPr>
        <w:t>湖南晟弘项目管理有限公司</w:t>
      </w:r>
      <w:r>
        <w:rPr>
          <w:rFonts w:hint="eastAsia" w:ascii="宋体" w:hAnsi="宋体" w:eastAsia="宋体" w:cs="宋体"/>
          <w:b w:val="0"/>
          <w:bCs/>
          <w:color w:val="auto"/>
          <w:sz w:val="21"/>
          <w:szCs w:val="21"/>
          <w:highlight w:val="none"/>
        </w:rPr>
        <w:t>。</w:t>
      </w:r>
      <w:bookmarkStart w:id="46" w:name="_Toc17876406"/>
      <w:r>
        <w:rPr>
          <w:rFonts w:hint="eastAsia" w:ascii="宋体" w:hAnsi="宋体" w:eastAsia="宋体" w:cs="宋体"/>
          <w:b w:val="0"/>
          <w:bCs/>
          <w:color w:val="auto"/>
          <w:sz w:val="21"/>
          <w:szCs w:val="21"/>
          <w:highlight w:val="none"/>
        </w:rPr>
        <w:t>现对该项目的</w:t>
      </w:r>
      <w:r>
        <w:rPr>
          <w:rFonts w:hint="eastAsia" w:ascii="宋体" w:hAnsi="宋体" w:eastAsia="宋体" w:cs="宋体"/>
          <w:b w:val="0"/>
          <w:bCs/>
          <w:color w:val="auto"/>
          <w:sz w:val="21"/>
          <w:szCs w:val="21"/>
          <w:highlight w:val="none"/>
          <w:lang w:eastAsia="zh-CN"/>
        </w:rPr>
        <w:t>工程</w:t>
      </w:r>
      <w:r>
        <w:rPr>
          <w:rFonts w:hint="eastAsia" w:ascii="宋体" w:hAnsi="宋体" w:eastAsia="宋体" w:cs="宋体"/>
          <w:b w:val="0"/>
          <w:bCs/>
          <w:color w:val="auto"/>
          <w:sz w:val="21"/>
          <w:szCs w:val="21"/>
          <w:highlight w:val="none"/>
        </w:rPr>
        <w:t>总承包进行公开招标。</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Cs w:val="0"/>
          <w:color w:val="auto"/>
          <w:sz w:val="24"/>
          <w:szCs w:val="24"/>
          <w:highlight w:val="none"/>
          <w:lang w:val="zh-CN"/>
        </w:rPr>
      </w:pP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lang w:val="zh-CN"/>
        </w:rPr>
        <w:t>项目概况与招标范围</w:t>
      </w:r>
      <w:bookmarkEnd w:id="46"/>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项目名称：</w:t>
      </w:r>
      <w:r>
        <w:rPr>
          <w:rFonts w:hint="eastAsia" w:ascii="宋体" w:hAnsi="宋体" w:eastAsia="宋体" w:cs="宋体"/>
          <w:b w:val="0"/>
          <w:bCs/>
          <w:color w:val="auto"/>
          <w:sz w:val="21"/>
          <w:szCs w:val="21"/>
          <w:highlight w:val="none"/>
          <w:lang w:eastAsia="zh-CN"/>
        </w:rPr>
        <w:t>岳阳市中心医院门急诊医技综合楼项目</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2.2建设地点：岳阳市中心医院位于岳阳市赶山片区，地块南侧为医养路，北侧为樊陈路，东侧为东坡路，西侧为尹家冲路。</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2.3建设规模及范围：门急诊医技综合楼总建筑面积213151.33㎡（其中地上建筑面积为：112571.92㎡，地下建筑面积为100579.41㎡，）建筑地下2层，地上4层和5层，建筑总高度为23.95米</w:t>
      </w:r>
      <w:r>
        <w:rPr>
          <w:rFonts w:hint="eastAsia" w:ascii="宋体" w:hAnsi="宋体" w:eastAsia="宋体" w:cs="宋体"/>
          <w:color w:val="auto"/>
          <w:sz w:val="21"/>
          <w:szCs w:val="21"/>
          <w:highlight w:val="none"/>
          <w:lang w:val="en-US" w:eastAsia="zh-CN"/>
        </w:rPr>
        <w:t>,最大单跨40.5米</w:t>
      </w:r>
      <w:r>
        <w:rPr>
          <w:rFonts w:hint="eastAsia" w:ascii="宋体" w:hAnsi="宋体" w:eastAsia="宋体" w:cs="宋体"/>
          <w:color w:val="auto"/>
          <w:sz w:val="21"/>
          <w:szCs w:val="21"/>
          <w:highlight w:val="none"/>
        </w:rPr>
        <w:t>。首层主要功能为：门诊大厅、急诊急救区、门诊药房区、门诊诊区、健康管理中心、医技功能区；二层主要功能为：EICU、120、门诊诊区、医技功能区、健康管理中心；三层及四层主要功能为：门诊诊区、医技功能区；五层主要功能为：手术中心。地下室主要功能为：后厨+餐厅、库房、污水处理站、太平间、垃圾站、设备用房和停车库。</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2.4招标范围：本项目的设计（施工图未做）、采购、施工至工程竣工验收、备案、移交，配合建设单位结（决）算、工程保修等工作，具体内容包括但不限于以下事项：</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TW"/>
        </w:rPr>
        <w:t>设计范围</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包括但不限于</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对招标人提供的建设前期资料的复核、补充和完善;本工程各专业的施工图设计及招标人书面委托的其它设计工作；根据初步设计文件编制施工图设计及相关专业全过程设计、施工图设计阶段预算的编制以及施工期间的后续服务（含各阶段的报批、报建、施工现场等配合工作）。</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t>(2)采购</w:t>
      </w:r>
      <w:r>
        <w:rPr>
          <w:rFonts w:hint="eastAsia" w:ascii="宋体" w:hAnsi="宋体" w:eastAsia="宋体" w:cs="宋体"/>
          <w:color w:val="auto"/>
          <w:sz w:val="21"/>
          <w:szCs w:val="21"/>
          <w:highlight w:val="none"/>
          <w:lang w:val="zh-TW"/>
        </w:rPr>
        <w:t>范围</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包括设计范围内的采购内容（具体以审定的施工图、工程量清单及业主方委派为准）。</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TW"/>
        </w:rPr>
        <w:t>本工程的施工内容包括但不限于：</w:t>
      </w:r>
      <w:r>
        <w:rPr>
          <w:rFonts w:hint="eastAsia" w:ascii="宋体" w:hAnsi="宋体" w:eastAsia="宋体" w:cs="宋体"/>
          <w:color w:val="auto"/>
          <w:sz w:val="21"/>
          <w:szCs w:val="21"/>
          <w:highlight w:val="none"/>
          <w:lang w:val="en-US" w:eastAsia="zh-CN"/>
        </w:rPr>
        <w:t>建设内容主要包括机械土石方工程、基坑支护工程、地上、地下建筑工程、室内装饰装修工程、电气工程、变配电工程、火灾自动报警工程、给排水工程、消防喷淋工程、通风空调工程、弱电工程、抗震支架、充电桩、电梯、室外工程等设计施工图范围内的全部工程。（不含正负零以上土石方工程（已招标）、医疗特装区域室内装饰工程、直饮水及医疗用水工程、净化工程、医疗气体工程、污水处理、物流系统等专项工程，具体以招标人按程序组织审定的施工图和预算清单为准）</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TW"/>
        </w:rPr>
        <w:t>2.5</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zh-TW"/>
        </w:rPr>
        <w:t>工期要求：</w:t>
      </w:r>
      <w:r>
        <w:rPr>
          <w:rFonts w:hint="eastAsia" w:ascii="宋体" w:hAnsi="宋体" w:eastAsia="宋体" w:cs="宋体"/>
          <w:color w:val="auto"/>
          <w:sz w:val="21"/>
          <w:szCs w:val="21"/>
          <w:highlight w:val="none"/>
          <w:lang w:val="en-US" w:eastAsia="zh-CN"/>
        </w:rPr>
        <w:t>总工期</w:t>
      </w:r>
      <w:r>
        <w:rPr>
          <w:rFonts w:hint="eastAsia" w:ascii="宋体" w:hAnsi="宋体" w:eastAsia="宋体" w:cs="宋体"/>
          <w:color w:val="auto"/>
          <w:sz w:val="21"/>
          <w:szCs w:val="21"/>
          <w:highlight w:val="none"/>
          <w:u w:val="single"/>
          <w:lang w:val="en-US" w:eastAsia="zh-CN"/>
        </w:rPr>
        <w:t>720</w:t>
      </w:r>
      <w:r>
        <w:rPr>
          <w:rFonts w:hint="eastAsia" w:ascii="宋体" w:hAnsi="宋体" w:eastAsia="宋体" w:cs="宋体"/>
          <w:color w:val="auto"/>
          <w:sz w:val="21"/>
          <w:szCs w:val="21"/>
          <w:highlight w:val="none"/>
          <w:lang w:val="en-US" w:eastAsia="zh-CN"/>
        </w:rPr>
        <w:t>日历天（其中设计工期为：</w:t>
      </w:r>
      <w:r>
        <w:rPr>
          <w:rFonts w:hint="eastAsia" w:ascii="宋体" w:hAnsi="宋体" w:eastAsia="宋体" w:cs="宋体"/>
          <w:color w:val="auto"/>
          <w:sz w:val="21"/>
          <w:szCs w:val="21"/>
          <w:highlight w:val="none"/>
          <w:u w:val="single"/>
          <w:lang w:val="en-US" w:eastAsia="zh-CN"/>
        </w:rPr>
        <w:t>45</w:t>
      </w:r>
      <w:r>
        <w:rPr>
          <w:rFonts w:hint="eastAsia" w:ascii="宋体" w:hAnsi="宋体" w:eastAsia="宋体" w:cs="宋体"/>
          <w:color w:val="auto"/>
          <w:sz w:val="21"/>
          <w:szCs w:val="21"/>
          <w:highlight w:val="none"/>
          <w:lang w:val="en-US" w:eastAsia="zh-CN"/>
        </w:rPr>
        <w:t>日历天；施工工期为：</w:t>
      </w:r>
      <w:r>
        <w:rPr>
          <w:rFonts w:hint="eastAsia" w:ascii="宋体" w:hAnsi="宋体" w:eastAsia="宋体" w:cs="宋体"/>
          <w:color w:val="auto"/>
          <w:sz w:val="21"/>
          <w:szCs w:val="21"/>
          <w:highlight w:val="none"/>
          <w:u w:val="single"/>
          <w:lang w:val="en-US" w:eastAsia="zh-CN"/>
        </w:rPr>
        <w:t>675</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lang w:val="en-US"/>
        </w:rPr>
        <w:t>。</w:t>
      </w:r>
    </w:p>
    <w:p>
      <w:pPr>
        <w:pageBreakBefore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2.6质量要求：</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zh-TW"/>
        </w:rPr>
      </w:pPr>
      <w:bookmarkStart w:id="47" w:name="_Hlk17468908"/>
      <w:r>
        <w:rPr>
          <w:rFonts w:hint="eastAsia" w:ascii="宋体" w:hAnsi="宋体" w:eastAsia="宋体" w:cs="宋体"/>
          <w:color w:val="auto"/>
          <w:sz w:val="21"/>
          <w:szCs w:val="21"/>
          <w:highlight w:val="none"/>
          <w:lang w:val="zh-TW"/>
        </w:rPr>
        <w:t>（1）设计要求的质量标准：设计成果应符合国家、行业及地方现行相关法律法规、规范及技术标准。并确保施工图设计通过审查，以及提供相应的设计服务及后期服务工作。</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（2）施工要求的质量标准：满足设计要求，达到《建设工程施工质量验收统一标准》及国家颁布的施工验收规范和质量检验标准，全部工程达到合格标准。</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（3）设备及材料采购部分质量标准：符合国家、行业及地方现行相关法律法规、规范及技术标准。</w:t>
      </w:r>
    </w:p>
    <w:bookmarkEnd w:id="47"/>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2.7保修要求：按建设部【2000】年80号令要求保修。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 标段划分：</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个标段</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招标方式：公开招标</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r>
        <w:rPr>
          <w:rFonts w:hint="eastAsia" w:ascii="宋体" w:hAnsi="宋体" w:eastAsia="宋体" w:cs="宋体"/>
          <w:color w:val="auto"/>
          <w:sz w:val="21"/>
          <w:szCs w:val="21"/>
          <w:highlight w:val="none"/>
        </w:rPr>
        <w:t>本项目最高投标限价：</w:t>
      </w:r>
      <w:r>
        <w:rPr>
          <w:rFonts w:hint="eastAsia" w:ascii="宋体" w:hAnsi="宋体" w:eastAsia="宋体" w:cs="宋体"/>
          <w:color w:val="auto"/>
          <w:sz w:val="21"/>
          <w:szCs w:val="21"/>
          <w:highlight w:val="none"/>
          <w:lang w:val="en-US" w:eastAsia="zh-CN"/>
        </w:rPr>
        <w:t>110947.45万元（本项目招标上限包含清单：工程费：99201.16万元、施工图设计费：1104.13万元、预算编制费：156.24万元、BIM 技术服务费：447.62万元、劳动安全卫生评审费：117万元、场地准备与临时建设费：409.5万元、工程保险费：351万元、预备费：9160.8万元。施工图设计费、工程保险费、预备费为不可竞争费用。</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ajorEastAsia" w:hAnsiTheme="majorEastAsia" w:eastAsiaTheme="majorEastAsia" w:cstheme="majorEastAsia"/>
          <w:bCs w:val="0"/>
          <w:color w:val="auto"/>
          <w:sz w:val="24"/>
          <w:szCs w:val="24"/>
          <w:highlight w:val="none"/>
          <w:lang w:val="zh-CN"/>
        </w:rPr>
      </w:pPr>
      <w:bookmarkStart w:id="48" w:name="_Toc17876407"/>
      <w:r>
        <w:rPr>
          <w:rFonts w:hint="eastAsia" w:asciiTheme="majorEastAsia" w:hAnsiTheme="majorEastAsia" w:eastAsiaTheme="majorEastAsia" w:cstheme="majorEastAsia"/>
          <w:bCs w:val="0"/>
          <w:color w:val="auto"/>
          <w:sz w:val="24"/>
          <w:szCs w:val="24"/>
          <w:highlight w:val="none"/>
          <w:lang w:val="en-US" w:eastAsia="zh-CN"/>
        </w:rPr>
        <w:t>3.</w:t>
      </w:r>
      <w:r>
        <w:rPr>
          <w:rFonts w:hint="eastAsia" w:asciiTheme="majorEastAsia" w:hAnsiTheme="majorEastAsia" w:eastAsiaTheme="majorEastAsia" w:cstheme="majorEastAsia"/>
          <w:bCs w:val="0"/>
          <w:color w:val="auto"/>
          <w:sz w:val="24"/>
          <w:szCs w:val="24"/>
          <w:highlight w:val="none"/>
          <w:lang w:val="zh-CN"/>
        </w:rPr>
        <w:t>投标人资格要求</w:t>
      </w:r>
      <w:bookmarkEnd w:id="48"/>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3.1具有独立法人资格并依法取得企业营业执照，营业执照处于有效期；省外入湘企业在 “湖南省住房和城乡建设网” 进行了基本信息登记；</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3.2投标人应当具有与工程规模相适应的工程设计资质和施工资质，相应的财务、风险承担能力，同时具有相应的组织机构、项目管理体系、项目管理专业人员。设计资质和施工资质应符合下列要求：</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（1）设计资质要求：具备住房城乡建设主管部门颁发</w:t>
      </w:r>
      <w:r>
        <w:rPr>
          <w:rFonts w:hint="eastAsia" w:asciiTheme="majorEastAsia" w:hAnsiTheme="majorEastAsia" w:eastAsiaTheme="majorEastAsia" w:cstheme="majorEastAsia"/>
          <w:b/>
          <w:bCs/>
          <w:color w:val="auto"/>
          <w:sz w:val="21"/>
          <w:szCs w:val="21"/>
          <w:highlight w:val="none"/>
        </w:rPr>
        <w:t>工程设计综合资质或建筑行业（建筑工程）</w:t>
      </w:r>
      <w:r>
        <w:rPr>
          <w:rFonts w:hint="eastAsia" w:asciiTheme="majorEastAsia" w:hAnsiTheme="majorEastAsia" w:eastAsiaTheme="majorEastAsia" w:cstheme="majorEastAsia"/>
          <w:b/>
          <w:bCs/>
          <w:color w:val="auto"/>
          <w:sz w:val="21"/>
          <w:szCs w:val="21"/>
          <w:highlight w:val="none"/>
          <w:lang w:val="en-US" w:eastAsia="zh-CN"/>
        </w:rPr>
        <w:t>设计</w:t>
      </w:r>
      <w:r>
        <w:rPr>
          <w:rFonts w:hint="eastAsia" w:asciiTheme="majorEastAsia" w:hAnsiTheme="majorEastAsia" w:eastAsiaTheme="majorEastAsia" w:cstheme="majorEastAsia"/>
          <w:b/>
          <w:bCs/>
          <w:color w:val="auto"/>
          <w:sz w:val="21"/>
          <w:szCs w:val="21"/>
          <w:highlight w:val="none"/>
        </w:rPr>
        <w:t>甲级资质</w:t>
      </w:r>
      <w:r>
        <w:rPr>
          <w:rFonts w:hint="eastAsia" w:asciiTheme="majorEastAsia" w:hAnsiTheme="majorEastAsia" w:eastAsiaTheme="majorEastAsia" w:cstheme="majorEastAsia"/>
          <w:color w:val="auto"/>
          <w:sz w:val="21"/>
          <w:szCs w:val="21"/>
          <w:highlight w:val="none"/>
        </w:rPr>
        <w:t>；</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（2）施工资质要求：具备</w:t>
      </w:r>
      <w:r>
        <w:rPr>
          <w:rFonts w:hint="eastAsia" w:asciiTheme="majorEastAsia" w:hAnsiTheme="majorEastAsia" w:eastAsiaTheme="majorEastAsia" w:cstheme="majorEastAsia"/>
          <w:b/>
          <w:bCs/>
          <w:color w:val="auto"/>
          <w:sz w:val="21"/>
          <w:szCs w:val="21"/>
          <w:highlight w:val="none"/>
        </w:rPr>
        <w:t>建筑工程施工总承包壹级及以上资质</w:t>
      </w:r>
      <w:r>
        <w:rPr>
          <w:rFonts w:hint="eastAsia" w:asciiTheme="majorEastAsia" w:hAnsiTheme="majorEastAsia" w:eastAsiaTheme="majorEastAsia" w:cstheme="majorEastAsia"/>
          <w:color w:val="auto"/>
          <w:sz w:val="21"/>
          <w:szCs w:val="21"/>
          <w:highlight w:val="none"/>
        </w:rPr>
        <w:t>；资质在有效期内，施工单位的安全生产许可证处于有效期，并在人员、设备、资金等方面具备相应能力</w:t>
      </w:r>
      <w:r>
        <w:rPr>
          <w:rFonts w:hint="eastAsia" w:asciiTheme="majorEastAsia" w:hAnsiTheme="majorEastAsia" w:eastAsiaTheme="majorEastAsia" w:cstheme="majorEastAsia"/>
          <w:color w:val="auto"/>
          <w:sz w:val="21"/>
          <w:szCs w:val="21"/>
          <w:highlight w:val="none"/>
          <w:lang w:eastAsia="zh-CN"/>
        </w:rPr>
        <w:t>；</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业绩要求：</w:t>
      </w:r>
    </w:p>
    <w:p>
      <w:pPr>
        <w:pageBreakBefore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bookmarkStart w:id="49" w:name="_Hlk16937502"/>
      <w:r>
        <w:rPr>
          <w:rFonts w:hint="eastAsia" w:asciiTheme="majorEastAsia" w:hAnsiTheme="majorEastAsia" w:eastAsiaTheme="majorEastAsia" w:cstheme="majorEastAsia"/>
          <w:color w:val="auto"/>
          <w:sz w:val="21"/>
          <w:szCs w:val="21"/>
          <w:highlight w:val="none"/>
          <w:lang w:val="en-US" w:eastAsia="zh-CN"/>
        </w:rPr>
        <w:t>□不要求</w:t>
      </w:r>
    </w:p>
    <w:p>
      <w:pPr>
        <w:pageBreakBefore w:val="0"/>
        <w:numPr>
          <w:ilvl w:val="-1"/>
          <w:numId w:val="0"/>
        </w:numPr>
        <w:kinsoku/>
        <w:wordWrap/>
        <w:overflowPunct/>
        <w:topLinePunct w:val="0"/>
        <w:autoSpaceDE/>
        <w:autoSpaceDN/>
        <w:bidi w:val="0"/>
        <w:adjustRightInd/>
        <w:snapToGrid/>
        <w:spacing w:line="400" w:lineRule="exact"/>
        <w:ind w:firstLine="1050" w:firstLineChars="5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要求，企业承担过1项类似工程；</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（2）类似工程业绩应当符合以下规定之一：</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设计项目业绩：单项工程建筑面积在10.5万平方米以上的公共建筑设计业绩；</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施工项目业绩：单项工程建筑面积在10.5万平方米以上的公共建筑施工业绩；</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工程总承包项目业绩：单项工程建筑面积在10.5万平方米以上的公共建筑工程总承包业绩 ；</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说明1：设计类似工程业绩</w:t>
      </w:r>
      <w:r>
        <w:rPr>
          <w:rFonts w:hint="eastAsia" w:asciiTheme="majorEastAsia" w:hAnsiTheme="majorEastAsia" w:eastAsiaTheme="majorEastAsia" w:cstheme="majorEastAsia"/>
          <w:color w:val="auto"/>
          <w:sz w:val="21"/>
          <w:szCs w:val="21"/>
          <w:highlight w:val="none"/>
          <w:lang w:eastAsia="zh-CN"/>
        </w:rPr>
        <w:t>考核依据</w:t>
      </w:r>
      <w:r>
        <w:rPr>
          <w:rFonts w:hint="eastAsia" w:asciiTheme="majorEastAsia" w:hAnsiTheme="majorEastAsia" w:eastAsiaTheme="majorEastAsia" w:cstheme="majorEastAsia"/>
          <w:color w:val="auto"/>
          <w:sz w:val="21"/>
          <w:szCs w:val="21"/>
          <w:highlight w:val="none"/>
        </w:rPr>
        <w:t>：①为招标项目的须同时提供中标通知书和设计合同以及施工图审查合格书；②为非招标项目的须提供设计合同以及施工图审查合格书。入围类似工程业绩考核时间以提交投标文件截止时间前1080天为准，按设计合同中建设单位签字的时间起算，面积以施工图审查合格书为准。</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说明2：施工或工程总承包类似工程业绩</w:t>
      </w:r>
      <w:r>
        <w:rPr>
          <w:rFonts w:hint="eastAsia" w:asciiTheme="majorEastAsia" w:hAnsiTheme="majorEastAsia" w:eastAsiaTheme="majorEastAsia" w:cstheme="majorEastAsia"/>
          <w:color w:val="auto"/>
          <w:sz w:val="21"/>
          <w:szCs w:val="21"/>
          <w:highlight w:val="none"/>
          <w:lang w:eastAsia="zh-CN"/>
        </w:rPr>
        <w:t>考核依据</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为招标项目的</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须同时提供①中标通知书和合同；②竣工验收备案登记表（经建设工程质量监督部门签字确认）或竣工验收证明（由建设单位、施工单位、监理单位、设计单位盖章认可）。</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为非招标项目的：须同时提供①合同；②竣工验收备案登记表（经建设工程质量监督部门签字确认）或竣工验收证明（由建设单位、施工单位、监理单位、设计单位盖章认可）。入围类似工程业绩考核时间以提交投标文件截止时间前 1080 天为准，按工程竣工验收文件中建设单位签字的时间起算。 </w:t>
      </w:r>
    </w:p>
    <w:bookmarkEnd w:id="49"/>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拟派项目总负责人（项目经理）要求：须是投标人的在册人员</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具有</w:t>
      </w:r>
      <w:r>
        <w:rPr>
          <w:rFonts w:hint="eastAsia" w:asciiTheme="majorEastAsia" w:hAnsiTheme="majorEastAsia" w:eastAsiaTheme="majorEastAsia" w:cstheme="majorEastAsia"/>
          <w:b/>
          <w:bCs/>
          <w:color w:val="auto"/>
          <w:sz w:val="21"/>
          <w:szCs w:val="21"/>
          <w:highlight w:val="none"/>
          <w:u w:val="single"/>
        </w:rPr>
        <w:t>建筑工程专业壹级</w:t>
      </w:r>
      <w:r>
        <w:rPr>
          <w:rFonts w:hint="eastAsia" w:asciiTheme="majorEastAsia" w:hAnsiTheme="majorEastAsia" w:eastAsiaTheme="majorEastAsia" w:cstheme="majorEastAsia"/>
          <w:b/>
          <w:bCs/>
          <w:color w:val="auto"/>
          <w:sz w:val="21"/>
          <w:szCs w:val="21"/>
          <w:highlight w:val="none"/>
          <w:u w:val="single"/>
          <w:lang w:val="en-US" w:eastAsia="zh-CN"/>
        </w:rPr>
        <w:t>注册</w:t>
      </w:r>
      <w:r>
        <w:rPr>
          <w:rFonts w:hint="eastAsia" w:asciiTheme="majorEastAsia" w:hAnsiTheme="majorEastAsia" w:eastAsiaTheme="majorEastAsia" w:cstheme="majorEastAsia"/>
          <w:b/>
          <w:bCs/>
          <w:color w:val="auto"/>
          <w:sz w:val="21"/>
          <w:szCs w:val="21"/>
          <w:highlight w:val="none"/>
          <w:u w:val="single"/>
        </w:rPr>
        <w:t>建造师</w:t>
      </w:r>
      <w:r>
        <w:rPr>
          <w:rFonts w:hint="eastAsia" w:asciiTheme="majorEastAsia" w:hAnsiTheme="majorEastAsia" w:eastAsiaTheme="majorEastAsia" w:cstheme="majorEastAsia"/>
          <w:color w:val="auto"/>
          <w:sz w:val="21"/>
          <w:szCs w:val="21"/>
          <w:highlight w:val="none"/>
        </w:rPr>
        <w:t>执业资格证书以及有效的安全生产考核合格证B证，且无在建工程</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项目总负责人可以兼任项目施工负责人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拟派项目设计负责人资格要求：须是投标人的在册人员</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具有国家</w:t>
      </w:r>
      <w:r>
        <w:rPr>
          <w:rFonts w:hint="eastAsia" w:asciiTheme="majorEastAsia" w:hAnsiTheme="majorEastAsia" w:eastAsiaTheme="majorEastAsia" w:cstheme="majorEastAsia"/>
          <w:b/>
          <w:bCs/>
          <w:color w:val="auto"/>
          <w:sz w:val="21"/>
          <w:szCs w:val="21"/>
          <w:highlight w:val="none"/>
          <w:u w:val="single"/>
        </w:rPr>
        <w:t>壹级注册建筑师</w:t>
      </w:r>
      <w:r>
        <w:rPr>
          <w:rFonts w:hint="eastAsia" w:asciiTheme="majorEastAsia" w:hAnsiTheme="majorEastAsia" w:eastAsiaTheme="majorEastAsia" w:cstheme="majorEastAsia"/>
          <w:color w:val="auto"/>
          <w:sz w:val="21"/>
          <w:szCs w:val="21"/>
          <w:highlight w:val="none"/>
        </w:rPr>
        <w:t>执业资格证书。</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拟派</w:t>
      </w:r>
      <w:r>
        <w:rPr>
          <w:rFonts w:hint="eastAsia" w:asciiTheme="majorEastAsia" w:hAnsiTheme="majorEastAsia" w:eastAsiaTheme="majorEastAsia" w:cstheme="majorEastAsia"/>
          <w:color w:val="auto"/>
          <w:sz w:val="21"/>
          <w:szCs w:val="21"/>
          <w:highlight w:val="none"/>
          <w:lang w:val="en-US" w:eastAsia="zh-CN"/>
        </w:rPr>
        <w:t>项目</w:t>
      </w:r>
      <w:r>
        <w:rPr>
          <w:rFonts w:hint="eastAsia" w:asciiTheme="majorEastAsia" w:hAnsiTheme="majorEastAsia" w:eastAsiaTheme="majorEastAsia" w:cstheme="majorEastAsia"/>
          <w:color w:val="auto"/>
          <w:sz w:val="21"/>
          <w:szCs w:val="21"/>
          <w:highlight w:val="none"/>
        </w:rPr>
        <w:t>施工负责人具有</w:t>
      </w:r>
      <w:r>
        <w:rPr>
          <w:rFonts w:hint="eastAsia" w:asciiTheme="majorEastAsia" w:hAnsiTheme="majorEastAsia" w:eastAsiaTheme="majorEastAsia" w:cstheme="majorEastAsia"/>
          <w:b/>
          <w:bCs/>
          <w:color w:val="auto"/>
          <w:sz w:val="21"/>
          <w:szCs w:val="21"/>
          <w:highlight w:val="none"/>
          <w:u w:val="single"/>
        </w:rPr>
        <w:t>建筑工程专业壹级</w:t>
      </w:r>
      <w:r>
        <w:rPr>
          <w:rFonts w:hint="eastAsia" w:asciiTheme="majorEastAsia" w:hAnsiTheme="majorEastAsia" w:eastAsiaTheme="majorEastAsia" w:cstheme="majorEastAsia"/>
          <w:b/>
          <w:bCs/>
          <w:color w:val="auto"/>
          <w:sz w:val="21"/>
          <w:szCs w:val="21"/>
          <w:highlight w:val="none"/>
          <w:u w:val="single"/>
          <w:lang w:val="en-US" w:eastAsia="zh-CN"/>
        </w:rPr>
        <w:t>注册</w:t>
      </w:r>
      <w:r>
        <w:rPr>
          <w:rFonts w:hint="eastAsia" w:asciiTheme="majorEastAsia" w:hAnsiTheme="majorEastAsia" w:eastAsiaTheme="majorEastAsia" w:cstheme="majorEastAsia"/>
          <w:b/>
          <w:bCs/>
          <w:color w:val="auto"/>
          <w:sz w:val="21"/>
          <w:szCs w:val="21"/>
          <w:highlight w:val="none"/>
          <w:u w:val="single"/>
        </w:rPr>
        <w:t>建造师</w:t>
      </w:r>
      <w:r>
        <w:rPr>
          <w:rFonts w:hint="eastAsia" w:asciiTheme="majorEastAsia" w:hAnsiTheme="majorEastAsia" w:eastAsiaTheme="majorEastAsia" w:cstheme="majorEastAsia"/>
          <w:color w:val="auto"/>
          <w:sz w:val="21"/>
          <w:szCs w:val="21"/>
          <w:highlight w:val="none"/>
        </w:rPr>
        <w:t>执业资格证书以及有效的安全生产考核合格证B证</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项目总负责人可以兼任项目施工负责人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且无在建工程。拟派施工</w:t>
      </w:r>
      <w:r>
        <w:rPr>
          <w:rFonts w:hint="eastAsia" w:asciiTheme="majorEastAsia" w:hAnsiTheme="majorEastAsia" w:eastAsiaTheme="majorEastAsia" w:cstheme="majorEastAsia"/>
          <w:color w:val="auto"/>
          <w:sz w:val="21"/>
          <w:szCs w:val="21"/>
          <w:highlight w:val="none"/>
          <w:lang w:val="en-US" w:eastAsia="zh-CN"/>
        </w:rPr>
        <w:t>技术</w:t>
      </w:r>
      <w:r>
        <w:rPr>
          <w:rFonts w:hint="eastAsia" w:asciiTheme="majorEastAsia" w:hAnsiTheme="majorEastAsia" w:eastAsiaTheme="majorEastAsia" w:cstheme="majorEastAsia"/>
          <w:color w:val="auto"/>
          <w:sz w:val="21"/>
          <w:szCs w:val="21"/>
          <w:highlight w:val="none"/>
        </w:rPr>
        <w:t>负责人具有</w:t>
      </w:r>
      <w:r>
        <w:rPr>
          <w:rFonts w:hint="eastAsia" w:asciiTheme="majorEastAsia" w:hAnsiTheme="majorEastAsia" w:eastAsiaTheme="majorEastAsia" w:cstheme="majorEastAsia"/>
          <w:b/>
          <w:bCs/>
          <w:color w:val="auto"/>
          <w:sz w:val="21"/>
          <w:szCs w:val="21"/>
          <w:highlight w:val="none"/>
          <w:u w:val="single"/>
        </w:rPr>
        <w:t>建筑工程</w:t>
      </w:r>
      <w:r>
        <w:rPr>
          <w:rFonts w:hint="eastAsia" w:asciiTheme="majorEastAsia" w:hAnsiTheme="majorEastAsia" w:eastAsiaTheme="majorEastAsia" w:cstheme="majorEastAsia"/>
          <w:b/>
          <w:bCs/>
          <w:color w:val="auto"/>
          <w:sz w:val="21"/>
          <w:szCs w:val="21"/>
          <w:highlight w:val="none"/>
          <w:u w:val="single"/>
          <w:lang w:val="en-US" w:eastAsia="zh-CN"/>
        </w:rPr>
        <w:t>相关</w:t>
      </w:r>
      <w:r>
        <w:rPr>
          <w:rFonts w:hint="eastAsia" w:asciiTheme="majorEastAsia" w:hAnsiTheme="majorEastAsia" w:eastAsiaTheme="majorEastAsia" w:cstheme="majorEastAsia"/>
          <w:b/>
          <w:bCs/>
          <w:color w:val="auto"/>
          <w:sz w:val="21"/>
          <w:szCs w:val="21"/>
          <w:highlight w:val="none"/>
          <w:u w:val="single"/>
        </w:rPr>
        <w:t>专业高级及以上</w:t>
      </w:r>
      <w:r>
        <w:rPr>
          <w:rFonts w:hint="eastAsia" w:asciiTheme="majorEastAsia" w:hAnsiTheme="majorEastAsia" w:eastAsiaTheme="majorEastAsia" w:cstheme="majorEastAsia"/>
          <w:color w:val="auto"/>
          <w:sz w:val="21"/>
          <w:szCs w:val="21"/>
          <w:highlight w:val="none"/>
        </w:rPr>
        <w:t>职称，无在建工程。</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7社保证明要求：</w:t>
      </w:r>
      <w:r>
        <w:rPr>
          <w:rFonts w:hint="eastAsia" w:asciiTheme="majorEastAsia" w:hAnsiTheme="majorEastAsia" w:eastAsiaTheme="majorEastAsia" w:cstheme="majorEastAsia"/>
          <w:color w:val="auto"/>
          <w:sz w:val="21"/>
          <w:szCs w:val="21"/>
          <w:highlight w:val="none"/>
        </w:rPr>
        <w:t>拟派项目总负责人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项目设计负责人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项目</w:t>
      </w:r>
      <w:r>
        <w:rPr>
          <w:rFonts w:hint="eastAsia" w:asciiTheme="majorEastAsia" w:hAnsiTheme="majorEastAsia" w:eastAsiaTheme="majorEastAsia" w:cstheme="majorEastAsia"/>
          <w:color w:val="auto"/>
          <w:sz w:val="21"/>
          <w:szCs w:val="21"/>
          <w:highlight w:val="none"/>
        </w:rPr>
        <w:t>施工负责人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施工</w:t>
      </w:r>
      <w:r>
        <w:rPr>
          <w:rFonts w:hint="eastAsia" w:asciiTheme="majorEastAsia" w:hAnsiTheme="majorEastAsia" w:eastAsiaTheme="majorEastAsia" w:cstheme="majorEastAsia"/>
          <w:color w:val="auto"/>
          <w:sz w:val="21"/>
          <w:szCs w:val="21"/>
          <w:highlight w:val="none"/>
          <w:lang w:val="en-US" w:eastAsia="zh-CN"/>
        </w:rPr>
        <w:t>技术</w:t>
      </w:r>
      <w:r>
        <w:rPr>
          <w:rFonts w:hint="eastAsia" w:asciiTheme="majorEastAsia" w:hAnsiTheme="majorEastAsia" w:eastAsiaTheme="majorEastAsia" w:cstheme="majorEastAsia"/>
          <w:color w:val="auto"/>
          <w:sz w:val="21"/>
          <w:szCs w:val="21"/>
          <w:highlight w:val="none"/>
        </w:rPr>
        <w:t>负责人必须是其企业在职人员</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须</w:t>
      </w:r>
      <w:r>
        <w:rPr>
          <w:rFonts w:hint="eastAsia" w:asciiTheme="majorEastAsia" w:hAnsiTheme="majorEastAsia" w:eastAsiaTheme="majorEastAsia" w:cstheme="majorEastAsia"/>
          <w:color w:val="auto"/>
          <w:sz w:val="21"/>
          <w:szCs w:val="21"/>
          <w:highlight w:val="none"/>
        </w:rPr>
        <w:t>提供由劳动和社会保障部门出具的投标截止时间前近半年期间任一连续三个月的缴纳养老保险证明。</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3.8企业近三年没有因腐败或欺诈行为而被取消投标资格；与招标人存在利害关系可能影响招标公正性的法人、其他组织或者个人，不得参加投标，单位负责人为同一人或者存在控股、管理关系的不同单位，不得参加同一标段投标或者未划分标段的同一招标项目投标；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rPr>
        <w:t>本次招标接受联合体投标，联合体投标应具备如下条件：</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bookmarkStart w:id="50" w:name="_Toc17876408"/>
      <w:r>
        <w:rPr>
          <w:rFonts w:hint="eastAsia" w:asciiTheme="majorEastAsia" w:hAnsiTheme="majorEastAsia" w:eastAsiaTheme="majorEastAsia" w:cstheme="majorEastAsia"/>
          <w:color w:val="auto"/>
          <w:sz w:val="21"/>
          <w:szCs w:val="21"/>
          <w:highlight w:val="none"/>
          <w:lang w:val="zh-CN"/>
        </w:rPr>
        <w:t>（1）联合体各成员均应具有独立的法人资格，并依法取得企业法人营业执照，企业法人营业执照应保持有效，组成一个联合体的单位最多不能超过二家，</w:t>
      </w:r>
      <w:r>
        <w:rPr>
          <w:rFonts w:hint="eastAsia" w:asciiTheme="majorEastAsia" w:hAnsiTheme="majorEastAsia" w:eastAsiaTheme="majorEastAsia" w:cstheme="majorEastAsia"/>
          <w:color w:val="auto"/>
          <w:sz w:val="21"/>
          <w:szCs w:val="21"/>
          <w:highlight w:val="none"/>
          <w:lang w:val="en-US" w:eastAsia="zh-CN"/>
        </w:rPr>
        <w:t>联合体牵头人为施工单位或设计单位，</w:t>
      </w:r>
      <w:r>
        <w:rPr>
          <w:rFonts w:hint="eastAsia" w:asciiTheme="majorEastAsia" w:hAnsiTheme="majorEastAsia" w:eastAsiaTheme="majorEastAsia" w:cstheme="majorEastAsia"/>
          <w:color w:val="auto"/>
          <w:sz w:val="21"/>
          <w:szCs w:val="21"/>
          <w:highlight w:val="none"/>
          <w:lang w:val="zh-CN"/>
        </w:rPr>
        <w:t>且联合体成员至少应具备3.2条款规定的其中一项资质。</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（2）联合体双方应当具备本招标项目相应专业的资质、关键岗位人员的要求。</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（3）联合体成员应按招标文件提供的格式签订联合体协议书，明确联合体牵头人和各方权利义务，联合体各成员在投标、签约与履行合同过程中，依法向招标人承担连带责任。</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（4）由同一专业的单位组成的联合体，按照资质等级较低的单位确定资质等级。</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）在同一标段中，联合体成员签订联合体协议书后，不得再以自己的名义单独投标，也不得组成新的联合体或参加其他联合体在本项目中投标。</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）以联合体形式投标的，应当以联合体牵头人名义提交投标保证金，对联合体各成员均具有约束力。</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）联合体各成员法定代表人应当出具授权委托书，授权同一人作为代理人，办理投标事宜，授权书由联合体各成员法定代表人签字（或盖法定代表人印鉴）并加盖企业法人公章。</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lang w:val="zh-CN"/>
        </w:rPr>
        <w:t>本项目的可行性研究报告、初步设计文件编制单位及其评估单位：</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□不得参加投标</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宋体" w:hAnsi="宋体" w:eastAsia="宋体" w:cs="宋体"/>
          <w:color w:val="auto"/>
          <w:kern w:val="0"/>
          <w:sz w:val="21"/>
          <w:szCs w:val="21"/>
          <w:highlight w:val="none"/>
        </w:rPr>
        <w:t>■</w:t>
      </w:r>
      <w:r>
        <w:rPr>
          <w:rFonts w:hint="eastAsia" w:asciiTheme="majorEastAsia" w:hAnsiTheme="majorEastAsia" w:eastAsiaTheme="majorEastAsia" w:cstheme="majorEastAsia"/>
          <w:color w:val="auto"/>
          <w:sz w:val="21"/>
          <w:szCs w:val="21"/>
          <w:highlight w:val="none"/>
          <w:lang w:val="zh-CN"/>
        </w:rPr>
        <w:t>允许参加投标，且招标人在发布招标文件时应同步公开已经完成的可行性研究报告、初步设计文件，其中设计图纸提供可编辑的CAD版本。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en-US" w:eastAsia="zh-CN"/>
        </w:rPr>
        <w:t>4.</w:t>
      </w:r>
      <w:r>
        <w:rPr>
          <w:rFonts w:hint="eastAsia" w:asciiTheme="majorEastAsia" w:hAnsiTheme="majorEastAsia" w:eastAsiaTheme="majorEastAsia" w:cstheme="majorEastAsia"/>
          <w:b/>
          <w:bCs/>
          <w:color w:val="auto"/>
          <w:sz w:val="24"/>
          <w:szCs w:val="24"/>
          <w:highlight w:val="none"/>
          <w:lang w:val="zh-CN"/>
        </w:rPr>
        <w:t>资格审查方式及评标办法</w:t>
      </w:r>
      <w:bookmarkEnd w:id="50"/>
    </w:p>
    <w:p>
      <w:pPr>
        <w:pageBreakBefore w:val="0"/>
        <w:kinsoku/>
        <w:wordWrap/>
        <w:overflowPunct/>
        <w:topLinePunct w:val="0"/>
        <w:autoSpaceDE/>
        <w:autoSpaceDN/>
        <w:bidi w:val="0"/>
        <w:adjustRightInd/>
        <w:snapToGrid/>
        <w:spacing w:line="400" w:lineRule="exact"/>
        <w:ind w:firstLine="210" w:firstLineChars="100"/>
        <w:textAlignment w:val="auto"/>
        <w:rPr>
          <w:rFonts w:hint="eastAsia" w:asciiTheme="majorEastAsia" w:hAnsiTheme="majorEastAsia" w:eastAsiaTheme="majorEastAsia" w:cstheme="majorEastAsia"/>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rPr>
        <w:t>本次招标项目投标人资格审查方式采用开标后资格审查。评标办法采用综合评估法。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zh-CN" w:eastAsia="zh-CN"/>
        </w:rPr>
      </w:pPr>
      <w:bookmarkStart w:id="51" w:name="_Toc17876409"/>
      <w:r>
        <w:rPr>
          <w:rFonts w:hint="eastAsia" w:asciiTheme="majorEastAsia" w:hAnsiTheme="majorEastAsia" w:eastAsiaTheme="majorEastAsia" w:cstheme="majorEastAsia"/>
          <w:b/>
          <w:bCs/>
          <w:color w:val="auto"/>
          <w:sz w:val="24"/>
          <w:szCs w:val="24"/>
          <w:highlight w:val="none"/>
          <w:lang w:val="en-US" w:eastAsia="zh-CN"/>
        </w:rPr>
        <w:t>5.</w:t>
      </w:r>
      <w:r>
        <w:rPr>
          <w:rFonts w:hint="eastAsia" w:asciiTheme="majorEastAsia" w:hAnsiTheme="majorEastAsia" w:eastAsiaTheme="majorEastAsia" w:cstheme="majorEastAsia"/>
          <w:b/>
          <w:bCs/>
          <w:color w:val="auto"/>
          <w:sz w:val="24"/>
          <w:szCs w:val="24"/>
          <w:highlight w:val="none"/>
          <w:lang w:val="zh-CN" w:eastAsia="zh-CN"/>
        </w:rPr>
        <w:t>投标保证金</w:t>
      </w:r>
      <w:bookmarkEnd w:id="51"/>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1保函形式：电子保函或纸质保函，包括银行业金融机构保函、担保公司担保（</w:t>
      </w:r>
      <w:r>
        <w:rPr>
          <w:rFonts w:hint="eastAsia" w:ascii="宋体" w:hAnsi="宋体" w:eastAsia="宋体" w:cs="宋体"/>
          <w:color w:val="auto"/>
          <w:kern w:val="0"/>
          <w:sz w:val="21"/>
          <w:szCs w:val="21"/>
          <w:highlight w:val="none"/>
        </w:rPr>
        <w:t>■</w:t>
      </w:r>
      <w:r>
        <w:rPr>
          <w:rFonts w:hint="eastAsia" w:asciiTheme="majorEastAsia" w:hAnsiTheme="majorEastAsia" w:eastAsiaTheme="majorEastAsia" w:cstheme="majorEastAsia"/>
          <w:color w:val="auto"/>
          <w:sz w:val="21"/>
          <w:szCs w:val="21"/>
          <w:highlight w:val="none"/>
          <w:lang w:val="zh-CN"/>
        </w:rPr>
        <w:t>融资性担保公司保函 </w:t>
      </w:r>
      <w:r>
        <w:rPr>
          <w:rFonts w:hint="eastAsia" w:ascii="宋体" w:hAnsi="宋体" w:eastAsia="宋体" w:cs="宋体"/>
          <w:color w:val="auto"/>
          <w:kern w:val="0"/>
          <w:sz w:val="21"/>
          <w:szCs w:val="21"/>
          <w:highlight w:val="none"/>
        </w:rPr>
        <w:t>■</w:t>
      </w:r>
      <w:r>
        <w:rPr>
          <w:rFonts w:hint="eastAsia" w:asciiTheme="majorEastAsia" w:hAnsiTheme="majorEastAsia" w:eastAsiaTheme="majorEastAsia" w:cstheme="majorEastAsia"/>
          <w:color w:val="auto"/>
          <w:sz w:val="21"/>
          <w:szCs w:val="21"/>
          <w:highlight w:val="none"/>
          <w:lang w:val="zh-CN"/>
        </w:rPr>
        <w:t>非融资性担保公司保函）、保险公司保证保险；</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2保函的担保金额：人民币</w:t>
      </w:r>
      <w:r>
        <w:rPr>
          <w:rFonts w:hint="eastAsia" w:asciiTheme="majorEastAsia" w:hAnsiTheme="majorEastAsia" w:eastAsiaTheme="majorEastAsia" w:cstheme="majorEastAsia"/>
          <w:color w:val="auto"/>
          <w:sz w:val="21"/>
          <w:szCs w:val="21"/>
          <w:highlight w:val="none"/>
          <w:lang w:val="en-US" w:eastAsia="zh-CN"/>
        </w:rPr>
        <w:t>伍拾</w:t>
      </w:r>
      <w:r>
        <w:rPr>
          <w:rFonts w:hint="eastAsia" w:asciiTheme="majorEastAsia" w:hAnsiTheme="majorEastAsia" w:eastAsiaTheme="majorEastAsia" w:cstheme="majorEastAsia"/>
          <w:color w:val="auto"/>
          <w:sz w:val="21"/>
          <w:szCs w:val="21"/>
          <w:highlight w:val="none"/>
          <w:lang w:val="zh-CN"/>
        </w:rPr>
        <w:t>万元整（￥</w:t>
      </w:r>
      <w:r>
        <w:rPr>
          <w:rFonts w:hint="eastAsia" w:asciiTheme="majorEastAsia" w:hAnsiTheme="majorEastAsia" w:eastAsiaTheme="majorEastAsia" w:cstheme="majorEastAsia"/>
          <w:color w:val="auto"/>
          <w:sz w:val="21"/>
          <w:szCs w:val="21"/>
          <w:highlight w:val="none"/>
          <w:lang w:val="en-US" w:eastAsia="zh-CN"/>
        </w:rPr>
        <w:t>50</w:t>
      </w:r>
      <w:r>
        <w:rPr>
          <w:rFonts w:hint="eastAsia" w:asciiTheme="majorEastAsia" w:hAnsiTheme="majorEastAsia" w:eastAsiaTheme="majorEastAsia" w:cstheme="majorEastAsia"/>
          <w:color w:val="auto"/>
          <w:sz w:val="21"/>
          <w:szCs w:val="21"/>
          <w:highlight w:val="none"/>
          <w:lang w:val="zh-CN"/>
        </w:rPr>
        <w:t>0000.00元）；</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3纸质保函：符合招标文件第七章投标文件格式“投标保证”格式规定，并将保函扫描件随投标文件一同提交；</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4电子保函：</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①投标保证金采用保证保险方式的，由保险公司开具投标保证保险的采用电子保险保单形式，投标人应登录岳阳市公共资源交易网，线上办理投保手续；</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②投标人可通过银行一般户、支付宝、微信等支付方式支付保费，完成投标保证金提交；</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③工程建设投标保证保险投保人操作流程详见岳阳市公共资源交易中心网站服务指南；</w:t>
      </w:r>
      <w:r>
        <w:rPr>
          <w:rFonts w:hint="eastAsia" w:asciiTheme="majorEastAsia" w:hAnsiTheme="majorEastAsia" w:eastAsiaTheme="majorEastAsia" w:cstheme="majorEastAsia"/>
          <w:color w:val="auto"/>
          <w:sz w:val="21"/>
          <w:szCs w:val="21"/>
          <w:highlight w:val="none"/>
          <w:lang w:val="zh-CN"/>
        </w:rPr>
        <w:br w:type="textWrapping"/>
      </w:r>
      <w:r>
        <w:rPr>
          <w:rFonts w:hint="eastAsia" w:asciiTheme="majorEastAsia" w:hAnsiTheme="majorEastAsia" w:eastAsiaTheme="majorEastAsia" w:cstheme="majorEastAsia"/>
          <w:color w:val="auto"/>
          <w:sz w:val="21"/>
          <w:szCs w:val="21"/>
          <w:highlight w:val="none"/>
          <w:lang w:val="zh-CN"/>
        </w:rPr>
        <w:t xml:space="preserve">    ④采用电子保函的，投标人需在2021年</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月</w:t>
      </w:r>
      <w:r>
        <w:rPr>
          <w:rFonts w:hint="eastAsia" w:asciiTheme="majorEastAsia" w:hAnsiTheme="majorEastAsia" w:eastAsiaTheme="majorEastAsia" w:cstheme="majorEastAsia"/>
          <w:color w:val="auto"/>
          <w:sz w:val="21"/>
          <w:szCs w:val="21"/>
          <w:highlight w:val="none"/>
          <w:lang w:val="en-US" w:eastAsia="zh-CN"/>
        </w:rPr>
        <w:t>29</w:t>
      </w:r>
      <w:r>
        <w:rPr>
          <w:rFonts w:hint="eastAsia" w:asciiTheme="majorEastAsia" w:hAnsiTheme="majorEastAsia" w:eastAsiaTheme="majorEastAsia" w:cstheme="majorEastAsia"/>
          <w:color w:val="auto"/>
          <w:sz w:val="21"/>
          <w:szCs w:val="21"/>
          <w:highlight w:val="none"/>
          <w:lang w:val="zh-CN"/>
        </w:rPr>
        <w:t xml:space="preserve"> 日至2021年</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 xml:space="preserve">月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 xml:space="preserve"> 日17时00分前选定电子保函作为保证方式。</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5联合体投标的，由牵头人递交。</w:t>
      </w:r>
      <w:bookmarkStart w:id="52" w:name="_Toc152042300"/>
      <w:bookmarkStart w:id="53" w:name="_Toc144974492"/>
      <w:bookmarkStart w:id="54" w:name="_Toc247527548"/>
      <w:bookmarkStart w:id="55" w:name="_Toc247513947"/>
      <w:bookmarkStart w:id="56" w:name="_Toc152045524"/>
      <w:bookmarkStart w:id="57" w:name="_Toc491853846"/>
      <w:bookmarkStart w:id="58" w:name="_Toc499738021"/>
      <w:bookmarkStart w:id="59" w:name="_Toc460778414"/>
      <w:bookmarkStart w:id="60" w:name="_Toc455734750"/>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6数字证书办理：湖南省数字认证服务中心有限公司（民兴路与狮子山南路交叉口）庙坡碧玉湾（南门）43号门面，电话：0730-8181828。</w:t>
      </w:r>
    </w:p>
    <w:bookmarkEnd w:id="52"/>
    <w:bookmarkEnd w:id="53"/>
    <w:bookmarkEnd w:id="54"/>
    <w:bookmarkEnd w:id="55"/>
    <w:bookmarkEnd w:id="56"/>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6.招标文件的获取及澄清答疑发布</w:t>
      </w:r>
      <w:bookmarkEnd w:id="57"/>
      <w:bookmarkEnd w:id="58"/>
      <w:bookmarkEnd w:id="59"/>
      <w:bookmarkEnd w:id="60"/>
      <w:bookmarkStart w:id="61" w:name="_Toc455734751"/>
      <w:bookmarkStart w:id="62" w:name="_Toc491853847"/>
      <w:bookmarkStart w:id="63" w:name="_Toc460778415"/>
      <w:bookmarkStart w:id="64" w:name="_Toc499738024"/>
      <w:bookmarkStart w:id="65" w:name="_Toc152045525"/>
      <w:bookmarkStart w:id="66" w:name="_Toc144974493"/>
      <w:bookmarkStart w:id="67" w:name="_Toc152042301"/>
      <w:bookmarkStart w:id="68" w:name="_Toc247513948"/>
      <w:bookmarkStart w:id="69" w:name="_Toc247527549"/>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1有投标意愿者，请在岳阳市住房和城乡建设局网下载招标文件及其相关资料或于2021年</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 xml:space="preserve">      月</w:t>
      </w:r>
      <w:r>
        <w:rPr>
          <w:rFonts w:hint="eastAsia" w:asciiTheme="majorEastAsia" w:hAnsiTheme="majorEastAsia" w:eastAsiaTheme="majorEastAsia" w:cstheme="majorEastAsia"/>
          <w:color w:val="auto"/>
          <w:sz w:val="21"/>
          <w:szCs w:val="21"/>
          <w:highlight w:val="none"/>
          <w:lang w:val="en-US" w:eastAsia="zh-CN"/>
        </w:rPr>
        <w:t>29</w:t>
      </w:r>
      <w:r>
        <w:rPr>
          <w:rFonts w:hint="eastAsia" w:asciiTheme="majorEastAsia" w:hAnsiTheme="majorEastAsia" w:eastAsiaTheme="majorEastAsia" w:cstheme="majorEastAsia"/>
          <w:color w:val="auto"/>
          <w:sz w:val="21"/>
          <w:szCs w:val="21"/>
          <w:highlight w:val="none"/>
          <w:lang w:val="zh-CN"/>
        </w:rPr>
        <w:t>日至 2021年</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 xml:space="preserve">月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val="zh-CN"/>
        </w:rPr>
        <w:t xml:space="preserve"> 日17时止（北京时间，下同）在岳阳市公共资源交易网上下载数据电文形式的招标文件及其它相关资料。招标人加载至招标投标交易平台的招标文件与其提供的书面招标文件具有同等效力。</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2本招标项目采用电子招标投标方式，投标人应当在岳阳市公共资源交易中心进行注册登记和CA认证。按照相关要求完成本项目的网上投标确认。</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3投标人须先登陆岳阳市公共资源交易网(</w:t>
      </w:r>
      <w:r>
        <w:rPr>
          <w:rFonts w:hint="eastAsia" w:asciiTheme="majorEastAsia" w:hAnsiTheme="majorEastAsia" w:eastAsiaTheme="majorEastAsia" w:cstheme="majorEastAsia"/>
          <w:color w:val="auto"/>
          <w:sz w:val="21"/>
          <w:szCs w:val="21"/>
          <w:highlight w:val="none"/>
          <w:lang w:val="zh-CN"/>
        </w:rPr>
        <w:fldChar w:fldCharType="begin"/>
      </w:r>
      <w:r>
        <w:rPr>
          <w:rFonts w:hint="eastAsia" w:asciiTheme="majorEastAsia" w:hAnsiTheme="majorEastAsia" w:eastAsiaTheme="majorEastAsia" w:cstheme="majorEastAsia"/>
          <w:color w:val="auto"/>
          <w:sz w:val="21"/>
          <w:szCs w:val="21"/>
          <w:highlight w:val="none"/>
          <w:lang w:val="zh-CN"/>
        </w:rPr>
        <w:instrText xml:space="preserve"> HYPERLINK "http://ggzy.yueyang.gov.cn/" </w:instrText>
      </w:r>
      <w:r>
        <w:rPr>
          <w:rFonts w:hint="eastAsia" w:asciiTheme="majorEastAsia" w:hAnsiTheme="majorEastAsia" w:eastAsiaTheme="majorEastAsia" w:cstheme="majorEastAsia"/>
          <w:color w:val="auto"/>
          <w:sz w:val="21"/>
          <w:szCs w:val="21"/>
          <w:highlight w:val="none"/>
          <w:lang w:val="zh-CN"/>
        </w:rPr>
        <w:fldChar w:fldCharType="separate"/>
      </w:r>
      <w:r>
        <w:rPr>
          <w:rFonts w:hint="eastAsia" w:asciiTheme="majorEastAsia" w:hAnsiTheme="majorEastAsia" w:eastAsiaTheme="majorEastAsia" w:cstheme="majorEastAsia"/>
          <w:color w:val="auto"/>
          <w:sz w:val="21"/>
          <w:szCs w:val="21"/>
          <w:highlight w:val="none"/>
          <w:lang w:val="zh-CN"/>
        </w:rPr>
        <w:t>http://ggzy.yueyang.gov.cn/</w:t>
      </w:r>
      <w:r>
        <w:rPr>
          <w:rFonts w:hint="eastAsia" w:asciiTheme="majorEastAsia" w:hAnsiTheme="majorEastAsia" w:eastAsiaTheme="majorEastAsia" w:cstheme="majorEastAsia"/>
          <w:color w:val="auto"/>
          <w:sz w:val="21"/>
          <w:szCs w:val="21"/>
          <w:highlight w:val="none"/>
          <w:lang w:val="zh-CN"/>
        </w:rPr>
        <w:fldChar w:fldCharType="end"/>
      </w:r>
      <w:r>
        <w:rPr>
          <w:rFonts w:hint="eastAsia" w:asciiTheme="majorEastAsia" w:hAnsiTheme="majorEastAsia" w:eastAsiaTheme="majorEastAsia" w:cstheme="majorEastAsia"/>
          <w:color w:val="auto"/>
          <w:sz w:val="21"/>
          <w:szCs w:val="21"/>
          <w:highlight w:val="none"/>
          <w:lang w:val="zh-CN"/>
        </w:rPr>
        <w:t>)按相关操作说明办理CA数字证书，填报企业基本信息完成注册后下载招标文件等相关资料；</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4招标文件售价：人民币500元/本，只支持网银支付。本项目只有网上报名下载招标文件投标人才有资格生成投标保证金账号或获取电子保函。</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val="zh-CN"/>
        </w:rPr>
        <w:t>5澄清答疑采用网上发布方式。招标人对招标相关的修改以及澄清与答疑均在投标人须知前附表规定的网站上发布，投标人应自行下载/获取澄清答疑等相关招标资料，恕不另行通知。投标人应及时关注网上相关招标信息，如有遗漏（包括但不限于文件未下载或下载不完整）招标人概不负责，所造成的投标失败或损失由投标人自行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7.投标文件的递交</w:t>
      </w:r>
      <w:bookmarkEnd w:id="61"/>
      <w:bookmarkEnd w:id="62"/>
      <w:bookmarkEnd w:id="63"/>
      <w:bookmarkEnd w:id="64"/>
      <w:r>
        <w:rPr>
          <w:rFonts w:hint="eastAsia" w:asciiTheme="majorEastAsia" w:hAnsiTheme="majorEastAsia" w:eastAsiaTheme="majorEastAsia" w:cstheme="majorEastAsia"/>
          <w:b/>
          <w:bCs/>
          <w:color w:val="auto"/>
          <w:sz w:val="24"/>
          <w:szCs w:val="24"/>
          <w:highlight w:val="none"/>
          <w:lang w:val="en-US" w:eastAsia="zh-CN"/>
        </w:rPr>
        <w:t>及解密</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bookmarkStart w:id="70" w:name="_Toc491853848"/>
      <w:bookmarkStart w:id="71" w:name="_Toc499738025"/>
      <w:bookmarkStart w:id="72" w:name="_Toc455734752"/>
      <w:bookmarkStart w:id="73" w:name="_Toc460778416"/>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 xml:space="preserve">1电子投标文件递交的截止时间（即：投标截止时间，下同）及开标时间为2021年  </w:t>
      </w: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lang w:val="zh-CN"/>
        </w:rPr>
        <w:t xml:space="preserve"> 月</w:t>
      </w:r>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lang w:val="zh-CN"/>
        </w:rPr>
        <w:t xml:space="preserve">  日9时30分。请投标人在岳阳市公共资源交易网（http://ggzy.yueyang.gov.cn）下载电子投标文件制作工具编制投标文件。投标人应在投标截止时间前通过电子招标投标交易平台递交数据电文形式的投标文件。逾期送达的投标文件，电子招标投标交易平台予以拒收。</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2电子投标文件的解密时间为投标解密开始后30分钟内。请投标人确保投标文件如期解密。在开标现场解密的，请投标人自备解密电脑和网络。</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3投标人如遇到操作问题，请咨询市公共资源交易中心信息技术科0730-2966692。</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val="zh-CN"/>
        </w:rPr>
        <w:t>4请投标人安排人员在投标截止时间前在线提交电子投标文件，并确保在规定时间内进行解密。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8.发布公告的媒介</w:t>
      </w:r>
      <w:bookmarkEnd w:id="70"/>
      <w:bookmarkEnd w:id="71"/>
      <w:bookmarkEnd w:id="72"/>
      <w:bookmarkEnd w:id="73"/>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本次招标公告同时在湖南省招标投标监管网、岳阳市住房和城乡建设局网、岳阳市公共资源交易中心网上发布。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en-US" w:eastAsia="zh-CN"/>
        </w:rPr>
      </w:pPr>
      <w:bookmarkStart w:id="74" w:name="_Toc491853849"/>
      <w:bookmarkStart w:id="75" w:name="_Toc460778417"/>
      <w:bookmarkStart w:id="76" w:name="_Toc499738026"/>
      <w:bookmarkStart w:id="77" w:name="_Toc455734753"/>
      <w:r>
        <w:rPr>
          <w:rFonts w:hint="eastAsia" w:asciiTheme="majorEastAsia" w:hAnsiTheme="majorEastAsia" w:eastAsiaTheme="majorEastAsia" w:cstheme="majorEastAsia"/>
          <w:b/>
          <w:bCs/>
          <w:color w:val="auto"/>
          <w:sz w:val="24"/>
          <w:szCs w:val="24"/>
          <w:highlight w:val="none"/>
          <w:lang w:val="en-US" w:eastAsia="zh-CN"/>
        </w:rPr>
        <w:t>9.行政监督</w:t>
      </w:r>
      <w:bookmarkEnd w:id="74"/>
      <w:bookmarkEnd w:id="75"/>
      <w:bookmarkEnd w:id="76"/>
      <w:bookmarkEnd w:id="77"/>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本次招标项目的招标投标监督机构为岳阳市建设工程招标投标管理办公室，电话：0730-8216835。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en-US" w:eastAsia="zh-CN"/>
        </w:rPr>
      </w:pPr>
      <w:bookmarkStart w:id="78" w:name="_Toc460778419"/>
      <w:bookmarkStart w:id="79" w:name="_Toc455734755"/>
      <w:bookmarkStart w:id="80" w:name="_Toc499738027"/>
      <w:bookmarkStart w:id="81" w:name="_Toc491853850"/>
      <w:r>
        <w:rPr>
          <w:rFonts w:hint="eastAsia" w:asciiTheme="majorEastAsia" w:hAnsiTheme="majorEastAsia" w:eastAsiaTheme="majorEastAsia" w:cstheme="majorEastAsia"/>
          <w:b/>
          <w:bCs/>
          <w:color w:val="auto"/>
          <w:sz w:val="24"/>
          <w:szCs w:val="24"/>
          <w:highlight w:val="none"/>
          <w:lang w:val="en-US" w:eastAsia="zh-CN"/>
        </w:rPr>
        <w:t>10.其它</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lang w:val="zh-CN"/>
        </w:rPr>
        <w:t>1为切实做好疫情防控工作并确保本项目招投工作顺利进行，现采用电子投标文件方式组织开评标工作，各投标人须提交电子投标文件。安排人员在投标截止时间前在线提交电子投标文件，并确保在规定时间内进行解密。</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lang w:val="zh-CN"/>
        </w:rPr>
        <w:t xml:space="preserve">2中标单位在领取中标通知书之前，需提供四套完整的纸质投标文件送至招标代理机构用于备案。当提供的纸质文件资料与岳阳市公共资源交易网记录的电子文件资料不一致时，以电子文件资料为准。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11.联系方式</w:t>
      </w:r>
      <w:bookmarkEnd w:id="78"/>
      <w:bookmarkEnd w:id="79"/>
      <w:bookmarkEnd w:id="80"/>
      <w:bookmarkEnd w:id="81"/>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zh-CN"/>
        </w:rPr>
        <w:t>招标人：</w:t>
      </w:r>
      <w:r>
        <w:rPr>
          <w:rFonts w:hint="eastAsia" w:asciiTheme="majorEastAsia" w:hAnsiTheme="majorEastAsia" w:eastAsiaTheme="majorEastAsia" w:cstheme="majorEastAsia"/>
          <w:color w:val="auto"/>
          <w:sz w:val="21"/>
          <w:szCs w:val="21"/>
          <w:highlight w:val="none"/>
          <w:lang w:val="zh-CN" w:eastAsia="zh-CN"/>
        </w:rPr>
        <w:t>岳阳市交投医养服务有限</w:t>
      </w:r>
      <w:r>
        <w:rPr>
          <w:rFonts w:hint="eastAsia" w:asciiTheme="majorEastAsia" w:hAnsiTheme="majorEastAsia" w:eastAsiaTheme="majorEastAsia" w:cstheme="majorEastAsia"/>
          <w:color w:val="auto"/>
          <w:sz w:val="21"/>
          <w:szCs w:val="21"/>
          <w:highlight w:val="none"/>
          <w:lang w:val="en-US" w:eastAsia="zh-CN"/>
        </w:rPr>
        <w:t>公司</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eastAsia="zh-CN"/>
        </w:rPr>
        <w:t>公司</w:t>
      </w:r>
      <w:r>
        <w:rPr>
          <w:rFonts w:hint="eastAsia" w:asciiTheme="majorEastAsia" w:hAnsiTheme="majorEastAsia" w:eastAsiaTheme="majorEastAsia" w:cstheme="majorEastAsia"/>
          <w:color w:val="auto"/>
          <w:sz w:val="21"/>
          <w:szCs w:val="21"/>
          <w:highlight w:val="none"/>
          <w:lang w:val="zh-CN"/>
        </w:rPr>
        <w:t>地址：岳阳市南湖新区赶山路1080号矮子坡安置点</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w:t>
      </w:r>
      <w:r>
        <w:rPr>
          <w:rFonts w:hint="eastAsia" w:asciiTheme="majorEastAsia" w:hAnsiTheme="majorEastAsia" w:eastAsiaTheme="majorEastAsia" w:cstheme="majorEastAsia"/>
          <w:color w:val="auto"/>
          <w:sz w:val="21"/>
          <w:szCs w:val="21"/>
          <w:highlight w:val="none"/>
          <w:lang w:val="en-US" w:eastAsia="zh-CN"/>
        </w:rPr>
        <w:t>李</w:t>
      </w:r>
      <w:r>
        <w:rPr>
          <w:rFonts w:hint="eastAsia" w:asciiTheme="majorEastAsia" w:hAnsiTheme="majorEastAsia" w:eastAsiaTheme="majorEastAsia" w:cstheme="majorEastAsia"/>
          <w:color w:val="auto"/>
          <w:sz w:val="21"/>
          <w:szCs w:val="21"/>
          <w:highlight w:val="none"/>
          <w:lang w:val="zh-CN"/>
        </w:rPr>
        <w:t xml:space="preserve">先生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联系电话：</w:t>
      </w:r>
      <w:bookmarkEnd w:id="65"/>
      <w:bookmarkEnd w:id="66"/>
      <w:bookmarkEnd w:id="67"/>
      <w:bookmarkEnd w:id="68"/>
      <w:bookmarkEnd w:id="69"/>
      <w:r>
        <w:rPr>
          <w:rFonts w:hint="eastAsia" w:asciiTheme="majorEastAsia" w:hAnsiTheme="majorEastAsia" w:eastAsiaTheme="majorEastAsia" w:cstheme="majorEastAsia"/>
          <w:color w:val="auto"/>
          <w:sz w:val="21"/>
          <w:szCs w:val="21"/>
          <w:highlight w:val="none"/>
          <w:lang w:val="zh-CN"/>
        </w:rPr>
        <w:t xml:space="preserve">0730-8265589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招标代理机构：湖南晟弘项目管理有限公司</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联系地址：岳阳楼区建湘路与青年中路交汇处天伦金三角银座A栋28楼</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联系人：李先生</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32"/>
          <w:sz w:val="32"/>
          <w:szCs w:val="32"/>
          <w:highlight w:val="none"/>
        </w:rPr>
      </w:pPr>
      <w:r>
        <w:rPr>
          <w:rFonts w:hint="eastAsia" w:asciiTheme="majorEastAsia" w:hAnsiTheme="majorEastAsia" w:eastAsiaTheme="majorEastAsia" w:cstheme="majorEastAsia"/>
          <w:color w:val="auto"/>
          <w:sz w:val="21"/>
          <w:szCs w:val="21"/>
          <w:highlight w:val="none"/>
          <w:lang w:val="zh-CN"/>
        </w:rPr>
        <w:t>电话：0730-3290015</w:t>
      </w:r>
      <w:r>
        <w:rPr>
          <w:rFonts w:hint="eastAsia" w:ascii="宋体" w:hAnsi="宋体" w:eastAsia="宋体" w:cs="宋体"/>
          <w:b w:val="0"/>
          <w:bCs/>
          <w:color w:val="auto"/>
          <w:kern w:val="32"/>
          <w:sz w:val="32"/>
          <w:szCs w:val="32"/>
          <w:highlight w:val="none"/>
        </w:rPr>
        <w:br w:type="page"/>
      </w:r>
      <w:bookmarkStart w:id="82" w:name="_Toc73785546"/>
    </w:p>
    <w:p>
      <w:pPr>
        <w:pStyle w:val="3"/>
        <w:keepLines w:val="0"/>
        <w:spacing w:before="0" w:after="0" w:line="320" w:lineRule="exact"/>
        <w:jc w:val="center"/>
        <w:rPr>
          <w:rFonts w:hint="eastAsia" w:ascii="宋体" w:hAnsi="宋体" w:eastAsia="宋体" w:cs="宋体"/>
          <w:b/>
          <w:bCs w:val="0"/>
          <w:color w:val="auto"/>
          <w:kern w:val="32"/>
          <w:sz w:val="32"/>
          <w:szCs w:val="32"/>
          <w:highlight w:val="none"/>
        </w:rPr>
      </w:pPr>
      <w:bookmarkStart w:id="83" w:name="_Toc26933"/>
      <w:r>
        <w:rPr>
          <w:rFonts w:hint="eastAsia" w:ascii="宋体" w:hAnsi="宋体" w:eastAsia="宋体" w:cs="宋体"/>
          <w:b/>
          <w:bCs w:val="0"/>
          <w:color w:val="auto"/>
          <w:kern w:val="32"/>
          <w:sz w:val="32"/>
          <w:szCs w:val="32"/>
          <w:highlight w:val="none"/>
        </w:rPr>
        <w:t>第二章投标人须知</w:t>
      </w:r>
      <w:bookmarkEnd w:id="34"/>
      <w:bookmarkEnd w:id="35"/>
      <w:bookmarkEnd w:id="36"/>
      <w:bookmarkEnd w:id="37"/>
      <w:bookmarkEnd w:id="38"/>
      <w:bookmarkEnd w:id="39"/>
      <w:bookmarkEnd w:id="40"/>
      <w:bookmarkEnd w:id="41"/>
      <w:bookmarkEnd w:id="42"/>
      <w:bookmarkEnd w:id="43"/>
      <w:bookmarkEnd w:id="44"/>
      <w:bookmarkEnd w:id="82"/>
      <w:bookmarkEnd w:id="83"/>
    </w:p>
    <w:p>
      <w:pPr>
        <w:pStyle w:val="4"/>
        <w:spacing w:line="320" w:lineRule="exact"/>
        <w:jc w:val="center"/>
        <w:rPr>
          <w:rFonts w:hint="eastAsia" w:ascii="宋体" w:hAnsi="宋体" w:eastAsia="宋体" w:cs="宋体"/>
          <w:b/>
          <w:bCs w:val="0"/>
          <w:color w:val="auto"/>
          <w:highlight w:val="none"/>
        </w:rPr>
      </w:pPr>
      <w:bookmarkStart w:id="84" w:name="_Toc65237866"/>
      <w:bookmarkStart w:id="85" w:name="_Toc453749362"/>
      <w:bookmarkStart w:id="86" w:name="_Toc152042304"/>
      <w:bookmarkStart w:id="87" w:name="_Toc459405311"/>
      <w:bookmarkStart w:id="88" w:name="_Toc458193353"/>
      <w:bookmarkStart w:id="89" w:name="_Toc73785547"/>
      <w:bookmarkStart w:id="90" w:name="_Toc459816284"/>
      <w:bookmarkStart w:id="91" w:name="_Toc300834948"/>
      <w:bookmarkStart w:id="92" w:name="_Toc247513951"/>
      <w:bookmarkStart w:id="93" w:name="_Toc144974496"/>
      <w:bookmarkStart w:id="94" w:name="_Toc458942562"/>
      <w:bookmarkStart w:id="95" w:name="_Toc24531"/>
      <w:bookmarkStart w:id="96" w:name="_Toc247527552"/>
      <w:bookmarkStart w:id="97" w:name="_Toc152045528"/>
      <w:bookmarkStart w:id="98" w:name="_Hlk530046779"/>
      <w:r>
        <w:rPr>
          <w:rFonts w:hint="eastAsia" w:ascii="宋体" w:hAnsi="宋体" w:eastAsia="宋体" w:cs="宋体"/>
          <w:b/>
          <w:bCs w:val="0"/>
          <w:color w:val="auto"/>
          <w:highlight w:val="none"/>
        </w:rPr>
        <w:t>投标人须知前附表</w:t>
      </w:r>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Style w:val="21"/>
        <w:tblW w:w="104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039"/>
        <w:gridCol w:w="73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39"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7339"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7339" w:type="dxa"/>
            <w:vAlign w:val="center"/>
          </w:tcPr>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招标人：</w:t>
            </w:r>
            <w:r>
              <w:rPr>
                <w:rFonts w:hint="eastAsia" w:ascii="宋体" w:hAnsi="宋体" w:eastAsia="宋体" w:cs="宋体"/>
                <w:color w:val="auto"/>
                <w:highlight w:val="none"/>
                <w:lang w:eastAsia="zh-CN"/>
              </w:rPr>
              <w:t>岳阳市交投医养服务有限公司</w:t>
            </w:r>
          </w:p>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  址：岳阳市南湖新区赶山路1080号矮子坡安置点</w:t>
            </w:r>
          </w:p>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李</w:t>
            </w:r>
            <w:r>
              <w:rPr>
                <w:rFonts w:hint="eastAsia" w:ascii="宋体" w:hAnsi="宋体" w:eastAsia="宋体" w:cs="宋体"/>
                <w:color w:val="auto"/>
                <w:highlight w:val="none"/>
              </w:rPr>
              <w:t>先生</w:t>
            </w:r>
          </w:p>
          <w:p>
            <w:pPr>
              <w:snapToGrid w:val="0"/>
              <w:spacing w:line="360" w:lineRule="auto"/>
              <w:ind w:left="0" w:lef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 xml:space="preserve">电  话：0730-8265589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7339" w:type="dxa"/>
            <w:vAlign w:val="center"/>
          </w:tcPr>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招标代理机构：湖南晟弘项目管理有限公司</w:t>
            </w:r>
          </w:p>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联系地址：岳阳楼区建湘路与青年中路交汇处天伦金三角银座A栋28楼</w:t>
            </w:r>
          </w:p>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联系人：李先生</w:t>
            </w:r>
          </w:p>
          <w:p>
            <w:pPr>
              <w:snapToGrid w:val="0"/>
              <w:spacing w:line="360" w:lineRule="auto"/>
              <w:ind w:left="0" w:lef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电话：0730-3290015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339" w:type="dxa"/>
            <w:vAlign w:val="center"/>
          </w:tcPr>
          <w:p>
            <w:pPr>
              <w:snapToGrid w:val="0"/>
              <w:spacing w:line="360" w:lineRule="auto"/>
              <w:ind w:left="0" w:leftChars="0" w:firstLine="0" w:firstLineChars="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岳阳市中心医院门急诊医技综合楼项目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7339" w:type="dxa"/>
            <w:vAlign w:val="center"/>
          </w:tcPr>
          <w:p>
            <w:pPr>
              <w:snapToGrid w:val="0"/>
              <w:spacing w:line="36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岳阳市中心医院位于岳阳市赶山片区，地块南侧为医养路，北侧为樊陈路，东侧为东坡路，西侧为尹家冲路。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7339"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单位自筹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7339" w:type="dxa"/>
            <w:vAlign w:val="bottom"/>
          </w:tcPr>
          <w:p>
            <w:pPr>
              <w:snapToGrid w:val="0"/>
              <w:spacing w:line="360" w:lineRule="auto"/>
              <w:ind w:left="0" w:leftChars="0"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工期要求：总工期720</w:t>
            </w:r>
            <w:r>
              <w:rPr>
                <w:rFonts w:hint="eastAsia" w:ascii="宋体" w:hAnsi="宋体" w:eastAsia="宋体" w:cs="宋体"/>
                <w:color w:val="auto"/>
                <w:highlight w:val="none"/>
              </w:rPr>
              <w:t>日历天（其中设计工期为：45日历天；施工工期为：</w:t>
            </w:r>
            <w:r>
              <w:rPr>
                <w:rFonts w:hint="eastAsia" w:ascii="宋体" w:hAnsi="宋体" w:eastAsia="宋体" w:cs="宋体"/>
                <w:color w:val="auto"/>
                <w:highlight w:val="none"/>
                <w:lang w:val="en-US" w:eastAsia="zh-CN"/>
              </w:rPr>
              <w:t>675</w:t>
            </w:r>
            <w:r>
              <w:rPr>
                <w:rFonts w:hint="eastAsia" w:ascii="宋体" w:hAnsi="宋体" w:eastAsia="宋体" w:cs="宋体"/>
                <w:color w:val="auto"/>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039" w:type="dxa"/>
            <w:vAlign w:val="center"/>
          </w:tcPr>
          <w:p>
            <w:pPr>
              <w:snapToGrid w:val="0"/>
              <w:spacing w:line="2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质量要求及保修要求</w:t>
            </w:r>
          </w:p>
        </w:tc>
        <w:tc>
          <w:tcPr>
            <w:tcW w:w="7339" w:type="dxa"/>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质量要求：详见招标公告</w:t>
            </w:r>
          </w:p>
          <w:p>
            <w:pP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保修要求：按建设部【2000】年80号令要求保修。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投标人资质条件、能力和资信业绩</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接受，具体要求见第一章招标公告第3.</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条。联合体资质按照联合体协议约定的分工认定。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费用承担和设计成果补偿</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不组织：不统一组织，由投标人自行踏勘现场。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投标人提出问题的截止时间和提问方式</w:t>
            </w:r>
          </w:p>
        </w:tc>
        <w:tc>
          <w:tcPr>
            <w:tcW w:w="7339" w:type="dxa"/>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截止时间：在投标截止时间10天前</w:t>
            </w:r>
          </w:p>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投标人要求澄清招标文件的提问方式：</w:t>
            </w:r>
          </w:p>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在《岳阳市住房和城乡建设局网、岳阳市公共资源交易网》上提问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□书面提问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招标人书面澄清的时间和发布方式</w:t>
            </w:r>
          </w:p>
        </w:tc>
        <w:tc>
          <w:tcPr>
            <w:tcW w:w="7339" w:type="dxa"/>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澄清内容可能影响投标文件编制的截止时间：在投标截止时间15天前</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澄清内容不影响投标文件编制的截止时间：在投标截止时间 3天前</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招标人澄清文件发布方式：</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■在《湖南省招标投标监管网、岳阳市住房和城乡建设局网及岳阳市公共资源交易网》上发布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招标人规定由分包人承担的工作</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投标人拟分包的工作</w:t>
            </w:r>
          </w:p>
        </w:tc>
        <w:tc>
          <w:tcPr>
            <w:tcW w:w="7339" w:type="dxa"/>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不允许</w:t>
            </w:r>
          </w:p>
          <w:p>
            <w:pP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允许，分包内容要求：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339" w:type="dxa"/>
            <w:vAlign w:val="center"/>
          </w:tcPr>
          <w:p>
            <w:pPr>
              <w:pStyle w:val="9"/>
              <w:topLinePunc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2"/>
                <w:sz w:val="21"/>
                <w:szCs w:val="21"/>
                <w:highlight w:val="none"/>
              </w:rPr>
              <w:t>不</w:t>
            </w:r>
            <w:r>
              <w:rPr>
                <w:rFonts w:hint="eastAsia" w:ascii="宋体" w:hAnsi="宋体" w:eastAsia="宋体" w:cs="宋体"/>
                <w:color w:val="auto"/>
                <w:kern w:val="2"/>
                <w:sz w:val="21"/>
                <w:szCs w:val="21"/>
                <w:highlight w:val="none"/>
                <w:shd w:val="clear" w:color="auto" w:fill="FFFFFF"/>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构成招标文件的其他资料</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可研资料，初设资料、招标文件补遗等资料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投标人要求澄清招标文件的截止时间和提问方式</w:t>
            </w:r>
          </w:p>
        </w:tc>
        <w:tc>
          <w:tcPr>
            <w:tcW w:w="7339" w:type="dxa"/>
            <w:vAlign w:val="center"/>
          </w:tcPr>
          <w:p>
            <w:pP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截止时间：在投标截止时间</w:t>
            </w:r>
            <w:r>
              <w:rPr>
                <w:rFonts w:hint="eastAsia" w:ascii="宋体" w:hAnsi="宋体" w:eastAsia="宋体" w:cs="宋体"/>
                <w:color w:val="auto"/>
                <w:sz w:val="21"/>
                <w:szCs w:val="21"/>
                <w:highlight w:val="none"/>
                <w:u w:val="single"/>
                <w:shd w:val="clear" w:color="auto" w:fill="FFFFFF"/>
              </w:rPr>
              <w:t>10</w:t>
            </w:r>
            <w:r>
              <w:rPr>
                <w:rFonts w:hint="eastAsia" w:ascii="宋体" w:hAnsi="宋体" w:eastAsia="宋体" w:cs="宋体"/>
                <w:color w:val="auto"/>
                <w:sz w:val="21"/>
                <w:szCs w:val="21"/>
                <w:highlight w:val="none"/>
                <w:shd w:val="clear" w:color="auto" w:fill="FFFFFF"/>
              </w:rPr>
              <w:t>天前</w:t>
            </w:r>
          </w:p>
          <w:p>
            <w:pP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投标人要求澄清招标文件的提问方式：</w:t>
            </w: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网上提交</w:t>
            </w:r>
            <w:r>
              <w:rPr>
                <w:rFonts w:hint="eastAsia" w:ascii="宋体" w:hAnsi="宋体" w:eastAsia="宋体" w:cs="宋体"/>
                <w:color w:val="auto"/>
                <w:sz w:val="21"/>
                <w:szCs w:val="21"/>
                <w:highlight w:val="none"/>
              </w:rPr>
              <w:t>，在</w:t>
            </w:r>
            <w:r>
              <w:rPr>
                <w:rFonts w:hint="eastAsia" w:ascii="宋体" w:hAnsi="宋体" w:eastAsia="宋体" w:cs="宋体"/>
                <w:color w:val="auto"/>
                <w:kern w:val="0"/>
                <w:sz w:val="21"/>
                <w:szCs w:val="21"/>
                <w:highlight w:val="none"/>
                <w:lang w:bidi="ar"/>
              </w:rPr>
              <w:t>岳阳市住房和城乡建设局网、岳阳市公共资源交易</w:t>
            </w:r>
            <w:r>
              <w:rPr>
                <w:rFonts w:hint="eastAsia" w:ascii="宋体" w:hAnsi="宋体" w:eastAsia="宋体" w:cs="宋体"/>
                <w:color w:val="auto"/>
                <w:kern w:val="0"/>
                <w:sz w:val="21"/>
                <w:szCs w:val="21"/>
                <w:highlight w:val="none"/>
                <w:lang w:val="en-US" w:eastAsia="zh-CN" w:bidi="ar"/>
              </w:rPr>
              <w:t>网</w:t>
            </w:r>
            <w:r>
              <w:rPr>
                <w:rFonts w:hint="eastAsia" w:ascii="宋体" w:hAnsi="宋体" w:eastAsia="宋体" w:cs="宋体"/>
                <w:color w:val="auto"/>
                <w:kern w:val="0"/>
                <w:sz w:val="21"/>
                <w:szCs w:val="21"/>
                <w:highlight w:val="none"/>
                <w:lang w:eastAsia="zh-CN" w:bidi="ar"/>
              </w:rPr>
              <w:t>》上提问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w:t>
            </w:r>
            <w:r>
              <w:rPr>
                <w:rFonts w:hint="eastAsia" w:ascii="宋体" w:hAnsi="宋体" w:eastAsia="宋体" w:cs="宋体"/>
                <w:color w:val="auto"/>
                <w:sz w:val="21"/>
                <w:szCs w:val="21"/>
                <w:highlight w:val="none"/>
                <w:lang w:val="en-US" w:eastAsia="zh-CN"/>
              </w:rPr>
              <w:t xml:space="preserve"> 8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10</w:t>
            </w:r>
            <w:bookmarkStart w:id="1316" w:name="_GoBack"/>
            <w:bookmarkEnd w:id="1316"/>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日9 时30分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039" w:type="dxa"/>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澄清和修改招标文件的方式</w:t>
            </w:r>
          </w:p>
        </w:tc>
        <w:tc>
          <w:tcPr>
            <w:tcW w:w="7339" w:type="dxa"/>
            <w:vAlign w:val="center"/>
          </w:tcPr>
          <w:p>
            <w:pPr>
              <w:pStyle w:val="48"/>
              <w:spacing w:line="400" w:lineRule="exact"/>
              <w:ind w:left="106" w:right="93" w:firstLine="422"/>
              <w:rPr>
                <w:rFonts w:hint="eastAsia" w:ascii="宋体" w:hAnsi="宋体" w:eastAsia="宋体" w:cs="宋体"/>
                <w:color w:val="auto"/>
                <w:spacing w:val="-3"/>
                <w:kern w:val="0"/>
                <w:sz w:val="21"/>
                <w:szCs w:val="21"/>
                <w:highlight w:val="none"/>
              </w:rPr>
            </w:pPr>
            <w:r>
              <w:rPr>
                <w:rFonts w:hint="eastAsia" w:ascii="宋体" w:hAnsi="宋体" w:eastAsia="宋体" w:cs="宋体"/>
                <w:color w:val="auto"/>
                <w:spacing w:val="-4"/>
                <w:sz w:val="21"/>
                <w:szCs w:val="21"/>
                <w:highlight w:val="none"/>
              </w:rPr>
              <w:t>招标人书面澄清的时间：招标人可以澄清或者修改招标文件</w:t>
            </w:r>
            <w:r>
              <w:rPr>
                <w:rFonts w:hint="eastAsia" w:ascii="宋体" w:hAnsi="宋体" w:eastAsia="宋体" w:cs="宋体"/>
                <w:color w:val="auto"/>
                <w:spacing w:val="-3"/>
                <w:sz w:val="21"/>
                <w:szCs w:val="21"/>
                <w:highlight w:val="none"/>
              </w:rPr>
              <w:t>的内容，澄清或者修改的内容可能影响投标文件编制的，澄清或</w:t>
            </w:r>
            <w:r>
              <w:rPr>
                <w:rFonts w:hint="eastAsia" w:ascii="宋体" w:hAnsi="宋体" w:eastAsia="宋体" w:cs="宋体"/>
                <w:color w:val="auto"/>
                <w:spacing w:val="-6"/>
                <w:sz w:val="21"/>
                <w:szCs w:val="21"/>
                <w:highlight w:val="none"/>
              </w:rPr>
              <w:t xml:space="preserve">者修改招标文件的时间在投标截止时间 </w:t>
            </w:r>
            <w:r>
              <w:rPr>
                <w:rFonts w:hint="eastAsia" w:ascii="宋体" w:hAnsi="宋体" w:eastAsia="宋体" w:cs="宋体"/>
                <w:color w:val="auto"/>
                <w:sz w:val="21"/>
                <w:szCs w:val="21"/>
                <w:highlight w:val="none"/>
              </w:rPr>
              <w:t xml:space="preserve">15 </w:t>
            </w:r>
            <w:r>
              <w:rPr>
                <w:rFonts w:hint="eastAsia" w:ascii="宋体" w:hAnsi="宋体" w:eastAsia="宋体" w:cs="宋体"/>
                <w:color w:val="auto"/>
                <w:spacing w:val="-10"/>
                <w:sz w:val="21"/>
                <w:szCs w:val="21"/>
                <w:highlight w:val="none"/>
              </w:rPr>
              <w:t xml:space="preserve">日前，不足 </w:t>
            </w:r>
            <w:r>
              <w:rPr>
                <w:rFonts w:hint="eastAsia" w:ascii="宋体" w:hAnsi="宋体" w:eastAsia="宋体" w:cs="宋体"/>
                <w:color w:val="auto"/>
                <w:sz w:val="21"/>
                <w:szCs w:val="21"/>
                <w:highlight w:val="none"/>
              </w:rPr>
              <w:t xml:space="preserve">15 </w:t>
            </w:r>
            <w:r>
              <w:rPr>
                <w:rFonts w:hint="eastAsia" w:ascii="宋体" w:hAnsi="宋体" w:eastAsia="宋体" w:cs="宋体"/>
                <w:color w:val="auto"/>
                <w:spacing w:val="-2"/>
                <w:sz w:val="21"/>
                <w:szCs w:val="21"/>
                <w:highlight w:val="none"/>
              </w:rPr>
              <w:t xml:space="preserve">日的， </w:t>
            </w:r>
            <w:r>
              <w:rPr>
                <w:rFonts w:hint="eastAsia" w:ascii="宋体" w:hAnsi="宋体" w:eastAsia="宋体" w:cs="宋体"/>
                <w:color w:val="auto"/>
                <w:spacing w:val="-3"/>
                <w:sz w:val="21"/>
                <w:szCs w:val="21"/>
                <w:highlight w:val="none"/>
              </w:rPr>
              <w:t>顺延投标截止时间。</w:t>
            </w:r>
          </w:p>
          <w:p>
            <w:pPr>
              <w:spacing w:line="400" w:lineRule="exac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澄清内容不影响投标文件编制的截止时间：在投标截止时间3日前；</w:t>
            </w:r>
          </w:p>
          <w:p>
            <w:pPr>
              <w:spacing w:line="400" w:lineRule="exact"/>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招标人澄清文件发布方式：</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■在湖南省招标投标监管网、岳阳市住房和城乡建设局网、岳阳市公共资源交易网上发布，投标人自行下载</w:t>
            </w:r>
          </w:p>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□书面发布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5"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投标人确认收到招标文件澄清的时间</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不需确认，投标人自行在《</w:t>
            </w:r>
            <w:r>
              <w:rPr>
                <w:rFonts w:hint="eastAsia" w:ascii="宋体" w:hAnsi="宋体" w:eastAsia="宋体" w:cs="宋体"/>
                <w:color w:val="auto"/>
                <w:kern w:val="0"/>
                <w:sz w:val="21"/>
                <w:szCs w:val="21"/>
                <w:highlight w:val="none"/>
                <w:lang w:bidi="ar"/>
              </w:rPr>
              <w:t>岳阳市住房和城乡建设局网</w:t>
            </w:r>
            <w:r>
              <w:rPr>
                <w:rFonts w:hint="eastAsia" w:ascii="宋体" w:hAnsi="宋体" w:eastAsia="宋体" w:cs="宋体"/>
                <w:color w:val="auto"/>
                <w:sz w:val="21"/>
                <w:szCs w:val="21"/>
                <w:highlight w:val="none"/>
              </w:rPr>
              <w:t>》、《岳阳市公共资源交易网》上下载。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投标人确认收到招标文件修改的时间</w:t>
            </w:r>
          </w:p>
        </w:tc>
        <w:tc>
          <w:tcPr>
            <w:tcW w:w="7339" w:type="dxa"/>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不需确认，</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湖南省招标投标监管网、岳阳市住房和城乡建设局网及岳阳市公共资源交易网网上下载</w:t>
            </w:r>
            <w:r>
              <w:rPr>
                <w:rFonts w:hint="eastAsia" w:ascii="宋体" w:hAnsi="宋体" w:eastAsia="宋体" w:cs="宋体"/>
                <w:b/>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构成投标文件的其他资料</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投标人上传的投标文件相关证件应完整，清晰，如不完整，漏页或模糊不清，无法辨认等造成的投标失败或其它不利后果由投标单位自行负责。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039"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招标控制</w:t>
            </w:r>
            <w:r>
              <w:rPr>
                <w:rFonts w:hint="eastAsia" w:ascii="宋体" w:hAnsi="宋体" w:eastAsia="宋体" w:cs="宋体"/>
                <w:bCs/>
                <w:color w:val="auto"/>
                <w:sz w:val="21"/>
                <w:szCs w:val="21"/>
                <w:highlight w:val="none"/>
              </w:rPr>
              <w:t>价</w:t>
            </w:r>
          </w:p>
        </w:tc>
        <w:tc>
          <w:tcPr>
            <w:tcW w:w="7339" w:type="dxa"/>
            <w:vAlign w:val="center"/>
          </w:tcPr>
          <w:p>
            <w:pPr>
              <w:pStyle w:val="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本项目最高投标限价110947.45万元（本项目招标上限包含清单：工程费：99201.16万元、施工图设计费：1104.13万元、预算编制费：156.24万元、BIM 技术服务费：447.62万元、劳动安全卫生评审费：117万元、场地准备与临时建设费：409.5万元、工程保险费：351万元、预备费：9160.8万元。施工图设计费、工程保险费、预备费为不可竞争费用。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039" w:type="dxa"/>
            <w:vAlign w:val="center"/>
          </w:tcPr>
          <w:p>
            <w:pPr>
              <w:pStyle w:val="19"/>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本项目的投标报价采用总金额报价，投标人的投标报价不得高于招标人设定的最高投标限价，否则其投标作废标处理。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2.报价范围：完成招标范围内全部内容的全部费用。</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3.本项目投标应执行一般计税法计价规则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天（日历天）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w:t>
            </w:r>
            <w:r>
              <w:rPr>
                <w:rFonts w:hint="eastAsia" w:ascii="宋体" w:hAnsi="宋体" w:eastAsia="宋体" w:cs="宋体"/>
                <w:color w:val="auto"/>
                <w:sz w:val="21"/>
                <w:szCs w:val="21"/>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投标人上一年度经会计事务所出具的审计报告提供为准；从每年的1月1日至4月30日，如投标人无法提供上一年度上述资料，则可以再上一年度的上述资料为准，否则相应评审项目不予计分；从每年的5月1日开始至12月31日，投标人应当提供上一年度上述资料，否则相应评审项目不予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1、类似工程业绩应当符合以下规定：</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资格要求</w:t>
            </w:r>
            <w:r>
              <w:rPr>
                <w:rFonts w:hint="eastAsia" w:ascii="宋体" w:hAnsi="宋体" w:eastAsia="宋体" w:cs="宋体"/>
                <w:color w:val="auto"/>
                <w:sz w:val="21"/>
                <w:szCs w:val="21"/>
                <w:highlight w:val="none"/>
                <w:lang w:val="en-US" w:eastAsia="zh-CN"/>
              </w:rPr>
              <w:t>的类似工程业绩应当符合以下规定之一：</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设计项目业绩：单项工程建筑面积在10.5万平方米以上的公共建筑设计业绩；</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施工项目业绩：单项工程建筑面积在10.5万平方米以上的公共建筑施工业绩；</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工程总承包项目业绩：单项工程建筑面积在10.5万平方米以上的公共建筑总承包业绩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（2）资信业绩评审要求的类似工程业绩应当符合以下规定之一：</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设计项目业绩：单项工程建筑面积在14.92万平方米以上的公共建筑设计业绩；</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施工项目业绩：单项工程建筑面积在14.92万平方米以上的公共建筑施工业绩；</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工程总承包项目业绩：单项工程建筑面积在14.92万平方米以上的公共建筑工程总承包业绩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说明1：设计类似工程业绩</w:t>
            </w:r>
            <w:r>
              <w:rPr>
                <w:rFonts w:hint="eastAsia" w:ascii="宋体" w:hAnsi="宋体" w:eastAsia="宋体" w:cs="宋体"/>
                <w:color w:val="auto"/>
                <w:sz w:val="21"/>
                <w:szCs w:val="21"/>
                <w:highlight w:val="none"/>
                <w:lang w:eastAsia="zh-CN"/>
              </w:rPr>
              <w:t>考核依据</w:t>
            </w:r>
            <w:r>
              <w:rPr>
                <w:rFonts w:hint="eastAsia" w:ascii="宋体" w:hAnsi="宋体" w:eastAsia="宋体" w:cs="宋体"/>
                <w:color w:val="auto"/>
                <w:sz w:val="21"/>
                <w:szCs w:val="21"/>
                <w:highlight w:val="none"/>
              </w:rPr>
              <w:t>：①为招标项目的须同时提供中标通知书和设计合同以及施工图审查合格书；②为非招标项目的须提供设计合同</w:t>
            </w:r>
            <w:r>
              <w:rPr>
                <w:rFonts w:hint="eastAsia" w:asciiTheme="majorEastAsia" w:hAnsiTheme="majorEastAsia" w:eastAsiaTheme="majorEastAsia" w:cstheme="majorEastAsia"/>
                <w:color w:val="auto"/>
                <w:sz w:val="21"/>
                <w:szCs w:val="21"/>
                <w:highlight w:val="none"/>
              </w:rPr>
              <w:t>以及施工图审查合格书</w:t>
            </w:r>
            <w:r>
              <w:rPr>
                <w:rFonts w:hint="eastAsia" w:ascii="宋体" w:hAnsi="宋体" w:eastAsia="宋体" w:cs="宋体"/>
                <w:color w:val="auto"/>
                <w:sz w:val="21"/>
                <w:szCs w:val="21"/>
                <w:highlight w:val="none"/>
              </w:rPr>
              <w:t>。类似工程业绩考核时间以提交投标文件截止时间前1080天为准，按设计合同中建设单位签字的时间起算，面积以施工图审查合格书为准。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说明2：施工或工程总承包类似工程业绩</w:t>
            </w:r>
            <w:r>
              <w:rPr>
                <w:rFonts w:hint="eastAsia" w:ascii="宋体" w:hAnsi="宋体" w:eastAsia="宋体" w:cs="宋体"/>
                <w:color w:val="auto"/>
                <w:sz w:val="21"/>
                <w:szCs w:val="21"/>
                <w:highlight w:val="none"/>
                <w:lang w:eastAsia="zh-CN"/>
              </w:rPr>
              <w:t>考核依据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为招标项目的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须同时提供①中标通知书和合同；②竣工验收备案登记表（经建设工程质量监督部门签字确认）或竣工验收证明（由建设单位、施工单位、监理单位、设计单位盖章认可）。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非招标项目的：须同时提供①合同；②竣工验收备案登记表（经建设工程质量监督部门签字确认）或竣工验收证明（由建设单位、施工单位、监理单位、设计单位盖章认可）。类似工程业绩考核时间以提交投标文件截止时间前 1080 天为准，按工程竣工验收文件中建设单位签字的时间起算。</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该类似施工和工程总承包工程业绩应当在“湖南省智慧住建云—湖南省建筑市场监管公共服务平台—房屋建筑和市政基础设施工程施工招标投标信用评价管理平台（http://gcxm.hunanjs.gov.cn/）”或者“全国建筑市场监管公共服务平台”（http://jzsc.mohurd.gov.cn/home）查询到其项目名称，提供查询截图。</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3、投标人应按以上要求提供相关资料原件扫描件，未提供或提供的证明资料不齐全的将不予加分。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近年发生的重大诉讼及仲裁情况</w:t>
            </w:r>
          </w:p>
        </w:tc>
        <w:tc>
          <w:tcPr>
            <w:tcW w:w="7339" w:type="dxa"/>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近3年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提交投标文件截止时间前1080天</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7339" w:type="dxa"/>
            <w:vAlign w:val="center"/>
          </w:tcPr>
          <w:p>
            <w:pPr>
              <w:pStyle w:val="9"/>
              <w:topLinePunc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1"/>
                <w:highlight w:val="none"/>
              </w:rPr>
              <w:t>不允许</w:t>
            </w:r>
          </w:p>
          <w:p>
            <w:pPr>
              <w:pStyle w:val="9"/>
              <w:topLinePun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签字和（或）盖章要求</w:t>
            </w:r>
          </w:p>
        </w:tc>
        <w:tc>
          <w:tcPr>
            <w:tcW w:w="7339" w:type="dxa"/>
            <w:vAlign w:val="center"/>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投标文件应当由法定代表人（或其委托代理人）签名（或加盖印章），并加盖投标人的单位公章。投标人加盖的单位公章与其营业执照的单位名称应当一致。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投标文件要求由投标人的法定代表人签字（或盖章）并加盖单位公章的，如为联合体投标，除联合体协议和授权委托书按要求签字盖章外，</w:t>
            </w:r>
            <w:r>
              <w:rPr>
                <w:rFonts w:hint="eastAsia" w:ascii="宋体" w:hAnsi="宋体" w:eastAsia="宋体" w:cs="宋体"/>
                <w:b/>
                <w:bCs/>
                <w:color w:val="auto"/>
                <w:sz w:val="21"/>
                <w:szCs w:val="21"/>
                <w:highlight w:val="none"/>
              </w:rPr>
              <w:t>其余可由联合体牵头人的法定代表人签字（或盖章）并加盖联合体牵头人公章即可。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339" w:type="dxa"/>
            <w:vAlign w:val="center"/>
          </w:tcPr>
          <w:p>
            <w:pP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投标人登录岳阳市公共资源交易网上传YYTF格式投标文件一份（中标单位在领取中标通知书之前，需提供四套完整的纸质投标文件用于备案。当提供的纸质文件资料与岳阳市公共资源交易网记录的电子文件资料不一致时，以电子文件资料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中标单位在中标公示期结束后3日内应按以下要求提供4套投标文件：</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■分册装订，共分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册，分别为：</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投标函部分；</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投标函</w:t>
            </w:r>
            <w:r>
              <w:rPr>
                <w:rFonts w:hint="eastAsia" w:ascii="宋体" w:hAnsi="宋体" w:eastAsia="宋体" w:cs="宋体"/>
                <w:color w:val="auto"/>
                <w:sz w:val="21"/>
                <w:szCs w:val="21"/>
                <w:highlight w:val="none"/>
                <w:lang w:val="en-US" w:eastAsia="zh-CN"/>
              </w:rPr>
              <w:t>目录的内容</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商务标部分：包含商务标目录的内容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设计方案部分；</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设计方案</w:t>
            </w:r>
            <w:r>
              <w:rPr>
                <w:rFonts w:hint="eastAsia" w:ascii="宋体" w:hAnsi="宋体" w:eastAsia="宋体" w:cs="宋体"/>
                <w:color w:val="auto"/>
                <w:sz w:val="21"/>
                <w:szCs w:val="21"/>
                <w:highlight w:val="none"/>
                <w:lang w:val="en-US" w:eastAsia="zh-CN"/>
              </w:rPr>
              <w:t>目录的内容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实施方案</w:t>
            </w:r>
            <w:r>
              <w:rPr>
                <w:rFonts w:hint="eastAsia" w:ascii="宋体" w:hAnsi="宋体" w:eastAsia="宋体" w:cs="宋体"/>
                <w:color w:val="auto"/>
                <w:sz w:val="21"/>
                <w:szCs w:val="21"/>
                <w:highlight w:val="none"/>
                <w:lang w:val="en-US" w:eastAsia="zh-CN"/>
              </w:rPr>
              <w:t>目录的内容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每册采用胶装方式装订，装订应牢固、不易拆散和换页，不得采用活页装订，提倡双面打印。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7339" w:type="dxa"/>
            <w:vAlign w:val="center"/>
          </w:tcPr>
          <w:p>
            <w:pP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交易平台自动加密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封套上应载明的信息</w:t>
            </w:r>
          </w:p>
        </w:tc>
        <w:tc>
          <w:tcPr>
            <w:tcW w:w="7339" w:type="dxa"/>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□纸质投标文件递交至</w:t>
            </w:r>
            <w:r>
              <w:rPr>
                <w:rFonts w:hint="eastAsia" w:ascii="宋体" w:hAnsi="宋体" w:eastAsia="宋体" w:cs="宋体"/>
                <w:color w:val="auto"/>
                <w:sz w:val="21"/>
                <w:szCs w:val="21"/>
                <w:highlight w:val="none"/>
                <w:u w:val="single"/>
              </w:rPr>
              <w:t xml:space="preserve"> / </w:t>
            </w: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投标人自行登录岳阳市公共资源交易平台，在投标截止时间前递交。逾期送达的投标文件，电子招标投标交易平台予以拒收。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7339" w:type="dxa"/>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开标时间：2021年</w:t>
            </w:r>
            <w:r>
              <w:rPr>
                <w:rFonts w:hint="eastAsia" w:ascii="宋体" w:hAnsi="宋体" w:eastAsia="宋体" w:cs="宋体"/>
                <w:color w:val="auto"/>
                <w:sz w:val="21"/>
                <w:szCs w:val="21"/>
                <w:highlight w:val="none"/>
                <w:lang w:val="en-US" w:eastAsia="zh-CN"/>
              </w:rPr>
              <w:t xml:space="preserve"> 8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10  </w:t>
            </w:r>
            <w:r>
              <w:rPr>
                <w:rFonts w:hint="eastAsia" w:ascii="宋体" w:hAnsi="宋体" w:eastAsia="宋体" w:cs="宋体"/>
                <w:color w:val="auto"/>
                <w:sz w:val="21"/>
                <w:szCs w:val="21"/>
                <w:highlight w:val="none"/>
              </w:rPr>
              <w:t>日9时 30分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开标地点：岳阳市公共资源交易中心开标室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密封情况检查</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5.2（7）</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的解密截止时间为投标解密开始后的30分钟内，请投标人确保投标文件如期解密；投标人使用CA登录会员端，在“开标签到解密”中进行投标人文件解密操作。未在规定时间内解密投标文件的视为投标人撤回其投标文件，不参与投标竞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339" w:type="dxa"/>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评标委员会构成：评标委员会依法由7人组成；</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评标专家确定方式：在湖南省综合评标专家库中随机抽取。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7339" w:type="dxa"/>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是</w:t>
            </w: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推荐排序的中标候选人数：1-3个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招标人收到评标报告之日起3日内，将中标候选人的情况在本招标项目招标公告发布的同一媒介予以公示，公示期不少于3个工作日。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w:t>
            </w:r>
          </w:p>
        </w:tc>
        <w:tc>
          <w:tcPr>
            <w:tcW w:w="20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履约担保的形式：现金转账或银行保函</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履约担保的金额：合同金额的</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履约担保的退回：中标人在履行完毕相应的合同义务后，方可凭工程竣工验收证明文件到招标人办理退回手续。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7.4.2</w:t>
            </w:r>
          </w:p>
        </w:tc>
        <w:tc>
          <w:tcPr>
            <w:tcW w:w="20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工程款预付款或者工程款支付担保</w:t>
            </w:r>
          </w:p>
        </w:tc>
        <w:tc>
          <w:tcPr>
            <w:tcW w:w="733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金额：中标合同</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招标人在收到履约担保及工程保险的同时，向中标人支付工程预付款，或者向中标人提供工程款支付担保，支付比例不低于10%。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15"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9378" w:type="dxa"/>
            <w:gridSpan w:val="2"/>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9378" w:type="dxa"/>
            <w:gridSpan w:val="2"/>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词语定义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p>
        </w:tc>
        <w:tc>
          <w:tcPr>
            <w:tcW w:w="9378" w:type="dxa"/>
            <w:gridSpan w:val="2"/>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不良行为记录：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snapToGrid w:val="0"/>
              <w:jc w:val="center"/>
              <w:rPr>
                <w:rFonts w:hint="eastAsia" w:ascii="宋体" w:hAnsi="宋体" w:eastAsia="宋体" w:cs="宋体"/>
                <w:color w:val="auto"/>
                <w:sz w:val="21"/>
                <w:szCs w:val="21"/>
                <w:highlight w:val="none"/>
              </w:rPr>
            </w:pPr>
          </w:p>
        </w:tc>
        <w:tc>
          <w:tcPr>
            <w:tcW w:w="9378" w:type="dxa"/>
            <w:gridSpan w:val="2"/>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不良行为扣分有效期为180天，自湖南省住房和城乡建设厅公布之日起至投交投标文件截止之日止。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与我省签署了招标投标信息共享备忘录的省区市发布的相关不良行为记录按照备忘录要求执行。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“暗标”评审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投标人代表出席开标会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不要求,疫情期间，取消开标时对投标人的集中验证工作。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9378" w:type="dxa"/>
            <w:gridSpan w:val="2"/>
            <w:vAlign w:val="center"/>
          </w:tcPr>
          <w:p>
            <w:pPr>
              <w:widowControl/>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开标时要求提交的原件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开标时要求提交的证书及证明原件</w:t>
            </w:r>
          </w:p>
        </w:tc>
        <w:tc>
          <w:tcPr>
            <w:tcW w:w="9378" w:type="dxa"/>
            <w:gridSpan w:val="2"/>
            <w:vAlign w:val="center"/>
          </w:tcPr>
          <w:p>
            <w:pPr>
              <w:snapToGrid w:val="0"/>
              <w:rPr>
                <w:rFonts w:hint="eastAsia" w:ascii="宋体" w:hAnsi="宋体" w:eastAsia="宋体" w:cs="宋体"/>
                <w:color w:val="auto"/>
                <w:sz w:val="21"/>
                <w:szCs w:val="21"/>
                <w:highlight w:val="none"/>
                <w:shd w:val="clear" w:color="auto" w:fill="FFFFFF"/>
                <w:lang w:val="zh-TW" w:eastAsia="zh-TW"/>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不要求</w:t>
            </w:r>
            <w:r>
              <w:rPr>
                <w:rFonts w:hint="eastAsia" w:ascii="宋体" w:hAnsi="宋体" w:eastAsia="宋体" w:cs="宋体"/>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9378" w:type="dxa"/>
            <w:gridSpan w:val="2"/>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同义词语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构成招标文件组成部分的“通用合同条款”、“专用合同条款”、“发包人要求”等章节中出现的措辞“发包人”和“承包人”，在招标投标阶段应当分别按“招标人”和“投标人”进行理解。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9378" w:type="dxa"/>
            <w:gridSpan w:val="2"/>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本项目的招标投标活动及其相关当事人应当接受有管辖权的建设工程招标投标行政监督部门依法实施的监督，本次招标项目招投投标监督机构为岳阳市建设工程招标投标管理办公室，电话：0730-8216835。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9378" w:type="dxa"/>
            <w:gridSpan w:val="2"/>
            <w:vAlign w:val="center"/>
          </w:tcPr>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9378" w:type="dxa"/>
            <w:gridSpan w:val="2"/>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交易服务费及招标代理服务费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（1）在中标通知书发出之前，中标人须向交易中心交纳交易服务费，收费标准按湘发改价费〔2019〕366号文件规定。</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（2）招标代理服务费按合同约定支付。招标代理服务费的币种：人民币。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w:t>
            </w:r>
          </w:p>
        </w:tc>
        <w:tc>
          <w:tcPr>
            <w:tcW w:w="9378" w:type="dxa"/>
            <w:gridSpan w:val="2"/>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施工项目部关键岗位人员要求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jc w:val="center"/>
              <w:rPr>
                <w:rFonts w:hint="eastAsia" w:ascii="宋体" w:hAnsi="宋体" w:eastAsia="宋体" w:cs="宋体"/>
                <w:color w:val="auto"/>
                <w:sz w:val="21"/>
                <w:szCs w:val="21"/>
                <w:highlight w:val="none"/>
              </w:rPr>
            </w:pPr>
          </w:p>
        </w:tc>
        <w:tc>
          <w:tcPr>
            <w:tcW w:w="9378" w:type="dxa"/>
            <w:gridSpan w:val="2"/>
            <w:vAlign w:val="center"/>
          </w:tcPr>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（1）施工项目部关键岗位人员指</w:t>
            </w:r>
            <w:r>
              <w:rPr>
                <w:rFonts w:hint="eastAsia" w:ascii="宋体" w:hAnsi="宋体" w:eastAsia="宋体" w:cs="宋体"/>
                <w:color w:val="auto"/>
                <w:sz w:val="21"/>
                <w:szCs w:val="21"/>
                <w:highlight w:val="none"/>
                <w:lang w:val="en-US" w:eastAsia="zh-CN"/>
              </w:rPr>
              <w:t>项目总负责人、</w:t>
            </w:r>
            <w:r>
              <w:rPr>
                <w:rFonts w:hint="eastAsia" w:ascii="宋体" w:hAnsi="宋体" w:eastAsia="宋体" w:cs="宋体"/>
                <w:color w:val="auto"/>
                <w:sz w:val="21"/>
                <w:szCs w:val="21"/>
                <w:highlight w:val="none"/>
              </w:rPr>
              <w:t>施工项目负责人、项目技术负责人,其它岗位人员在投标人中标后按湘建建〔2020〕208号文《湖南省建筑工程施工项目部和现场监理部关键岗位人员配备管理办法》规定配备施工项目部关键岗位人员。</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（2）施工项目部岗位人员必须是本企业在职人员（提供由劳动和社会保障部门出具的投标截止时间前近半年期间任一连续三个月的缴纳养老保险证明）。</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项目总负责人、</w:t>
            </w:r>
            <w:r>
              <w:rPr>
                <w:rFonts w:hint="eastAsia" w:ascii="宋体" w:hAnsi="宋体" w:eastAsia="宋体" w:cs="宋体"/>
                <w:color w:val="auto"/>
                <w:sz w:val="21"/>
                <w:szCs w:val="21"/>
                <w:highlight w:val="none"/>
              </w:rPr>
              <w:t>施工项目负责人和施工技术负责人无在建情况查询和证明方式：本省企业和省外入湘企业在“湖南省建筑工程监管信息平台”查询。同时，请省外入湘企业提供企业所在地市州及以上住房城乡建设主管部门出具的未在其他建设工程项目中担任同类职务证明或按照招标文件第七章第一节投标函格式“主要人员简历表”的规定提供官方网站查询的相关信息的网页截图，省外入湘企业无官网查询信息的，需提供承诺（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15"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1</w:t>
            </w:r>
          </w:p>
        </w:tc>
        <w:tc>
          <w:tcPr>
            <w:tcW w:w="9378" w:type="dxa"/>
            <w:gridSpan w:val="2"/>
            <w:vAlign w:val="center"/>
          </w:tcPr>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115" w:type="dxa"/>
            <w:vAlign w:val="center"/>
          </w:tcPr>
          <w:p>
            <w:pPr>
              <w:rPr>
                <w:rFonts w:hint="eastAsia" w:ascii="宋体" w:hAnsi="宋体" w:eastAsia="宋体" w:cs="宋体"/>
                <w:color w:val="auto"/>
                <w:sz w:val="21"/>
                <w:szCs w:val="21"/>
                <w:highlight w:val="none"/>
              </w:rPr>
            </w:pPr>
          </w:p>
        </w:tc>
        <w:tc>
          <w:tcPr>
            <w:tcW w:w="9378" w:type="dxa"/>
            <w:gridSpan w:val="2"/>
            <w:vAlign w:val="center"/>
          </w:tcPr>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（1）中标通知书发出以前，中标候选人及其拟任工程</w:t>
            </w:r>
            <w:r>
              <w:rPr>
                <w:rFonts w:hint="eastAsia" w:ascii="宋体" w:hAnsi="宋体" w:eastAsia="宋体" w:cs="宋体"/>
                <w:color w:val="auto"/>
                <w:sz w:val="21"/>
                <w:szCs w:val="21"/>
                <w:highlight w:val="none"/>
                <w:lang w:val="en-US" w:eastAsia="zh-CN"/>
              </w:rPr>
              <w:t>项目总负责人、</w:t>
            </w:r>
            <w:r>
              <w:rPr>
                <w:rFonts w:hint="eastAsia" w:ascii="宋体" w:hAnsi="宋体" w:eastAsia="宋体" w:cs="宋体"/>
                <w:color w:val="auto"/>
                <w:sz w:val="21"/>
                <w:szCs w:val="21"/>
                <w:highlight w:val="none"/>
              </w:rPr>
              <w:t>设计负责人、施工项目负责人和施工技术负责人的情况发生变化，致使其达不到合格投标人资格条件的，取消其中标候选人资格；</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（3）招标文件中所设置的内容、条款及未尽事宜，均以国家、省、市或建设行政主管部门颁发的招投标有关规定为准。</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（4）投标人对招标人（包括招标代理机构）发售的招标文件内容有异议的应当（具体见须知前附表1.10.2）向招标人或招标代理机构或行政监管部门提出，否则视为认可招标文件的内容和条款。</w:t>
            </w:r>
          </w:p>
          <w:p>
            <w:pPr>
              <w:pStyle w:val="47"/>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5）投标补偿：投标人自行承担所有与准备和参加投标有关的费用。招标人不给予任何补偿，对未中标投标人不做解释说明。</w:t>
            </w:r>
          </w:p>
        </w:tc>
      </w:tr>
    </w:tbl>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说明：本招标文件中复印件指复印件或扫描件或影印件。</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br w:type="page"/>
      </w:r>
      <w:bookmarkEnd w:id="98"/>
    </w:p>
    <w:p>
      <w:pPr>
        <w:pStyle w:val="50"/>
        <w:jc w:val="center"/>
        <w:rPr>
          <w:rFonts w:hint="eastAsia" w:ascii="宋体" w:hAnsi="宋体" w:cs="宋体"/>
          <w:b/>
          <w:bCs/>
          <w:color w:val="auto"/>
          <w:highlight w:val="none"/>
        </w:rPr>
      </w:pPr>
      <w:bookmarkStart w:id="99" w:name="_Toc300835008"/>
      <w:bookmarkStart w:id="100" w:name="_Toc152045598"/>
      <w:bookmarkStart w:id="101" w:name="_Toc459816338"/>
      <w:bookmarkStart w:id="102" w:name="_Toc453749414"/>
      <w:bookmarkStart w:id="103" w:name="_Toc73785558"/>
      <w:bookmarkStart w:id="104" w:name="_Toc459405365"/>
      <w:bookmarkStart w:id="105" w:name="_Toc458942616"/>
      <w:bookmarkStart w:id="106" w:name="_Toc144974565"/>
      <w:bookmarkStart w:id="107" w:name="_Toc247527623"/>
      <w:bookmarkStart w:id="108" w:name="_Toc152042375"/>
      <w:bookmarkStart w:id="109" w:name="_Toc247514022"/>
      <w:bookmarkStart w:id="110" w:name="_Toc458193407"/>
      <w:r>
        <w:rPr>
          <w:rFonts w:hint="eastAsia" w:ascii="宋体" w:hAnsi="宋体" w:cs="宋体"/>
          <w:b/>
          <w:bCs/>
          <w:color w:val="auto"/>
          <w:sz w:val="32"/>
          <w:szCs w:val="32"/>
          <w:highlight w:val="none"/>
        </w:rPr>
        <w:t>投标人须知正文部分</w:t>
      </w:r>
    </w:p>
    <w:p>
      <w:pPr>
        <w:pStyle w:val="5"/>
        <w:ind w:firstLine="138"/>
        <w:jc w:val="left"/>
        <w:rPr>
          <w:rFonts w:hint="eastAsia" w:ascii="宋体" w:cs="宋体"/>
          <w:b/>
          <w:color w:val="auto"/>
          <w:highlight w:val="none"/>
        </w:rPr>
      </w:pPr>
      <w:r>
        <w:rPr>
          <w:rFonts w:hint="eastAsia" w:ascii="宋体" w:cs="宋体"/>
          <w:b/>
          <w:color w:val="auto"/>
          <w:highlight w:val="none"/>
        </w:rPr>
        <w:t>1.总则</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1.1 项目概况</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1.1.1  根据《 中华人民共和国招标投标法》、</w:t>
      </w:r>
      <w:r>
        <w:rPr>
          <w:rFonts w:hint="eastAsia" w:ascii="宋体" w:hAnsi="宋体" w:cs="宋体"/>
          <w:color w:val="auto"/>
          <w:sz w:val="22"/>
          <w:szCs w:val="22"/>
          <w:highlight w:val="none"/>
        </w:rPr>
        <w:t>《中华人民共和国招标投标法实施条例》</w:t>
      </w:r>
      <w:r>
        <w:rPr>
          <w:rFonts w:hint="eastAsia" w:ascii="宋体" w:hAnsi="宋体" w:cs="宋体"/>
          <w:color w:val="auto"/>
          <w:highlight w:val="none"/>
        </w:rPr>
        <w:t xml:space="preserve"> 等有关法律、法规和规章的规定，本招标项目已具备招标条件，现对该项目总承包进行招标。</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招标人：见投标人须知前附表。</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  招标代理机构：见投标人须知前附表。</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1.1.4  招标项目名称：见投标人须知前附表。</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建设地点：见投标人须知前附表。</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1.2 资金来源和落实情况</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详见招标公告或投标邀请书 。</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1.3 招标范围、计划工期和质量要求</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1.3.1  招标范围：见投标人须知前附表。</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1.3.2  计划工期：见投标人须知前附表。</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1.3.3  质量标准和保修要求：见投标人须知前附表。</w:t>
      </w:r>
    </w:p>
    <w:p>
      <w:pPr>
        <w:pStyle w:val="6"/>
        <w:spacing w:before="0" w:after="0" w:line="400" w:lineRule="exact"/>
        <w:rPr>
          <w:rFonts w:hint="eastAsia" w:ascii="宋体" w:hAnsi="宋体" w:cs="宋体"/>
          <w:b w:val="0"/>
          <w:bCs w:val="0"/>
          <w:color w:val="auto"/>
          <w:szCs w:val="21"/>
          <w:highlight w:val="none"/>
        </w:rPr>
      </w:pPr>
      <w:r>
        <w:rPr>
          <w:rFonts w:hint="eastAsia" w:ascii="宋体" w:hAnsi="宋体" w:cs="宋体"/>
          <w:b w:val="0"/>
          <w:bCs w:val="0"/>
          <w:color w:val="auto"/>
          <w:highlight w:val="none"/>
        </w:rPr>
        <w:t>1.4 投标人资格要求</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1.4.1  投标人应具备承担本项目的资质条件：见投标人须知前附表；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（1）资质要求：见投标人须知前附表；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（2）财务要求：见投标人须知前附表；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（3）业绩要求：见投标人须知前附表；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（4）信誉要求：见投标人须知前附表；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（5）项目经理的资格要求：具体要求见投标人须知前附表；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（6）设计负责人的资格要求：具体要求见投标人须知前附表；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（7）施工负责人的资格要求：具体要求见投标人须知前附表；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（8）施工机械设备：见投标人须知前附表；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（9）项目管理机构及人员：见投标人须知前附表；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（10）其他要求：见投标人须知前附表。</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1.4.2  投标人须知前附表规定接受联合体投标的，除应符合本须知第1.4.1项和投标人须知前附表的要求外，还应遵守以下规定：</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（1）联合体各方应按招标文件提供的格式签订联合体协议书，明确联合体牵头人和各方权利义务；</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（2）由同一专业的单位组成的联合体，按照资质等级较低的单位确定资质等级；</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（3）联合体各方不得再以自己名义单独或参加其他联合体在同一标段中投标。</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1.4.3 投标人不得存在下列情形之一：</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（l）为招标人的不具有独立法人资格的附属机构（单位）；</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2</w:t>
      </w:r>
      <w:r>
        <w:rPr>
          <w:rFonts w:hint="eastAsia" w:ascii="宋体" w:hAnsi="宋体" w:cs="宋体"/>
          <w:bCs/>
          <w:color w:val="auto"/>
          <w:highlight w:val="none"/>
        </w:rPr>
        <w:t>）为本招标项目的监理人；</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3</w:t>
      </w:r>
      <w:r>
        <w:rPr>
          <w:rFonts w:hint="eastAsia" w:ascii="宋体" w:hAnsi="宋体" w:cs="宋体"/>
          <w:bCs/>
          <w:color w:val="auto"/>
          <w:highlight w:val="none"/>
        </w:rPr>
        <w:t>）为本招标项目的代建人；</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4</w:t>
      </w:r>
      <w:r>
        <w:rPr>
          <w:rFonts w:hint="eastAsia" w:ascii="宋体" w:hAnsi="宋体" w:cs="宋体"/>
          <w:bCs/>
          <w:color w:val="auto"/>
          <w:highlight w:val="none"/>
        </w:rPr>
        <w:t>）为本招标项目的招标代理机构；</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5</w:t>
      </w:r>
      <w:r>
        <w:rPr>
          <w:rFonts w:hint="eastAsia" w:ascii="宋体" w:hAnsi="宋体" w:cs="宋体"/>
          <w:bCs/>
          <w:color w:val="auto"/>
          <w:highlight w:val="none"/>
        </w:rPr>
        <w:t>）与本招标项目的监理人或代建人或招标代理机构同为一个法定代表人的；</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6</w:t>
      </w:r>
      <w:r>
        <w:rPr>
          <w:rFonts w:hint="eastAsia" w:ascii="宋体" w:hAnsi="宋体" w:cs="宋体"/>
          <w:bCs/>
          <w:color w:val="auto"/>
          <w:highlight w:val="none"/>
        </w:rPr>
        <w:t>）与本招标项目的监理人或代建人或招标代理机构相互控股或参股的；</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7</w:t>
      </w:r>
      <w:r>
        <w:rPr>
          <w:rFonts w:hint="eastAsia" w:ascii="宋体" w:hAnsi="宋体" w:cs="宋体"/>
          <w:bCs/>
          <w:color w:val="auto"/>
          <w:highlight w:val="none"/>
        </w:rPr>
        <w:t>）与本招标项目的监理人或代建人或招标代理机构相互任职或工作的；</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8</w:t>
      </w:r>
      <w:r>
        <w:rPr>
          <w:rFonts w:hint="eastAsia" w:ascii="宋体" w:hAnsi="宋体" w:cs="宋体"/>
          <w:bCs/>
          <w:color w:val="auto"/>
          <w:highlight w:val="none"/>
        </w:rPr>
        <w:t>）被责令停业的；</w:t>
      </w:r>
    </w:p>
    <w:p>
      <w:pPr>
        <w:pStyle w:val="50"/>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9</w:t>
      </w:r>
      <w:r>
        <w:rPr>
          <w:rFonts w:hint="eastAsia" w:ascii="宋体" w:hAnsi="宋体" w:cs="宋体"/>
          <w:bCs/>
          <w:color w:val="auto"/>
          <w:highlight w:val="none"/>
        </w:rPr>
        <w:t>）被住房城乡建设主管部门取消参加本地区依法必须招标项目投标资格的；</w:t>
      </w:r>
    </w:p>
    <w:p>
      <w:pPr>
        <w:pStyle w:val="50"/>
        <w:spacing w:line="400" w:lineRule="exact"/>
        <w:ind w:firstLine="420" w:firstLineChars="200"/>
        <w:rPr>
          <w:rFonts w:hint="eastAsia" w:ascii="宋体" w:hAnsi="宋体" w:cs="宋体"/>
          <w:bCs/>
          <w:color w:val="auto"/>
          <w:sz w:val="18"/>
          <w:szCs w:val="18"/>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10</w:t>
      </w:r>
      <w:r>
        <w:rPr>
          <w:rFonts w:hint="eastAsia" w:ascii="宋体" w:hAnsi="宋体" w:cs="宋体"/>
          <w:bCs/>
          <w:color w:val="auto"/>
          <w:highlight w:val="none"/>
        </w:rPr>
        <w:t xml:space="preserve">）被列入湖南省房屋建筑和市政基础设施工程施工监理招标投标失信黑名单并在有效期内的；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1</w:t>
      </w:r>
      <w:r>
        <w:rPr>
          <w:rFonts w:hint="eastAsia" w:ascii="宋体" w:hAnsi="宋体" w:cs="宋体"/>
          <w:bCs/>
          <w:color w:val="auto"/>
          <w:highlight w:val="none"/>
        </w:rPr>
        <w:t>）与招标人存在利害关系可能影响招标公正性的法人、其他组织或者个人；</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2</w:t>
      </w:r>
      <w:r>
        <w:rPr>
          <w:rFonts w:hint="eastAsia" w:ascii="宋体" w:hAnsi="宋体" w:cs="宋体"/>
          <w:bCs/>
          <w:color w:val="auto"/>
          <w:highlight w:val="none"/>
        </w:rPr>
        <w:t>）单位负责人为同一人或者存在控股、管理关系的不同单位参加同一标段或者未划分标段的同一招标项目投标的。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highlight w:val="none"/>
        </w:rPr>
        <w:t>法律、法规规定的其他情形。</w:t>
      </w:r>
    </w:p>
    <w:p>
      <w:pPr>
        <w:pStyle w:val="6"/>
        <w:spacing w:before="0" w:after="0" w:line="400" w:lineRule="exact"/>
        <w:rPr>
          <w:rFonts w:ascii="宋体" w:hAnsi="宋体" w:cs="宋体"/>
          <w:color w:val="auto"/>
          <w:highlight w:val="none"/>
        </w:rPr>
      </w:pPr>
      <w:r>
        <w:rPr>
          <w:rFonts w:hint="eastAsia" w:ascii="宋体" w:hAnsi="宋体" w:cs="宋体"/>
          <w:color w:val="auto"/>
          <w:highlight w:val="none"/>
        </w:rPr>
        <w:t>1.5 费用承担和设计成果补偿</w:t>
      </w:r>
    </w:p>
    <w:p>
      <w:pPr>
        <w:pStyle w:val="6"/>
        <w:spacing w:before="0" w:after="0" w:line="400" w:lineRule="exact"/>
        <w:ind w:firstLine="560" w:firstLineChars="200"/>
        <w:rPr>
          <w:rFonts w:hint="eastAsia" w:ascii="宋体" w:hAnsi="宋体" w:cs="宋体"/>
          <w:b w:val="0"/>
          <w:bCs w:val="0"/>
          <w:color w:val="auto"/>
          <w:highlight w:val="none"/>
        </w:rPr>
      </w:pPr>
      <w:r>
        <w:rPr>
          <w:rFonts w:hint="eastAsia" w:ascii="宋体" w:hAnsi="宋体" w:cs="宋体"/>
          <w:b w:val="0"/>
          <w:bCs w:val="0"/>
          <w:color w:val="auto"/>
          <w:highlight w:val="none"/>
        </w:rPr>
        <w:t>1.5.1 投标人准备和参加投标活动发生的费用自理。</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1.5.2 招标人不对符合招标文件规定的未中标人的设计成果进行补偿。</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1.6 保密</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参与招标投标活动的各方应对招标文件和投标文件中的商业和技术等秘密保密，违者应对由此造成的后果承担法律责任。</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1.7 语言文字</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除专用术语外，与招标投标有关的语言均使用中文。必要时专用术语应附有中文注释。</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1.8 计量单位</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所有计量均采用中华人民共和国法定计量单位。</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1.9 踏勘现场</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1.9.1  按投标人须知前附表的规定执行。</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1.9.2  投标人踏勘现场发生的费用自理。</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1.9.4  招标人在踏勘现场有关工程场地和相关环境等情况的介绍，供投标人参考。投标人对自身的判断和决策负责。</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1.10 投标预备会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1.10.3 投标预备会后，招标人在投标人须知前附表规定的时间内，将对投标人所提问题的澄清，以书面形式通知所有购买招标文件的投标人。该澄清内容为招标文件的组成部分。</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1.11 分包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1.11.1 投标人须知前附表规定应当由分包人实施的非主体、非关键性工作，投标人应当按照第五章“发包人要求”的规定提供分包人侯选名单及其相应资料。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1.11.2 投标人拟在中标后将中标项目的部分非主体、非关键性工作进行分包的，应符合投标人须知前附表规定的分包内容、分包金额和资质要求等限制性条件。</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1.12 偏离</w:t>
      </w:r>
    </w:p>
    <w:p>
      <w:pPr>
        <w:spacing w:line="400" w:lineRule="exact"/>
        <w:ind w:firstLine="420" w:firstLineChars="200"/>
        <w:rPr>
          <w:rFonts w:hint="eastAsia" w:ascii="宋体" w:hAnsi="宋体" w:cs="宋体"/>
          <w:color w:val="auto"/>
          <w:highlight w:val="none"/>
        </w:rPr>
      </w:pPr>
      <w:r>
        <w:rPr>
          <w:rFonts w:hint="eastAsia" w:ascii="宋体" w:hAnsi="宋体"/>
          <w:color w:val="auto"/>
          <w:szCs w:val="21"/>
          <w:highlight w:val="none"/>
        </w:rPr>
        <w:t>投标人须知前附表允许投标文件偏离招标文件某些要求的，偏离应当符合招标文件规定的偏离范围和幅度。</w:t>
      </w:r>
    </w:p>
    <w:p>
      <w:pPr>
        <w:pStyle w:val="5"/>
        <w:spacing w:before="0" w:after="0" w:line="400" w:lineRule="exact"/>
        <w:jc w:val="left"/>
        <w:rPr>
          <w:rFonts w:hint="eastAsia" w:ascii="宋体" w:cs="宋体"/>
          <w:bCs w:val="0"/>
          <w:color w:val="auto"/>
          <w:highlight w:val="none"/>
        </w:rPr>
      </w:pPr>
      <w:r>
        <w:rPr>
          <w:rFonts w:hint="eastAsia" w:ascii="宋体" w:cs="宋体"/>
          <w:bCs w:val="0"/>
          <w:color w:val="auto"/>
          <w:highlight w:val="none"/>
        </w:rPr>
        <w:t>2.招标文件</w:t>
      </w:r>
    </w:p>
    <w:p>
      <w:pPr>
        <w:pStyle w:val="6"/>
        <w:spacing w:before="0" w:after="0" w:line="400" w:lineRule="exact"/>
        <w:ind w:firstLine="280" w:firstLineChars="100"/>
        <w:rPr>
          <w:rFonts w:hint="eastAsia" w:ascii="宋体" w:hAnsi="宋体" w:cs="宋体"/>
          <w:b w:val="0"/>
          <w:bCs w:val="0"/>
          <w:color w:val="auto"/>
          <w:highlight w:val="none"/>
        </w:rPr>
      </w:pPr>
      <w:r>
        <w:rPr>
          <w:rFonts w:hint="eastAsia" w:ascii="宋体" w:hAnsi="宋体" w:cs="宋体"/>
          <w:b w:val="0"/>
          <w:bCs w:val="0"/>
          <w:color w:val="auto"/>
          <w:highlight w:val="none"/>
        </w:rPr>
        <w:t>2.1 招标文件的组成</w:t>
      </w:r>
    </w:p>
    <w:p>
      <w:pPr>
        <w:pStyle w:val="5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本招标文件包括：</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（1）招标公告；</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（2）投标人须知；</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（3）评标办法；</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（4）合同条款及格式；</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（5）发包人要求；</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（6）发包人提供的资料和条件；</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（7）投标文件格式；</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（8）投标人须知前附表规定的其他资料。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根据本章第1.10款、第2.2款和第2.3款对招标文件所作的澄清、修改，构成招标文件的组成部分。</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2.2 招标文件的澄清和修改</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  投标人应仔细阅读和检查招标文件的全部内容。如有疑问，应当在投标人须知前附表规定的时间之前，按照规定的方式，要求招标人澄清。</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2.2.2  招标文件的澄清或者修改的内容可能影响投标文件编制的，由招标人在投标人须知前附表规定的投标截止时间至少15日前，在投标人须知前附表规定的媒介发布；</w:t>
      </w:r>
      <w:r>
        <w:rPr>
          <w:rFonts w:hint="eastAsia" w:ascii="宋体" w:hAnsi="宋体" w:cs="宋体"/>
          <w:color w:val="auto"/>
          <w:szCs w:val="20"/>
          <w:highlight w:val="none"/>
        </w:rPr>
        <w:t>不足15日</w:t>
      </w:r>
      <w:r>
        <w:rPr>
          <w:rFonts w:hint="eastAsia" w:ascii="宋体" w:hAnsi="宋体" w:cs="宋体"/>
          <w:color w:val="auto"/>
          <w:highlight w:val="none"/>
        </w:rPr>
        <w:t>，相应</w:t>
      </w:r>
      <w:r>
        <w:rPr>
          <w:rFonts w:hint="eastAsia" w:ascii="宋体" w:hAnsi="宋体" w:cs="宋体"/>
          <w:color w:val="auto"/>
          <w:szCs w:val="20"/>
          <w:highlight w:val="none"/>
        </w:rPr>
        <w:t>顺延</w:t>
      </w:r>
      <w:r>
        <w:rPr>
          <w:rFonts w:hint="eastAsia" w:ascii="宋体" w:hAnsi="宋体" w:cs="宋体"/>
          <w:color w:val="auto"/>
          <w:highlight w:val="none"/>
        </w:rPr>
        <w:t>投标截止时间。</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2.2.3招标文件澄清或者修改的内容由投标人在投标人须知前附表规定的媒介上自行查阅。</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2.3 招标文件的修改</w:t>
      </w:r>
    </w:p>
    <w:p>
      <w:pPr>
        <w:pStyle w:val="50"/>
        <w:widowControl w:val="0"/>
        <w:spacing w:line="400" w:lineRule="exact"/>
        <w:ind w:firstLine="420" w:firstLineChars="200"/>
        <w:rPr>
          <w:rFonts w:ascii="宋体" w:hAnsi="宋体"/>
          <w:color w:val="auto"/>
          <w:highlight w:val="none"/>
        </w:rPr>
      </w:pPr>
      <w:r>
        <w:rPr>
          <w:rFonts w:ascii="宋体" w:hAnsi="宋体" w:cs="宋体"/>
          <w:color w:val="auto"/>
          <w:highlight w:val="none"/>
        </w:rPr>
        <w:t>2.3.1</w:t>
      </w:r>
      <w:r>
        <w:rPr>
          <w:rFonts w:hint="eastAsia" w:ascii="宋体" w:hAnsi="宋体" w:cs="宋体"/>
          <w:color w:val="auto"/>
          <w:highlight w:val="none"/>
        </w:rPr>
        <w:t>招标人可以修改招标文件，修改的内容可能影响投标文件编制的，招标人应当在投标截止时间至少</w:t>
      </w:r>
      <w:r>
        <w:rPr>
          <w:rFonts w:ascii="宋体" w:hAnsi="宋体" w:cs="宋体"/>
          <w:color w:val="auto"/>
          <w:highlight w:val="none"/>
        </w:rPr>
        <w:t>15</w:t>
      </w:r>
      <w:r>
        <w:rPr>
          <w:rFonts w:hint="eastAsia" w:ascii="宋体" w:hAnsi="宋体" w:cs="宋体"/>
          <w:color w:val="auto"/>
          <w:highlight w:val="none"/>
        </w:rPr>
        <w:t>日前，在投标人须知前附表规定的媒介予以发布；不足</w:t>
      </w:r>
      <w:r>
        <w:rPr>
          <w:rFonts w:ascii="宋体" w:hAnsi="宋体"/>
          <w:color w:val="auto"/>
          <w:highlight w:val="none"/>
        </w:rPr>
        <w:t>15</w:t>
      </w:r>
      <w:r>
        <w:rPr>
          <w:rFonts w:hint="eastAsia" w:ascii="宋体" w:hAnsi="宋体" w:cs="宋体"/>
          <w:color w:val="auto"/>
          <w:highlight w:val="none"/>
        </w:rPr>
        <w:t>日，相应顺延投标截止时间。</w:t>
      </w:r>
    </w:p>
    <w:p>
      <w:pPr>
        <w:spacing w:line="400" w:lineRule="exact"/>
        <w:ind w:firstLine="420" w:firstLineChars="200"/>
        <w:rPr>
          <w:rFonts w:hint="eastAsia" w:ascii="宋体" w:hAnsi="宋体" w:cs="宋体"/>
          <w:color w:val="auto"/>
          <w:highlight w:val="none"/>
        </w:rPr>
      </w:pPr>
      <w:r>
        <w:rPr>
          <w:rFonts w:ascii="宋体" w:hAnsi="宋体"/>
          <w:color w:val="auto"/>
          <w:szCs w:val="21"/>
          <w:highlight w:val="none"/>
        </w:rPr>
        <w:t>2.3.2</w:t>
      </w:r>
      <w:r>
        <w:rPr>
          <w:rFonts w:hint="eastAsia" w:ascii="宋体" w:hAnsi="宋体" w:cs="宋体"/>
          <w:color w:val="auto"/>
          <w:szCs w:val="21"/>
          <w:highlight w:val="none"/>
        </w:rPr>
        <w:t>投标人应在投标人须知前附表规定的媒介上自行查阅，招标代理机构不再另行通知且不需投标人确认。</w:t>
      </w:r>
    </w:p>
    <w:p>
      <w:pPr>
        <w:pStyle w:val="5"/>
        <w:spacing w:before="0" w:after="0" w:line="400" w:lineRule="exact"/>
        <w:jc w:val="left"/>
        <w:rPr>
          <w:rFonts w:hint="eastAsia" w:ascii="宋体" w:cs="宋体"/>
          <w:bCs w:val="0"/>
          <w:color w:val="auto"/>
          <w:highlight w:val="none"/>
        </w:rPr>
      </w:pPr>
      <w:r>
        <w:rPr>
          <w:rFonts w:hint="eastAsia" w:ascii="宋体" w:cs="宋体"/>
          <w:bCs w:val="0"/>
          <w:color w:val="auto"/>
          <w:highlight w:val="none"/>
        </w:rPr>
        <w:t>3.投标文件</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3.1 投标文件的组成</w:t>
      </w:r>
    </w:p>
    <w:p>
      <w:pPr>
        <w:pStyle w:val="50"/>
        <w:widowControl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highlight w:val="none"/>
        </w:rPr>
        <w:t>3.1.1  投标文件由投标函和</w:t>
      </w:r>
      <w:r>
        <w:rPr>
          <w:rFonts w:hint="eastAsia" w:ascii="宋体" w:hAnsi="宋体" w:cs="宋体"/>
          <w:color w:val="auto"/>
          <w:highlight w:val="none"/>
          <w:lang w:val="en-US" w:eastAsia="zh-CN"/>
        </w:rPr>
        <w:t>商务标、</w:t>
      </w:r>
      <w:r>
        <w:rPr>
          <w:rFonts w:hint="eastAsia" w:ascii="宋体" w:hAnsi="宋体" w:cs="宋体"/>
          <w:color w:val="auto"/>
          <w:highlight w:val="none"/>
        </w:rPr>
        <w:t>技术标</w:t>
      </w:r>
      <w:r>
        <w:rPr>
          <w:rFonts w:hint="eastAsia" w:ascii="宋体" w:hAnsi="宋体" w:cs="宋体"/>
          <w:color w:val="auto"/>
          <w:highlight w:val="none"/>
          <w:lang w:val="en-US" w:eastAsia="zh-CN"/>
        </w:rPr>
        <w:t>三</w:t>
      </w:r>
      <w:r>
        <w:rPr>
          <w:rFonts w:hint="eastAsia" w:ascii="宋体" w:hAnsi="宋体" w:cs="宋体"/>
          <w:color w:val="auto"/>
          <w:highlight w:val="none"/>
        </w:rPr>
        <w:t>部分内容以及投标人须知前附表规定的其他资料组成，具体内容详见第七章投标文件格式（投标函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商务标</w:t>
      </w:r>
      <w:r>
        <w:rPr>
          <w:rFonts w:hint="eastAsia" w:ascii="宋体" w:hAnsi="宋体" w:cs="宋体"/>
          <w:color w:val="auto"/>
          <w:highlight w:val="none"/>
        </w:rPr>
        <w:t>和技术标分册上传）。</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3.1.2  投标人须知前附表规定不接受联合体投标的，或投标人没有组成联合体的，投标文件不包括联合体协议书。</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3.2 投标报价</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3.2.1 投标人应按的要求填写相应表格。</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 xml:space="preserve">3.2.2 </w:t>
      </w:r>
      <w:r>
        <w:rPr>
          <w:rFonts w:hint="eastAsia" w:ascii="宋体" w:hAnsi="宋体" w:cs="宋体"/>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3.2.4 招标人设有最高投标限价的，投标人的投标报价不得超过最高投标限价，最高投标限价或其计算方法在投标人须知前附表中载明。</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3.2.5 投标报价的其他要求见投标人须知前附表。</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3.3 投标有效期</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3.3.1  在投标人须知前附表规定的投标有效期内，投标人不得要求撤销或修改其投标文件。</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6"/>
        <w:spacing w:before="0" w:after="0" w:line="400" w:lineRule="exact"/>
        <w:ind w:firstLine="560" w:firstLineChars="200"/>
        <w:rPr>
          <w:rFonts w:hint="eastAsia" w:ascii="宋体" w:hAnsi="宋体" w:cs="宋体"/>
          <w:b w:val="0"/>
          <w:bCs w:val="0"/>
          <w:color w:val="auto"/>
          <w:highlight w:val="none"/>
        </w:rPr>
      </w:pPr>
      <w:r>
        <w:rPr>
          <w:rFonts w:hint="eastAsia" w:ascii="宋体" w:hAnsi="宋体" w:cs="宋体"/>
          <w:b w:val="0"/>
          <w:bCs w:val="0"/>
          <w:color w:val="auto"/>
          <w:highlight w:val="none"/>
        </w:rPr>
        <w:t>3.4 投标保证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3.4.1 投标人在递交投标文件的同时，应当按照投标人须知前附表的规定递交投标担保，并作为投标文件的组成部分。</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3.4.2  投标人不按本须知第3.4.1 项要求提交投标担保的，应当否决其投标。</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3.4.3 </w:t>
      </w:r>
      <w:r>
        <w:rPr>
          <w:rFonts w:hint="eastAsia" w:ascii="宋体" w:hAnsi="宋体" w:cs="宋体"/>
          <w:color w:val="auto"/>
          <w:szCs w:val="32"/>
          <w:highlight w:val="none"/>
          <w:shd w:val="clear" w:color="auto" w:fill="FFFFFF"/>
        </w:rPr>
        <w:t>未中标的投标人的投标担保</w:t>
      </w:r>
      <w:r>
        <w:rPr>
          <w:rFonts w:hint="eastAsia" w:ascii="宋体" w:hAnsi="宋体" w:cs="宋体"/>
          <w:color w:val="auto"/>
          <w:highlight w:val="none"/>
        </w:rPr>
        <w:t>于中标通知书发出之日起5个工作日内退还。</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3.4.4 中标人的投标担保在招标人与中标人签订合同后5 个工作日内退还。</w:t>
      </w:r>
    </w:p>
    <w:p>
      <w:pPr>
        <w:pStyle w:val="50"/>
        <w:widowControl w:val="0"/>
        <w:spacing w:line="400" w:lineRule="exact"/>
        <w:ind w:firstLine="420" w:firstLineChars="200"/>
        <w:rPr>
          <w:rFonts w:hint="eastAsia" w:ascii="宋体" w:hAnsi="宋体" w:cs="宋体"/>
          <w:color w:val="auto"/>
          <w:szCs w:val="32"/>
          <w:highlight w:val="none"/>
          <w:shd w:val="clear" w:color="auto" w:fill="FFFFFF"/>
        </w:rPr>
      </w:pPr>
      <w:r>
        <w:rPr>
          <w:rFonts w:hint="eastAsia" w:ascii="宋体" w:hAnsi="宋体" w:cs="宋体"/>
          <w:color w:val="auto"/>
          <w:highlight w:val="none"/>
        </w:rPr>
        <w:t>3.4.5</w:t>
      </w:r>
      <w:r>
        <w:rPr>
          <w:rFonts w:hint="eastAsia" w:ascii="宋体" w:hAnsi="宋体" w:cs="宋体"/>
          <w:color w:val="auto"/>
          <w:szCs w:val="32"/>
          <w:highlight w:val="none"/>
          <w:shd w:val="clear" w:color="auto" w:fill="FFFFFF"/>
        </w:rPr>
        <w:t>在投标截止时间前撤回已提交的投标文件的投标人的投标担保，自收到投标人书面撤回通知之日起5个工作日内退还；</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szCs w:val="32"/>
          <w:highlight w:val="none"/>
          <w:shd w:val="clear" w:color="auto" w:fill="FFFFFF"/>
        </w:rPr>
        <w:t>3.4.6 不接受招标人延长投标有效期的投标人的投标担保，自收到投标人不予接受延长投标有效期的书面通知之日起5个工作日内退还。</w:t>
      </w:r>
      <w:r>
        <w:rPr>
          <w:rFonts w:hint="eastAsia" w:ascii="宋体" w:hAnsi="宋体" w:cs="宋体"/>
          <w:color w:val="auto"/>
          <w:highlight w:val="none"/>
        </w:rPr>
        <w:t xml:space="preserve">   </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（1）投标人在规定的投标有效期内撤销或修改其投标文件；</w:t>
      </w:r>
    </w:p>
    <w:p>
      <w:pPr>
        <w:pStyle w:val="50"/>
        <w:widowControl w:val="0"/>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（2）投标人被确定为中标人后，无正当理由不与招标人订立合同，或者在签订合同时向招标人提出附加条件，或者不按招标文件要求提交履约担保。</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3.5资格审查资料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3.5.1 “投标人基本情况表”应附投标人营业执照、资质证书副本等材料的复印件。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3.5.2 “近年财务状况表”应附经会计师事务所认定的财务会计报表，包括资产负债表、损益表和审计报告等复印件，具体年份要求见投标人须知前附表。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3.5.3 </w:t>
      </w:r>
      <w:r>
        <w:rPr>
          <w:rFonts w:hint="eastAsia" w:ascii="宋体" w:hAnsi="宋体"/>
          <w:color w:val="auto"/>
          <w:highlight w:val="none"/>
        </w:rPr>
        <w:t>“近年完成的类似项目情况表”应附合同的关键页面复印件或中标通知书或竣工验收资料的复印件，具体年份要求见投标人须知前附表。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3.5.4 </w:t>
      </w:r>
      <w:r>
        <w:rPr>
          <w:rFonts w:hint="eastAsia" w:ascii="宋体" w:hAnsi="宋体"/>
          <w:color w:val="auto"/>
          <w:highlight w:val="none"/>
        </w:rPr>
        <w:t>“正在施工和新承接的项目情况表”应附中标通知书或合同协议书复印件</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3.5.5 “近年发生的重大诉讼及仲裁情况”应说明相关情况，并附法院或仲裁机构作出的判决、裁决等有关法律文书复印件或自行承诺，具体年份要求见投标人须知前附表。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3.5.6 投标人须知前附表规定接受联合体投标的，本章第3.5.1项至第3.5.5项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3.5.2项除外</w:t>
      </w:r>
      <w:r>
        <w:rPr>
          <w:rFonts w:hint="eastAsia" w:ascii="宋体" w:hAnsi="宋体"/>
          <w:color w:val="auto"/>
          <w:szCs w:val="21"/>
          <w:highlight w:val="none"/>
          <w:lang w:eastAsia="zh-CN"/>
        </w:rPr>
        <w:t>）</w:t>
      </w:r>
      <w:r>
        <w:rPr>
          <w:rFonts w:hint="eastAsia" w:ascii="宋体" w:hAnsi="宋体"/>
          <w:color w:val="auto"/>
          <w:szCs w:val="21"/>
          <w:highlight w:val="none"/>
        </w:rPr>
        <w:t>规定的表格和资料应包括联合体各方相关情况。</w:t>
      </w:r>
    </w:p>
    <w:p>
      <w:pPr>
        <w:pStyle w:val="6"/>
        <w:spacing w:before="0" w:after="0" w:line="400"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3.6 备选投标方案</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投标文件的编制该备选投标方案。</w:t>
      </w:r>
    </w:p>
    <w:p>
      <w:pPr>
        <w:pStyle w:val="6"/>
        <w:spacing w:before="0" w:after="0" w:line="400" w:lineRule="exact"/>
        <w:rPr>
          <w:rFonts w:hint="eastAsia" w:ascii="宋体" w:hAnsi="宋体" w:eastAsia="宋体" w:cs="宋体"/>
          <w:b w:val="0"/>
          <w:bCs w:val="0"/>
          <w:color w:val="auto"/>
          <w:highlight w:val="none"/>
        </w:rPr>
      </w:pPr>
      <w:r>
        <w:rPr>
          <w:rFonts w:hint="eastAsia" w:ascii="宋体" w:hAnsi="宋体" w:cs="宋体"/>
          <w:b w:val="0"/>
          <w:bCs w:val="0"/>
          <w:color w:val="auto"/>
          <w:highlight w:val="none"/>
        </w:rPr>
        <w:t xml:space="preserve">3.7 </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3.7.1  投标文件应按第七章“投标文件格式”编写。可以增加附页，作为投标文件的组成部分。其中，投标函附录在满足招标文件实质性要求的基础上，可以提出比招标文件要求更有利于招标人的承诺。</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3.7.2  投标文件应当对招标文件有关工期、投标有效期、质量要求、技术标准和要求、招标范围等内容作出实质性响应。</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3.7.3  投标文件应用不褪色的材料书写或打印，并加盖投标人的单位公章和法定代表人或其委托代理人印章。委托代理人签字或盖章的，投标文件应附法定代表人签署的授权委托书。投标文件应尽量避免涂改、行间插字或删除。如果出现上述情况，改动之处应加盖投标人单位公章或由投标人的法定代表人或其授权的代理人签字确认。签字或盖章的具体要求见投标人须知前附表。</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A3"/>
      </w:r>
      <w:r>
        <w:rPr>
          <w:rFonts w:hint="eastAsia" w:ascii="宋体" w:hAnsi="宋体" w:cs="宋体"/>
          <w:color w:val="auto"/>
          <w:highlight w:val="none"/>
        </w:rPr>
        <w:t>3.7.4 投标文件正本一份，副本份数见投标人须知前附表。正本和副本的封面上应清楚地标记“正本”或“副本”的字样。当副本和正本不一致时，以正本为准。 投标文件的正本与副本应分别装订成册，并编制目录，具体装订要求见投标人须知前附表。</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52"/>
      </w:r>
      <w:r>
        <w:rPr>
          <w:rFonts w:hint="eastAsia" w:ascii="宋体" w:hAnsi="宋体" w:cs="宋体"/>
          <w:color w:val="auto"/>
          <w:highlight w:val="none"/>
        </w:rPr>
        <w:t xml:space="preserve">3.7.4  </w:t>
      </w:r>
      <w:bookmarkStart w:id="111" w:name="_Hlk62048484"/>
      <w:r>
        <w:rPr>
          <w:rFonts w:hint="eastAsia" w:ascii="宋体" w:hAnsi="宋体" w:cs="宋体"/>
          <w:color w:val="auto"/>
          <w:highlight w:val="none"/>
        </w:rPr>
        <w:t>投标文件采用电子文档的，投标文件所附证书证件均为原件扫描件，并采用单位和个人数字证书，按招标文件要求在相应位置加盖电子印章。</w:t>
      </w:r>
      <w:bookmarkEnd w:id="111"/>
    </w:p>
    <w:p>
      <w:pPr>
        <w:pStyle w:val="5"/>
        <w:spacing w:before="0" w:after="0" w:line="400" w:lineRule="exact"/>
        <w:jc w:val="left"/>
        <w:rPr>
          <w:rFonts w:hint="eastAsia" w:ascii="宋体" w:cs="宋体"/>
          <w:bCs w:val="0"/>
          <w:color w:val="auto"/>
          <w:highlight w:val="none"/>
        </w:rPr>
      </w:pPr>
      <w:r>
        <w:rPr>
          <w:rFonts w:hint="eastAsia" w:ascii="宋体" w:cs="宋体"/>
          <w:bCs w:val="0"/>
          <w:color w:val="auto"/>
          <w:highlight w:val="none"/>
        </w:rPr>
        <w:t>4.投标</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4.1 投标文件的密封和标记</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A3"/>
      </w:r>
      <w:r>
        <w:rPr>
          <w:rFonts w:hint="eastAsia" w:ascii="宋体" w:hAnsi="宋体" w:cs="宋体"/>
          <w:color w:val="auto"/>
          <w:highlight w:val="none"/>
        </w:rPr>
        <w:t>4.1.1 纸质投标文件的密封：投标文件分</w:t>
      </w:r>
      <w:r>
        <w:rPr>
          <w:rFonts w:hint="eastAsia" w:ascii="宋体" w:hAnsi="宋体" w:cs="宋体"/>
          <w:color w:val="auto"/>
          <w:highlight w:val="none"/>
          <w:u w:val="single"/>
        </w:rPr>
        <w:t xml:space="preserve">  / </w:t>
      </w:r>
      <w:r>
        <w:rPr>
          <w:rFonts w:hint="eastAsia" w:ascii="宋体" w:hAnsi="宋体" w:cs="宋体"/>
          <w:color w:val="auto"/>
          <w:highlight w:val="none"/>
        </w:rPr>
        <w:t>包包装（</w:t>
      </w:r>
      <w:r>
        <w:rPr>
          <w:rFonts w:hint="eastAsia" w:ascii="宋体" w:hAnsi="宋体" w:cs="宋体"/>
          <w:color w:val="auto"/>
          <w:highlight w:val="none"/>
        </w:rPr>
        <w:sym w:font="Times New Roman" w:char="0000"/>
      </w:r>
      <w:r>
        <w:rPr>
          <w:rFonts w:hint="eastAsia" w:ascii="宋体" w:hAnsi="宋体" w:cs="宋体"/>
          <w:color w:val="auto"/>
          <w:highlight w:val="none"/>
        </w:rPr>
        <w:t>商务标，</w:t>
      </w:r>
      <w:r>
        <w:rPr>
          <w:rFonts w:hint="eastAsia" w:ascii="宋体" w:hAnsi="宋体" w:cs="宋体"/>
          <w:color w:val="auto"/>
          <w:highlight w:val="none"/>
        </w:rPr>
        <w:sym w:font="Times New Roman" w:char="0000"/>
      </w:r>
      <w:r>
        <w:rPr>
          <w:rFonts w:hint="eastAsia" w:ascii="宋体" w:hAnsi="宋体" w:cs="宋体"/>
          <w:color w:val="auto"/>
          <w:highlight w:val="none"/>
        </w:rPr>
        <w:t>承包人采购及</w:t>
      </w:r>
      <w:r>
        <w:rPr>
          <w:rFonts w:hint="eastAsia" w:ascii="宋体" w:hAnsi="宋体" w:cs="宋体"/>
          <w:color w:val="auto"/>
          <w:highlight w:val="none"/>
          <w:lang w:eastAsia="zh-CN"/>
        </w:rPr>
        <w:t>实施方案</w:t>
      </w:r>
      <w:r>
        <w:rPr>
          <w:rFonts w:hint="eastAsia" w:ascii="宋体" w:hAnsi="宋体" w:cs="宋体"/>
          <w:color w:val="auto"/>
          <w:highlight w:val="none"/>
        </w:rPr>
        <w:t>，</w:t>
      </w:r>
      <w:r>
        <w:rPr>
          <w:rFonts w:hint="eastAsia" w:ascii="宋体" w:hAnsi="宋体" w:cs="宋体"/>
          <w:color w:val="auto"/>
          <w:highlight w:val="none"/>
        </w:rPr>
        <w:sym w:font="Times New Roman" w:char="0000"/>
      </w:r>
      <w:r>
        <w:rPr>
          <w:rFonts w:hint="eastAsia" w:ascii="宋体" w:hAnsi="宋体" w:cs="宋体"/>
          <w:color w:val="auto"/>
          <w:highlight w:val="none"/>
        </w:rPr>
        <w:t>承包人工程设计方案）并密封。</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52"/>
      </w:r>
      <w:r>
        <w:rPr>
          <w:rFonts w:hint="eastAsia" w:ascii="宋体" w:hAnsi="宋体" w:cs="宋体"/>
          <w:color w:val="auto"/>
          <w:highlight w:val="none"/>
        </w:rPr>
        <w:t>4.1.1投标人应当按照投标人须知前附表的规定加密投标文件。</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A3"/>
      </w:r>
      <w:r>
        <w:rPr>
          <w:rFonts w:hint="eastAsia" w:ascii="宋体" w:hAnsi="宋体" w:cs="宋体"/>
          <w:color w:val="auto"/>
          <w:highlight w:val="none"/>
        </w:rPr>
        <w:t>4.1.2 投标文件的标记：投标文件封套上载明的信息应符合投标人须知前附表的要求。</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A3"/>
      </w:r>
      <w:r>
        <w:rPr>
          <w:rFonts w:hint="eastAsia" w:ascii="宋体" w:hAnsi="宋体" w:cs="宋体"/>
          <w:color w:val="auto"/>
          <w:highlight w:val="none"/>
        </w:rPr>
        <w:t>4.1.3 未按本须知第4.1.1 项要求密封的投标文件，招标人将予以拒收。未按本章第4.1.2 项要求加写标记的投标文件，招标人将不承担投标文件提前开封的责任。</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52"/>
      </w:r>
      <w:r>
        <w:rPr>
          <w:rFonts w:hint="eastAsia" w:ascii="宋体" w:hAnsi="宋体" w:cs="宋体"/>
          <w:color w:val="auto"/>
          <w:highlight w:val="none"/>
        </w:rPr>
        <w:t>4.1.3 未按本须知第4.1.1 项要求加密的投标文件，电子招标投标交易平台予以拒收。</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4.2 投标文件的递交</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4.2.1  投标人应当在投标人须知前附表规定的投标截止时间前递交投标文件。</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A3"/>
      </w:r>
      <w:r>
        <w:rPr>
          <w:rFonts w:hint="eastAsia" w:ascii="宋体" w:hAnsi="宋体" w:cs="宋体"/>
          <w:color w:val="auto"/>
          <w:highlight w:val="none"/>
        </w:rPr>
        <w:t>4.2.2投标人递交投标文件的地点：见投标人须知前附表。</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52"/>
      </w:r>
      <w:r>
        <w:rPr>
          <w:rFonts w:hint="eastAsia" w:ascii="宋体" w:hAnsi="宋体" w:cs="宋体"/>
          <w:color w:val="auto"/>
          <w:highlight w:val="none"/>
        </w:rPr>
        <w:t>4.2.2投标人通过下载电子招标文件的电子招标投标交易平台递交电子投标文件。</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A3"/>
      </w:r>
      <w:r>
        <w:rPr>
          <w:rFonts w:hint="eastAsia" w:ascii="宋体" w:hAnsi="宋体" w:cs="宋体"/>
          <w:color w:val="auto"/>
          <w:highlight w:val="none"/>
        </w:rPr>
        <w:t>4.2.4逾期送达的或者未送达指定地点的投标文件，招标人将予以拒收。</w:t>
      </w:r>
    </w:p>
    <w:p>
      <w:pPr>
        <w:pStyle w:val="50"/>
        <w:widowControl w:val="0"/>
        <w:spacing w:line="400" w:lineRule="exact"/>
        <w:ind w:firstLine="420" w:firstLineChars="200"/>
        <w:rPr>
          <w:rFonts w:hint="eastAsia" w:ascii="宋体" w:hAnsi="宋体" w:cs="宋体"/>
          <w:color w:val="auto"/>
          <w:highlight w:val="none"/>
        </w:rPr>
      </w:pPr>
      <w:r>
        <w:rPr>
          <w:color w:val="auto"/>
          <w:highlight w:val="none"/>
        </w:rPr>
        <w:sym w:font="Wingdings 2" w:char="0052"/>
      </w:r>
      <w:r>
        <w:rPr>
          <w:rFonts w:hint="eastAsia" w:ascii="宋体" w:hAnsi="宋体" w:cs="宋体"/>
          <w:color w:val="auto"/>
          <w:highlight w:val="none"/>
        </w:rPr>
        <w:t>4.2.4逾期送达的投标文件，电子招标投标交易平台将予以拒收。</w:t>
      </w:r>
    </w:p>
    <w:p>
      <w:pPr>
        <w:pStyle w:val="6"/>
        <w:spacing w:before="0" w:after="0" w:line="400" w:lineRule="exact"/>
        <w:rPr>
          <w:rFonts w:hint="eastAsia" w:ascii="宋体" w:hAnsi="宋体" w:cs="宋体"/>
          <w:b w:val="0"/>
          <w:bCs w:val="0"/>
          <w:color w:val="auto"/>
          <w:highlight w:val="none"/>
        </w:rPr>
      </w:pPr>
      <w:r>
        <w:rPr>
          <w:rFonts w:hint="eastAsia" w:ascii="宋体" w:hAnsi="宋体" w:cs="宋体"/>
          <w:b w:val="0"/>
          <w:bCs w:val="0"/>
          <w:color w:val="auto"/>
          <w:highlight w:val="none"/>
        </w:rPr>
        <w:t>4.3 投标文件的修改与撤回</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4.3.1  在投标人须知前附表规定的投标截止时间前，投标人可以修改或撤回已递交投标文件，但应以书面形式通知招标人。</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4.3.2  投标人修改或撤回已递交投标文件的书面通知应按照本章第3.7.3 项的要求签字或盖章。招标人收到书面通知后，向投标人出具签收凭证。</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4.3.3  修改的内容为投标文件的组成部分的，修改的投标文件应按照本章规定进行编制、密封、标记和递交，并标明“修改”字样。</w:t>
      </w:r>
    </w:p>
    <w:p>
      <w:pPr>
        <w:pStyle w:val="5"/>
        <w:spacing w:before="0" w:after="0" w:line="400" w:lineRule="exact"/>
        <w:jc w:val="left"/>
        <w:rPr>
          <w:rFonts w:hint="eastAsia" w:ascii="宋体" w:cs="宋体"/>
          <w:bCs w:val="0"/>
          <w:color w:val="auto"/>
          <w:highlight w:val="none"/>
        </w:rPr>
      </w:pPr>
      <w:r>
        <w:rPr>
          <w:rFonts w:hint="eastAsia" w:ascii="宋体" w:cs="宋体"/>
          <w:bCs w:val="0"/>
          <w:color w:val="auto"/>
          <w:highlight w:val="none"/>
        </w:rPr>
        <w:t>5.开标</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主持人按下列程序进行开标：</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（l）宣布开标纪律；</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（2）公布在投标截止时间前递交投标文件的投标人名称，并点名确认投标人是否派人到场；</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（3）宣布开标人、唱标人、记录人、监督人等有关人员姓名；</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（4）投标人通过电子招标投标交易平台对已递交的电子投标文件进行解密，当众开标，公布投标人名称、标段名称、投标保证的递交情况、投标报价、质量目标、工期及其他内容，并记录在案；</w:t>
      </w:r>
    </w:p>
    <w:p>
      <w:pPr>
        <w:pStyle w:val="50"/>
        <w:widowControl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（5）招标人在开标记录上确认；</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（6）开标结束。</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5.3 开标异议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投标人对开标有异议的，应当在开标现场提出，招标人当场作出答复，并制作记录。</w:t>
      </w:r>
    </w:p>
    <w:p>
      <w:pPr>
        <w:pStyle w:val="4"/>
        <w:numPr>
          <w:ilvl w:val="0"/>
          <w:numId w:val="0"/>
        </w:numPr>
        <w:spacing w:before="0" w:after="0" w:line="400" w:lineRule="exact"/>
        <w:ind w:leftChars="0"/>
        <w:rPr>
          <w:rFonts w:ascii="宋体" w:hAnsi="宋体" w:eastAsia="宋体"/>
          <w:color w:val="auto"/>
          <w:sz w:val="21"/>
          <w:szCs w:val="21"/>
          <w:highlight w:val="none"/>
        </w:rPr>
      </w:pPr>
      <w:bookmarkStart w:id="112" w:name="_Toc17876424"/>
      <w:bookmarkStart w:id="113" w:name="_Toc530034813"/>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评标</w:t>
      </w:r>
      <w:bookmarkEnd w:id="112"/>
      <w:bookmarkEnd w:id="113"/>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6.1 评标委员会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6.1.1 评标由招标人依法组建的评标委员会负责。评标委员会由招标人以及有关技术、经济等方面的专家组成。评标委员会成员人数以及技术、经济等方面专家的确定方式见投标人须知前附表。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6.1.2 评标委员会成员有下列情形之一的，应当回避：</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（1）投标人或投标人主要负责人的近亲属；</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（3）与投标人有经济利益关系，可能影响对投标公正评审的；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（4）曾因在招标、评标以及其他与招标投标有关活动中从事违法行为而受过行政处罚或刑事处罚的；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（5）与投标人有其他利害关系。</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6.2 评标原则</w:t>
      </w:r>
      <w:r>
        <w:rPr>
          <w:rFonts w:ascii="宋体" w:hAnsi="宋体"/>
          <w:b/>
          <w:color w:val="auto"/>
          <w:szCs w:val="21"/>
          <w:highlight w:val="none"/>
        </w:rPr>
        <w:tab/>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6.3 评标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评标委员会按照第三章“评标办法”规定的方法、评审因素、标准和程序对投标文件进行评审。第三章“评标办法”没有规定的方法、评审因素和标准，不作为评标依据。</w:t>
      </w:r>
    </w:p>
    <w:p>
      <w:pPr>
        <w:pStyle w:val="4"/>
        <w:numPr>
          <w:ilvl w:val="0"/>
          <w:numId w:val="0"/>
        </w:numPr>
        <w:spacing w:before="0" w:after="0" w:line="400" w:lineRule="exact"/>
        <w:ind w:leftChars="0"/>
        <w:rPr>
          <w:rFonts w:ascii="宋体" w:hAnsi="宋体" w:eastAsia="宋体"/>
          <w:color w:val="auto"/>
          <w:sz w:val="21"/>
          <w:szCs w:val="21"/>
          <w:highlight w:val="none"/>
        </w:rPr>
      </w:pPr>
      <w:bookmarkStart w:id="114" w:name="_Toc17876425"/>
      <w:bookmarkStart w:id="115" w:name="_Toc530034814"/>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合同授予</w:t>
      </w:r>
      <w:bookmarkEnd w:id="114"/>
      <w:bookmarkEnd w:id="115"/>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7.1 定标方式</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除投标人须知前附表规定评标委员会直接确定中标人外，招标人依据评标委员会推荐的中标候选人确定中标人，招标人将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评标委员会推荐中标候选人的人数见投标人须知前附表。</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7.2 中标候选人公示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招标人在投标人须知前附表规定的媒介公示中标候选人。</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7.3 中标通知</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在本章第3.3款规定的投标有效期内，招标人以书面形式向中标人发出中标通知书，同时将中标结果通知未中标的投标人。中标通知书按本章附表格式填写。</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7.4 履约担保</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ascii="宋体" w:hAnsi="宋体"/>
          <w:color w:val="auto"/>
          <w:szCs w:val="21"/>
          <w:highlight w:val="none"/>
          <w:lang w:val="en-US" w:eastAsia="zh-CN"/>
        </w:rPr>
        <w:t>8</w:t>
      </w:r>
      <w:r>
        <w:rPr>
          <w:rFonts w:hint="eastAsia" w:ascii="宋体" w:hAnsi="宋体"/>
          <w:color w:val="auto"/>
          <w:szCs w:val="21"/>
          <w:highlight w:val="none"/>
        </w:rPr>
        <w:t>%。联合体中标的，其担保由联合体各方或者联合体中牵头人的名义提交。</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7.4.2 中标人不能按本章第7.4.1项要求提交履约担保的，视为放弃中标，其投标保证金不予退还，给招标人造成的损失超过投标保证金数额的，中标人还应当对超过部分予以赔偿。</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7.5 签订合同</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7.5.2 发出中标通知书后，招标人无正当理由拒签合同的，招标人向中标人退还投标保证金；给中标人造成损失的，还应当赔偿损失。 </w:t>
      </w:r>
    </w:p>
    <w:p>
      <w:pPr>
        <w:pStyle w:val="4"/>
        <w:numPr>
          <w:ilvl w:val="0"/>
          <w:numId w:val="0"/>
        </w:numPr>
        <w:spacing w:before="0" w:after="0" w:line="400" w:lineRule="exact"/>
        <w:ind w:leftChars="0"/>
        <w:rPr>
          <w:rFonts w:ascii="宋体" w:hAnsi="宋体" w:eastAsia="宋体"/>
          <w:color w:val="auto"/>
          <w:sz w:val="21"/>
          <w:szCs w:val="21"/>
          <w:highlight w:val="none"/>
        </w:rPr>
      </w:pPr>
      <w:bookmarkStart w:id="116" w:name="_Toc17876426"/>
      <w:bookmarkStart w:id="117" w:name="_Toc530034815"/>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重新招标和不再招标</w:t>
      </w:r>
      <w:bookmarkEnd w:id="116"/>
      <w:bookmarkEnd w:id="117"/>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8.1 重新招标</w:t>
      </w:r>
      <w:r>
        <w:rPr>
          <w:rFonts w:hint="eastAsia" w:ascii="宋体" w:hAnsi="宋体"/>
          <w:color w:val="auto"/>
          <w:szCs w:val="21"/>
          <w:highlight w:val="none"/>
          <w:lang w:eastAsia="zh-CN"/>
        </w:rPr>
        <w:t>：</w:t>
      </w:r>
      <w:r>
        <w:rPr>
          <w:rFonts w:hint="eastAsia" w:ascii="宋体" w:hAnsi="宋体"/>
          <w:color w:val="auto"/>
          <w:szCs w:val="21"/>
          <w:highlight w:val="none"/>
        </w:rPr>
        <w:t>有下列情形之一的，招标人将重新招标：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（l） 投标截止时间止，投标人少于3 个的；</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经评标委员会评审后否决所有投标的。</w:t>
      </w:r>
    </w:p>
    <w:p>
      <w:pPr>
        <w:pStyle w:val="17"/>
        <w:ind w:left="1106" w:leftChars="199" w:hanging="688" w:hangingChars="313"/>
        <w:rPr>
          <w:rFonts w:hint="eastAsia" w:eastAsia="宋体"/>
          <w:color w:val="auto"/>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）法律法规允许的其他情形</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8.2 不再招标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重新招标后投标人仍少于3 个或者所有投标被否决的，属于必须审批或核准的工程建设项目，经原审批或核准部门批准后不再进行招标。</w:t>
      </w:r>
    </w:p>
    <w:p>
      <w:pPr>
        <w:pStyle w:val="4"/>
        <w:numPr>
          <w:ilvl w:val="0"/>
          <w:numId w:val="0"/>
        </w:numPr>
        <w:spacing w:before="0" w:after="0" w:line="400" w:lineRule="exact"/>
        <w:ind w:leftChars="0"/>
        <w:rPr>
          <w:rFonts w:ascii="宋体" w:hAnsi="宋体" w:eastAsia="宋体"/>
          <w:color w:val="auto"/>
          <w:sz w:val="21"/>
          <w:szCs w:val="21"/>
          <w:highlight w:val="none"/>
        </w:rPr>
      </w:pPr>
      <w:bookmarkStart w:id="118" w:name="_Toc17876427"/>
      <w:bookmarkStart w:id="119" w:name="_Toc530034816"/>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纪律和监督</w:t>
      </w:r>
      <w:bookmarkEnd w:id="118"/>
      <w:bookmarkEnd w:id="119"/>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9.1 对招标人的纪律要求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招标人不得泄漏招标投标活动中应当保密的情况和资料，不得与投标人串通损害国家利益、社会公共利益或者他人合法权益。</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9.2 对投标人的纪律要求</w:t>
      </w:r>
    </w:p>
    <w:p>
      <w:pPr>
        <w:spacing w:line="400" w:lineRule="exact"/>
        <w:ind w:firstLine="0" w:firstLineChars="0"/>
        <w:rPr>
          <w:rFonts w:hint="eastAsia"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w:t>
      </w:r>
    </w:p>
    <w:p>
      <w:pPr>
        <w:spacing w:line="400" w:lineRule="exact"/>
        <w:ind w:firstLine="0" w:firstLineChars="0"/>
        <w:rPr>
          <w:rFonts w:ascii="宋体" w:hAnsi="宋体"/>
          <w:color w:val="auto"/>
          <w:szCs w:val="21"/>
          <w:highlight w:val="none"/>
        </w:rPr>
      </w:pPr>
      <w:r>
        <w:rPr>
          <w:rFonts w:hint="eastAsia" w:ascii="宋体" w:hAnsi="宋体"/>
          <w:color w:val="auto"/>
          <w:szCs w:val="21"/>
          <w:highlight w:val="none"/>
        </w:rPr>
        <w:t>不得以他人名义投标或者以其他方式弄虚作假骗取中标；投标人不得以任何方式干扰、影响评标工作。</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9.3 对评标委员会成员的纪律要求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9.4 对与评标活动有关的工作人员的纪律要求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ind w:firstLine="420" w:firstLineChars="200"/>
        <w:rPr>
          <w:rFonts w:ascii="宋体" w:hAnsi="宋体"/>
          <w:b/>
          <w:color w:val="auto"/>
          <w:szCs w:val="21"/>
          <w:highlight w:val="none"/>
        </w:rPr>
      </w:pPr>
      <w:r>
        <w:rPr>
          <w:rFonts w:hint="eastAsia" w:ascii="宋体" w:hAnsi="宋体"/>
          <w:b/>
          <w:color w:val="auto"/>
          <w:szCs w:val="21"/>
          <w:highlight w:val="none"/>
        </w:rPr>
        <w:t>9.5 投诉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9.5.1投标人和其他利害关系人认为本次招标活动违反法律、法规和规章规定的，有权向有关行政监督部门投诉。</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9.5.2投标人或者其他利害关系人认为招标投标活动不符合有关规定，应按下列规定先向招标人提出异议：</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(1)认为招标文件内容违法或者不当的，应当在递交投标文件截止时间十日前以书面形式向招标人提出异议。招标人应当在收到异议后三日内作出答复，作出答复前，暂停招投标活动；</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(2)认为开标活动违法或者不当的，应当在开标现场向招标人提出异议。招标人应当当场答复，并制作记录；</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(3)对评标结果有异议的，应当在中标候选人公示期以书面形式向招标人提出。招标人应当在收到异议后三日内作出答复，作出答复前，暂停招投标活动。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招标人无正当理由不在规定时间内答复异议的，投标人或利害关系人可向行政监督部门投诉。在中</w:t>
      </w:r>
      <w:r>
        <w:rPr>
          <w:rFonts w:hint="eastAsia" w:ascii="宋体" w:hAnsi="宋体"/>
          <w:color w:val="auto"/>
          <w:highlight w:val="none"/>
        </w:rPr>
        <w:t>标候选人</w:t>
      </w:r>
      <w:r>
        <w:rPr>
          <w:rFonts w:hint="eastAsia" w:ascii="宋体" w:hAnsi="宋体" w:cs="宋体"/>
          <w:color w:val="auto"/>
          <w:kern w:val="0"/>
          <w:szCs w:val="21"/>
          <w:highlight w:val="none"/>
        </w:rPr>
        <w:t>公示期间提出异议的，公示期自异议答复后延续计算。</w:t>
      </w:r>
    </w:p>
    <w:p>
      <w:pPr>
        <w:pStyle w:val="4"/>
        <w:numPr>
          <w:ilvl w:val="0"/>
          <w:numId w:val="0"/>
        </w:numPr>
        <w:spacing w:before="0" w:after="0" w:line="400" w:lineRule="exact"/>
        <w:ind w:leftChars="0"/>
        <w:rPr>
          <w:rFonts w:ascii="宋体" w:hAnsi="宋体" w:eastAsia="宋体"/>
          <w:color w:val="auto"/>
          <w:sz w:val="21"/>
          <w:szCs w:val="21"/>
          <w:highlight w:val="none"/>
        </w:rPr>
      </w:pPr>
      <w:bookmarkStart w:id="120" w:name="_Toc17876428"/>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rPr>
        <w:t>需要补充的其他内容</w:t>
      </w:r>
      <w:bookmarkEnd w:id="120"/>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需要补充的其他内容：见投标人须知前附表。</w:t>
      </w:r>
    </w:p>
    <w:p>
      <w:pPr>
        <w:rPr>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pStyle w:val="19"/>
        <w:rPr>
          <w:rStyle w:val="65"/>
          <w:rFonts w:ascii="Times New Roman" w:hAnsi="Times New Roman"/>
          <w:b w:val="0"/>
          <w:bCs w:val="0"/>
          <w:color w:val="auto"/>
          <w:highlight w:val="none"/>
        </w:rPr>
      </w:pPr>
    </w:p>
    <w:p>
      <w:pPr>
        <w:pStyle w:val="19"/>
        <w:rPr>
          <w:rStyle w:val="65"/>
          <w:rFonts w:ascii="Times New Roman" w:hAnsi="Times New Roman"/>
          <w:b w:val="0"/>
          <w:bCs w:val="0"/>
          <w:color w:val="auto"/>
          <w:highlight w:val="none"/>
        </w:rPr>
      </w:pPr>
    </w:p>
    <w:p>
      <w:pPr>
        <w:pStyle w:val="19"/>
        <w:rPr>
          <w:rStyle w:val="65"/>
          <w:rFonts w:ascii="Times New Roman" w:hAnsi="Times New Roman"/>
          <w:b w:val="0"/>
          <w:bCs w:val="0"/>
          <w:color w:val="auto"/>
          <w:highlight w:val="none"/>
        </w:rPr>
      </w:pPr>
    </w:p>
    <w:p>
      <w:pPr>
        <w:pStyle w:val="19"/>
        <w:rPr>
          <w:rStyle w:val="65"/>
          <w:rFonts w:ascii="Times New Roman" w:hAnsi="Times New Roman"/>
          <w:b w:val="0"/>
          <w:bCs w:val="0"/>
          <w:color w:val="auto"/>
          <w:highlight w:val="none"/>
        </w:rPr>
      </w:pPr>
    </w:p>
    <w:p>
      <w:pPr>
        <w:pStyle w:val="19"/>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r>
        <w:rPr>
          <w:rStyle w:val="65"/>
          <w:rFonts w:ascii="Times New Roman" w:hAnsi="Times New Roman"/>
          <w:b w:val="0"/>
          <w:bCs w:val="0"/>
          <w:color w:val="auto"/>
          <w:highlight w:val="none"/>
        </w:rPr>
        <w:t>附件2-1：电子投标文件编制及报送要求</w:t>
      </w:r>
    </w:p>
    <w:p>
      <w:pPr>
        <w:snapToGrid w:val="0"/>
        <w:spacing w:line="400" w:lineRule="exact"/>
        <w:jc w:val="center"/>
        <w:rPr>
          <w:rFonts w:hint="eastAsia" w:ascii="宋体" w:hAnsi="宋体" w:cs="宋体"/>
          <w:b/>
          <w:bCs/>
          <w:color w:val="auto"/>
          <w:sz w:val="32"/>
          <w:szCs w:val="32"/>
          <w:highlight w:val="none"/>
        </w:rPr>
      </w:pPr>
    </w:p>
    <w:p>
      <w:pPr>
        <w:snapToGrid w:val="0"/>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电子投标文件编制及报送要求</w:t>
      </w:r>
    </w:p>
    <w:p>
      <w:pPr>
        <w:pStyle w:val="4"/>
        <w:keepNext w:val="0"/>
        <w:keepLines w:val="0"/>
        <w:widowControl/>
        <w:shd w:val="clear" w:color="auto" w:fill="FFFFFF"/>
        <w:spacing w:before="0" w:after="0" w:line="600" w:lineRule="atLeast"/>
        <w:jc w:val="center"/>
        <w:rPr>
          <w:rFonts w:hint="eastAsia"/>
          <w:b w:val="0"/>
          <w:bCs w:val="0"/>
          <w:color w:val="auto"/>
          <w:sz w:val="18"/>
          <w:szCs w:val="18"/>
          <w:highlight w:val="none"/>
        </w:rPr>
      </w:pPr>
      <w:r>
        <w:rPr>
          <w:rFonts w:hint="eastAsia"/>
          <w:b w:val="0"/>
          <w:bCs w:val="0"/>
          <w:color w:val="auto"/>
          <w:sz w:val="18"/>
          <w:szCs w:val="18"/>
          <w:highlight w:val="none"/>
        </w:rPr>
        <w:t>说明</w:t>
      </w:r>
      <w:r>
        <w:rPr>
          <w:b w:val="0"/>
          <w:bCs w:val="0"/>
          <w:color w:val="auto"/>
          <w:sz w:val="18"/>
          <w:szCs w:val="18"/>
          <w:highlight w:val="none"/>
        </w:rPr>
        <w:t>：</w:t>
      </w:r>
      <w:r>
        <w:rPr>
          <w:rFonts w:hint="eastAsia"/>
          <w:b w:val="0"/>
          <w:bCs w:val="0"/>
          <w:color w:val="auto"/>
          <w:sz w:val="18"/>
          <w:szCs w:val="18"/>
          <w:highlight w:val="none"/>
        </w:rPr>
        <w:t>具体要求见岳阳市公共资源交易中心网</w:t>
      </w:r>
      <w:r>
        <w:rPr>
          <w:rFonts w:hint="eastAsia"/>
          <w:b w:val="0"/>
          <w:bCs w:val="0"/>
          <w:color w:val="auto"/>
          <w:sz w:val="18"/>
          <w:szCs w:val="18"/>
          <w:highlight w:val="none"/>
          <w:shd w:val="clear" w:color="auto" w:fill="FFFFFF"/>
        </w:rPr>
        <w:t>全流程电子化招投标操作手册</w:t>
      </w:r>
      <w:r>
        <w:rPr>
          <w:rFonts w:hint="eastAsia"/>
          <w:b w:val="0"/>
          <w:bCs w:val="0"/>
          <w:color w:val="auto"/>
          <w:sz w:val="18"/>
          <w:szCs w:val="18"/>
          <w:highlight w:val="none"/>
        </w:rPr>
        <w:t>。</w:t>
      </w:r>
    </w:p>
    <w:p>
      <w:pPr>
        <w:snapToGrid w:val="0"/>
        <w:spacing w:line="360" w:lineRule="auto"/>
        <w:jc w:val="left"/>
        <w:rPr>
          <w:rStyle w:val="65"/>
          <w:rFonts w:ascii="Times New Roman" w:hAnsi="Times New Roman"/>
          <w:b w:val="0"/>
          <w:bCs w:val="0"/>
          <w:color w:val="auto"/>
          <w:highlight w:val="none"/>
        </w:rPr>
      </w:pPr>
    </w:p>
    <w:p>
      <w:pPr>
        <w:snapToGrid w:val="0"/>
        <w:spacing w:line="360" w:lineRule="auto"/>
        <w:jc w:val="left"/>
        <w:rPr>
          <w:rStyle w:val="65"/>
          <w:rFonts w:ascii="Times New Roman" w:hAnsi="Times New Roman"/>
          <w:b w:val="0"/>
          <w:bCs w:val="0"/>
          <w:color w:val="auto"/>
          <w:highlight w:val="none"/>
        </w:rPr>
      </w:pPr>
    </w:p>
    <w:p>
      <w:pPr>
        <w:rPr>
          <w:rStyle w:val="65"/>
          <w:rFonts w:ascii="Times New Roman" w:hAnsi="Times New Roman"/>
          <w:b w:val="0"/>
          <w:bCs w:val="0"/>
          <w:color w:val="auto"/>
          <w:highlight w:val="none"/>
        </w:rPr>
      </w:pPr>
      <w:r>
        <w:rPr>
          <w:rStyle w:val="65"/>
          <w:rFonts w:ascii="Times New Roman" w:hAnsi="Times New Roman"/>
          <w:b w:val="0"/>
          <w:bCs w:val="0"/>
          <w:color w:val="auto"/>
          <w:highlight w:val="none"/>
        </w:rPr>
        <w:br w:type="page"/>
      </w:r>
    </w:p>
    <w:p>
      <w:pPr>
        <w:snapToGrid w:val="0"/>
        <w:spacing w:line="360" w:lineRule="auto"/>
        <w:jc w:val="left"/>
        <w:rPr>
          <w:rStyle w:val="65"/>
          <w:rFonts w:ascii="Times New Roman" w:hAnsi="Times New Roman"/>
          <w:b w:val="0"/>
          <w:bCs w:val="0"/>
          <w:color w:val="auto"/>
          <w:highlight w:val="none"/>
        </w:rPr>
      </w:pPr>
      <w:r>
        <w:rPr>
          <w:rStyle w:val="65"/>
          <w:rFonts w:ascii="Times New Roman" w:hAnsi="Times New Roman"/>
          <w:b w:val="0"/>
          <w:bCs w:val="0"/>
          <w:color w:val="auto"/>
          <w:highlight w:val="none"/>
        </w:rPr>
        <w:t>附件2-2：否决投标</w:t>
      </w:r>
      <w:r>
        <w:rPr>
          <w:rStyle w:val="65"/>
          <w:rFonts w:hint="eastAsia" w:ascii="Times New Roman" w:hAnsi="Times New Roman"/>
          <w:b w:val="0"/>
          <w:bCs w:val="0"/>
          <w:color w:val="auto"/>
          <w:highlight w:val="none"/>
        </w:rPr>
        <w:t>的</w:t>
      </w:r>
      <w:r>
        <w:rPr>
          <w:rStyle w:val="65"/>
          <w:rFonts w:ascii="Times New Roman" w:hAnsi="Times New Roman"/>
          <w:b w:val="0"/>
          <w:bCs w:val="0"/>
          <w:color w:val="auto"/>
          <w:highlight w:val="none"/>
        </w:rPr>
        <w:t>情形</w:t>
      </w:r>
    </w:p>
    <w:p>
      <w:pPr>
        <w:pStyle w:val="6"/>
        <w:ind w:firstLine="3609" w:firstLineChars="1289"/>
        <w:rPr>
          <w:rFonts w:ascii="Times New Roman" w:hAnsi="Times New Roman"/>
          <w:b w:val="0"/>
          <w:bCs w:val="0"/>
          <w:color w:val="auto"/>
          <w:highlight w:val="none"/>
        </w:rPr>
      </w:pPr>
      <w:r>
        <w:rPr>
          <w:rFonts w:ascii="Times New Roman" w:hAnsi="Times New Roman"/>
          <w:b w:val="0"/>
          <w:bCs w:val="0"/>
          <w:color w:val="auto"/>
          <w:sz w:val="28"/>
          <w:highlight w:val="none"/>
        </w:rPr>
        <w:t>否决投标</w:t>
      </w:r>
      <w:r>
        <w:rPr>
          <w:rFonts w:hint="eastAsia" w:ascii="Times New Roman" w:hAnsi="Times New Roman"/>
          <w:b w:val="0"/>
          <w:bCs w:val="0"/>
          <w:color w:val="auto"/>
          <w:sz w:val="28"/>
          <w:highlight w:val="none"/>
        </w:rPr>
        <w:t>的</w:t>
      </w:r>
      <w:r>
        <w:rPr>
          <w:rFonts w:ascii="Times New Roman" w:hAnsi="Times New Roman"/>
          <w:b w:val="0"/>
          <w:bCs w:val="0"/>
          <w:color w:val="auto"/>
          <w:sz w:val="28"/>
          <w:highlight w:val="none"/>
        </w:rPr>
        <w:t>情形</w:t>
      </w:r>
    </w:p>
    <w:p>
      <w:pPr>
        <w:adjustRightInd w:val="0"/>
        <w:snapToGrid w:val="0"/>
        <w:spacing w:line="360" w:lineRule="auto"/>
        <w:ind w:firstLine="420" w:firstLineChars="200"/>
        <w:rPr>
          <w:color w:val="auto"/>
          <w:szCs w:val="21"/>
          <w:highlight w:val="none"/>
        </w:rPr>
      </w:pPr>
      <w:r>
        <w:rPr>
          <w:color w:val="auto"/>
          <w:szCs w:val="21"/>
          <w:highlight w:val="none"/>
        </w:rPr>
        <w:t>本附件所集中列示的否决投标情形，是“评标办法”的组成部分，是对“投标人须知”和评标办法规定的否决投标情形的总结和补充，如果出现相互矛盾的情况，以“投标人须知”和评标办法正文部分的规定为准。</w:t>
      </w:r>
    </w:p>
    <w:p>
      <w:pPr>
        <w:pStyle w:val="47"/>
        <w:adjustRightInd w:val="0"/>
        <w:snapToGrid w:val="0"/>
        <w:spacing w:line="360" w:lineRule="auto"/>
        <w:ind w:firstLineChars="0"/>
        <w:rPr>
          <w:color w:val="auto"/>
          <w:szCs w:val="21"/>
          <w:highlight w:val="none"/>
        </w:rPr>
      </w:pPr>
      <w:r>
        <w:rPr>
          <w:color w:val="auto"/>
          <w:szCs w:val="21"/>
          <w:highlight w:val="none"/>
        </w:rPr>
        <w:t>投标人或其投标文件有下列情形之一的，其投标应当予以否决：</w:t>
      </w:r>
    </w:p>
    <w:p>
      <w:pPr>
        <w:adjustRightInd w:val="0"/>
        <w:snapToGrid w:val="0"/>
        <w:spacing w:line="360" w:lineRule="auto"/>
        <w:ind w:left="404"/>
        <w:rPr>
          <w:color w:val="auto"/>
          <w:szCs w:val="21"/>
          <w:highlight w:val="none"/>
        </w:rPr>
      </w:pPr>
      <w:r>
        <w:rPr>
          <w:color w:val="auto"/>
          <w:highlight w:val="none"/>
        </w:rPr>
        <w:t>1.1 有本章“投标人须知”第1.4.3项规定的任何一种情形的；</w:t>
      </w:r>
    </w:p>
    <w:p>
      <w:pPr>
        <w:adjustRightInd w:val="0"/>
        <w:snapToGrid w:val="0"/>
        <w:spacing w:line="360" w:lineRule="auto"/>
        <w:ind w:left="404"/>
        <w:rPr>
          <w:color w:val="auto"/>
          <w:highlight w:val="none"/>
        </w:rPr>
      </w:pPr>
      <w:r>
        <w:rPr>
          <w:color w:val="auto"/>
          <w:highlight w:val="none"/>
        </w:rPr>
        <w:t>1.2 投标人以他人名义投标、串通投标、以行贿手段谋取中标的；</w:t>
      </w:r>
    </w:p>
    <w:p>
      <w:pPr>
        <w:adjustRightInd w:val="0"/>
        <w:snapToGrid w:val="0"/>
        <w:spacing w:line="360" w:lineRule="auto"/>
        <w:ind w:firstLine="420" w:firstLineChars="200"/>
        <w:rPr>
          <w:color w:val="auto"/>
          <w:szCs w:val="21"/>
          <w:highlight w:val="none"/>
        </w:rPr>
      </w:pPr>
      <w:r>
        <w:rPr>
          <w:color w:val="auto"/>
          <w:highlight w:val="none"/>
        </w:rPr>
        <w:t xml:space="preserve">1.3 </w:t>
      </w:r>
      <w:r>
        <w:rPr>
          <w:rFonts w:hint="eastAsia"/>
          <w:color w:val="auto"/>
          <w:highlight w:val="none"/>
        </w:rPr>
        <w:t>资格评审时，投标人资格条件不符合国家有关规定或者招标文件要求的，或者拒不按照要求对投标文件</w:t>
      </w:r>
      <w:r>
        <w:rPr>
          <w:color w:val="auto"/>
          <w:highlight w:val="none"/>
        </w:rPr>
        <w:t>进行澄清、说明或补正，或者其说明补正无法证明其为合格投标人的；</w:t>
      </w:r>
    </w:p>
    <w:p>
      <w:pPr>
        <w:adjustRightInd w:val="0"/>
        <w:snapToGrid w:val="0"/>
        <w:spacing w:line="360" w:lineRule="auto"/>
        <w:ind w:firstLine="420" w:firstLineChars="200"/>
        <w:rPr>
          <w:color w:val="auto"/>
          <w:szCs w:val="21"/>
          <w:highlight w:val="none"/>
        </w:rPr>
      </w:pPr>
      <w:r>
        <w:rPr>
          <w:color w:val="auto"/>
          <w:highlight w:val="none"/>
        </w:rPr>
        <w:t>1.4 在形式评审、资格评审、响应性评审中，评标委员会认定投标文件不符合评标办法前附表规定</w:t>
      </w:r>
      <w:r>
        <w:rPr>
          <w:rFonts w:hint="eastAsia"/>
          <w:color w:val="auto"/>
          <w:highlight w:val="none"/>
        </w:rPr>
        <w:t>的任何一项</w:t>
      </w:r>
      <w:r>
        <w:rPr>
          <w:color w:val="auto"/>
          <w:highlight w:val="none"/>
        </w:rPr>
        <w:t>评审标准的；</w:t>
      </w:r>
    </w:p>
    <w:p>
      <w:pPr>
        <w:adjustRightInd w:val="0"/>
        <w:snapToGrid w:val="0"/>
        <w:spacing w:line="360" w:lineRule="auto"/>
        <w:ind w:firstLine="420" w:firstLineChars="200"/>
        <w:rPr>
          <w:color w:val="auto"/>
          <w:szCs w:val="21"/>
          <w:highlight w:val="none"/>
        </w:rPr>
      </w:pPr>
      <w:r>
        <w:rPr>
          <w:color w:val="auto"/>
          <w:highlight w:val="none"/>
        </w:rP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color w:val="auto"/>
          <w:szCs w:val="21"/>
          <w:highlight w:val="none"/>
        </w:rPr>
      </w:pPr>
      <w:r>
        <w:rPr>
          <w:color w:val="auto"/>
          <w:highlight w:val="none"/>
        </w:rPr>
        <w:t>1.</w:t>
      </w:r>
      <w:r>
        <w:rPr>
          <w:rFonts w:hint="eastAsia"/>
          <w:color w:val="auto"/>
          <w:highlight w:val="none"/>
        </w:rPr>
        <w:t>7电子评标时，未按规定时间解密的</w:t>
      </w:r>
      <w:r>
        <w:rPr>
          <w:color w:val="auto"/>
          <w:highlight w:val="none"/>
        </w:rPr>
        <w:t>；</w:t>
      </w:r>
    </w:p>
    <w:p>
      <w:pPr>
        <w:adjustRightInd w:val="0"/>
        <w:snapToGrid w:val="0"/>
        <w:spacing w:line="360" w:lineRule="auto"/>
        <w:ind w:firstLine="420" w:firstLineChars="200"/>
        <w:rPr>
          <w:color w:val="auto"/>
          <w:szCs w:val="21"/>
          <w:highlight w:val="none"/>
        </w:rPr>
      </w:pPr>
      <w:r>
        <w:rPr>
          <w:color w:val="auto"/>
          <w:highlight w:val="none"/>
        </w:rPr>
        <w:t>1.</w:t>
      </w:r>
      <w:r>
        <w:rPr>
          <w:rFonts w:hint="eastAsia"/>
          <w:color w:val="auto"/>
          <w:highlight w:val="none"/>
        </w:rPr>
        <w:t>8</w:t>
      </w:r>
      <w:r>
        <w:rPr>
          <w:color w:val="auto"/>
          <w:highlight w:val="none"/>
        </w:rPr>
        <w:t>投标报价有错误的，评标委员会按评标办法的有关规定对投标报价进行修正，并要求投标人</w:t>
      </w:r>
      <w:r>
        <w:rPr>
          <w:rFonts w:hint="eastAsia"/>
          <w:color w:val="auto"/>
          <w:highlight w:val="none"/>
        </w:rPr>
        <w:t>作出</w:t>
      </w:r>
      <w:r>
        <w:rPr>
          <w:color w:val="auto"/>
          <w:highlight w:val="none"/>
        </w:rPr>
        <w:t>书面澄清</w:t>
      </w:r>
      <w:r>
        <w:rPr>
          <w:rFonts w:hint="eastAsia"/>
          <w:color w:val="auto"/>
          <w:highlight w:val="none"/>
        </w:rPr>
        <w:t>说明和</w:t>
      </w:r>
      <w:r>
        <w:rPr>
          <w:color w:val="auto"/>
          <w:highlight w:val="none"/>
        </w:rPr>
        <w:t>确认</w:t>
      </w:r>
      <w:r>
        <w:rPr>
          <w:rFonts w:hint="eastAsia"/>
          <w:color w:val="auto"/>
          <w:highlight w:val="none"/>
        </w:rPr>
        <w:t>，</w:t>
      </w:r>
      <w:r>
        <w:rPr>
          <w:color w:val="auto"/>
          <w:highlight w:val="none"/>
        </w:rPr>
        <w:t>投标人拒不</w:t>
      </w:r>
      <w:r>
        <w:rPr>
          <w:rFonts w:hint="eastAsia"/>
          <w:color w:val="auto"/>
          <w:highlight w:val="none"/>
        </w:rPr>
        <w:t>作出</w:t>
      </w:r>
      <w:r>
        <w:rPr>
          <w:color w:val="auto"/>
          <w:highlight w:val="none"/>
        </w:rPr>
        <w:t>澄清</w:t>
      </w:r>
      <w:r>
        <w:rPr>
          <w:rFonts w:hint="eastAsia"/>
          <w:color w:val="auto"/>
          <w:highlight w:val="none"/>
        </w:rPr>
        <w:t>说明和</w:t>
      </w:r>
      <w:r>
        <w:rPr>
          <w:color w:val="auto"/>
          <w:highlight w:val="none"/>
        </w:rPr>
        <w:t>确认的；</w:t>
      </w:r>
    </w:p>
    <w:p>
      <w:pPr>
        <w:adjustRightInd w:val="0"/>
        <w:snapToGrid w:val="0"/>
        <w:spacing w:line="360" w:lineRule="auto"/>
        <w:ind w:firstLine="420" w:firstLineChars="200"/>
        <w:rPr>
          <w:rFonts w:hint="eastAsia"/>
          <w:color w:val="auto"/>
          <w:highlight w:val="none"/>
        </w:rPr>
      </w:pPr>
      <w:r>
        <w:rPr>
          <w:color w:val="auto"/>
          <w:highlight w:val="none"/>
        </w:rPr>
        <w:t>1.</w:t>
      </w:r>
      <w:r>
        <w:rPr>
          <w:rFonts w:hint="eastAsia"/>
          <w:color w:val="auto"/>
          <w:highlight w:val="none"/>
        </w:rPr>
        <w:t>9</w:t>
      </w:r>
      <w:r>
        <w:rPr>
          <w:color w:val="auto"/>
          <w:highlight w:val="none"/>
        </w:rPr>
        <w:t xml:space="preserve"> </w:t>
      </w:r>
      <w:r>
        <w:rPr>
          <w:rFonts w:hint="eastAsia"/>
          <w:color w:val="auto"/>
          <w:highlight w:val="none"/>
        </w:rPr>
        <w:t>投标文件存在弄虚作假或者隐瞒事实，或者未按照招标文件要求如实提供有关情况</w:t>
      </w:r>
    </w:p>
    <w:p>
      <w:pPr>
        <w:adjustRightInd w:val="0"/>
        <w:snapToGrid w:val="0"/>
        <w:spacing w:line="360" w:lineRule="auto"/>
        <w:rPr>
          <w:rFonts w:hint="eastAsia"/>
          <w:color w:val="auto"/>
          <w:highlight w:val="none"/>
        </w:rPr>
      </w:pPr>
      <w:r>
        <w:rPr>
          <w:rFonts w:hint="eastAsia"/>
          <w:color w:val="auto"/>
          <w:highlight w:val="none"/>
        </w:rPr>
        <w:t>和文件，以及证明资料且对投标人有利的，应当否决其投标。被列为中标候选人的，应当取消其中标候选人资格。</w:t>
      </w:r>
    </w:p>
    <w:p>
      <w:pPr>
        <w:spacing w:line="360" w:lineRule="auto"/>
        <w:ind w:firstLine="420" w:firstLineChars="200"/>
        <w:rPr>
          <w:color w:val="auto"/>
          <w:highlight w:val="none"/>
        </w:rPr>
      </w:pPr>
    </w:p>
    <w:p>
      <w:pPr>
        <w:pStyle w:val="6"/>
        <w:rPr>
          <w:rFonts w:hint="eastAsia" w:ascii="宋体" w:hAnsi="宋体" w:cs="宋体"/>
          <w:bCs w:val="0"/>
          <w:color w:val="auto"/>
          <w:highlight w:val="none"/>
        </w:rPr>
      </w:pPr>
      <w:r>
        <w:rPr>
          <w:rFonts w:eastAsia="楷体_GB2312"/>
          <w:color w:val="auto"/>
          <w:szCs w:val="21"/>
          <w:highlight w:val="none"/>
        </w:rPr>
        <w:br w:type="page"/>
      </w:r>
      <w:r>
        <w:rPr>
          <w:rStyle w:val="65"/>
          <w:rFonts w:hint="eastAsia" w:ascii="Times New Roman" w:hAnsi="Times New Roman" w:cs="Times New Roman"/>
          <w:b w:val="0"/>
          <w:bCs w:val="0"/>
          <w:color w:val="auto"/>
          <w:highlight w:val="none"/>
        </w:rPr>
        <w:t>附件2-3 ：投标报价成本评审办法</w:t>
      </w:r>
      <w:r>
        <w:rPr>
          <w:rFonts w:hint="eastAsia" w:ascii="宋体" w:hAnsi="宋体" w:cs="宋体"/>
          <w:bCs w:val="0"/>
          <w:color w:val="auto"/>
          <w:highlight w:val="none"/>
        </w:rPr>
        <w:t xml:space="preserve">               </w:t>
      </w:r>
    </w:p>
    <w:p>
      <w:pPr>
        <w:pStyle w:val="6"/>
        <w:ind w:firstLine="3623" w:firstLineChars="1289"/>
        <w:rPr>
          <w:rFonts w:hint="eastAsia" w:ascii="宋体" w:hAnsi="宋体" w:cs="宋体"/>
          <w:color w:val="auto"/>
          <w:sz w:val="28"/>
          <w:highlight w:val="none"/>
        </w:rPr>
      </w:pPr>
      <w:r>
        <w:rPr>
          <w:rFonts w:hint="eastAsia" w:ascii="宋体" w:hAnsi="宋体" w:cs="宋体"/>
          <w:color w:val="auto"/>
          <w:sz w:val="28"/>
          <w:highlight w:val="none"/>
        </w:rPr>
        <w:t>投标报价成本评审办法</w:t>
      </w:r>
    </w:p>
    <w:p>
      <w:pPr>
        <w:spacing w:line="360" w:lineRule="auto"/>
        <w:rPr>
          <w:rFonts w:ascii="黑体" w:hAnsi="宋体" w:eastAsia="黑体"/>
          <w:color w:val="auto"/>
          <w:sz w:val="24"/>
          <w:highlight w:val="none"/>
        </w:rPr>
      </w:pPr>
      <w:r>
        <w:rPr>
          <w:rFonts w:hint="eastAsia" w:ascii="黑体" w:hAnsi="宋体" w:eastAsia="黑体"/>
          <w:color w:val="auto"/>
          <w:sz w:val="24"/>
          <w:highlight w:val="none"/>
        </w:rPr>
        <w:t>C0.总  则</w:t>
      </w:r>
    </w:p>
    <w:p>
      <w:pPr>
        <w:spacing w:line="340" w:lineRule="exact"/>
        <w:ind w:firstLine="420" w:firstLineChars="200"/>
        <w:rPr>
          <w:rFonts w:ascii="宋体" w:hAnsi="宋体"/>
          <w:color w:val="auto"/>
          <w:highlight w:val="none"/>
        </w:rPr>
      </w:pPr>
      <w:r>
        <w:rPr>
          <w:rFonts w:hint="eastAsia" w:ascii="宋体" w:hAnsi="宋体"/>
          <w:color w:val="auto"/>
          <w:highlight w:val="none"/>
        </w:rPr>
        <w:t>本附件是本章“评标办法”的组成部分，评标委员会按照本章第3.2.2项的规定，对投标人投标报价是否低于其成本进行评审和判断时，适用本附件所规定的办法。</w:t>
      </w:r>
    </w:p>
    <w:p>
      <w:pPr>
        <w:spacing w:line="360" w:lineRule="auto"/>
        <w:rPr>
          <w:rFonts w:ascii="黑体" w:hAnsi="宋体" w:eastAsia="黑体"/>
          <w:color w:val="auto"/>
          <w:sz w:val="24"/>
          <w:highlight w:val="none"/>
        </w:rPr>
      </w:pPr>
      <w:r>
        <w:rPr>
          <w:rFonts w:hint="eastAsia" w:ascii="黑体" w:hAnsi="宋体" w:eastAsia="黑体"/>
          <w:color w:val="auto"/>
          <w:sz w:val="24"/>
          <w:highlight w:val="none"/>
        </w:rPr>
        <w:t>C1.评审程序</w:t>
      </w:r>
    </w:p>
    <w:p>
      <w:pPr>
        <w:spacing w:line="380" w:lineRule="exact"/>
        <w:rPr>
          <w:rFonts w:ascii="宋体" w:hAnsi="宋体"/>
          <w:bCs/>
          <w:color w:val="auto"/>
          <w:highlight w:val="none"/>
        </w:rPr>
      </w:pPr>
      <w:r>
        <w:rPr>
          <w:rFonts w:hint="eastAsia" w:ascii="宋体" w:hAnsi="宋体"/>
          <w:bCs/>
          <w:color w:val="auto"/>
          <w:highlight w:val="none"/>
        </w:rPr>
        <w:t>C1.2判断投标报价是否低于成本</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s="宋体"/>
          <w:color w:val="auto"/>
          <w:kern w:val="0"/>
          <w:highlight w:val="none"/>
        </w:rPr>
        <w:t>对低于投标人有效报价的投标报价算术平均值</w:t>
      </w:r>
      <w:r>
        <w:rPr>
          <w:rFonts w:hint="eastAsia" w:ascii="宋体" w:hAnsi="宋体" w:cs="宋体"/>
          <w:b/>
          <w:bCs/>
          <w:color w:val="auto"/>
          <w:kern w:val="0"/>
          <w:highlight w:val="none"/>
          <w:u w:val="single"/>
        </w:rPr>
        <w:t>5%</w:t>
      </w:r>
      <w:r>
        <w:rPr>
          <w:rFonts w:hint="eastAsia" w:ascii="宋体" w:hAnsi="宋体" w:cs="宋体"/>
          <w:color w:val="auto"/>
          <w:kern w:val="0"/>
          <w:highlight w:val="none"/>
        </w:rPr>
        <w:t>的投标报价</w:t>
      </w:r>
      <w:r>
        <w:rPr>
          <w:rFonts w:hint="eastAsia" w:ascii="宋体" w:hAnsi="宋体"/>
          <w:color w:val="auto"/>
          <w:kern w:val="0"/>
          <w:highlight w:val="none"/>
        </w:rPr>
        <w:t>，评标委员会可以通过以下方法对投标报价作出评审结论：</w:t>
      </w:r>
    </w:p>
    <w:p>
      <w:pPr>
        <w:adjustRightInd w:val="0"/>
        <w:snapToGrid w:val="0"/>
        <w:spacing w:line="380" w:lineRule="exact"/>
        <w:ind w:firstLine="420" w:firstLineChars="200"/>
        <w:rPr>
          <w:rFonts w:ascii="宋体" w:hAnsi="宋体"/>
          <w:color w:val="auto"/>
          <w:kern w:val="0"/>
          <w:highlight w:val="none"/>
        </w:rPr>
      </w:pPr>
      <w:r>
        <w:rPr>
          <w:rFonts w:hint="eastAsia"/>
          <w:color w:val="auto"/>
          <w:highlight w:val="none"/>
        </w:rPr>
        <w:t>□</w:t>
      </w:r>
      <w:r>
        <w:rPr>
          <w:rFonts w:hint="eastAsia" w:ascii="宋体" w:hAnsi="宋体"/>
          <w:color w:val="auto"/>
          <w:kern w:val="0"/>
          <w:highlight w:val="none"/>
        </w:rPr>
        <w:t>（一）直接作出投标报价是否低于其成本的评审结论（评标委员会应当提供书面理由）；</w:t>
      </w:r>
    </w:p>
    <w:p>
      <w:pPr>
        <w:adjustRightInd w:val="0"/>
        <w:snapToGrid w:val="0"/>
        <w:spacing w:line="380" w:lineRule="exact"/>
        <w:ind w:firstLine="420" w:firstLineChars="200"/>
        <w:rPr>
          <w:rFonts w:ascii="宋体" w:hAnsi="宋体"/>
          <w:color w:val="auto"/>
          <w:kern w:val="0"/>
          <w:highlight w:val="none"/>
        </w:rPr>
      </w:pPr>
      <w:r>
        <w:rPr>
          <w:rFonts w:hint="eastAsia"/>
          <w:color w:val="auto"/>
          <w:highlight w:val="none"/>
        </w:rPr>
        <w:t>□</w:t>
      </w:r>
      <w:r>
        <w:rPr>
          <w:rFonts w:hint="eastAsia" w:ascii="宋体" w:hAnsi="宋体"/>
          <w:color w:val="auto"/>
          <w:kern w:val="0"/>
          <w:highlight w:val="none"/>
        </w:rPr>
        <w:t>（二）认为无法直接对投标报价作出评审结论的，对其投标人进行询价，要求该投标人作出书面说明并提供相关证明材料；投标人拒绝提交说明和证明材料的，应当直接作出其投标报价低于其成本的评审结论。</w:t>
      </w:r>
    </w:p>
    <w:p>
      <w:pPr>
        <w:adjustRightInd w:val="0"/>
        <w:snapToGrid w:val="0"/>
        <w:spacing w:line="380" w:lineRule="exact"/>
        <w:ind w:firstLine="420" w:firstLineChars="200"/>
        <w:rPr>
          <w:rFonts w:ascii="宋体" w:hAnsi="宋体" w:cs="宋体"/>
          <w:b/>
          <w:bCs/>
          <w:color w:val="auto"/>
          <w:kern w:val="0"/>
          <w:highlight w:val="none"/>
        </w:rPr>
      </w:pPr>
      <w:r>
        <w:rPr>
          <w:rFonts w:hint="eastAsia" w:ascii="宋体" w:hAnsi="宋体"/>
          <w:color w:val="auto"/>
          <w:highlight w:val="none"/>
        </w:rPr>
        <w:t>■</w:t>
      </w:r>
      <w:r>
        <w:rPr>
          <w:rFonts w:hint="eastAsia" w:ascii="宋体" w:hAnsi="宋体"/>
          <w:color w:val="auto"/>
          <w:kern w:val="0"/>
          <w:highlight w:val="none"/>
        </w:rPr>
        <w:t>（三）</w:t>
      </w:r>
      <w:r>
        <w:rPr>
          <w:rFonts w:hint="eastAsia" w:ascii="宋体" w:hAnsi="宋体" w:cs="宋体"/>
          <w:b/>
          <w:bCs/>
          <w:color w:val="auto"/>
          <w:kern w:val="0"/>
          <w:highlight w:val="none"/>
        </w:rPr>
        <w:t>将投标人有效报价的算术平均值下浮5%确定为成本价，低于该成本价的为无效报价，按否决投标处理。</w:t>
      </w:r>
    </w:p>
    <w:p>
      <w:pPr>
        <w:adjustRightInd w:val="0"/>
        <w:snapToGrid w:val="0"/>
        <w:spacing w:line="360" w:lineRule="auto"/>
        <w:ind w:firstLine="420" w:firstLineChars="200"/>
        <w:rPr>
          <w:rFonts w:hint="eastAsia" w:ascii="宋体" w:hAnsi="宋体"/>
          <w:color w:val="auto"/>
          <w:kern w:val="0"/>
          <w:highlight w:val="none"/>
        </w:rPr>
      </w:pPr>
    </w:p>
    <w:p>
      <w:pPr>
        <w:pStyle w:val="19"/>
        <w:rPr>
          <w:rFonts w:hint="eastAsia" w:ascii="宋体" w:hAnsi="宋体"/>
          <w:color w:val="auto"/>
          <w:kern w:val="0"/>
          <w:highlight w:val="none"/>
        </w:rPr>
      </w:pPr>
    </w:p>
    <w:p>
      <w:pPr>
        <w:pStyle w:val="19"/>
        <w:rPr>
          <w:rFonts w:hint="eastAsia" w:ascii="宋体" w:hAnsi="宋体"/>
          <w:color w:val="auto"/>
          <w:kern w:val="0"/>
          <w:highlight w:val="none"/>
        </w:rPr>
      </w:pPr>
    </w:p>
    <w:p>
      <w:pPr>
        <w:rPr>
          <w:rStyle w:val="65"/>
          <w:rFonts w:hint="eastAsia" w:ascii="Times New Roman" w:hAnsi="Times New Roman" w:cs="Times New Roman"/>
          <w:b w:val="0"/>
          <w:bCs w:val="0"/>
          <w:color w:val="auto"/>
          <w:highlight w:val="none"/>
        </w:rPr>
      </w:pPr>
      <w:r>
        <w:rPr>
          <w:rStyle w:val="65"/>
          <w:rFonts w:hint="eastAsia" w:ascii="Times New Roman" w:hAnsi="Times New Roman" w:cs="Times New Roman"/>
          <w:b w:val="0"/>
          <w:bCs w:val="0"/>
          <w:color w:val="auto"/>
          <w:highlight w:val="none"/>
        </w:rPr>
        <w:br w:type="page"/>
      </w:r>
    </w:p>
    <w:p>
      <w:pPr>
        <w:widowControl/>
        <w:adjustRightInd w:val="0"/>
        <w:snapToGrid w:val="0"/>
        <w:spacing w:line="360" w:lineRule="auto"/>
        <w:jc w:val="left"/>
        <w:rPr>
          <w:rStyle w:val="65"/>
          <w:rFonts w:hint="eastAsia" w:ascii="Times New Roman" w:hAnsi="Times New Roman" w:cs="Times New Roman"/>
          <w:b w:val="0"/>
          <w:bCs w:val="0"/>
          <w:color w:val="auto"/>
          <w:highlight w:val="none"/>
        </w:rPr>
      </w:pPr>
      <w:r>
        <w:rPr>
          <w:rStyle w:val="65"/>
          <w:rFonts w:hint="eastAsia" w:ascii="Times New Roman" w:hAnsi="Times New Roman" w:cs="Times New Roman"/>
          <w:b w:val="0"/>
          <w:bCs w:val="0"/>
          <w:color w:val="auto"/>
          <w:highlight w:val="none"/>
        </w:rPr>
        <w:t>附件2-4：计算机辅助评标办法</w:t>
      </w:r>
    </w:p>
    <w:p>
      <w:pPr>
        <w:widowControl/>
        <w:jc w:val="left"/>
        <w:rPr>
          <w:rFonts w:hint="eastAsia" w:ascii="宋体" w:hAnsi="宋体" w:cs="宋体"/>
          <w:color w:val="auto"/>
          <w:sz w:val="30"/>
          <w:szCs w:val="30"/>
          <w:highlight w:val="none"/>
        </w:rPr>
      </w:pPr>
    </w:p>
    <w:p>
      <w:pPr>
        <w:snapToGrid w:val="0"/>
        <w:spacing w:line="360" w:lineRule="auto"/>
        <w:jc w:val="center"/>
        <w:rPr>
          <w:rStyle w:val="64"/>
          <w:rFonts w:hint="eastAsia" w:ascii="宋体" w:hAnsi="宋体" w:cs="宋体"/>
          <w:b w:val="0"/>
          <w:color w:val="auto"/>
          <w:sz w:val="28"/>
          <w:highlight w:val="none"/>
        </w:rPr>
      </w:pPr>
      <w:r>
        <w:rPr>
          <w:rStyle w:val="64"/>
          <w:rFonts w:hint="eastAsia" w:ascii="宋体" w:hAnsi="宋体" w:cs="宋体"/>
          <w:b w:val="0"/>
          <w:color w:val="auto"/>
          <w:sz w:val="28"/>
          <w:highlight w:val="none"/>
        </w:rPr>
        <w:t>计算机辅助评标办法</w:t>
      </w:r>
    </w:p>
    <w:p>
      <w:pPr>
        <w:snapToGrid w:val="0"/>
        <w:spacing w:line="360" w:lineRule="auto"/>
        <w:jc w:val="left"/>
        <w:rPr>
          <w:rStyle w:val="64"/>
          <w:rFonts w:hint="eastAsia" w:ascii="宋体" w:hAnsi="宋体" w:cs="宋体"/>
          <w:b w:val="0"/>
          <w:color w:val="auto"/>
          <w:sz w:val="28"/>
          <w:highlight w:val="none"/>
        </w:rPr>
      </w:pPr>
    </w:p>
    <w:p>
      <w:pPr>
        <w:snapToGrid w:val="0"/>
        <w:spacing w:line="360" w:lineRule="auto"/>
        <w:jc w:val="left"/>
        <w:rPr>
          <w:rStyle w:val="64"/>
          <w:rFonts w:hint="eastAsia" w:ascii="宋体" w:hAnsi="宋体" w:cs="宋体"/>
          <w:b w:val="0"/>
          <w:color w:val="auto"/>
          <w:sz w:val="28"/>
          <w:highlight w:val="none"/>
        </w:rPr>
      </w:pPr>
      <w:r>
        <w:rPr>
          <w:rStyle w:val="64"/>
          <w:rFonts w:hint="eastAsia" w:ascii="宋体" w:hAnsi="宋体" w:cs="宋体"/>
          <w:b w:val="0"/>
          <w:color w:val="auto"/>
          <w:sz w:val="28"/>
          <w:highlight w:val="none"/>
        </w:rPr>
        <w:t xml:space="preserve"> </w:t>
      </w:r>
      <w:r>
        <w:rPr>
          <w:rStyle w:val="64"/>
          <w:rFonts w:hint="eastAsia" w:ascii="宋体" w:hAnsi="宋体" w:cs="宋体"/>
          <w:b w:val="0"/>
          <w:bCs w:val="0"/>
          <w:color w:val="auto"/>
          <w:sz w:val="28"/>
          <w:highlight w:val="none"/>
        </w:rPr>
        <w:t xml:space="preserve"> </w:t>
      </w:r>
      <w:r>
        <w:rPr>
          <w:rStyle w:val="64"/>
          <w:rFonts w:hint="eastAsia" w:ascii="宋体" w:hAnsi="宋体" w:cs="宋体"/>
          <w:b w:val="0"/>
          <w:bCs w:val="0"/>
          <w:color w:val="auto"/>
          <w:szCs w:val="21"/>
          <w:highlight w:val="none"/>
        </w:rPr>
        <w:t>说明：</w:t>
      </w:r>
      <w:r>
        <w:rPr>
          <w:rStyle w:val="64"/>
          <w:rFonts w:hint="eastAsia" w:ascii="宋体" w:hAnsi="宋体" w:cs="宋体"/>
          <w:b w:val="0"/>
          <w:color w:val="auto"/>
          <w:szCs w:val="21"/>
          <w:highlight w:val="none"/>
        </w:rPr>
        <w:t>本附件的具体内容由招标人根据招标项目的具体情况自行编写</w:t>
      </w:r>
    </w:p>
    <w:p>
      <w:pPr>
        <w:pStyle w:val="19"/>
        <w:rPr>
          <w:rFonts w:hint="eastAsia" w:ascii="宋体" w:hAnsi="宋体"/>
          <w:color w:val="auto"/>
          <w:kern w:val="0"/>
          <w:highlight w:val="none"/>
        </w:rPr>
        <w:sectPr>
          <w:headerReference r:id="rId7" w:type="default"/>
          <w:footerReference r:id="rId8" w:type="default"/>
          <w:pgSz w:w="11920" w:h="16840"/>
          <w:pgMar w:top="1304" w:right="1304" w:bottom="1304" w:left="1531" w:header="720" w:footer="720" w:gutter="0"/>
          <w:cols w:space="720" w:num="1"/>
        </w:sectPr>
      </w:pPr>
    </w:p>
    <w:p>
      <w:pPr>
        <w:numPr>
          <w:ilvl w:val="0"/>
          <w:numId w:val="8"/>
        </w:numPr>
        <w:jc w:val="center"/>
        <w:outlineLvl w:val="0"/>
        <w:rPr>
          <w:rFonts w:hint="eastAsia" w:ascii="宋体" w:hAnsi="宋体" w:cs="宋体"/>
          <w:b/>
          <w:bCs/>
          <w:color w:val="auto"/>
          <w:sz w:val="32"/>
          <w:szCs w:val="32"/>
          <w:highlight w:val="none"/>
        </w:rPr>
      </w:pPr>
      <w:bookmarkStart w:id="121" w:name="_Toc4998"/>
      <w:bookmarkStart w:id="122" w:name="_Toc499738086"/>
      <w:bookmarkStart w:id="123" w:name="_Toc2059"/>
      <w:r>
        <w:rPr>
          <w:rFonts w:hint="eastAsia" w:ascii="宋体" w:hAnsi="宋体" w:cs="宋体"/>
          <w:b/>
          <w:bCs/>
          <w:color w:val="auto"/>
          <w:sz w:val="32"/>
          <w:szCs w:val="32"/>
          <w:highlight w:val="none"/>
        </w:rPr>
        <w:t>评标办法（综合评估法</w:t>
      </w:r>
      <w:bookmarkEnd w:id="121"/>
      <w:bookmarkEnd w:id="122"/>
      <w:r>
        <w:rPr>
          <w:rFonts w:hint="eastAsia" w:ascii="宋体" w:hAnsi="宋体" w:cs="宋体"/>
          <w:b/>
          <w:bCs/>
          <w:color w:val="auto"/>
          <w:sz w:val="32"/>
          <w:szCs w:val="32"/>
          <w:highlight w:val="none"/>
        </w:rPr>
        <w:t>）</w:t>
      </w:r>
      <w:bookmarkEnd w:id="123"/>
    </w:p>
    <w:p>
      <w:pPr>
        <w:snapToGrid w:val="0"/>
        <w:spacing w:line="312" w:lineRule="auto"/>
        <w:jc w:val="center"/>
        <w:textAlignment w:val="baseline"/>
        <w:rPr>
          <w:rFonts w:hint="eastAsia" w:ascii="宋体" w:hAnsi="宋体" w:eastAsia="宋体" w:cs="宋体"/>
          <w:b/>
          <w:bCs w:val="0"/>
          <w:color w:val="auto"/>
          <w:sz w:val="30"/>
          <w:highlight w:val="none"/>
        </w:rPr>
      </w:pPr>
      <w:bookmarkStart w:id="124" w:name="_Toc300678126"/>
      <w:r>
        <w:rPr>
          <w:rFonts w:hint="eastAsia" w:ascii="宋体" w:hAnsi="宋体" w:eastAsia="宋体" w:cs="宋体"/>
          <w:b/>
          <w:bCs w:val="0"/>
          <w:color w:val="auto"/>
          <w:sz w:val="30"/>
          <w:highlight w:val="none"/>
        </w:rPr>
        <w:t>评标办法前附表</w:t>
      </w:r>
      <w:bookmarkEnd w:id="124"/>
    </w:p>
    <w:p>
      <w:pPr>
        <w:pStyle w:val="19"/>
        <w:ind w:left="0" w:leftChars="0" w:firstLine="0" w:firstLineChars="0"/>
        <w:rPr>
          <w:rFonts w:hint="eastAsia"/>
          <w:color w:val="auto"/>
          <w:highlight w:val="none"/>
        </w:rPr>
      </w:pPr>
    </w:p>
    <w:tbl>
      <w:tblPr>
        <w:tblStyle w:val="21"/>
        <w:tblpPr w:leftFromText="180" w:rightFromText="180" w:vertAnchor="text" w:horzAnchor="page" w:tblpXSpec="center" w:tblpY="1174"/>
        <w:tblOverlap w:val="never"/>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050"/>
        <w:gridCol w:w="995"/>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87" w:type="dxa"/>
            <w:vAlign w:val="center"/>
          </w:tcPr>
          <w:p>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3045" w:type="dxa"/>
            <w:gridSpan w:val="2"/>
            <w:vAlign w:val="center"/>
          </w:tcPr>
          <w:p>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918" w:type="dxa"/>
            <w:vAlign w:val="center"/>
          </w:tcPr>
          <w:p>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87" w:type="dxa"/>
            <w:vMerge w:val="restart"/>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963" w:type="dxa"/>
            <w:gridSpan w:val="3"/>
            <w:vAlign w:val="center"/>
          </w:tcPr>
          <w:p>
            <w:pPr>
              <w:spacing w:line="40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7" w:type="dxa"/>
            <w:vMerge w:val="continue"/>
            <w:vAlign w:val="center"/>
          </w:tcPr>
          <w:p>
            <w:pPr>
              <w:spacing w:line="400" w:lineRule="exact"/>
              <w:jc w:val="center"/>
              <w:rPr>
                <w:rFonts w:hint="eastAsia" w:ascii="宋体" w:hAnsi="宋体" w:cs="宋体"/>
                <w:color w:val="auto"/>
                <w:szCs w:val="21"/>
                <w:highlight w:val="none"/>
              </w:rPr>
            </w:pPr>
          </w:p>
        </w:tc>
        <w:tc>
          <w:tcPr>
            <w:tcW w:w="3045" w:type="dxa"/>
            <w:gridSpan w:val="2"/>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918" w:type="dxa"/>
            <w:vAlign w:val="center"/>
          </w:tcPr>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投标文件签字盖章</w:t>
            </w:r>
          </w:p>
        </w:tc>
        <w:tc>
          <w:tcPr>
            <w:tcW w:w="5918" w:type="dxa"/>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由法定代表人（或其委托代理人）签名（或加盖印章），并加盖投标人的单位公章。投标人加盖的单位公章与其营业执照的单位名称应当一致。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p>
        </w:tc>
        <w:tc>
          <w:tcPr>
            <w:tcW w:w="5918" w:type="dxa"/>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918" w:type="dxa"/>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联合体投标人</w:t>
            </w:r>
          </w:p>
        </w:tc>
        <w:tc>
          <w:tcPr>
            <w:tcW w:w="5918" w:type="dxa"/>
            <w:vAlign w:val="center"/>
          </w:tcPr>
          <w:p>
            <w:pPr>
              <w:spacing w:line="360" w:lineRule="exact"/>
              <w:ind w:left="-210" w:leftChars="-100" w:firstLine="210" w:firstLineChars="100"/>
              <w:rPr>
                <w:rFonts w:hint="eastAsia" w:ascii="宋体" w:hAnsi="宋体" w:cs="宋体"/>
                <w:strike/>
                <w:color w:val="auto"/>
                <w:szCs w:val="21"/>
                <w:highlight w:val="none"/>
              </w:rPr>
            </w:pPr>
            <w:r>
              <w:rPr>
                <w:rFonts w:hint="eastAsia" w:ascii="宋体" w:hAnsi="宋体" w:cs="宋体"/>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7" w:type="dxa"/>
            <w:vMerge w:val="restart"/>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2.1.2</w:t>
            </w:r>
          </w:p>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8963" w:type="dxa"/>
            <w:gridSpan w:val="3"/>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2050"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995" w:type="dxa"/>
            <w:vAlign w:val="center"/>
          </w:tcPr>
          <w:p>
            <w:pP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企业</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拟任项目经理资格</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拟任技术负责人的资格</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拟任设计负责人的资格</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w:t>
            </w:r>
          </w:p>
        </w:tc>
        <w:tc>
          <w:tcPr>
            <w:tcW w:w="5918" w:type="dxa"/>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符合第二章“投标人须知”第3.4.1项规定</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保函受益人和投标人的全称，与招标人和投标人名称一致；</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保函有效期起始时间应为本项目投标截止时间之前；保函有效期应与投标有效期一致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3045" w:type="dxa"/>
            <w:gridSpan w:val="2"/>
            <w:vAlign w:val="center"/>
          </w:tcPr>
          <w:p>
            <w:pPr>
              <w:spacing w:line="360" w:lineRule="exact"/>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591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1187" w:type="dxa"/>
            <w:vMerge w:val="continue"/>
            <w:vAlign w:val="center"/>
          </w:tcPr>
          <w:p>
            <w:pPr>
              <w:spacing w:line="360" w:lineRule="exact"/>
              <w:jc w:val="center"/>
              <w:rPr>
                <w:rFonts w:hint="eastAsia" w:ascii="宋体" w:hAnsi="宋体" w:cs="宋体"/>
                <w:color w:val="auto"/>
                <w:szCs w:val="21"/>
                <w:highlight w:val="none"/>
              </w:rPr>
            </w:pPr>
          </w:p>
        </w:tc>
        <w:tc>
          <w:tcPr>
            <w:tcW w:w="8963" w:type="dxa"/>
            <w:gridSpan w:val="3"/>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重大变化的，由评标委员会依据资格预审文件中规定的标准和方法，对照投标人资格预审申请文件中的资料以及开标前更新的资料，对其更新的资料进行评审，其变化后的资格条件不得低于原有资格条件要求。</w:t>
            </w:r>
          </w:p>
          <w:p>
            <w:pPr>
              <w:spacing w:line="360" w:lineRule="exact"/>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p>
            <w:pPr>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3.资格评审过程中，评标委员会发现投标人提交的资格审查资料不全时，应当听取该投标人的说明。</w:t>
            </w:r>
            <w:r>
              <w:rPr>
                <w:rFonts w:hint="eastAsia" w:ascii="宋体" w:hAnsi="宋体" w:cs="宋体"/>
                <w:color w:val="auto"/>
                <w:szCs w:val="21"/>
                <w:highlight w:val="none"/>
              </w:rPr>
              <w:t xml:space="preserve">  </w:t>
            </w:r>
          </w:p>
        </w:tc>
      </w:tr>
      <w:bookmarkEnd w:id="99"/>
      <w:bookmarkEnd w:id="100"/>
      <w:bookmarkEnd w:id="101"/>
      <w:bookmarkEnd w:id="102"/>
      <w:bookmarkEnd w:id="103"/>
      <w:bookmarkEnd w:id="104"/>
      <w:bookmarkEnd w:id="105"/>
      <w:bookmarkEnd w:id="106"/>
      <w:bookmarkEnd w:id="107"/>
      <w:bookmarkEnd w:id="108"/>
      <w:bookmarkEnd w:id="109"/>
      <w:bookmarkEnd w:id="110"/>
    </w:tbl>
    <w:p>
      <w:pPr>
        <w:spacing w:line="400" w:lineRule="exact"/>
        <w:jc w:val="left"/>
        <w:rPr>
          <w:rFonts w:hint="eastAsia" w:ascii="宋体" w:hAnsi="宋体" w:eastAsia="宋体" w:cs="宋体"/>
          <w:b/>
          <w:color w:val="auto"/>
          <w:szCs w:val="21"/>
          <w:highlight w:val="none"/>
        </w:rPr>
      </w:pPr>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2.1.1形式评审标准</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71"/>
        <w:gridCol w:w="2394"/>
        <w:gridCol w:w="5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3" w:type="dxa"/>
            <w:gridSpan w:val="2"/>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9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063"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7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9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与投标报名、营业执照、资质证书、安全生产许可证、湖南省住房和城乡建设网网上查询入湘企业基本情况登记复印件或提供有效期内的入湘施工登记证（仅省外企业提供），否则为不合格投标人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hint="eastAsia" w:ascii="宋体" w:hAnsi="宋体" w:eastAsia="宋体" w:cs="宋体"/>
                <w:color w:val="auto"/>
                <w:szCs w:val="21"/>
                <w:highlight w:val="none"/>
              </w:rPr>
            </w:pPr>
          </w:p>
        </w:tc>
        <w:tc>
          <w:tcPr>
            <w:tcW w:w="87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9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投标文件签字盖章</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若未按第二章“投标人须知前附表”第3.7.3项规定的，则为不合格投标人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hint="eastAsia" w:ascii="宋体" w:hAnsi="宋体" w:eastAsia="宋体" w:cs="宋体"/>
                <w:color w:val="auto"/>
                <w:szCs w:val="21"/>
                <w:highlight w:val="none"/>
              </w:rPr>
            </w:pPr>
          </w:p>
        </w:tc>
        <w:tc>
          <w:tcPr>
            <w:tcW w:w="87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9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符合第七章“投标文件格式”的要求，若投标文件未按规定的格式填写的，内容不全或关键字迹模糊、无法辨认的，则为不合格的投标人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hint="eastAsia" w:ascii="宋体" w:hAnsi="宋体" w:eastAsia="宋体" w:cs="宋体"/>
                <w:color w:val="auto"/>
                <w:szCs w:val="21"/>
                <w:highlight w:val="none"/>
              </w:rPr>
            </w:pPr>
          </w:p>
        </w:tc>
        <w:tc>
          <w:tcPr>
            <w:tcW w:w="87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39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只能有一个有效报价，否则为不合格投标人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hint="eastAsia" w:ascii="宋体" w:hAnsi="宋体" w:eastAsia="宋体" w:cs="宋体"/>
                <w:color w:val="auto"/>
                <w:szCs w:val="21"/>
                <w:highlight w:val="none"/>
              </w:rPr>
            </w:pPr>
          </w:p>
        </w:tc>
        <w:tc>
          <w:tcPr>
            <w:tcW w:w="87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39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联合体协议书（如有的话）</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若为联合体投标，应提交联合体协议书，并明确联合体牵头人，符合第二章第1.4.2条的要求，否则为不合格投标人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eastAsia" w:ascii="宋体" w:hAnsi="宋体" w:eastAsia="宋体" w:cs="宋体"/>
                <w:color w:val="auto"/>
                <w:szCs w:val="21"/>
                <w:highlight w:val="none"/>
              </w:rPr>
            </w:pPr>
          </w:p>
        </w:tc>
        <w:tc>
          <w:tcPr>
            <w:tcW w:w="8328" w:type="dxa"/>
            <w:gridSpan w:val="3"/>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详见本章附表3-3</w:t>
            </w:r>
          </w:p>
        </w:tc>
      </w:tr>
    </w:tbl>
    <w:p>
      <w:pPr>
        <w:spacing w:line="400" w:lineRule="exact"/>
        <w:jc w:val="center"/>
        <w:rPr>
          <w:rFonts w:hint="eastAsia" w:ascii="宋体" w:hAnsi="宋体" w:eastAsia="宋体" w:cs="宋体"/>
          <w:color w:val="auto"/>
          <w:szCs w:val="21"/>
          <w:highlight w:val="none"/>
        </w:rPr>
      </w:pPr>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2.1.2资格评审标准</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25"/>
        <w:gridCol w:w="2549"/>
        <w:gridCol w:w="5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gridSpan w:val="2"/>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49"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352" w:type="dxa"/>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企业安全生产许可证</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施工企业具备有效的安全生产许可证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入湘登记</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（仅省外企业）</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省外企业具备湖南省住房和城乡建设网网上查询入湘企业基本情况登记复印件或提供有效期内的入湘施工登记证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w:t>
            </w:r>
          </w:p>
        </w:tc>
        <w:tc>
          <w:tcPr>
            <w:tcW w:w="5352"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项目总</w:t>
            </w:r>
            <w:r>
              <w:rPr>
                <w:rFonts w:hint="eastAsia" w:ascii="宋体" w:hAnsi="宋体" w:eastAsia="宋体" w:cs="宋体"/>
                <w:color w:val="auto"/>
                <w:szCs w:val="21"/>
                <w:highlight w:val="none"/>
              </w:rPr>
              <w:t>负责人资格</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设计负责人资格</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施工项目负责人资格</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施工技术负责人资格</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施工机械设备</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项目管理机构及人员</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符合第二章“投标人须知”第1.4.2项规定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spacing w:line="360" w:lineRule="auto"/>
              <w:jc w:val="center"/>
              <w:rPr>
                <w:rFonts w:hint="eastAsia" w:ascii="宋体" w:hAnsi="宋体" w:eastAsia="宋体" w:cs="宋体"/>
                <w:color w:val="auto"/>
                <w:szCs w:val="21"/>
                <w:highlight w:val="none"/>
              </w:rPr>
            </w:pPr>
          </w:p>
        </w:tc>
        <w:tc>
          <w:tcPr>
            <w:tcW w:w="72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54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35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见招标公告第11条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jc w:val="center"/>
              <w:rPr>
                <w:rFonts w:hint="eastAsia" w:ascii="宋体" w:hAnsi="宋体" w:eastAsia="宋体" w:cs="宋体"/>
                <w:color w:val="auto"/>
                <w:szCs w:val="21"/>
                <w:highlight w:val="none"/>
              </w:rPr>
            </w:pPr>
          </w:p>
        </w:tc>
        <w:tc>
          <w:tcPr>
            <w:tcW w:w="8626" w:type="dxa"/>
            <w:gridSpan w:val="3"/>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详见本章附表3-4</w:t>
            </w:r>
          </w:p>
        </w:tc>
      </w:tr>
    </w:tbl>
    <w:p>
      <w:pPr>
        <w:pStyle w:val="31"/>
        <w:rPr>
          <w:rFonts w:hint="eastAsia" w:ascii="宋体" w:hAnsi="宋体" w:eastAsia="宋体" w:cs="宋体"/>
          <w:color w:val="auto"/>
          <w:szCs w:val="21"/>
          <w:highlight w:val="none"/>
        </w:rPr>
      </w:pPr>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2.1.3响应性评审标准</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25"/>
        <w:gridCol w:w="2838"/>
        <w:gridCol w:w="5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gridSpan w:val="2"/>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838"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063" w:type="dxa"/>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72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符合第二章“投标人须知”第3.2.4项规定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jc w:val="center"/>
              <w:rPr>
                <w:rFonts w:hint="eastAsia" w:ascii="宋体" w:hAnsi="宋体" w:eastAsia="宋体" w:cs="宋体"/>
                <w:color w:val="auto"/>
                <w:szCs w:val="21"/>
                <w:highlight w:val="none"/>
              </w:rPr>
            </w:pPr>
          </w:p>
        </w:tc>
        <w:tc>
          <w:tcPr>
            <w:tcW w:w="72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符合第二章“投标人须知”第1.3.1项规定，若</w:t>
            </w:r>
            <w:r>
              <w:rPr>
                <w:rFonts w:hint="eastAsia" w:ascii="宋体" w:hAnsi="宋体" w:eastAsia="宋体" w:cs="宋体"/>
                <w:color w:val="auto"/>
                <w:kern w:val="0"/>
                <w:szCs w:val="21"/>
                <w:highlight w:val="none"/>
              </w:rPr>
              <w:t>投标文件载明的投标范围小于招标文件规定的招标范围的，则为不合格投标人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jc w:val="center"/>
              <w:rPr>
                <w:rFonts w:hint="eastAsia" w:ascii="宋体" w:hAnsi="宋体" w:eastAsia="宋体" w:cs="宋体"/>
                <w:color w:val="auto"/>
                <w:szCs w:val="21"/>
                <w:highlight w:val="none"/>
              </w:rPr>
            </w:pPr>
          </w:p>
        </w:tc>
        <w:tc>
          <w:tcPr>
            <w:tcW w:w="72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符合第二章“投标人须知”第1.3.2项规定，若</w:t>
            </w:r>
            <w:r>
              <w:rPr>
                <w:rFonts w:hint="eastAsia" w:ascii="宋体" w:hAnsi="宋体" w:eastAsia="宋体" w:cs="宋体"/>
                <w:color w:val="auto"/>
                <w:kern w:val="0"/>
                <w:szCs w:val="21"/>
                <w:highlight w:val="none"/>
              </w:rPr>
              <w:t>投标文件载明的工期超过招标文件规定且无正当理由说明的，则为不合格投标人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jc w:val="center"/>
              <w:rPr>
                <w:rFonts w:hint="eastAsia" w:ascii="宋体" w:hAnsi="宋体" w:eastAsia="宋体" w:cs="宋体"/>
                <w:color w:val="auto"/>
                <w:szCs w:val="21"/>
                <w:highlight w:val="none"/>
              </w:rPr>
            </w:pPr>
          </w:p>
        </w:tc>
        <w:tc>
          <w:tcPr>
            <w:tcW w:w="72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符合第二章“投标人须知”第1.3.3项规定，若</w:t>
            </w:r>
            <w:r>
              <w:rPr>
                <w:rFonts w:hint="eastAsia" w:ascii="宋体" w:hAnsi="宋体" w:eastAsia="宋体" w:cs="宋体"/>
                <w:color w:val="auto"/>
                <w:kern w:val="0"/>
                <w:szCs w:val="21"/>
                <w:highlight w:val="none"/>
              </w:rPr>
              <w:t>投标文件载明的质量标准低于招标文件规定的，则为不合格投标人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Merge w:val="continue"/>
            <w:vAlign w:val="center"/>
          </w:tcPr>
          <w:p>
            <w:pPr>
              <w:jc w:val="center"/>
              <w:rPr>
                <w:rFonts w:hint="eastAsia" w:ascii="宋体" w:hAnsi="宋体" w:eastAsia="宋体" w:cs="宋体"/>
                <w:color w:val="auto"/>
                <w:szCs w:val="21"/>
                <w:highlight w:val="none"/>
              </w:rPr>
            </w:pPr>
          </w:p>
        </w:tc>
        <w:tc>
          <w:tcPr>
            <w:tcW w:w="72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jc w:val="center"/>
              <w:rPr>
                <w:rFonts w:hint="eastAsia" w:ascii="宋体" w:hAnsi="宋体" w:eastAsia="宋体" w:cs="宋体"/>
                <w:color w:val="auto"/>
                <w:szCs w:val="21"/>
                <w:highlight w:val="none"/>
              </w:rPr>
            </w:pPr>
          </w:p>
        </w:tc>
        <w:tc>
          <w:tcPr>
            <w:tcW w:w="72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权利义务</w:t>
            </w:r>
          </w:p>
        </w:tc>
        <w:tc>
          <w:tcPr>
            <w:tcW w:w="5063"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符合第四章“合同条款及格式”规定的权利义务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jc w:val="center"/>
              <w:rPr>
                <w:rFonts w:hint="eastAsia" w:ascii="宋体" w:hAnsi="宋体" w:eastAsia="宋体" w:cs="宋体"/>
                <w:color w:val="auto"/>
                <w:szCs w:val="21"/>
                <w:highlight w:val="none"/>
              </w:rPr>
            </w:pPr>
          </w:p>
        </w:tc>
        <w:tc>
          <w:tcPr>
            <w:tcW w:w="8626" w:type="dxa"/>
            <w:gridSpan w:val="3"/>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详见本章附表3-5</w:t>
            </w:r>
          </w:p>
        </w:tc>
      </w:tr>
    </w:tbl>
    <w:p>
      <w:pPr>
        <w:spacing w:line="400" w:lineRule="exact"/>
        <w:jc w:val="left"/>
        <w:rPr>
          <w:rFonts w:hint="eastAsia" w:ascii="宋体" w:hAnsi="宋体" w:eastAsia="宋体" w:cs="宋体"/>
          <w:b/>
          <w:color w:val="auto"/>
          <w:szCs w:val="21"/>
          <w:highlight w:val="none"/>
        </w:rPr>
      </w:pPr>
    </w:p>
    <w:p>
      <w:pPr>
        <w:spacing w:line="400" w:lineRule="exact"/>
        <w:jc w:val="left"/>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pStyle w:val="19"/>
        <w:rPr>
          <w:rFonts w:hint="eastAsia" w:ascii="宋体" w:hAnsi="宋体" w:eastAsia="宋体" w:cs="宋体"/>
          <w:b/>
          <w:color w:val="auto"/>
          <w:szCs w:val="21"/>
          <w:highlight w:val="none"/>
        </w:rPr>
      </w:pPr>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2.2分值构成</w:t>
      </w:r>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（1）设计方案（K1=</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536"/>
        <w:gridCol w:w="3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4536"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3365"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权值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2.2.1（1）</w:t>
            </w:r>
          </w:p>
        </w:tc>
        <w:tc>
          <w:tcPr>
            <w:tcW w:w="4536"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设计方案</w:t>
            </w:r>
          </w:p>
        </w:tc>
        <w:tc>
          <w:tcPr>
            <w:tcW w:w="3365"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0.30</w:t>
            </w:r>
          </w:p>
        </w:tc>
      </w:tr>
    </w:tbl>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highlight w:val="none"/>
        </w:rPr>
        <w:t>实施方案</w:t>
      </w:r>
      <w:r>
        <w:rPr>
          <w:rFonts w:hint="eastAsia" w:ascii="宋体" w:hAnsi="宋体" w:eastAsia="宋体" w:cs="宋体"/>
          <w:b/>
          <w:color w:val="auto"/>
          <w:szCs w:val="21"/>
          <w:highlight w:val="none"/>
        </w:rPr>
        <w:t>（K2=1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536"/>
        <w:gridCol w:w="3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4536"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3365"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权值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2.2.1（2）</w:t>
            </w:r>
          </w:p>
        </w:tc>
        <w:tc>
          <w:tcPr>
            <w:tcW w:w="4536"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b/>
                <w:bCs/>
                <w:color w:val="auto"/>
                <w:highlight w:val="none"/>
              </w:rPr>
              <w:t>实施方案</w:t>
            </w:r>
          </w:p>
        </w:tc>
        <w:tc>
          <w:tcPr>
            <w:tcW w:w="3365" w:type="dxa"/>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0.15</w:t>
            </w:r>
          </w:p>
        </w:tc>
      </w:tr>
    </w:tbl>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（3）资信业绩（K3=</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668"/>
        <w:gridCol w:w="3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4668"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3233"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权值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2.2.1（3）</w:t>
            </w:r>
          </w:p>
        </w:tc>
        <w:tc>
          <w:tcPr>
            <w:tcW w:w="4668"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b/>
                <w:bCs/>
                <w:color w:val="auto"/>
                <w:highlight w:val="none"/>
              </w:rPr>
              <w:t>资信业绩</w:t>
            </w:r>
          </w:p>
        </w:tc>
        <w:tc>
          <w:tcPr>
            <w:tcW w:w="3233"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0.40</w:t>
            </w:r>
          </w:p>
        </w:tc>
      </w:tr>
    </w:tbl>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（4）投标报价（K4=</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w:t>
      </w:r>
    </w:p>
    <w:tbl>
      <w:tblPr>
        <w:tblStyle w:val="21"/>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668"/>
        <w:gridCol w:w="3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4668"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3233" w:type="dxa"/>
            <w:vAlign w:val="center"/>
          </w:tcPr>
          <w:p>
            <w:pPr>
              <w:autoSpaceDE w:val="0"/>
              <w:autoSpaceDN w:val="0"/>
              <w:adjustRightInd w:val="0"/>
              <w:spacing w:line="400" w:lineRule="exact"/>
              <w:ind w:firstLine="1260" w:firstLineChars="6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权值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2.2.1（4）</w:t>
            </w:r>
          </w:p>
        </w:tc>
        <w:tc>
          <w:tcPr>
            <w:tcW w:w="4668"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b/>
                <w:bCs/>
                <w:color w:val="auto"/>
                <w:highlight w:val="none"/>
              </w:rPr>
              <w:t>投标报价</w:t>
            </w:r>
          </w:p>
        </w:tc>
        <w:tc>
          <w:tcPr>
            <w:tcW w:w="3233" w:type="dxa"/>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0.15</w:t>
            </w:r>
          </w:p>
        </w:tc>
      </w:tr>
    </w:tbl>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highlight w:val="none"/>
        </w:rPr>
        <w:t>3.承包人设计方案、承包人实施方案</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资信业绩评审、投标报价详细评审标准详见附表</w:t>
      </w:r>
    </w:p>
    <w:p>
      <w:pPr>
        <w:spacing w:line="400" w:lineRule="exact"/>
        <w:rPr>
          <w:rFonts w:hint="eastAsia" w:ascii="宋体" w:hAnsi="宋体" w:eastAsia="宋体" w:cs="宋体"/>
          <w:color w:val="auto"/>
          <w:kern w:val="0"/>
          <w:szCs w:val="21"/>
          <w:highlight w:val="none"/>
        </w:rPr>
        <w:sectPr>
          <w:headerReference r:id="rId9" w:type="default"/>
          <w:footerReference r:id="rId10" w:type="default"/>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4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评标办法（综合评估法）正文部分</w:t>
      </w:r>
    </w:p>
    <w:p>
      <w:pPr>
        <w:pStyle w:val="4"/>
        <w:spacing w:before="0" w:after="0" w:line="400" w:lineRule="exact"/>
        <w:rPr>
          <w:rFonts w:hint="eastAsia" w:ascii="宋体" w:hAnsi="宋体" w:eastAsia="宋体" w:cs="宋体"/>
          <w:color w:val="auto"/>
          <w:sz w:val="21"/>
          <w:szCs w:val="21"/>
          <w:highlight w:val="none"/>
        </w:rPr>
      </w:pPr>
      <w:bookmarkStart w:id="125" w:name="_Toc247514024"/>
      <w:bookmarkStart w:id="126" w:name="_Toc25453"/>
      <w:bookmarkStart w:id="127" w:name="_Toc458942618"/>
      <w:bookmarkStart w:id="128" w:name="_Toc144974567"/>
      <w:bookmarkStart w:id="129" w:name="_Toc459405367"/>
      <w:bookmarkStart w:id="130" w:name="_Toc300835010"/>
      <w:bookmarkStart w:id="131" w:name="_Toc65237879"/>
      <w:bookmarkStart w:id="132" w:name="_Toc453749416"/>
      <w:bookmarkStart w:id="133" w:name="_Toc458193409"/>
      <w:bookmarkStart w:id="134" w:name="_Toc453700483"/>
      <w:bookmarkStart w:id="135" w:name="_Toc247527625"/>
      <w:bookmarkStart w:id="136" w:name="_Toc152045600"/>
      <w:bookmarkStart w:id="137" w:name="_Toc73785560"/>
      <w:bookmarkStart w:id="138" w:name="_Toc459816340"/>
      <w:bookmarkStart w:id="139" w:name="_Toc152042377"/>
      <w:r>
        <w:rPr>
          <w:rFonts w:hint="eastAsia" w:ascii="宋体" w:hAnsi="宋体" w:eastAsia="宋体" w:cs="宋体"/>
          <w:color w:val="auto"/>
          <w:sz w:val="21"/>
          <w:szCs w:val="21"/>
          <w:highlight w:val="none"/>
        </w:rPr>
        <w:t>1. 评标方法</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设计技术评分高的优先；设计技术评分也相等的，由评委票决顺序确定。</w:t>
      </w:r>
    </w:p>
    <w:p>
      <w:pPr>
        <w:pStyle w:val="4"/>
        <w:spacing w:before="0" w:after="0" w:line="400" w:lineRule="exact"/>
        <w:rPr>
          <w:rFonts w:hint="eastAsia" w:ascii="宋体" w:hAnsi="宋体" w:eastAsia="宋体" w:cs="宋体"/>
          <w:color w:val="auto"/>
          <w:sz w:val="21"/>
          <w:szCs w:val="21"/>
          <w:highlight w:val="none"/>
        </w:rPr>
      </w:pPr>
      <w:bookmarkStart w:id="140" w:name="_Toc458193410"/>
      <w:bookmarkStart w:id="141" w:name="_Toc247527626"/>
      <w:bookmarkStart w:id="142" w:name="_Toc300835011"/>
      <w:bookmarkStart w:id="143" w:name="_Toc453749417"/>
      <w:bookmarkStart w:id="144" w:name="_Toc459405368"/>
      <w:bookmarkStart w:id="145" w:name="_Toc144974568"/>
      <w:bookmarkStart w:id="146" w:name="_Toc31834"/>
      <w:bookmarkStart w:id="147" w:name="_Toc247514025"/>
      <w:bookmarkStart w:id="148" w:name="_Toc65237880"/>
      <w:bookmarkStart w:id="149" w:name="_Toc458942619"/>
      <w:bookmarkStart w:id="150" w:name="_Toc152045601"/>
      <w:bookmarkStart w:id="151" w:name="_Toc453700484"/>
      <w:bookmarkStart w:id="152" w:name="_Toc459816341"/>
      <w:bookmarkStart w:id="153" w:name="_Toc152042378"/>
      <w:bookmarkStart w:id="154" w:name="_Toc73785561"/>
      <w:bookmarkStart w:id="155" w:name="_Toc472870401"/>
      <w:r>
        <w:rPr>
          <w:rFonts w:hint="eastAsia" w:ascii="宋体" w:hAnsi="宋体" w:eastAsia="宋体" w:cs="宋体"/>
          <w:color w:val="auto"/>
          <w:sz w:val="21"/>
          <w:szCs w:val="21"/>
          <w:highlight w:val="none"/>
        </w:rPr>
        <w:t>2. 评审标准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pStyle w:val="5"/>
        <w:spacing w:before="0" w:after="0" w:line="400" w:lineRule="exact"/>
        <w:ind w:firstLine="103"/>
        <w:rPr>
          <w:rFonts w:hint="eastAsia" w:ascii="宋体" w:eastAsia="宋体" w:cs="宋体"/>
          <w:color w:val="auto"/>
          <w:sz w:val="21"/>
          <w:szCs w:val="21"/>
          <w:highlight w:val="none"/>
        </w:rPr>
      </w:pPr>
      <w:bookmarkStart w:id="156" w:name="_Toc459816634"/>
      <w:bookmarkStart w:id="157" w:name="_Toc459405369"/>
      <w:bookmarkStart w:id="158" w:name="_Toc459816342"/>
      <w:bookmarkStart w:id="159" w:name="_Toc73785562"/>
      <w:bookmarkStart w:id="160" w:name="_Toc453749418"/>
      <w:bookmarkStart w:id="161" w:name="_Toc459465216"/>
      <w:bookmarkStart w:id="162" w:name="_Toc152042379"/>
      <w:bookmarkStart w:id="163" w:name="_Toc458273013"/>
      <w:bookmarkStart w:id="164" w:name="_Toc300835012"/>
      <w:bookmarkStart w:id="165" w:name="_Toc458941065"/>
      <w:bookmarkStart w:id="166" w:name="_Toc465968710"/>
      <w:bookmarkStart w:id="167" w:name="_Toc152045602"/>
      <w:bookmarkStart w:id="168" w:name="_Toc472870402"/>
      <w:bookmarkStart w:id="169" w:name="_Toc458193411"/>
      <w:bookmarkStart w:id="170" w:name="_Toc30501"/>
      <w:bookmarkStart w:id="171" w:name="_Toc530034636"/>
      <w:bookmarkStart w:id="172" w:name="_Toc65237881"/>
      <w:bookmarkStart w:id="173" w:name="_Toc458942620"/>
      <w:bookmarkStart w:id="174" w:name="_Toc247514026"/>
      <w:bookmarkStart w:id="175" w:name="_Toc144974569"/>
      <w:bookmarkStart w:id="176" w:name="_Toc247527627"/>
      <w:bookmarkStart w:id="177" w:name="_Toc530034822"/>
      <w:bookmarkStart w:id="178" w:name="_Toc458274063"/>
      <w:bookmarkStart w:id="179" w:name="_Toc465007321"/>
      <w:bookmarkStart w:id="180" w:name="_Toc453700485"/>
      <w:r>
        <w:rPr>
          <w:rFonts w:hint="eastAsia" w:ascii="宋体" w:eastAsia="宋体" w:cs="宋体"/>
          <w:color w:val="auto"/>
          <w:sz w:val="21"/>
          <w:szCs w:val="21"/>
          <w:highlight w:val="none"/>
        </w:rPr>
        <w:t>2.1 初步评审标准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响应性评审标准：见评标办法前附表。</w:t>
      </w:r>
    </w:p>
    <w:p>
      <w:pPr>
        <w:pStyle w:val="5"/>
        <w:spacing w:before="0" w:after="0" w:line="400" w:lineRule="exact"/>
        <w:ind w:firstLine="103"/>
        <w:rPr>
          <w:rFonts w:hint="eastAsia" w:ascii="宋体" w:eastAsia="宋体" w:cs="宋体"/>
          <w:color w:val="auto"/>
          <w:sz w:val="21"/>
          <w:szCs w:val="21"/>
          <w:highlight w:val="none"/>
        </w:rPr>
      </w:pPr>
      <w:bookmarkStart w:id="181" w:name="_Toc247527628"/>
      <w:bookmarkStart w:id="182" w:name="_Toc472870403"/>
      <w:bookmarkStart w:id="183" w:name="_Toc453700486"/>
      <w:bookmarkStart w:id="184" w:name="_Toc458193412"/>
      <w:bookmarkStart w:id="185" w:name="_Toc459465217"/>
      <w:bookmarkStart w:id="186" w:name="_Toc465968711"/>
      <w:bookmarkStart w:id="187" w:name="_Toc458274064"/>
      <w:bookmarkStart w:id="188" w:name="_Toc23552"/>
      <w:bookmarkStart w:id="189" w:name="_Toc73785563"/>
      <w:bookmarkStart w:id="190" w:name="_Toc247514027"/>
      <w:bookmarkStart w:id="191" w:name="_Toc459816343"/>
      <w:bookmarkStart w:id="192" w:name="_Toc152042380"/>
      <w:bookmarkStart w:id="193" w:name="_Toc65237882"/>
      <w:bookmarkStart w:id="194" w:name="_Toc465007322"/>
      <w:bookmarkStart w:id="195" w:name="_Toc458273014"/>
      <w:bookmarkStart w:id="196" w:name="_Toc152045603"/>
      <w:bookmarkStart w:id="197" w:name="_Toc459816635"/>
      <w:bookmarkStart w:id="198" w:name="_Toc459405370"/>
      <w:bookmarkStart w:id="199" w:name="_Toc530034637"/>
      <w:bookmarkStart w:id="200" w:name="_Toc458942621"/>
      <w:bookmarkStart w:id="201" w:name="_Toc530034823"/>
      <w:bookmarkStart w:id="202" w:name="_Toc300835013"/>
      <w:bookmarkStart w:id="203" w:name="_Toc453749419"/>
      <w:bookmarkStart w:id="204" w:name="_Toc144974570"/>
      <w:bookmarkStart w:id="205" w:name="_Toc458941066"/>
      <w:r>
        <w:rPr>
          <w:rFonts w:hint="eastAsia" w:ascii="宋体" w:eastAsia="宋体" w:cs="宋体"/>
          <w:color w:val="auto"/>
          <w:sz w:val="21"/>
          <w:szCs w:val="21"/>
          <w:highlight w:val="none"/>
        </w:rPr>
        <w:t>2.2 分值构成与评分标准</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分值构成</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（1）设计方案：见评标办法前附表；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（2）实施方案：见评标办法前附表；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（3）资信业绩：见评标办法前附表；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（4）投标报价：见评标办法前附表；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评标基准价计算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投标报价的偏差率计算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评分标准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1）设计方案：见评标办法前附表；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（2）实施方案：见评标办法前附表；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（3）资信业绩：见评标办法前附表；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（4）投标报价：见评标办法前附表；</w:t>
      </w:r>
    </w:p>
    <w:p>
      <w:pPr>
        <w:pStyle w:val="4"/>
        <w:spacing w:before="0" w:after="0" w:line="400" w:lineRule="exact"/>
        <w:rPr>
          <w:rFonts w:hint="eastAsia" w:ascii="宋体" w:hAnsi="宋体" w:eastAsia="宋体" w:cs="宋体"/>
          <w:color w:val="auto"/>
          <w:sz w:val="21"/>
          <w:szCs w:val="21"/>
          <w:highlight w:val="none"/>
        </w:rPr>
      </w:pPr>
      <w:bookmarkStart w:id="206" w:name="_Toc152042381"/>
      <w:bookmarkStart w:id="207" w:name="_Toc453749420"/>
      <w:bookmarkStart w:id="208" w:name="_Toc458942622"/>
      <w:bookmarkStart w:id="209" w:name="_Toc31719"/>
      <w:bookmarkStart w:id="210" w:name="_Toc300835014"/>
      <w:bookmarkStart w:id="211" w:name="_Toc247514028"/>
      <w:bookmarkStart w:id="212" w:name="_Toc65237883"/>
      <w:bookmarkStart w:id="213" w:name="_Toc459405371"/>
      <w:bookmarkStart w:id="214" w:name="_Toc472870404"/>
      <w:bookmarkStart w:id="215" w:name="_Toc73785564"/>
      <w:bookmarkStart w:id="216" w:name="_Toc247527629"/>
      <w:bookmarkStart w:id="217" w:name="_Toc458193413"/>
      <w:bookmarkStart w:id="218" w:name="_Toc459816344"/>
      <w:bookmarkStart w:id="219" w:name="_Toc152045604"/>
      <w:bookmarkStart w:id="220" w:name="_Toc453700487"/>
      <w:bookmarkStart w:id="221" w:name="_Toc144974571"/>
      <w:r>
        <w:rPr>
          <w:rFonts w:hint="eastAsia" w:ascii="宋体" w:hAnsi="宋体" w:eastAsia="宋体" w:cs="宋体"/>
          <w:color w:val="auto"/>
          <w:sz w:val="21"/>
          <w:szCs w:val="21"/>
          <w:highlight w:val="none"/>
        </w:rPr>
        <w:t>3. 评标程序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5"/>
        <w:spacing w:before="0" w:after="0" w:line="400" w:lineRule="exact"/>
        <w:ind w:firstLine="103"/>
        <w:rPr>
          <w:rFonts w:hint="eastAsia" w:ascii="宋体" w:eastAsia="宋体" w:cs="宋体"/>
          <w:color w:val="auto"/>
          <w:sz w:val="21"/>
          <w:szCs w:val="21"/>
          <w:highlight w:val="none"/>
        </w:rPr>
      </w:pPr>
      <w:bookmarkStart w:id="222" w:name="_Toc472870405"/>
      <w:bookmarkStart w:id="223" w:name="_Toc459816637"/>
      <w:bookmarkStart w:id="224" w:name="_Toc458193414"/>
      <w:bookmarkStart w:id="225" w:name="_Toc152045605"/>
      <w:bookmarkStart w:id="226" w:name="_Toc459816345"/>
      <w:bookmarkStart w:id="227" w:name="_Toc152042382"/>
      <w:bookmarkStart w:id="228" w:name="_Toc530034639"/>
      <w:bookmarkStart w:id="229" w:name="_Toc65237884"/>
      <w:bookmarkStart w:id="230" w:name="_Toc459405372"/>
      <w:bookmarkStart w:id="231" w:name="_Toc458942623"/>
      <w:bookmarkStart w:id="232" w:name="_Toc247514029"/>
      <w:bookmarkStart w:id="233" w:name="_Toc1598"/>
      <w:bookmarkStart w:id="234" w:name="_Toc144974572"/>
      <w:bookmarkStart w:id="235" w:name="_Toc247527630"/>
      <w:bookmarkStart w:id="236" w:name="_Toc73785565"/>
      <w:bookmarkStart w:id="237" w:name="_Toc459465219"/>
      <w:bookmarkStart w:id="238" w:name="_Toc453749421"/>
      <w:bookmarkStart w:id="239" w:name="_Toc465968713"/>
      <w:bookmarkStart w:id="240" w:name="_Toc458941068"/>
      <w:bookmarkStart w:id="241" w:name="_Toc530034825"/>
      <w:bookmarkStart w:id="242" w:name="_Toc300835015"/>
      <w:bookmarkStart w:id="243" w:name="_Toc458273016"/>
      <w:bookmarkStart w:id="244" w:name="_Toc465007324"/>
      <w:bookmarkStart w:id="245" w:name="_Toc458274066"/>
      <w:bookmarkStart w:id="246" w:name="_Toc453700488"/>
      <w:r>
        <w:rPr>
          <w:rFonts w:hint="eastAsia" w:ascii="宋体" w:eastAsia="宋体" w:cs="宋体"/>
          <w:color w:val="auto"/>
          <w:sz w:val="21"/>
          <w:szCs w:val="21"/>
          <w:highlight w:val="none"/>
        </w:rPr>
        <w:t>3.1 初步评审</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投标人有以下情形之一的，评标委员会应当否决其投标：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以他人名义投标的；以行贿手段谋取中标的；</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（3）串通投标或弄虚作假或有其他违法行为的；</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（4）不按评标委员会要求澄清、说明或补正的。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3.1.3 评标委员会检查投标人投标报价是否有算术错误，</w:t>
      </w:r>
      <w:r>
        <w:rPr>
          <w:rFonts w:hint="eastAsia" w:ascii="宋体" w:hAnsi="宋体" w:eastAsia="宋体" w:cs="宋体"/>
          <w:color w:val="auto"/>
          <w:szCs w:val="21"/>
          <w:highlight w:val="none"/>
        </w:rPr>
        <w:t>算术性错误分析和修正</w:t>
      </w:r>
      <w:r>
        <w:rPr>
          <w:rFonts w:hint="eastAsia" w:ascii="宋体" w:hAnsi="宋体" w:eastAsia="宋体" w:cs="宋体"/>
          <w:color w:val="auto"/>
          <w:highlight w:val="none"/>
        </w:rPr>
        <w:t>按以下原则进行，修正的价格经投标人书面确认后具有约束力。投标人不接受修正价格的，其投标作否决投标处理。</w:t>
      </w:r>
    </w:p>
    <w:p>
      <w:pPr>
        <w:spacing w:line="400" w:lineRule="exact"/>
        <w:ind w:firstLine="420" w:firstLineChars="200"/>
        <w:rPr>
          <w:rFonts w:hint="eastAsia" w:ascii="宋体" w:hAnsi="宋体" w:eastAsia="宋体" w:cs="宋体"/>
          <w:color w:val="auto"/>
          <w:szCs w:val="21"/>
          <w:highlight w:val="none"/>
        </w:rPr>
      </w:pPr>
      <w:bookmarkStart w:id="247" w:name="_Toc152042383"/>
      <w:r>
        <w:rPr>
          <w:rFonts w:hint="eastAsia" w:ascii="宋体" w:hAnsi="宋体" w:eastAsia="宋体" w:cs="宋体"/>
          <w:color w:val="auto"/>
          <w:szCs w:val="21"/>
          <w:highlight w:val="none"/>
        </w:rPr>
        <w:t>（1）投标文件中的大写金额与小写金额不一致的，以大写金额为准；</w:t>
      </w:r>
      <w:bookmarkEnd w:id="247"/>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pPr>
        <w:pStyle w:val="5"/>
        <w:spacing w:before="0" w:after="0" w:line="400" w:lineRule="exact"/>
        <w:ind w:firstLine="103"/>
        <w:rPr>
          <w:rFonts w:hint="eastAsia" w:ascii="宋体" w:eastAsia="宋体" w:cs="宋体"/>
          <w:color w:val="auto"/>
          <w:sz w:val="21"/>
          <w:szCs w:val="21"/>
          <w:highlight w:val="none"/>
        </w:rPr>
      </w:pPr>
      <w:bookmarkStart w:id="248" w:name="_Toc152045606"/>
      <w:bookmarkStart w:id="249" w:name="_Toc530034640"/>
      <w:bookmarkStart w:id="250" w:name="_Toc459405373"/>
      <w:bookmarkStart w:id="251" w:name="_Toc458273017"/>
      <w:bookmarkStart w:id="252" w:name="_Toc247527631"/>
      <w:bookmarkStart w:id="253" w:name="_Toc458193415"/>
      <w:bookmarkStart w:id="254" w:name="_Toc459465220"/>
      <w:bookmarkStart w:id="255" w:name="_Toc458942624"/>
      <w:bookmarkStart w:id="256" w:name="_Toc458941069"/>
      <w:bookmarkStart w:id="257" w:name="_Toc26819"/>
      <w:bookmarkStart w:id="258" w:name="_Toc73785566"/>
      <w:bookmarkStart w:id="259" w:name="_Toc152042384"/>
      <w:bookmarkStart w:id="260" w:name="_Toc300835016"/>
      <w:bookmarkStart w:id="261" w:name="_Toc459816346"/>
      <w:bookmarkStart w:id="262" w:name="_Toc459816638"/>
      <w:bookmarkStart w:id="263" w:name="_Toc65237885"/>
      <w:bookmarkStart w:id="264" w:name="_Toc465968714"/>
      <w:bookmarkStart w:id="265" w:name="_Toc530034826"/>
      <w:bookmarkStart w:id="266" w:name="_Toc465007325"/>
      <w:bookmarkStart w:id="267" w:name="_Toc144974573"/>
      <w:bookmarkStart w:id="268" w:name="_Toc458274067"/>
      <w:bookmarkStart w:id="269" w:name="_Toc247514030"/>
      <w:bookmarkStart w:id="270" w:name="_Toc453749422"/>
      <w:bookmarkStart w:id="271" w:name="_Toc453700489"/>
      <w:bookmarkStart w:id="272" w:name="_Toc472870406"/>
      <w:r>
        <w:rPr>
          <w:rFonts w:hint="eastAsia" w:ascii="宋体" w:eastAsia="宋体" w:cs="宋体"/>
          <w:color w:val="auto"/>
          <w:sz w:val="21"/>
          <w:szCs w:val="21"/>
          <w:highlight w:val="none"/>
        </w:rPr>
        <w:t>3.2 详细评审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3.2.1评标委员会按本章第2.2 款规定的量化因素和分值进行打分，并计算出综合评估得分。</w:t>
      </w:r>
    </w:p>
    <w:p>
      <w:pPr>
        <w:numPr>
          <w:ilvl w:val="0"/>
          <w:numId w:val="9"/>
        </w:num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按本章第2.2.1（1）目规定的评审因素和分值分别对技术标中的设计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进行评审计分，评标委员会所有成员的算术平均值乘以本评标办法前附表中规定的相应权数计算出设计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得分，记录为A；</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（2）按本章第2.2.1（2）目规定的评审因素和分值分别对</w:t>
      </w:r>
      <w:r>
        <w:rPr>
          <w:rFonts w:hint="eastAsia" w:ascii="宋体" w:hAnsi="宋体" w:eastAsia="宋体" w:cs="宋体"/>
          <w:color w:val="auto"/>
          <w:szCs w:val="21"/>
          <w:highlight w:val="none"/>
          <w:lang w:val="en-US" w:eastAsia="zh-CN"/>
        </w:rPr>
        <w:t>实施方案</w:t>
      </w:r>
      <w:r>
        <w:rPr>
          <w:rFonts w:hint="eastAsia" w:ascii="宋体" w:hAnsi="宋体" w:eastAsia="宋体" w:cs="宋体"/>
          <w:color w:val="auto"/>
          <w:szCs w:val="21"/>
          <w:highlight w:val="none"/>
        </w:rPr>
        <w:t>进行评审计分，评标委员会所有成员的算术平均值乘以本评标办法前附表中规定的相应权数计算出</w:t>
      </w:r>
      <w:r>
        <w:rPr>
          <w:rFonts w:hint="eastAsia" w:ascii="宋体" w:hAnsi="宋体" w:eastAsia="宋体" w:cs="宋体"/>
          <w:color w:val="auto"/>
          <w:szCs w:val="21"/>
          <w:highlight w:val="none"/>
          <w:lang w:val="en-US" w:eastAsia="zh-CN"/>
        </w:rPr>
        <w:t>实施方案</w:t>
      </w:r>
      <w:r>
        <w:rPr>
          <w:rFonts w:hint="eastAsia" w:ascii="宋体" w:hAnsi="宋体" w:eastAsia="宋体" w:cs="宋体"/>
          <w:color w:val="auto"/>
          <w:szCs w:val="21"/>
          <w:highlight w:val="none"/>
        </w:rPr>
        <w:t>得分，记录为B；</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（3）按本章第2.2.1（3）目规定的评审因素和分值由评标委员会全体成员集体评议对资信业绩进行评审计分，所得分数乘以本评标办法前附表中规定的相应权数计算出资信业绩得分，记录为C；</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（3）按本章第2.2.1（4）目规定的评审因素和分值由评标委员会全体成员集体对投标报价进行评审计分，所得分数乘以本评标办法前附表中规定的相应权数计算出投标报价得分，记录为D；</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投标人得分=A+B+C+D。</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pStyle w:val="5"/>
        <w:spacing w:before="0" w:after="0" w:line="360" w:lineRule="exact"/>
        <w:ind w:firstLine="103"/>
        <w:rPr>
          <w:rFonts w:hint="eastAsia" w:ascii="宋体" w:eastAsia="宋体" w:cs="宋体"/>
          <w:color w:val="auto"/>
          <w:sz w:val="21"/>
          <w:szCs w:val="21"/>
          <w:highlight w:val="none"/>
        </w:rPr>
      </w:pPr>
      <w:bookmarkStart w:id="273" w:name="_Toc144974575"/>
      <w:bookmarkStart w:id="274" w:name="_Toc459465221"/>
      <w:bookmarkStart w:id="275" w:name="_Toc247527632"/>
      <w:bookmarkStart w:id="276" w:name="_Toc458942625"/>
      <w:bookmarkStart w:id="277" w:name="_Toc152045607"/>
      <w:bookmarkStart w:id="278" w:name="_Toc152042385"/>
      <w:bookmarkStart w:id="279" w:name="_Toc458193416"/>
      <w:bookmarkStart w:id="280" w:name="_Toc530034827"/>
      <w:bookmarkStart w:id="281" w:name="_Toc458941070"/>
      <w:bookmarkStart w:id="282" w:name="_Toc459405374"/>
      <w:bookmarkStart w:id="283" w:name="_Toc15746"/>
      <w:bookmarkStart w:id="284" w:name="_Toc465968715"/>
      <w:bookmarkStart w:id="285" w:name="_Toc472870407"/>
      <w:bookmarkStart w:id="286" w:name="_Toc453749423"/>
      <w:bookmarkStart w:id="287" w:name="_Toc459816347"/>
      <w:bookmarkStart w:id="288" w:name="_Toc530034641"/>
      <w:bookmarkStart w:id="289" w:name="_Toc300835017"/>
      <w:bookmarkStart w:id="290" w:name="_Toc465007326"/>
      <w:bookmarkStart w:id="291" w:name="_Toc459816639"/>
      <w:bookmarkStart w:id="292" w:name="_Toc65237886"/>
      <w:bookmarkStart w:id="293" w:name="_Toc73785567"/>
      <w:bookmarkStart w:id="294" w:name="_Toc458273018"/>
      <w:bookmarkStart w:id="295" w:name="_Toc458274068"/>
      <w:bookmarkStart w:id="296" w:name="_Toc247514031"/>
      <w:bookmarkStart w:id="297" w:name="_Toc453700490"/>
      <w:r>
        <w:rPr>
          <w:rFonts w:hint="eastAsia" w:ascii="宋体" w:eastAsia="宋体" w:cs="宋体"/>
          <w:color w:val="auto"/>
          <w:sz w:val="21"/>
          <w:szCs w:val="21"/>
          <w:highlight w:val="none"/>
        </w:rPr>
        <w:t>3.3 投标文件的澄清</w:t>
      </w:r>
      <w:bookmarkEnd w:id="273"/>
      <w:r>
        <w:rPr>
          <w:rFonts w:hint="eastAsia" w:ascii="宋体" w:eastAsia="宋体" w:cs="宋体"/>
          <w:color w:val="auto"/>
          <w:sz w:val="21"/>
          <w:szCs w:val="21"/>
          <w:highlight w:val="none"/>
        </w:rPr>
        <w:t>和补正</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3.3.2澄清、说明和补正不得改变投标文件的实质性内容（算术性错误修正的除外）。投标人的书面澄清、说明和补正属于投标文件的组成部分。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3.3.3评标委员会对投标人提交的澄清、说明或补正有疑问的，可以要求投标人进一步澄清、说明或补正，直至满足评标委员会的要求。</w:t>
      </w:r>
    </w:p>
    <w:p>
      <w:pPr>
        <w:pStyle w:val="5"/>
        <w:spacing w:before="0" w:after="0" w:line="360" w:lineRule="exact"/>
        <w:ind w:firstLine="103"/>
        <w:rPr>
          <w:rFonts w:hint="eastAsia" w:ascii="宋体" w:eastAsia="宋体" w:cs="宋体"/>
          <w:color w:val="auto"/>
          <w:sz w:val="21"/>
          <w:szCs w:val="21"/>
          <w:highlight w:val="none"/>
        </w:rPr>
      </w:pPr>
      <w:bookmarkStart w:id="298" w:name="_Toc530034642"/>
      <w:bookmarkStart w:id="299" w:name="_Toc247527633"/>
      <w:bookmarkStart w:id="300" w:name="_Toc458273019"/>
      <w:bookmarkStart w:id="301" w:name="_Toc472870408"/>
      <w:bookmarkStart w:id="302" w:name="_Toc459405375"/>
      <w:bookmarkStart w:id="303" w:name="_Toc453700491"/>
      <w:bookmarkStart w:id="304" w:name="_Toc300835018"/>
      <w:bookmarkStart w:id="305" w:name="_Toc144974576"/>
      <w:bookmarkStart w:id="306" w:name="_Toc459465222"/>
      <w:bookmarkStart w:id="307" w:name="_Toc247514032"/>
      <w:bookmarkStart w:id="308" w:name="_Toc458941071"/>
      <w:bookmarkStart w:id="309" w:name="_Toc453749424"/>
      <w:bookmarkStart w:id="310" w:name="_Toc459816348"/>
      <w:bookmarkStart w:id="311" w:name="_Toc152045608"/>
      <w:bookmarkStart w:id="312" w:name="_Toc152042386"/>
      <w:bookmarkStart w:id="313" w:name="_Toc530034828"/>
      <w:bookmarkStart w:id="314" w:name="_Toc1932"/>
      <w:bookmarkStart w:id="315" w:name="_Toc65237887"/>
      <w:bookmarkStart w:id="316" w:name="_Toc73785568"/>
      <w:bookmarkStart w:id="317" w:name="_Toc458274069"/>
      <w:bookmarkStart w:id="318" w:name="_Toc458193417"/>
      <w:bookmarkStart w:id="319" w:name="_Toc465968716"/>
      <w:bookmarkStart w:id="320" w:name="_Toc459816640"/>
      <w:bookmarkStart w:id="321" w:name="_Toc458942626"/>
      <w:bookmarkStart w:id="322" w:name="_Toc465007327"/>
      <w:r>
        <w:rPr>
          <w:rFonts w:hint="eastAsia" w:ascii="宋体" w:eastAsia="宋体" w:cs="宋体"/>
          <w:color w:val="auto"/>
          <w:sz w:val="21"/>
          <w:szCs w:val="21"/>
          <w:highlight w:val="none"/>
        </w:rPr>
        <w:t>3.4 评标结果</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除第二章“投标人须知”前附表授权直接确定中标人外，评标委员会按照得分由高到低的顺序推荐中标候选人。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评标委员会完成评标后，应当向招标人提交书面评标报告。</w:t>
      </w:r>
    </w:p>
    <w:p>
      <w:pPr>
        <w:spacing w:line="400" w:lineRule="exact"/>
        <w:rPr>
          <w:rFonts w:hint="eastAsia" w:ascii="宋体" w:hAnsi="宋体" w:eastAsia="宋体" w:cs="宋体"/>
          <w:color w:val="auto"/>
          <w:szCs w:val="21"/>
          <w:highlight w:val="none"/>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jc w:val="left"/>
        <w:rPr>
          <w:color w:val="auto"/>
          <w:highlight w:val="none"/>
        </w:rPr>
      </w:pPr>
      <w:bookmarkStart w:id="323" w:name="_Toc300678104"/>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20"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spacing w:line="360" w:lineRule="auto"/>
        <w:rPr>
          <w:rFonts w:eastAsia="黑体"/>
          <w:color w:val="auto"/>
          <w:sz w:val="24"/>
          <w:highlight w:val="none"/>
        </w:rPr>
      </w:pPr>
    </w:p>
    <w:p>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color w:val="auto"/>
          <w:sz w:val="24"/>
          <w:highlight w:val="none"/>
        </w:rPr>
      </w:pPr>
      <w:r>
        <w:rPr>
          <w:rFonts w:eastAsia="黑体"/>
          <w:color w:val="auto"/>
          <w:sz w:val="24"/>
          <w:highlight w:val="none"/>
        </w:rPr>
        <w:t>1.基本程序</w:t>
      </w:r>
    </w:p>
    <w:p>
      <w:pPr>
        <w:spacing w:line="360" w:lineRule="auto"/>
        <w:ind w:firstLine="420" w:firstLineChars="200"/>
        <w:rPr>
          <w:color w:val="auto"/>
          <w:highlight w:val="none"/>
        </w:rPr>
      </w:pPr>
      <w:r>
        <w:rPr>
          <w:color w:val="auto"/>
          <w:highlight w:val="none"/>
        </w:rPr>
        <w:t>评标活动将按以下五个步骤进行：</w:t>
      </w:r>
    </w:p>
    <w:p>
      <w:pPr>
        <w:spacing w:line="360" w:lineRule="auto"/>
        <w:ind w:firstLine="420" w:firstLineChars="200"/>
        <w:rPr>
          <w:color w:val="auto"/>
          <w:highlight w:val="none"/>
        </w:rPr>
      </w:pPr>
      <w:r>
        <w:rPr>
          <w:color w:val="auto"/>
          <w:highlight w:val="none"/>
        </w:rPr>
        <w:t>（1）评标准备；</w:t>
      </w:r>
    </w:p>
    <w:p>
      <w:pPr>
        <w:spacing w:line="360" w:lineRule="auto"/>
        <w:ind w:firstLine="420" w:firstLineChars="200"/>
        <w:rPr>
          <w:color w:val="auto"/>
          <w:highlight w:val="none"/>
        </w:rPr>
      </w:pPr>
      <w:r>
        <w:rPr>
          <w:color w:val="auto"/>
          <w:highlight w:val="none"/>
        </w:rPr>
        <w:t>（2）初步评审：</w:t>
      </w:r>
    </w:p>
    <w:p>
      <w:pPr>
        <w:spacing w:line="360" w:lineRule="auto"/>
        <w:ind w:firstLine="420" w:firstLineChars="200"/>
        <w:rPr>
          <w:color w:val="auto"/>
          <w:highlight w:val="none"/>
        </w:rPr>
      </w:pPr>
      <w:r>
        <w:rPr>
          <w:color w:val="auto"/>
          <w:highlight w:val="none"/>
        </w:rPr>
        <w:t>（3）详细评审；</w:t>
      </w:r>
    </w:p>
    <w:p>
      <w:pPr>
        <w:spacing w:line="360" w:lineRule="auto"/>
        <w:ind w:firstLine="420" w:firstLineChars="200"/>
        <w:rPr>
          <w:color w:val="auto"/>
          <w:highlight w:val="none"/>
        </w:rPr>
      </w:pPr>
      <w:r>
        <w:rPr>
          <w:color w:val="auto"/>
          <w:highlight w:val="none"/>
        </w:rPr>
        <w:t>（4）澄清、说明或补正；</w:t>
      </w:r>
    </w:p>
    <w:p>
      <w:pPr>
        <w:spacing w:line="360" w:lineRule="auto"/>
        <w:ind w:firstLine="420" w:firstLineChars="200"/>
        <w:rPr>
          <w:color w:val="auto"/>
          <w:highlight w:val="none"/>
        </w:rPr>
      </w:pPr>
      <w:r>
        <w:rPr>
          <w:color w:val="auto"/>
          <w:highlight w:val="none"/>
        </w:rPr>
        <w:t>（5）推荐中标候选人及提交评标报告。</w:t>
      </w:r>
    </w:p>
    <w:p>
      <w:pPr>
        <w:spacing w:line="360" w:lineRule="auto"/>
        <w:ind w:firstLine="240" w:firstLineChars="100"/>
        <w:rPr>
          <w:rFonts w:eastAsia="黑体"/>
          <w:color w:val="auto"/>
          <w:sz w:val="24"/>
          <w:highlight w:val="none"/>
        </w:rPr>
      </w:pPr>
      <w:r>
        <w:rPr>
          <w:rFonts w:eastAsia="黑体"/>
          <w:color w:val="auto"/>
          <w:sz w:val="24"/>
          <w:highlight w:val="none"/>
        </w:rPr>
        <w:t>2.评标准备</w:t>
      </w:r>
    </w:p>
    <w:p>
      <w:pPr>
        <w:spacing w:line="360" w:lineRule="auto"/>
        <w:ind w:firstLine="420" w:firstLineChars="200"/>
        <w:rPr>
          <w:color w:val="auto"/>
          <w:szCs w:val="21"/>
          <w:highlight w:val="none"/>
        </w:rPr>
      </w:pPr>
      <w:r>
        <w:rPr>
          <w:color w:val="auto"/>
          <w:szCs w:val="21"/>
          <w:highlight w:val="none"/>
        </w:rPr>
        <w:t>2.1 评标委员会成员签到</w:t>
      </w:r>
    </w:p>
    <w:p>
      <w:pPr>
        <w:spacing w:line="360" w:lineRule="auto"/>
        <w:ind w:firstLine="420" w:firstLineChars="200"/>
        <w:rPr>
          <w:color w:val="auto"/>
          <w:highlight w:val="none"/>
        </w:rPr>
      </w:pPr>
      <w:r>
        <w:rPr>
          <w:color w:val="auto"/>
          <w:highlight w:val="none"/>
        </w:rPr>
        <w:t>评标委员会成员到达评标现场时应在签到表上签到以证明其出席。</w:t>
      </w:r>
    </w:p>
    <w:p>
      <w:pPr>
        <w:spacing w:line="360" w:lineRule="auto"/>
        <w:ind w:firstLine="420" w:firstLineChars="200"/>
        <w:rPr>
          <w:color w:val="auto"/>
          <w:szCs w:val="21"/>
          <w:highlight w:val="none"/>
        </w:rPr>
      </w:pPr>
      <w:r>
        <w:rPr>
          <w:color w:val="auto"/>
          <w:szCs w:val="21"/>
          <w:highlight w:val="none"/>
        </w:rPr>
        <w:t>2.2 评标委员会的分工</w:t>
      </w:r>
    </w:p>
    <w:p>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spacing w:line="360" w:lineRule="auto"/>
        <w:ind w:firstLine="420" w:firstLineChars="200"/>
        <w:rPr>
          <w:color w:val="auto"/>
          <w:szCs w:val="21"/>
          <w:highlight w:val="none"/>
        </w:rPr>
      </w:pPr>
      <w:r>
        <w:rPr>
          <w:color w:val="auto"/>
          <w:szCs w:val="21"/>
          <w:highlight w:val="none"/>
        </w:rPr>
        <w:t>2.3 熟悉文件资料</w:t>
      </w:r>
    </w:p>
    <w:p>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质量标准和工期要求等，掌握评标标准和方法。未在招标文件中规定的标准和方法不得作为评标的依据。</w:t>
      </w:r>
    </w:p>
    <w:p>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hint="eastAsia"/>
          <w:color w:val="auto"/>
          <w:szCs w:val="21"/>
          <w:highlight w:val="none"/>
        </w:rPr>
      </w:pPr>
      <w:r>
        <w:rPr>
          <w:color w:val="auto"/>
          <w:szCs w:val="21"/>
          <w:highlight w:val="none"/>
        </w:rPr>
        <w:t xml:space="preserve">2.4 </w:t>
      </w:r>
      <w:r>
        <w:rPr>
          <w:rFonts w:hint="eastAsia"/>
          <w:color w:val="auto"/>
          <w:szCs w:val="21"/>
          <w:highlight w:val="none"/>
        </w:rPr>
        <w:t>技术标</w:t>
      </w:r>
    </w:p>
    <w:p>
      <w:pPr>
        <w:adjustRightInd w:val="0"/>
        <w:snapToGrid w:val="0"/>
        <w:spacing w:line="360" w:lineRule="auto"/>
        <w:ind w:firstLine="420" w:firstLineChars="200"/>
        <w:rPr>
          <w:color w:val="auto"/>
          <w:szCs w:val="21"/>
          <w:highlight w:val="none"/>
        </w:rPr>
      </w:pPr>
      <w:r>
        <w:rPr>
          <w:rFonts w:hint="eastAsia"/>
          <w:color w:val="auto"/>
          <w:szCs w:val="21"/>
          <w:highlight w:val="none"/>
        </w:rPr>
        <w:t>第二章投标人须知前附表要求对技术标采用“明标”评审方式。</w:t>
      </w:r>
    </w:p>
    <w:p>
      <w:pPr>
        <w:spacing w:line="360" w:lineRule="auto"/>
        <w:ind w:firstLine="210" w:firstLineChars="100"/>
        <w:rPr>
          <w:color w:val="auto"/>
          <w:szCs w:val="21"/>
          <w:highlight w:val="none"/>
        </w:rPr>
      </w:pPr>
      <w:r>
        <w:rPr>
          <w:color w:val="auto"/>
          <w:szCs w:val="21"/>
          <w:highlight w:val="none"/>
        </w:rPr>
        <w:t>2.5 对投标文件进行基础性数据分析和整理工作（以下简称：清标）</w:t>
      </w:r>
    </w:p>
    <w:p>
      <w:pPr>
        <w:spacing w:line="360" w:lineRule="auto"/>
        <w:ind w:firstLine="420" w:firstLineChars="200"/>
        <w:rPr>
          <w:color w:val="auto"/>
          <w:highlight w:val="none"/>
        </w:rPr>
      </w:pPr>
      <w:r>
        <w:rPr>
          <w:color w:val="auto"/>
          <w:highlight w:val="none"/>
        </w:rP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spacing w:line="360" w:lineRule="auto"/>
        <w:ind w:firstLine="420" w:firstLineChars="200"/>
        <w:rPr>
          <w:color w:val="auto"/>
          <w:highlight w:val="none"/>
        </w:rPr>
      </w:pPr>
      <w:r>
        <w:rPr>
          <w:color w:val="auto"/>
          <w:highlight w:val="none"/>
        </w:rPr>
        <w:t>2.5.2 投标人应当按照评标委员会的要求，提供书面澄清说明资料并按要求进行密封，在规定的时间递交到指定地点，由评标委员会开启。</w:t>
      </w:r>
    </w:p>
    <w:p>
      <w:pPr>
        <w:spacing w:line="360" w:lineRule="auto"/>
        <w:rPr>
          <w:rFonts w:eastAsia="黑体"/>
          <w:color w:val="auto"/>
          <w:sz w:val="24"/>
          <w:highlight w:val="none"/>
        </w:rPr>
      </w:pPr>
      <w:r>
        <w:rPr>
          <w:rFonts w:eastAsia="黑体"/>
          <w:color w:val="auto"/>
          <w:sz w:val="24"/>
          <w:highlight w:val="none"/>
        </w:rPr>
        <w:t>3.初步评审</w:t>
      </w:r>
    </w:p>
    <w:p>
      <w:pPr>
        <w:spacing w:line="360" w:lineRule="auto"/>
        <w:ind w:firstLine="420" w:firstLineChars="200"/>
        <w:rPr>
          <w:color w:val="auto"/>
          <w:highlight w:val="none"/>
        </w:rPr>
      </w:pPr>
      <w:r>
        <w:rPr>
          <w:color w:val="auto"/>
          <w:highlight w:val="none"/>
        </w:rPr>
        <w:t>评标委员会依据评标办法的规定对投标文件进行初步评审。有一项不符合评审标准的，应当予以否决。</w:t>
      </w:r>
    </w:p>
    <w:p>
      <w:pPr>
        <w:spacing w:line="360" w:lineRule="auto"/>
        <w:ind w:firstLine="420" w:firstLineChars="200"/>
        <w:rPr>
          <w:color w:val="auto"/>
          <w:szCs w:val="21"/>
          <w:highlight w:val="none"/>
        </w:rPr>
      </w:pPr>
      <w:r>
        <w:rPr>
          <w:color w:val="auto"/>
          <w:szCs w:val="21"/>
          <w:highlight w:val="none"/>
        </w:rPr>
        <w:t>3.1 形式评审</w:t>
      </w:r>
    </w:p>
    <w:p>
      <w:pPr>
        <w:spacing w:line="360" w:lineRule="auto"/>
        <w:ind w:firstLine="420" w:firstLineChars="200"/>
        <w:rPr>
          <w:color w:val="auto"/>
          <w:highlight w:val="none"/>
        </w:rPr>
      </w:pPr>
      <w:r>
        <w:rPr>
          <w:color w:val="auto"/>
          <w:highlight w:val="none"/>
        </w:rPr>
        <w:t>评标委员会根据评标办法前附表中规定的评审因素和评审标准，对投标人的投标文件进行形式评审。</w:t>
      </w:r>
    </w:p>
    <w:p>
      <w:pPr>
        <w:spacing w:line="360" w:lineRule="auto"/>
        <w:ind w:firstLine="420" w:firstLineChars="200"/>
        <w:rPr>
          <w:color w:val="auto"/>
          <w:szCs w:val="21"/>
          <w:highlight w:val="none"/>
        </w:rPr>
      </w:pPr>
      <w:r>
        <w:rPr>
          <w:color w:val="auto"/>
          <w:szCs w:val="21"/>
          <w:highlight w:val="none"/>
        </w:rPr>
        <w:t>3.2 资格评审</w:t>
      </w:r>
    </w:p>
    <w:p>
      <w:pPr>
        <w:spacing w:line="360" w:lineRule="auto"/>
        <w:ind w:firstLine="420" w:firstLineChars="200"/>
        <w:rPr>
          <w:color w:val="auto"/>
          <w:highlight w:val="none"/>
        </w:rPr>
      </w:pPr>
      <w:r>
        <w:rPr>
          <w:color w:val="auto"/>
          <w:highlight w:val="none"/>
        </w:rPr>
        <w:sym w:font="Wingdings 2" w:char="0052"/>
      </w:r>
      <w:r>
        <w:rPr>
          <w:color w:val="auto"/>
          <w:highlight w:val="none"/>
        </w:rPr>
        <w:t>3.2.1 未进行资格预审的，由评标委员会根据评标办法前附表规定的评审因素和评审标准，对投标人的投标文件进行资格评审。</w:t>
      </w:r>
    </w:p>
    <w:p>
      <w:pPr>
        <w:spacing w:line="360" w:lineRule="auto"/>
        <w:ind w:firstLine="420" w:firstLineChars="200"/>
        <w:rPr>
          <w:color w:val="auto"/>
          <w:highlight w:val="none"/>
        </w:rPr>
      </w:pPr>
      <w:r>
        <w:rPr>
          <w:color w:val="auto"/>
          <w:highlight w:val="none"/>
        </w:rPr>
        <w:sym w:font="Wingdings 2" w:char="00A3"/>
      </w:r>
      <w:r>
        <w:rPr>
          <w:color w:val="auto"/>
          <w:highlight w:val="none"/>
        </w:rPr>
        <w:t>3.2.1已进行资格预审的，评标委员会一般不再对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spacing w:line="360" w:lineRule="auto"/>
        <w:ind w:firstLine="420" w:firstLineChars="200"/>
        <w:rPr>
          <w:rFonts w:hint="eastAsia"/>
          <w:color w:val="auto"/>
          <w:szCs w:val="21"/>
          <w:highlight w:val="none"/>
        </w:rPr>
      </w:pPr>
      <w:r>
        <w:rPr>
          <w:rFonts w:hint="eastAsia"/>
          <w:bCs/>
          <w:color w:val="auto"/>
          <w:szCs w:val="21"/>
          <w:highlight w:val="none"/>
        </w:rPr>
        <w:t>3.2.2资格评审过程中，评标委员会发现投标人提交的资格审查资料不全时，应当听取该投标人的说明。</w:t>
      </w:r>
      <w:r>
        <w:rPr>
          <w:rFonts w:hint="eastAsia"/>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3.3 响应性评审</w:t>
      </w:r>
    </w:p>
    <w:p>
      <w:pPr>
        <w:spacing w:line="360" w:lineRule="auto"/>
        <w:ind w:firstLine="420" w:firstLineChars="200"/>
        <w:rPr>
          <w:color w:val="auto"/>
          <w:highlight w:val="none"/>
        </w:rPr>
      </w:pPr>
      <w:r>
        <w:rPr>
          <w:color w:val="auto"/>
          <w:highlight w:val="none"/>
        </w:rPr>
        <w:t>3.3.1 评标委员会根据评标办法前附表中规定的评审因素和评审标准，对投标人的投标文件进行响应性评审。</w:t>
      </w:r>
    </w:p>
    <w:p>
      <w:pPr>
        <w:spacing w:line="360" w:lineRule="auto"/>
        <w:ind w:firstLine="420" w:firstLineChars="200"/>
        <w:rPr>
          <w:color w:val="auto"/>
          <w:highlight w:val="none"/>
        </w:rPr>
      </w:pPr>
      <w:r>
        <w:rPr>
          <w:color w:val="auto"/>
          <w:highlight w:val="none"/>
        </w:rPr>
        <w:t>3.3.2 招标文件设定了最高投标限价的，投标人投标价格不得超出（不含等于）“投标人须知”前附表载明的最高投标限价。</w:t>
      </w:r>
    </w:p>
    <w:p>
      <w:pPr>
        <w:spacing w:line="360" w:lineRule="auto"/>
        <w:ind w:firstLine="420" w:firstLineChars="200"/>
        <w:rPr>
          <w:color w:val="auto"/>
          <w:szCs w:val="21"/>
          <w:highlight w:val="none"/>
        </w:rPr>
      </w:pPr>
      <w:r>
        <w:rPr>
          <w:color w:val="auto"/>
          <w:szCs w:val="21"/>
          <w:highlight w:val="none"/>
        </w:rPr>
        <w:t>3.4 算术错误修正</w:t>
      </w:r>
    </w:p>
    <w:p>
      <w:pPr>
        <w:spacing w:line="348" w:lineRule="auto"/>
        <w:ind w:firstLine="420" w:firstLineChars="200"/>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按以下原则进行，修正的价格经投标人书面确认后具有约束力。投标人不接受修正价格的，应当否决其投标。</w:t>
      </w:r>
    </w:p>
    <w:p>
      <w:pPr>
        <w:spacing w:line="348" w:lineRule="auto"/>
        <w:ind w:firstLine="420" w:firstLineChars="200"/>
        <w:rPr>
          <w:color w:val="auto"/>
          <w:highlight w:val="none"/>
        </w:rPr>
      </w:pPr>
      <w:r>
        <w:rPr>
          <w:color w:val="auto"/>
          <w:highlight w:val="none"/>
        </w:rPr>
        <w:t>（1）投标文件中的大写金额与小写金额不一致的，以大写金额为准；</w:t>
      </w:r>
    </w:p>
    <w:p>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pPr>
        <w:spacing w:line="360" w:lineRule="auto"/>
        <w:ind w:firstLine="420" w:firstLineChars="200"/>
        <w:rPr>
          <w:color w:val="auto"/>
          <w:highlight w:val="none"/>
        </w:rPr>
      </w:pPr>
      <w:r>
        <w:rPr>
          <w:color w:val="auto"/>
          <w:highlight w:val="none"/>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spacing w:line="360" w:lineRule="auto"/>
        <w:ind w:firstLine="420" w:firstLineChars="200"/>
        <w:rPr>
          <w:color w:val="auto"/>
          <w:szCs w:val="21"/>
          <w:highlight w:val="none"/>
        </w:rPr>
      </w:pPr>
      <w:r>
        <w:rPr>
          <w:color w:val="auto"/>
          <w:szCs w:val="21"/>
          <w:highlight w:val="none"/>
        </w:rPr>
        <w:t>3.5 澄清、说明或补正</w:t>
      </w:r>
    </w:p>
    <w:p>
      <w:pPr>
        <w:spacing w:line="360" w:lineRule="auto"/>
        <w:ind w:firstLine="420" w:firstLineChars="200"/>
        <w:rPr>
          <w:color w:val="auto"/>
          <w:highlight w:val="none"/>
        </w:rPr>
      </w:pPr>
      <w:r>
        <w:rPr>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评标办法正文部分规定进行。</w:t>
      </w:r>
    </w:p>
    <w:p>
      <w:pPr>
        <w:adjustRightInd w:val="0"/>
        <w:snapToGrid w:val="0"/>
        <w:spacing w:line="360" w:lineRule="auto"/>
        <w:ind w:firstLine="420" w:firstLineChars="200"/>
        <w:rPr>
          <w:color w:val="auto"/>
          <w:szCs w:val="21"/>
          <w:highlight w:val="none"/>
        </w:rPr>
      </w:pPr>
      <w:r>
        <w:rPr>
          <w:rFonts w:hint="eastAsia"/>
          <w:color w:val="auto"/>
          <w:szCs w:val="21"/>
          <w:highlight w:val="none"/>
        </w:rPr>
        <w:t>评标委员会不得要求投标人对技术标部分进行澄清、说明或者补正。</w:t>
      </w:r>
    </w:p>
    <w:p>
      <w:pPr>
        <w:spacing w:line="360" w:lineRule="auto"/>
        <w:rPr>
          <w:color w:val="auto"/>
          <w:szCs w:val="21"/>
          <w:highlight w:val="none"/>
        </w:rPr>
      </w:pPr>
      <w:r>
        <w:rPr>
          <w:rFonts w:hint="eastAsia"/>
          <w:color w:val="auto"/>
          <w:highlight w:val="none"/>
        </w:rPr>
        <w:t xml:space="preserve">    </w:t>
      </w:r>
      <w:r>
        <w:rPr>
          <w:color w:val="auto"/>
          <w:szCs w:val="21"/>
          <w:highlight w:val="none"/>
        </w:rPr>
        <w:t>3.6是否予以否决投标</w:t>
      </w:r>
    </w:p>
    <w:p>
      <w:pPr>
        <w:spacing w:line="360" w:lineRule="auto"/>
        <w:ind w:firstLine="420" w:firstLineChars="200"/>
        <w:rPr>
          <w:color w:val="auto"/>
          <w:highlight w:val="none"/>
        </w:rPr>
      </w:pPr>
      <w:r>
        <w:rPr>
          <w:color w:val="auto"/>
          <w:highlight w:val="none"/>
        </w:rPr>
        <w:t>3.6.1评标委员会在评标过程中，依据第二章附件2-2中规定的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spacing w:line="360" w:lineRule="auto"/>
        <w:ind w:firstLine="420" w:firstLineChars="200"/>
        <w:rPr>
          <w:color w:val="auto"/>
          <w:highlight w:val="none"/>
        </w:rPr>
      </w:pPr>
      <w:r>
        <w:rPr>
          <w:color w:val="auto"/>
          <w:highlight w:val="none"/>
        </w:rPr>
        <w:t>3.6.2 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条款相互抵触和矛盾时，以第二章“投标人须知”和</w:t>
      </w:r>
      <w:r>
        <w:rPr>
          <w:rFonts w:hint="eastAsia"/>
          <w:color w:val="auto"/>
          <w:highlight w:val="none"/>
        </w:rPr>
        <w:t>本章</w:t>
      </w:r>
      <w:r>
        <w:rPr>
          <w:color w:val="auto"/>
          <w:highlight w:val="none"/>
        </w:rPr>
        <w:t>的规定为准。</w:t>
      </w:r>
    </w:p>
    <w:p>
      <w:pPr>
        <w:spacing w:line="360" w:lineRule="auto"/>
        <w:rPr>
          <w:rFonts w:eastAsia="黑体"/>
          <w:color w:val="auto"/>
          <w:sz w:val="24"/>
          <w:highlight w:val="none"/>
        </w:rPr>
      </w:pPr>
      <w:r>
        <w:rPr>
          <w:rFonts w:hint="eastAsia"/>
          <w:color w:val="auto"/>
          <w:highlight w:val="none"/>
        </w:rPr>
        <w:t xml:space="preserve"> </w:t>
      </w:r>
      <w:r>
        <w:rPr>
          <w:rFonts w:eastAsia="黑体"/>
          <w:color w:val="auto"/>
          <w:sz w:val="24"/>
          <w:highlight w:val="none"/>
        </w:rPr>
        <w:t>4.详细评审</w:t>
      </w:r>
    </w:p>
    <w:p>
      <w:pPr>
        <w:spacing w:line="440" w:lineRule="exact"/>
        <w:ind w:firstLine="420" w:firstLineChars="200"/>
        <w:rPr>
          <w:color w:val="auto"/>
          <w:highlight w:val="none"/>
        </w:rPr>
      </w:pPr>
      <w:r>
        <w:rPr>
          <w:color w:val="auto"/>
          <w:highlight w:val="none"/>
        </w:rPr>
        <w:t>初步评审合格的投标人进入详细评审。</w:t>
      </w:r>
      <w:r>
        <w:rPr>
          <w:color w:val="auto"/>
          <w:szCs w:val="21"/>
          <w:highlight w:val="none"/>
        </w:rPr>
        <w:t>评标委员会按照规定的评审因素和标准进行评审计分，并计算出评标总得分。</w:t>
      </w:r>
    </w:p>
    <w:p>
      <w:pPr>
        <w:spacing w:line="440" w:lineRule="exact"/>
        <w:ind w:firstLine="420" w:firstLineChars="200"/>
        <w:rPr>
          <w:color w:val="auto"/>
          <w:szCs w:val="21"/>
          <w:highlight w:val="none"/>
        </w:rPr>
      </w:pPr>
      <w:r>
        <w:rPr>
          <w:color w:val="auto"/>
          <w:szCs w:val="21"/>
          <w:highlight w:val="none"/>
        </w:rPr>
        <w:t>4.1 详细评审的程序</w:t>
      </w:r>
    </w:p>
    <w:p>
      <w:pPr>
        <w:spacing w:line="440" w:lineRule="exact"/>
        <w:ind w:firstLine="420" w:firstLineChars="200"/>
        <w:rPr>
          <w:color w:val="auto"/>
          <w:szCs w:val="21"/>
          <w:highlight w:val="none"/>
        </w:rPr>
      </w:pPr>
      <w:r>
        <w:rPr>
          <w:color w:val="auto"/>
          <w:szCs w:val="21"/>
          <w:highlight w:val="none"/>
        </w:rPr>
        <w:t>4.1.1 评标委员会按照规定进行详细评审</w:t>
      </w:r>
    </w:p>
    <w:p>
      <w:pPr>
        <w:tabs>
          <w:tab w:val="left" w:pos="312"/>
        </w:tabs>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设计方案</w:t>
      </w:r>
      <w:r>
        <w:rPr>
          <w:color w:val="auto"/>
          <w:szCs w:val="21"/>
          <w:highlight w:val="none"/>
        </w:rPr>
        <w:t>评审计分。</w:t>
      </w:r>
    </w:p>
    <w:p>
      <w:pPr>
        <w:pStyle w:val="15"/>
        <w:ind w:left="840" w:hanging="420"/>
        <w:rPr>
          <w:rFonts w:hint="eastAsia"/>
          <w:color w:val="auto"/>
          <w:highlight w:val="none"/>
        </w:rPr>
      </w:pPr>
      <w:r>
        <w:rPr>
          <w:rFonts w:hint="eastAsia"/>
          <w:color w:val="auto"/>
          <w:highlight w:val="none"/>
        </w:rPr>
        <w:t>（2）</w:t>
      </w:r>
      <w:r>
        <w:rPr>
          <w:rFonts w:hint="eastAsia"/>
          <w:color w:val="auto"/>
          <w:sz w:val="22"/>
          <w:szCs w:val="21"/>
          <w:highlight w:val="none"/>
        </w:rPr>
        <w:t>实施方案评审计分</w:t>
      </w:r>
    </w:p>
    <w:p>
      <w:pPr>
        <w:tabs>
          <w:tab w:val="left" w:pos="312"/>
        </w:tabs>
        <w:spacing w:line="440" w:lineRule="exact"/>
        <w:ind w:firstLine="420" w:firstLineChars="200"/>
        <w:rPr>
          <w:bCs/>
          <w:color w:val="auto"/>
          <w:szCs w:val="21"/>
          <w:highlight w:val="none"/>
        </w:rPr>
      </w:pPr>
      <w:r>
        <w:rPr>
          <w:color w:val="auto"/>
          <w:szCs w:val="21"/>
          <w:highlight w:val="none"/>
        </w:rPr>
        <w:t>（3）</w:t>
      </w:r>
      <w:r>
        <w:rPr>
          <w:rFonts w:hint="eastAsia"/>
          <w:color w:val="auto"/>
          <w:szCs w:val="21"/>
          <w:highlight w:val="none"/>
        </w:rPr>
        <w:t>资信业绩</w:t>
      </w:r>
      <w:r>
        <w:rPr>
          <w:color w:val="auto"/>
          <w:szCs w:val="21"/>
          <w:highlight w:val="none"/>
        </w:rPr>
        <w:t>计分。</w:t>
      </w:r>
      <w:r>
        <w:rPr>
          <w:bCs/>
          <w:color w:val="auto"/>
          <w:szCs w:val="21"/>
          <w:highlight w:val="none"/>
        </w:rPr>
        <w:t>评审因素</w:t>
      </w:r>
      <w:r>
        <w:rPr>
          <w:rFonts w:hint="eastAsia"/>
          <w:bCs/>
          <w:color w:val="auto"/>
          <w:szCs w:val="21"/>
          <w:highlight w:val="none"/>
        </w:rPr>
        <w:t>由</w:t>
      </w:r>
      <w:r>
        <w:rPr>
          <w:bCs/>
          <w:color w:val="auto"/>
          <w:szCs w:val="21"/>
          <w:highlight w:val="none"/>
        </w:rPr>
        <w:t>评标委员会集体评议计分。</w:t>
      </w:r>
    </w:p>
    <w:p>
      <w:pPr>
        <w:adjustRightInd w:val="0"/>
        <w:snapToGrid w:val="0"/>
        <w:spacing w:line="440" w:lineRule="exact"/>
        <w:ind w:firstLine="420" w:firstLineChars="200"/>
        <w:rPr>
          <w:rFonts w:hint="eastAsia"/>
          <w:color w:val="auto"/>
          <w:szCs w:val="21"/>
          <w:highlight w:val="none"/>
        </w:rPr>
      </w:pPr>
      <w:r>
        <w:rPr>
          <w:color w:val="auto"/>
          <w:szCs w:val="21"/>
          <w:highlight w:val="none"/>
        </w:rPr>
        <w:t>（4）投标报价评审计分</w:t>
      </w:r>
      <w:r>
        <w:rPr>
          <w:rFonts w:hint="eastAsia"/>
          <w:color w:val="auto"/>
          <w:szCs w:val="21"/>
          <w:highlight w:val="none"/>
        </w:rPr>
        <w:t>。</w:t>
      </w:r>
    </w:p>
    <w:p>
      <w:pPr>
        <w:spacing w:line="440" w:lineRule="exact"/>
        <w:ind w:firstLine="420" w:firstLineChars="200"/>
        <w:rPr>
          <w:color w:val="auto"/>
          <w:szCs w:val="21"/>
          <w:highlight w:val="none"/>
        </w:rPr>
      </w:pPr>
      <w:r>
        <w:rPr>
          <w:color w:val="auto"/>
          <w:highlight w:val="none"/>
        </w:rPr>
        <w:t>对</w:t>
      </w:r>
      <w:r>
        <w:rPr>
          <w:color w:val="auto"/>
          <w:szCs w:val="21"/>
          <w:highlight w:val="none"/>
        </w:rPr>
        <w:t xml:space="preserve">投标总报价进行评审。 </w:t>
      </w:r>
    </w:p>
    <w:p>
      <w:pPr>
        <w:spacing w:line="440" w:lineRule="exact"/>
        <w:ind w:firstLine="420" w:firstLineChars="200"/>
        <w:rPr>
          <w:color w:val="auto"/>
          <w:szCs w:val="21"/>
          <w:highlight w:val="none"/>
        </w:rPr>
      </w:pPr>
      <w:r>
        <w:rPr>
          <w:color w:val="auto"/>
          <w:szCs w:val="21"/>
          <w:highlight w:val="none"/>
        </w:rPr>
        <w:t>按照评标办法前附表的规定计算“基准价”。</w:t>
      </w:r>
    </w:p>
    <w:p>
      <w:pPr>
        <w:adjustRightInd w:val="0"/>
        <w:snapToGrid w:val="0"/>
        <w:spacing w:before="48" w:beforeLines="20" w:line="440" w:lineRule="exact"/>
        <w:ind w:firstLine="420" w:firstLineChars="200"/>
        <w:rPr>
          <w:rFonts w:hint="eastAsia"/>
          <w:b/>
          <w:bCs/>
          <w:color w:val="auto"/>
          <w:kern w:val="0"/>
          <w:highlight w:val="none"/>
        </w:rPr>
      </w:pPr>
      <w:r>
        <w:rPr>
          <w:rFonts w:hint="eastAsia"/>
          <w:b/>
          <w:bCs/>
          <w:color w:val="auto"/>
          <w:kern w:val="0"/>
          <w:highlight w:val="none"/>
        </w:rPr>
        <w:t>对低于有效投标报价算术平均值的5%的投标报价，视为以低于成本报价竞争，该投标人报价为无效报价，应当否决其投标。</w:t>
      </w:r>
    </w:p>
    <w:p>
      <w:pPr>
        <w:adjustRightInd w:val="0"/>
        <w:snapToGrid w:val="0"/>
        <w:spacing w:before="48" w:beforeLines="20" w:line="440" w:lineRule="exact"/>
        <w:ind w:firstLine="420" w:firstLineChars="200"/>
        <w:rPr>
          <w:color w:val="auto"/>
          <w:szCs w:val="21"/>
          <w:highlight w:val="none"/>
        </w:rPr>
      </w:pPr>
      <w:r>
        <w:rPr>
          <w:color w:val="auto"/>
          <w:szCs w:val="21"/>
          <w:highlight w:val="none"/>
        </w:rPr>
        <w:t>按照评标办法前附表中规定的方法，计算各个</w:t>
      </w:r>
      <w:r>
        <w:rPr>
          <w:rFonts w:hint="eastAsia"/>
          <w:color w:val="auto"/>
          <w:szCs w:val="21"/>
          <w:highlight w:val="none"/>
        </w:rPr>
        <w:t>进入报价评审环节</w:t>
      </w:r>
      <w:r>
        <w:rPr>
          <w:color w:val="auto"/>
          <w:szCs w:val="21"/>
          <w:highlight w:val="none"/>
        </w:rPr>
        <w:t>并且经过评审认定为不低于其成本的投标报价的“偏差率”。</w:t>
      </w:r>
    </w:p>
    <w:p>
      <w:pPr>
        <w:adjustRightInd w:val="0"/>
        <w:snapToGrid w:val="0"/>
        <w:spacing w:before="48" w:beforeLines="20" w:line="440" w:lineRule="exact"/>
        <w:ind w:firstLine="420" w:firstLineChars="200"/>
        <w:rPr>
          <w:color w:val="auto"/>
          <w:szCs w:val="21"/>
          <w:highlight w:val="none"/>
        </w:rPr>
      </w:pPr>
      <w:r>
        <w:rPr>
          <w:color w:val="auto"/>
          <w:szCs w:val="21"/>
          <w:highlight w:val="none"/>
        </w:rPr>
        <w:t>按照评标办法前附表中规定的评分标准，对照投标报价的偏差率，分别对各个投标报价进行计分。</w:t>
      </w:r>
    </w:p>
    <w:p>
      <w:pPr>
        <w:spacing w:line="440" w:lineRule="exact"/>
        <w:ind w:firstLine="420" w:firstLineChars="200"/>
        <w:rPr>
          <w:color w:val="auto"/>
          <w:szCs w:val="21"/>
          <w:highlight w:val="none"/>
        </w:rPr>
      </w:pPr>
      <w:r>
        <w:rPr>
          <w:color w:val="auto"/>
          <w:szCs w:val="21"/>
          <w:highlight w:val="none"/>
        </w:rPr>
        <w:t>4.2 澄清、说明或补正</w:t>
      </w:r>
    </w:p>
    <w:p>
      <w:pPr>
        <w:adjustRightInd w:val="0"/>
        <w:snapToGrid w:val="0"/>
        <w:spacing w:line="440" w:lineRule="exact"/>
        <w:ind w:firstLine="420" w:firstLineChars="200"/>
        <w:rPr>
          <w:color w:val="auto"/>
          <w:szCs w:val="21"/>
          <w:highlight w:val="none"/>
        </w:rPr>
      </w:pPr>
      <w:r>
        <w:rPr>
          <w:color w:val="auto"/>
          <w:szCs w:val="21"/>
          <w:highlight w:val="none"/>
        </w:rPr>
        <w:t>在详细评审过程中，评标委员会应当就投标文件中不明确的内容要求投标人进行澄清、说明或者补正。投标人应当以书面形式予以澄清、说明或者补正。澄清、说明或补正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spacing w:line="440" w:lineRule="exact"/>
        <w:ind w:firstLine="420" w:firstLineChars="200"/>
        <w:rPr>
          <w:bCs/>
          <w:color w:val="auto"/>
          <w:szCs w:val="21"/>
          <w:highlight w:val="none"/>
        </w:rPr>
      </w:pPr>
      <w:r>
        <w:rPr>
          <w:bCs/>
          <w:color w:val="auto"/>
          <w:szCs w:val="21"/>
          <w:highlight w:val="none"/>
        </w:rPr>
        <w:t>4.3汇总评分结果</w:t>
      </w:r>
    </w:p>
    <w:p>
      <w:pPr>
        <w:adjustRightInd w:val="0"/>
        <w:snapToGrid w:val="0"/>
        <w:spacing w:line="440" w:lineRule="exact"/>
        <w:ind w:firstLine="420" w:firstLineChars="200"/>
        <w:rPr>
          <w:bCs/>
          <w:color w:val="auto"/>
          <w:szCs w:val="21"/>
          <w:highlight w:val="none"/>
        </w:rPr>
      </w:pPr>
      <w:r>
        <w:rPr>
          <w:bCs/>
          <w:color w:val="auto"/>
          <w:szCs w:val="21"/>
          <w:highlight w:val="none"/>
        </w:rPr>
        <w:t>详细评审工作全部结束后，汇总评审计分结果，并按照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p>
    <w:p>
      <w:pPr>
        <w:adjustRightInd w:val="0"/>
        <w:snapToGrid w:val="0"/>
        <w:spacing w:line="440" w:lineRule="exact"/>
        <w:ind w:firstLine="420" w:firstLineChars="200"/>
        <w:rPr>
          <w:color w:val="auto"/>
          <w:szCs w:val="21"/>
          <w:highlight w:val="none"/>
        </w:rPr>
      </w:pPr>
      <w:r>
        <w:rPr>
          <w:color w:val="auto"/>
          <w:szCs w:val="21"/>
          <w:highlight w:val="none"/>
        </w:rPr>
        <w:t>4.4评分分值计算保留小数点后两位，小数点后第三位“四舍五入”。</w:t>
      </w:r>
    </w:p>
    <w:p>
      <w:pPr>
        <w:adjustRightInd w:val="0"/>
        <w:snapToGrid w:val="0"/>
        <w:spacing w:before="48" w:beforeLines="20" w:line="440" w:lineRule="exact"/>
        <w:rPr>
          <w:rFonts w:eastAsia="黑体"/>
          <w:bCs/>
          <w:color w:val="auto"/>
          <w:sz w:val="24"/>
          <w:szCs w:val="21"/>
          <w:highlight w:val="none"/>
        </w:rPr>
      </w:pPr>
      <w:r>
        <w:rPr>
          <w:rFonts w:eastAsia="黑体"/>
          <w:bCs/>
          <w:color w:val="auto"/>
          <w:sz w:val="24"/>
          <w:szCs w:val="21"/>
          <w:highlight w:val="none"/>
        </w:rPr>
        <w:t>5.中标人</w:t>
      </w:r>
      <w:r>
        <w:rPr>
          <w:rFonts w:hint="eastAsia" w:eastAsia="黑体"/>
          <w:bCs/>
          <w:color w:val="auto"/>
          <w:sz w:val="24"/>
          <w:szCs w:val="21"/>
          <w:highlight w:val="none"/>
        </w:rPr>
        <w:t>的确定</w:t>
      </w:r>
    </w:p>
    <w:p>
      <w:pPr>
        <w:adjustRightInd w:val="0"/>
        <w:snapToGrid w:val="0"/>
        <w:spacing w:line="440" w:lineRule="exact"/>
        <w:ind w:firstLine="420" w:firstLineChars="200"/>
        <w:rPr>
          <w:color w:val="auto"/>
          <w:highlight w:val="none"/>
        </w:rPr>
      </w:pPr>
      <w:r>
        <w:rPr>
          <w:color w:val="auto"/>
          <w:szCs w:val="21"/>
          <w:highlight w:val="none"/>
        </w:rPr>
        <w:t xml:space="preserve">5.1 </w:t>
      </w:r>
      <w:r>
        <w:rPr>
          <w:rFonts w:hint="eastAsia"/>
          <w:color w:val="auto"/>
          <w:szCs w:val="21"/>
          <w:highlight w:val="none"/>
        </w:rPr>
        <w:t>推荐</w:t>
      </w:r>
      <w:r>
        <w:rPr>
          <w:color w:val="auto"/>
          <w:szCs w:val="21"/>
          <w:highlight w:val="none"/>
        </w:rPr>
        <w:t>中标候选人</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rPr>
        <w:t>5.1.1排序法，即：评标委员会推荐不超过3个有排序的中标候选人，招标人按照中标候选人的排序确定中标人。</w:t>
      </w:r>
    </w:p>
    <w:p>
      <w:pPr>
        <w:adjustRightInd w:val="0"/>
        <w:snapToGrid w:val="0"/>
        <w:spacing w:line="440" w:lineRule="exact"/>
        <w:ind w:firstLine="420" w:firstLineChars="200"/>
        <w:rPr>
          <w:color w:val="auto"/>
          <w:szCs w:val="21"/>
          <w:highlight w:val="none"/>
        </w:rPr>
      </w:pPr>
      <w:r>
        <w:rPr>
          <w:rFonts w:hint="eastAsia"/>
          <w:color w:val="auto"/>
          <w:szCs w:val="21"/>
          <w:highlight w:val="none"/>
        </w:rPr>
        <w:t>5.1.3</w:t>
      </w:r>
      <w:r>
        <w:rPr>
          <w:color w:val="auto"/>
          <w:szCs w:val="21"/>
          <w:highlight w:val="none"/>
        </w:rPr>
        <w:t>评标委员会在推荐中标候选人时，应遵照以下原则:</w:t>
      </w:r>
    </w:p>
    <w:p>
      <w:pPr>
        <w:adjustRightInd w:val="0"/>
        <w:snapToGrid w:val="0"/>
        <w:spacing w:line="440" w:lineRule="exact"/>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adjustRightInd w:val="0"/>
        <w:snapToGrid w:val="0"/>
        <w:spacing w:line="440" w:lineRule="exact"/>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adjustRightInd w:val="0"/>
        <w:snapToGrid w:val="0"/>
        <w:spacing w:line="440" w:lineRule="exact"/>
        <w:ind w:firstLine="420" w:firstLineChars="200"/>
        <w:rPr>
          <w:color w:val="auto"/>
          <w:highlight w:val="none"/>
        </w:rPr>
      </w:pPr>
      <w:r>
        <w:rPr>
          <w:rFonts w:hint="eastAsia"/>
          <w:color w:val="auto"/>
          <w:highlight w:val="none"/>
        </w:rPr>
        <w:t>5.2 中标人的确定</w:t>
      </w:r>
    </w:p>
    <w:p>
      <w:pPr>
        <w:spacing w:line="440" w:lineRule="exact"/>
        <w:ind w:firstLine="420" w:firstLineChars="200"/>
        <w:rPr>
          <w:color w:val="auto"/>
          <w:szCs w:val="21"/>
          <w:highlight w:val="none"/>
        </w:rPr>
      </w:pPr>
      <w:r>
        <w:rPr>
          <w:rFonts w:hint="eastAsia"/>
          <w:color w:val="auto"/>
          <w:highlight w:val="none"/>
        </w:rPr>
        <w:t>5.2.1采用排序法确定中标人的，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adjustRightInd w:val="0"/>
        <w:snapToGrid w:val="0"/>
        <w:spacing w:line="440" w:lineRule="exact"/>
        <w:ind w:firstLine="420" w:firstLineChars="200"/>
        <w:rPr>
          <w:color w:val="auto"/>
          <w:szCs w:val="21"/>
          <w:highlight w:val="none"/>
        </w:rPr>
      </w:pPr>
      <w:r>
        <w:rPr>
          <w:color w:val="auto"/>
          <w:szCs w:val="21"/>
          <w:highlight w:val="none"/>
        </w:rPr>
        <w:t>5.3 编制评标报告</w:t>
      </w:r>
    </w:p>
    <w:p>
      <w:pPr>
        <w:adjustRightInd w:val="0"/>
        <w:snapToGrid w:val="0"/>
        <w:spacing w:line="440" w:lineRule="exact"/>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（1）基本情况和数据表；</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（2）评标委员会成员名单；</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（3）开标记录；</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（4）符合要求的投标一览表；</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（5）否决投标情况说明；</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（6）评标标准、评标方法或者评标因素一览表；</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（8）经评审的投标人排序；</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（9）推荐的中标候选人名单与签订合同前要处理的事宜；</w:t>
      </w:r>
    </w:p>
    <w:p>
      <w:pPr>
        <w:adjustRightInd w:val="0"/>
        <w:snapToGrid w:val="0"/>
        <w:spacing w:before="72" w:beforeLines="30" w:line="440" w:lineRule="exact"/>
        <w:ind w:firstLine="420" w:firstLineChars="200"/>
        <w:rPr>
          <w:color w:val="auto"/>
          <w:szCs w:val="21"/>
          <w:highlight w:val="none"/>
        </w:rPr>
      </w:pPr>
      <w:r>
        <w:rPr>
          <w:color w:val="auto"/>
          <w:szCs w:val="21"/>
          <w:highlight w:val="none"/>
        </w:rPr>
        <w:t>（10）澄清、说明、补正事项纪要。</w:t>
      </w:r>
    </w:p>
    <w:p>
      <w:pPr>
        <w:adjustRightInd w:val="0"/>
        <w:snapToGrid w:val="0"/>
        <w:spacing w:before="48" w:beforeLines="20" w:after="48" w:afterLines="20" w:line="440" w:lineRule="exact"/>
        <w:rPr>
          <w:rFonts w:eastAsia="黑体"/>
          <w:bCs/>
          <w:color w:val="auto"/>
          <w:sz w:val="24"/>
          <w:szCs w:val="21"/>
          <w:highlight w:val="none"/>
        </w:rPr>
      </w:pPr>
      <w:r>
        <w:rPr>
          <w:rFonts w:eastAsia="黑体"/>
          <w:bCs/>
          <w:color w:val="auto"/>
          <w:sz w:val="24"/>
          <w:szCs w:val="21"/>
          <w:highlight w:val="none"/>
        </w:rPr>
        <w:t>6．特殊情况的处置程序</w:t>
      </w:r>
    </w:p>
    <w:p>
      <w:pPr>
        <w:widowControl/>
        <w:spacing w:line="440" w:lineRule="exact"/>
        <w:ind w:left="420" w:leftChars="100" w:hanging="210" w:hangingChars="100"/>
        <w:jc w:val="left"/>
        <w:rPr>
          <w:color w:val="auto"/>
          <w:szCs w:val="21"/>
          <w:highlight w:val="none"/>
        </w:rPr>
      </w:pPr>
      <w:r>
        <w:rPr>
          <w:color w:val="auto"/>
          <w:szCs w:val="21"/>
          <w:highlight w:val="none"/>
        </w:rPr>
        <w:t>6.1</w:t>
      </w:r>
      <w:r>
        <w:rPr>
          <w:rFonts w:hint="eastAsia"/>
          <w:color w:val="auto"/>
          <w:szCs w:val="21"/>
          <w:highlight w:val="none"/>
        </w:rPr>
        <w:t>技术标</w:t>
      </w:r>
      <w:r>
        <w:rPr>
          <w:color w:val="auto"/>
          <w:szCs w:val="21"/>
          <w:highlight w:val="none"/>
        </w:rPr>
        <w:t>（</w:t>
      </w:r>
      <w:r>
        <w:rPr>
          <w:rFonts w:hint="eastAsia"/>
          <w:color w:val="auto"/>
          <w:szCs w:val="21"/>
          <w:highlight w:val="none"/>
        </w:rPr>
        <w:t>明标</w:t>
      </w:r>
      <w:r>
        <w:rPr>
          <w:color w:val="auto"/>
          <w:szCs w:val="21"/>
          <w:highlight w:val="none"/>
        </w:rPr>
        <w:t>）评审</w:t>
      </w:r>
      <w:r>
        <w:rPr>
          <w:color w:val="auto"/>
          <w:szCs w:val="21"/>
          <w:highlight w:val="none"/>
        </w:rPr>
        <w:br w:type="textWrapping"/>
      </w:r>
      <w:r>
        <w:rPr>
          <w:color w:val="auto"/>
          <w:szCs w:val="21"/>
          <w:highlight w:val="none"/>
        </w:rPr>
        <w:t>6.1.1对进入详细评审的投标人</w:t>
      </w:r>
      <w:r>
        <w:rPr>
          <w:rFonts w:hint="eastAsia"/>
          <w:color w:val="auto"/>
          <w:szCs w:val="21"/>
          <w:highlight w:val="none"/>
        </w:rPr>
        <w:t>提交的技术标</w:t>
      </w:r>
      <w:r>
        <w:rPr>
          <w:color w:val="auto"/>
          <w:szCs w:val="21"/>
          <w:highlight w:val="none"/>
        </w:rPr>
        <w:t>进行评审。</w:t>
      </w:r>
    </w:p>
    <w:p>
      <w:pPr>
        <w:widowControl/>
        <w:spacing w:line="440" w:lineRule="exact"/>
        <w:ind w:left="210" w:leftChars="100" w:firstLine="210" w:firstLineChars="100"/>
        <w:jc w:val="left"/>
        <w:rPr>
          <w:color w:val="auto"/>
          <w:szCs w:val="21"/>
          <w:highlight w:val="none"/>
        </w:rPr>
      </w:pPr>
      <w:r>
        <w:rPr>
          <w:color w:val="auto"/>
          <w:szCs w:val="21"/>
          <w:highlight w:val="none"/>
        </w:rPr>
        <w:t>6.2 关于评标活动暂停</w:t>
      </w:r>
    </w:p>
    <w:p>
      <w:pPr>
        <w:adjustRightInd w:val="0"/>
        <w:snapToGrid w:val="0"/>
        <w:spacing w:line="440" w:lineRule="exact"/>
        <w:ind w:firstLine="420" w:firstLineChars="200"/>
        <w:rPr>
          <w:color w:val="auto"/>
          <w:szCs w:val="21"/>
          <w:highlight w:val="none"/>
        </w:rPr>
      </w:pPr>
      <w:r>
        <w:rPr>
          <w:color w:val="auto"/>
          <w:szCs w:val="21"/>
          <w:highlight w:val="none"/>
        </w:rPr>
        <w:t>6.2.1 评标委员会应当执行连续评标的原则，按评标办法中规定的程序、内容、方法、标准完成全部评标工作。除特殊情况外，评标活动不得暂停。</w:t>
      </w:r>
    </w:p>
    <w:p>
      <w:pPr>
        <w:adjustRightInd w:val="0"/>
        <w:snapToGrid w:val="0"/>
        <w:spacing w:before="48" w:beforeLines="20" w:line="440" w:lineRule="exact"/>
        <w:ind w:firstLine="420" w:firstLineChars="200"/>
        <w:rPr>
          <w:color w:val="auto"/>
          <w:szCs w:val="21"/>
          <w:highlight w:val="none"/>
        </w:rPr>
      </w:pPr>
      <w:r>
        <w:rPr>
          <w:color w:val="auto"/>
          <w:szCs w:val="21"/>
          <w:highlight w:val="none"/>
        </w:rPr>
        <w:t>6.2.2 发生评标暂停情况时，评标委员会应当封存全部投标文件和评标记录，待特殊情况的影响结束且具备继续评标的条件时，由原评标委员会继续评标。</w:t>
      </w:r>
    </w:p>
    <w:p>
      <w:pPr>
        <w:spacing w:line="440" w:lineRule="exact"/>
        <w:ind w:firstLine="420" w:firstLineChars="200"/>
        <w:rPr>
          <w:color w:val="auto"/>
          <w:szCs w:val="21"/>
          <w:highlight w:val="none"/>
        </w:rPr>
      </w:pPr>
      <w:r>
        <w:rPr>
          <w:color w:val="auto"/>
          <w:szCs w:val="21"/>
          <w:highlight w:val="none"/>
        </w:rPr>
        <w:t>6.3 关于评标中途更换评委</w:t>
      </w:r>
    </w:p>
    <w:p>
      <w:pPr>
        <w:adjustRightInd w:val="0"/>
        <w:snapToGrid w:val="0"/>
        <w:spacing w:line="440" w:lineRule="exact"/>
        <w:ind w:firstLine="420" w:firstLineChars="200"/>
        <w:rPr>
          <w:color w:val="auto"/>
          <w:szCs w:val="21"/>
          <w:highlight w:val="none"/>
        </w:rPr>
      </w:pPr>
      <w:r>
        <w:rPr>
          <w:color w:val="auto"/>
          <w:szCs w:val="21"/>
          <w:highlight w:val="none"/>
        </w:rPr>
        <w:t>6.3.1 除非发生下列情况之一，不得在评标中途更换评标委员会成员：</w:t>
      </w:r>
    </w:p>
    <w:p>
      <w:pPr>
        <w:adjustRightInd w:val="0"/>
        <w:snapToGrid w:val="0"/>
        <w:spacing w:line="440" w:lineRule="exact"/>
        <w:ind w:firstLine="420" w:firstLineChars="200"/>
        <w:rPr>
          <w:color w:val="auto"/>
          <w:szCs w:val="21"/>
          <w:highlight w:val="none"/>
        </w:rPr>
      </w:pPr>
      <w:r>
        <w:rPr>
          <w:color w:val="auto"/>
          <w:szCs w:val="21"/>
          <w:highlight w:val="none"/>
        </w:rPr>
        <w:t>（1）因不可抗拒的原因，评标委员会成员不能到场或需在评标中途退出评标活动。</w:t>
      </w:r>
    </w:p>
    <w:p>
      <w:pPr>
        <w:adjustRightInd w:val="0"/>
        <w:snapToGrid w:val="0"/>
        <w:spacing w:line="440" w:lineRule="exact"/>
        <w:ind w:firstLine="420" w:firstLineChars="200"/>
        <w:rPr>
          <w:color w:val="auto"/>
          <w:szCs w:val="21"/>
          <w:highlight w:val="none"/>
        </w:rPr>
      </w:pPr>
      <w:r>
        <w:rPr>
          <w:color w:val="auto"/>
          <w:szCs w:val="21"/>
          <w:highlight w:val="none"/>
        </w:rPr>
        <w:t>（2）根据法律法规规定，某个或某几个评标委员会成员需要回避。</w:t>
      </w:r>
    </w:p>
    <w:p>
      <w:pPr>
        <w:adjustRightInd w:val="0"/>
        <w:snapToGrid w:val="0"/>
        <w:spacing w:line="440" w:lineRule="exact"/>
        <w:ind w:firstLine="420" w:firstLineChars="200"/>
        <w:rPr>
          <w:color w:val="auto"/>
          <w:szCs w:val="21"/>
          <w:highlight w:val="none"/>
        </w:rPr>
      </w:pPr>
      <w:r>
        <w:rPr>
          <w:color w:val="auto"/>
          <w:szCs w:val="21"/>
          <w:highlight w:val="none"/>
        </w:rPr>
        <w:t>6.3.2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spacing w:line="440" w:lineRule="exact"/>
        <w:ind w:firstLine="420" w:firstLineChars="200"/>
        <w:rPr>
          <w:color w:val="auto"/>
          <w:szCs w:val="21"/>
          <w:highlight w:val="none"/>
        </w:rPr>
      </w:pPr>
      <w:r>
        <w:rPr>
          <w:color w:val="auto"/>
          <w:szCs w:val="21"/>
          <w:highlight w:val="none"/>
        </w:rPr>
        <w:t>6.4 记名投票</w:t>
      </w:r>
    </w:p>
    <w:p>
      <w:pPr>
        <w:adjustRightInd w:val="0"/>
        <w:snapToGrid w:val="0"/>
        <w:spacing w:line="440" w:lineRule="exact"/>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spacing w:line="440" w:lineRule="exact"/>
        <w:ind w:firstLine="240" w:firstLineChars="100"/>
        <w:rPr>
          <w:rFonts w:eastAsia="黑体"/>
          <w:color w:val="auto"/>
          <w:sz w:val="24"/>
          <w:highlight w:val="none"/>
        </w:rPr>
      </w:pPr>
      <w:r>
        <w:rPr>
          <w:rFonts w:eastAsia="黑体"/>
          <w:color w:val="auto"/>
          <w:sz w:val="24"/>
          <w:highlight w:val="none"/>
        </w:rPr>
        <w:t>7.补充条款</w:t>
      </w:r>
    </w:p>
    <w:p>
      <w:pPr>
        <w:widowControl/>
        <w:jc w:val="left"/>
        <w:rPr>
          <w:rFonts w:hint="eastAsia" w:ascii="宋体" w:hAnsi="宋体" w:cs="宋体"/>
          <w:color w:val="auto"/>
          <w:highlight w:val="none"/>
        </w:rPr>
      </w:pPr>
      <w:r>
        <w:rPr>
          <w:rFonts w:hint="eastAsia" w:ascii="宋体" w:hAnsi="宋体" w:cs="宋体"/>
          <w:color w:val="auto"/>
          <w:highlight w:val="none"/>
        </w:rPr>
        <w:t>无</w:t>
      </w:r>
    </w:p>
    <w:bookmarkEnd w:id="323"/>
    <w:p>
      <w:pPr>
        <w:jc w:val="center"/>
        <w:rPr>
          <w:rFonts w:hint="eastAsia" w:ascii="宋体" w:hAnsi="宋体" w:cs="宋体"/>
          <w:color w:val="auto"/>
          <w:sz w:val="24"/>
          <w:highlight w:val="none"/>
        </w:rPr>
      </w:pPr>
      <w:bookmarkStart w:id="324" w:name="_Toc300678150"/>
      <w:bookmarkStart w:id="325" w:name="_Hlk530047565"/>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both"/>
        <w:rPr>
          <w:rFonts w:hint="eastAsia" w:ascii="宋体" w:hAnsi="宋体" w:cs="宋体"/>
          <w:color w:val="auto"/>
          <w:sz w:val="24"/>
          <w:highlight w:val="none"/>
        </w:rPr>
      </w:pPr>
      <w:r>
        <w:rPr>
          <w:rFonts w:hint="eastAsia" w:ascii="宋体" w:hAnsi="宋体" w:cs="宋体"/>
          <w:color w:val="auto"/>
          <w:sz w:val="24"/>
          <w:highlight w:val="none"/>
        </w:rPr>
        <w:t>附表3-1：基本情况和数据表</w:t>
      </w:r>
    </w:p>
    <w:p>
      <w:pPr>
        <w:spacing w:before="360" w:beforeLines="150" w:after="360" w:afterLines="150" w:line="360" w:lineRule="auto"/>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基本情况和数据表</w:t>
      </w:r>
    </w:p>
    <w:tbl>
      <w:tblPr>
        <w:tblStyle w:val="21"/>
        <w:tblW w:w="8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2121"/>
        <w:gridCol w:w="55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681" w:type="dxa"/>
            <w:tcBorders>
              <w:top w:val="single" w:color="auto" w:sz="12" w:space="0"/>
            </w:tcBorders>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序号</w:t>
            </w:r>
          </w:p>
        </w:tc>
        <w:tc>
          <w:tcPr>
            <w:tcW w:w="2121" w:type="dxa"/>
            <w:tcBorders>
              <w:top w:val="single" w:color="auto" w:sz="12" w:space="0"/>
            </w:tcBorders>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名称</w:t>
            </w:r>
          </w:p>
        </w:tc>
        <w:tc>
          <w:tcPr>
            <w:tcW w:w="5510" w:type="dxa"/>
            <w:tcBorders>
              <w:top w:val="single" w:color="auto" w:sz="12" w:space="0"/>
            </w:tcBorders>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工程名称</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2</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建设地点</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4</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面积</w:t>
            </w:r>
          </w:p>
        </w:tc>
        <w:tc>
          <w:tcPr>
            <w:tcW w:w="5510" w:type="dxa"/>
            <w:vAlign w:val="center"/>
          </w:tcPr>
          <w:p>
            <w:pPr>
              <w:snapToGrid w:val="0"/>
              <w:spacing w:line="360" w:lineRule="auto"/>
              <w:jc w:val="center"/>
              <w:rPr>
                <w:rFonts w:hint="eastAsia"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5</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要求质量标准</w:t>
            </w:r>
          </w:p>
        </w:tc>
        <w:tc>
          <w:tcPr>
            <w:tcW w:w="5510" w:type="dxa"/>
            <w:vAlign w:val="center"/>
          </w:tcPr>
          <w:p>
            <w:pPr>
              <w:snapToGrid w:val="0"/>
              <w:spacing w:line="360" w:lineRule="auto"/>
              <w:jc w:val="center"/>
              <w:rPr>
                <w:rFonts w:hint="eastAsia"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6</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承包方式</w:t>
            </w:r>
          </w:p>
        </w:tc>
        <w:tc>
          <w:tcPr>
            <w:tcW w:w="5510" w:type="dxa"/>
            <w:vAlign w:val="center"/>
          </w:tcPr>
          <w:p>
            <w:pPr>
              <w:snapToGrid w:val="0"/>
              <w:spacing w:line="360" w:lineRule="auto"/>
              <w:jc w:val="center"/>
              <w:rPr>
                <w:rFonts w:hint="eastAsia"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7</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要求工期</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8</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招标范围</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9</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招标方式</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10</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投标文件递交地点</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11</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投标截止时间</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12</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收到投标文件的数量</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13</w:t>
            </w:r>
          </w:p>
        </w:tc>
        <w:tc>
          <w:tcPr>
            <w:tcW w:w="2121" w:type="dxa"/>
            <w:vAlign w:val="center"/>
          </w:tcPr>
          <w:p>
            <w:pPr>
              <w:adjustRightInd w:val="0"/>
              <w:snapToGrid w:val="0"/>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开标时间</w:t>
            </w:r>
          </w:p>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开标地址</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14</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资金来源</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15</w:t>
            </w:r>
          </w:p>
        </w:tc>
        <w:tc>
          <w:tcPr>
            <w:tcW w:w="2121" w:type="dxa"/>
            <w:vAlign w:val="center"/>
          </w:tcPr>
          <w:p>
            <w:pPr>
              <w:adjustRightInd w:val="0"/>
              <w:snapToGrid w:val="0"/>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投标人和项目经理</w:t>
            </w:r>
          </w:p>
          <w:p>
            <w:pPr>
              <w:adjustRightInd w:val="0"/>
              <w:snapToGrid w:val="0"/>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资质等级</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16</w:t>
            </w:r>
          </w:p>
        </w:tc>
        <w:tc>
          <w:tcPr>
            <w:tcW w:w="2121" w:type="dxa"/>
            <w:vAlign w:val="center"/>
          </w:tcPr>
          <w:p>
            <w:pPr>
              <w:adjustRightInd w:val="0"/>
              <w:snapToGrid w:val="0"/>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投标保证</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17</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投标有效期</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681" w:type="dxa"/>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18</w:t>
            </w:r>
          </w:p>
        </w:tc>
        <w:tc>
          <w:tcPr>
            <w:tcW w:w="2121" w:type="dxa"/>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highlight w:val="none"/>
              </w:rPr>
              <w:t>投标文件份数</w:t>
            </w:r>
          </w:p>
        </w:tc>
        <w:tc>
          <w:tcPr>
            <w:tcW w:w="5510" w:type="dxa"/>
            <w:vAlign w:val="center"/>
          </w:tcPr>
          <w:p>
            <w:pPr>
              <w:snapToGrid w:val="0"/>
              <w:spacing w:line="360" w:lineRule="auto"/>
              <w:jc w:val="center"/>
              <w:rPr>
                <w:rFonts w:hint="eastAsia" w:ascii="宋体" w:hAnsi="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81" w:type="dxa"/>
            <w:tcBorders>
              <w:bottom w:val="single" w:color="auto" w:sz="12" w:space="0"/>
            </w:tcBorders>
            <w:vAlign w:val="center"/>
          </w:tcPr>
          <w:p>
            <w:pPr>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20</w:t>
            </w:r>
          </w:p>
        </w:tc>
        <w:tc>
          <w:tcPr>
            <w:tcW w:w="2121" w:type="dxa"/>
            <w:tcBorders>
              <w:bottom w:val="single" w:color="auto" w:sz="12" w:space="0"/>
            </w:tcBorders>
            <w:vAlign w:val="center"/>
          </w:tcPr>
          <w:p>
            <w:pPr>
              <w:adjustRightInd w:val="0"/>
              <w:snapToGrid w:val="0"/>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评标办法</w:t>
            </w:r>
          </w:p>
        </w:tc>
        <w:tc>
          <w:tcPr>
            <w:tcW w:w="5510" w:type="dxa"/>
            <w:tcBorders>
              <w:bottom w:val="single" w:color="auto" w:sz="12" w:space="0"/>
            </w:tcBorders>
            <w:vAlign w:val="center"/>
          </w:tcPr>
          <w:p>
            <w:pPr>
              <w:snapToGrid w:val="0"/>
              <w:spacing w:line="360" w:lineRule="auto"/>
              <w:jc w:val="center"/>
              <w:rPr>
                <w:rFonts w:hint="eastAsia" w:ascii="宋体" w:hAnsi="宋体" w:cs="宋体"/>
                <w:color w:val="auto"/>
                <w:sz w:val="18"/>
                <w:szCs w:val="21"/>
                <w:highlight w:val="none"/>
              </w:rPr>
            </w:pPr>
          </w:p>
        </w:tc>
      </w:tr>
    </w:tbl>
    <w:p>
      <w:pPr>
        <w:spacing w:line="360" w:lineRule="auto"/>
        <w:ind w:firstLine="420"/>
        <w:rPr>
          <w:rFonts w:hint="eastAsia" w:ascii="宋体" w:hAnsi="宋体" w:cs="宋体"/>
          <w:color w:val="auto"/>
          <w:highlight w:val="none"/>
        </w:rPr>
        <w:sectPr>
          <w:footerReference r:id="rId11" w:type="default"/>
          <w:pgSz w:w="11900" w:h="16838"/>
          <w:pgMar w:top="1440" w:right="1440" w:bottom="1440" w:left="1440" w:header="0" w:footer="992" w:gutter="0"/>
          <w:pgNumType w:fmt="numberInDash"/>
          <w:cols w:space="720" w:num="1"/>
          <w:docGrid w:linePitch="360" w:charSpace="0"/>
        </w:sectPr>
      </w:pPr>
    </w:p>
    <w:p>
      <w:pPr>
        <w:pStyle w:val="6"/>
        <w:ind w:firstLine="480"/>
        <w:rPr>
          <w:rFonts w:hint="eastAsia" w:ascii="宋体" w:hAnsi="宋体" w:cs="宋体"/>
          <w:b w:val="0"/>
          <w:bCs w:val="0"/>
          <w:color w:val="auto"/>
          <w:highlight w:val="none"/>
        </w:rPr>
      </w:pPr>
      <w:r>
        <w:rPr>
          <w:rFonts w:hint="eastAsia" w:ascii="宋体" w:hAnsi="宋体" w:cs="宋体"/>
          <w:b w:val="0"/>
          <w:bCs w:val="0"/>
          <w:color w:val="auto"/>
          <w:highlight w:val="none"/>
        </w:rPr>
        <w:t>附表3-2：评标委员会签到表</w:t>
      </w:r>
    </w:p>
    <w:p>
      <w:pPr>
        <w:spacing w:before="120" w:beforeLines="50" w:after="120" w:afterLines="50" w:line="360" w:lineRule="auto"/>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评标委员会签到表</w:t>
      </w:r>
    </w:p>
    <w:p>
      <w:pPr>
        <w:spacing w:after="72" w:afterLines="30" w:line="360" w:lineRule="auto"/>
        <w:ind w:left="6069" w:leftChars="190" w:hanging="5670" w:hangingChars="2700"/>
        <w:jc w:val="left"/>
        <w:rPr>
          <w:rFonts w:hint="eastAsia" w:ascii="宋体" w:hAnsi="宋体" w:cs="宋体"/>
          <w:color w:val="auto"/>
          <w:highlight w:val="none"/>
        </w:rPr>
      </w:pPr>
      <w:r>
        <w:rPr>
          <w:rFonts w:hint="eastAsia" w:ascii="宋体" w:hAnsi="宋体" w:cs="宋体"/>
          <w:color w:val="auto"/>
          <w:highlight w:val="none"/>
        </w:rPr>
        <w:t>工程名称：</w:t>
      </w:r>
      <w:r>
        <w:rPr>
          <w:rFonts w:hint="eastAsia" w:ascii="宋体" w:hAnsi="宋体" w:cs="宋体"/>
          <w:color w:val="auto"/>
          <w:highlight w:val="none"/>
          <w:u w:val="single"/>
        </w:rPr>
        <w:t xml:space="preserve">      </w:t>
      </w:r>
      <w:r>
        <w:rPr>
          <w:rFonts w:hint="eastAsia" w:ascii="宋体" w:hAnsi="宋体" w:cs="宋体"/>
          <w:color w:val="auto"/>
          <w:highlight w:val="none"/>
        </w:rPr>
        <w:t>（项目名称）                                                                    评标时间：   年  月   日</w:t>
      </w:r>
    </w:p>
    <w:tbl>
      <w:tblPr>
        <w:tblStyle w:val="21"/>
        <w:tblW w:w="90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13"/>
        <w:gridCol w:w="966"/>
        <w:gridCol w:w="955"/>
        <w:gridCol w:w="2396"/>
        <w:gridCol w:w="1764"/>
        <w:gridCol w:w="12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499"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序号</w:t>
            </w:r>
          </w:p>
        </w:tc>
        <w:tc>
          <w:tcPr>
            <w:tcW w:w="1213"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姓名</w:t>
            </w:r>
          </w:p>
        </w:tc>
        <w:tc>
          <w:tcPr>
            <w:tcW w:w="966"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职称</w:t>
            </w:r>
          </w:p>
        </w:tc>
        <w:tc>
          <w:tcPr>
            <w:tcW w:w="955"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专业类别</w:t>
            </w:r>
          </w:p>
        </w:tc>
        <w:tc>
          <w:tcPr>
            <w:tcW w:w="2396"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工作单位</w:t>
            </w:r>
          </w:p>
        </w:tc>
        <w:tc>
          <w:tcPr>
            <w:tcW w:w="1764"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签到时间</w:t>
            </w:r>
          </w:p>
        </w:tc>
        <w:tc>
          <w:tcPr>
            <w:tcW w:w="1223" w:type="dxa"/>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499"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1</w:t>
            </w:r>
          </w:p>
        </w:tc>
        <w:tc>
          <w:tcPr>
            <w:tcW w:w="1213" w:type="dxa"/>
            <w:vAlign w:val="center"/>
          </w:tcPr>
          <w:p>
            <w:pPr>
              <w:spacing w:line="360" w:lineRule="auto"/>
              <w:jc w:val="center"/>
              <w:rPr>
                <w:rFonts w:hint="eastAsia" w:ascii="宋体" w:hAnsi="宋体" w:cs="宋体"/>
                <w:color w:val="auto"/>
                <w:sz w:val="18"/>
                <w:highlight w:val="none"/>
              </w:rPr>
            </w:pPr>
          </w:p>
        </w:tc>
        <w:tc>
          <w:tcPr>
            <w:tcW w:w="966" w:type="dxa"/>
            <w:vAlign w:val="top"/>
          </w:tcPr>
          <w:p>
            <w:pPr>
              <w:spacing w:line="360" w:lineRule="auto"/>
              <w:jc w:val="center"/>
              <w:rPr>
                <w:rFonts w:hint="eastAsia" w:ascii="宋体" w:hAnsi="宋体" w:cs="宋体"/>
                <w:color w:val="auto"/>
                <w:sz w:val="18"/>
                <w:highlight w:val="none"/>
              </w:rPr>
            </w:pPr>
          </w:p>
        </w:tc>
        <w:tc>
          <w:tcPr>
            <w:tcW w:w="955" w:type="dxa"/>
            <w:vAlign w:val="center"/>
          </w:tcPr>
          <w:p>
            <w:pPr>
              <w:spacing w:line="360" w:lineRule="auto"/>
              <w:jc w:val="center"/>
              <w:rPr>
                <w:rFonts w:hint="eastAsia" w:ascii="宋体" w:hAnsi="宋体" w:cs="宋体"/>
                <w:color w:val="auto"/>
                <w:sz w:val="18"/>
                <w:highlight w:val="none"/>
              </w:rPr>
            </w:pPr>
          </w:p>
        </w:tc>
        <w:tc>
          <w:tcPr>
            <w:tcW w:w="2396" w:type="dxa"/>
            <w:vAlign w:val="center"/>
          </w:tcPr>
          <w:p>
            <w:pPr>
              <w:spacing w:line="360" w:lineRule="auto"/>
              <w:jc w:val="center"/>
              <w:rPr>
                <w:rFonts w:hint="eastAsia" w:ascii="宋体" w:hAnsi="宋体" w:cs="宋体"/>
                <w:color w:val="auto"/>
                <w:sz w:val="18"/>
                <w:highlight w:val="none"/>
              </w:rPr>
            </w:pPr>
          </w:p>
        </w:tc>
        <w:tc>
          <w:tcPr>
            <w:tcW w:w="1764" w:type="dxa"/>
            <w:vAlign w:val="center"/>
          </w:tcPr>
          <w:p>
            <w:pPr>
              <w:spacing w:line="360" w:lineRule="auto"/>
              <w:jc w:val="center"/>
              <w:rPr>
                <w:rFonts w:hint="eastAsia" w:ascii="宋体" w:hAnsi="宋体" w:cs="宋体"/>
                <w:color w:val="auto"/>
                <w:sz w:val="18"/>
                <w:highlight w:val="none"/>
              </w:rPr>
            </w:pPr>
          </w:p>
        </w:tc>
        <w:tc>
          <w:tcPr>
            <w:tcW w:w="1223"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499"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2</w:t>
            </w:r>
          </w:p>
        </w:tc>
        <w:tc>
          <w:tcPr>
            <w:tcW w:w="1213" w:type="dxa"/>
            <w:vAlign w:val="center"/>
          </w:tcPr>
          <w:p>
            <w:pPr>
              <w:spacing w:line="360" w:lineRule="auto"/>
              <w:jc w:val="center"/>
              <w:rPr>
                <w:rFonts w:hint="eastAsia" w:ascii="宋体" w:hAnsi="宋体" w:cs="宋体"/>
                <w:color w:val="auto"/>
                <w:sz w:val="18"/>
                <w:highlight w:val="none"/>
              </w:rPr>
            </w:pPr>
          </w:p>
        </w:tc>
        <w:tc>
          <w:tcPr>
            <w:tcW w:w="966" w:type="dxa"/>
            <w:vAlign w:val="top"/>
          </w:tcPr>
          <w:p>
            <w:pPr>
              <w:spacing w:line="360" w:lineRule="auto"/>
              <w:jc w:val="center"/>
              <w:rPr>
                <w:rFonts w:hint="eastAsia" w:ascii="宋体" w:hAnsi="宋体" w:cs="宋体"/>
                <w:color w:val="auto"/>
                <w:sz w:val="18"/>
                <w:highlight w:val="none"/>
              </w:rPr>
            </w:pPr>
          </w:p>
        </w:tc>
        <w:tc>
          <w:tcPr>
            <w:tcW w:w="955" w:type="dxa"/>
            <w:vAlign w:val="center"/>
          </w:tcPr>
          <w:p>
            <w:pPr>
              <w:spacing w:line="360" w:lineRule="auto"/>
              <w:jc w:val="center"/>
              <w:rPr>
                <w:rFonts w:hint="eastAsia" w:ascii="宋体" w:hAnsi="宋体" w:cs="宋体"/>
                <w:color w:val="auto"/>
                <w:sz w:val="18"/>
                <w:highlight w:val="none"/>
              </w:rPr>
            </w:pPr>
          </w:p>
        </w:tc>
        <w:tc>
          <w:tcPr>
            <w:tcW w:w="2396" w:type="dxa"/>
            <w:vAlign w:val="center"/>
          </w:tcPr>
          <w:p>
            <w:pPr>
              <w:spacing w:line="360" w:lineRule="auto"/>
              <w:jc w:val="center"/>
              <w:rPr>
                <w:rFonts w:hint="eastAsia" w:ascii="宋体" w:hAnsi="宋体" w:cs="宋体"/>
                <w:color w:val="auto"/>
                <w:sz w:val="18"/>
                <w:highlight w:val="none"/>
              </w:rPr>
            </w:pPr>
          </w:p>
        </w:tc>
        <w:tc>
          <w:tcPr>
            <w:tcW w:w="1764" w:type="dxa"/>
            <w:vAlign w:val="center"/>
          </w:tcPr>
          <w:p>
            <w:pPr>
              <w:spacing w:line="360" w:lineRule="auto"/>
              <w:jc w:val="center"/>
              <w:rPr>
                <w:rFonts w:hint="eastAsia" w:ascii="宋体" w:hAnsi="宋体" w:cs="宋体"/>
                <w:color w:val="auto"/>
                <w:sz w:val="18"/>
                <w:highlight w:val="none"/>
              </w:rPr>
            </w:pPr>
          </w:p>
        </w:tc>
        <w:tc>
          <w:tcPr>
            <w:tcW w:w="1223"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499"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3</w:t>
            </w:r>
          </w:p>
        </w:tc>
        <w:tc>
          <w:tcPr>
            <w:tcW w:w="1213" w:type="dxa"/>
            <w:vAlign w:val="center"/>
          </w:tcPr>
          <w:p>
            <w:pPr>
              <w:spacing w:line="360" w:lineRule="auto"/>
              <w:jc w:val="center"/>
              <w:rPr>
                <w:rFonts w:hint="eastAsia" w:ascii="宋体" w:hAnsi="宋体" w:cs="宋体"/>
                <w:color w:val="auto"/>
                <w:sz w:val="18"/>
                <w:highlight w:val="none"/>
              </w:rPr>
            </w:pPr>
          </w:p>
        </w:tc>
        <w:tc>
          <w:tcPr>
            <w:tcW w:w="966" w:type="dxa"/>
            <w:vAlign w:val="top"/>
          </w:tcPr>
          <w:p>
            <w:pPr>
              <w:spacing w:line="360" w:lineRule="auto"/>
              <w:jc w:val="center"/>
              <w:rPr>
                <w:rFonts w:hint="eastAsia" w:ascii="宋体" w:hAnsi="宋体" w:cs="宋体"/>
                <w:color w:val="auto"/>
                <w:sz w:val="18"/>
                <w:highlight w:val="none"/>
              </w:rPr>
            </w:pPr>
          </w:p>
        </w:tc>
        <w:tc>
          <w:tcPr>
            <w:tcW w:w="955" w:type="dxa"/>
            <w:vAlign w:val="center"/>
          </w:tcPr>
          <w:p>
            <w:pPr>
              <w:spacing w:line="360" w:lineRule="auto"/>
              <w:jc w:val="center"/>
              <w:rPr>
                <w:rFonts w:hint="eastAsia" w:ascii="宋体" w:hAnsi="宋体" w:cs="宋体"/>
                <w:color w:val="auto"/>
                <w:sz w:val="18"/>
                <w:highlight w:val="none"/>
              </w:rPr>
            </w:pPr>
          </w:p>
        </w:tc>
        <w:tc>
          <w:tcPr>
            <w:tcW w:w="2396" w:type="dxa"/>
            <w:vAlign w:val="center"/>
          </w:tcPr>
          <w:p>
            <w:pPr>
              <w:spacing w:line="360" w:lineRule="auto"/>
              <w:jc w:val="center"/>
              <w:rPr>
                <w:rFonts w:hint="eastAsia" w:ascii="宋体" w:hAnsi="宋体" w:cs="宋体"/>
                <w:color w:val="auto"/>
                <w:sz w:val="18"/>
                <w:highlight w:val="none"/>
              </w:rPr>
            </w:pPr>
          </w:p>
        </w:tc>
        <w:tc>
          <w:tcPr>
            <w:tcW w:w="1764" w:type="dxa"/>
            <w:vAlign w:val="center"/>
          </w:tcPr>
          <w:p>
            <w:pPr>
              <w:spacing w:line="360" w:lineRule="auto"/>
              <w:jc w:val="center"/>
              <w:rPr>
                <w:rFonts w:hint="eastAsia" w:ascii="宋体" w:hAnsi="宋体" w:cs="宋体"/>
                <w:color w:val="auto"/>
                <w:sz w:val="18"/>
                <w:highlight w:val="none"/>
              </w:rPr>
            </w:pPr>
          </w:p>
        </w:tc>
        <w:tc>
          <w:tcPr>
            <w:tcW w:w="1223"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499"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4</w:t>
            </w:r>
          </w:p>
        </w:tc>
        <w:tc>
          <w:tcPr>
            <w:tcW w:w="1213" w:type="dxa"/>
            <w:vAlign w:val="center"/>
          </w:tcPr>
          <w:p>
            <w:pPr>
              <w:spacing w:line="360" w:lineRule="auto"/>
              <w:jc w:val="center"/>
              <w:rPr>
                <w:rFonts w:hint="eastAsia" w:ascii="宋体" w:hAnsi="宋体" w:cs="宋体"/>
                <w:color w:val="auto"/>
                <w:sz w:val="18"/>
                <w:highlight w:val="none"/>
              </w:rPr>
            </w:pPr>
          </w:p>
        </w:tc>
        <w:tc>
          <w:tcPr>
            <w:tcW w:w="966" w:type="dxa"/>
            <w:vAlign w:val="top"/>
          </w:tcPr>
          <w:p>
            <w:pPr>
              <w:spacing w:line="360" w:lineRule="auto"/>
              <w:jc w:val="center"/>
              <w:rPr>
                <w:rFonts w:hint="eastAsia" w:ascii="宋体" w:hAnsi="宋体" w:cs="宋体"/>
                <w:color w:val="auto"/>
                <w:sz w:val="18"/>
                <w:highlight w:val="none"/>
              </w:rPr>
            </w:pPr>
          </w:p>
        </w:tc>
        <w:tc>
          <w:tcPr>
            <w:tcW w:w="955" w:type="dxa"/>
            <w:vAlign w:val="center"/>
          </w:tcPr>
          <w:p>
            <w:pPr>
              <w:spacing w:line="360" w:lineRule="auto"/>
              <w:jc w:val="center"/>
              <w:rPr>
                <w:rFonts w:hint="eastAsia" w:ascii="宋体" w:hAnsi="宋体" w:cs="宋体"/>
                <w:color w:val="auto"/>
                <w:sz w:val="18"/>
                <w:highlight w:val="none"/>
              </w:rPr>
            </w:pPr>
          </w:p>
        </w:tc>
        <w:tc>
          <w:tcPr>
            <w:tcW w:w="2396" w:type="dxa"/>
            <w:vAlign w:val="center"/>
          </w:tcPr>
          <w:p>
            <w:pPr>
              <w:spacing w:line="360" w:lineRule="auto"/>
              <w:jc w:val="center"/>
              <w:rPr>
                <w:rFonts w:hint="eastAsia" w:ascii="宋体" w:hAnsi="宋体" w:cs="宋体"/>
                <w:color w:val="auto"/>
                <w:sz w:val="18"/>
                <w:highlight w:val="none"/>
              </w:rPr>
            </w:pPr>
          </w:p>
        </w:tc>
        <w:tc>
          <w:tcPr>
            <w:tcW w:w="1764" w:type="dxa"/>
            <w:vAlign w:val="center"/>
          </w:tcPr>
          <w:p>
            <w:pPr>
              <w:spacing w:line="360" w:lineRule="auto"/>
              <w:jc w:val="center"/>
              <w:rPr>
                <w:rFonts w:hint="eastAsia" w:ascii="宋体" w:hAnsi="宋体" w:cs="宋体"/>
                <w:color w:val="auto"/>
                <w:sz w:val="18"/>
                <w:highlight w:val="none"/>
              </w:rPr>
            </w:pPr>
          </w:p>
        </w:tc>
        <w:tc>
          <w:tcPr>
            <w:tcW w:w="1223"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499"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5</w:t>
            </w:r>
          </w:p>
        </w:tc>
        <w:tc>
          <w:tcPr>
            <w:tcW w:w="1213" w:type="dxa"/>
            <w:vAlign w:val="center"/>
          </w:tcPr>
          <w:p>
            <w:pPr>
              <w:spacing w:line="360" w:lineRule="auto"/>
              <w:jc w:val="center"/>
              <w:rPr>
                <w:rFonts w:hint="eastAsia" w:ascii="宋体" w:hAnsi="宋体" w:cs="宋体"/>
                <w:color w:val="auto"/>
                <w:sz w:val="18"/>
                <w:highlight w:val="none"/>
              </w:rPr>
            </w:pPr>
          </w:p>
        </w:tc>
        <w:tc>
          <w:tcPr>
            <w:tcW w:w="966" w:type="dxa"/>
            <w:vAlign w:val="top"/>
          </w:tcPr>
          <w:p>
            <w:pPr>
              <w:spacing w:line="360" w:lineRule="auto"/>
              <w:jc w:val="center"/>
              <w:rPr>
                <w:rFonts w:hint="eastAsia" w:ascii="宋体" w:hAnsi="宋体" w:cs="宋体"/>
                <w:color w:val="auto"/>
                <w:sz w:val="18"/>
                <w:highlight w:val="none"/>
              </w:rPr>
            </w:pPr>
          </w:p>
        </w:tc>
        <w:tc>
          <w:tcPr>
            <w:tcW w:w="955" w:type="dxa"/>
            <w:vAlign w:val="center"/>
          </w:tcPr>
          <w:p>
            <w:pPr>
              <w:spacing w:line="360" w:lineRule="auto"/>
              <w:jc w:val="center"/>
              <w:rPr>
                <w:rFonts w:hint="eastAsia" w:ascii="宋体" w:hAnsi="宋体" w:cs="宋体"/>
                <w:color w:val="auto"/>
                <w:sz w:val="18"/>
                <w:highlight w:val="none"/>
              </w:rPr>
            </w:pPr>
          </w:p>
        </w:tc>
        <w:tc>
          <w:tcPr>
            <w:tcW w:w="2396" w:type="dxa"/>
            <w:vAlign w:val="center"/>
          </w:tcPr>
          <w:p>
            <w:pPr>
              <w:spacing w:line="360" w:lineRule="auto"/>
              <w:jc w:val="center"/>
              <w:rPr>
                <w:rFonts w:hint="eastAsia" w:ascii="宋体" w:hAnsi="宋体" w:cs="宋体"/>
                <w:color w:val="auto"/>
                <w:sz w:val="18"/>
                <w:highlight w:val="none"/>
              </w:rPr>
            </w:pPr>
          </w:p>
        </w:tc>
        <w:tc>
          <w:tcPr>
            <w:tcW w:w="1764" w:type="dxa"/>
            <w:vAlign w:val="center"/>
          </w:tcPr>
          <w:p>
            <w:pPr>
              <w:spacing w:line="360" w:lineRule="auto"/>
              <w:jc w:val="center"/>
              <w:rPr>
                <w:rFonts w:hint="eastAsia" w:ascii="宋体" w:hAnsi="宋体" w:cs="宋体"/>
                <w:color w:val="auto"/>
                <w:sz w:val="18"/>
                <w:highlight w:val="none"/>
              </w:rPr>
            </w:pPr>
          </w:p>
        </w:tc>
        <w:tc>
          <w:tcPr>
            <w:tcW w:w="1223"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499"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6</w:t>
            </w:r>
          </w:p>
        </w:tc>
        <w:tc>
          <w:tcPr>
            <w:tcW w:w="1213" w:type="dxa"/>
            <w:vAlign w:val="center"/>
          </w:tcPr>
          <w:p>
            <w:pPr>
              <w:spacing w:line="360" w:lineRule="auto"/>
              <w:jc w:val="center"/>
              <w:rPr>
                <w:rFonts w:hint="eastAsia" w:ascii="宋体" w:hAnsi="宋体" w:cs="宋体"/>
                <w:color w:val="auto"/>
                <w:sz w:val="18"/>
                <w:highlight w:val="none"/>
              </w:rPr>
            </w:pPr>
          </w:p>
        </w:tc>
        <w:tc>
          <w:tcPr>
            <w:tcW w:w="966" w:type="dxa"/>
            <w:vAlign w:val="top"/>
          </w:tcPr>
          <w:p>
            <w:pPr>
              <w:spacing w:line="360" w:lineRule="auto"/>
              <w:jc w:val="center"/>
              <w:rPr>
                <w:rFonts w:hint="eastAsia" w:ascii="宋体" w:hAnsi="宋体" w:cs="宋体"/>
                <w:color w:val="auto"/>
                <w:sz w:val="18"/>
                <w:highlight w:val="none"/>
              </w:rPr>
            </w:pPr>
          </w:p>
        </w:tc>
        <w:tc>
          <w:tcPr>
            <w:tcW w:w="955" w:type="dxa"/>
            <w:vAlign w:val="center"/>
          </w:tcPr>
          <w:p>
            <w:pPr>
              <w:spacing w:line="360" w:lineRule="auto"/>
              <w:jc w:val="center"/>
              <w:rPr>
                <w:rFonts w:hint="eastAsia" w:ascii="宋体" w:hAnsi="宋体" w:cs="宋体"/>
                <w:color w:val="auto"/>
                <w:sz w:val="18"/>
                <w:highlight w:val="none"/>
              </w:rPr>
            </w:pPr>
          </w:p>
        </w:tc>
        <w:tc>
          <w:tcPr>
            <w:tcW w:w="2396" w:type="dxa"/>
            <w:vAlign w:val="center"/>
          </w:tcPr>
          <w:p>
            <w:pPr>
              <w:spacing w:line="360" w:lineRule="auto"/>
              <w:jc w:val="center"/>
              <w:rPr>
                <w:rFonts w:hint="eastAsia" w:ascii="宋体" w:hAnsi="宋体" w:cs="宋体"/>
                <w:color w:val="auto"/>
                <w:sz w:val="18"/>
                <w:highlight w:val="none"/>
              </w:rPr>
            </w:pPr>
          </w:p>
        </w:tc>
        <w:tc>
          <w:tcPr>
            <w:tcW w:w="1764" w:type="dxa"/>
            <w:vAlign w:val="center"/>
          </w:tcPr>
          <w:p>
            <w:pPr>
              <w:spacing w:line="360" w:lineRule="auto"/>
              <w:jc w:val="center"/>
              <w:rPr>
                <w:rFonts w:hint="eastAsia" w:ascii="宋体" w:hAnsi="宋体" w:cs="宋体"/>
                <w:color w:val="auto"/>
                <w:sz w:val="18"/>
                <w:highlight w:val="none"/>
              </w:rPr>
            </w:pPr>
          </w:p>
        </w:tc>
        <w:tc>
          <w:tcPr>
            <w:tcW w:w="1223"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499" w:type="dxa"/>
            <w:tcBorders>
              <w:left w:val="single" w:color="auto" w:sz="4" w:space="0"/>
              <w:bottom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7</w:t>
            </w:r>
          </w:p>
        </w:tc>
        <w:tc>
          <w:tcPr>
            <w:tcW w:w="1213"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966" w:type="dxa"/>
            <w:tcBorders>
              <w:bottom w:val="single" w:color="auto" w:sz="12" w:space="0"/>
            </w:tcBorders>
            <w:vAlign w:val="top"/>
          </w:tcPr>
          <w:p>
            <w:pPr>
              <w:spacing w:line="360" w:lineRule="auto"/>
              <w:jc w:val="center"/>
              <w:rPr>
                <w:rFonts w:hint="eastAsia" w:ascii="宋体" w:hAnsi="宋体" w:cs="宋体"/>
                <w:color w:val="auto"/>
                <w:sz w:val="18"/>
                <w:highlight w:val="none"/>
              </w:rPr>
            </w:pPr>
          </w:p>
        </w:tc>
        <w:tc>
          <w:tcPr>
            <w:tcW w:w="955"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2396"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1764"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1223" w:type="dxa"/>
            <w:tcBorders>
              <w:bottom w:val="single" w:color="auto" w:sz="12" w:space="0"/>
              <w:right w:val="single" w:color="auto" w:sz="4" w:space="0"/>
            </w:tcBorders>
            <w:vAlign w:val="center"/>
          </w:tcPr>
          <w:p>
            <w:pPr>
              <w:spacing w:line="360" w:lineRule="auto"/>
              <w:jc w:val="center"/>
              <w:rPr>
                <w:rFonts w:hint="eastAsia" w:ascii="宋体" w:hAnsi="宋体" w:cs="宋体"/>
                <w:color w:val="auto"/>
                <w:sz w:val="18"/>
                <w:highlight w:val="none"/>
              </w:rPr>
            </w:pPr>
          </w:p>
        </w:tc>
      </w:tr>
    </w:tbl>
    <w:p>
      <w:pPr>
        <w:spacing w:line="360" w:lineRule="auto"/>
        <w:ind w:firstLine="420"/>
        <w:rPr>
          <w:rFonts w:hint="eastAsia" w:ascii="宋体" w:hAnsi="宋体" w:cs="宋体"/>
          <w:color w:val="auto"/>
          <w:highlight w:val="none"/>
        </w:rPr>
        <w:sectPr>
          <w:pgSz w:w="11900" w:h="16838"/>
          <w:pgMar w:top="1440" w:right="1440" w:bottom="1440" w:left="1440" w:header="0" w:footer="992" w:gutter="0"/>
          <w:pgNumType w:fmt="numberInDash"/>
          <w:cols w:space="720" w:num="1"/>
          <w:docGrid w:linePitch="360" w:charSpace="0"/>
        </w:sectPr>
      </w:pPr>
    </w:p>
    <w:p>
      <w:pPr>
        <w:pStyle w:val="6"/>
        <w:spacing w:line="24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附表3-3：形式评审记录表</w:t>
      </w:r>
    </w:p>
    <w:p>
      <w:pPr>
        <w:spacing w:before="120" w:beforeLines="50" w:after="120" w:afterLines="50"/>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形式评审记录表</w:t>
      </w:r>
    </w:p>
    <w:p>
      <w:pPr>
        <w:spacing w:after="72" w:afterLines="30"/>
        <w:ind w:firstLine="420"/>
        <w:rPr>
          <w:rFonts w:hint="eastAsia" w:ascii="宋体" w:hAnsi="宋体" w:cs="宋体"/>
          <w:color w:val="auto"/>
          <w:highlight w:val="none"/>
        </w:rPr>
      </w:pPr>
      <w:r>
        <w:rPr>
          <w:rFonts w:hint="eastAsia" w:ascii="宋体" w:hAnsi="宋体" w:cs="宋体"/>
          <w:color w:val="auto"/>
          <w:highlight w:val="none"/>
        </w:rPr>
        <w:t>工程名称：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（项目名称）   </w:t>
      </w:r>
    </w:p>
    <w:tbl>
      <w:tblPr>
        <w:tblStyle w:val="21"/>
        <w:tblW w:w="9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80"/>
        <w:gridCol w:w="2686"/>
        <w:gridCol w:w="429"/>
        <w:gridCol w:w="452"/>
        <w:gridCol w:w="629"/>
        <w:gridCol w:w="629"/>
        <w:gridCol w:w="629"/>
        <w:gridCol w:w="629"/>
        <w:gridCol w:w="629"/>
        <w:gridCol w:w="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474" w:type="dxa"/>
            <w:vMerge w:val="restart"/>
            <w:tcBorders>
              <w:top w:val="single" w:color="auto" w:sz="12" w:space="0"/>
            </w:tcBorders>
            <w:vAlign w:val="center"/>
          </w:tcPr>
          <w:p>
            <w:pPr>
              <w:snapToGrid w:val="0"/>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序号</w:t>
            </w:r>
          </w:p>
        </w:tc>
        <w:tc>
          <w:tcPr>
            <w:tcW w:w="4066" w:type="dxa"/>
            <w:gridSpan w:val="2"/>
            <w:vMerge w:val="restart"/>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评审因素</w:t>
            </w:r>
          </w:p>
        </w:tc>
        <w:tc>
          <w:tcPr>
            <w:tcW w:w="4698" w:type="dxa"/>
            <w:gridSpan w:val="8"/>
            <w:tcBorders>
              <w:top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474" w:type="dxa"/>
            <w:vMerge w:val="continue"/>
            <w:vAlign w:val="center"/>
          </w:tcPr>
          <w:p>
            <w:pPr>
              <w:spacing w:line="360" w:lineRule="auto"/>
              <w:jc w:val="center"/>
              <w:rPr>
                <w:rFonts w:hint="eastAsia" w:ascii="宋体" w:hAnsi="宋体" w:cs="宋体"/>
                <w:color w:val="auto"/>
                <w:sz w:val="18"/>
                <w:highlight w:val="none"/>
              </w:rPr>
            </w:pPr>
          </w:p>
        </w:tc>
        <w:tc>
          <w:tcPr>
            <w:tcW w:w="4066" w:type="dxa"/>
            <w:gridSpan w:val="2"/>
            <w:vMerge w:val="continue"/>
            <w:vAlign w:val="center"/>
          </w:tcPr>
          <w:p>
            <w:pPr>
              <w:spacing w:line="360" w:lineRule="auto"/>
              <w:jc w:val="center"/>
              <w:rPr>
                <w:rFonts w:hint="eastAsia" w:ascii="宋体" w:hAnsi="宋体" w:cs="宋体"/>
                <w:color w:val="auto"/>
                <w:sz w:val="18"/>
                <w:highlight w:val="none"/>
              </w:rPr>
            </w:pP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474"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1</w:t>
            </w:r>
          </w:p>
        </w:tc>
        <w:tc>
          <w:tcPr>
            <w:tcW w:w="1380" w:type="dxa"/>
            <w:vAlign w:val="center"/>
          </w:tcPr>
          <w:p>
            <w:pPr>
              <w:spacing w:line="360" w:lineRule="auto"/>
              <w:jc w:val="left"/>
              <w:rPr>
                <w:rFonts w:hint="eastAsia" w:ascii="宋体" w:hAnsi="宋体" w:cs="宋体"/>
                <w:color w:val="auto"/>
                <w:sz w:val="18"/>
                <w:highlight w:val="none"/>
              </w:rPr>
            </w:pPr>
            <w:r>
              <w:rPr>
                <w:rFonts w:hint="eastAsia" w:ascii="宋体" w:hAnsi="宋体" w:cs="宋体"/>
                <w:color w:val="auto"/>
                <w:sz w:val="18"/>
                <w:szCs w:val="21"/>
                <w:highlight w:val="none"/>
              </w:rPr>
              <w:t>投标人名称</w:t>
            </w:r>
          </w:p>
        </w:tc>
        <w:tc>
          <w:tcPr>
            <w:tcW w:w="2686" w:type="dxa"/>
            <w:vAlign w:val="center"/>
          </w:tcPr>
          <w:p>
            <w:pPr>
              <w:adjustRightInd w:val="0"/>
              <w:snapToGrid w:val="0"/>
              <w:spacing w:line="360" w:lineRule="auto"/>
              <w:rPr>
                <w:rFonts w:hint="eastAsia" w:ascii="宋体" w:hAnsi="宋体" w:cs="宋体"/>
                <w:color w:val="auto"/>
                <w:sz w:val="18"/>
                <w:highlight w:val="none"/>
              </w:rPr>
            </w:pPr>
            <w:r>
              <w:rPr>
                <w:rFonts w:hint="eastAsia" w:ascii="宋体" w:hAnsi="宋体" w:cs="宋体"/>
                <w:color w:val="auto"/>
                <w:sz w:val="18"/>
                <w:szCs w:val="21"/>
                <w:highlight w:val="none"/>
              </w:rPr>
              <w:t>与营业执照、资质证书、安全生产许可证上的名称一致；</w:t>
            </w:r>
            <w:r>
              <w:rPr>
                <w:rFonts w:hint="eastAsia" w:ascii="宋体" w:hAnsi="宋体" w:cs="宋体"/>
                <w:color w:val="auto"/>
                <w:sz w:val="18"/>
                <w:szCs w:val="18"/>
                <w:highlight w:val="none"/>
              </w:rPr>
              <w:t>省外企业名称与在“湖南省住房和城乡建设网”登记的</w:t>
            </w:r>
            <w:r>
              <w:rPr>
                <w:rFonts w:hint="eastAsia" w:ascii="宋体" w:hAnsi="宋体" w:cs="宋体"/>
                <w:color w:val="auto"/>
                <w:sz w:val="18"/>
                <w:szCs w:val="21"/>
                <w:highlight w:val="none"/>
              </w:rPr>
              <w:t>一致</w:t>
            </w: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1" w:hRule="exact"/>
          <w:jc w:val="center"/>
        </w:trPr>
        <w:tc>
          <w:tcPr>
            <w:tcW w:w="474"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2</w:t>
            </w:r>
          </w:p>
        </w:tc>
        <w:tc>
          <w:tcPr>
            <w:tcW w:w="1380" w:type="dxa"/>
            <w:vAlign w:val="center"/>
          </w:tcPr>
          <w:p>
            <w:pPr>
              <w:spacing w:line="360" w:lineRule="auto"/>
              <w:jc w:val="left"/>
              <w:rPr>
                <w:rFonts w:hint="eastAsia" w:ascii="宋体" w:hAnsi="宋体" w:cs="宋体"/>
                <w:color w:val="auto"/>
                <w:sz w:val="18"/>
                <w:highlight w:val="none"/>
              </w:rPr>
            </w:pPr>
            <w:r>
              <w:rPr>
                <w:rFonts w:hint="eastAsia" w:ascii="宋体" w:hAnsi="宋体" w:cs="宋体"/>
                <w:color w:val="auto"/>
                <w:sz w:val="18"/>
                <w:szCs w:val="21"/>
                <w:highlight w:val="none"/>
              </w:rPr>
              <w:t>投标文件签字盖章</w:t>
            </w:r>
          </w:p>
        </w:tc>
        <w:tc>
          <w:tcPr>
            <w:tcW w:w="2686" w:type="dxa"/>
            <w:vAlign w:val="center"/>
          </w:tcPr>
          <w:p>
            <w:pPr>
              <w:snapToGrid w:val="0"/>
              <w:spacing w:line="360" w:lineRule="auto"/>
              <w:rPr>
                <w:rFonts w:hint="eastAsia" w:ascii="宋体" w:hAnsi="宋体" w:cs="宋体"/>
                <w:color w:val="auto"/>
                <w:sz w:val="18"/>
                <w:szCs w:val="21"/>
                <w:highlight w:val="none"/>
              </w:rPr>
            </w:pPr>
            <w:r>
              <w:rPr>
                <w:rFonts w:hint="eastAsia" w:ascii="宋体" w:hAnsi="宋体" w:cs="宋体"/>
                <w:color w:val="auto"/>
                <w:sz w:val="18"/>
                <w:szCs w:val="18"/>
                <w:highlight w:val="none"/>
              </w:rPr>
              <w:t>由法定代表人（或其委托代理人）签名（或加盖印章），并加盖投标人的单位公章。投标人加盖的单位公章与其营业执照的单位名称应当一致。</w:t>
            </w: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exact"/>
          <w:jc w:val="center"/>
        </w:trPr>
        <w:tc>
          <w:tcPr>
            <w:tcW w:w="474"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3</w:t>
            </w:r>
          </w:p>
        </w:tc>
        <w:tc>
          <w:tcPr>
            <w:tcW w:w="1380" w:type="dxa"/>
            <w:vAlign w:val="center"/>
          </w:tcPr>
          <w:p>
            <w:pPr>
              <w:spacing w:line="240" w:lineRule="exact"/>
              <w:jc w:val="left"/>
              <w:rPr>
                <w:rFonts w:hint="eastAsia" w:ascii="宋体" w:hAnsi="宋体" w:cs="宋体"/>
                <w:color w:val="auto"/>
                <w:sz w:val="18"/>
                <w:highlight w:val="none"/>
              </w:rPr>
            </w:pPr>
            <w:r>
              <w:rPr>
                <w:rFonts w:hint="eastAsia" w:ascii="宋体" w:hAnsi="宋体" w:cs="宋体"/>
                <w:color w:val="auto"/>
                <w:sz w:val="18"/>
                <w:szCs w:val="21"/>
                <w:highlight w:val="none"/>
              </w:rPr>
              <w:t>投标文件</w:t>
            </w:r>
          </w:p>
        </w:tc>
        <w:tc>
          <w:tcPr>
            <w:tcW w:w="2686" w:type="dxa"/>
            <w:vAlign w:val="center"/>
          </w:tcPr>
          <w:p>
            <w:pPr>
              <w:spacing w:line="240" w:lineRule="exact"/>
              <w:rPr>
                <w:rFonts w:hint="eastAsia" w:ascii="宋体" w:hAnsi="宋体" w:cs="宋体"/>
                <w:color w:val="auto"/>
                <w:sz w:val="18"/>
                <w:szCs w:val="21"/>
                <w:highlight w:val="none"/>
              </w:rPr>
            </w:pPr>
            <w:r>
              <w:rPr>
                <w:rFonts w:hint="eastAsia" w:ascii="宋体" w:hAnsi="宋体" w:cs="宋体"/>
                <w:color w:val="auto"/>
                <w:sz w:val="18"/>
                <w:szCs w:val="21"/>
                <w:highlight w:val="none"/>
              </w:rPr>
              <w:t>同一投标人未提交两份以上不同内容的投标文件，但招标文件要求提交备选投标的除外</w:t>
            </w: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474"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4</w:t>
            </w:r>
          </w:p>
        </w:tc>
        <w:tc>
          <w:tcPr>
            <w:tcW w:w="1380" w:type="dxa"/>
            <w:vAlign w:val="center"/>
          </w:tcPr>
          <w:p>
            <w:pPr>
              <w:spacing w:line="360" w:lineRule="auto"/>
              <w:jc w:val="left"/>
              <w:rPr>
                <w:rFonts w:hint="eastAsia" w:ascii="宋体" w:hAnsi="宋体" w:cs="宋体"/>
                <w:color w:val="auto"/>
                <w:sz w:val="18"/>
                <w:szCs w:val="21"/>
                <w:highlight w:val="none"/>
              </w:rPr>
            </w:pPr>
            <w:r>
              <w:rPr>
                <w:rFonts w:hint="eastAsia" w:ascii="宋体" w:hAnsi="宋体" w:cs="宋体"/>
                <w:color w:val="auto"/>
                <w:sz w:val="18"/>
                <w:highlight w:val="none"/>
              </w:rPr>
              <w:t>联合体协议书（如有的话）</w:t>
            </w:r>
          </w:p>
        </w:tc>
        <w:tc>
          <w:tcPr>
            <w:tcW w:w="2686" w:type="dxa"/>
            <w:vAlign w:val="center"/>
          </w:tcPr>
          <w:p>
            <w:pPr>
              <w:spacing w:line="360" w:lineRule="auto"/>
              <w:rPr>
                <w:rFonts w:hint="eastAsia" w:ascii="宋体" w:hAnsi="宋体" w:cs="宋体"/>
                <w:color w:val="auto"/>
                <w:sz w:val="18"/>
                <w:szCs w:val="21"/>
                <w:highlight w:val="none"/>
              </w:rPr>
            </w:pPr>
            <w:r>
              <w:rPr>
                <w:rFonts w:hint="eastAsia" w:ascii="宋体" w:hAnsi="宋体" w:cs="宋体"/>
                <w:color w:val="auto"/>
                <w:sz w:val="18"/>
                <w:szCs w:val="21"/>
                <w:highlight w:val="none"/>
              </w:rPr>
              <w:t xml:space="preserve"> 提交共同投标协议，且明确了牵头人</w:t>
            </w: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474"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5</w:t>
            </w:r>
          </w:p>
        </w:tc>
        <w:tc>
          <w:tcPr>
            <w:tcW w:w="1380" w:type="dxa"/>
            <w:vAlign w:val="center"/>
          </w:tcPr>
          <w:p>
            <w:pPr>
              <w:spacing w:line="360" w:lineRule="auto"/>
              <w:jc w:val="left"/>
              <w:rPr>
                <w:rFonts w:hint="eastAsia" w:ascii="宋体" w:hAnsi="宋体" w:cs="宋体"/>
                <w:color w:val="auto"/>
                <w:sz w:val="18"/>
                <w:highlight w:val="none"/>
              </w:rPr>
            </w:pPr>
            <w:r>
              <w:rPr>
                <w:rFonts w:hint="eastAsia" w:ascii="宋体" w:hAnsi="宋体" w:cs="宋体"/>
                <w:color w:val="auto"/>
                <w:sz w:val="18"/>
                <w:szCs w:val="21"/>
                <w:highlight w:val="none"/>
              </w:rPr>
              <w:t>报价唯一</w:t>
            </w:r>
          </w:p>
        </w:tc>
        <w:tc>
          <w:tcPr>
            <w:tcW w:w="2686" w:type="dxa"/>
            <w:vAlign w:val="center"/>
          </w:tcPr>
          <w:p>
            <w:pPr>
              <w:spacing w:line="360" w:lineRule="auto"/>
              <w:jc w:val="left"/>
              <w:rPr>
                <w:rFonts w:hint="eastAsia" w:ascii="宋体" w:hAnsi="宋体" w:cs="宋体"/>
                <w:color w:val="auto"/>
                <w:sz w:val="18"/>
                <w:highlight w:val="none"/>
              </w:rPr>
            </w:pPr>
            <w:r>
              <w:rPr>
                <w:rFonts w:hint="eastAsia" w:ascii="宋体" w:hAnsi="宋体" w:cs="宋体"/>
                <w:color w:val="auto"/>
                <w:sz w:val="18"/>
                <w:szCs w:val="21"/>
                <w:highlight w:val="none"/>
              </w:rPr>
              <w:t>是同一投标人未提交两份以上不同内容的投标报价，但招标文件要求提交备选投标的除外</w:t>
            </w: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474" w:type="dxa"/>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6</w:t>
            </w:r>
          </w:p>
        </w:tc>
        <w:tc>
          <w:tcPr>
            <w:tcW w:w="1380" w:type="dxa"/>
            <w:vAlign w:val="center"/>
          </w:tcPr>
          <w:p>
            <w:pPr>
              <w:spacing w:line="360" w:lineRule="auto"/>
              <w:jc w:val="left"/>
              <w:rPr>
                <w:rFonts w:hint="eastAsia" w:ascii="宋体" w:hAnsi="宋体" w:cs="宋体"/>
                <w:color w:val="auto"/>
                <w:sz w:val="18"/>
                <w:szCs w:val="21"/>
                <w:highlight w:val="none"/>
              </w:rPr>
            </w:pPr>
            <w:r>
              <w:rPr>
                <w:rFonts w:hint="eastAsia" w:ascii="宋体" w:hAnsi="宋体" w:cs="宋体"/>
                <w:color w:val="auto"/>
                <w:sz w:val="18"/>
                <w:szCs w:val="21"/>
                <w:highlight w:val="none"/>
              </w:rPr>
              <w:t>其他</w:t>
            </w:r>
          </w:p>
        </w:tc>
        <w:tc>
          <w:tcPr>
            <w:tcW w:w="2686" w:type="dxa"/>
            <w:vAlign w:val="center"/>
          </w:tcPr>
          <w:p>
            <w:pPr>
              <w:spacing w:line="360" w:lineRule="auto"/>
              <w:jc w:val="left"/>
              <w:rPr>
                <w:rFonts w:hint="eastAsia" w:ascii="宋体" w:hAnsi="宋体" w:cs="宋体"/>
                <w:color w:val="auto"/>
                <w:sz w:val="18"/>
                <w:szCs w:val="21"/>
                <w:highlight w:val="none"/>
              </w:rPr>
            </w:pPr>
            <w:r>
              <w:rPr>
                <w:rFonts w:hint="eastAsia" w:ascii="宋体" w:hAnsi="宋体" w:cs="宋体"/>
                <w:color w:val="auto"/>
                <w:sz w:val="18"/>
                <w:szCs w:val="21"/>
                <w:highlight w:val="none"/>
              </w:rPr>
              <w:t>投标人没有其它不符合法律法规及招标文件相关形式规定的情况。</w:t>
            </w:r>
          </w:p>
        </w:tc>
        <w:tc>
          <w:tcPr>
            <w:tcW w:w="429" w:type="dxa"/>
            <w:vAlign w:val="center"/>
          </w:tcPr>
          <w:p>
            <w:pPr>
              <w:spacing w:line="360" w:lineRule="auto"/>
              <w:jc w:val="center"/>
              <w:rPr>
                <w:rFonts w:hint="eastAsia" w:ascii="宋体" w:hAnsi="宋体" w:cs="宋体"/>
                <w:color w:val="auto"/>
                <w:sz w:val="18"/>
                <w:highlight w:val="none"/>
              </w:rPr>
            </w:pPr>
          </w:p>
        </w:tc>
        <w:tc>
          <w:tcPr>
            <w:tcW w:w="452"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29" w:type="dxa"/>
            <w:vAlign w:val="center"/>
          </w:tcPr>
          <w:p>
            <w:pPr>
              <w:spacing w:line="360" w:lineRule="auto"/>
              <w:jc w:val="center"/>
              <w:rPr>
                <w:rFonts w:hint="eastAsia" w:ascii="宋体" w:hAnsi="宋体" w:cs="宋体"/>
                <w:color w:val="auto"/>
                <w:sz w:val="18"/>
                <w:highlight w:val="none"/>
              </w:rPr>
            </w:pPr>
          </w:p>
        </w:tc>
        <w:tc>
          <w:tcPr>
            <w:tcW w:w="672" w:type="dxa"/>
            <w:vAlign w:val="center"/>
          </w:tcPr>
          <w:p>
            <w:pPr>
              <w:spacing w:line="360" w:lineRule="auto"/>
              <w:jc w:val="center"/>
              <w:rPr>
                <w:rFonts w:hint="eastAsia" w:ascii="宋体" w:hAnsi="宋体" w:cs="宋体"/>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74"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1380" w:type="dxa"/>
            <w:tcBorders>
              <w:bottom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评审结论</w:t>
            </w:r>
          </w:p>
        </w:tc>
        <w:tc>
          <w:tcPr>
            <w:tcW w:w="2686" w:type="dxa"/>
            <w:tcBorders>
              <w:bottom w:val="single" w:color="auto" w:sz="12" w:space="0"/>
            </w:tcBorders>
            <w:vAlign w:val="center"/>
          </w:tcPr>
          <w:p>
            <w:pPr>
              <w:spacing w:line="360" w:lineRule="auto"/>
              <w:jc w:val="center"/>
              <w:rPr>
                <w:rFonts w:hint="eastAsia" w:ascii="宋体" w:hAnsi="宋体" w:cs="宋体"/>
                <w:color w:val="auto"/>
                <w:sz w:val="18"/>
                <w:highlight w:val="none"/>
              </w:rPr>
            </w:pPr>
            <w:r>
              <w:rPr>
                <w:rFonts w:hint="eastAsia" w:ascii="宋体" w:hAnsi="宋体" w:cs="宋体"/>
                <w:color w:val="auto"/>
                <w:sz w:val="18"/>
                <w:highlight w:val="none"/>
              </w:rPr>
              <w:t>合格或不合格</w:t>
            </w:r>
          </w:p>
        </w:tc>
        <w:tc>
          <w:tcPr>
            <w:tcW w:w="429"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452"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629"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629"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629"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629"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629"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c>
          <w:tcPr>
            <w:tcW w:w="672" w:type="dxa"/>
            <w:tcBorders>
              <w:bottom w:val="single" w:color="auto" w:sz="12" w:space="0"/>
            </w:tcBorders>
            <w:vAlign w:val="center"/>
          </w:tcPr>
          <w:p>
            <w:pPr>
              <w:spacing w:line="360" w:lineRule="auto"/>
              <w:jc w:val="center"/>
              <w:rPr>
                <w:rFonts w:hint="eastAsia" w:ascii="宋体" w:hAnsi="宋体" w:cs="宋体"/>
                <w:color w:val="auto"/>
                <w:sz w:val="18"/>
                <w:highlight w:val="none"/>
              </w:rPr>
            </w:pPr>
          </w:p>
        </w:tc>
      </w:tr>
    </w:tbl>
    <w:p>
      <w:pPr>
        <w:spacing w:line="360" w:lineRule="auto"/>
        <w:ind w:left="20" w:firstLine="420"/>
        <w:rPr>
          <w:rFonts w:hint="eastAsia" w:ascii="宋体" w:hAnsi="宋体" w:cs="宋体"/>
          <w:color w:val="auto"/>
          <w:highlight w:val="none"/>
        </w:rPr>
      </w:pPr>
      <w:r>
        <w:rPr>
          <w:rFonts w:hint="eastAsia" w:ascii="宋体" w:hAnsi="宋体" w:cs="宋体"/>
          <w:color w:val="auto"/>
          <w:highlight w:val="none"/>
        </w:rPr>
        <w:t>备注：以上内容合格的打“√”，不合格的打“×”，有一项不合格则结论为不合格。</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评标委员会全体成员签字/日期：</w:t>
      </w:r>
    </w:p>
    <w:p>
      <w:pPr>
        <w:spacing w:line="360" w:lineRule="auto"/>
        <w:ind w:firstLine="420"/>
        <w:rPr>
          <w:rFonts w:hint="eastAsia" w:ascii="宋体" w:hAnsi="宋体" w:cs="宋体"/>
          <w:color w:val="auto"/>
          <w:szCs w:val="21"/>
          <w:highlight w:val="none"/>
        </w:rPr>
        <w:sectPr>
          <w:pgSz w:w="11906" w:h="16838"/>
          <w:pgMar w:top="1440" w:right="1440" w:bottom="1440" w:left="1440" w:header="851" w:footer="992" w:gutter="0"/>
          <w:pgNumType w:fmt="numberInDash"/>
          <w:cols w:space="720" w:num="1"/>
          <w:docGrid w:linePitch="312" w:charSpace="0"/>
        </w:sectPr>
      </w:pPr>
    </w:p>
    <w:p>
      <w:pPr>
        <w:pStyle w:val="6"/>
        <w:spacing w:line="24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附表3-4：资格评审记录表</w:t>
      </w:r>
    </w:p>
    <w:p>
      <w:pPr>
        <w:snapToGrid w:val="0"/>
        <w:spacing w:before="120" w:beforeLines="50" w:after="120" w:afterLines="50" w:line="360" w:lineRule="auto"/>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资格评审记录表</w:t>
      </w:r>
    </w:p>
    <w:p>
      <w:pPr>
        <w:rPr>
          <w:rFonts w:hint="eastAsia" w:ascii="宋体" w:hAnsi="宋体" w:cs="宋体"/>
          <w:color w:val="auto"/>
          <w:highlight w:val="none"/>
        </w:rPr>
      </w:pPr>
      <w:r>
        <w:rPr>
          <w:rFonts w:hint="eastAsia" w:ascii="宋体" w:hAnsi="宋体" w:cs="宋体"/>
          <w:color w:val="auto"/>
          <w:highlight w:val="none"/>
        </w:rPr>
        <w:t>工程名称：</w:t>
      </w:r>
      <w:r>
        <w:rPr>
          <w:rFonts w:hint="eastAsia" w:ascii="宋体" w:hAnsi="宋体" w:cs="宋体"/>
          <w:color w:val="auto"/>
          <w:highlight w:val="none"/>
          <w:u w:val="single"/>
        </w:rPr>
        <w:t xml:space="preserve">      （项目名称） </w:t>
      </w:r>
    </w:p>
    <w:tbl>
      <w:tblPr>
        <w:tblStyle w:val="21"/>
        <w:tblpPr w:leftFromText="180" w:rightFromText="180" w:vertAnchor="text" w:horzAnchor="page" w:tblpX="1257" w:tblpY="278"/>
        <w:tblOverlap w:val="never"/>
        <w:tblW w:w="9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79"/>
        <w:gridCol w:w="2282"/>
        <w:gridCol w:w="4181"/>
        <w:gridCol w:w="660"/>
        <w:gridCol w:w="60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dxa"/>
            <w:vMerge w:val="restart"/>
            <w:vAlign w:val="center"/>
          </w:tcPr>
          <w:p>
            <w:pPr>
              <w:jc w:val="left"/>
              <w:rPr>
                <w:rFonts w:hint="eastAsia" w:ascii="宋体" w:hAnsi="宋体" w:cs="宋体"/>
                <w:color w:val="auto"/>
                <w:highlight w:val="none"/>
              </w:rPr>
            </w:pPr>
            <w:r>
              <w:rPr>
                <w:rFonts w:hint="eastAsia" w:ascii="宋体" w:hAnsi="宋体" w:cs="宋体"/>
                <w:color w:val="auto"/>
                <w:highlight w:val="none"/>
              </w:rPr>
              <w:t>2.1.2</w:t>
            </w:r>
          </w:p>
        </w:tc>
        <w:tc>
          <w:tcPr>
            <w:tcW w:w="679" w:type="dxa"/>
            <w:vMerge w:val="restart"/>
            <w:vAlign w:val="center"/>
          </w:tcPr>
          <w:p>
            <w:pPr>
              <w:jc w:val="left"/>
              <w:rPr>
                <w:rFonts w:hint="eastAsia" w:ascii="宋体" w:hAnsi="宋体" w:cs="宋体"/>
                <w:color w:val="auto"/>
                <w:highlight w:val="none"/>
              </w:rPr>
            </w:pPr>
            <w:r>
              <w:rPr>
                <w:rFonts w:hint="eastAsia" w:ascii="宋体" w:hAnsi="宋体" w:cs="宋体"/>
                <w:color w:val="auto"/>
                <w:highlight w:val="none"/>
              </w:rPr>
              <w:t>资格评审标准</w:t>
            </w:r>
          </w:p>
        </w:tc>
        <w:tc>
          <w:tcPr>
            <w:tcW w:w="6463" w:type="dxa"/>
            <w:gridSpan w:val="2"/>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1740" w:type="dxa"/>
            <w:gridSpan w:val="3"/>
            <w:vAlign w:val="center"/>
          </w:tcPr>
          <w:p>
            <w:pPr>
              <w:jc w:val="left"/>
              <w:rPr>
                <w:rFonts w:hint="eastAsia" w:ascii="宋体" w:hAnsi="宋体" w:cs="宋体"/>
                <w:color w:val="auto"/>
                <w:highlight w:val="none"/>
              </w:rPr>
            </w:pPr>
            <w:r>
              <w:rPr>
                <w:rFonts w:hint="eastAsia" w:ascii="宋体" w:hAnsi="宋体" w:cs="宋体"/>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7" w:type="dxa"/>
            <w:vMerge w:val="continue"/>
            <w:vAlign w:val="center"/>
          </w:tcPr>
          <w:p>
            <w:pPr>
              <w:rPr>
                <w:rFonts w:hint="eastAsia" w:ascii="宋体" w:hAnsi="宋体" w:cs="宋体"/>
                <w:color w:val="auto"/>
                <w:highlight w:val="none"/>
              </w:rPr>
            </w:pPr>
          </w:p>
        </w:tc>
        <w:tc>
          <w:tcPr>
            <w:tcW w:w="679" w:type="dxa"/>
            <w:vMerge w:val="continue"/>
            <w:vAlign w:val="center"/>
          </w:tcPr>
          <w:p>
            <w:pPr>
              <w:rPr>
                <w:rFonts w:hint="eastAsia" w:ascii="宋体" w:hAnsi="宋体" w:cs="宋体"/>
                <w:color w:val="auto"/>
                <w:highlight w:val="none"/>
              </w:rPr>
            </w:pPr>
          </w:p>
        </w:tc>
        <w:tc>
          <w:tcPr>
            <w:tcW w:w="6463" w:type="dxa"/>
            <w:gridSpan w:val="2"/>
            <w:vMerge w:val="continue"/>
            <w:vAlign w:val="center"/>
          </w:tcPr>
          <w:p>
            <w:pPr>
              <w:rPr>
                <w:rFonts w:hint="eastAsia" w:ascii="宋体" w:hAnsi="宋体" w:cs="宋体"/>
                <w:color w:val="auto"/>
                <w:highlight w:val="none"/>
              </w:rPr>
            </w:pPr>
          </w:p>
        </w:tc>
        <w:tc>
          <w:tcPr>
            <w:tcW w:w="660" w:type="dxa"/>
            <w:vAlign w:val="center"/>
          </w:tcPr>
          <w:p>
            <w:pPr>
              <w:rPr>
                <w:rFonts w:hint="eastAsia" w:ascii="宋体" w:hAnsi="宋体" w:cs="宋体"/>
                <w:color w:val="auto"/>
                <w:highlight w:val="none"/>
              </w:rPr>
            </w:pPr>
          </w:p>
        </w:tc>
        <w:tc>
          <w:tcPr>
            <w:tcW w:w="600" w:type="dxa"/>
            <w:vAlign w:val="center"/>
          </w:tcPr>
          <w:p>
            <w:pPr>
              <w:rPr>
                <w:rFonts w:hint="eastAsia" w:ascii="宋体" w:hAnsi="宋体" w:cs="宋体"/>
                <w:color w:val="auto"/>
                <w:highlight w:val="none"/>
              </w:rPr>
            </w:pPr>
          </w:p>
        </w:tc>
        <w:tc>
          <w:tcPr>
            <w:tcW w:w="480"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7" w:type="dxa"/>
            <w:vMerge w:val="continue"/>
            <w:vAlign w:val="center"/>
          </w:tcPr>
          <w:p>
            <w:pPr>
              <w:jc w:val="left"/>
              <w:rPr>
                <w:rFonts w:hint="eastAsia" w:ascii="宋体" w:hAnsi="宋体" w:cs="宋体"/>
                <w:color w:val="auto"/>
                <w:highlight w:val="none"/>
              </w:rPr>
            </w:pPr>
          </w:p>
        </w:tc>
        <w:tc>
          <w:tcPr>
            <w:tcW w:w="679" w:type="dxa"/>
            <w:vMerge w:val="continue"/>
            <w:vAlign w:val="center"/>
          </w:tcPr>
          <w:p>
            <w:pPr>
              <w:jc w:val="left"/>
              <w:rPr>
                <w:rFonts w:hint="eastAsia" w:ascii="宋体" w:hAnsi="宋体" w:cs="宋体"/>
                <w:color w:val="auto"/>
                <w:highlight w:val="none"/>
              </w:rPr>
            </w:pPr>
          </w:p>
        </w:tc>
        <w:tc>
          <w:tcPr>
            <w:tcW w:w="2282" w:type="dxa"/>
            <w:vAlign w:val="center"/>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营业执照</w:t>
            </w:r>
          </w:p>
        </w:tc>
        <w:tc>
          <w:tcPr>
            <w:tcW w:w="4181" w:type="dxa"/>
            <w:vAlign w:val="center"/>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投标人具有有效的营业执照</w:t>
            </w:r>
          </w:p>
        </w:tc>
        <w:tc>
          <w:tcPr>
            <w:tcW w:w="660" w:type="dxa"/>
            <w:vAlign w:val="center"/>
          </w:tcPr>
          <w:p>
            <w:pPr>
              <w:rPr>
                <w:rFonts w:hint="eastAsia" w:ascii="宋体" w:hAnsi="宋体" w:cs="宋体"/>
                <w:color w:val="auto"/>
                <w:highlight w:val="none"/>
              </w:rPr>
            </w:pPr>
          </w:p>
        </w:tc>
        <w:tc>
          <w:tcPr>
            <w:tcW w:w="600" w:type="dxa"/>
            <w:vAlign w:val="center"/>
          </w:tcPr>
          <w:p>
            <w:pPr>
              <w:rPr>
                <w:rFonts w:hint="eastAsia" w:ascii="宋体" w:hAnsi="宋体" w:cs="宋体"/>
                <w:color w:val="auto"/>
                <w:highlight w:val="none"/>
              </w:rPr>
            </w:pPr>
          </w:p>
        </w:tc>
        <w:tc>
          <w:tcPr>
            <w:tcW w:w="480"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资质等级（可扫描二维码的复印件或扫描件）</w:t>
            </w:r>
          </w:p>
        </w:tc>
        <w:tc>
          <w:tcPr>
            <w:tcW w:w="4181"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投标人资质等级符合招标文件要求。</w:t>
            </w:r>
          </w:p>
        </w:tc>
        <w:tc>
          <w:tcPr>
            <w:tcW w:w="660" w:type="dxa"/>
            <w:vAlign w:val="center"/>
          </w:tcPr>
          <w:p>
            <w:pPr>
              <w:spacing w:line="360" w:lineRule="auto"/>
              <w:rPr>
                <w:rFonts w:hint="eastAsia" w:ascii="宋体" w:hAnsi="宋体" w:cs="宋体"/>
                <w:color w:val="auto"/>
                <w:sz w:val="18"/>
                <w:szCs w:val="18"/>
                <w:highlight w:val="none"/>
              </w:rPr>
            </w:pPr>
          </w:p>
        </w:tc>
        <w:tc>
          <w:tcPr>
            <w:tcW w:w="600" w:type="dxa"/>
            <w:vAlign w:val="center"/>
          </w:tcPr>
          <w:p>
            <w:pPr>
              <w:spacing w:line="360" w:lineRule="auto"/>
              <w:rPr>
                <w:rFonts w:hint="eastAsia" w:ascii="宋体" w:hAnsi="宋体" w:cs="宋体"/>
                <w:color w:val="auto"/>
                <w:sz w:val="18"/>
                <w:szCs w:val="18"/>
                <w:highlight w:val="none"/>
              </w:rPr>
            </w:pPr>
          </w:p>
        </w:tc>
        <w:tc>
          <w:tcPr>
            <w:tcW w:w="480" w:type="dxa"/>
            <w:vAlign w:val="center"/>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企业安全生产许可证副本</w:t>
            </w:r>
          </w:p>
        </w:tc>
        <w:tc>
          <w:tcPr>
            <w:tcW w:w="4181" w:type="dxa"/>
            <w:vAlign w:val="top"/>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投标人具有有效的</w:t>
            </w:r>
            <w:r>
              <w:rPr>
                <w:rFonts w:hint="eastAsia" w:ascii="宋体" w:hAnsi="宋体" w:cs="宋体"/>
                <w:color w:val="auto"/>
                <w:sz w:val="18"/>
                <w:szCs w:val="18"/>
                <w:highlight w:val="none"/>
                <w:lang w:val="en-US" w:eastAsia="zh-CN"/>
              </w:rPr>
              <w:t>企业</w:t>
            </w:r>
            <w:r>
              <w:rPr>
                <w:rFonts w:hint="eastAsia" w:ascii="宋体" w:hAnsi="宋体" w:cs="宋体"/>
                <w:color w:val="auto"/>
                <w:sz w:val="18"/>
                <w:szCs w:val="18"/>
                <w:highlight w:val="none"/>
              </w:rPr>
              <w:t>安全生产许可证。</w:t>
            </w:r>
          </w:p>
        </w:tc>
        <w:tc>
          <w:tcPr>
            <w:tcW w:w="660" w:type="dxa"/>
            <w:vAlign w:val="top"/>
          </w:tcPr>
          <w:p>
            <w:pPr>
              <w:spacing w:line="360" w:lineRule="auto"/>
              <w:rPr>
                <w:rFonts w:hint="eastAsia" w:ascii="宋体" w:hAnsi="宋体" w:cs="宋体"/>
                <w:color w:val="auto"/>
                <w:sz w:val="18"/>
                <w:szCs w:val="18"/>
                <w:highlight w:val="none"/>
              </w:rPr>
            </w:pPr>
          </w:p>
        </w:tc>
        <w:tc>
          <w:tcPr>
            <w:tcW w:w="600" w:type="dxa"/>
            <w:vAlign w:val="top"/>
          </w:tcPr>
          <w:p>
            <w:pPr>
              <w:spacing w:line="360" w:lineRule="auto"/>
              <w:rPr>
                <w:rFonts w:hint="eastAsia" w:ascii="宋体" w:hAnsi="宋体" w:cs="宋体"/>
                <w:color w:val="auto"/>
                <w:sz w:val="18"/>
                <w:szCs w:val="18"/>
                <w:highlight w:val="none"/>
              </w:rPr>
            </w:pPr>
          </w:p>
        </w:tc>
        <w:tc>
          <w:tcPr>
            <w:tcW w:w="480" w:type="dxa"/>
            <w:vAlign w:val="top"/>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项目</w:t>
            </w:r>
            <w:r>
              <w:rPr>
                <w:rFonts w:hint="eastAsia" w:ascii="宋体" w:hAnsi="宋体" w:cs="宋体"/>
                <w:color w:val="auto"/>
                <w:sz w:val="18"/>
                <w:szCs w:val="18"/>
                <w:highlight w:val="none"/>
                <w:lang w:val="en-US" w:eastAsia="zh-CN"/>
              </w:rPr>
              <w:t>总负责人</w:t>
            </w:r>
            <w:r>
              <w:rPr>
                <w:rFonts w:hint="eastAsia" w:ascii="宋体" w:hAnsi="宋体" w:cs="宋体"/>
                <w:color w:val="auto"/>
                <w:sz w:val="18"/>
                <w:szCs w:val="18"/>
                <w:highlight w:val="none"/>
              </w:rPr>
              <w:t>证书、技术负责人证、施工负责人</w:t>
            </w:r>
          </w:p>
        </w:tc>
        <w:tc>
          <w:tcPr>
            <w:tcW w:w="4181" w:type="dxa"/>
            <w:vAlign w:val="top"/>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项目经理、技术负责人、施工负责人符合招标文件要求。</w:t>
            </w:r>
          </w:p>
        </w:tc>
        <w:tc>
          <w:tcPr>
            <w:tcW w:w="660" w:type="dxa"/>
            <w:vAlign w:val="top"/>
          </w:tcPr>
          <w:p>
            <w:pPr>
              <w:spacing w:line="360" w:lineRule="auto"/>
              <w:rPr>
                <w:rFonts w:hint="eastAsia" w:ascii="宋体" w:hAnsi="宋体" w:cs="宋体"/>
                <w:color w:val="auto"/>
                <w:sz w:val="18"/>
                <w:szCs w:val="18"/>
                <w:highlight w:val="none"/>
              </w:rPr>
            </w:pPr>
          </w:p>
        </w:tc>
        <w:tc>
          <w:tcPr>
            <w:tcW w:w="600" w:type="dxa"/>
            <w:vAlign w:val="top"/>
          </w:tcPr>
          <w:p>
            <w:pPr>
              <w:spacing w:line="360" w:lineRule="auto"/>
              <w:rPr>
                <w:rFonts w:hint="eastAsia" w:ascii="宋体" w:hAnsi="宋体" w:cs="宋体"/>
                <w:color w:val="auto"/>
                <w:sz w:val="18"/>
                <w:szCs w:val="18"/>
                <w:highlight w:val="none"/>
              </w:rPr>
            </w:pPr>
          </w:p>
        </w:tc>
        <w:tc>
          <w:tcPr>
            <w:tcW w:w="480" w:type="dxa"/>
            <w:vAlign w:val="top"/>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项目设计负责人证书</w:t>
            </w:r>
          </w:p>
        </w:tc>
        <w:tc>
          <w:tcPr>
            <w:tcW w:w="4181"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项目设计负责人符合招标文件要求。</w:t>
            </w:r>
          </w:p>
        </w:tc>
        <w:tc>
          <w:tcPr>
            <w:tcW w:w="660" w:type="dxa"/>
            <w:vAlign w:val="top"/>
          </w:tcPr>
          <w:p>
            <w:pPr>
              <w:spacing w:line="360" w:lineRule="auto"/>
              <w:rPr>
                <w:rFonts w:hint="eastAsia" w:ascii="宋体" w:hAnsi="宋体" w:cs="宋体"/>
                <w:color w:val="auto"/>
                <w:sz w:val="18"/>
                <w:szCs w:val="18"/>
                <w:highlight w:val="none"/>
              </w:rPr>
            </w:pPr>
          </w:p>
        </w:tc>
        <w:tc>
          <w:tcPr>
            <w:tcW w:w="600" w:type="dxa"/>
            <w:vAlign w:val="top"/>
          </w:tcPr>
          <w:p>
            <w:pPr>
              <w:spacing w:line="360" w:lineRule="auto"/>
              <w:rPr>
                <w:rFonts w:hint="eastAsia" w:ascii="宋体" w:hAnsi="宋体" w:cs="宋体"/>
                <w:color w:val="auto"/>
                <w:sz w:val="18"/>
                <w:szCs w:val="18"/>
                <w:highlight w:val="none"/>
              </w:rPr>
            </w:pPr>
          </w:p>
        </w:tc>
        <w:tc>
          <w:tcPr>
            <w:tcW w:w="480" w:type="dxa"/>
            <w:vAlign w:val="top"/>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项目</w:t>
            </w:r>
            <w:r>
              <w:rPr>
                <w:rFonts w:hint="eastAsia" w:ascii="宋体" w:hAnsi="宋体" w:cs="宋体"/>
                <w:color w:val="auto"/>
                <w:sz w:val="18"/>
                <w:szCs w:val="18"/>
                <w:highlight w:val="none"/>
                <w:lang w:val="en-US" w:eastAsia="zh-CN"/>
              </w:rPr>
              <w:t>总负责人</w:t>
            </w:r>
            <w:r>
              <w:rPr>
                <w:rFonts w:hint="eastAsia" w:ascii="宋体" w:hAnsi="宋体" w:cs="宋体"/>
                <w:color w:val="auto"/>
                <w:sz w:val="18"/>
                <w:szCs w:val="18"/>
                <w:highlight w:val="none"/>
              </w:rPr>
              <w:t>及设计负责人、施工技术负责人、施工负责人在本单位的社保证明</w:t>
            </w:r>
          </w:p>
        </w:tc>
        <w:tc>
          <w:tcPr>
            <w:tcW w:w="4181"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项目经理及设计负责人、施工技术负责人、施工负责人在本单位具有投标截止时间前近半年期间任一连续三个月的缴纳养老保险证明，否则为不合格投标人。</w:t>
            </w:r>
          </w:p>
        </w:tc>
        <w:tc>
          <w:tcPr>
            <w:tcW w:w="660" w:type="dxa"/>
            <w:vAlign w:val="center"/>
          </w:tcPr>
          <w:p>
            <w:pPr>
              <w:spacing w:line="360" w:lineRule="auto"/>
              <w:rPr>
                <w:rFonts w:hint="eastAsia" w:ascii="宋体" w:hAnsi="宋体" w:cs="宋体"/>
                <w:color w:val="auto"/>
                <w:sz w:val="18"/>
                <w:szCs w:val="18"/>
                <w:highlight w:val="none"/>
              </w:rPr>
            </w:pPr>
          </w:p>
        </w:tc>
        <w:tc>
          <w:tcPr>
            <w:tcW w:w="600" w:type="dxa"/>
            <w:vAlign w:val="center"/>
          </w:tcPr>
          <w:p>
            <w:pPr>
              <w:spacing w:line="360" w:lineRule="auto"/>
              <w:rPr>
                <w:rFonts w:hint="eastAsia" w:ascii="宋体" w:hAnsi="宋体" w:cs="宋体"/>
                <w:color w:val="auto"/>
                <w:sz w:val="18"/>
                <w:szCs w:val="18"/>
                <w:highlight w:val="none"/>
              </w:rPr>
            </w:pPr>
          </w:p>
        </w:tc>
        <w:tc>
          <w:tcPr>
            <w:tcW w:w="480" w:type="dxa"/>
            <w:vAlign w:val="center"/>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资格要求的业绩</w:t>
            </w:r>
          </w:p>
        </w:tc>
        <w:tc>
          <w:tcPr>
            <w:tcW w:w="4181" w:type="dxa"/>
            <w:vAlign w:val="center"/>
          </w:tcPr>
          <w:p>
            <w:pPr>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投标人具有招标文件要求的类似业绩。</w:t>
            </w:r>
          </w:p>
        </w:tc>
        <w:tc>
          <w:tcPr>
            <w:tcW w:w="660" w:type="dxa"/>
            <w:vAlign w:val="center"/>
          </w:tcPr>
          <w:p>
            <w:pPr>
              <w:spacing w:line="360" w:lineRule="auto"/>
              <w:rPr>
                <w:rFonts w:hint="eastAsia" w:ascii="宋体" w:hAnsi="宋体" w:cs="宋体"/>
                <w:color w:val="auto"/>
                <w:sz w:val="18"/>
                <w:szCs w:val="18"/>
                <w:highlight w:val="none"/>
              </w:rPr>
            </w:pPr>
          </w:p>
        </w:tc>
        <w:tc>
          <w:tcPr>
            <w:tcW w:w="600" w:type="dxa"/>
            <w:vAlign w:val="center"/>
          </w:tcPr>
          <w:p>
            <w:pPr>
              <w:spacing w:line="360" w:lineRule="auto"/>
              <w:rPr>
                <w:rFonts w:hint="eastAsia" w:ascii="宋体" w:hAnsi="宋体" w:cs="宋体"/>
                <w:color w:val="auto"/>
                <w:sz w:val="18"/>
                <w:szCs w:val="18"/>
                <w:highlight w:val="none"/>
              </w:rPr>
            </w:pPr>
          </w:p>
        </w:tc>
        <w:tc>
          <w:tcPr>
            <w:tcW w:w="480" w:type="dxa"/>
            <w:vAlign w:val="center"/>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省外企业入湘登记</w:t>
            </w:r>
          </w:p>
        </w:tc>
        <w:tc>
          <w:tcPr>
            <w:tcW w:w="4181"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省外入湘企业在 “湖南省住房和城乡建设网” 进行了基本信息登记</w:t>
            </w:r>
          </w:p>
        </w:tc>
        <w:tc>
          <w:tcPr>
            <w:tcW w:w="660" w:type="dxa"/>
            <w:vAlign w:val="center"/>
          </w:tcPr>
          <w:p>
            <w:pPr>
              <w:spacing w:line="360" w:lineRule="auto"/>
              <w:rPr>
                <w:rFonts w:hint="eastAsia" w:ascii="宋体" w:hAnsi="宋体" w:cs="宋体"/>
                <w:color w:val="auto"/>
                <w:sz w:val="18"/>
                <w:szCs w:val="18"/>
                <w:highlight w:val="none"/>
              </w:rPr>
            </w:pPr>
          </w:p>
        </w:tc>
        <w:tc>
          <w:tcPr>
            <w:tcW w:w="600" w:type="dxa"/>
            <w:vAlign w:val="center"/>
          </w:tcPr>
          <w:p>
            <w:pPr>
              <w:spacing w:line="360" w:lineRule="auto"/>
              <w:rPr>
                <w:rFonts w:hint="eastAsia" w:ascii="宋体" w:hAnsi="宋体" w:cs="宋体"/>
                <w:color w:val="auto"/>
                <w:sz w:val="18"/>
                <w:szCs w:val="18"/>
                <w:highlight w:val="none"/>
              </w:rPr>
            </w:pPr>
          </w:p>
        </w:tc>
        <w:tc>
          <w:tcPr>
            <w:tcW w:w="480" w:type="dxa"/>
            <w:vAlign w:val="center"/>
          </w:tcPr>
          <w:p>
            <w:pPr>
              <w:spacing w:line="360" w:lineRule="auto"/>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7" w:type="dxa"/>
            <w:vMerge w:val="continue"/>
            <w:vAlign w:val="center"/>
          </w:tcPr>
          <w:p>
            <w:pPr>
              <w:spacing w:line="360" w:lineRule="auto"/>
              <w:jc w:val="center"/>
              <w:rPr>
                <w:rFonts w:hint="eastAsia" w:ascii="宋体" w:hAnsi="宋体" w:cs="宋体"/>
                <w:color w:val="auto"/>
                <w:sz w:val="18"/>
                <w:szCs w:val="18"/>
                <w:highlight w:val="none"/>
              </w:rPr>
            </w:pPr>
          </w:p>
        </w:tc>
        <w:tc>
          <w:tcPr>
            <w:tcW w:w="679" w:type="dxa"/>
            <w:vMerge w:val="continue"/>
            <w:vAlign w:val="center"/>
          </w:tcPr>
          <w:p>
            <w:pPr>
              <w:spacing w:line="360" w:lineRule="auto"/>
              <w:jc w:val="center"/>
              <w:rPr>
                <w:rFonts w:hint="eastAsia" w:ascii="宋体" w:hAnsi="宋体" w:cs="宋体"/>
                <w:color w:val="auto"/>
                <w:sz w:val="18"/>
                <w:szCs w:val="18"/>
                <w:highlight w:val="none"/>
              </w:rPr>
            </w:pPr>
          </w:p>
        </w:tc>
        <w:tc>
          <w:tcPr>
            <w:tcW w:w="2282"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投标保证</w:t>
            </w:r>
          </w:p>
        </w:tc>
        <w:tc>
          <w:tcPr>
            <w:tcW w:w="4181" w:type="dxa"/>
            <w:vAlign w:val="center"/>
          </w:tcPr>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投标保证是否符合招标文件的要求</w:t>
            </w:r>
          </w:p>
        </w:tc>
        <w:tc>
          <w:tcPr>
            <w:tcW w:w="660" w:type="dxa"/>
            <w:vAlign w:val="center"/>
          </w:tcPr>
          <w:p>
            <w:pPr>
              <w:spacing w:line="360" w:lineRule="auto"/>
              <w:rPr>
                <w:rFonts w:hint="eastAsia" w:ascii="宋体" w:hAnsi="宋体" w:cs="宋体"/>
                <w:color w:val="auto"/>
                <w:sz w:val="18"/>
                <w:szCs w:val="18"/>
                <w:highlight w:val="none"/>
              </w:rPr>
            </w:pPr>
          </w:p>
        </w:tc>
        <w:tc>
          <w:tcPr>
            <w:tcW w:w="600" w:type="dxa"/>
            <w:vAlign w:val="center"/>
          </w:tcPr>
          <w:p>
            <w:pPr>
              <w:spacing w:line="360" w:lineRule="auto"/>
              <w:rPr>
                <w:rFonts w:hint="eastAsia" w:ascii="宋体" w:hAnsi="宋体" w:cs="宋体"/>
                <w:color w:val="auto"/>
                <w:sz w:val="18"/>
                <w:szCs w:val="18"/>
                <w:highlight w:val="none"/>
              </w:rPr>
            </w:pPr>
          </w:p>
        </w:tc>
        <w:tc>
          <w:tcPr>
            <w:tcW w:w="480" w:type="dxa"/>
            <w:vAlign w:val="center"/>
          </w:tcPr>
          <w:p>
            <w:pPr>
              <w:spacing w:line="360" w:lineRule="auto"/>
              <w:rPr>
                <w:rFonts w:hint="eastAsia" w:ascii="宋体" w:hAnsi="宋体" w:cs="宋体"/>
                <w:color w:val="auto"/>
                <w:sz w:val="18"/>
                <w:szCs w:val="18"/>
                <w:highlight w:val="none"/>
              </w:rPr>
            </w:pPr>
          </w:p>
        </w:tc>
      </w:tr>
    </w:tbl>
    <w:p>
      <w:pPr>
        <w:spacing w:line="360" w:lineRule="auto"/>
        <w:ind w:left="20" w:firstLine="420"/>
        <w:rPr>
          <w:rFonts w:hint="eastAsia" w:ascii="宋体" w:hAnsi="宋体" w:cs="宋体"/>
          <w:color w:val="auto"/>
          <w:highlight w:val="none"/>
        </w:rPr>
      </w:pPr>
      <w:r>
        <w:rPr>
          <w:rFonts w:hint="eastAsia" w:ascii="宋体" w:hAnsi="宋体" w:cs="宋体"/>
          <w:color w:val="auto"/>
          <w:highlight w:val="none"/>
        </w:rPr>
        <w:t>备注：以上内容合格的打“√”，不合格的打“×”，有一项不合格则结论为不合格。</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评标委员会全体成员签字/日期：</w:t>
      </w:r>
    </w:p>
    <w:p>
      <w:pPr>
        <w:spacing w:line="360" w:lineRule="auto"/>
        <w:ind w:firstLine="420"/>
        <w:rPr>
          <w:rFonts w:hint="eastAsia" w:ascii="宋体" w:hAnsi="宋体" w:cs="宋体"/>
          <w:color w:val="auto"/>
          <w:highlight w:val="none"/>
        </w:rPr>
        <w:sectPr>
          <w:pgSz w:w="11900" w:h="16838"/>
          <w:pgMar w:top="1440" w:right="1440" w:bottom="1440" w:left="1440" w:header="0" w:footer="992" w:gutter="0"/>
          <w:pgNumType w:fmt="numberInDash"/>
          <w:cols w:space="720" w:num="1"/>
          <w:docGrid w:linePitch="360" w:charSpace="0"/>
        </w:sectPr>
      </w:pPr>
    </w:p>
    <w:p>
      <w:pPr>
        <w:pStyle w:val="6"/>
        <w:ind w:firstLine="480"/>
        <w:rPr>
          <w:rFonts w:hint="eastAsia" w:ascii="宋体" w:hAnsi="宋体" w:cs="宋体"/>
          <w:b w:val="0"/>
          <w:bCs w:val="0"/>
          <w:color w:val="auto"/>
          <w:highlight w:val="none"/>
        </w:rPr>
      </w:pPr>
      <w:r>
        <w:rPr>
          <w:rFonts w:hint="eastAsia" w:ascii="宋体" w:hAnsi="宋体" w:cs="宋体"/>
          <w:b w:val="0"/>
          <w:bCs w:val="0"/>
          <w:color w:val="auto"/>
          <w:highlight w:val="none"/>
        </w:rPr>
        <w:t>附表3-5：响应性评审记录表</w:t>
      </w:r>
    </w:p>
    <w:p>
      <w:pPr>
        <w:spacing w:before="120" w:beforeLines="50" w:after="120" w:afterLines="50" w:line="360" w:lineRule="auto"/>
        <w:ind w:firstLine="560"/>
        <w:jc w:val="center"/>
        <w:rPr>
          <w:rFonts w:hint="eastAsia" w:ascii="宋体" w:hAnsi="宋体" w:cs="宋体"/>
          <w:color w:val="auto"/>
          <w:sz w:val="24"/>
          <w:highlight w:val="none"/>
        </w:rPr>
      </w:pPr>
      <w:r>
        <w:rPr>
          <w:rFonts w:hint="eastAsia" w:ascii="宋体" w:hAnsi="宋体" w:cs="宋体"/>
          <w:color w:val="auto"/>
          <w:sz w:val="24"/>
          <w:highlight w:val="none"/>
        </w:rPr>
        <w:t>响应性评审记录表</w:t>
      </w:r>
    </w:p>
    <w:p>
      <w:pPr>
        <w:pStyle w:val="4"/>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工程名称：</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 xml:space="preserve">（项目名称） </w:t>
      </w:r>
    </w:p>
    <w:tbl>
      <w:tblPr>
        <w:tblStyle w:val="21"/>
        <w:tblW w:w="9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23"/>
        <w:gridCol w:w="4300"/>
        <w:gridCol w:w="705"/>
        <w:gridCol w:w="780"/>
        <w:gridCol w:w="870"/>
        <w:gridCol w:w="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770" w:type="dxa"/>
            <w:vMerge w:val="restart"/>
            <w:tcBorders>
              <w:top w:val="single" w:color="auto" w:sz="12" w:space="0"/>
            </w:tcBorders>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5323" w:type="dxa"/>
            <w:gridSpan w:val="2"/>
            <w:vMerge w:val="restart"/>
            <w:tcBorders>
              <w:top w:val="single" w:color="auto" w:sz="12" w:space="0"/>
            </w:tcBorders>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评审因素</w:t>
            </w:r>
          </w:p>
        </w:tc>
        <w:tc>
          <w:tcPr>
            <w:tcW w:w="3106" w:type="dxa"/>
            <w:gridSpan w:val="4"/>
            <w:tcBorders>
              <w:top w:val="single" w:color="auto" w:sz="12" w:space="0"/>
            </w:tcBorders>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70" w:type="dxa"/>
            <w:vMerge w:val="continue"/>
            <w:vAlign w:val="center"/>
          </w:tcPr>
          <w:p>
            <w:pPr>
              <w:spacing w:line="360" w:lineRule="auto"/>
              <w:jc w:val="center"/>
              <w:rPr>
                <w:rFonts w:hint="eastAsia" w:ascii="宋体" w:hAnsi="宋体" w:eastAsia="宋体" w:cs="宋体"/>
                <w:color w:val="auto"/>
                <w:sz w:val="18"/>
                <w:szCs w:val="18"/>
                <w:highlight w:val="none"/>
              </w:rPr>
            </w:pPr>
          </w:p>
        </w:tc>
        <w:tc>
          <w:tcPr>
            <w:tcW w:w="5323" w:type="dxa"/>
            <w:gridSpan w:val="2"/>
            <w:vMerge w:val="continue"/>
            <w:vAlign w:val="center"/>
          </w:tcPr>
          <w:p>
            <w:pPr>
              <w:spacing w:line="360" w:lineRule="auto"/>
              <w:jc w:val="center"/>
              <w:rPr>
                <w:rFonts w:hint="eastAsia" w:ascii="宋体" w:hAnsi="宋体" w:eastAsia="宋体" w:cs="宋体"/>
                <w:color w:val="auto"/>
                <w:sz w:val="18"/>
                <w:szCs w:val="18"/>
                <w:highlight w:val="none"/>
              </w:rPr>
            </w:pP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2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w:t>
            </w:r>
          </w:p>
        </w:tc>
        <w:tc>
          <w:tcPr>
            <w:tcW w:w="4300" w:type="dxa"/>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是否响应招标文件要求 </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02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投标内容</w:t>
            </w:r>
          </w:p>
        </w:tc>
        <w:tc>
          <w:tcPr>
            <w:tcW w:w="4300" w:type="dxa"/>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投标文件载明的投标范围不小于招标文件规定的招标范围</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02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工期</w:t>
            </w:r>
          </w:p>
        </w:tc>
        <w:tc>
          <w:tcPr>
            <w:tcW w:w="4300" w:type="dxa"/>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投标文件载明的招标项目完成期限未超过招标文件要求的期限</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02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工程质量和保修</w:t>
            </w:r>
          </w:p>
        </w:tc>
        <w:tc>
          <w:tcPr>
            <w:tcW w:w="4300" w:type="dxa"/>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投标文件载明的质量标准或保修承诺不低于招标文件的要求</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02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投标有效期</w:t>
            </w:r>
          </w:p>
        </w:tc>
        <w:tc>
          <w:tcPr>
            <w:tcW w:w="4300" w:type="dxa"/>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投标有效期不短于投标人须知前附表的</w:t>
            </w:r>
            <w:r>
              <w:rPr>
                <w:rFonts w:hint="eastAsia" w:ascii="宋体" w:hAnsi="宋体" w:eastAsia="宋体" w:cs="宋体"/>
                <w:color w:val="auto"/>
                <w:kern w:val="0"/>
                <w:sz w:val="18"/>
                <w:szCs w:val="18"/>
                <w:highlight w:val="none"/>
              </w:rPr>
              <w:t>规定</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023" w:type="dxa"/>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主要人员配备</w:t>
            </w:r>
          </w:p>
        </w:tc>
        <w:tc>
          <w:tcPr>
            <w:tcW w:w="4300" w:type="dxa"/>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拟任项目经理和技术负责人、设计负责人的配备不低于国家或省有关规定及招标文件要求</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7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023" w:type="dxa"/>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权利义务</w:t>
            </w:r>
          </w:p>
        </w:tc>
        <w:tc>
          <w:tcPr>
            <w:tcW w:w="4300" w:type="dxa"/>
            <w:vAlign w:val="center"/>
          </w:tcPr>
          <w:p>
            <w:pPr>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符合第四章“合同条款及格式”规定</w:t>
            </w:r>
          </w:p>
        </w:tc>
        <w:tc>
          <w:tcPr>
            <w:tcW w:w="705" w:type="dxa"/>
            <w:vAlign w:val="center"/>
          </w:tcPr>
          <w:p>
            <w:pPr>
              <w:spacing w:line="360" w:lineRule="auto"/>
              <w:jc w:val="center"/>
              <w:rPr>
                <w:rFonts w:hint="eastAsia" w:ascii="宋体" w:hAnsi="宋体" w:eastAsia="宋体" w:cs="宋体"/>
                <w:color w:val="auto"/>
                <w:sz w:val="18"/>
                <w:szCs w:val="18"/>
                <w:highlight w:val="none"/>
              </w:rPr>
            </w:pPr>
          </w:p>
        </w:tc>
        <w:tc>
          <w:tcPr>
            <w:tcW w:w="780" w:type="dxa"/>
            <w:vAlign w:val="center"/>
          </w:tcPr>
          <w:p>
            <w:pPr>
              <w:spacing w:line="360" w:lineRule="auto"/>
              <w:jc w:val="center"/>
              <w:rPr>
                <w:rFonts w:hint="eastAsia" w:ascii="宋体" w:hAnsi="宋体" w:eastAsia="宋体" w:cs="宋体"/>
                <w:color w:val="auto"/>
                <w:sz w:val="18"/>
                <w:szCs w:val="18"/>
                <w:highlight w:val="none"/>
              </w:rPr>
            </w:pPr>
          </w:p>
        </w:tc>
        <w:tc>
          <w:tcPr>
            <w:tcW w:w="870" w:type="dxa"/>
            <w:vAlign w:val="center"/>
          </w:tcPr>
          <w:p>
            <w:pPr>
              <w:spacing w:line="360" w:lineRule="auto"/>
              <w:jc w:val="center"/>
              <w:rPr>
                <w:rFonts w:hint="eastAsia" w:ascii="宋体" w:hAnsi="宋体" w:eastAsia="宋体" w:cs="宋体"/>
                <w:color w:val="auto"/>
                <w:sz w:val="18"/>
                <w:szCs w:val="18"/>
                <w:highlight w:val="none"/>
              </w:rPr>
            </w:pPr>
          </w:p>
        </w:tc>
        <w:tc>
          <w:tcPr>
            <w:tcW w:w="751" w:type="dxa"/>
            <w:vAlign w:val="center"/>
          </w:tcPr>
          <w:p>
            <w:pPr>
              <w:spacing w:line="360" w:lineRule="auto"/>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770" w:type="dxa"/>
            <w:tcBorders>
              <w:bottom w:val="single" w:color="auto" w:sz="12" w:space="0"/>
            </w:tcBorders>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023" w:type="dxa"/>
            <w:tcBorders>
              <w:bottom w:val="single" w:color="auto" w:sz="12" w:space="0"/>
            </w:tcBorders>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评审结论</w:t>
            </w:r>
          </w:p>
        </w:tc>
        <w:tc>
          <w:tcPr>
            <w:tcW w:w="4300" w:type="dxa"/>
            <w:tcBorders>
              <w:bottom w:val="single" w:color="auto" w:sz="12" w:space="0"/>
            </w:tcBorders>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合格或不合格</w:t>
            </w:r>
          </w:p>
        </w:tc>
        <w:tc>
          <w:tcPr>
            <w:tcW w:w="705" w:type="dxa"/>
            <w:tcBorders>
              <w:bottom w:val="single" w:color="auto" w:sz="12" w:space="0"/>
            </w:tcBorders>
            <w:vAlign w:val="center"/>
          </w:tcPr>
          <w:p>
            <w:pPr>
              <w:spacing w:line="360" w:lineRule="auto"/>
              <w:jc w:val="center"/>
              <w:rPr>
                <w:rFonts w:hint="eastAsia" w:ascii="宋体" w:hAnsi="宋体" w:eastAsia="宋体" w:cs="宋体"/>
                <w:color w:val="auto"/>
                <w:sz w:val="18"/>
                <w:szCs w:val="18"/>
                <w:highlight w:val="none"/>
              </w:rPr>
            </w:pPr>
          </w:p>
        </w:tc>
        <w:tc>
          <w:tcPr>
            <w:tcW w:w="780" w:type="dxa"/>
            <w:tcBorders>
              <w:bottom w:val="single" w:color="auto" w:sz="12" w:space="0"/>
            </w:tcBorders>
            <w:vAlign w:val="center"/>
          </w:tcPr>
          <w:p>
            <w:pPr>
              <w:spacing w:line="360" w:lineRule="auto"/>
              <w:jc w:val="center"/>
              <w:rPr>
                <w:rFonts w:hint="eastAsia" w:ascii="宋体" w:hAnsi="宋体" w:eastAsia="宋体" w:cs="宋体"/>
                <w:color w:val="auto"/>
                <w:sz w:val="18"/>
                <w:szCs w:val="18"/>
                <w:highlight w:val="none"/>
              </w:rPr>
            </w:pPr>
          </w:p>
        </w:tc>
        <w:tc>
          <w:tcPr>
            <w:tcW w:w="870" w:type="dxa"/>
            <w:tcBorders>
              <w:bottom w:val="single" w:color="auto" w:sz="12" w:space="0"/>
            </w:tcBorders>
            <w:vAlign w:val="center"/>
          </w:tcPr>
          <w:p>
            <w:pPr>
              <w:spacing w:line="360" w:lineRule="auto"/>
              <w:jc w:val="center"/>
              <w:rPr>
                <w:rFonts w:hint="eastAsia" w:ascii="宋体" w:hAnsi="宋体" w:eastAsia="宋体" w:cs="宋体"/>
                <w:color w:val="auto"/>
                <w:sz w:val="18"/>
                <w:szCs w:val="18"/>
                <w:highlight w:val="none"/>
              </w:rPr>
            </w:pPr>
          </w:p>
        </w:tc>
        <w:tc>
          <w:tcPr>
            <w:tcW w:w="751" w:type="dxa"/>
            <w:tcBorders>
              <w:bottom w:val="single" w:color="auto" w:sz="12" w:space="0"/>
            </w:tcBorders>
            <w:vAlign w:val="center"/>
          </w:tcPr>
          <w:p>
            <w:pPr>
              <w:spacing w:line="360" w:lineRule="auto"/>
              <w:jc w:val="center"/>
              <w:rPr>
                <w:rFonts w:hint="eastAsia" w:ascii="宋体" w:hAnsi="宋体" w:eastAsia="宋体" w:cs="宋体"/>
                <w:color w:val="auto"/>
                <w:sz w:val="18"/>
                <w:szCs w:val="18"/>
                <w:highlight w:val="none"/>
              </w:rPr>
            </w:pPr>
          </w:p>
        </w:tc>
      </w:tr>
    </w:tbl>
    <w:p>
      <w:pPr>
        <w:spacing w:line="360" w:lineRule="auto"/>
        <w:ind w:left="20" w:firstLine="420"/>
        <w:rPr>
          <w:rFonts w:hint="eastAsia" w:ascii="宋体" w:hAnsi="宋体" w:cs="宋体"/>
          <w:color w:val="auto"/>
          <w:highlight w:val="none"/>
        </w:rPr>
      </w:pPr>
      <w:r>
        <w:rPr>
          <w:rFonts w:hint="eastAsia" w:ascii="宋体" w:hAnsi="宋体" w:cs="宋体"/>
          <w:color w:val="auto"/>
          <w:highlight w:val="none"/>
        </w:rPr>
        <w:t>备注：以上内容合格的打“√”，不合格的打“×”，有一项不合格则结论为不合格。</w:t>
      </w:r>
    </w:p>
    <w:p>
      <w:pPr>
        <w:spacing w:line="360" w:lineRule="auto"/>
        <w:ind w:firstLine="420"/>
        <w:rPr>
          <w:rFonts w:hint="eastAsia" w:ascii="宋体" w:hAnsi="宋体" w:cs="宋体"/>
          <w:color w:val="auto"/>
          <w:highlight w:val="none"/>
        </w:rPr>
      </w:pPr>
      <w:r>
        <w:rPr>
          <w:rFonts w:hint="eastAsia" w:ascii="宋体" w:hAnsi="宋体" w:cs="宋体"/>
          <w:color w:val="auto"/>
          <w:szCs w:val="21"/>
          <w:highlight w:val="none"/>
        </w:rPr>
        <w:t>评标委员会全体成员签字</w:t>
      </w:r>
      <w:r>
        <w:rPr>
          <w:rFonts w:hint="eastAsia" w:ascii="宋体" w:hAnsi="宋体" w:cs="宋体"/>
          <w:color w:val="auto"/>
          <w:highlight w:val="none"/>
        </w:rPr>
        <w:t>/日期：</w:t>
      </w:r>
    </w:p>
    <w:p>
      <w:pPr>
        <w:adjustRightInd w:val="0"/>
        <w:snapToGrid w:val="0"/>
        <w:spacing w:line="360" w:lineRule="auto"/>
        <w:ind w:firstLine="480"/>
        <w:rPr>
          <w:rFonts w:hint="eastAsia" w:ascii="宋体" w:hAnsi="宋体" w:cs="宋体"/>
          <w:color w:val="auto"/>
          <w:sz w:val="24"/>
          <w:highlight w:val="none"/>
        </w:rPr>
        <w:sectPr>
          <w:pgSz w:w="11906" w:h="16838"/>
          <w:pgMar w:top="1440" w:right="1440" w:bottom="1440" w:left="1440" w:header="851" w:footer="992" w:gutter="0"/>
          <w:pgNumType w:fmt="numberInDash"/>
          <w:cols w:space="720" w:num="1"/>
          <w:docGrid w:linePitch="312" w:charSpace="0"/>
        </w:sectPr>
      </w:pPr>
    </w:p>
    <w:p>
      <w:pPr>
        <w:pStyle w:val="6"/>
        <w:ind w:firstLine="480"/>
        <w:rPr>
          <w:rFonts w:hint="eastAsia" w:ascii="宋体" w:hAnsi="宋体" w:cs="宋体"/>
          <w:b w:val="0"/>
          <w:bCs w:val="0"/>
          <w:color w:val="auto"/>
          <w:szCs w:val="24"/>
          <w:highlight w:val="none"/>
        </w:rPr>
      </w:pPr>
      <w:r>
        <w:rPr>
          <w:rFonts w:hint="eastAsia" w:ascii="宋体" w:hAnsi="宋体" w:cs="宋体"/>
          <w:b w:val="0"/>
          <w:color w:val="auto"/>
          <w:szCs w:val="24"/>
          <w:highlight w:val="none"/>
        </w:rPr>
        <w:t>附表3-6：废标情况说明</w:t>
      </w:r>
    </w:p>
    <w:p>
      <w:pPr>
        <w:snapToGrid w:val="0"/>
        <w:spacing w:line="360" w:lineRule="auto"/>
        <w:ind w:firstLine="560"/>
        <w:jc w:val="center"/>
        <w:rPr>
          <w:rFonts w:hint="eastAsia" w:ascii="宋体" w:hAnsi="宋体" w:cs="宋体"/>
          <w:bCs/>
          <w:color w:val="auto"/>
          <w:sz w:val="24"/>
          <w:highlight w:val="none"/>
        </w:rPr>
      </w:pPr>
      <w:r>
        <w:rPr>
          <w:rFonts w:hint="eastAsia" w:ascii="宋体" w:hAnsi="宋体" w:cs="宋体"/>
          <w:bCs/>
          <w:color w:val="auto"/>
          <w:sz w:val="24"/>
          <w:highlight w:val="none"/>
        </w:rPr>
        <w:t>废标情况说明</w:t>
      </w:r>
    </w:p>
    <w:p>
      <w:pPr>
        <w:pStyle w:val="19"/>
        <w:rPr>
          <w:rFonts w:hint="eastAsia" w:ascii="宋体" w:hAnsi="宋体" w:cs="宋体"/>
          <w:color w:val="auto"/>
          <w:highlight w:val="none"/>
        </w:rPr>
      </w:pPr>
      <w:r>
        <w:rPr>
          <w:rFonts w:hint="eastAsia" w:ascii="宋体" w:hAnsi="宋体" w:cs="宋体"/>
          <w:color w:val="auto"/>
          <w:highlight w:val="none"/>
        </w:rPr>
        <w:t>工程名称</w:t>
      </w:r>
      <w:r>
        <w:rPr>
          <w:rFonts w:hint="eastAsia" w:ascii="宋体" w:hAnsi="宋体" w:cs="宋体"/>
          <w:color w:val="auto"/>
          <w:highlight w:val="none"/>
          <w:u w:val="single"/>
        </w:rPr>
        <w:t xml:space="preserve">：      （项目名称） </w:t>
      </w:r>
    </w:p>
    <w:tbl>
      <w:tblPr>
        <w:tblStyle w:val="21"/>
        <w:tblW w:w="84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910"/>
        <w:gridCol w:w="3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975" w:type="dxa"/>
            <w:tcBorders>
              <w:top w:val="single" w:color="auto" w:sz="12" w:space="0"/>
            </w:tcBorders>
            <w:vAlign w:val="center"/>
          </w:tcPr>
          <w:p>
            <w:pPr>
              <w:jc w:val="center"/>
              <w:rPr>
                <w:rFonts w:hint="eastAsia" w:ascii="宋体" w:hAnsi="宋体" w:cs="宋体"/>
                <w:color w:val="auto"/>
                <w:highlight w:val="none"/>
              </w:rPr>
            </w:pPr>
            <w:r>
              <w:rPr>
                <w:rFonts w:hint="eastAsia" w:ascii="宋体" w:hAnsi="宋体" w:cs="宋体"/>
                <w:color w:val="auto"/>
                <w:highlight w:val="none"/>
              </w:rPr>
              <w:t xml:space="preserve">序号   </w:t>
            </w:r>
          </w:p>
        </w:tc>
        <w:tc>
          <w:tcPr>
            <w:tcW w:w="2910" w:type="dxa"/>
            <w:tcBorders>
              <w:top w:val="single" w:color="auto" w:sz="12" w:space="0"/>
            </w:tcBorders>
            <w:vAlign w:val="center"/>
          </w:tcPr>
          <w:p>
            <w:pPr>
              <w:jc w:val="left"/>
              <w:rPr>
                <w:rFonts w:hint="eastAsia" w:ascii="宋体" w:hAnsi="宋体" w:cs="宋体"/>
                <w:color w:val="auto"/>
                <w:highlight w:val="none"/>
              </w:rPr>
            </w:pPr>
            <w:r>
              <w:rPr>
                <w:rFonts w:hint="eastAsia" w:ascii="宋体" w:hAnsi="宋体" w:cs="宋体"/>
                <w:color w:val="auto"/>
                <w:highlight w:val="none"/>
              </w:rPr>
              <w:t>投标人</w:t>
            </w:r>
          </w:p>
        </w:tc>
        <w:tc>
          <w:tcPr>
            <w:tcW w:w="3540" w:type="dxa"/>
            <w:tcBorders>
              <w:top w:val="single" w:color="auto" w:sz="12" w:space="0"/>
            </w:tcBorders>
            <w:vAlign w:val="center"/>
          </w:tcPr>
          <w:p>
            <w:pPr>
              <w:jc w:val="left"/>
              <w:rPr>
                <w:rFonts w:hint="eastAsia" w:ascii="宋体" w:hAnsi="宋体" w:cs="宋体"/>
                <w:color w:val="auto"/>
                <w:highlight w:val="none"/>
              </w:rPr>
            </w:pPr>
            <w:r>
              <w:rPr>
                <w:rFonts w:hint="eastAsia" w:ascii="宋体" w:hAnsi="宋体" w:cs="宋体"/>
                <w:color w:val="auto"/>
                <w:highlight w:val="none"/>
              </w:rPr>
              <w:t>不能通过审查的原因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1975"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910" w:type="dxa"/>
            <w:vAlign w:val="top"/>
          </w:tcPr>
          <w:p>
            <w:pPr>
              <w:snapToGrid w:val="0"/>
              <w:spacing w:line="360" w:lineRule="auto"/>
              <w:rPr>
                <w:rFonts w:hint="eastAsia" w:ascii="宋体" w:hAnsi="宋体" w:cs="宋体"/>
                <w:color w:val="auto"/>
                <w:sz w:val="24"/>
                <w:highlight w:val="none"/>
              </w:rPr>
            </w:pPr>
          </w:p>
        </w:tc>
        <w:tc>
          <w:tcPr>
            <w:tcW w:w="3540" w:type="dxa"/>
            <w:vAlign w:val="top"/>
          </w:tcPr>
          <w:p>
            <w:pPr>
              <w:snapToGrid w:val="0"/>
              <w:spacing w:line="360" w:lineRule="auto"/>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1975"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910" w:type="dxa"/>
            <w:vAlign w:val="top"/>
          </w:tcPr>
          <w:p>
            <w:pPr>
              <w:snapToGrid w:val="0"/>
              <w:spacing w:line="360" w:lineRule="auto"/>
              <w:rPr>
                <w:rFonts w:hint="eastAsia" w:ascii="宋体" w:hAnsi="宋体" w:cs="宋体"/>
                <w:color w:val="auto"/>
                <w:sz w:val="24"/>
                <w:highlight w:val="none"/>
              </w:rPr>
            </w:pPr>
          </w:p>
        </w:tc>
        <w:tc>
          <w:tcPr>
            <w:tcW w:w="3540" w:type="dxa"/>
            <w:vAlign w:val="top"/>
          </w:tcPr>
          <w:p>
            <w:pPr>
              <w:snapToGrid w:val="0"/>
              <w:spacing w:line="360" w:lineRule="auto"/>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1975"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910" w:type="dxa"/>
            <w:vAlign w:val="top"/>
          </w:tcPr>
          <w:p>
            <w:pPr>
              <w:snapToGrid w:val="0"/>
              <w:spacing w:line="360" w:lineRule="auto"/>
              <w:rPr>
                <w:rFonts w:hint="eastAsia" w:ascii="宋体" w:hAnsi="宋体" w:cs="宋体"/>
                <w:color w:val="auto"/>
                <w:sz w:val="24"/>
                <w:highlight w:val="none"/>
              </w:rPr>
            </w:pPr>
          </w:p>
        </w:tc>
        <w:tc>
          <w:tcPr>
            <w:tcW w:w="3540" w:type="dxa"/>
            <w:vAlign w:val="top"/>
          </w:tcPr>
          <w:p>
            <w:pPr>
              <w:snapToGrid w:val="0"/>
              <w:spacing w:line="360" w:lineRule="auto"/>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1975"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910" w:type="dxa"/>
            <w:vAlign w:val="top"/>
          </w:tcPr>
          <w:p>
            <w:pPr>
              <w:snapToGrid w:val="0"/>
              <w:spacing w:line="360" w:lineRule="auto"/>
              <w:rPr>
                <w:rFonts w:hint="eastAsia" w:ascii="宋体" w:hAnsi="宋体" w:cs="宋体"/>
                <w:color w:val="auto"/>
                <w:sz w:val="24"/>
                <w:highlight w:val="none"/>
              </w:rPr>
            </w:pPr>
          </w:p>
        </w:tc>
        <w:tc>
          <w:tcPr>
            <w:tcW w:w="3540" w:type="dxa"/>
            <w:vAlign w:val="top"/>
          </w:tcPr>
          <w:p>
            <w:pPr>
              <w:snapToGrid w:val="0"/>
              <w:spacing w:line="360" w:lineRule="auto"/>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975" w:type="dxa"/>
            <w:tcBorders>
              <w:bottom w:val="single" w:color="auto" w:sz="12"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910" w:type="dxa"/>
            <w:tcBorders>
              <w:bottom w:val="single" w:color="auto" w:sz="12" w:space="0"/>
            </w:tcBorders>
            <w:vAlign w:val="top"/>
          </w:tcPr>
          <w:p>
            <w:pPr>
              <w:snapToGrid w:val="0"/>
              <w:spacing w:line="360" w:lineRule="auto"/>
              <w:rPr>
                <w:rFonts w:hint="eastAsia" w:ascii="宋体" w:hAnsi="宋体" w:cs="宋体"/>
                <w:color w:val="auto"/>
                <w:sz w:val="24"/>
                <w:highlight w:val="none"/>
              </w:rPr>
            </w:pPr>
          </w:p>
        </w:tc>
        <w:tc>
          <w:tcPr>
            <w:tcW w:w="3540" w:type="dxa"/>
            <w:tcBorders>
              <w:bottom w:val="single" w:color="auto" w:sz="12" w:space="0"/>
            </w:tcBorders>
            <w:vAlign w:val="top"/>
          </w:tcPr>
          <w:p>
            <w:pPr>
              <w:snapToGrid w:val="0"/>
              <w:spacing w:line="360" w:lineRule="auto"/>
              <w:rPr>
                <w:rFonts w:hint="eastAsia" w:ascii="宋体" w:hAnsi="宋体" w:cs="宋体"/>
                <w:color w:val="auto"/>
                <w:sz w:val="24"/>
                <w:highlight w:val="none"/>
              </w:rPr>
            </w:pPr>
          </w:p>
        </w:tc>
      </w:tr>
    </w:tbl>
    <w:p>
      <w:pPr>
        <w:snapToGrid w:val="0"/>
        <w:spacing w:line="360" w:lineRule="auto"/>
        <w:ind w:firstLine="420"/>
        <w:rPr>
          <w:rFonts w:hint="eastAsia" w:ascii="宋体" w:hAnsi="宋体" w:cs="宋体"/>
          <w:color w:val="auto"/>
          <w:szCs w:val="44"/>
          <w:highlight w:val="none"/>
        </w:rPr>
      </w:pPr>
    </w:p>
    <w:p>
      <w:pPr>
        <w:spacing w:line="360" w:lineRule="auto"/>
        <w:ind w:firstLine="420"/>
        <w:rPr>
          <w:rFonts w:hint="eastAsia" w:ascii="宋体" w:hAnsi="宋体" w:cs="宋体"/>
          <w:color w:val="auto"/>
          <w:szCs w:val="44"/>
          <w:highlight w:val="none"/>
        </w:rPr>
      </w:pPr>
      <w:r>
        <w:rPr>
          <w:rFonts w:hint="eastAsia" w:ascii="宋体" w:hAnsi="宋体" w:cs="宋体"/>
          <w:color w:val="auto"/>
          <w:szCs w:val="21"/>
          <w:highlight w:val="none"/>
        </w:rPr>
        <w:t>评标委员会全体成员签字</w:t>
      </w:r>
      <w:r>
        <w:rPr>
          <w:rFonts w:hint="eastAsia" w:ascii="宋体" w:hAnsi="宋体" w:cs="宋体"/>
          <w:color w:val="auto"/>
          <w:highlight w:val="none"/>
        </w:rPr>
        <w:t>/日期：</w:t>
      </w:r>
    </w:p>
    <w:p>
      <w:pPr>
        <w:snapToGrid w:val="0"/>
        <w:ind w:firstLine="420"/>
        <w:rPr>
          <w:rFonts w:hint="eastAsia" w:ascii="宋体" w:hAnsi="宋体" w:cs="宋体"/>
          <w:b/>
          <w:bCs/>
          <w:color w:val="auto"/>
          <w:sz w:val="24"/>
          <w:highlight w:val="none"/>
        </w:rPr>
      </w:pPr>
      <w:r>
        <w:rPr>
          <w:rFonts w:hint="eastAsia" w:ascii="宋体" w:hAnsi="宋体" w:cs="宋体"/>
          <w:color w:val="auto"/>
          <w:szCs w:val="44"/>
          <w:highlight w:val="none"/>
        </w:rPr>
        <w:br w:type="page"/>
      </w:r>
      <w:r>
        <w:rPr>
          <w:rFonts w:hint="eastAsia" w:ascii="宋体" w:hAnsi="宋体" w:cs="宋体"/>
          <w:b/>
          <w:color w:val="auto"/>
          <w:sz w:val="24"/>
          <w:highlight w:val="none"/>
        </w:rPr>
        <w:t>附表3-7：符合要求的投标人名单</w:t>
      </w:r>
    </w:p>
    <w:p>
      <w:pPr>
        <w:snapToGrid w:val="0"/>
        <w:spacing w:line="360" w:lineRule="auto"/>
        <w:ind w:firstLine="560"/>
        <w:jc w:val="center"/>
        <w:rPr>
          <w:rFonts w:hint="eastAsia" w:ascii="宋体" w:hAnsi="宋体" w:cs="宋体"/>
          <w:bCs/>
          <w:color w:val="auto"/>
          <w:sz w:val="24"/>
          <w:highlight w:val="none"/>
        </w:rPr>
      </w:pPr>
      <w:r>
        <w:rPr>
          <w:rFonts w:hint="eastAsia" w:ascii="宋体" w:hAnsi="宋体" w:cs="宋体"/>
          <w:bCs/>
          <w:color w:val="auto"/>
          <w:sz w:val="24"/>
          <w:highlight w:val="none"/>
        </w:rPr>
        <w:t>符合要求的投标人名单</w:t>
      </w:r>
    </w:p>
    <w:p>
      <w:pPr>
        <w:pStyle w:val="19"/>
        <w:ind w:firstLine="0"/>
        <w:rPr>
          <w:rFonts w:hint="eastAsia" w:ascii="宋体" w:hAnsi="宋体" w:cs="宋体"/>
          <w:color w:val="auto"/>
          <w:highlight w:val="none"/>
        </w:rPr>
      </w:pPr>
      <w:r>
        <w:rPr>
          <w:rFonts w:hint="eastAsia" w:ascii="宋体" w:hAnsi="宋体" w:cs="宋体"/>
          <w:color w:val="auto"/>
          <w:highlight w:val="none"/>
        </w:rPr>
        <w:t>工程名称：</w:t>
      </w:r>
      <w:r>
        <w:rPr>
          <w:rFonts w:hint="eastAsia" w:ascii="宋体" w:hAnsi="宋体" w:cs="宋体"/>
          <w:color w:val="auto"/>
          <w:highlight w:val="none"/>
          <w:u w:val="single"/>
        </w:rPr>
        <w:t xml:space="preserve">      （项目名称）</w:t>
      </w:r>
      <w:r>
        <w:rPr>
          <w:rFonts w:hint="eastAsia" w:ascii="宋体" w:hAnsi="宋体" w:cs="宋体"/>
          <w:color w:val="auto"/>
          <w:highlight w:val="none"/>
        </w:rPr>
        <w:t xml:space="preserve"> </w:t>
      </w:r>
    </w:p>
    <w:tbl>
      <w:tblPr>
        <w:tblStyle w:val="21"/>
        <w:tblW w:w="9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5"/>
        <w:gridCol w:w="6474"/>
        <w:gridCol w:w="2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65" w:type="dxa"/>
            <w:tcBorders>
              <w:top w:val="single" w:color="auto" w:sz="12" w:space="0"/>
            </w:tcBorders>
            <w:vAlign w:val="center"/>
          </w:tcPr>
          <w:p>
            <w:pPr>
              <w:jc w:val="left"/>
              <w:rPr>
                <w:rFonts w:hint="eastAsia" w:ascii="宋体" w:hAnsi="宋体" w:cs="宋体"/>
                <w:color w:val="auto"/>
                <w:highlight w:val="none"/>
              </w:rPr>
            </w:pPr>
            <w:r>
              <w:rPr>
                <w:rFonts w:hint="eastAsia" w:ascii="宋体" w:hAnsi="宋体" w:cs="宋体"/>
                <w:color w:val="auto"/>
                <w:highlight w:val="none"/>
              </w:rPr>
              <w:t>序号</w:t>
            </w:r>
          </w:p>
        </w:tc>
        <w:tc>
          <w:tcPr>
            <w:tcW w:w="6474" w:type="dxa"/>
            <w:tcBorders>
              <w:top w:val="single" w:color="auto" w:sz="12" w:space="0"/>
            </w:tcBorders>
            <w:vAlign w:val="center"/>
          </w:tcPr>
          <w:p>
            <w:pPr>
              <w:jc w:val="left"/>
              <w:rPr>
                <w:rFonts w:hint="eastAsia" w:ascii="宋体" w:hAnsi="宋体" w:cs="宋体"/>
                <w:color w:val="auto"/>
                <w:highlight w:val="none"/>
              </w:rPr>
            </w:pPr>
            <w:r>
              <w:rPr>
                <w:rFonts w:hint="eastAsia" w:ascii="宋体" w:hAnsi="宋体" w:cs="宋体"/>
                <w:color w:val="auto"/>
                <w:highlight w:val="none"/>
              </w:rPr>
              <w:t>投标人名称</w:t>
            </w:r>
          </w:p>
        </w:tc>
        <w:tc>
          <w:tcPr>
            <w:tcW w:w="2061" w:type="dxa"/>
            <w:tcBorders>
              <w:top w:val="single" w:color="auto" w:sz="12" w:space="0"/>
            </w:tcBorders>
            <w:vAlign w:val="center"/>
          </w:tcPr>
          <w:p>
            <w:pPr>
              <w:jc w:val="left"/>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Align w:val="center"/>
          </w:tcPr>
          <w:p>
            <w:pPr>
              <w:snapToGrid w:val="0"/>
              <w:spacing w:line="360" w:lineRule="auto"/>
              <w:jc w:val="center"/>
              <w:rPr>
                <w:rFonts w:hint="eastAsia" w:ascii="宋体" w:hAnsi="宋体" w:cs="宋体"/>
                <w:color w:val="auto"/>
                <w:sz w:val="24"/>
                <w:highlight w:val="none"/>
              </w:rPr>
            </w:pPr>
          </w:p>
        </w:tc>
        <w:tc>
          <w:tcPr>
            <w:tcW w:w="6474" w:type="dxa"/>
            <w:vAlign w:val="center"/>
          </w:tcPr>
          <w:p>
            <w:pPr>
              <w:snapToGrid w:val="0"/>
              <w:spacing w:line="360" w:lineRule="auto"/>
              <w:jc w:val="center"/>
              <w:rPr>
                <w:rFonts w:hint="eastAsia" w:ascii="宋体" w:hAnsi="宋体" w:cs="宋体"/>
                <w:color w:val="auto"/>
                <w:sz w:val="24"/>
                <w:highlight w:val="none"/>
              </w:rPr>
            </w:pPr>
          </w:p>
        </w:tc>
        <w:tc>
          <w:tcPr>
            <w:tcW w:w="2061" w:type="dxa"/>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5" w:type="dxa"/>
            <w:tcBorders>
              <w:bottom w:val="single" w:color="auto" w:sz="12" w:space="0"/>
            </w:tcBorders>
            <w:vAlign w:val="center"/>
          </w:tcPr>
          <w:p>
            <w:pPr>
              <w:snapToGrid w:val="0"/>
              <w:spacing w:line="360" w:lineRule="auto"/>
              <w:jc w:val="center"/>
              <w:rPr>
                <w:rFonts w:hint="eastAsia" w:ascii="宋体" w:hAnsi="宋体" w:cs="宋体"/>
                <w:color w:val="auto"/>
                <w:sz w:val="24"/>
                <w:highlight w:val="none"/>
              </w:rPr>
            </w:pPr>
          </w:p>
        </w:tc>
        <w:tc>
          <w:tcPr>
            <w:tcW w:w="6474" w:type="dxa"/>
            <w:tcBorders>
              <w:bottom w:val="single" w:color="auto" w:sz="12" w:space="0"/>
            </w:tcBorders>
            <w:vAlign w:val="center"/>
          </w:tcPr>
          <w:p>
            <w:pPr>
              <w:snapToGrid w:val="0"/>
              <w:spacing w:line="360" w:lineRule="auto"/>
              <w:jc w:val="center"/>
              <w:rPr>
                <w:rFonts w:hint="eastAsia" w:ascii="宋体" w:hAnsi="宋体" w:cs="宋体"/>
                <w:color w:val="auto"/>
                <w:sz w:val="24"/>
                <w:highlight w:val="none"/>
              </w:rPr>
            </w:pPr>
          </w:p>
        </w:tc>
        <w:tc>
          <w:tcPr>
            <w:tcW w:w="2061" w:type="dxa"/>
            <w:tcBorders>
              <w:bottom w:val="single" w:color="auto" w:sz="12" w:space="0"/>
            </w:tcBorders>
            <w:vAlign w:val="center"/>
          </w:tcPr>
          <w:p>
            <w:pPr>
              <w:snapToGrid w:val="0"/>
              <w:spacing w:line="360" w:lineRule="auto"/>
              <w:jc w:val="center"/>
              <w:rPr>
                <w:rFonts w:hint="eastAsia" w:ascii="宋体" w:hAnsi="宋体" w:cs="宋体"/>
                <w:color w:val="auto"/>
                <w:sz w:val="24"/>
                <w:highlight w:val="none"/>
              </w:rPr>
            </w:pPr>
          </w:p>
        </w:tc>
      </w:tr>
    </w:tbl>
    <w:p>
      <w:pPr>
        <w:spacing w:line="360" w:lineRule="auto"/>
        <w:ind w:firstLine="420"/>
        <w:rPr>
          <w:rFonts w:hint="eastAsia" w:ascii="宋体" w:hAnsi="宋体" w:cs="宋体"/>
          <w:color w:val="auto"/>
          <w:szCs w:val="44"/>
          <w:highlight w:val="none"/>
        </w:rPr>
      </w:pPr>
      <w:r>
        <w:rPr>
          <w:rFonts w:hint="eastAsia" w:ascii="宋体" w:hAnsi="宋体" w:cs="宋体"/>
          <w:color w:val="auto"/>
          <w:szCs w:val="21"/>
          <w:highlight w:val="none"/>
        </w:rPr>
        <w:t>评标委员会全体成员签字</w:t>
      </w:r>
      <w:r>
        <w:rPr>
          <w:rFonts w:hint="eastAsia" w:ascii="宋体" w:hAnsi="宋体" w:cs="宋体"/>
          <w:color w:val="auto"/>
          <w:highlight w:val="none"/>
        </w:rPr>
        <w:t>/日期：</w:t>
      </w:r>
    </w:p>
    <w:p>
      <w:pPr>
        <w:snapToGrid w:val="0"/>
        <w:spacing w:line="360" w:lineRule="auto"/>
        <w:ind w:firstLine="420"/>
        <w:rPr>
          <w:rFonts w:hint="eastAsia" w:ascii="宋体" w:hAnsi="宋体" w:cs="宋体"/>
          <w:color w:val="auto"/>
          <w:highlight w:val="none"/>
        </w:rPr>
      </w:pPr>
    </w:p>
    <w:p>
      <w:pPr>
        <w:snapToGrid w:val="0"/>
        <w:spacing w:line="360" w:lineRule="auto"/>
        <w:ind w:firstLine="420"/>
        <w:rPr>
          <w:rFonts w:hint="eastAsia" w:ascii="宋体" w:hAnsi="宋体" w:cs="宋体"/>
          <w:color w:val="auto"/>
          <w:highlight w:val="none"/>
        </w:rPr>
      </w:pP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备注：本表中投标人排名不分先后。</w:t>
      </w:r>
    </w:p>
    <w:p>
      <w:pPr>
        <w:pStyle w:val="7"/>
        <w:spacing w:before="67"/>
        <w:ind w:left="0" w:leftChars="0" w:firstLine="0" w:firstLineChars="0"/>
        <w:outlineLvl w:val="9"/>
        <w:rPr>
          <w:rFonts w:hint="eastAsia" w:ascii="宋体" w:hAnsi="宋体" w:eastAsia="宋体" w:cs="宋体"/>
          <w:b w:val="0"/>
          <w:bCs/>
          <w:color w:val="auto"/>
          <w:sz w:val="24"/>
          <w:highlight w:val="none"/>
        </w:rPr>
      </w:pPr>
    </w:p>
    <w:p>
      <w:pPr>
        <w:rPr>
          <w:rFonts w:hint="eastAsia" w:ascii="宋体" w:hAnsi="宋体" w:eastAsia="宋体" w:cs="宋体"/>
          <w:b w:val="0"/>
          <w:bCs/>
          <w:color w:val="auto"/>
          <w:sz w:val="24"/>
          <w:highlight w:val="none"/>
        </w:rPr>
      </w:pPr>
    </w:p>
    <w:p>
      <w:pPr>
        <w:pStyle w:val="19"/>
        <w:rPr>
          <w:rFonts w:hint="eastAsia" w:ascii="宋体" w:hAnsi="宋体" w:eastAsia="宋体" w:cs="宋体"/>
          <w:b w:val="0"/>
          <w:bCs/>
          <w:color w:val="auto"/>
          <w:sz w:val="24"/>
          <w:highlight w:val="none"/>
        </w:rPr>
      </w:pPr>
    </w:p>
    <w:p>
      <w:pPr>
        <w:pStyle w:val="19"/>
        <w:rPr>
          <w:rFonts w:hint="eastAsia" w:ascii="宋体" w:hAnsi="宋体" w:eastAsia="宋体" w:cs="宋体"/>
          <w:b w:val="0"/>
          <w:bCs/>
          <w:color w:val="auto"/>
          <w:sz w:val="24"/>
          <w:highlight w:val="none"/>
        </w:rPr>
      </w:pPr>
    </w:p>
    <w:p>
      <w:pPr>
        <w:pStyle w:val="19"/>
        <w:rPr>
          <w:rFonts w:hint="eastAsia" w:ascii="宋体" w:hAnsi="宋体" w:eastAsia="宋体" w:cs="宋体"/>
          <w:b w:val="0"/>
          <w:bCs/>
          <w:color w:val="auto"/>
          <w:sz w:val="24"/>
          <w:highlight w:val="none"/>
        </w:rPr>
      </w:pPr>
    </w:p>
    <w:p>
      <w:pPr>
        <w:pStyle w:val="6"/>
        <w:rPr>
          <w:rFonts w:ascii="宋体" w:hAnsi="宋体"/>
          <w:b w:val="0"/>
          <w:color w:val="auto"/>
          <w:highlight w:val="none"/>
        </w:rPr>
      </w:pPr>
      <w:bookmarkStart w:id="326" w:name="_Toc300678149"/>
      <w:r>
        <w:rPr>
          <w:rFonts w:hint="eastAsia" w:ascii="黑体" w:hAnsi="黑体"/>
          <w:b w:val="0"/>
          <w:bCs w:val="0"/>
          <w:color w:val="auto"/>
          <w:sz w:val="24"/>
          <w:highlight w:val="none"/>
        </w:rPr>
        <w:t>附表3-</w:t>
      </w:r>
      <w:r>
        <w:rPr>
          <w:rFonts w:hint="eastAsia" w:ascii="黑体" w:hAnsi="黑体"/>
          <w:b w:val="0"/>
          <w:bCs w:val="0"/>
          <w:color w:val="auto"/>
          <w:sz w:val="24"/>
          <w:highlight w:val="none"/>
          <w:lang w:val="en-US" w:eastAsia="zh-CN"/>
        </w:rPr>
        <w:t>8</w:t>
      </w:r>
      <w:r>
        <w:rPr>
          <w:rFonts w:hint="eastAsia" w:ascii="黑体" w:hAnsi="黑体"/>
          <w:b w:val="0"/>
          <w:bCs w:val="0"/>
          <w:color w:val="auto"/>
          <w:sz w:val="24"/>
          <w:highlight w:val="none"/>
        </w:rPr>
        <w:t>：算术错误分析及修正记录表</w:t>
      </w:r>
      <w:bookmarkEnd w:id="326"/>
    </w:p>
    <w:p>
      <w:pPr>
        <w:spacing w:beforeLines="50" w:afterLines="50" w:line="460" w:lineRule="exact"/>
        <w:jc w:val="center"/>
        <w:rPr>
          <w:rFonts w:ascii="黑体" w:eastAsia="黑体"/>
          <w:color w:val="auto"/>
          <w:sz w:val="28"/>
          <w:szCs w:val="32"/>
          <w:highlight w:val="none"/>
        </w:rPr>
      </w:pPr>
      <w:r>
        <w:rPr>
          <w:rFonts w:hint="eastAsia" w:ascii="黑体" w:eastAsia="黑体"/>
          <w:color w:val="auto"/>
          <w:sz w:val="28"/>
          <w:szCs w:val="32"/>
          <w:highlight w:val="none"/>
        </w:rPr>
        <w:t>算术错误分析及修正记录表</w:t>
      </w:r>
    </w:p>
    <w:p>
      <w:pPr>
        <w:spacing w:line="460" w:lineRule="exact"/>
        <w:rPr>
          <w:rFonts w:ascii="宋体" w:hAnsi="宋体"/>
          <w:color w:val="auto"/>
          <w:szCs w:val="21"/>
          <w:highlight w:val="none"/>
        </w:rPr>
      </w:pPr>
      <w:r>
        <w:rPr>
          <w:rFonts w:hint="eastAsia" w:ascii="宋体" w:hAnsi="宋体"/>
          <w:color w:val="auto"/>
          <w:szCs w:val="21"/>
          <w:highlight w:val="none"/>
        </w:rPr>
        <w:t>投标人名称：                                                            单位：元</w:t>
      </w:r>
    </w:p>
    <w:tbl>
      <w:tblPr>
        <w:tblStyle w:val="2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38"/>
        <w:gridCol w:w="1644"/>
        <w:gridCol w:w="1646"/>
        <w:gridCol w:w="1644"/>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27"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338"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1644" w:type="dxa"/>
            <w:vAlign w:val="center"/>
          </w:tcPr>
          <w:p>
            <w:pPr>
              <w:jc w:val="center"/>
              <w:rPr>
                <w:rFonts w:ascii="宋体" w:hAnsi="宋体"/>
                <w:color w:val="auto"/>
                <w:szCs w:val="21"/>
                <w:highlight w:val="none"/>
              </w:rPr>
            </w:pPr>
            <w:r>
              <w:rPr>
                <w:rFonts w:hint="eastAsia" w:ascii="宋体" w:hAnsi="宋体"/>
                <w:color w:val="auto"/>
                <w:szCs w:val="21"/>
                <w:highlight w:val="none"/>
              </w:rPr>
              <w:t>投标价格</w:t>
            </w:r>
          </w:p>
        </w:tc>
        <w:tc>
          <w:tcPr>
            <w:tcW w:w="1646" w:type="dxa"/>
            <w:vAlign w:val="center"/>
          </w:tcPr>
          <w:p>
            <w:pPr>
              <w:jc w:val="center"/>
              <w:rPr>
                <w:rFonts w:ascii="宋体" w:hAnsi="宋体"/>
                <w:color w:val="auto"/>
                <w:szCs w:val="21"/>
                <w:highlight w:val="none"/>
              </w:rPr>
            </w:pPr>
            <w:r>
              <w:rPr>
                <w:rFonts w:hint="eastAsia" w:ascii="宋体" w:hAnsi="宋体"/>
                <w:color w:val="auto"/>
                <w:szCs w:val="21"/>
                <w:highlight w:val="none"/>
              </w:rPr>
              <w:t>算术正确</w:t>
            </w:r>
          </w:p>
          <w:p>
            <w:pPr>
              <w:jc w:val="center"/>
              <w:rPr>
                <w:rFonts w:ascii="宋体" w:hAnsi="宋体"/>
                <w:color w:val="auto"/>
                <w:szCs w:val="21"/>
                <w:highlight w:val="none"/>
              </w:rPr>
            </w:pPr>
            <w:r>
              <w:rPr>
                <w:rFonts w:hint="eastAsia" w:ascii="宋体" w:hAnsi="宋体"/>
                <w:color w:val="auto"/>
                <w:szCs w:val="21"/>
                <w:highlight w:val="none"/>
              </w:rPr>
              <w:t>投标价</w:t>
            </w:r>
          </w:p>
        </w:tc>
        <w:tc>
          <w:tcPr>
            <w:tcW w:w="1644" w:type="dxa"/>
            <w:vAlign w:val="center"/>
          </w:tcPr>
          <w:p>
            <w:pPr>
              <w:jc w:val="center"/>
              <w:rPr>
                <w:rFonts w:ascii="宋体" w:hAnsi="宋体"/>
                <w:color w:val="auto"/>
                <w:szCs w:val="21"/>
                <w:highlight w:val="none"/>
              </w:rPr>
            </w:pPr>
            <w:r>
              <w:rPr>
                <w:rFonts w:hint="eastAsia" w:ascii="宋体" w:hAnsi="宋体"/>
                <w:color w:val="auto"/>
                <w:szCs w:val="21"/>
                <w:highlight w:val="none"/>
              </w:rPr>
              <w:t>差额</w:t>
            </w:r>
          </w:p>
        </w:tc>
        <w:tc>
          <w:tcPr>
            <w:tcW w:w="2471" w:type="dxa"/>
            <w:vAlign w:val="center"/>
          </w:tcPr>
          <w:p>
            <w:pPr>
              <w:jc w:val="center"/>
              <w:rPr>
                <w:rFonts w:ascii="宋体" w:hAnsi="宋体"/>
                <w:color w:val="auto"/>
                <w:szCs w:val="21"/>
                <w:highlight w:val="none"/>
              </w:rPr>
            </w:pPr>
            <w:r>
              <w:rPr>
                <w:rFonts w:hint="eastAsia" w:ascii="宋体" w:hAnsi="宋体"/>
                <w:color w:val="auto"/>
                <w:szCs w:val="21"/>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7" w:type="dxa"/>
            <w:vAlign w:val="center"/>
          </w:tcPr>
          <w:p>
            <w:pPr>
              <w:jc w:val="center"/>
              <w:rPr>
                <w:rFonts w:ascii="宋体" w:hAnsi="宋体"/>
                <w:color w:val="auto"/>
                <w:szCs w:val="21"/>
                <w:highlight w:val="none"/>
              </w:rPr>
            </w:pPr>
          </w:p>
        </w:tc>
        <w:tc>
          <w:tcPr>
            <w:tcW w:w="1338"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1646" w:type="dxa"/>
            <w:vAlign w:val="center"/>
          </w:tcPr>
          <w:p>
            <w:pPr>
              <w:jc w:val="center"/>
              <w:rPr>
                <w:rFonts w:ascii="宋体" w:hAnsi="宋体"/>
                <w:color w:val="auto"/>
                <w:szCs w:val="21"/>
                <w:highlight w:val="none"/>
              </w:rPr>
            </w:pP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4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修正后的投标总价（投标报价+Σ差额）</w:t>
            </w:r>
          </w:p>
        </w:tc>
        <w:tc>
          <w:tcPr>
            <w:tcW w:w="1644" w:type="dxa"/>
            <w:vAlign w:val="center"/>
          </w:tcPr>
          <w:p>
            <w:pPr>
              <w:jc w:val="center"/>
              <w:rPr>
                <w:rFonts w:ascii="宋体" w:hAnsi="宋体"/>
                <w:color w:val="auto"/>
                <w:szCs w:val="21"/>
                <w:highlight w:val="none"/>
              </w:rPr>
            </w:pPr>
          </w:p>
        </w:tc>
        <w:tc>
          <w:tcPr>
            <w:tcW w:w="2471" w:type="dxa"/>
            <w:vAlign w:val="center"/>
          </w:tcPr>
          <w:p>
            <w:pPr>
              <w:jc w:val="center"/>
              <w:rPr>
                <w:rFonts w:ascii="宋体" w:hAnsi="宋体"/>
                <w:color w:val="auto"/>
                <w:szCs w:val="21"/>
                <w:highlight w:val="none"/>
              </w:rPr>
            </w:pPr>
          </w:p>
        </w:tc>
      </w:tr>
    </w:tbl>
    <w:p>
      <w:pPr>
        <w:spacing w:line="480" w:lineRule="auto"/>
        <w:rPr>
          <w:rFonts w:ascii="宋体" w:hAnsi="宋体"/>
          <w:color w:val="auto"/>
          <w:szCs w:val="21"/>
          <w:highlight w:val="none"/>
        </w:rPr>
      </w:pPr>
      <w:r>
        <w:rPr>
          <w:rFonts w:hint="eastAsia" w:ascii="宋体" w:hAnsi="宋体"/>
          <w:color w:val="auto"/>
          <w:szCs w:val="21"/>
          <w:highlight w:val="none"/>
        </w:rPr>
        <w:t>评标委员会全体成员签字/日期：</w:t>
      </w:r>
    </w:p>
    <w:p>
      <w:pPr>
        <w:spacing w:line="480" w:lineRule="auto"/>
        <w:rPr>
          <w:rFonts w:ascii="宋体" w:hAnsi="宋体"/>
          <w:color w:val="auto"/>
          <w:szCs w:val="21"/>
          <w:highlight w:val="none"/>
        </w:rPr>
      </w:pPr>
      <w:r>
        <w:rPr>
          <w:rFonts w:ascii="宋体" w:hAnsi="宋体"/>
          <w:color w:val="auto"/>
          <w:szCs w:val="21"/>
          <w:highlight w:val="none"/>
        </w:rPr>
        <w:br w:type="page"/>
      </w:r>
    </w:p>
    <w:p>
      <w:pPr>
        <w:pStyle w:val="6"/>
        <w:rPr>
          <w:rFonts w:ascii="黑体" w:hAnsi="黑体"/>
          <w:b w:val="0"/>
          <w:bCs w:val="0"/>
          <w:color w:val="auto"/>
          <w:sz w:val="24"/>
          <w:highlight w:val="none"/>
        </w:rPr>
      </w:pPr>
      <w:r>
        <w:rPr>
          <w:rFonts w:hint="eastAsia" w:ascii="黑体" w:hAnsi="黑体"/>
          <w:b w:val="0"/>
          <w:bCs w:val="0"/>
          <w:color w:val="auto"/>
          <w:sz w:val="24"/>
          <w:highlight w:val="none"/>
        </w:rPr>
        <w:t>附表3-</w:t>
      </w:r>
      <w:r>
        <w:rPr>
          <w:rFonts w:hint="eastAsia" w:ascii="黑体" w:hAnsi="黑体"/>
          <w:b w:val="0"/>
          <w:bCs w:val="0"/>
          <w:color w:val="auto"/>
          <w:sz w:val="24"/>
          <w:highlight w:val="none"/>
          <w:lang w:val="en-US" w:eastAsia="zh-CN"/>
        </w:rPr>
        <w:t>9</w:t>
      </w:r>
      <w:r>
        <w:rPr>
          <w:rFonts w:hint="eastAsia" w:ascii="黑体" w:hAnsi="黑体"/>
          <w:b w:val="0"/>
          <w:bCs w:val="0"/>
          <w:color w:val="auto"/>
          <w:sz w:val="24"/>
          <w:highlight w:val="none"/>
        </w:rPr>
        <w:t>：成本评审结论记录表</w:t>
      </w:r>
    </w:p>
    <w:p>
      <w:pPr>
        <w:spacing w:beforeLines="100" w:afterLines="100" w:line="460" w:lineRule="exact"/>
        <w:jc w:val="center"/>
        <w:rPr>
          <w:rFonts w:ascii="宋体" w:hAnsi="宋体"/>
          <w:b/>
          <w:color w:val="auto"/>
          <w:sz w:val="28"/>
          <w:szCs w:val="28"/>
          <w:highlight w:val="none"/>
        </w:rPr>
      </w:pPr>
      <w:r>
        <w:rPr>
          <w:rFonts w:hint="eastAsia" w:ascii="黑体" w:eastAsia="黑体"/>
          <w:color w:val="auto"/>
          <w:sz w:val="28"/>
          <w:szCs w:val="32"/>
          <w:highlight w:val="none"/>
        </w:rPr>
        <w:t>成本评审结论记录表</w:t>
      </w:r>
    </w:p>
    <w:p>
      <w:pPr>
        <w:spacing w:line="460" w:lineRule="exact"/>
        <w:rPr>
          <w:rFonts w:ascii="宋体" w:hAnsi="宋体"/>
          <w:color w:val="auto"/>
          <w:szCs w:val="21"/>
          <w:highlight w:val="none"/>
        </w:rPr>
      </w:pPr>
      <w:r>
        <w:rPr>
          <w:rFonts w:hint="eastAsia" w:ascii="宋体" w:hAnsi="宋体"/>
          <w:color w:val="auto"/>
          <w:szCs w:val="21"/>
          <w:highlight w:val="none"/>
        </w:rPr>
        <w:t>投标人名称：</w:t>
      </w:r>
    </w:p>
    <w:p>
      <w:pPr>
        <w:spacing w:line="460" w:lineRule="exact"/>
        <w:rPr>
          <w:rFonts w:ascii="宋体" w:hAnsi="宋体"/>
          <w:color w:val="auto"/>
          <w:szCs w:val="21"/>
          <w:highlight w:val="none"/>
        </w:rPr>
      </w:pPr>
    </w:p>
    <w:tbl>
      <w:tblPr>
        <w:tblStyle w:val="21"/>
        <w:tblW w:w="82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9"/>
        <w:gridCol w:w="1320"/>
        <w:gridCol w:w="2008"/>
        <w:gridCol w:w="2869"/>
        <w:gridCol w:w="1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469" w:type="dxa"/>
            <w:gridSpan w:val="2"/>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招标控制价</w:t>
            </w:r>
          </w:p>
        </w:tc>
        <w:tc>
          <w:tcPr>
            <w:tcW w:w="2008"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投标报价</w:t>
            </w:r>
          </w:p>
        </w:tc>
        <w:tc>
          <w:tcPr>
            <w:tcW w:w="2869"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本项目成本评审警戒线</w:t>
            </w:r>
          </w:p>
        </w:tc>
        <w:tc>
          <w:tcPr>
            <w:tcW w:w="1271"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比较结果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vAlign w:val="center"/>
          </w:tcPr>
          <w:p>
            <w:pPr>
              <w:jc w:val="center"/>
              <w:rPr>
                <w:rFonts w:ascii="宋体" w:hAnsi="宋体"/>
                <w:color w:val="auto"/>
                <w:sz w:val="18"/>
                <w:szCs w:val="18"/>
                <w:highlight w:val="none"/>
              </w:rPr>
            </w:pPr>
          </w:p>
        </w:tc>
        <w:tc>
          <w:tcPr>
            <w:tcW w:w="1469" w:type="dxa"/>
            <w:gridSpan w:val="2"/>
            <w:vAlign w:val="center"/>
          </w:tcPr>
          <w:p>
            <w:pPr>
              <w:rPr>
                <w:rFonts w:ascii="宋体" w:hAnsi="宋体"/>
                <w:color w:val="auto"/>
                <w:sz w:val="18"/>
                <w:szCs w:val="18"/>
                <w:highlight w:val="none"/>
              </w:rPr>
            </w:pPr>
          </w:p>
        </w:tc>
        <w:tc>
          <w:tcPr>
            <w:tcW w:w="2008" w:type="dxa"/>
            <w:vAlign w:val="center"/>
          </w:tcPr>
          <w:p>
            <w:pPr>
              <w:jc w:val="center"/>
              <w:rPr>
                <w:rFonts w:ascii="宋体" w:hAnsi="宋体"/>
                <w:color w:val="auto"/>
                <w:sz w:val="18"/>
                <w:szCs w:val="18"/>
                <w:highlight w:val="none"/>
              </w:rPr>
            </w:pPr>
          </w:p>
        </w:tc>
        <w:tc>
          <w:tcPr>
            <w:tcW w:w="2869" w:type="dxa"/>
            <w:vAlign w:val="center"/>
          </w:tcPr>
          <w:p>
            <w:pPr>
              <w:jc w:val="center"/>
              <w:rPr>
                <w:rFonts w:ascii="宋体" w:hAnsi="宋体"/>
                <w:color w:val="auto"/>
                <w:sz w:val="18"/>
                <w:szCs w:val="18"/>
                <w:highlight w:val="none"/>
              </w:rPr>
            </w:pPr>
          </w:p>
        </w:tc>
        <w:tc>
          <w:tcPr>
            <w:tcW w:w="1271" w:type="dxa"/>
            <w:vAlign w:val="center"/>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283" w:type="dxa"/>
            <w:gridSpan w:val="6"/>
          </w:tcPr>
          <w:p>
            <w:pPr>
              <w:spacing w:beforeLines="30"/>
              <w:rPr>
                <w:rFonts w:ascii="宋体" w:hAnsi="宋体"/>
                <w:color w:val="auto"/>
                <w:sz w:val="18"/>
                <w:szCs w:val="18"/>
                <w:highlight w:val="none"/>
              </w:rPr>
            </w:pPr>
            <w:r>
              <w:rPr>
                <w:rFonts w:hint="eastAsia" w:ascii="宋体" w:hAnsi="宋体"/>
                <w:color w:val="auto"/>
                <w:sz w:val="18"/>
                <w:szCs w:val="18"/>
                <w:highlight w:val="none"/>
              </w:rPr>
              <w:t>比较后需投标人澄清和说明的主要事项概要：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83" w:type="dxa"/>
            <w:gridSpan w:val="6"/>
          </w:tcPr>
          <w:p>
            <w:pPr>
              <w:spacing w:beforeLines="30"/>
              <w:rPr>
                <w:rFonts w:ascii="宋体" w:hAnsi="宋体"/>
                <w:color w:val="auto"/>
                <w:sz w:val="18"/>
                <w:szCs w:val="18"/>
                <w:highlight w:val="none"/>
              </w:rPr>
            </w:pPr>
            <w:r>
              <w:rPr>
                <w:rFonts w:hint="eastAsia" w:ascii="宋体" w:hAnsi="宋体"/>
                <w:color w:val="auto"/>
                <w:sz w:val="18"/>
                <w:szCs w:val="18"/>
                <w:highlight w:val="none"/>
              </w:rPr>
              <w:t>投标人澄清、说明、补正和提供进一步证明的情况说明：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5" w:type="dxa"/>
            <w:gridSpan w:val="2"/>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评审</w:t>
            </w:r>
          </w:p>
          <w:p>
            <w:pPr>
              <w:jc w:val="center"/>
              <w:rPr>
                <w:rFonts w:ascii="宋体" w:hAnsi="宋体"/>
                <w:color w:val="auto"/>
                <w:sz w:val="18"/>
                <w:szCs w:val="18"/>
                <w:highlight w:val="none"/>
              </w:rPr>
            </w:pPr>
            <w:r>
              <w:rPr>
                <w:rFonts w:hint="eastAsia" w:ascii="宋体" w:hAnsi="宋体"/>
                <w:color w:val="auto"/>
                <w:sz w:val="18"/>
                <w:szCs w:val="18"/>
                <w:highlight w:val="none"/>
              </w:rPr>
              <w:t>结论</w:t>
            </w:r>
          </w:p>
        </w:tc>
        <w:tc>
          <w:tcPr>
            <w:tcW w:w="7468" w:type="dxa"/>
            <w:gridSpan w:val="4"/>
            <w:vAlign w:val="center"/>
          </w:tcPr>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□低于成本     □不低于成本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815" w:type="dxa"/>
            <w:gridSpan w:val="2"/>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w:t>
            </w:r>
          </w:p>
          <w:p>
            <w:pPr>
              <w:jc w:val="center"/>
              <w:rPr>
                <w:rFonts w:ascii="宋体" w:hAnsi="宋体"/>
                <w:color w:val="auto"/>
                <w:sz w:val="18"/>
                <w:szCs w:val="18"/>
                <w:highlight w:val="none"/>
              </w:rPr>
            </w:pPr>
            <w:r>
              <w:rPr>
                <w:rFonts w:hint="eastAsia" w:ascii="宋体" w:hAnsi="宋体"/>
                <w:color w:val="auto"/>
                <w:sz w:val="18"/>
                <w:szCs w:val="18"/>
                <w:highlight w:val="none"/>
              </w:rPr>
              <w:t>审</w:t>
            </w:r>
          </w:p>
          <w:p>
            <w:pPr>
              <w:jc w:val="center"/>
              <w:rPr>
                <w:rFonts w:ascii="宋体" w:hAnsi="宋体"/>
                <w:color w:val="auto"/>
                <w:sz w:val="18"/>
                <w:szCs w:val="18"/>
                <w:highlight w:val="none"/>
              </w:rPr>
            </w:pPr>
            <w:r>
              <w:rPr>
                <w:rFonts w:hint="eastAsia" w:ascii="宋体" w:hAnsi="宋体"/>
                <w:color w:val="auto"/>
                <w:sz w:val="18"/>
                <w:szCs w:val="18"/>
                <w:highlight w:val="none"/>
              </w:rPr>
              <w:t>意</w:t>
            </w:r>
          </w:p>
          <w:p>
            <w:pPr>
              <w:jc w:val="center"/>
              <w:rPr>
                <w:rFonts w:ascii="宋体" w:hAnsi="宋体"/>
                <w:color w:val="auto"/>
                <w:sz w:val="18"/>
                <w:szCs w:val="18"/>
                <w:highlight w:val="none"/>
              </w:rPr>
            </w:pPr>
            <w:r>
              <w:rPr>
                <w:rFonts w:hint="eastAsia" w:ascii="宋体" w:hAnsi="宋体"/>
                <w:color w:val="auto"/>
                <w:sz w:val="18"/>
                <w:szCs w:val="18"/>
                <w:highlight w:val="none"/>
              </w:rPr>
              <w:t>见</w:t>
            </w:r>
          </w:p>
          <w:p>
            <w:pPr>
              <w:jc w:val="center"/>
              <w:rPr>
                <w:rFonts w:ascii="宋体" w:hAnsi="宋体"/>
                <w:color w:val="auto"/>
                <w:sz w:val="18"/>
                <w:szCs w:val="18"/>
                <w:highlight w:val="none"/>
              </w:rPr>
            </w:pPr>
            <w:r>
              <w:rPr>
                <w:rFonts w:hint="eastAsia" w:ascii="宋体" w:hAnsi="宋体"/>
                <w:color w:val="auto"/>
                <w:sz w:val="18"/>
                <w:szCs w:val="18"/>
                <w:highlight w:val="none"/>
              </w:rPr>
              <w:t>概</w:t>
            </w:r>
          </w:p>
          <w:p>
            <w:pPr>
              <w:jc w:val="center"/>
              <w:rPr>
                <w:rFonts w:ascii="宋体" w:hAnsi="宋体"/>
                <w:color w:val="auto"/>
                <w:sz w:val="18"/>
                <w:szCs w:val="18"/>
                <w:highlight w:val="none"/>
              </w:rPr>
            </w:pPr>
            <w:r>
              <w:rPr>
                <w:rFonts w:hint="eastAsia" w:ascii="宋体" w:hAnsi="宋体"/>
                <w:color w:val="auto"/>
                <w:sz w:val="18"/>
                <w:szCs w:val="18"/>
                <w:highlight w:val="none"/>
              </w:rPr>
              <w:t>要</w:t>
            </w:r>
          </w:p>
        </w:tc>
        <w:tc>
          <w:tcPr>
            <w:tcW w:w="7468" w:type="dxa"/>
            <w:gridSpan w:val="4"/>
            <w:vAlign w:val="center"/>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815" w:type="dxa"/>
            <w:gridSpan w:val="2"/>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w:t>
            </w:r>
          </w:p>
          <w:p>
            <w:pPr>
              <w:jc w:val="center"/>
              <w:rPr>
                <w:rFonts w:ascii="宋体" w:hAnsi="宋体"/>
                <w:color w:val="auto"/>
                <w:sz w:val="18"/>
                <w:szCs w:val="18"/>
                <w:highlight w:val="none"/>
              </w:rPr>
            </w:pPr>
            <w:r>
              <w:rPr>
                <w:rFonts w:hint="eastAsia" w:ascii="宋体" w:hAnsi="宋体"/>
                <w:color w:val="auto"/>
                <w:sz w:val="18"/>
                <w:szCs w:val="18"/>
                <w:highlight w:val="none"/>
              </w:rPr>
              <w:t>标</w:t>
            </w:r>
          </w:p>
          <w:p>
            <w:pPr>
              <w:jc w:val="center"/>
              <w:rPr>
                <w:rFonts w:ascii="宋体" w:hAnsi="宋体"/>
                <w:color w:val="auto"/>
                <w:sz w:val="18"/>
                <w:szCs w:val="18"/>
                <w:highlight w:val="none"/>
              </w:rPr>
            </w:pPr>
            <w:r>
              <w:rPr>
                <w:rFonts w:hint="eastAsia" w:ascii="宋体" w:hAnsi="宋体"/>
                <w:color w:val="auto"/>
                <w:sz w:val="18"/>
                <w:szCs w:val="18"/>
                <w:highlight w:val="none"/>
              </w:rPr>
              <w:t>委</w:t>
            </w:r>
          </w:p>
          <w:p>
            <w:pPr>
              <w:jc w:val="center"/>
              <w:rPr>
                <w:rFonts w:ascii="宋体" w:hAnsi="宋体"/>
                <w:color w:val="auto"/>
                <w:sz w:val="18"/>
                <w:szCs w:val="18"/>
                <w:highlight w:val="none"/>
              </w:rPr>
            </w:pPr>
            <w:r>
              <w:rPr>
                <w:rFonts w:hint="eastAsia" w:ascii="宋体" w:hAnsi="宋体"/>
                <w:color w:val="auto"/>
                <w:sz w:val="18"/>
                <w:szCs w:val="18"/>
                <w:highlight w:val="none"/>
              </w:rPr>
              <w:t>员</w:t>
            </w:r>
          </w:p>
          <w:p>
            <w:pPr>
              <w:jc w:val="center"/>
              <w:rPr>
                <w:rFonts w:ascii="宋体" w:hAnsi="宋体"/>
                <w:color w:val="auto"/>
                <w:sz w:val="18"/>
                <w:szCs w:val="18"/>
                <w:highlight w:val="none"/>
              </w:rPr>
            </w:pPr>
            <w:r>
              <w:rPr>
                <w:rFonts w:hint="eastAsia" w:ascii="宋体" w:hAnsi="宋体"/>
                <w:color w:val="auto"/>
                <w:sz w:val="18"/>
                <w:szCs w:val="18"/>
                <w:highlight w:val="none"/>
              </w:rPr>
              <w:t>会</w:t>
            </w:r>
          </w:p>
          <w:p>
            <w:pPr>
              <w:jc w:val="center"/>
              <w:rPr>
                <w:rFonts w:ascii="宋体" w:hAnsi="宋体"/>
                <w:color w:val="auto"/>
                <w:sz w:val="18"/>
                <w:szCs w:val="18"/>
                <w:highlight w:val="none"/>
              </w:rPr>
            </w:pPr>
            <w:r>
              <w:rPr>
                <w:rFonts w:hint="eastAsia" w:ascii="宋体" w:hAnsi="宋体"/>
                <w:color w:val="auto"/>
                <w:sz w:val="18"/>
                <w:szCs w:val="18"/>
                <w:highlight w:val="none"/>
              </w:rPr>
              <w:t>全</w:t>
            </w:r>
          </w:p>
          <w:p>
            <w:pPr>
              <w:jc w:val="center"/>
              <w:rPr>
                <w:rFonts w:ascii="宋体" w:hAnsi="宋体"/>
                <w:color w:val="auto"/>
                <w:sz w:val="18"/>
                <w:szCs w:val="18"/>
                <w:highlight w:val="none"/>
              </w:rPr>
            </w:pPr>
            <w:r>
              <w:rPr>
                <w:rFonts w:hint="eastAsia" w:ascii="宋体" w:hAnsi="宋体"/>
                <w:color w:val="auto"/>
                <w:sz w:val="18"/>
                <w:szCs w:val="18"/>
                <w:highlight w:val="none"/>
              </w:rPr>
              <w:t>体</w:t>
            </w:r>
          </w:p>
          <w:p>
            <w:pPr>
              <w:jc w:val="center"/>
              <w:rPr>
                <w:rFonts w:ascii="宋体" w:hAnsi="宋体"/>
                <w:color w:val="auto"/>
                <w:sz w:val="18"/>
                <w:szCs w:val="18"/>
                <w:highlight w:val="none"/>
              </w:rPr>
            </w:pPr>
            <w:r>
              <w:rPr>
                <w:rFonts w:hint="eastAsia" w:ascii="宋体" w:hAnsi="宋体"/>
                <w:color w:val="auto"/>
                <w:sz w:val="18"/>
                <w:szCs w:val="18"/>
                <w:highlight w:val="none"/>
              </w:rPr>
              <w:t>成</w:t>
            </w:r>
          </w:p>
          <w:p>
            <w:pPr>
              <w:jc w:val="center"/>
              <w:rPr>
                <w:rFonts w:ascii="宋体" w:hAnsi="宋体"/>
                <w:color w:val="auto"/>
                <w:sz w:val="18"/>
                <w:szCs w:val="18"/>
                <w:highlight w:val="none"/>
              </w:rPr>
            </w:pPr>
            <w:r>
              <w:rPr>
                <w:rFonts w:hint="eastAsia" w:ascii="宋体" w:hAnsi="宋体"/>
                <w:color w:val="auto"/>
                <w:sz w:val="18"/>
                <w:szCs w:val="18"/>
                <w:highlight w:val="none"/>
              </w:rPr>
              <w:t>员</w:t>
            </w:r>
          </w:p>
          <w:p>
            <w:pPr>
              <w:jc w:val="center"/>
              <w:rPr>
                <w:rFonts w:ascii="宋体" w:hAnsi="宋体"/>
                <w:color w:val="auto"/>
                <w:sz w:val="18"/>
                <w:szCs w:val="18"/>
                <w:highlight w:val="none"/>
              </w:rPr>
            </w:pPr>
            <w:r>
              <w:rPr>
                <w:rFonts w:hint="eastAsia" w:ascii="宋体" w:hAnsi="宋体"/>
                <w:color w:val="auto"/>
                <w:sz w:val="18"/>
                <w:szCs w:val="18"/>
                <w:highlight w:val="none"/>
              </w:rPr>
              <w:t>签</w:t>
            </w:r>
          </w:p>
          <w:p>
            <w:pPr>
              <w:jc w:val="center"/>
              <w:rPr>
                <w:rFonts w:ascii="宋体" w:hAnsi="宋体"/>
                <w:color w:val="auto"/>
                <w:sz w:val="18"/>
                <w:szCs w:val="18"/>
                <w:highlight w:val="none"/>
              </w:rPr>
            </w:pPr>
            <w:r>
              <w:rPr>
                <w:rFonts w:hint="eastAsia" w:ascii="宋体" w:hAnsi="宋体"/>
                <w:color w:val="auto"/>
                <w:sz w:val="18"/>
                <w:szCs w:val="18"/>
                <w:highlight w:val="none"/>
              </w:rPr>
              <w:t>名</w:t>
            </w:r>
          </w:p>
        </w:tc>
        <w:tc>
          <w:tcPr>
            <w:tcW w:w="7468" w:type="dxa"/>
            <w:gridSpan w:val="4"/>
            <w:vAlign w:val="bottom"/>
          </w:tcPr>
          <w:p>
            <w:pPr>
              <w:wordWrap w:val="0"/>
              <w:spacing w:afterLines="50"/>
              <w:jc w:val="right"/>
              <w:rPr>
                <w:rFonts w:ascii="宋体" w:hAnsi="宋体"/>
                <w:color w:val="auto"/>
                <w:sz w:val="18"/>
                <w:szCs w:val="18"/>
                <w:highlight w:val="none"/>
              </w:rPr>
            </w:pPr>
            <w:r>
              <w:rPr>
                <w:rFonts w:hint="eastAsia" w:ascii="宋体" w:hAnsi="宋体"/>
                <w:color w:val="auto"/>
                <w:sz w:val="18"/>
                <w:szCs w:val="18"/>
                <w:highlight w:val="none"/>
              </w:rPr>
              <w:t xml:space="preserve">年   月   日       </w:t>
            </w:r>
          </w:p>
        </w:tc>
      </w:tr>
    </w:tbl>
    <w:p>
      <w:pPr>
        <w:rPr>
          <w:color w:val="auto"/>
          <w:highlight w:val="none"/>
        </w:rPr>
      </w:pPr>
    </w:p>
    <w:p>
      <w:pPr>
        <w:pStyle w:val="19"/>
        <w:rPr>
          <w:color w:val="auto"/>
          <w:highlight w:val="none"/>
        </w:rPr>
      </w:pPr>
    </w:p>
    <w:p>
      <w:pPr>
        <w:pStyle w:val="19"/>
        <w:rPr>
          <w:rFonts w:hint="eastAsia" w:ascii="宋体" w:hAnsi="宋体" w:eastAsia="宋体" w:cs="宋体"/>
          <w:b w:val="0"/>
          <w:bCs/>
          <w:color w:val="auto"/>
          <w:sz w:val="24"/>
          <w:highlight w:val="none"/>
        </w:rPr>
      </w:pPr>
    </w:p>
    <w:p>
      <w:pPr>
        <w:pStyle w:val="7"/>
        <w:spacing w:before="67"/>
        <w:ind w:left="0" w:leftChars="0" w:firstLine="0" w:firstLineChars="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附表3-</w:t>
      </w:r>
      <w:r>
        <w:rPr>
          <w:rFonts w:hint="eastAsia" w:ascii="宋体" w:hAnsi="宋体" w:eastAsia="宋体" w:cs="宋体"/>
          <w:b w:val="0"/>
          <w:bCs/>
          <w:color w:val="auto"/>
          <w:sz w:val="24"/>
          <w:highlight w:val="none"/>
          <w:lang w:val="en-US" w:eastAsia="zh-CN"/>
        </w:rPr>
        <w:t>10</w:t>
      </w:r>
      <w:r>
        <w:rPr>
          <w:rFonts w:hint="eastAsia" w:ascii="宋体" w:hAnsi="宋体" w:eastAsia="宋体" w:cs="宋体"/>
          <w:b w:val="0"/>
          <w:bCs/>
          <w:color w:val="auto"/>
          <w:sz w:val="24"/>
          <w:highlight w:val="none"/>
        </w:rPr>
        <w:t>：</w:t>
      </w:r>
      <w:bookmarkEnd w:id="324"/>
      <w:r>
        <w:rPr>
          <w:rFonts w:hint="eastAsia" w:ascii="宋体" w:hAnsi="宋体" w:eastAsia="宋体" w:cs="宋体"/>
          <w:b/>
          <w:bCs/>
          <w:color w:val="auto"/>
          <w:highlight w:val="none"/>
        </w:rPr>
        <w:t>设计方案评审计分表</w:t>
      </w:r>
    </w:p>
    <w:p>
      <w:pPr>
        <w:pStyle w:val="7"/>
        <w:spacing w:before="67"/>
        <w:jc w:val="center"/>
        <w:rPr>
          <w:rFonts w:ascii="宋体"/>
          <w:b/>
          <w:color w:val="auto"/>
          <w:sz w:val="28"/>
          <w:highlight w:val="none"/>
        </w:rPr>
      </w:pPr>
      <w:r>
        <w:rPr>
          <w:rFonts w:hint="eastAsia" w:ascii="宋体" w:hAnsi="宋体" w:eastAsia="宋体" w:cs="宋体"/>
          <w:b/>
          <w:bCs/>
          <w:color w:val="auto"/>
          <w:highlight w:val="none"/>
        </w:rPr>
        <w:t>设计方案评审计分表（权数：0.</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w:t>
      </w:r>
    </w:p>
    <w:tbl>
      <w:tblPr>
        <w:tblStyle w:val="21"/>
        <w:tblpPr w:leftFromText="180" w:rightFromText="180" w:vertAnchor="text" w:horzAnchor="page" w:tblpX="1226" w:tblpY="49"/>
        <w:tblOverlap w:val="never"/>
        <w:tblW w:w="103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17"/>
        <w:gridCol w:w="3983"/>
        <w:gridCol w:w="630"/>
        <w:gridCol w:w="525"/>
        <w:gridCol w:w="615"/>
        <w:gridCol w:w="630"/>
        <w:gridCol w:w="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restart"/>
            <w:tcBorders>
              <w:top w:val="single" w:color="auto" w:sz="12"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序号</w:t>
            </w:r>
          </w:p>
        </w:tc>
        <w:tc>
          <w:tcPr>
            <w:tcW w:w="2317" w:type="dxa"/>
            <w:vMerge w:val="restart"/>
            <w:tcBorders>
              <w:top w:val="single" w:color="auto" w:sz="12"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项目</w:t>
            </w:r>
          </w:p>
        </w:tc>
        <w:tc>
          <w:tcPr>
            <w:tcW w:w="4613" w:type="dxa"/>
            <w:gridSpan w:val="2"/>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评审标准及分值</w:t>
            </w:r>
          </w:p>
        </w:tc>
        <w:tc>
          <w:tcPr>
            <w:tcW w:w="2640" w:type="dxa"/>
            <w:gridSpan w:val="4"/>
            <w:vAlign w:val="top"/>
          </w:tcPr>
          <w:p>
            <w:pPr>
              <w:widowControl/>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评审计分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50" w:type="dxa"/>
            <w:vMerge w:val="continue"/>
            <w:tcBorders>
              <w:bottom w:val="single" w:color="auto" w:sz="4" w:space="0"/>
            </w:tcBorders>
            <w:vAlign w:val="center"/>
          </w:tcPr>
          <w:p>
            <w:pPr>
              <w:jc w:val="center"/>
              <w:rPr>
                <w:rFonts w:hint="eastAsia" w:ascii="宋体" w:hAnsi="宋体" w:eastAsia="宋体" w:cs="宋体"/>
                <w:color w:val="auto"/>
                <w:sz w:val="18"/>
                <w:szCs w:val="21"/>
                <w:highlight w:val="none"/>
              </w:rPr>
            </w:pPr>
          </w:p>
        </w:tc>
        <w:tc>
          <w:tcPr>
            <w:tcW w:w="2317" w:type="dxa"/>
            <w:vMerge w:val="continue"/>
            <w:tcBorders>
              <w:bottom w:val="single" w:color="auto" w:sz="4" w:space="0"/>
            </w:tcBorders>
            <w:vAlign w:val="center"/>
          </w:tcPr>
          <w:p>
            <w:pPr>
              <w:rPr>
                <w:rFonts w:hint="eastAsia" w:ascii="宋体" w:hAnsi="宋体" w:eastAsia="宋体" w:cs="宋体"/>
                <w:color w:val="auto"/>
                <w:sz w:val="18"/>
                <w:szCs w:val="21"/>
                <w:highlight w:val="none"/>
              </w:rPr>
            </w:pPr>
          </w:p>
        </w:tc>
        <w:tc>
          <w:tcPr>
            <w:tcW w:w="4613" w:type="dxa"/>
            <w:gridSpan w:val="2"/>
            <w:vMerge w:val="continue"/>
            <w:tcBorders>
              <w:bottom w:val="single" w:color="auto" w:sz="4" w:space="0"/>
            </w:tcBorders>
            <w:vAlign w:val="center"/>
          </w:tcPr>
          <w:p>
            <w:pPr>
              <w:jc w:val="center"/>
              <w:rPr>
                <w:rFonts w:hint="eastAsia" w:ascii="宋体" w:hAnsi="宋体" w:eastAsia="宋体" w:cs="宋体"/>
                <w:color w:val="auto"/>
                <w:sz w:val="18"/>
                <w:szCs w:val="21"/>
                <w:highlight w:val="none"/>
              </w:rPr>
            </w:pP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tcBorders>
              <w:top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1</w:t>
            </w:r>
          </w:p>
        </w:tc>
        <w:tc>
          <w:tcPr>
            <w:tcW w:w="2317" w:type="dxa"/>
            <w:tcBorders>
              <w:top w:val="single" w:color="auto" w:sz="4" w:space="0"/>
            </w:tcBorders>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对招标项目的理解和总体设计思路（10分）</w:t>
            </w:r>
          </w:p>
        </w:tc>
        <w:tc>
          <w:tcPr>
            <w:tcW w:w="3983" w:type="dxa"/>
            <w:tcBorders>
              <w:top w:val="single" w:color="auto" w:sz="4" w:space="0"/>
              <w:right w:val="single" w:color="auto" w:sz="4" w:space="0"/>
            </w:tcBorders>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总体设计思路的清晰、技术路线的合理、可行</w:t>
            </w:r>
          </w:p>
        </w:tc>
        <w:tc>
          <w:tcPr>
            <w:tcW w:w="630" w:type="dxa"/>
            <w:tcBorders>
              <w:top w:val="single" w:color="auto" w:sz="4" w:space="0"/>
              <w:left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6</w:t>
            </w:r>
            <w:r>
              <w:rPr>
                <w:rFonts w:hint="eastAsia" w:ascii="宋体" w:hAnsi="宋体" w:eastAsia="宋体" w:cs="宋体"/>
                <w:color w:val="auto"/>
                <w:sz w:val="18"/>
                <w:szCs w:val="21"/>
                <w:highlight w:val="none"/>
              </w:rPr>
              <w:t>-10</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tcBorders>
              <w:top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2</w:t>
            </w:r>
          </w:p>
        </w:tc>
        <w:tc>
          <w:tcPr>
            <w:tcW w:w="2317" w:type="dxa"/>
            <w:tcBorders>
              <w:top w:val="single" w:color="auto" w:sz="4" w:space="0"/>
            </w:tcBorders>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工程设计详细说明（</w:t>
            </w:r>
            <w:r>
              <w:rPr>
                <w:rFonts w:hint="eastAsia" w:ascii="宋体" w:hAnsi="宋体" w:eastAsia="宋体" w:cs="宋体"/>
                <w:color w:val="auto"/>
                <w:sz w:val="18"/>
                <w:szCs w:val="21"/>
                <w:highlight w:val="none"/>
                <w:lang w:val="en-US" w:eastAsia="zh-CN"/>
              </w:rPr>
              <w:t>5</w:t>
            </w:r>
            <w:r>
              <w:rPr>
                <w:rFonts w:hint="eastAsia" w:ascii="宋体" w:hAnsi="宋体" w:eastAsia="宋体" w:cs="宋体"/>
                <w:color w:val="auto"/>
                <w:sz w:val="18"/>
                <w:szCs w:val="21"/>
                <w:highlight w:val="none"/>
              </w:rPr>
              <w:t>分）</w:t>
            </w: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对本项目功能、特点、重点、难点等理解正确、认识全面</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3-5</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restart"/>
            <w:tcBorders>
              <w:top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3</w:t>
            </w:r>
          </w:p>
        </w:tc>
        <w:tc>
          <w:tcPr>
            <w:tcW w:w="2317" w:type="dxa"/>
            <w:vMerge w:val="restart"/>
            <w:tcBorders>
              <w:top w:val="single" w:color="auto" w:sz="4" w:space="0"/>
            </w:tcBorders>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设计</w:t>
            </w:r>
            <w:r>
              <w:rPr>
                <w:rFonts w:hint="eastAsia" w:ascii="宋体" w:hAnsi="宋体" w:eastAsia="宋体" w:cs="宋体"/>
                <w:color w:val="auto"/>
                <w:sz w:val="18"/>
                <w:szCs w:val="18"/>
                <w:highlight w:val="none"/>
                <w:lang w:val="en-US" w:eastAsia="zh-CN"/>
              </w:rPr>
              <w:t>优化</w:t>
            </w:r>
            <w:r>
              <w:rPr>
                <w:rFonts w:hint="eastAsia" w:ascii="宋体" w:hAnsi="宋体" w:eastAsia="宋体" w:cs="宋体"/>
                <w:color w:val="auto"/>
                <w:sz w:val="18"/>
                <w:szCs w:val="18"/>
                <w:highlight w:val="none"/>
                <w:lang w:eastAsia="zh-CN"/>
              </w:rPr>
              <w:t>方案</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55</w:t>
            </w:r>
            <w:r>
              <w:rPr>
                <w:rFonts w:hint="eastAsia" w:ascii="宋体" w:hAnsi="宋体" w:eastAsia="宋体" w:cs="宋体"/>
                <w:color w:val="auto"/>
                <w:sz w:val="18"/>
                <w:szCs w:val="18"/>
                <w:highlight w:val="none"/>
              </w:rPr>
              <w:t>分）</w:t>
            </w:r>
          </w:p>
          <w:p>
            <w:pPr>
              <w:spacing w:line="260" w:lineRule="exact"/>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提供的总图专业优化方案切实可行；对重点问题进行研究、提出符合本工程特点的建议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eastAsia="zh-CN"/>
              </w:rPr>
            </w:pPr>
            <w:r>
              <w:rPr>
                <w:rFonts w:hint="eastAsia" w:ascii="宋体" w:hAnsi="宋体" w:eastAsia="宋体" w:cs="宋体"/>
                <w:color w:val="auto"/>
                <w:sz w:val="18"/>
                <w:szCs w:val="21"/>
                <w:highlight w:val="none"/>
                <w:lang w:val="en-US" w:eastAsia="zh-CN"/>
              </w:rPr>
              <w:t>4</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7</w:t>
            </w:r>
          </w:p>
        </w:tc>
        <w:tc>
          <w:tcPr>
            <w:tcW w:w="525" w:type="dxa"/>
            <w:vMerge w:val="restart"/>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vMerge w:val="restart"/>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vMerge w:val="restart"/>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Merge w:val="restart"/>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continue"/>
            <w:vAlign w:val="center"/>
          </w:tcPr>
          <w:p>
            <w:pPr>
              <w:jc w:val="center"/>
              <w:rPr>
                <w:rFonts w:hint="eastAsia" w:ascii="宋体" w:hAnsi="宋体" w:eastAsia="宋体" w:cs="宋体"/>
                <w:color w:val="auto"/>
                <w:sz w:val="18"/>
                <w:szCs w:val="21"/>
                <w:highlight w:val="none"/>
              </w:rPr>
            </w:pPr>
          </w:p>
        </w:tc>
        <w:tc>
          <w:tcPr>
            <w:tcW w:w="2317" w:type="dxa"/>
            <w:vMerge w:val="continue"/>
            <w:vAlign w:val="center"/>
          </w:tcPr>
          <w:p>
            <w:pPr>
              <w:jc w:val="center"/>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提供的建筑专业优化方案切实可行；对重点问题进行研究、提出符合本工程特点的建议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6</w:t>
            </w:r>
            <w:r>
              <w:rPr>
                <w:rFonts w:hint="eastAsia" w:ascii="宋体" w:hAnsi="宋体" w:eastAsia="宋体" w:cs="宋体"/>
                <w:color w:val="auto"/>
                <w:sz w:val="18"/>
                <w:szCs w:val="21"/>
                <w:highlight w:val="none"/>
              </w:rPr>
              <w:t>-10</w:t>
            </w:r>
          </w:p>
        </w:tc>
        <w:tc>
          <w:tcPr>
            <w:tcW w:w="525" w:type="dxa"/>
            <w:vMerge w:val="continue"/>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vMerge w:val="continue"/>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vMerge w:val="continue"/>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Merge w:val="continue"/>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continue"/>
            <w:vAlign w:val="center"/>
          </w:tcPr>
          <w:p>
            <w:pPr>
              <w:jc w:val="center"/>
              <w:rPr>
                <w:rFonts w:hint="eastAsia" w:ascii="宋体" w:hAnsi="宋体" w:eastAsia="宋体" w:cs="宋体"/>
                <w:color w:val="auto"/>
                <w:sz w:val="18"/>
                <w:szCs w:val="21"/>
                <w:highlight w:val="none"/>
              </w:rPr>
            </w:pPr>
          </w:p>
        </w:tc>
        <w:tc>
          <w:tcPr>
            <w:tcW w:w="2317" w:type="dxa"/>
            <w:vMerge w:val="continue"/>
            <w:vAlign w:val="center"/>
          </w:tcPr>
          <w:p>
            <w:pPr>
              <w:jc w:val="center"/>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提供的结构专业优化方案切实可行；对重点问题进行研究、提出符合本工程特点的建议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6</w:t>
            </w:r>
            <w:r>
              <w:rPr>
                <w:rFonts w:hint="eastAsia" w:ascii="宋体" w:hAnsi="宋体" w:eastAsia="宋体" w:cs="宋体"/>
                <w:color w:val="auto"/>
                <w:sz w:val="18"/>
                <w:szCs w:val="21"/>
                <w:highlight w:val="none"/>
              </w:rPr>
              <w:t>-10</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50" w:type="dxa"/>
            <w:vMerge w:val="continue"/>
            <w:vAlign w:val="center"/>
          </w:tcPr>
          <w:p>
            <w:pPr>
              <w:jc w:val="center"/>
              <w:rPr>
                <w:rFonts w:hint="eastAsia" w:ascii="宋体" w:hAnsi="宋体" w:eastAsia="宋体" w:cs="宋体"/>
                <w:color w:val="auto"/>
                <w:sz w:val="18"/>
                <w:szCs w:val="21"/>
                <w:highlight w:val="none"/>
              </w:rPr>
            </w:pPr>
          </w:p>
        </w:tc>
        <w:tc>
          <w:tcPr>
            <w:tcW w:w="2317" w:type="dxa"/>
            <w:vMerge w:val="continue"/>
            <w:vAlign w:val="center"/>
          </w:tcPr>
          <w:p>
            <w:pPr>
              <w:jc w:val="center"/>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提供的给排水专业优化方案切实可行；对重点问题进行研究、提出符合本工程特点的建议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4</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7</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continue"/>
            <w:vAlign w:val="center"/>
          </w:tcPr>
          <w:p>
            <w:pPr>
              <w:jc w:val="center"/>
              <w:rPr>
                <w:rFonts w:hint="eastAsia" w:ascii="宋体" w:hAnsi="宋体" w:eastAsia="宋体" w:cs="宋体"/>
                <w:color w:val="auto"/>
                <w:sz w:val="18"/>
                <w:szCs w:val="21"/>
                <w:highlight w:val="none"/>
              </w:rPr>
            </w:pPr>
          </w:p>
        </w:tc>
        <w:tc>
          <w:tcPr>
            <w:tcW w:w="2317" w:type="dxa"/>
            <w:vMerge w:val="continue"/>
            <w:vAlign w:val="center"/>
          </w:tcPr>
          <w:p>
            <w:pPr>
              <w:jc w:val="center"/>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提供的给暖通专业优化方案切实可行；对重点问题进行研究、提出符合本工程特点的建议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4</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7</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continue"/>
            <w:vAlign w:val="center"/>
          </w:tcPr>
          <w:p>
            <w:pPr>
              <w:jc w:val="center"/>
              <w:rPr>
                <w:rFonts w:hint="eastAsia" w:ascii="宋体" w:hAnsi="宋体" w:eastAsia="宋体" w:cs="宋体"/>
                <w:color w:val="auto"/>
                <w:sz w:val="18"/>
                <w:szCs w:val="21"/>
                <w:highlight w:val="none"/>
              </w:rPr>
            </w:pPr>
          </w:p>
        </w:tc>
        <w:tc>
          <w:tcPr>
            <w:tcW w:w="2317" w:type="dxa"/>
            <w:vMerge w:val="continue"/>
            <w:vAlign w:val="center"/>
          </w:tcPr>
          <w:p>
            <w:pPr>
              <w:jc w:val="center"/>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提供的给电气专业优化方案切实可行；对重点问题进行研究、提出符合本工程特点的建议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eastAsia="zh-CN"/>
              </w:rPr>
            </w:pPr>
            <w:r>
              <w:rPr>
                <w:rFonts w:hint="eastAsia" w:ascii="宋体" w:hAnsi="宋体" w:eastAsia="宋体" w:cs="宋体"/>
                <w:color w:val="auto"/>
                <w:sz w:val="18"/>
                <w:szCs w:val="21"/>
                <w:highlight w:val="none"/>
                <w:lang w:val="en-US" w:eastAsia="zh-CN"/>
              </w:rPr>
              <w:t>4</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7</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Merge w:val="continue"/>
            <w:vAlign w:val="center"/>
          </w:tcPr>
          <w:p>
            <w:pPr>
              <w:jc w:val="center"/>
              <w:rPr>
                <w:rFonts w:hint="eastAsia" w:ascii="宋体" w:hAnsi="宋体" w:eastAsia="宋体" w:cs="宋体"/>
                <w:color w:val="auto"/>
                <w:sz w:val="18"/>
                <w:szCs w:val="21"/>
                <w:highlight w:val="none"/>
              </w:rPr>
            </w:pPr>
          </w:p>
        </w:tc>
        <w:tc>
          <w:tcPr>
            <w:tcW w:w="2317" w:type="dxa"/>
            <w:vMerge w:val="continue"/>
            <w:vAlign w:val="center"/>
          </w:tcPr>
          <w:p>
            <w:pPr>
              <w:jc w:val="center"/>
              <w:rPr>
                <w:rFonts w:hint="eastAsia" w:ascii="宋体" w:hAnsi="宋体" w:eastAsia="宋体" w:cs="宋体"/>
                <w:color w:val="auto"/>
                <w:sz w:val="18"/>
                <w:szCs w:val="21"/>
                <w:highlight w:val="none"/>
              </w:rPr>
            </w:pP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提供的给智能化专业优化方案切实可行；对重点问题进行研究、提出符合本工程特点的建议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4</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7</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tcBorders>
              <w:top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4</w:t>
            </w:r>
          </w:p>
        </w:tc>
        <w:tc>
          <w:tcPr>
            <w:tcW w:w="2317" w:type="dxa"/>
            <w:tcBorders>
              <w:top w:val="single" w:color="auto" w:sz="4" w:space="0"/>
            </w:tcBorders>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质量保证措施</w:t>
            </w:r>
            <w:r>
              <w:rPr>
                <w:rFonts w:hint="eastAsia" w:ascii="宋体" w:hAnsi="宋体" w:eastAsia="宋体" w:cs="宋体"/>
                <w:color w:val="auto"/>
                <w:sz w:val="18"/>
                <w:szCs w:val="18"/>
                <w:highlight w:val="none"/>
              </w:rPr>
              <w:t>（10分）</w:t>
            </w: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质量保证措施很合理、先进、可靠</w:t>
            </w:r>
          </w:p>
        </w:tc>
        <w:tc>
          <w:tcPr>
            <w:tcW w:w="630" w:type="dxa"/>
            <w:tcBorders>
              <w:left w:val="single" w:color="auto" w:sz="4" w:space="0"/>
            </w:tcBorders>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6</w:t>
            </w:r>
            <w:r>
              <w:rPr>
                <w:rFonts w:hint="eastAsia" w:ascii="宋体" w:hAnsi="宋体" w:eastAsia="宋体" w:cs="宋体"/>
                <w:color w:val="auto"/>
                <w:sz w:val="18"/>
                <w:szCs w:val="21"/>
                <w:highlight w:val="none"/>
              </w:rPr>
              <w:t>-10</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tcBorders>
              <w:top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5</w:t>
            </w:r>
          </w:p>
        </w:tc>
        <w:tc>
          <w:tcPr>
            <w:tcW w:w="2317" w:type="dxa"/>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进度保证措施</w:t>
            </w:r>
            <w:r>
              <w:rPr>
                <w:rFonts w:hint="eastAsia" w:ascii="宋体" w:hAnsi="宋体" w:eastAsia="宋体" w:cs="宋体"/>
                <w:color w:val="auto"/>
                <w:sz w:val="18"/>
                <w:szCs w:val="18"/>
                <w:highlight w:val="none"/>
              </w:rPr>
              <w:t>（5分）</w:t>
            </w: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进度保证措施很合理、先进、可靠</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3</w:t>
            </w:r>
            <w:r>
              <w:rPr>
                <w:rFonts w:hint="eastAsia" w:ascii="宋体" w:hAnsi="宋体" w:eastAsia="宋体" w:cs="宋体"/>
                <w:color w:val="auto"/>
                <w:sz w:val="18"/>
                <w:szCs w:val="21"/>
                <w:highlight w:val="none"/>
              </w:rPr>
              <w:t>-5</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tcBorders>
              <w:top w:val="single" w:color="auto" w:sz="4" w:space="0"/>
            </w:tcBorders>
            <w:vAlign w:val="center"/>
          </w:tcPr>
          <w:p>
            <w:pPr>
              <w:tabs>
                <w:tab w:val="center" w:pos="327"/>
                <w:tab w:val="left" w:pos="447"/>
              </w:tabs>
              <w:jc w:val="left"/>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ab/>
            </w:r>
            <w:r>
              <w:rPr>
                <w:rFonts w:hint="eastAsia" w:ascii="宋体" w:hAnsi="宋体" w:eastAsia="宋体" w:cs="宋体"/>
                <w:color w:val="auto"/>
                <w:sz w:val="18"/>
                <w:szCs w:val="21"/>
                <w:highlight w:val="none"/>
                <w:lang w:val="en-US" w:eastAsia="zh-CN"/>
              </w:rPr>
              <w:t>6</w:t>
            </w:r>
          </w:p>
        </w:tc>
        <w:tc>
          <w:tcPr>
            <w:tcW w:w="2317" w:type="dxa"/>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服务保证措施</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服务保证措施很合理、先进、可靠</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3</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5</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Align w:val="center"/>
          </w:tcPr>
          <w:p>
            <w:pPr>
              <w:jc w:val="center"/>
              <w:rPr>
                <w:rFonts w:hint="eastAsia" w:ascii="宋体" w:hAnsi="宋体" w:eastAsia="宋体" w:cs="宋体"/>
                <w:color w:val="auto"/>
                <w:sz w:val="18"/>
                <w:szCs w:val="21"/>
                <w:highlight w:val="none"/>
                <w:lang w:eastAsia="zh-CN"/>
              </w:rPr>
            </w:pPr>
            <w:r>
              <w:rPr>
                <w:rFonts w:hint="eastAsia" w:ascii="宋体" w:hAnsi="宋体" w:eastAsia="宋体" w:cs="宋体"/>
                <w:color w:val="auto"/>
                <w:sz w:val="18"/>
                <w:szCs w:val="21"/>
                <w:highlight w:val="none"/>
                <w:lang w:val="en-US" w:eastAsia="zh-CN"/>
              </w:rPr>
              <w:t>7</w:t>
            </w:r>
          </w:p>
        </w:tc>
        <w:tc>
          <w:tcPr>
            <w:tcW w:w="2317" w:type="dxa"/>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投资控制措施（5分）</w:t>
            </w:r>
          </w:p>
        </w:tc>
        <w:tc>
          <w:tcPr>
            <w:tcW w:w="3983" w:type="dxa"/>
            <w:tcBorders>
              <w:right w:val="single" w:color="auto" w:sz="4" w:space="0"/>
            </w:tcBorders>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从设计角度提出的投资控制措施很合理、先进、可靠</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3</w:t>
            </w:r>
            <w:r>
              <w:rPr>
                <w:rFonts w:hint="eastAsia" w:ascii="宋体" w:hAnsi="宋体" w:eastAsia="宋体" w:cs="宋体"/>
                <w:color w:val="auto"/>
                <w:sz w:val="18"/>
                <w:szCs w:val="21"/>
                <w:highlight w:val="none"/>
              </w:rPr>
              <w:t>-5</w:t>
            </w:r>
          </w:p>
        </w:tc>
        <w:tc>
          <w:tcPr>
            <w:tcW w:w="525" w:type="dxa"/>
            <w:tcBorders>
              <w:right w:val="single" w:color="auto" w:sz="4" w:space="0"/>
            </w:tcBorders>
            <w:vAlign w:val="center"/>
          </w:tcPr>
          <w:p>
            <w:pPr>
              <w:ind w:firstLine="180" w:firstLineChars="100"/>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center"/>
          </w:tcPr>
          <w:p>
            <w:pPr>
              <w:ind w:firstLine="180" w:firstLineChars="100"/>
              <w:rPr>
                <w:rFonts w:hint="eastAsia" w:ascii="宋体" w:hAnsi="宋体" w:eastAsia="宋体" w:cs="宋体"/>
                <w:color w:val="auto"/>
                <w:sz w:val="18"/>
                <w:szCs w:val="21"/>
                <w:highlight w:val="none"/>
              </w:rPr>
            </w:pPr>
          </w:p>
        </w:tc>
        <w:tc>
          <w:tcPr>
            <w:tcW w:w="630" w:type="dxa"/>
            <w:tcBorders>
              <w:left w:val="single" w:color="auto" w:sz="4" w:space="0"/>
            </w:tcBorders>
            <w:vAlign w:val="center"/>
          </w:tcPr>
          <w:p>
            <w:pPr>
              <w:ind w:firstLine="180" w:firstLineChars="100"/>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Align w:val="center"/>
          </w:tcPr>
          <w:p>
            <w:pPr>
              <w:jc w:val="center"/>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8</w:t>
            </w:r>
          </w:p>
        </w:tc>
        <w:tc>
          <w:tcPr>
            <w:tcW w:w="2317" w:type="dxa"/>
            <w:vAlign w:val="center"/>
          </w:tcPr>
          <w:p>
            <w:pPr>
              <w:jc w:val="both"/>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合理化建议（5分）</w:t>
            </w:r>
          </w:p>
        </w:tc>
        <w:tc>
          <w:tcPr>
            <w:tcW w:w="3983" w:type="dxa"/>
            <w:tcBorders>
              <w:right w:val="single" w:color="auto" w:sz="4" w:space="0"/>
            </w:tcBorders>
            <w:vAlign w:val="center"/>
          </w:tcPr>
          <w:p>
            <w:pPr>
              <w:jc w:val="lef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合理化建议比较全面、提供的实施建议方案切实可行；对重点问题进行研究、提出符合本工程特点的建议</w:t>
            </w:r>
          </w:p>
        </w:tc>
        <w:tc>
          <w:tcPr>
            <w:tcW w:w="630" w:type="dxa"/>
            <w:tcBorders>
              <w:left w:val="single" w:color="auto" w:sz="4" w:space="0"/>
            </w:tcBorders>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en-US" w:eastAsia="zh-CN"/>
              </w:rPr>
              <w:t>3</w:t>
            </w:r>
            <w:r>
              <w:rPr>
                <w:rFonts w:hint="eastAsia" w:ascii="宋体" w:hAnsi="宋体" w:eastAsia="宋体" w:cs="宋体"/>
                <w:color w:val="auto"/>
                <w:sz w:val="18"/>
                <w:szCs w:val="21"/>
                <w:highlight w:val="none"/>
              </w:rPr>
              <w:t>-5</w:t>
            </w:r>
          </w:p>
        </w:tc>
        <w:tc>
          <w:tcPr>
            <w:tcW w:w="525" w:type="dxa"/>
            <w:tcBorders>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18"/>
                <w:szCs w:val="21"/>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18"/>
                <w:szCs w:val="21"/>
                <w:highlight w:val="none"/>
              </w:rPr>
            </w:pPr>
          </w:p>
        </w:tc>
        <w:tc>
          <w:tcPr>
            <w:tcW w:w="870" w:type="dxa"/>
            <w:vAlign w:val="top"/>
          </w:tcPr>
          <w:p>
            <w:pPr>
              <w:widowControl/>
              <w:jc w:val="left"/>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50" w:type="dxa"/>
            <w:vAlign w:val="center"/>
          </w:tcPr>
          <w:p>
            <w:pPr>
              <w:jc w:val="center"/>
              <w:rPr>
                <w:rFonts w:hint="eastAsia" w:ascii="宋体" w:hAnsi="宋体" w:eastAsia="宋体" w:cs="宋体"/>
                <w:color w:val="auto"/>
                <w:szCs w:val="21"/>
                <w:highlight w:val="none"/>
              </w:rPr>
            </w:pPr>
          </w:p>
        </w:tc>
        <w:tc>
          <w:tcPr>
            <w:tcW w:w="6930" w:type="dxa"/>
            <w:gridSpan w:val="3"/>
            <w:vAlign w:val="center"/>
          </w:tcPr>
          <w:p>
            <w:pPr>
              <w:jc w:val="center"/>
              <w:rPr>
                <w:rFonts w:hint="eastAsia" w:ascii="宋体" w:hAnsi="宋体" w:eastAsia="宋体" w:cs="宋体"/>
                <w:color w:val="auto"/>
                <w:sz w:val="18"/>
                <w:szCs w:val="21"/>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sz w:val="18"/>
                <w:szCs w:val="21"/>
                <w:highlight w:val="none"/>
              </w:rPr>
              <w:t>合  计</w:t>
            </w:r>
          </w:p>
        </w:tc>
        <w:tc>
          <w:tcPr>
            <w:tcW w:w="525" w:type="dxa"/>
            <w:tcBorders>
              <w:right w:val="single" w:color="auto" w:sz="4" w:space="0"/>
            </w:tcBorders>
            <w:vAlign w:val="top"/>
          </w:tcPr>
          <w:p>
            <w:pPr>
              <w:widowControl/>
              <w:jc w:val="left"/>
              <w:rPr>
                <w:rFonts w:hint="eastAsia" w:ascii="宋体" w:hAnsi="宋体" w:eastAsia="宋体" w:cs="宋体"/>
                <w:color w:val="auto"/>
                <w:sz w:val="20"/>
                <w:highlight w:val="none"/>
              </w:rPr>
            </w:pPr>
          </w:p>
        </w:tc>
        <w:tc>
          <w:tcPr>
            <w:tcW w:w="615" w:type="dxa"/>
            <w:tcBorders>
              <w:left w:val="single" w:color="auto" w:sz="4" w:space="0"/>
              <w:right w:val="single" w:color="auto" w:sz="4" w:space="0"/>
            </w:tcBorders>
            <w:vAlign w:val="top"/>
          </w:tcPr>
          <w:p>
            <w:pPr>
              <w:widowControl/>
              <w:jc w:val="left"/>
              <w:rPr>
                <w:rFonts w:hint="eastAsia" w:ascii="宋体" w:hAnsi="宋体" w:eastAsia="宋体" w:cs="宋体"/>
                <w:color w:val="auto"/>
                <w:sz w:val="20"/>
                <w:highlight w:val="none"/>
              </w:rPr>
            </w:pPr>
          </w:p>
        </w:tc>
        <w:tc>
          <w:tcPr>
            <w:tcW w:w="630" w:type="dxa"/>
            <w:tcBorders>
              <w:left w:val="single" w:color="auto" w:sz="4" w:space="0"/>
            </w:tcBorders>
            <w:vAlign w:val="top"/>
          </w:tcPr>
          <w:p>
            <w:pPr>
              <w:widowControl/>
              <w:jc w:val="left"/>
              <w:rPr>
                <w:rFonts w:hint="eastAsia" w:ascii="宋体" w:hAnsi="宋体" w:eastAsia="宋体" w:cs="宋体"/>
                <w:color w:val="auto"/>
                <w:sz w:val="20"/>
                <w:highlight w:val="none"/>
              </w:rPr>
            </w:pPr>
          </w:p>
        </w:tc>
        <w:tc>
          <w:tcPr>
            <w:tcW w:w="870" w:type="dxa"/>
            <w:vAlign w:val="top"/>
          </w:tcPr>
          <w:p>
            <w:pPr>
              <w:widowControl/>
              <w:jc w:val="left"/>
              <w:rPr>
                <w:rFonts w:hint="eastAsia" w:ascii="宋体" w:hAnsi="宋体" w:eastAsia="宋体" w:cs="宋体"/>
                <w:color w:val="auto"/>
                <w:sz w:val="20"/>
                <w:highlight w:val="none"/>
              </w:rPr>
            </w:pPr>
          </w:p>
        </w:tc>
      </w:tr>
    </w:tbl>
    <w:p>
      <w:pPr>
        <w:widowControl/>
        <w:spacing w:line="280" w:lineRule="exact"/>
        <w:ind w:firstLine="360" w:firstLineChars="20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注：1、设计方案基本分100分。评委评分须在每项分值以内的方为有效评分。</w:t>
      </w:r>
    </w:p>
    <w:p>
      <w:pPr>
        <w:ind w:left="535" w:leftChars="255" w:firstLine="0" w:firstLineChars="0"/>
        <w:rPr>
          <w:rFonts w:hint="eastAsia" w:ascii="宋体" w:hAnsi="宋体" w:cs="宋体"/>
          <w:color w:val="auto"/>
          <w:kern w:val="0"/>
          <w:sz w:val="18"/>
          <w:szCs w:val="18"/>
          <w:highlight w:val="none"/>
        </w:rPr>
      </w:pPr>
      <w:bookmarkStart w:id="327" w:name="_Hlk62127435"/>
      <w:r>
        <w:rPr>
          <w:rFonts w:hint="eastAsia" w:ascii="宋体" w:hAnsi="宋体" w:cs="宋体"/>
          <w:color w:val="auto"/>
          <w:kern w:val="0"/>
          <w:sz w:val="18"/>
          <w:szCs w:val="18"/>
          <w:highlight w:val="none"/>
        </w:rPr>
        <w:t>2、设计方案为评委单独计分，设计方案最终得分为评标委员会成员个人评审计分去掉一个最高分和一个最低分后的算术平均值。</w:t>
      </w:r>
    </w:p>
    <w:bookmarkEnd w:id="327"/>
    <w:p>
      <w:pPr>
        <w:rPr>
          <w:rFonts w:hint="eastAsia"/>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highlight w:val="none"/>
        </w:rPr>
        <w:t>评委签字/日期</w:t>
      </w:r>
    </w:p>
    <w:p>
      <w:pPr>
        <w:pStyle w:val="7"/>
        <w:spacing w:before="67"/>
        <w:ind w:left="0" w:firstLine="0"/>
        <w:rPr>
          <w:rFonts w:hint="eastAsia" w:ascii="宋体" w:hAnsi="宋体" w:eastAsia="宋体" w:cs="宋体"/>
          <w:b/>
          <w:bCs/>
          <w:color w:val="auto"/>
          <w:highlight w:val="none"/>
        </w:rPr>
      </w:pPr>
      <w:r>
        <w:rPr>
          <w:rFonts w:hint="eastAsia" w:ascii="宋体" w:hAnsi="宋体" w:eastAsia="宋体" w:cs="宋体"/>
          <w:b w:val="0"/>
          <w:bCs/>
          <w:color w:val="auto"/>
          <w:sz w:val="24"/>
          <w:highlight w:val="none"/>
        </w:rPr>
        <w:t>附表3-</w:t>
      </w:r>
      <w:r>
        <w:rPr>
          <w:rFonts w:hint="eastAsia" w:ascii="宋体" w:hAnsi="宋体" w:eastAsia="宋体" w:cs="宋体"/>
          <w:b w:val="0"/>
          <w:bCs/>
          <w:color w:val="auto"/>
          <w:sz w:val="24"/>
          <w:highlight w:val="none"/>
          <w:lang w:val="en-US" w:eastAsia="zh-CN"/>
        </w:rPr>
        <w:t>11</w:t>
      </w:r>
      <w:r>
        <w:rPr>
          <w:rFonts w:hint="eastAsia" w:ascii="宋体" w:hAnsi="宋体" w:eastAsia="宋体" w:cs="宋体"/>
          <w:b w:val="0"/>
          <w:bCs/>
          <w:color w:val="auto"/>
          <w:sz w:val="24"/>
          <w:highlight w:val="none"/>
        </w:rPr>
        <w:t>：</w:t>
      </w:r>
      <w:r>
        <w:rPr>
          <w:rFonts w:hint="eastAsia" w:ascii="宋体" w:hAnsi="宋体" w:eastAsia="宋体" w:cs="宋体"/>
          <w:b/>
          <w:bCs/>
          <w:color w:val="auto"/>
          <w:highlight w:val="none"/>
        </w:rPr>
        <w:t>实施方案评审计分表</w:t>
      </w:r>
      <w:bookmarkStart w:id="328" w:name="承包人实施方案评审表（权数：0.20）"/>
      <w:bookmarkEnd w:id="328"/>
    </w:p>
    <w:p>
      <w:pPr>
        <w:pStyle w:val="7"/>
        <w:spacing w:before="67"/>
        <w:ind w:left="1974" w:leftChars="940" w:firstLine="1000" w:firstLineChars="417"/>
        <w:rPr>
          <w:rFonts w:hint="eastAsia" w:ascii="宋体" w:hAnsi="宋体" w:cs="宋体"/>
          <w:b/>
          <w:color w:val="auto"/>
          <w:sz w:val="11"/>
          <w:highlight w:val="none"/>
        </w:rPr>
      </w:pPr>
      <w:r>
        <w:rPr>
          <w:rFonts w:hint="eastAsia" w:ascii="宋体" w:hAnsi="宋体" w:eastAsia="宋体" w:cs="宋体"/>
          <w:b/>
          <w:bCs/>
          <w:color w:val="auto"/>
          <w:highlight w:val="none"/>
        </w:rPr>
        <w:t xml:space="preserve">实施方案评审计分表（权数：0.15） </w:t>
      </w:r>
    </w:p>
    <w:tbl>
      <w:tblPr>
        <w:tblStyle w:val="2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6"/>
        <w:gridCol w:w="597"/>
        <w:gridCol w:w="6969"/>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vAlign w:val="center"/>
          </w:tcPr>
          <w:p>
            <w:pPr>
              <w:spacing w:line="240" w:lineRule="exact"/>
              <w:jc w:val="center"/>
              <w:rPr>
                <w:rFonts w:hint="eastAsia" w:ascii="宋体" w:hAnsi="宋体" w:eastAsia="宋体" w:cs="宋体"/>
                <w:bCs/>
                <w:color w:val="auto"/>
                <w:sz w:val="18"/>
                <w:szCs w:val="21"/>
                <w:highlight w:val="none"/>
              </w:rPr>
            </w:pPr>
            <w:r>
              <w:rPr>
                <w:rFonts w:hint="eastAsia" w:ascii="宋体" w:hAnsi="宋体" w:eastAsia="宋体" w:cs="宋体"/>
                <w:bCs/>
                <w:color w:val="auto"/>
                <w:sz w:val="18"/>
                <w:szCs w:val="21"/>
                <w:highlight w:val="none"/>
              </w:rPr>
              <w:t>条款号</w:t>
            </w:r>
          </w:p>
        </w:tc>
        <w:tc>
          <w:tcPr>
            <w:tcW w:w="756" w:type="dxa"/>
            <w:vAlign w:val="center"/>
          </w:tcPr>
          <w:p>
            <w:pPr>
              <w:spacing w:line="240" w:lineRule="exact"/>
              <w:jc w:val="center"/>
              <w:rPr>
                <w:rFonts w:hint="eastAsia" w:ascii="宋体" w:hAnsi="宋体" w:eastAsia="宋体" w:cs="宋体"/>
                <w:bCs/>
                <w:color w:val="auto"/>
                <w:sz w:val="18"/>
                <w:szCs w:val="21"/>
                <w:highlight w:val="none"/>
              </w:rPr>
            </w:pPr>
            <w:r>
              <w:rPr>
                <w:rFonts w:hint="eastAsia" w:ascii="宋体" w:hAnsi="宋体" w:eastAsia="宋体" w:cs="宋体"/>
                <w:bCs/>
                <w:color w:val="auto"/>
                <w:sz w:val="18"/>
                <w:szCs w:val="21"/>
                <w:highlight w:val="none"/>
              </w:rPr>
              <w:t>评审</w:t>
            </w:r>
          </w:p>
          <w:p>
            <w:pPr>
              <w:spacing w:line="240" w:lineRule="exact"/>
              <w:jc w:val="center"/>
              <w:rPr>
                <w:rFonts w:hint="eastAsia" w:ascii="宋体" w:hAnsi="宋体" w:eastAsia="宋体" w:cs="宋体"/>
                <w:bCs/>
                <w:color w:val="auto"/>
                <w:sz w:val="18"/>
                <w:szCs w:val="21"/>
                <w:highlight w:val="none"/>
              </w:rPr>
            </w:pPr>
            <w:r>
              <w:rPr>
                <w:rFonts w:hint="eastAsia" w:ascii="宋体" w:hAnsi="宋体" w:eastAsia="宋体" w:cs="宋体"/>
                <w:bCs/>
                <w:color w:val="auto"/>
                <w:sz w:val="18"/>
                <w:szCs w:val="21"/>
                <w:highlight w:val="none"/>
              </w:rPr>
              <w:t>因素</w:t>
            </w:r>
          </w:p>
        </w:tc>
        <w:tc>
          <w:tcPr>
            <w:tcW w:w="597" w:type="dxa"/>
            <w:vAlign w:val="center"/>
          </w:tcPr>
          <w:p>
            <w:pPr>
              <w:spacing w:line="240" w:lineRule="exact"/>
              <w:jc w:val="center"/>
              <w:rPr>
                <w:rFonts w:hint="eastAsia" w:ascii="宋体" w:hAnsi="宋体" w:eastAsia="宋体" w:cs="宋体"/>
                <w:bCs/>
                <w:color w:val="auto"/>
                <w:sz w:val="18"/>
                <w:szCs w:val="21"/>
                <w:highlight w:val="none"/>
              </w:rPr>
            </w:pPr>
            <w:r>
              <w:rPr>
                <w:rFonts w:hint="eastAsia" w:ascii="宋体" w:hAnsi="宋体" w:eastAsia="宋体" w:cs="宋体"/>
                <w:bCs/>
                <w:color w:val="auto"/>
                <w:sz w:val="18"/>
                <w:szCs w:val="18"/>
                <w:highlight w:val="none"/>
              </w:rPr>
              <w:t>最高分值</w:t>
            </w:r>
          </w:p>
        </w:tc>
        <w:tc>
          <w:tcPr>
            <w:tcW w:w="6969" w:type="dxa"/>
            <w:vAlign w:val="center"/>
          </w:tcPr>
          <w:p>
            <w:pPr>
              <w:spacing w:line="240" w:lineRule="exact"/>
              <w:jc w:val="center"/>
              <w:rPr>
                <w:rFonts w:hint="eastAsia" w:ascii="宋体" w:hAnsi="宋体" w:eastAsia="宋体" w:cs="宋体"/>
                <w:bCs/>
                <w:color w:val="auto"/>
                <w:sz w:val="18"/>
                <w:szCs w:val="21"/>
                <w:highlight w:val="none"/>
              </w:rPr>
            </w:pPr>
            <w:r>
              <w:rPr>
                <w:rFonts w:hint="eastAsia" w:ascii="宋体" w:hAnsi="宋体" w:eastAsia="宋体" w:cs="宋体"/>
                <w:bCs/>
                <w:color w:val="auto"/>
                <w:sz w:val="18"/>
                <w:szCs w:val="21"/>
                <w:highlight w:val="none"/>
              </w:rPr>
              <w:t>评审标准</w:t>
            </w:r>
          </w:p>
        </w:tc>
        <w:tc>
          <w:tcPr>
            <w:tcW w:w="758" w:type="dxa"/>
            <w:vAlign w:val="center"/>
          </w:tcPr>
          <w:p>
            <w:pPr>
              <w:spacing w:line="240" w:lineRule="exact"/>
              <w:jc w:val="center"/>
              <w:rPr>
                <w:rFonts w:hint="eastAsia" w:ascii="宋体" w:hAnsi="宋体" w:eastAsia="宋体" w:cs="宋体"/>
                <w:bCs/>
                <w:color w:val="auto"/>
                <w:sz w:val="18"/>
                <w:szCs w:val="21"/>
                <w:highlight w:val="none"/>
              </w:rPr>
            </w:pPr>
            <w:r>
              <w:rPr>
                <w:rFonts w:hint="eastAsia" w:ascii="宋体" w:hAnsi="宋体" w:eastAsia="宋体" w:cs="宋体"/>
                <w:bCs/>
                <w:color w:val="auto"/>
                <w:sz w:val="18"/>
                <w:szCs w:val="21"/>
                <w:highlight w:val="none"/>
              </w:rPr>
              <w:t>计分   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vMerge w:val="restart"/>
            <w:vAlign w:val="center"/>
          </w:tcPr>
          <w:p>
            <w:pPr>
              <w:spacing w:line="24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2.2.4（1）</w:t>
            </w:r>
          </w:p>
        </w:tc>
        <w:tc>
          <w:tcPr>
            <w:tcW w:w="9080" w:type="dxa"/>
            <w:gridSpan w:val="4"/>
            <w:vAlign w:val="center"/>
          </w:tcPr>
          <w:p>
            <w:pPr>
              <w:spacing w:line="240" w:lineRule="exact"/>
              <w:jc w:val="center"/>
              <w:rPr>
                <w:rFonts w:hint="eastAsia" w:ascii="宋体" w:hAnsi="宋体" w:eastAsia="宋体" w:cs="宋体"/>
                <w:bCs/>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内容完整和</w:t>
            </w:r>
          </w:p>
          <w:p>
            <w:pPr>
              <w:spacing w:line="24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编制水平</w:t>
            </w:r>
          </w:p>
        </w:tc>
        <w:tc>
          <w:tcPr>
            <w:tcW w:w="597" w:type="dxa"/>
            <w:vMerge w:val="restart"/>
            <w:vAlign w:val="center"/>
          </w:tcPr>
          <w:p>
            <w:pPr>
              <w:spacing w:line="24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5</w:t>
            </w: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版面整齐，表述清晰，内容全面、准确，图文并茂，未出现格式等错误。</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版面欠整齐，表述欠清晰，内容欠完整、准确，缺（少）图，出现格式错误等错误。</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方案    与技术</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措施</w:t>
            </w:r>
          </w:p>
        </w:tc>
        <w:tc>
          <w:tcPr>
            <w:tcW w:w="597" w:type="dxa"/>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30</w:t>
            </w: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项目总体概况表述清晰、完整；部署及措施先进、可靠；对项目主要及关键方案有深入的表述，对重点、难点分析透彻，解决方案切实可行；施工平面布置有针对性、合理，较好满足施工需要，符合安全、文明生产要求。市政基础设施项目，交通组织规划合理、可行，交通组织措施得力。</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对项目总体概况表述较清晰、完整；部署及措施具体较可靠；对项目主要及关键方案有表述，对项目重点、难点的解决方案基本可行；施工平面布置合理，能满足施工需要，基本符合安全、文明生产要求。</w:t>
            </w:r>
          </w:p>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市政基础设施项目，交通组织规划较合理，交通组织措施可行。</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对项目总体概况表述欠清晰；部署及措施不具体；对项目主要及关键方案表述欠清晰；施工平面布置欠合理。市政基础设施项目，交通组织规划欠合理，交通组织措施欠可行。</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    体系与</w:t>
            </w:r>
          </w:p>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措施</w:t>
            </w:r>
          </w:p>
        </w:tc>
        <w:tc>
          <w:tcPr>
            <w:tcW w:w="597" w:type="dxa"/>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bCs/>
                <w:color w:val="auto"/>
                <w:sz w:val="18"/>
                <w:szCs w:val="18"/>
                <w:highlight w:val="none"/>
              </w:rPr>
              <w:t>15</w:t>
            </w: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质量目标明确，优于招标文件的要求；管理机构健全，职责分工明确；管理制度齐全；实施与监控措施全面、有效。</w:t>
            </w:r>
          </w:p>
        </w:tc>
        <w:tc>
          <w:tcPr>
            <w:tcW w:w="758" w:type="dxa"/>
            <w:vAlign w:val="center"/>
          </w:tcPr>
          <w:p>
            <w:pPr>
              <w:spacing w:line="26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质量目标明确，满足招标文件的要求。管理机构欠健全，职责分工基本明确，管理制度基本齐全，实施与监控措施欠完整。</w:t>
            </w:r>
          </w:p>
        </w:tc>
        <w:tc>
          <w:tcPr>
            <w:tcW w:w="758" w:type="dxa"/>
            <w:vAlign w:val="center"/>
          </w:tcPr>
          <w:p>
            <w:pPr>
              <w:spacing w:line="26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    体系与</w:t>
            </w:r>
          </w:p>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措施</w:t>
            </w:r>
          </w:p>
        </w:tc>
        <w:tc>
          <w:tcPr>
            <w:tcW w:w="597" w:type="dxa"/>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bCs/>
                <w:color w:val="auto"/>
                <w:sz w:val="18"/>
                <w:szCs w:val="18"/>
                <w:highlight w:val="none"/>
              </w:rPr>
              <w:t>15</w:t>
            </w: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安全目标明确，优于招标文件的要求；管理机构健全，职责分工明确；管理制度齐全；实施与监控措施全面、有效。</w:t>
            </w:r>
          </w:p>
        </w:tc>
        <w:tc>
          <w:tcPr>
            <w:tcW w:w="758" w:type="dxa"/>
            <w:vAlign w:val="center"/>
          </w:tcPr>
          <w:p>
            <w:pPr>
              <w:spacing w:line="26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安全目标明确，满足招标文件的要求；管理机构欠健全，职责分工基本明确；管理制度基本齐全；实施与监控措施欠完整。</w:t>
            </w:r>
          </w:p>
        </w:tc>
        <w:tc>
          <w:tcPr>
            <w:tcW w:w="758" w:type="dxa"/>
            <w:vAlign w:val="center"/>
          </w:tcPr>
          <w:p>
            <w:pPr>
              <w:spacing w:line="26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环境保护管理体系  与措施</w:t>
            </w:r>
          </w:p>
        </w:tc>
        <w:tc>
          <w:tcPr>
            <w:tcW w:w="597" w:type="dxa"/>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bCs/>
                <w:color w:val="auto"/>
                <w:sz w:val="18"/>
                <w:szCs w:val="18"/>
                <w:highlight w:val="none"/>
              </w:rPr>
              <w:t>10</w:t>
            </w: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环境管理目标明确，优于招标文件的要求；管理机构健全，职责分工明确；管理制度齐全；实施与监控措施全面、有效。</w:t>
            </w:r>
          </w:p>
        </w:tc>
        <w:tc>
          <w:tcPr>
            <w:tcW w:w="758" w:type="dxa"/>
            <w:vAlign w:val="center"/>
          </w:tcPr>
          <w:p>
            <w:pPr>
              <w:spacing w:line="26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环境管理目标明确，满足招标文件的要求；管理机构欠健全，职责分工基本明确；管理制度基本齐全；实施与监控措施欠完整。</w:t>
            </w:r>
          </w:p>
        </w:tc>
        <w:tc>
          <w:tcPr>
            <w:tcW w:w="758" w:type="dxa"/>
            <w:vAlign w:val="center"/>
          </w:tcPr>
          <w:p>
            <w:pPr>
              <w:spacing w:line="260" w:lineRule="exact"/>
              <w:jc w:val="center"/>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工程进度计划与保证措施</w:t>
            </w:r>
          </w:p>
        </w:tc>
        <w:tc>
          <w:tcPr>
            <w:tcW w:w="597" w:type="dxa"/>
            <w:vMerge w:val="restart"/>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bCs/>
                <w:color w:val="auto"/>
                <w:sz w:val="18"/>
                <w:szCs w:val="18"/>
                <w:highlight w:val="none"/>
              </w:rPr>
              <w:t>15</w:t>
            </w:r>
          </w:p>
        </w:tc>
        <w:tc>
          <w:tcPr>
            <w:tcW w:w="6969" w:type="dxa"/>
            <w:vMerge w:val="restart"/>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总工期及节点工期满足招标文件要求；施工进度计划内容全面，线路清晰、准确、完整，计划编制合理、可行；措施有力、合理、可行。</w:t>
            </w:r>
          </w:p>
        </w:tc>
        <w:tc>
          <w:tcPr>
            <w:tcW w:w="758" w:type="dxa"/>
            <w:vMerge w:val="restart"/>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Merge w:val="continue"/>
            <w:vAlign w:val="center"/>
          </w:tcPr>
          <w:p>
            <w:pPr>
              <w:rPr>
                <w:rFonts w:hint="eastAsia" w:ascii="宋体" w:hAnsi="宋体" w:eastAsia="宋体" w:cs="宋体"/>
                <w:color w:val="auto"/>
                <w:highlight w:val="none"/>
              </w:rPr>
            </w:pPr>
          </w:p>
        </w:tc>
        <w:tc>
          <w:tcPr>
            <w:tcW w:w="758" w:type="dxa"/>
            <w:vMerge w:val="continue"/>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18"/>
                <w:highlight w:val="none"/>
              </w:rPr>
              <w:t>总工期及节点工期满足招标文件要求；施工进度计划内容欠全面，线路欠清晰，计划编制欠合理；措施基本可行。</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restart"/>
            <w:vAlign w:val="center"/>
          </w:tcPr>
          <w:p>
            <w:pPr>
              <w:ind w:left="360" w:hanging="360" w:hangingChars="2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资源</w:t>
            </w:r>
          </w:p>
          <w:p>
            <w:pPr>
              <w:ind w:left="360" w:hanging="360" w:hangingChars="2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配备</w:t>
            </w:r>
          </w:p>
          <w:p>
            <w:pPr>
              <w:ind w:left="360" w:hanging="360" w:hangingChars="2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计划</w:t>
            </w:r>
          </w:p>
        </w:tc>
        <w:tc>
          <w:tcPr>
            <w:tcW w:w="597"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10</w:t>
            </w: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资源投入计划与施工部署、施工方法及进度计划呼应，较好满足施工需要，调配投入计划合理、准确。</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8" w:type="dxa"/>
            <w:vMerge w:val="continue"/>
            <w:vAlign w:val="center"/>
          </w:tcPr>
          <w:p>
            <w:pPr>
              <w:rPr>
                <w:rFonts w:hint="eastAsia" w:ascii="宋体" w:hAnsi="宋体" w:eastAsia="宋体" w:cs="宋体"/>
                <w:color w:val="auto"/>
                <w:highlight w:val="none"/>
              </w:rPr>
            </w:pPr>
          </w:p>
        </w:tc>
        <w:tc>
          <w:tcPr>
            <w:tcW w:w="756" w:type="dxa"/>
            <w:vMerge w:val="continue"/>
            <w:vAlign w:val="center"/>
          </w:tcPr>
          <w:p>
            <w:pPr>
              <w:rPr>
                <w:rFonts w:hint="eastAsia" w:ascii="宋体" w:hAnsi="宋体" w:eastAsia="宋体" w:cs="宋体"/>
                <w:color w:val="auto"/>
                <w:highlight w:val="none"/>
              </w:rPr>
            </w:pPr>
          </w:p>
        </w:tc>
        <w:tc>
          <w:tcPr>
            <w:tcW w:w="597" w:type="dxa"/>
            <w:vMerge w:val="continue"/>
            <w:vAlign w:val="center"/>
          </w:tcPr>
          <w:p>
            <w:pPr>
              <w:rPr>
                <w:rFonts w:hint="eastAsia" w:ascii="宋体" w:hAnsi="宋体" w:eastAsia="宋体" w:cs="宋体"/>
                <w:color w:val="auto"/>
                <w:highlight w:val="none"/>
              </w:rPr>
            </w:pPr>
          </w:p>
        </w:tc>
        <w:tc>
          <w:tcPr>
            <w:tcW w:w="6969" w:type="dxa"/>
            <w:vAlign w:val="center"/>
          </w:tcPr>
          <w:p>
            <w:pPr>
              <w:spacing w:line="2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资源投入计划与施工部署、施工方法及进度计划基本呼应，基本满足施工需要，调配投入计划基本合理。</w:t>
            </w:r>
          </w:p>
        </w:tc>
        <w:tc>
          <w:tcPr>
            <w:tcW w:w="758" w:type="dxa"/>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18" w:type="dxa"/>
            <w:vMerge w:val="continue"/>
            <w:vAlign w:val="center"/>
          </w:tcPr>
          <w:p>
            <w:pPr>
              <w:rPr>
                <w:rFonts w:hint="eastAsia" w:ascii="宋体" w:hAnsi="宋体" w:eastAsia="宋体" w:cs="宋体"/>
                <w:color w:val="auto"/>
                <w:highlight w:val="none"/>
              </w:rPr>
            </w:pPr>
          </w:p>
        </w:tc>
        <w:tc>
          <w:tcPr>
            <w:tcW w:w="9080" w:type="dxa"/>
            <w:gridSpan w:val="4"/>
            <w:vAlign w:val="center"/>
          </w:tcPr>
          <w:p>
            <w:pPr>
              <w:tabs>
                <w:tab w:val="left" w:pos="312"/>
              </w:tabs>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1.投标文件不符合招标文件规定格式等错误的，由评标委员会集体评议，按照一项错误扣1分，最多扣5分。</w:t>
            </w:r>
          </w:p>
          <w:p>
            <w:pPr>
              <w:tabs>
                <w:tab w:val="left" w:pos="312"/>
              </w:tabs>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2.同一评审因素不得有2个以上（含本数）的评审计分。</w:t>
            </w:r>
          </w:p>
          <w:p>
            <w:pPr>
              <w:tabs>
                <w:tab w:val="left" w:pos="312"/>
              </w:tabs>
              <w:spacing w:line="260" w:lineRule="exact"/>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3.投标文件缺失某项评审因素的，该项计零分。</w:t>
            </w:r>
          </w:p>
          <w:p>
            <w:pPr>
              <w:tabs>
                <w:tab w:val="left" w:pos="312"/>
              </w:tabs>
              <w:spacing w:line="260" w:lineRule="exact"/>
              <w:rPr>
                <w:rFonts w:hint="eastAsia" w:ascii="宋体" w:hAnsi="宋体" w:eastAsia="宋体" w:cs="宋体"/>
                <w:color w:val="auto"/>
                <w:sz w:val="18"/>
                <w:szCs w:val="21"/>
                <w:highlight w:val="none"/>
              </w:rPr>
            </w:pPr>
            <w:r>
              <w:rPr>
                <w:rFonts w:hint="eastAsia" w:ascii="宋体" w:hAnsi="宋体" w:eastAsia="宋体" w:cs="宋体"/>
                <w:bCs/>
                <w:color w:val="auto"/>
                <w:sz w:val="18"/>
                <w:szCs w:val="21"/>
                <w:highlight w:val="none"/>
              </w:rPr>
              <w:t>4.</w:t>
            </w:r>
            <w:r>
              <w:rPr>
                <w:rFonts w:hint="eastAsia" w:ascii="宋体" w:hAnsi="宋体" w:eastAsia="宋体" w:cs="宋体"/>
                <w:bCs/>
                <w:color w:val="auto"/>
                <w:sz w:val="18"/>
                <w:szCs w:val="21"/>
                <w:highlight w:val="none"/>
                <w:lang w:val="en-US" w:eastAsia="zh-CN"/>
              </w:rPr>
              <w:t>实施方案</w:t>
            </w:r>
            <w:r>
              <w:rPr>
                <w:rFonts w:hint="eastAsia" w:ascii="宋体" w:hAnsi="宋体" w:eastAsia="宋体" w:cs="宋体"/>
                <w:color w:val="auto"/>
                <w:sz w:val="18"/>
                <w:szCs w:val="21"/>
                <w:highlight w:val="none"/>
              </w:rPr>
              <w:t>得分为评委个人评审总计分去掉一个最高分和一个最低分后的算术平均值。</w:t>
            </w:r>
          </w:p>
        </w:tc>
      </w:tr>
    </w:tbl>
    <w:p>
      <w:pPr>
        <w:rPr>
          <w:rFonts w:hint="eastAsia" w:ascii="宋体" w:hAnsi="宋体" w:cs="宋体"/>
          <w:color w:val="auto"/>
          <w:sz w:val="18"/>
          <w:szCs w:val="18"/>
          <w:highlight w:val="none"/>
        </w:rPr>
      </w:pPr>
      <w:r>
        <w:rPr>
          <w:rFonts w:hint="eastAsia" w:ascii="宋体" w:hAnsi="宋体" w:cs="宋体"/>
          <w:color w:val="auto"/>
          <w:szCs w:val="21"/>
          <w:highlight w:val="none"/>
        </w:rPr>
        <w:t>评委签字/日期：</w:t>
      </w:r>
    </w:p>
    <w:p>
      <w:pPr>
        <w:ind w:left="940"/>
        <w:jc w:val="left"/>
        <w:rPr>
          <w:color w:val="auto"/>
          <w:highlight w:val="none"/>
        </w:rPr>
      </w:pPr>
    </w:p>
    <w:p>
      <w:pPr>
        <w:pStyle w:val="2"/>
        <w:spacing w:before="11"/>
        <w:rPr>
          <w:color w:val="auto"/>
          <w:sz w:val="3"/>
          <w:highlight w:val="none"/>
        </w:rPr>
      </w:pPr>
    </w:p>
    <w:p>
      <w:pPr>
        <w:pStyle w:val="27"/>
        <w:rPr>
          <w:color w:val="auto"/>
          <w:highlight w:val="none"/>
        </w:rPr>
      </w:pPr>
    </w:p>
    <w:p>
      <w:pPr>
        <w:pStyle w:val="31"/>
        <w:rPr>
          <w:rFonts w:hint="eastAsia" w:ascii="宋体" w:hAnsi="宋体" w:eastAsia="宋体" w:cs="宋体"/>
          <w:b/>
          <w:bCs/>
          <w:color w:val="auto"/>
          <w:highlight w:val="none"/>
        </w:rPr>
      </w:pPr>
      <w:r>
        <w:rPr>
          <w:rFonts w:hint="eastAsia" w:ascii="宋体" w:hAnsi="宋体" w:eastAsia="宋体" w:cs="宋体"/>
          <w:b w:val="0"/>
          <w:bCs/>
          <w:color w:val="auto"/>
          <w:sz w:val="24"/>
          <w:highlight w:val="none"/>
        </w:rPr>
        <w:t>附表3-</w:t>
      </w:r>
      <w:r>
        <w:rPr>
          <w:rFonts w:hint="eastAsia" w:ascii="宋体" w:hAnsi="宋体" w:eastAsia="宋体" w:cs="宋体"/>
          <w:b w:val="0"/>
          <w:bCs/>
          <w:color w:val="auto"/>
          <w:sz w:val="24"/>
          <w:highlight w:val="none"/>
          <w:lang w:val="en-US" w:eastAsia="zh-CN"/>
        </w:rPr>
        <w:t>12</w:t>
      </w:r>
      <w:r>
        <w:rPr>
          <w:rFonts w:hint="eastAsia" w:ascii="宋体" w:hAnsi="宋体" w:eastAsia="宋体" w:cs="宋体"/>
          <w:b w:val="0"/>
          <w:bCs/>
          <w:color w:val="auto"/>
          <w:sz w:val="24"/>
          <w:highlight w:val="none"/>
        </w:rPr>
        <w:t>：</w:t>
      </w:r>
      <w:bookmarkStart w:id="329" w:name="_Toc300678154"/>
      <w:r>
        <w:rPr>
          <w:rFonts w:hint="eastAsia" w:ascii="宋体" w:hAnsi="宋体" w:eastAsia="宋体" w:cs="宋体"/>
          <w:b/>
          <w:bCs/>
          <w:color w:val="auto"/>
          <w:highlight w:val="none"/>
        </w:rPr>
        <w:t xml:space="preserve">资信业绩评审计分表    </w:t>
      </w:r>
    </w:p>
    <w:p>
      <w:pPr>
        <w:pStyle w:val="7"/>
        <w:spacing w:before="1" w:line="247" w:lineRule="auto"/>
        <w:ind w:right="3777"/>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资信业绩评审计分表</w:t>
      </w:r>
    </w:p>
    <w:p>
      <w:pPr>
        <w:pStyle w:val="7"/>
        <w:spacing w:before="1" w:line="247" w:lineRule="auto"/>
        <w:ind w:right="3777"/>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（权数：0.</w:t>
      </w:r>
      <w:r>
        <w:rPr>
          <w:rFonts w:hint="eastAsia" w:ascii="宋体" w:hAnsi="宋体" w:eastAsia="宋体" w:cs="宋体"/>
          <w:b/>
          <w:bCs/>
          <w:color w:val="auto"/>
          <w:highlight w:val="none"/>
          <w:lang w:val="en-US" w:eastAsia="zh-CN"/>
        </w:rPr>
        <w:t>40</w:t>
      </w:r>
      <w:r>
        <w:rPr>
          <w:rFonts w:hint="eastAsia" w:ascii="宋体" w:hAnsi="宋体" w:eastAsia="宋体" w:cs="宋体"/>
          <w:b/>
          <w:bCs/>
          <w:color w:val="auto"/>
          <w:highlight w:val="none"/>
        </w:rPr>
        <w:t>）</w:t>
      </w:r>
    </w:p>
    <w:tbl>
      <w:tblPr>
        <w:tblStyle w:val="21"/>
        <w:tblW w:w="1065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70"/>
        <w:gridCol w:w="1496"/>
        <w:gridCol w:w="5925"/>
        <w:gridCol w:w="478"/>
        <w:gridCol w:w="825"/>
        <w:gridCol w:w="795"/>
        <w:gridCol w:w="5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2" w:hRule="atLeast"/>
          <w:jc w:val="center"/>
        </w:trPr>
        <w:tc>
          <w:tcPr>
            <w:tcW w:w="570" w:type="dxa"/>
            <w:vMerge w:val="restart"/>
            <w:tcBorders>
              <w:top w:val="single" w:color="000000" w:sz="8" w:space="0"/>
              <w:left w:val="single" w:color="000000" w:sz="8" w:space="0"/>
              <w:bottom w:val="single" w:color="000000" w:sz="8" w:space="0"/>
              <w:right w:val="single" w:color="000000" w:sz="8" w:space="0"/>
            </w:tcBorders>
            <w:vAlign w:val="top"/>
          </w:tcPr>
          <w:p>
            <w:pPr>
              <w:pStyle w:val="48"/>
              <w:spacing w:before="10" w:line="240" w:lineRule="exact"/>
              <w:rPr>
                <w:rFonts w:hint="eastAsia" w:ascii="宋体" w:hAnsi="宋体" w:eastAsia="宋体" w:cs="宋体"/>
                <w:color w:val="auto"/>
                <w:szCs w:val="21"/>
                <w:highlight w:val="none"/>
              </w:rPr>
            </w:pPr>
          </w:p>
          <w:p>
            <w:pPr>
              <w:pStyle w:val="48"/>
              <w:spacing w:line="240" w:lineRule="exact"/>
              <w:ind w:left="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序号 </w:t>
            </w:r>
          </w:p>
        </w:tc>
        <w:tc>
          <w:tcPr>
            <w:tcW w:w="7421" w:type="dxa"/>
            <w:gridSpan w:val="2"/>
            <w:vMerge w:val="restart"/>
            <w:tcBorders>
              <w:top w:val="single" w:color="000000" w:sz="8" w:space="0"/>
              <w:left w:val="single" w:color="000000" w:sz="8" w:space="0"/>
              <w:bottom w:val="single" w:color="000000" w:sz="8" w:space="0"/>
              <w:right w:val="single" w:color="000000" w:sz="8" w:space="0"/>
            </w:tcBorders>
            <w:vAlign w:val="top"/>
          </w:tcPr>
          <w:p>
            <w:pPr>
              <w:pStyle w:val="48"/>
              <w:spacing w:before="10" w:line="240" w:lineRule="exact"/>
              <w:rPr>
                <w:rFonts w:hint="eastAsia" w:ascii="宋体" w:hAnsi="宋体" w:eastAsia="宋体" w:cs="宋体"/>
                <w:color w:val="auto"/>
                <w:szCs w:val="21"/>
                <w:highlight w:val="none"/>
              </w:rPr>
            </w:pPr>
          </w:p>
          <w:p>
            <w:pPr>
              <w:pStyle w:val="48"/>
              <w:spacing w:line="240" w:lineRule="exact"/>
              <w:ind w:left="178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评 审 标 准 </w:t>
            </w:r>
          </w:p>
        </w:tc>
        <w:tc>
          <w:tcPr>
            <w:tcW w:w="478" w:type="dxa"/>
            <w:vMerge w:val="restart"/>
            <w:tcBorders>
              <w:top w:val="single" w:color="000000" w:sz="8" w:space="0"/>
              <w:left w:val="single" w:color="000000" w:sz="8" w:space="0"/>
              <w:bottom w:val="single" w:color="000000" w:sz="8" w:space="0"/>
              <w:right w:val="single" w:color="000000" w:sz="8" w:space="0"/>
            </w:tcBorders>
            <w:vAlign w:val="top"/>
          </w:tcPr>
          <w:p>
            <w:pPr>
              <w:pStyle w:val="48"/>
              <w:spacing w:before="10" w:line="240" w:lineRule="exact"/>
              <w:rPr>
                <w:rFonts w:hint="eastAsia" w:ascii="宋体" w:hAnsi="宋体" w:eastAsia="宋体" w:cs="宋体"/>
                <w:color w:val="auto"/>
                <w:szCs w:val="21"/>
                <w:highlight w:val="none"/>
              </w:rPr>
            </w:pPr>
          </w:p>
          <w:p>
            <w:pPr>
              <w:pStyle w:val="48"/>
              <w:spacing w:line="240" w:lineRule="exact"/>
              <w:ind w:left="13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分值 </w:t>
            </w:r>
          </w:p>
        </w:tc>
        <w:tc>
          <w:tcPr>
            <w:tcW w:w="2181" w:type="dxa"/>
            <w:gridSpan w:val="3"/>
            <w:tcBorders>
              <w:top w:val="single" w:color="000000" w:sz="8" w:space="0"/>
              <w:left w:val="single" w:color="000000" w:sz="8" w:space="0"/>
              <w:bottom w:val="single" w:color="000000" w:sz="8" w:space="0"/>
              <w:right w:val="single" w:color="000000" w:sz="8" w:space="0"/>
            </w:tcBorders>
            <w:vAlign w:val="top"/>
          </w:tcPr>
          <w:p>
            <w:pPr>
              <w:pStyle w:val="48"/>
              <w:spacing w:before="83" w:line="240" w:lineRule="exact"/>
              <w:ind w:left="131" w:right="-15"/>
              <w:rPr>
                <w:rFonts w:hint="eastAsia" w:ascii="宋体" w:hAnsi="宋体" w:eastAsia="宋体" w:cs="宋体"/>
                <w:color w:val="auto"/>
                <w:szCs w:val="21"/>
                <w:highlight w:val="none"/>
              </w:rPr>
            </w:pPr>
            <w:r>
              <w:rPr>
                <w:rFonts w:hint="eastAsia" w:ascii="宋体" w:hAnsi="宋体" w:eastAsia="宋体" w:cs="宋体"/>
                <w:color w:val="auto"/>
                <w:spacing w:val="-5"/>
                <w:szCs w:val="21"/>
                <w:highlight w:val="none"/>
              </w:rPr>
              <w:t>投标人名称及评审意见</w:t>
            </w:r>
            <w:r>
              <w:rPr>
                <w:rFonts w:hint="eastAsia" w:ascii="宋体" w:hAnsi="宋体" w:eastAsia="宋体" w:cs="宋体"/>
                <w:color w:val="auto"/>
                <w:szCs w:val="21"/>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jc w:val="center"/>
        </w:trPr>
        <w:tc>
          <w:tcPr>
            <w:tcW w:w="570" w:type="dxa"/>
            <w:vMerge w:val="continue"/>
            <w:tcBorders>
              <w:top w:val="single" w:color="000000" w:sz="8" w:space="0"/>
              <w:left w:val="single" w:color="000000" w:sz="8" w:space="0"/>
              <w:bottom w:val="single" w:color="000000" w:sz="8" w:space="0"/>
              <w:right w:val="single" w:color="000000" w:sz="8" w:space="0"/>
            </w:tcBorders>
            <w:vAlign w:val="top"/>
          </w:tcPr>
          <w:p>
            <w:pPr>
              <w:spacing w:line="240" w:lineRule="exact"/>
              <w:rPr>
                <w:rFonts w:hint="eastAsia" w:ascii="宋体" w:hAnsi="宋体" w:eastAsia="宋体" w:cs="宋体"/>
                <w:color w:val="auto"/>
                <w:szCs w:val="21"/>
                <w:highlight w:val="none"/>
              </w:rPr>
            </w:pPr>
          </w:p>
        </w:tc>
        <w:tc>
          <w:tcPr>
            <w:tcW w:w="7421"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line="240" w:lineRule="exact"/>
              <w:rPr>
                <w:rFonts w:hint="eastAsia" w:ascii="宋体" w:hAnsi="宋体" w:eastAsia="宋体" w:cs="宋体"/>
                <w:color w:val="auto"/>
                <w:szCs w:val="21"/>
                <w:highlight w:val="none"/>
              </w:rPr>
            </w:pPr>
          </w:p>
        </w:tc>
        <w:tc>
          <w:tcPr>
            <w:tcW w:w="478" w:type="dxa"/>
            <w:vMerge w:val="continue"/>
            <w:tcBorders>
              <w:top w:val="single" w:color="000000" w:sz="8" w:space="0"/>
              <w:left w:val="single" w:color="000000" w:sz="8" w:space="0"/>
              <w:bottom w:val="single" w:color="000000" w:sz="8" w:space="0"/>
              <w:right w:val="single" w:color="000000" w:sz="8" w:space="0"/>
            </w:tcBorders>
            <w:vAlign w:val="top"/>
          </w:tcPr>
          <w:p>
            <w:pPr>
              <w:spacing w:line="240" w:lineRule="exact"/>
              <w:rPr>
                <w:rFonts w:hint="eastAsia" w:ascii="宋体" w:hAnsi="宋体" w:eastAsia="宋体" w:cs="宋体"/>
                <w:color w:val="auto"/>
                <w:szCs w:val="21"/>
                <w:highlight w:val="none"/>
              </w:rPr>
            </w:pP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4" w:hRule="atLeast"/>
          <w:jc w:val="center"/>
        </w:trPr>
        <w:tc>
          <w:tcPr>
            <w:tcW w:w="570"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jc w:val="center"/>
              <w:rPr>
                <w:rFonts w:hint="eastAsia" w:ascii="宋体" w:hAnsi="宋体" w:eastAsia="宋体" w:cs="宋体"/>
                <w:color w:val="auto"/>
                <w:szCs w:val="21"/>
                <w:highlight w:val="none"/>
              </w:rPr>
            </w:pPr>
          </w:p>
          <w:p>
            <w:pPr>
              <w:pStyle w:val="48"/>
              <w:spacing w:before="148" w:line="240" w:lineRule="exact"/>
              <w:ind w:right="19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96"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ind w:right="80"/>
              <w:jc w:val="center"/>
              <w:rPr>
                <w:rFonts w:hint="eastAsia" w:ascii="宋体" w:hAnsi="宋体" w:eastAsia="宋体" w:cs="宋体"/>
                <w:color w:val="auto"/>
                <w:spacing w:val="-3"/>
                <w:szCs w:val="21"/>
                <w:highlight w:val="none"/>
              </w:rPr>
            </w:pPr>
          </w:p>
          <w:p>
            <w:pPr>
              <w:pStyle w:val="48"/>
              <w:spacing w:line="240" w:lineRule="exact"/>
              <w:ind w:right="80"/>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投标人业绩</w:t>
            </w:r>
          </w:p>
          <w:p>
            <w:pPr>
              <w:pStyle w:val="48"/>
              <w:spacing w:line="240" w:lineRule="exact"/>
              <w:ind w:right="80"/>
              <w:jc w:val="center"/>
              <w:rPr>
                <w:rFonts w:hint="eastAsia" w:ascii="宋体" w:hAnsi="宋体" w:eastAsia="宋体" w:cs="宋体"/>
                <w:color w:val="auto"/>
                <w:szCs w:val="21"/>
                <w:highlight w:val="none"/>
                <w:lang w:eastAsia="zh-CN"/>
              </w:rPr>
            </w:pP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p>
          <w:p>
            <w:pPr>
              <w:pStyle w:val="48"/>
              <w:spacing w:line="240" w:lineRule="exact"/>
              <w:ind w:left="426"/>
              <w:jc w:val="center"/>
              <w:rPr>
                <w:rFonts w:hint="eastAsia" w:ascii="宋体" w:hAnsi="宋体" w:eastAsia="宋体" w:cs="宋体"/>
                <w:color w:val="auto"/>
                <w:szCs w:val="21"/>
                <w:highlight w:val="none"/>
              </w:rPr>
            </w:pPr>
          </w:p>
        </w:tc>
        <w:tc>
          <w:tcPr>
            <w:tcW w:w="5925" w:type="dxa"/>
            <w:tcBorders>
              <w:top w:val="single" w:color="000000" w:sz="8" w:space="0"/>
              <w:left w:val="single" w:color="000000" w:sz="8" w:space="0"/>
              <w:bottom w:val="single" w:color="000000" w:sz="8" w:space="0"/>
              <w:right w:val="single" w:color="000000" w:sz="8" w:space="0"/>
            </w:tcBorders>
            <w:vAlign w:val="top"/>
          </w:tcPr>
          <w:p>
            <w:pPr>
              <w:ind w:firstLine="38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0"/>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10"/>
                <w:szCs w:val="21"/>
                <w:highlight w:val="none"/>
              </w:rPr>
              <w:t>近</w:t>
            </w:r>
            <w:r>
              <w:rPr>
                <w:rFonts w:hint="eastAsia" w:ascii="宋体" w:hAnsi="宋体" w:eastAsia="宋体" w:cs="宋体"/>
                <w:color w:val="auto"/>
                <w:spacing w:val="-10"/>
                <w:szCs w:val="21"/>
                <w:highlight w:val="none"/>
                <w:lang w:val="en-US" w:eastAsia="zh-CN"/>
              </w:rPr>
              <w:t>3</w:t>
            </w:r>
            <w:r>
              <w:rPr>
                <w:rFonts w:hint="eastAsia" w:ascii="宋体" w:hAnsi="宋体" w:eastAsia="宋体" w:cs="宋体"/>
                <w:color w:val="auto"/>
                <w:spacing w:val="-10"/>
                <w:szCs w:val="21"/>
                <w:highlight w:val="none"/>
              </w:rPr>
              <w:t>年（提交投标文件截止时间前1080天），</w:t>
            </w:r>
            <w:r>
              <w:rPr>
                <w:rFonts w:hint="eastAsia" w:ascii="宋体" w:hAnsi="宋体" w:eastAsia="宋体" w:cs="宋体"/>
                <w:color w:val="auto"/>
                <w:spacing w:val="-10"/>
                <w:szCs w:val="21"/>
                <w:highlight w:val="none"/>
                <w:lang w:eastAsia="zh-CN"/>
              </w:rPr>
              <w:t>每承担过一项</w:t>
            </w:r>
            <w:r>
              <w:rPr>
                <w:rFonts w:hint="eastAsia" w:ascii="宋体" w:hAnsi="宋体" w:eastAsia="宋体" w:cs="宋体"/>
                <w:color w:val="auto"/>
                <w:spacing w:val="-10"/>
                <w:szCs w:val="21"/>
                <w:highlight w:val="none"/>
              </w:rPr>
              <w:t>类似项目业绩的计5分，本项最多计10分；</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类似工程业绩应当符合以下规定之一：</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设计项目业绩：单项工程建筑面积在14.92万平方米以上的公共建筑设计业绩；</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施工项目业绩：单项工程建筑面积在14.92万平方米以上的公共建筑施工业绩；</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工程总承包项目业绩：单项工程建筑面积在14.92万平方米以上的公共建筑工程总承包业绩 ；</w:t>
            </w:r>
          </w:p>
          <w:p>
            <w:pPr>
              <w:pStyle w:val="48"/>
              <w:tabs>
                <w:tab w:val="left" w:pos="1662"/>
                <w:tab w:val="center" w:pos="2875"/>
              </w:tabs>
              <w:spacing w:line="240" w:lineRule="exact"/>
              <w:ind w:right="80"/>
              <w:jc w:val="left"/>
              <w:rPr>
                <w:rFonts w:hint="eastAsia" w:ascii="宋体" w:hAnsi="宋体" w:eastAsia="宋体" w:cs="宋体"/>
                <w:color w:val="auto"/>
                <w:szCs w:val="21"/>
                <w:highlight w:val="none"/>
              </w:rPr>
            </w:pPr>
            <w:r>
              <w:rPr>
                <w:rFonts w:hint="eastAsia" w:ascii="宋体" w:hAnsi="宋体" w:eastAsia="宋体" w:cs="宋体"/>
                <w:color w:val="auto"/>
                <w:spacing w:val="-24"/>
                <w:szCs w:val="21"/>
                <w:highlight w:val="none"/>
              </w:rPr>
              <w:t>（</w:t>
            </w:r>
            <w:r>
              <w:rPr>
                <w:rFonts w:hint="eastAsia" w:ascii="宋体" w:hAnsi="宋体" w:eastAsia="宋体" w:cs="宋体"/>
                <w:color w:val="auto"/>
                <w:szCs w:val="21"/>
                <w:highlight w:val="none"/>
              </w:rPr>
              <w:t>须提供</w:t>
            </w:r>
            <w:r>
              <w:rPr>
                <w:rFonts w:hint="eastAsia" w:ascii="宋体" w:hAnsi="宋体" w:eastAsia="宋体" w:cs="宋体"/>
                <w:color w:val="auto"/>
                <w:szCs w:val="21"/>
                <w:highlight w:val="none"/>
                <w:lang w:val="en-US" w:eastAsia="zh-CN"/>
              </w:rPr>
              <w:t>业绩证明材料(见备注要求1)</w:t>
            </w:r>
            <w:r>
              <w:rPr>
                <w:rFonts w:hint="eastAsia" w:ascii="宋体" w:hAnsi="宋体" w:eastAsia="宋体" w:cs="宋体"/>
                <w:color w:val="auto"/>
                <w:szCs w:val="21"/>
                <w:highlight w:val="none"/>
              </w:rPr>
              <w:t>原件扫描件，否则不得分）</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rPr>
                <w:rFonts w:hint="eastAsia" w:ascii="宋体" w:hAnsi="宋体" w:eastAsia="宋体" w:cs="宋体"/>
                <w:color w:val="auto"/>
                <w:szCs w:val="21"/>
                <w:highlight w:val="none"/>
              </w:rPr>
            </w:pPr>
          </w:p>
          <w:p>
            <w:pPr>
              <w:pStyle w:val="48"/>
              <w:spacing w:before="148" w:line="240" w:lineRule="exact"/>
              <w:ind w:left="11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before="148"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before="148"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29" w:hRule="atLeast"/>
          <w:jc w:val="center"/>
        </w:trPr>
        <w:tc>
          <w:tcPr>
            <w:tcW w:w="570"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before="163"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pPr>
              <w:pStyle w:val="48"/>
              <w:spacing w:line="240" w:lineRule="exact"/>
              <w:ind w:left="119"/>
              <w:jc w:val="center"/>
              <w:rPr>
                <w:rFonts w:hint="eastAsia" w:ascii="宋体" w:hAnsi="宋体" w:eastAsia="宋体" w:cs="宋体"/>
                <w:color w:val="auto"/>
                <w:szCs w:val="21"/>
                <w:highlight w:val="none"/>
              </w:rPr>
            </w:pPr>
          </w:p>
        </w:tc>
        <w:tc>
          <w:tcPr>
            <w:tcW w:w="1496" w:type="dxa"/>
            <w:tcBorders>
              <w:top w:val="single" w:color="000000" w:sz="8" w:space="0"/>
              <w:left w:val="single" w:color="000000" w:sz="8" w:space="0"/>
              <w:bottom w:val="single" w:color="000000" w:sz="8" w:space="0"/>
              <w:right w:val="single" w:color="000000" w:sz="8" w:space="0"/>
            </w:tcBorders>
            <w:vAlign w:val="center"/>
          </w:tcPr>
          <w:p>
            <w:pPr>
              <w:pStyle w:val="48"/>
              <w:tabs>
                <w:tab w:val="left" w:pos="262"/>
                <w:tab w:val="center" w:pos="895"/>
              </w:tabs>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rPr>
              <w:t>投标人获奖</w:t>
            </w:r>
          </w:p>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p>
        </w:tc>
        <w:tc>
          <w:tcPr>
            <w:tcW w:w="5925" w:type="dxa"/>
            <w:tcBorders>
              <w:top w:val="single" w:color="000000" w:sz="8" w:space="0"/>
              <w:left w:val="single" w:color="000000" w:sz="8" w:space="0"/>
              <w:bottom w:val="single" w:color="000000" w:sz="8" w:space="0"/>
              <w:right w:val="single" w:color="000000" w:sz="8" w:space="0"/>
            </w:tcBorders>
            <w:vAlign w:val="center"/>
          </w:tcPr>
          <w:p>
            <w:pPr>
              <w:ind w:firstLine="420" w:firstLineChars="200"/>
              <w:rPr>
                <w:rStyle w:val="51"/>
                <w:rFonts w:hint="eastAsia" w:ascii="宋体" w:hAnsi="宋体" w:eastAsia="宋体" w:cs="宋体"/>
                <w:color w:val="auto"/>
                <w:szCs w:val="21"/>
                <w:highlight w:val="none"/>
              </w:rPr>
            </w:pPr>
            <w:r>
              <w:rPr>
                <w:rStyle w:val="51"/>
                <w:rFonts w:hint="eastAsia" w:ascii="宋体" w:hAnsi="宋体" w:eastAsia="宋体" w:cs="宋体"/>
                <w:color w:val="auto"/>
                <w:szCs w:val="21"/>
                <w:highlight w:val="none"/>
              </w:rPr>
              <w:t>1、投标人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Style w:val="51"/>
                <w:rFonts w:hint="eastAsia" w:ascii="宋体" w:hAnsi="宋体" w:eastAsia="宋体" w:cs="宋体"/>
                <w:color w:val="auto"/>
                <w:szCs w:val="21"/>
                <w:highlight w:val="none"/>
              </w:rPr>
              <w:t>近3年（2018年度-2020年度）获得由中国勘察设计协会颁发的勘察设计奖优秀（公共）建筑设计类奖项：一等奖每</w:t>
            </w:r>
            <w:r>
              <w:rPr>
                <w:rStyle w:val="51"/>
                <w:rFonts w:hint="eastAsia" w:ascii="宋体" w:hAnsi="宋体" w:eastAsia="宋体" w:cs="宋体"/>
                <w:color w:val="auto"/>
                <w:szCs w:val="21"/>
                <w:highlight w:val="none"/>
                <w:lang w:val="en-US"/>
              </w:rPr>
              <w:t>项</w:t>
            </w:r>
            <w:r>
              <w:rPr>
                <w:rStyle w:val="51"/>
                <w:rFonts w:hint="eastAsia" w:ascii="宋体" w:hAnsi="宋体" w:eastAsia="宋体" w:cs="宋体"/>
                <w:color w:val="auto"/>
                <w:szCs w:val="21"/>
                <w:highlight w:val="none"/>
              </w:rPr>
              <w:t>计</w:t>
            </w:r>
            <w:r>
              <w:rPr>
                <w:rStyle w:val="51"/>
                <w:rFonts w:hint="eastAsia" w:ascii="宋体" w:hAnsi="宋体" w:eastAsia="宋体" w:cs="宋体"/>
                <w:color w:val="auto"/>
                <w:szCs w:val="21"/>
                <w:highlight w:val="none"/>
                <w:lang w:val="en-US"/>
              </w:rPr>
              <w:t>6</w:t>
            </w:r>
            <w:r>
              <w:rPr>
                <w:rStyle w:val="51"/>
                <w:rFonts w:hint="eastAsia" w:ascii="宋体" w:hAnsi="宋体" w:eastAsia="宋体" w:cs="宋体"/>
                <w:color w:val="auto"/>
                <w:szCs w:val="21"/>
                <w:highlight w:val="none"/>
              </w:rPr>
              <w:t>分，二等奖每</w:t>
            </w:r>
            <w:r>
              <w:rPr>
                <w:rStyle w:val="51"/>
                <w:rFonts w:hint="eastAsia" w:ascii="宋体" w:hAnsi="宋体" w:eastAsia="宋体" w:cs="宋体"/>
                <w:color w:val="auto"/>
                <w:szCs w:val="21"/>
                <w:highlight w:val="none"/>
                <w:lang w:val="en-US"/>
              </w:rPr>
              <w:t>项</w:t>
            </w:r>
            <w:r>
              <w:rPr>
                <w:rStyle w:val="51"/>
                <w:rFonts w:hint="eastAsia" w:ascii="宋体" w:hAnsi="宋体" w:eastAsia="宋体" w:cs="宋体"/>
                <w:color w:val="auto"/>
                <w:szCs w:val="21"/>
                <w:highlight w:val="none"/>
              </w:rPr>
              <w:t>计</w:t>
            </w:r>
            <w:r>
              <w:rPr>
                <w:rStyle w:val="51"/>
                <w:rFonts w:hint="eastAsia" w:ascii="宋体" w:hAnsi="宋体" w:eastAsia="宋体" w:cs="宋体"/>
                <w:color w:val="auto"/>
                <w:szCs w:val="21"/>
                <w:highlight w:val="none"/>
                <w:lang w:val="en-US"/>
              </w:rPr>
              <w:t>3</w:t>
            </w:r>
            <w:r>
              <w:rPr>
                <w:rStyle w:val="51"/>
                <w:rFonts w:hint="eastAsia" w:ascii="宋体" w:hAnsi="宋体" w:eastAsia="宋体" w:cs="宋体"/>
                <w:color w:val="auto"/>
                <w:szCs w:val="21"/>
                <w:highlight w:val="none"/>
              </w:rPr>
              <w:t>分；以上奖项最多计2项，最高</w:t>
            </w:r>
            <w:r>
              <w:rPr>
                <w:rStyle w:val="51"/>
                <w:rFonts w:hint="eastAsia" w:ascii="宋体" w:hAnsi="宋体" w:eastAsia="宋体" w:cs="宋体"/>
                <w:color w:val="auto"/>
                <w:szCs w:val="21"/>
                <w:highlight w:val="none"/>
                <w:lang w:val="en-US"/>
              </w:rPr>
              <w:t>计12</w:t>
            </w:r>
            <w:r>
              <w:rPr>
                <w:rStyle w:val="51"/>
                <w:rFonts w:hint="eastAsia" w:ascii="宋体" w:hAnsi="宋体" w:eastAsia="宋体" w:cs="宋体"/>
                <w:color w:val="auto"/>
                <w:szCs w:val="21"/>
                <w:highlight w:val="none"/>
              </w:rPr>
              <w:t>分；</w:t>
            </w:r>
          </w:p>
          <w:p>
            <w:pPr>
              <w:ind w:firstLine="420" w:firstLineChars="200"/>
              <w:rPr>
                <w:rFonts w:hint="eastAsia" w:ascii="宋体" w:hAnsi="宋体" w:eastAsia="宋体" w:cs="宋体"/>
                <w:color w:val="auto"/>
                <w:highlight w:val="none"/>
              </w:rPr>
            </w:pPr>
            <w:r>
              <w:rPr>
                <w:rStyle w:val="51"/>
                <w:rFonts w:hint="eastAsia" w:ascii="宋体" w:hAnsi="宋体" w:eastAsia="宋体" w:cs="宋体"/>
                <w:color w:val="auto"/>
                <w:szCs w:val="21"/>
                <w:highlight w:val="none"/>
              </w:rPr>
              <w:t>2、投标人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Style w:val="51"/>
                <w:rFonts w:hint="eastAsia" w:ascii="宋体" w:hAnsi="宋体" w:eastAsia="宋体" w:cs="宋体"/>
                <w:color w:val="auto"/>
                <w:szCs w:val="21"/>
                <w:highlight w:val="none"/>
              </w:rPr>
              <w:t>近3年（2018年度-2020年度）在庆祝新中国成立七十周年系列推举活动中获得由中国勘察设计协会颁发的优秀勘察设计项目奖（</w:t>
            </w:r>
            <w:r>
              <w:rPr>
                <w:rStyle w:val="51"/>
                <w:rFonts w:hint="eastAsia" w:ascii="宋体" w:hAnsi="宋体" w:eastAsia="宋体" w:cs="宋体"/>
                <w:color w:val="auto"/>
                <w:szCs w:val="21"/>
                <w:highlight w:val="none"/>
                <w:lang w:val="en-US"/>
              </w:rPr>
              <w:t>公共建筑类项目</w:t>
            </w:r>
            <w:r>
              <w:rPr>
                <w:rStyle w:val="51"/>
                <w:rFonts w:hint="eastAsia" w:ascii="宋体" w:hAnsi="宋体" w:eastAsia="宋体" w:cs="宋体"/>
                <w:color w:val="auto"/>
                <w:szCs w:val="21"/>
                <w:highlight w:val="none"/>
              </w:rPr>
              <w:t>），每</w:t>
            </w:r>
            <w:r>
              <w:rPr>
                <w:rStyle w:val="51"/>
                <w:rFonts w:hint="eastAsia" w:ascii="宋体" w:hAnsi="宋体" w:eastAsia="宋体" w:cs="宋体"/>
                <w:color w:val="auto"/>
                <w:szCs w:val="21"/>
                <w:highlight w:val="none"/>
                <w:lang w:val="en-US"/>
              </w:rPr>
              <w:t>项</w:t>
            </w:r>
            <w:r>
              <w:rPr>
                <w:rStyle w:val="51"/>
                <w:rFonts w:hint="eastAsia" w:ascii="宋体" w:hAnsi="宋体" w:eastAsia="宋体" w:cs="宋体"/>
                <w:color w:val="auto"/>
                <w:szCs w:val="21"/>
                <w:highlight w:val="none"/>
              </w:rPr>
              <w:t>计</w:t>
            </w:r>
            <w:r>
              <w:rPr>
                <w:rStyle w:val="51"/>
                <w:rFonts w:hint="eastAsia" w:ascii="宋体" w:hAnsi="宋体" w:eastAsia="宋体" w:cs="宋体"/>
                <w:color w:val="auto"/>
                <w:szCs w:val="21"/>
                <w:highlight w:val="none"/>
                <w:lang w:val="en-US"/>
              </w:rPr>
              <w:t>6</w:t>
            </w:r>
            <w:r>
              <w:rPr>
                <w:rStyle w:val="51"/>
                <w:rFonts w:hint="eastAsia" w:ascii="宋体" w:hAnsi="宋体" w:eastAsia="宋体" w:cs="宋体"/>
                <w:color w:val="auto"/>
                <w:szCs w:val="21"/>
                <w:highlight w:val="none"/>
              </w:rPr>
              <w:t>分，最高</w:t>
            </w:r>
            <w:r>
              <w:rPr>
                <w:rStyle w:val="51"/>
                <w:rFonts w:hint="eastAsia" w:ascii="宋体" w:hAnsi="宋体" w:eastAsia="宋体" w:cs="宋体"/>
                <w:color w:val="auto"/>
                <w:szCs w:val="21"/>
                <w:highlight w:val="none"/>
                <w:lang w:val="en-US"/>
              </w:rPr>
              <w:t>计</w:t>
            </w:r>
            <w:r>
              <w:rPr>
                <w:rStyle w:val="51"/>
                <w:rFonts w:hint="eastAsia" w:ascii="宋体" w:hAnsi="宋体" w:eastAsia="宋体" w:cs="宋体"/>
                <w:color w:val="auto"/>
                <w:szCs w:val="21"/>
                <w:highlight w:val="none"/>
              </w:rPr>
              <w:t>1</w:t>
            </w:r>
            <w:r>
              <w:rPr>
                <w:rStyle w:val="51"/>
                <w:rFonts w:hint="eastAsia" w:ascii="宋体" w:hAnsi="宋体" w:eastAsia="宋体" w:cs="宋体"/>
                <w:color w:val="auto"/>
                <w:szCs w:val="21"/>
                <w:highlight w:val="none"/>
                <w:lang w:val="en-US"/>
              </w:rPr>
              <w:t>8</w:t>
            </w:r>
            <w:r>
              <w:rPr>
                <w:rStyle w:val="51"/>
                <w:rFonts w:hint="eastAsia" w:ascii="宋体" w:hAnsi="宋体" w:eastAsia="宋体" w:cs="宋体"/>
                <w:color w:val="auto"/>
                <w:szCs w:val="21"/>
                <w:highlight w:val="none"/>
              </w:rPr>
              <w:t>分；</w:t>
            </w:r>
          </w:p>
          <w:p>
            <w:pPr>
              <w:ind w:firstLine="380" w:firstLineChars="200"/>
              <w:rPr>
                <w:rStyle w:val="51"/>
                <w:rFonts w:hint="eastAsia" w:ascii="宋体" w:hAnsi="宋体" w:eastAsia="宋体" w:cs="宋体"/>
                <w:color w:val="auto"/>
                <w:szCs w:val="21"/>
                <w:highlight w:val="none"/>
              </w:rPr>
            </w:pPr>
            <w:r>
              <w:rPr>
                <w:rFonts w:hint="eastAsia" w:ascii="宋体" w:hAnsi="宋体" w:eastAsia="宋体" w:cs="宋体"/>
                <w:color w:val="auto"/>
                <w:spacing w:val="-10"/>
                <w:highlight w:val="none"/>
              </w:rPr>
              <w:t>3、</w:t>
            </w:r>
            <w:r>
              <w:rPr>
                <w:rStyle w:val="51"/>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Style w:val="51"/>
                <w:rFonts w:hint="eastAsia" w:ascii="宋体" w:hAnsi="宋体" w:eastAsia="宋体" w:cs="宋体"/>
                <w:color w:val="auto"/>
                <w:szCs w:val="21"/>
                <w:highlight w:val="none"/>
              </w:rPr>
              <w:t>近3年（2018年度-2020年度）获得由省级勘察设计协会颁发的公共建筑类优秀建筑工程设计奖，一等奖每</w:t>
            </w:r>
            <w:r>
              <w:rPr>
                <w:rStyle w:val="51"/>
                <w:rFonts w:hint="eastAsia" w:ascii="宋体" w:hAnsi="宋体" w:eastAsia="宋体" w:cs="宋体"/>
                <w:color w:val="auto"/>
                <w:szCs w:val="21"/>
                <w:highlight w:val="none"/>
                <w:lang w:val="en-US"/>
              </w:rPr>
              <w:t>项</w:t>
            </w:r>
            <w:r>
              <w:rPr>
                <w:rStyle w:val="51"/>
                <w:rFonts w:hint="eastAsia" w:ascii="宋体" w:hAnsi="宋体" w:eastAsia="宋体" w:cs="宋体"/>
                <w:color w:val="auto"/>
                <w:szCs w:val="21"/>
                <w:highlight w:val="none"/>
              </w:rPr>
              <w:t>计</w:t>
            </w:r>
            <w:r>
              <w:rPr>
                <w:rStyle w:val="51"/>
                <w:rFonts w:hint="eastAsia" w:ascii="宋体" w:hAnsi="宋体" w:eastAsia="宋体" w:cs="宋体"/>
                <w:color w:val="auto"/>
                <w:szCs w:val="21"/>
                <w:highlight w:val="none"/>
                <w:lang w:val="en-US"/>
              </w:rPr>
              <w:t>4</w:t>
            </w:r>
            <w:r>
              <w:rPr>
                <w:rStyle w:val="51"/>
                <w:rFonts w:hint="eastAsia" w:ascii="宋体" w:hAnsi="宋体" w:eastAsia="宋体" w:cs="宋体"/>
                <w:color w:val="auto"/>
                <w:szCs w:val="21"/>
                <w:highlight w:val="none"/>
              </w:rPr>
              <w:t>分，二等奖计每</w:t>
            </w:r>
            <w:r>
              <w:rPr>
                <w:rStyle w:val="51"/>
                <w:rFonts w:hint="eastAsia" w:ascii="宋体" w:hAnsi="宋体" w:eastAsia="宋体" w:cs="宋体"/>
                <w:color w:val="auto"/>
                <w:szCs w:val="21"/>
                <w:highlight w:val="none"/>
                <w:lang w:val="en-US"/>
              </w:rPr>
              <w:t>项</w:t>
            </w:r>
            <w:r>
              <w:rPr>
                <w:rStyle w:val="51"/>
                <w:rFonts w:hint="eastAsia" w:ascii="宋体" w:hAnsi="宋体" w:eastAsia="宋体" w:cs="宋体"/>
                <w:color w:val="auto"/>
                <w:szCs w:val="21"/>
                <w:highlight w:val="none"/>
              </w:rPr>
              <w:t>计</w:t>
            </w:r>
            <w:r>
              <w:rPr>
                <w:rStyle w:val="51"/>
                <w:rFonts w:hint="eastAsia" w:ascii="宋体" w:hAnsi="宋体" w:eastAsia="宋体" w:cs="宋体"/>
                <w:color w:val="auto"/>
                <w:szCs w:val="21"/>
                <w:highlight w:val="none"/>
                <w:lang w:val="en-US"/>
              </w:rPr>
              <w:t>2</w:t>
            </w:r>
            <w:r>
              <w:rPr>
                <w:rStyle w:val="51"/>
                <w:rFonts w:hint="eastAsia" w:ascii="宋体" w:hAnsi="宋体" w:eastAsia="宋体" w:cs="宋体"/>
                <w:color w:val="auto"/>
                <w:szCs w:val="21"/>
                <w:highlight w:val="none"/>
              </w:rPr>
              <w:t>分；以上奖项最多计</w:t>
            </w:r>
            <w:r>
              <w:rPr>
                <w:rStyle w:val="51"/>
                <w:rFonts w:hint="eastAsia" w:ascii="宋体" w:hAnsi="宋体" w:eastAsia="宋体" w:cs="宋体"/>
                <w:color w:val="auto"/>
                <w:szCs w:val="21"/>
                <w:highlight w:val="none"/>
                <w:lang w:val="en-US"/>
              </w:rPr>
              <w:t>1</w:t>
            </w:r>
            <w:r>
              <w:rPr>
                <w:rStyle w:val="51"/>
                <w:rFonts w:hint="eastAsia" w:ascii="宋体" w:hAnsi="宋体" w:eastAsia="宋体" w:cs="宋体"/>
                <w:color w:val="auto"/>
                <w:szCs w:val="21"/>
                <w:highlight w:val="none"/>
              </w:rPr>
              <w:t>项，最高计</w:t>
            </w:r>
            <w:r>
              <w:rPr>
                <w:rStyle w:val="51"/>
                <w:rFonts w:hint="eastAsia" w:ascii="宋体" w:hAnsi="宋体" w:eastAsia="宋体" w:cs="宋体"/>
                <w:color w:val="auto"/>
                <w:szCs w:val="21"/>
                <w:highlight w:val="none"/>
                <w:lang w:val="en-US"/>
              </w:rPr>
              <w:t>4</w:t>
            </w:r>
            <w:r>
              <w:rPr>
                <w:rStyle w:val="51"/>
                <w:rFonts w:hint="eastAsia" w:ascii="宋体" w:hAnsi="宋体" w:eastAsia="宋体" w:cs="宋体"/>
                <w:color w:val="auto"/>
                <w:szCs w:val="21"/>
                <w:highlight w:val="none"/>
              </w:rPr>
              <w:t>分。</w:t>
            </w:r>
          </w:p>
          <w:p>
            <w:pPr>
              <w:pStyle w:val="2"/>
              <w:rPr>
                <w:rStyle w:val="51"/>
                <w:rFonts w:hint="eastAsia" w:ascii="宋体" w:hAnsi="宋体" w:eastAsia="宋体" w:cs="宋体"/>
                <w:color w:val="auto"/>
                <w:szCs w:val="21"/>
                <w:highlight w:val="none"/>
              </w:rPr>
            </w:pPr>
            <w:r>
              <w:rPr>
                <w:rStyle w:val="51"/>
                <w:rFonts w:hint="eastAsia" w:ascii="宋体" w:hAnsi="宋体" w:eastAsia="宋体" w:cs="宋体"/>
                <w:color w:val="auto"/>
                <w:szCs w:val="21"/>
                <w:highlight w:val="none"/>
                <w:lang w:val="en-US"/>
              </w:rPr>
              <w:t xml:space="preserve">   4、</w:t>
            </w:r>
            <w:r>
              <w:rPr>
                <w:rStyle w:val="51"/>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Style w:val="51"/>
                <w:rFonts w:hint="eastAsia" w:ascii="宋体" w:hAnsi="宋体" w:eastAsia="宋体" w:cs="宋体"/>
                <w:color w:val="auto"/>
                <w:szCs w:val="21"/>
                <w:highlight w:val="none"/>
              </w:rPr>
              <w:t>近3年（2018年度-2020年度）获得由</w:t>
            </w:r>
            <w:r>
              <w:rPr>
                <w:rStyle w:val="51"/>
                <w:rFonts w:hint="eastAsia" w:ascii="宋体" w:hAnsi="宋体" w:eastAsia="宋体" w:cs="宋体"/>
                <w:color w:val="auto"/>
                <w:szCs w:val="21"/>
                <w:highlight w:val="none"/>
                <w:lang w:val="en-US"/>
              </w:rPr>
              <w:t>市级及以上住建部门或建筑业协会</w:t>
            </w:r>
            <w:r>
              <w:rPr>
                <w:rStyle w:val="51"/>
                <w:rFonts w:hint="eastAsia" w:cs="宋体" w:asciiTheme="minorEastAsia" w:hAnsiTheme="minorEastAsia" w:eastAsiaTheme="minorEastAsia"/>
                <w:color w:val="auto"/>
                <w:szCs w:val="21"/>
                <w:highlight w:val="none"/>
              </w:rPr>
              <w:t>（或建筑业联合会）颁发</w:t>
            </w:r>
            <w:r>
              <w:rPr>
                <w:rStyle w:val="51"/>
                <w:rFonts w:hint="eastAsia" w:ascii="宋体" w:hAnsi="宋体" w:eastAsia="宋体" w:cs="宋体"/>
                <w:color w:val="auto"/>
                <w:szCs w:val="21"/>
                <w:highlight w:val="none"/>
                <w:lang w:val="en-US"/>
              </w:rPr>
              <w:t>的施工类优质工程奖（</w:t>
            </w:r>
            <w:r>
              <w:rPr>
                <w:rStyle w:val="51"/>
                <w:rFonts w:hint="eastAsia" w:ascii="宋体" w:hAnsi="宋体" w:eastAsia="宋体" w:cs="宋体"/>
                <w:color w:val="auto"/>
                <w:szCs w:val="21"/>
                <w:highlight w:val="none"/>
              </w:rPr>
              <w:t>公共建筑类）</w:t>
            </w:r>
            <w:r>
              <w:rPr>
                <w:rStyle w:val="51"/>
                <w:rFonts w:hint="eastAsia" w:ascii="宋体" w:hAnsi="宋体" w:eastAsia="宋体" w:cs="宋体"/>
                <w:color w:val="auto"/>
                <w:szCs w:val="21"/>
                <w:highlight w:val="none"/>
                <w:lang w:val="en-US"/>
              </w:rPr>
              <w:t>，每项计2分，最高计2分。</w:t>
            </w:r>
          </w:p>
          <w:p>
            <w:pPr>
              <w:ind w:firstLine="380" w:firstLineChars="200"/>
              <w:rPr>
                <w:rFonts w:hint="eastAsia" w:ascii="宋体" w:hAnsi="宋体" w:eastAsia="宋体" w:cs="宋体"/>
                <w:color w:val="auto"/>
                <w:highlight w:val="none"/>
              </w:rPr>
            </w:pPr>
            <w:r>
              <w:rPr>
                <w:rFonts w:hint="eastAsia" w:ascii="宋体" w:hAnsi="宋体" w:eastAsia="宋体" w:cs="宋体"/>
                <w:color w:val="auto"/>
                <w:spacing w:val="-10"/>
                <w:highlight w:val="none"/>
              </w:rPr>
              <w:t>注：同一个项目获多个奖项的只计最高得分，</w:t>
            </w:r>
            <w:r>
              <w:rPr>
                <w:rFonts w:hint="eastAsia" w:ascii="宋体" w:hAnsi="宋体" w:eastAsia="宋体" w:cs="宋体"/>
                <w:color w:val="auto"/>
                <w:spacing w:val="-10"/>
                <w:highlight w:val="none"/>
                <w:lang w:val="en-US" w:eastAsia="zh-CN"/>
              </w:rPr>
              <w:t>须</w:t>
            </w:r>
            <w:r>
              <w:rPr>
                <w:rStyle w:val="52"/>
                <w:rFonts w:hint="eastAsia" w:ascii="宋体" w:hAnsi="宋体" w:eastAsia="宋体" w:cs="宋体"/>
                <w:color w:val="auto"/>
                <w:szCs w:val="21"/>
                <w:highlight w:val="none"/>
              </w:rPr>
              <w:t>提供证书</w:t>
            </w:r>
            <w:r>
              <w:rPr>
                <w:rStyle w:val="52"/>
                <w:rFonts w:hint="eastAsia" w:ascii="宋体" w:hAnsi="宋体" w:eastAsia="宋体" w:cs="宋体"/>
                <w:color w:val="auto"/>
                <w:szCs w:val="21"/>
                <w:highlight w:val="none"/>
                <w:lang w:val="en-US" w:eastAsia="zh-CN"/>
              </w:rPr>
              <w:t>原件</w:t>
            </w:r>
            <w:r>
              <w:rPr>
                <w:rStyle w:val="52"/>
                <w:rFonts w:hint="eastAsia" w:ascii="宋体" w:hAnsi="宋体" w:eastAsia="宋体" w:cs="宋体"/>
                <w:color w:val="auto"/>
                <w:szCs w:val="21"/>
                <w:highlight w:val="none"/>
              </w:rPr>
              <w:t>扫描件为依据</w:t>
            </w:r>
            <w:r>
              <w:rPr>
                <w:rStyle w:val="51"/>
                <w:rFonts w:hint="eastAsia" w:ascii="宋体" w:hAnsi="宋体" w:eastAsia="宋体" w:cs="宋体"/>
                <w:color w:val="auto"/>
                <w:szCs w:val="21"/>
                <w:highlight w:val="none"/>
              </w:rPr>
              <w:t>，否则不得分</w:t>
            </w:r>
            <w:r>
              <w:rPr>
                <w:rStyle w:val="52"/>
                <w:rFonts w:hint="eastAsia" w:ascii="宋体" w:hAnsi="宋体" w:eastAsia="宋体" w:cs="宋体"/>
                <w:color w:val="auto"/>
                <w:szCs w:val="21"/>
                <w:highlight w:val="none"/>
              </w:rPr>
              <w:t>。</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rPr>
            </w:pPr>
          </w:p>
          <w:p>
            <w:pPr>
              <w:pStyle w:val="48"/>
              <w:spacing w:line="240" w:lineRule="exact"/>
              <w:ind w:right="115"/>
              <w:jc w:val="center"/>
              <w:rPr>
                <w:rFonts w:hint="eastAsia" w:ascii="宋体" w:hAnsi="宋体" w:eastAsia="宋体" w:cs="宋体"/>
                <w:color w:val="auto"/>
                <w:szCs w:val="21"/>
                <w:highlight w:val="none"/>
                <w:lang w:val="en-US"/>
              </w:rPr>
            </w:pPr>
          </w:p>
          <w:p>
            <w:pPr>
              <w:pStyle w:val="48"/>
              <w:spacing w:line="240" w:lineRule="exact"/>
              <w:ind w:right="115"/>
              <w:jc w:val="center"/>
              <w:rPr>
                <w:rFonts w:hint="eastAsia" w:ascii="宋体" w:hAnsi="宋体" w:eastAsia="宋体" w:cs="宋体"/>
                <w:color w:val="auto"/>
                <w:szCs w:val="21"/>
                <w:highlight w:val="none"/>
                <w:lang w:val="en-US"/>
              </w:rPr>
            </w:pPr>
          </w:p>
          <w:p>
            <w:pPr>
              <w:pStyle w:val="48"/>
              <w:spacing w:line="240" w:lineRule="exact"/>
              <w:ind w:right="115"/>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36</w:t>
            </w:r>
          </w:p>
          <w:p>
            <w:pPr>
              <w:pStyle w:val="48"/>
              <w:spacing w:line="240" w:lineRule="exact"/>
              <w:ind w:right="115"/>
              <w:jc w:val="center"/>
              <w:rPr>
                <w:rFonts w:hint="eastAsia" w:ascii="宋体" w:hAnsi="宋体" w:eastAsia="宋体" w:cs="宋体"/>
                <w:color w:val="auto"/>
                <w:szCs w:val="21"/>
                <w:highlight w:val="none"/>
                <w:lang w:val="en-US"/>
              </w:rPr>
            </w:pPr>
          </w:p>
          <w:p>
            <w:pPr>
              <w:pStyle w:val="48"/>
              <w:spacing w:line="240" w:lineRule="exact"/>
              <w:ind w:right="115"/>
              <w:rPr>
                <w:rFonts w:hint="eastAsia" w:ascii="宋体" w:hAnsi="宋体" w:eastAsia="宋体" w:cs="宋体"/>
                <w:color w:val="auto"/>
                <w:szCs w:val="21"/>
                <w:highlight w:val="none"/>
                <w:lang w:val="en-US"/>
              </w:rPr>
            </w:pP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rPr>
                <w:rFonts w:hint="eastAsia" w:ascii="宋体" w:hAnsi="宋体" w:eastAsia="宋体" w:cs="宋体"/>
                <w:color w:val="auto"/>
                <w:szCs w:val="21"/>
                <w:highlight w:val="none"/>
              </w:rPr>
            </w:pPr>
          </w:p>
          <w:p>
            <w:pPr>
              <w:pStyle w:val="48"/>
              <w:spacing w:line="240" w:lineRule="exact"/>
              <w:ind w:left="11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0" w:hRule="atLeast"/>
          <w:jc w:val="center"/>
        </w:trPr>
        <w:tc>
          <w:tcPr>
            <w:tcW w:w="570" w:type="dxa"/>
            <w:tcBorders>
              <w:top w:val="single" w:color="000000" w:sz="8" w:space="0"/>
              <w:left w:val="single" w:color="000000" w:sz="8" w:space="0"/>
              <w:bottom w:val="single" w:color="000000" w:sz="8" w:space="0"/>
              <w:right w:val="single" w:color="000000" w:sz="8" w:space="0"/>
            </w:tcBorders>
            <w:vAlign w:val="top"/>
          </w:tcPr>
          <w:p>
            <w:pPr>
              <w:pStyle w:val="48"/>
              <w:spacing w:before="163"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96"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投标人信用实力</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p>
        </w:tc>
        <w:tc>
          <w:tcPr>
            <w:tcW w:w="59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right="114" w:firstLine="380" w:firstLineChars="200"/>
              <w:rPr>
                <w:rFonts w:hint="eastAsia" w:ascii="宋体" w:hAnsi="宋体" w:eastAsia="宋体" w:cs="宋体"/>
                <w:color w:val="auto"/>
                <w:szCs w:val="21"/>
                <w:highlight w:val="none"/>
              </w:rPr>
            </w:pPr>
            <w:r>
              <w:rPr>
                <w:rFonts w:hint="eastAsia" w:ascii="宋体" w:hAnsi="宋体" w:eastAsia="宋体" w:cs="宋体"/>
                <w:color w:val="auto"/>
                <w:spacing w:val="-10"/>
                <w:szCs w:val="21"/>
                <w:highlight w:val="none"/>
                <w:lang w:val="en-US" w:eastAsia="zh-CN"/>
              </w:rPr>
              <w:t>1、</w:t>
            </w:r>
            <w:r>
              <w:rPr>
                <w:rFonts w:hint="eastAsia" w:ascii="宋体" w:hAnsi="宋体" w:eastAsia="宋体" w:cs="宋体"/>
                <w:color w:val="auto"/>
                <w:spacing w:val="-10"/>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11"/>
                <w:szCs w:val="21"/>
                <w:highlight w:val="none"/>
              </w:rPr>
              <w:t>上年度</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lang w:val="en-US" w:eastAsia="zh-CN"/>
              </w:rPr>
              <w:t>2020年度</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获得</w:t>
            </w:r>
            <w:r>
              <w:rPr>
                <w:rFonts w:hint="eastAsia" w:ascii="宋体" w:hAnsi="宋体" w:eastAsia="宋体" w:cs="宋体"/>
                <w:color w:val="auto"/>
                <w:spacing w:val="-11"/>
                <w:szCs w:val="21"/>
                <w:highlight w:val="none"/>
                <w:lang w:val="en-US"/>
              </w:rPr>
              <w:t>省级</w:t>
            </w:r>
            <w:r>
              <w:rPr>
                <w:rFonts w:hint="eastAsia" w:ascii="宋体" w:hAnsi="宋体" w:eastAsia="宋体" w:cs="宋体"/>
                <w:color w:val="auto"/>
                <w:spacing w:val="-11"/>
                <w:szCs w:val="21"/>
                <w:highlight w:val="none"/>
              </w:rPr>
              <w:t>“</w:t>
            </w:r>
            <w:r>
              <w:rPr>
                <w:rFonts w:hint="eastAsia" w:ascii="宋体" w:hAnsi="宋体" w:eastAsia="宋体" w:cs="宋体"/>
                <w:color w:val="auto"/>
                <w:spacing w:val="-11"/>
                <w:szCs w:val="21"/>
                <w:highlight w:val="none"/>
                <w:lang w:val="en-US"/>
              </w:rPr>
              <w:t>守</w:t>
            </w:r>
            <w:r>
              <w:rPr>
                <w:rFonts w:hint="eastAsia" w:ascii="宋体" w:hAnsi="宋体" w:eastAsia="宋体" w:cs="宋体"/>
                <w:color w:val="auto"/>
                <w:spacing w:val="-11"/>
                <w:szCs w:val="21"/>
                <w:highlight w:val="none"/>
              </w:rPr>
              <w:t>合同</w:t>
            </w:r>
            <w:r>
              <w:rPr>
                <w:rFonts w:hint="eastAsia" w:ascii="宋体" w:hAnsi="宋体" w:eastAsia="宋体" w:cs="宋体"/>
                <w:color w:val="auto"/>
                <w:spacing w:val="-11"/>
                <w:szCs w:val="21"/>
                <w:highlight w:val="none"/>
                <w:lang w:val="en-US"/>
              </w:rPr>
              <w:t>重</w:t>
            </w:r>
            <w:r>
              <w:rPr>
                <w:rFonts w:hint="eastAsia" w:ascii="宋体" w:hAnsi="宋体" w:eastAsia="宋体" w:cs="宋体"/>
                <w:color w:val="auto"/>
                <w:spacing w:val="-11"/>
                <w:szCs w:val="21"/>
                <w:highlight w:val="none"/>
              </w:rPr>
              <w:t>信用</w:t>
            </w:r>
            <w:r>
              <w:rPr>
                <w:rFonts w:hint="eastAsia" w:ascii="宋体" w:hAnsi="宋体" w:eastAsia="宋体" w:cs="宋体"/>
                <w:color w:val="auto"/>
                <w:spacing w:val="-11"/>
                <w:szCs w:val="21"/>
                <w:highlight w:val="none"/>
                <w:lang w:val="en-US" w:eastAsia="zh-CN"/>
              </w:rPr>
              <w:t>企业</w:t>
            </w:r>
            <w:r>
              <w:rPr>
                <w:rFonts w:hint="eastAsia" w:ascii="宋体" w:hAnsi="宋体" w:eastAsia="宋体" w:cs="宋体"/>
                <w:color w:val="auto"/>
                <w:spacing w:val="-11"/>
                <w:szCs w:val="21"/>
                <w:highlight w:val="none"/>
              </w:rPr>
              <w:t>”的，</w:t>
            </w:r>
            <w:r>
              <w:rPr>
                <w:rFonts w:hint="eastAsia" w:ascii="宋体" w:hAnsi="宋体" w:eastAsia="宋体" w:cs="宋体"/>
                <w:color w:val="auto"/>
                <w:spacing w:val="-11"/>
                <w:szCs w:val="21"/>
                <w:highlight w:val="none"/>
                <w:lang w:val="en-US"/>
              </w:rPr>
              <w:t>计</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pStyle w:val="48"/>
              <w:spacing w:line="240" w:lineRule="exact"/>
              <w:ind w:right="11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zCs w:val="21"/>
                <w:highlight w:val="none"/>
              </w:rPr>
              <w:t>同时具备质量管理体系认证、职业健康体系认证、职业环境体系认证证书（有效期内），</w:t>
            </w:r>
            <w:r>
              <w:rPr>
                <w:rFonts w:hint="eastAsia" w:ascii="宋体" w:hAnsi="宋体" w:eastAsia="宋体" w:cs="宋体"/>
                <w:color w:val="auto"/>
                <w:szCs w:val="21"/>
                <w:highlight w:val="none"/>
                <w:lang w:val="en-US"/>
              </w:rPr>
              <w:t>计1</w:t>
            </w:r>
            <w:r>
              <w:rPr>
                <w:rFonts w:hint="eastAsia" w:ascii="宋体" w:hAnsi="宋体" w:eastAsia="宋体" w:cs="宋体"/>
                <w:color w:val="auto"/>
                <w:szCs w:val="21"/>
                <w:highlight w:val="none"/>
              </w:rPr>
              <w:t>分；</w:t>
            </w:r>
          </w:p>
          <w:p>
            <w:pPr>
              <w:pStyle w:val="48"/>
              <w:spacing w:line="240" w:lineRule="exact"/>
              <w:ind w:right="11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注：须</w:t>
            </w:r>
            <w:r>
              <w:rPr>
                <w:rStyle w:val="52"/>
                <w:rFonts w:hint="eastAsia" w:ascii="宋体" w:hAnsi="宋体" w:eastAsia="宋体" w:cs="宋体"/>
                <w:color w:val="auto"/>
                <w:szCs w:val="21"/>
                <w:highlight w:val="none"/>
              </w:rPr>
              <w:t>提供证书</w:t>
            </w:r>
            <w:r>
              <w:rPr>
                <w:rStyle w:val="52"/>
                <w:rFonts w:hint="eastAsia" w:ascii="宋体" w:hAnsi="宋体" w:eastAsia="宋体" w:cs="宋体"/>
                <w:color w:val="auto"/>
                <w:szCs w:val="21"/>
                <w:highlight w:val="none"/>
                <w:lang w:val="en-US" w:eastAsia="zh-CN"/>
              </w:rPr>
              <w:t>原件</w:t>
            </w:r>
            <w:r>
              <w:rPr>
                <w:rStyle w:val="52"/>
                <w:rFonts w:hint="eastAsia" w:ascii="宋体" w:hAnsi="宋体" w:eastAsia="宋体" w:cs="宋体"/>
                <w:color w:val="auto"/>
                <w:szCs w:val="21"/>
                <w:highlight w:val="none"/>
              </w:rPr>
              <w:t>扫描件为依据</w:t>
            </w:r>
            <w:r>
              <w:rPr>
                <w:rStyle w:val="51"/>
                <w:rFonts w:hint="eastAsia" w:ascii="宋体" w:hAnsi="宋体" w:eastAsia="宋体" w:cs="宋体"/>
                <w:color w:val="auto"/>
                <w:szCs w:val="21"/>
                <w:highlight w:val="none"/>
              </w:rPr>
              <w:t>，否则不得分</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ind w:right="115"/>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3</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jc w:val="center"/>
        </w:trPr>
        <w:tc>
          <w:tcPr>
            <w:tcW w:w="570" w:type="dxa"/>
            <w:vMerge w:val="restart"/>
            <w:tcBorders>
              <w:top w:val="single" w:color="000000" w:sz="8" w:space="0"/>
              <w:left w:val="single" w:color="000000" w:sz="8" w:space="0"/>
              <w:bottom w:val="single" w:color="000000" w:sz="8" w:space="0"/>
              <w:right w:val="single" w:color="000000" w:sz="8" w:space="0"/>
            </w:tcBorders>
            <w:vAlign w:val="top"/>
          </w:tcPr>
          <w:p>
            <w:pPr>
              <w:pStyle w:val="48"/>
              <w:spacing w:before="163" w:line="240" w:lineRule="exact"/>
              <w:ind w:left="354"/>
              <w:jc w:val="center"/>
              <w:rPr>
                <w:rFonts w:hint="eastAsia" w:ascii="宋体" w:hAnsi="宋体" w:eastAsia="宋体" w:cs="宋体"/>
                <w:color w:val="auto"/>
                <w:szCs w:val="21"/>
                <w:highlight w:val="none"/>
              </w:rPr>
            </w:pPr>
          </w:p>
          <w:p>
            <w:pPr>
              <w:pStyle w:val="48"/>
              <w:spacing w:before="163" w:line="240" w:lineRule="exact"/>
              <w:ind w:left="354"/>
              <w:jc w:val="center"/>
              <w:rPr>
                <w:rFonts w:hint="eastAsia" w:ascii="宋体" w:hAnsi="宋体" w:eastAsia="宋体" w:cs="宋体"/>
                <w:color w:val="auto"/>
                <w:szCs w:val="21"/>
                <w:highlight w:val="none"/>
              </w:rPr>
            </w:pPr>
          </w:p>
          <w:p>
            <w:pPr>
              <w:pStyle w:val="48"/>
              <w:spacing w:before="163" w:line="240" w:lineRule="exact"/>
              <w:ind w:left="354"/>
              <w:jc w:val="center"/>
              <w:rPr>
                <w:rFonts w:hint="eastAsia" w:ascii="宋体" w:hAnsi="宋体" w:eastAsia="宋体" w:cs="宋体"/>
                <w:color w:val="auto"/>
                <w:szCs w:val="21"/>
                <w:highlight w:val="none"/>
              </w:rPr>
            </w:pPr>
          </w:p>
          <w:p>
            <w:pPr>
              <w:pStyle w:val="48"/>
              <w:spacing w:before="163"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96" w:type="dxa"/>
            <w:vMerge w:val="restart"/>
            <w:tcBorders>
              <w:top w:val="single" w:color="000000" w:sz="8" w:space="0"/>
              <w:left w:val="single" w:color="000000" w:sz="8" w:space="0"/>
              <w:bottom w:val="single" w:color="000000" w:sz="8" w:space="0"/>
              <w:right w:val="single" w:color="000000" w:sz="8" w:space="0"/>
            </w:tcBorders>
            <w:vAlign w:val="top"/>
          </w:tcPr>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p>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投标人项目管</w:t>
            </w:r>
          </w:p>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理团队实力</w:t>
            </w:r>
          </w:p>
          <w:p>
            <w:pPr>
              <w:pStyle w:val="48"/>
              <w:spacing w:line="240" w:lineRule="exact"/>
              <w:jc w:val="both"/>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p>
        </w:tc>
        <w:tc>
          <w:tcPr>
            <w:tcW w:w="59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right="3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施工负责人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施工技术负责人或</w:t>
            </w:r>
            <w:r>
              <w:rPr>
                <w:rFonts w:hint="eastAsia" w:ascii="宋体" w:hAnsi="宋体" w:eastAsia="宋体" w:cs="宋体"/>
                <w:color w:val="auto"/>
                <w:szCs w:val="21"/>
                <w:highlight w:val="none"/>
              </w:rPr>
              <w:t>设计负责人</w:t>
            </w:r>
            <w:r>
              <w:rPr>
                <w:rFonts w:hint="eastAsia" w:ascii="宋体" w:hAnsi="宋体" w:eastAsia="宋体" w:cs="宋体"/>
                <w:color w:val="auto"/>
                <w:szCs w:val="21"/>
                <w:highlight w:val="none"/>
                <w:lang w:val="en-US" w:eastAsia="zh-CN"/>
              </w:rPr>
              <w:t>项目获得过</w:t>
            </w:r>
            <w:r>
              <w:rPr>
                <w:rFonts w:hint="eastAsia" w:ascii="宋体" w:hAnsi="宋体" w:eastAsia="宋体" w:cs="宋体"/>
                <w:color w:val="auto"/>
                <w:szCs w:val="21"/>
                <w:highlight w:val="none"/>
              </w:rPr>
              <w:t>国家级奖项</w:t>
            </w:r>
            <w:r>
              <w:rPr>
                <w:rStyle w:val="51"/>
                <w:rFonts w:hint="eastAsia" w:ascii="宋体" w:hAnsi="宋体" w:eastAsia="宋体" w:cs="宋体"/>
                <w:color w:val="auto"/>
                <w:szCs w:val="21"/>
                <w:highlight w:val="none"/>
              </w:rPr>
              <w:t>（2018年度-2020年度）</w:t>
            </w:r>
            <w:r>
              <w:rPr>
                <w:rFonts w:hint="eastAsia" w:ascii="宋体" w:hAnsi="宋体" w:eastAsia="宋体" w:cs="宋体"/>
                <w:color w:val="auto"/>
                <w:szCs w:val="21"/>
                <w:highlight w:val="none"/>
              </w:rPr>
              <w:t>的，每项计4分，获得过省级奖项</w:t>
            </w:r>
            <w:r>
              <w:rPr>
                <w:rStyle w:val="51"/>
                <w:rFonts w:hint="eastAsia" w:ascii="宋体" w:hAnsi="宋体" w:eastAsia="宋体" w:cs="宋体"/>
                <w:color w:val="auto"/>
                <w:szCs w:val="21"/>
                <w:highlight w:val="none"/>
              </w:rPr>
              <w:t>（2018年度-2020年度）</w:t>
            </w:r>
            <w:r>
              <w:rPr>
                <w:rFonts w:hint="eastAsia" w:ascii="宋体" w:hAnsi="宋体" w:eastAsia="宋体" w:cs="宋体"/>
                <w:color w:val="auto"/>
                <w:szCs w:val="21"/>
                <w:highlight w:val="none"/>
              </w:rPr>
              <w:t>的，每项计1分。本项最多计</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pPr>
              <w:pStyle w:val="48"/>
              <w:spacing w:line="240" w:lineRule="exact"/>
              <w:ind w:right="38"/>
              <w:rPr>
                <w:rStyle w:val="51"/>
                <w:rFonts w:hint="eastAsia" w:ascii="宋体" w:hAnsi="宋体" w:eastAsia="宋体" w:cs="宋体"/>
                <w:color w:val="auto"/>
                <w:szCs w:val="21"/>
                <w:highlight w:val="none"/>
              </w:rPr>
            </w:pPr>
            <w:r>
              <w:rPr>
                <w:rFonts w:hint="eastAsia" w:ascii="宋体" w:hAnsi="宋体" w:eastAsia="宋体" w:cs="宋体"/>
                <w:color w:val="auto"/>
                <w:spacing w:val="-10"/>
                <w:highlight w:val="none"/>
              </w:rPr>
              <w:t>注：同一个项目获多个奖项的只计最高得分，</w:t>
            </w:r>
            <w:r>
              <w:rPr>
                <w:rFonts w:hint="eastAsia" w:ascii="宋体" w:hAnsi="宋体" w:eastAsia="宋体" w:cs="宋体"/>
                <w:color w:val="auto"/>
                <w:spacing w:val="-10"/>
                <w:highlight w:val="none"/>
                <w:lang w:val="en-US" w:eastAsia="zh-CN"/>
              </w:rPr>
              <w:t>须</w:t>
            </w:r>
            <w:r>
              <w:rPr>
                <w:rStyle w:val="52"/>
                <w:rFonts w:hint="eastAsia" w:ascii="宋体" w:hAnsi="宋体" w:eastAsia="宋体" w:cs="宋体"/>
                <w:color w:val="auto"/>
                <w:szCs w:val="21"/>
                <w:highlight w:val="none"/>
              </w:rPr>
              <w:t>提供证书</w:t>
            </w:r>
            <w:r>
              <w:rPr>
                <w:rStyle w:val="52"/>
                <w:rFonts w:hint="eastAsia" w:ascii="宋体" w:hAnsi="宋体" w:eastAsia="宋体" w:cs="宋体"/>
                <w:color w:val="auto"/>
                <w:szCs w:val="21"/>
                <w:highlight w:val="none"/>
                <w:lang w:val="en-US" w:eastAsia="zh-CN"/>
              </w:rPr>
              <w:t>原件</w:t>
            </w:r>
            <w:r>
              <w:rPr>
                <w:rStyle w:val="52"/>
                <w:rFonts w:hint="eastAsia" w:ascii="宋体" w:hAnsi="宋体" w:eastAsia="宋体" w:cs="宋体"/>
                <w:color w:val="auto"/>
                <w:szCs w:val="21"/>
                <w:highlight w:val="none"/>
              </w:rPr>
              <w:t>扫描件为依据</w:t>
            </w:r>
            <w:r>
              <w:rPr>
                <w:rStyle w:val="51"/>
                <w:rFonts w:hint="eastAsia" w:ascii="宋体" w:hAnsi="宋体" w:eastAsia="宋体" w:cs="宋体"/>
                <w:color w:val="auto"/>
                <w:szCs w:val="21"/>
                <w:highlight w:val="none"/>
              </w:rPr>
              <w:t>，否则不得分</w:t>
            </w:r>
            <w:r>
              <w:rPr>
                <w:rStyle w:val="52"/>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（国家级奖项和</w:t>
            </w:r>
            <w:r>
              <w:rPr>
                <w:rFonts w:hint="eastAsia" w:ascii="宋体" w:hAnsi="宋体" w:eastAsia="宋体" w:cs="宋体"/>
                <w:color w:val="auto"/>
                <w:szCs w:val="21"/>
                <w:highlight w:val="none"/>
              </w:rPr>
              <w:t>省级奖项</w:t>
            </w:r>
            <w:r>
              <w:rPr>
                <w:rFonts w:hint="eastAsia" w:ascii="宋体" w:hAnsi="宋体" w:eastAsia="宋体" w:cs="宋体"/>
                <w:color w:val="auto"/>
                <w:szCs w:val="21"/>
                <w:highlight w:val="none"/>
                <w:lang w:eastAsia="zh-CN"/>
              </w:rPr>
              <w:t>详见备注</w:t>
            </w:r>
            <w:r>
              <w:rPr>
                <w:rFonts w:hint="eastAsia" w:ascii="宋体" w:hAnsi="宋体" w:eastAsia="宋体" w:cs="宋体"/>
                <w:color w:val="auto"/>
                <w:szCs w:val="21"/>
                <w:highlight w:val="none"/>
                <w:lang w:val="en-US" w:eastAsia="zh-CN"/>
              </w:rPr>
              <w:t>3）</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rPr>
                <w:rFonts w:hint="eastAsia" w:ascii="宋体" w:hAnsi="宋体" w:eastAsia="宋体" w:cs="宋体"/>
                <w:color w:val="auto"/>
                <w:szCs w:val="21"/>
                <w:highlight w:val="none"/>
              </w:rPr>
            </w:pP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jc w:val="center"/>
        </w:trPr>
        <w:tc>
          <w:tcPr>
            <w:tcW w:w="570" w:type="dxa"/>
            <w:vMerge w:val="continue"/>
            <w:tcBorders>
              <w:top w:val="single" w:color="000000" w:sz="8" w:space="0"/>
              <w:left w:val="single" w:color="000000" w:sz="8" w:space="0"/>
              <w:bottom w:val="single" w:color="000000" w:sz="8" w:space="0"/>
              <w:right w:val="single" w:color="000000" w:sz="8" w:space="0"/>
            </w:tcBorders>
            <w:vAlign w:val="top"/>
          </w:tcPr>
          <w:p>
            <w:pPr>
              <w:pStyle w:val="48"/>
              <w:spacing w:before="163" w:line="240" w:lineRule="exact"/>
              <w:ind w:left="354"/>
              <w:jc w:val="center"/>
              <w:rPr>
                <w:rFonts w:hint="eastAsia" w:ascii="宋体" w:hAnsi="宋体" w:eastAsia="宋体" w:cs="宋体"/>
                <w:color w:val="auto"/>
                <w:szCs w:val="21"/>
                <w:highlight w:val="none"/>
              </w:rPr>
            </w:pPr>
          </w:p>
        </w:tc>
        <w:tc>
          <w:tcPr>
            <w:tcW w:w="1496" w:type="dxa"/>
            <w:vMerge w:val="continue"/>
            <w:tcBorders>
              <w:top w:val="single" w:color="000000" w:sz="8" w:space="0"/>
              <w:left w:val="single" w:color="000000" w:sz="8" w:space="0"/>
              <w:bottom w:val="single" w:color="000000" w:sz="8" w:space="0"/>
              <w:right w:val="single" w:color="000000" w:sz="8" w:space="0"/>
            </w:tcBorders>
            <w:vAlign w:val="top"/>
          </w:tcPr>
          <w:p>
            <w:pPr>
              <w:pStyle w:val="48"/>
              <w:spacing w:line="240" w:lineRule="exact"/>
              <w:jc w:val="center"/>
              <w:rPr>
                <w:rFonts w:hint="eastAsia" w:ascii="宋体" w:hAnsi="宋体" w:eastAsia="宋体" w:cs="宋体"/>
                <w:color w:val="auto"/>
                <w:szCs w:val="21"/>
                <w:highlight w:val="none"/>
              </w:rPr>
            </w:pPr>
          </w:p>
        </w:tc>
        <w:tc>
          <w:tcPr>
            <w:tcW w:w="5925" w:type="dxa"/>
            <w:tcBorders>
              <w:top w:val="single" w:color="000000" w:sz="8" w:space="0"/>
              <w:left w:val="single" w:color="000000" w:sz="8" w:space="0"/>
              <w:bottom w:val="single" w:color="000000" w:sz="8" w:space="0"/>
              <w:right w:val="single" w:color="000000" w:sz="8" w:space="0"/>
            </w:tcBorders>
            <w:vAlign w:val="top"/>
          </w:tcPr>
          <w:p>
            <w:pPr>
              <w:pStyle w:val="48"/>
              <w:numPr>
                <w:ilvl w:val="0"/>
                <w:numId w:val="10"/>
              </w:numPr>
              <w:spacing w:line="240" w:lineRule="exact"/>
              <w:ind w:right="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施工负责人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施工技术负责人同时</w:t>
            </w:r>
            <w:r>
              <w:rPr>
                <w:rFonts w:hint="eastAsia" w:ascii="宋体" w:hAnsi="宋体" w:eastAsia="宋体" w:cs="宋体"/>
                <w:color w:val="auto"/>
                <w:szCs w:val="21"/>
                <w:highlight w:val="none"/>
              </w:rPr>
              <w:t>拥有一级注册建造师</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高</w:t>
            </w:r>
            <w:r>
              <w:rPr>
                <w:rFonts w:hint="eastAsia" w:ascii="宋体" w:hAnsi="宋体" w:eastAsia="宋体" w:cs="宋体"/>
                <w:color w:val="auto"/>
                <w:szCs w:val="21"/>
                <w:highlight w:val="none"/>
                <w:lang w:eastAsia="zh-CN"/>
              </w:rPr>
              <w:t>级</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计4分</w:t>
            </w:r>
            <w:r>
              <w:rPr>
                <w:rFonts w:hint="eastAsia" w:ascii="宋体" w:hAnsi="宋体" w:eastAsia="宋体" w:cs="宋体"/>
                <w:color w:val="auto"/>
                <w:szCs w:val="21"/>
                <w:highlight w:val="none"/>
                <w:lang w:eastAsia="zh-CN"/>
              </w:rPr>
              <w:t>；</w:t>
            </w:r>
          </w:p>
          <w:p>
            <w:pPr>
              <w:pStyle w:val="48"/>
              <w:numPr>
                <w:ilvl w:val="0"/>
                <w:numId w:val="10"/>
              </w:numPr>
              <w:spacing w:line="240" w:lineRule="exact"/>
              <w:ind w:right="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项目</w:t>
            </w:r>
            <w:r>
              <w:rPr>
                <w:rFonts w:hint="eastAsia" w:ascii="宋体" w:hAnsi="宋体" w:eastAsia="宋体" w:cs="宋体"/>
                <w:color w:val="auto"/>
                <w:szCs w:val="21"/>
                <w:highlight w:val="none"/>
              </w:rPr>
              <w:t>设计负责人</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拥有一级注册建筑师、一级注册结构工程师及正高级工程师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计10分</w:t>
            </w:r>
            <w:r>
              <w:rPr>
                <w:rFonts w:hint="eastAsia" w:ascii="宋体" w:hAnsi="宋体" w:eastAsia="宋体" w:cs="宋体"/>
                <w:color w:val="auto"/>
                <w:szCs w:val="21"/>
                <w:highlight w:val="none"/>
                <w:lang w:eastAsia="zh-CN"/>
              </w:rPr>
              <w:t>；</w:t>
            </w:r>
          </w:p>
          <w:p>
            <w:pPr>
              <w:pStyle w:val="48"/>
              <w:numPr>
                <w:ilvl w:val="0"/>
                <w:numId w:val="0"/>
              </w:numPr>
              <w:spacing w:line="240" w:lineRule="exact"/>
              <w:ind w:right="38"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本项最高分计14分。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w:t>
            </w:r>
            <w:r>
              <w:rPr>
                <w:rStyle w:val="52"/>
                <w:rFonts w:hint="eastAsia" w:ascii="宋体" w:hAnsi="宋体" w:eastAsia="宋体" w:cs="宋体"/>
                <w:color w:val="auto"/>
                <w:szCs w:val="21"/>
                <w:highlight w:val="none"/>
              </w:rPr>
              <w:t>提供证书</w:t>
            </w:r>
            <w:r>
              <w:rPr>
                <w:rStyle w:val="52"/>
                <w:rFonts w:hint="eastAsia" w:ascii="宋体" w:hAnsi="宋体" w:eastAsia="宋体" w:cs="宋体"/>
                <w:color w:val="auto"/>
                <w:szCs w:val="21"/>
                <w:highlight w:val="none"/>
                <w:lang w:val="en-US" w:eastAsia="zh-CN"/>
              </w:rPr>
              <w:t>原件</w:t>
            </w:r>
            <w:r>
              <w:rPr>
                <w:rStyle w:val="52"/>
                <w:rFonts w:hint="eastAsia" w:ascii="宋体" w:hAnsi="宋体" w:eastAsia="宋体" w:cs="宋体"/>
                <w:color w:val="auto"/>
                <w:szCs w:val="21"/>
                <w:highlight w:val="none"/>
              </w:rPr>
              <w:t>扫描件为依据</w:t>
            </w:r>
            <w:r>
              <w:rPr>
                <w:rStyle w:val="51"/>
                <w:rFonts w:hint="eastAsia" w:ascii="宋体" w:hAnsi="宋体" w:eastAsia="宋体" w:cs="宋体"/>
                <w:color w:val="auto"/>
                <w:szCs w:val="21"/>
                <w:highlight w:val="none"/>
              </w:rPr>
              <w:t>，否则不得分）</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rPr>
                <w:rFonts w:hint="eastAsia" w:ascii="宋体" w:hAnsi="宋体" w:eastAsia="宋体" w:cs="宋体"/>
                <w:color w:val="auto"/>
                <w:szCs w:val="21"/>
                <w:highlight w:val="none"/>
              </w:rPr>
            </w:pP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1" w:hRule="atLeast"/>
          <w:jc w:val="center"/>
        </w:trPr>
        <w:tc>
          <w:tcPr>
            <w:tcW w:w="570" w:type="dxa"/>
            <w:vMerge w:val="continue"/>
            <w:tcBorders>
              <w:top w:val="single" w:color="000000" w:sz="8" w:space="0"/>
              <w:left w:val="single" w:color="000000" w:sz="8" w:space="0"/>
              <w:bottom w:val="single" w:color="000000" w:sz="8" w:space="0"/>
              <w:right w:val="single" w:color="000000" w:sz="8" w:space="0"/>
            </w:tcBorders>
            <w:vAlign w:val="top"/>
          </w:tcPr>
          <w:p>
            <w:pPr>
              <w:pStyle w:val="48"/>
              <w:spacing w:before="163" w:line="240" w:lineRule="exact"/>
              <w:ind w:left="354"/>
              <w:jc w:val="center"/>
              <w:rPr>
                <w:rFonts w:hint="eastAsia" w:ascii="宋体" w:hAnsi="宋体" w:eastAsia="宋体" w:cs="宋体"/>
                <w:color w:val="auto"/>
                <w:szCs w:val="21"/>
                <w:highlight w:val="none"/>
              </w:rPr>
            </w:pPr>
          </w:p>
        </w:tc>
        <w:tc>
          <w:tcPr>
            <w:tcW w:w="1496" w:type="dxa"/>
            <w:vMerge w:val="continue"/>
            <w:tcBorders>
              <w:top w:val="single" w:color="000000" w:sz="8" w:space="0"/>
              <w:left w:val="single" w:color="000000" w:sz="8" w:space="0"/>
              <w:bottom w:val="single" w:color="000000" w:sz="8" w:space="0"/>
              <w:right w:val="single" w:color="000000" w:sz="8" w:space="0"/>
            </w:tcBorders>
            <w:vAlign w:val="top"/>
          </w:tcPr>
          <w:p>
            <w:pPr>
              <w:pStyle w:val="48"/>
              <w:spacing w:line="240" w:lineRule="exact"/>
              <w:jc w:val="center"/>
              <w:rPr>
                <w:rFonts w:hint="eastAsia" w:ascii="宋体" w:hAnsi="宋体" w:eastAsia="宋体" w:cs="宋体"/>
                <w:color w:val="auto"/>
                <w:szCs w:val="21"/>
                <w:highlight w:val="none"/>
              </w:rPr>
            </w:pPr>
          </w:p>
        </w:tc>
        <w:tc>
          <w:tcPr>
            <w:tcW w:w="59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right="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团队</w:t>
            </w:r>
            <w:r>
              <w:rPr>
                <w:rFonts w:hint="eastAsia" w:ascii="宋体" w:hAnsi="宋体" w:eastAsia="宋体" w:cs="宋体"/>
                <w:color w:val="auto"/>
                <w:szCs w:val="21"/>
                <w:highlight w:val="none"/>
                <w:lang w:eastAsia="zh-CN"/>
              </w:rPr>
              <w:t>：</w:t>
            </w:r>
          </w:p>
          <w:p>
            <w:pPr>
              <w:pStyle w:val="48"/>
              <w:spacing w:line="240" w:lineRule="exact"/>
              <w:ind w:right="38"/>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1、拟任</w:t>
            </w:r>
            <w:r>
              <w:rPr>
                <w:rFonts w:hint="eastAsia" w:ascii="宋体" w:hAnsi="宋体" w:eastAsia="宋体" w:cs="宋体"/>
                <w:color w:val="auto"/>
                <w:szCs w:val="21"/>
                <w:highlight w:val="none"/>
              </w:rPr>
              <w:t>建筑</w:t>
            </w:r>
            <w:r>
              <w:rPr>
                <w:rFonts w:hint="eastAsia" w:ascii="宋体" w:hAnsi="宋体" w:eastAsia="宋体" w:cs="宋体"/>
                <w:color w:val="auto"/>
                <w:szCs w:val="21"/>
                <w:highlight w:val="none"/>
                <w:lang w:eastAsia="zh-CN"/>
              </w:rPr>
              <w:t>负责人具有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-15年（不含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满足15年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lang w:eastAsia="zh-CN"/>
              </w:rPr>
              <w:t>，计2分；</w:t>
            </w:r>
          </w:p>
          <w:p>
            <w:pPr>
              <w:pStyle w:val="48"/>
              <w:spacing w:line="240" w:lineRule="exact"/>
              <w:ind w:right="38"/>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2、拟任</w:t>
            </w:r>
            <w:r>
              <w:rPr>
                <w:rFonts w:hint="eastAsia" w:ascii="宋体" w:hAnsi="宋体" w:eastAsia="宋体" w:cs="宋体"/>
                <w:color w:val="auto"/>
                <w:szCs w:val="21"/>
                <w:highlight w:val="none"/>
              </w:rPr>
              <w:t>结构</w:t>
            </w:r>
            <w:r>
              <w:rPr>
                <w:rFonts w:hint="eastAsia" w:ascii="宋体" w:hAnsi="宋体" w:eastAsia="宋体" w:cs="宋体"/>
                <w:color w:val="auto"/>
                <w:szCs w:val="21"/>
                <w:highlight w:val="none"/>
                <w:lang w:eastAsia="zh-CN"/>
              </w:rPr>
              <w:t>负责人具有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-15年（不含 ）的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满足15年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lang w:eastAsia="zh-CN"/>
              </w:rPr>
              <w:t>，计2分；</w:t>
            </w:r>
          </w:p>
          <w:p>
            <w:pPr>
              <w:pStyle w:val="48"/>
              <w:spacing w:line="240" w:lineRule="exact"/>
              <w:ind w:right="38"/>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3、拟任</w:t>
            </w:r>
            <w:r>
              <w:rPr>
                <w:rFonts w:hint="eastAsia" w:ascii="宋体" w:hAnsi="宋体" w:eastAsia="宋体" w:cs="宋体"/>
                <w:color w:val="auto"/>
                <w:szCs w:val="21"/>
                <w:highlight w:val="none"/>
              </w:rPr>
              <w:t>暖通</w:t>
            </w:r>
            <w:r>
              <w:rPr>
                <w:rFonts w:hint="eastAsia" w:ascii="宋体" w:hAnsi="宋体" w:eastAsia="宋体" w:cs="宋体"/>
                <w:color w:val="auto"/>
                <w:szCs w:val="21"/>
                <w:highlight w:val="none"/>
                <w:lang w:eastAsia="zh-CN"/>
              </w:rPr>
              <w:t>负责人具有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-15年（不含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满足15年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lang w:eastAsia="zh-CN"/>
              </w:rPr>
              <w:t>，计2分；</w:t>
            </w:r>
          </w:p>
          <w:p>
            <w:pPr>
              <w:pStyle w:val="48"/>
              <w:spacing w:line="240" w:lineRule="exact"/>
              <w:ind w:right="38"/>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4、拟任</w:t>
            </w:r>
            <w:r>
              <w:rPr>
                <w:rFonts w:hint="eastAsia" w:ascii="宋体" w:hAnsi="宋体" w:eastAsia="宋体" w:cs="宋体"/>
                <w:color w:val="auto"/>
                <w:szCs w:val="21"/>
                <w:highlight w:val="none"/>
              </w:rPr>
              <w:t>电气</w:t>
            </w:r>
            <w:r>
              <w:rPr>
                <w:rFonts w:hint="eastAsia" w:ascii="宋体" w:hAnsi="宋体" w:eastAsia="宋体" w:cs="宋体"/>
                <w:color w:val="auto"/>
                <w:szCs w:val="21"/>
                <w:highlight w:val="none"/>
                <w:lang w:eastAsia="zh-CN"/>
              </w:rPr>
              <w:t>负责人具有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-15年（不含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；具有</w:t>
            </w:r>
            <w:r>
              <w:rPr>
                <w:rFonts w:hint="eastAsia" w:ascii="宋体" w:hAnsi="宋体" w:eastAsia="宋体" w:cs="宋体"/>
                <w:color w:val="auto"/>
                <w:szCs w:val="21"/>
                <w:highlight w:val="none"/>
                <w:lang w:val="en-US" w:eastAsia="zh-CN"/>
              </w:rPr>
              <w:t>副</w:t>
            </w:r>
            <w:r>
              <w:rPr>
                <w:rFonts w:hint="eastAsia" w:ascii="宋体" w:hAnsi="宋体" w:eastAsia="宋体" w:cs="宋体"/>
                <w:color w:val="auto"/>
                <w:szCs w:val="21"/>
                <w:highlight w:val="none"/>
              </w:rPr>
              <w:t>高级工程师职称</w:t>
            </w:r>
            <w:r>
              <w:rPr>
                <w:rFonts w:hint="eastAsia" w:ascii="宋体" w:hAnsi="宋体" w:eastAsia="宋体" w:cs="宋体"/>
                <w:color w:val="auto"/>
                <w:szCs w:val="21"/>
                <w:highlight w:val="none"/>
                <w:lang w:val="en-US" w:eastAsia="zh-CN"/>
              </w:rPr>
              <w:t>满足15年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且具有</w:t>
            </w:r>
            <w:r>
              <w:rPr>
                <w:rFonts w:hint="eastAsia" w:ascii="宋体" w:hAnsi="宋体" w:eastAsia="宋体" w:cs="宋体"/>
                <w:color w:val="auto"/>
                <w:szCs w:val="21"/>
                <w:highlight w:val="none"/>
              </w:rPr>
              <w:t>正高级工程师</w:t>
            </w:r>
            <w:r>
              <w:rPr>
                <w:rFonts w:hint="eastAsia" w:ascii="宋体" w:hAnsi="宋体" w:eastAsia="宋体" w:cs="宋体"/>
                <w:color w:val="auto"/>
                <w:szCs w:val="21"/>
                <w:highlight w:val="none"/>
                <w:lang w:val="en-US" w:eastAsia="zh-CN"/>
              </w:rPr>
              <w:t>职称的</w:t>
            </w:r>
            <w:r>
              <w:rPr>
                <w:rFonts w:hint="eastAsia" w:ascii="宋体" w:hAnsi="宋体" w:eastAsia="宋体" w:cs="宋体"/>
                <w:color w:val="auto"/>
                <w:szCs w:val="21"/>
                <w:highlight w:val="none"/>
                <w:lang w:eastAsia="zh-CN"/>
              </w:rPr>
              <w:t>，计2分；</w:t>
            </w:r>
          </w:p>
          <w:p>
            <w:pPr>
              <w:pStyle w:val="48"/>
              <w:spacing w:line="240" w:lineRule="exact"/>
              <w:ind w:right="38" w:firstLine="420" w:firstLineChars="200"/>
              <w:rPr>
                <w:rStyle w:val="51"/>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本项最高计</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w:t>
            </w:r>
            <w:r>
              <w:rPr>
                <w:rStyle w:val="52"/>
                <w:rFonts w:hint="eastAsia" w:ascii="宋体" w:hAnsi="宋体" w:eastAsia="宋体" w:cs="宋体"/>
                <w:color w:val="auto"/>
                <w:szCs w:val="21"/>
                <w:highlight w:val="none"/>
              </w:rPr>
              <w:t>提供证书</w:t>
            </w:r>
            <w:r>
              <w:rPr>
                <w:rStyle w:val="52"/>
                <w:rFonts w:hint="eastAsia" w:ascii="宋体" w:hAnsi="宋体" w:eastAsia="宋体" w:cs="宋体"/>
                <w:color w:val="auto"/>
                <w:szCs w:val="21"/>
                <w:highlight w:val="none"/>
                <w:lang w:val="en-US" w:eastAsia="zh-CN"/>
              </w:rPr>
              <w:t>原件</w:t>
            </w:r>
            <w:r>
              <w:rPr>
                <w:rStyle w:val="52"/>
                <w:rFonts w:hint="eastAsia" w:ascii="宋体" w:hAnsi="宋体" w:eastAsia="宋体" w:cs="宋体"/>
                <w:color w:val="auto"/>
                <w:szCs w:val="21"/>
                <w:highlight w:val="none"/>
              </w:rPr>
              <w:t>扫描件为依据</w:t>
            </w:r>
            <w:r>
              <w:rPr>
                <w:rStyle w:val="51"/>
                <w:rFonts w:hint="eastAsia" w:ascii="宋体" w:hAnsi="宋体" w:eastAsia="宋体" w:cs="宋体"/>
                <w:color w:val="auto"/>
                <w:szCs w:val="21"/>
                <w:highlight w:val="none"/>
              </w:rPr>
              <w:t>，否则不得分）</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rPr>
                <w:rFonts w:hint="eastAsia" w:ascii="宋体" w:hAnsi="宋体" w:eastAsia="宋体" w:cs="宋体"/>
                <w:color w:val="auto"/>
                <w:szCs w:val="21"/>
                <w:highlight w:val="none"/>
              </w:rPr>
            </w:pP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jc w:val="center"/>
        </w:trPr>
        <w:tc>
          <w:tcPr>
            <w:tcW w:w="570" w:type="dxa"/>
            <w:vMerge w:val="continue"/>
            <w:tcBorders>
              <w:top w:val="single" w:color="000000" w:sz="8" w:space="0"/>
              <w:left w:val="single" w:color="000000" w:sz="8" w:space="0"/>
              <w:bottom w:val="single" w:color="000000" w:sz="8" w:space="0"/>
              <w:right w:val="single" w:color="000000" w:sz="8" w:space="0"/>
            </w:tcBorders>
            <w:vAlign w:val="top"/>
          </w:tcPr>
          <w:p>
            <w:pPr>
              <w:pStyle w:val="48"/>
              <w:spacing w:before="163" w:line="240" w:lineRule="exact"/>
              <w:ind w:left="354"/>
              <w:jc w:val="center"/>
              <w:rPr>
                <w:rFonts w:hint="eastAsia" w:ascii="宋体" w:hAnsi="宋体" w:eastAsia="宋体" w:cs="宋体"/>
                <w:color w:val="auto"/>
                <w:szCs w:val="21"/>
                <w:highlight w:val="none"/>
              </w:rPr>
            </w:pPr>
          </w:p>
        </w:tc>
        <w:tc>
          <w:tcPr>
            <w:tcW w:w="1496" w:type="dxa"/>
            <w:vMerge w:val="continue"/>
            <w:tcBorders>
              <w:top w:val="single" w:color="000000" w:sz="8" w:space="0"/>
              <w:left w:val="single" w:color="000000" w:sz="8" w:space="0"/>
              <w:bottom w:val="single" w:color="000000" w:sz="8" w:space="0"/>
              <w:right w:val="single" w:color="000000" w:sz="8" w:space="0"/>
            </w:tcBorders>
            <w:vAlign w:val="top"/>
          </w:tcPr>
          <w:p>
            <w:pPr>
              <w:pStyle w:val="48"/>
              <w:spacing w:line="240" w:lineRule="exact"/>
              <w:jc w:val="center"/>
              <w:rPr>
                <w:rFonts w:hint="eastAsia" w:ascii="宋体" w:hAnsi="宋体" w:eastAsia="宋体" w:cs="宋体"/>
                <w:color w:val="auto"/>
                <w:szCs w:val="21"/>
                <w:highlight w:val="none"/>
              </w:rPr>
            </w:pPr>
          </w:p>
        </w:tc>
        <w:tc>
          <w:tcPr>
            <w:tcW w:w="59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right="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近五年（2016年-2020年）</w:t>
            </w:r>
            <w:r>
              <w:rPr>
                <w:rFonts w:hint="eastAsia" w:ascii="宋体" w:hAnsi="宋体" w:eastAsia="宋体" w:cs="宋体"/>
                <w:color w:val="auto"/>
                <w:szCs w:val="21"/>
                <w:highlight w:val="none"/>
              </w:rPr>
              <w:t>项目团队中</w:t>
            </w:r>
            <w:r>
              <w:rPr>
                <w:rFonts w:hint="eastAsia" w:ascii="宋体" w:hAnsi="宋体" w:eastAsia="宋体" w:cs="宋体"/>
                <w:color w:val="auto"/>
                <w:szCs w:val="21"/>
                <w:highlight w:val="none"/>
                <w:lang w:val="en-US" w:eastAsia="zh-CN"/>
              </w:rPr>
              <w:t>建筑专业</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获得中华人民共和国住房和城乡建设部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lang w:val="en-US" w:eastAsia="zh-CN"/>
              </w:rPr>
              <w:t>全国工程</w:t>
            </w:r>
            <w:r>
              <w:rPr>
                <w:rFonts w:hint="eastAsia" w:ascii="宋体" w:hAnsi="宋体" w:eastAsia="宋体" w:cs="宋体"/>
                <w:color w:val="auto"/>
                <w:szCs w:val="21"/>
                <w:highlight w:val="none"/>
              </w:rPr>
              <w:t>勘察设计大师（建筑学专业或建筑工程专业）每</w:t>
            </w:r>
            <w:r>
              <w:rPr>
                <w:rFonts w:hint="eastAsia" w:ascii="宋体" w:hAnsi="宋体" w:eastAsia="宋体" w:cs="宋体"/>
                <w:color w:val="auto"/>
                <w:szCs w:val="21"/>
                <w:highlight w:val="none"/>
                <w:lang w:val="en-US" w:eastAsia="zh-CN"/>
              </w:rPr>
              <w:t>项</w:t>
            </w:r>
            <w:r>
              <w:rPr>
                <w:rFonts w:hint="eastAsia" w:ascii="宋体" w:hAnsi="宋体" w:eastAsia="宋体" w:cs="宋体"/>
                <w:color w:val="auto"/>
                <w:szCs w:val="21"/>
                <w:highlight w:val="none"/>
              </w:rPr>
              <w:t>计1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eastAsia="宋体" w:cs="宋体"/>
                <w:color w:val="auto"/>
                <w:spacing w:val="-3"/>
                <w:szCs w:val="21"/>
                <w:highlight w:val="none"/>
                <w:lang w:val="en-US" w:eastAsia="zh-CN"/>
              </w:rPr>
              <w:t>近五年（2016年-2020年）</w:t>
            </w:r>
            <w:r>
              <w:rPr>
                <w:rFonts w:hint="eastAsia" w:ascii="宋体" w:hAnsi="宋体" w:eastAsia="宋体" w:cs="宋体"/>
                <w:color w:val="auto"/>
                <w:szCs w:val="21"/>
                <w:highlight w:val="none"/>
              </w:rPr>
              <w:t>项目团队中</w:t>
            </w:r>
            <w:r>
              <w:rPr>
                <w:rFonts w:hint="eastAsia" w:ascii="宋体" w:hAnsi="宋体" w:eastAsia="宋体" w:cs="宋体"/>
                <w:color w:val="auto"/>
                <w:szCs w:val="21"/>
                <w:highlight w:val="none"/>
                <w:lang w:val="en-US" w:eastAsia="zh-CN"/>
              </w:rPr>
              <w:t>建筑专业</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获得省住房和城乡建设部门颁发的省级工程勘察设计大师</w:t>
            </w:r>
            <w:r>
              <w:rPr>
                <w:rFonts w:hint="eastAsia" w:ascii="宋体" w:hAnsi="宋体" w:eastAsia="宋体" w:cs="宋体"/>
                <w:color w:val="auto"/>
                <w:szCs w:val="21"/>
                <w:highlight w:val="none"/>
              </w:rPr>
              <w:t>（建筑学专业或建筑工程专业）每</w:t>
            </w:r>
            <w:r>
              <w:rPr>
                <w:rFonts w:hint="eastAsia" w:ascii="宋体" w:hAnsi="宋体" w:eastAsia="宋体" w:cs="宋体"/>
                <w:color w:val="auto"/>
                <w:szCs w:val="21"/>
                <w:highlight w:val="none"/>
                <w:lang w:val="en-US" w:eastAsia="zh-CN"/>
              </w:rPr>
              <w:t>项</w:t>
            </w:r>
            <w:r>
              <w:rPr>
                <w:rFonts w:hint="eastAsia" w:ascii="宋体" w:hAnsi="宋体" w:eastAsia="宋体" w:cs="宋体"/>
                <w:color w:val="auto"/>
                <w:szCs w:val="21"/>
                <w:highlight w:val="none"/>
              </w:rPr>
              <w:t>计5分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本项最</w:t>
            </w:r>
            <w:r>
              <w:rPr>
                <w:rFonts w:hint="eastAsia" w:ascii="宋体" w:hAnsi="宋体" w:eastAsia="宋体" w:cs="宋体"/>
                <w:color w:val="auto"/>
                <w:szCs w:val="21"/>
                <w:highlight w:val="none"/>
                <w:lang w:val="en-US" w:eastAsia="zh-CN"/>
              </w:rPr>
              <w:t>多计1项，最</w:t>
            </w:r>
            <w:r>
              <w:rPr>
                <w:rFonts w:hint="eastAsia" w:ascii="宋体" w:hAnsi="宋体" w:eastAsia="宋体" w:cs="宋体"/>
                <w:color w:val="auto"/>
                <w:szCs w:val="21"/>
                <w:highlight w:val="none"/>
              </w:rPr>
              <w:t>高计1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w:t>
            </w:r>
            <w:r>
              <w:rPr>
                <w:rStyle w:val="52"/>
                <w:rFonts w:hint="eastAsia" w:ascii="宋体" w:hAnsi="宋体" w:eastAsia="宋体" w:cs="宋体"/>
                <w:color w:val="auto"/>
                <w:szCs w:val="21"/>
                <w:highlight w:val="none"/>
              </w:rPr>
              <w:t>提供证书</w:t>
            </w:r>
            <w:r>
              <w:rPr>
                <w:rStyle w:val="52"/>
                <w:rFonts w:hint="eastAsia" w:ascii="宋体" w:hAnsi="宋体" w:eastAsia="宋体" w:cs="宋体"/>
                <w:color w:val="auto"/>
                <w:szCs w:val="21"/>
                <w:highlight w:val="none"/>
                <w:lang w:val="en-US" w:eastAsia="zh-CN"/>
              </w:rPr>
              <w:t>原件</w:t>
            </w:r>
            <w:r>
              <w:rPr>
                <w:rStyle w:val="52"/>
                <w:rFonts w:hint="eastAsia" w:ascii="宋体" w:hAnsi="宋体" w:eastAsia="宋体" w:cs="宋体"/>
                <w:color w:val="auto"/>
                <w:szCs w:val="21"/>
                <w:highlight w:val="none"/>
              </w:rPr>
              <w:t>扫描件为依据</w:t>
            </w:r>
            <w:r>
              <w:rPr>
                <w:rStyle w:val="51"/>
                <w:rFonts w:hint="eastAsia" w:ascii="宋体" w:hAnsi="宋体" w:eastAsia="宋体" w:cs="宋体"/>
                <w:color w:val="auto"/>
                <w:szCs w:val="21"/>
                <w:highlight w:val="none"/>
              </w:rPr>
              <w:t>，否则不得分）</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rPr>
                <w:rFonts w:hint="eastAsia" w:ascii="宋体" w:hAnsi="宋体" w:eastAsia="宋体" w:cs="宋体"/>
                <w:color w:val="auto"/>
                <w:szCs w:val="21"/>
                <w:highlight w:val="none"/>
              </w:rPr>
            </w:pP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 w:hRule="atLeast"/>
          <w:jc w:val="center"/>
        </w:trPr>
        <w:tc>
          <w:tcPr>
            <w:tcW w:w="570" w:type="dxa"/>
            <w:tcBorders>
              <w:top w:val="single" w:color="000000" w:sz="8" w:space="0"/>
              <w:left w:val="single" w:color="000000" w:sz="8" w:space="0"/>
              <w:bottom w:val="single" w:color="000000" w:sz="8" w:space="0"/>
              <w:right w:val="single" w:color="000000" w:sz="8" w:space="0"/>
            </w:tcBorders>
            <w:vAlign w:val="top"/>
          </w:tcPr>
          <w:p>
            <w:pPr>
              <w:pStyle w:val="48"/>
              <w:spacing w:before="163"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96"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投标人纳税</w:t>
            </w:r>
          </w:p>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信用等级</w:t>
            </w:r>
          </w:p>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w:t>
            </w:r>
          </w:p>
        </w:tc>
        <w:tc>
          <w:tcPr>
            <w:tcW w:w="5925"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w:t>
            </w:r>
            <w:r>
              <w:rPr>
                <w:rFonts w:hint="eastAsia" w:ascii="宋体" w:hAnsi="宋体" w:eastAsia="宋体" w:cs="宋体"/>
                <w:color w:val="auto"/>
                <w:spacing w:val="-3"/>
                <w:szCs w:val="21"/>
                <w:highlight w:val="none"/>
                <w:lang w:eastAsia="zh-CN"/>
              </w:rPr>
              <w:t>（</w:t>
            </w:r>
            <w:r>
              <w:rPr>
                <w:rFonts w:hint="eastAsia" w:ascii="宋体" w:hAnsi="宋体" w:eastAsia="宋体" w:cs="宋体"/>
                <w:color w:val="auto"/>
                <w:spacing w:val="-3"/>
                <w:szCs w:val="21"/>
                <w:highlight w:val="none"/>
                <w:lang w:val="en-US" w:eastAsia="zh-CN"/>
              </w:rPr>
              <w:t>联合体任一方</w:t>
            </w:r>
            <w:r>
              <w:rPr>
                <w:rFonts w:hint="eastAsia" w:ascii="宋体" w:hAnsi="宋体" w:eastAsia="宋体" w:cs="宋体"/>
                <w:color w:val="auto"/>
                <w:spacing w:val="-3"/>
                <w:szCs w:val="21"/>
                <w:highlight w:val="none"/>
                <w:lang w:eastAsia="zh-CN"/>
              </w:rPr>
              <w:t>）近</w:t>
            </w:r>
            <w:r>
              <w:rPr>
                <w:rFonts w:hint="eastAsia" w:ascii="宋体" w:hAnsi="宋体" w:eastAsia="宋体" w:cs="宋体"/>
                <w:color w:val="auto"/>
                <w:spacing w:val="-3"/>
                <w:szCs w:val="21"/>
                <w:highlight w:val="none"/>
                <w:lang w:val="en-US" w:eastAsia="zh-CN"/>
              </w:rPr>
              <w:t>3</w:t>
            </w:r>
            <w:r>
              <w:rPr>
                <w:rFonts w:hint="eastAsia" w:ascii="宋体" w:hAnsi="宋体" w:eastAsia="宋体" w:cs="宋体"/>
                <w:color w:val="auto"/>
                <w:spacing w:val="-3"/>
                <w:szCs w:val="21"/>
                <w:highlight w:val="none"/>
                <w:lang w:eastAsia="zh-CN"/>
              </w:rPr>
              <w:t>年</w:t>
            </w:r>
            <w:r>
              <w:rPr>
                <w:rFonts w:hint="eastAsia" w:ascii="宋体" w:hAnsi="宋体" w:eastAsia="宋体" w:cs="宋体"/>
                <w:color w:val="auto"/>
                <w:kern w:val="0"/>
                <w:szCs w:val="21"/>
                <w:highlight w:val="none"/>
                <w:lang w:val="zh-CN"/>
              </w:rPr>
              <w:t>（201</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度</w:t>
            </w:r>
            <w:r>
              <w:rPr>
                <w:rFonts w:hint="eastAsia" w:ascii="宋体" w:hAnsi="宋体" w:eastAsia="宋体" w:cs="宋体"/>
                <w:color w:val="auto"/>
                <w:kern w:val="0"/>
                <w:szCs w:val="21"/>
                <w:highlight w:val="none"/>
                <w:lang w:val="zh-CN"/>
              </w:rPr>
              <w:t>-20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度</w:t>
            </w:r>
            <w:r>
              <w:rPr>
                <w:rFonts w:hint="eastAsia" w:ascii="宋体" w:hAnsi="宋体" w:eastAsia="宋体" w:cs="宋体"/>
                <w:color w:val="auto"/>
                <w:kern w:val="0"/>
                <w:szCs w:val="21"/>
                <w:highlight w:val="none"/>
                <w:lang w:val="zh-CN"/>
              </w:rPr>
              <w:t>）获得</w:t>
            </w:r>
            <w:r>
              <w:rPr>
                <w:rFonts w:hint="eastAsia" w:ascii="宋体" w:hAnsi="宋体" w:eastAsia="宋体" w:cs="宋体"/>
                <w:color w:val="auto"/>
                <w:kern w:val="0"/>
                <w:szCs w:val="21"/>
                <w:highlight w:val="none"/>
              </w:rPr>
              <w:t>3次</w:t>
            </w:r>
            <w:r>
              <w:rPr>
                <w:rFonts w:hint="eastAsia" w:ascii="宋体" w:hAnsi="宋体" w:eastAsia="宋体" w:cs="宋体"/>
                <w:color w:val="auto"/>
                <w:kern w:val="0"/>
                <w:szCs w:val="21"/>
                <w:highlight w:val="none"/>
                <w:lang w:val="zh-CN"/>
              </w:rPr>
              <w:t>纳税信用等级为A的计</w:t>
            </w:r>
            <w:r>
              <w:rPr>
                <w:rFonts w:hint="eastAsia" w:ascii="宋体" w:hAnsi="宋体" w:eastAsia="宋体" w:cs="宋体"/>
                <w:color w:val="auto"/>
                <w:kern w:val="0"/>
                <w:szCs w:val="21"/>
                <w:highlight w:val="none"/>
                <w:lang w:val="en-US" w:eastAsia="zh-CN"/>
              </w:rPr>
              <w:t xml:space="preserve"> 2</w:t>
            </w:r>
            <w:r>
              <w:rPr>
                <w:rFonts w:hint="eastAsia" w:ascii="宋体" w:hAnsi="宋体" w:eastAsia="宋体" w:cs="宋体"/>
                <w:color w:val="auto"/>
                <w:kern w:val="0"/>
                <w:szCs w:val="21"/>
                <w:highlight w:val="none"/>
                <w:lang w:val="zh-CN"/>
              </w:rPr>
              <w:t>分，（201</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度</w:t>
            </w:r>
            <w:r>
              <w:rPr>
                <w:rFonts w:hint="eastAsia" w:ascii="宋体" w:hAnsi="宋体" w:eastAsia="宋体" w:cs="宋体"/>
                <w:color w:val="auto"/>
                <w:kern w:val="0"/>
                <w:szCs w:val="21"/>
                <w:highlight w:val="none"/>
                <w:lang w:val="zh-CN"/>
              </w:rPr>
              <w:t>-20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度</w:t>
            </w:r>
            <w:r>
              <w:rPr>
                <w:rFonts w:hint="eastAsia" w:ascii="宋体" w:hAnsi="宋体" w:eastAsia="宋体" w:cs="宋体"/>
                <w:color w:val="auto"/>
                <w:kern w:val="0"/>
                <w:szCs w:val="21"/>
                <w:highlight w:val="none"/>
                <w:lang w:val="zh-CN"/>
              </w:rPr>
              <w:t>）获得</w:t>
            </w:r>
            <w:r>
              <w:rPr>
                <w:rFonts w:hint="eastAsia" w:ascii="宋体" w:hAnsi="宋体" w:eastAsia="宋体" w:cs="宋体"/>
                <w:color w:val="auto"/>
                <w:kern w:val="0"/>
                <w:szCs w:val="21"/>
                <w:highlight w:val="none"/>
              </w:rPr>
              <w:t>2次</w:t>
            </w:r>
            <w:r>
              <w:rPr>
                <w:rFonts w:hint="eastAsia" w:ascii="宋体" w:hAnsi="宋体" w:eastAsia="宋体" w:cs="宋体"/>
                <w:color w:val="auto"/>
                <w:kern w:val="0"/>
                <w:szCs w:val="21"/>
                <w:highlight w:val="none"/>
                <w:lang w:val="zh-CN"/>
              </w:rPr>
              <w:t>纳税信用等级为A的计</w:t>
            </w:r>
            <w:r>
              <w:rPr>
                <w:rFonts w:hint="eastAsia" w:ascii="宋体" w:hAnsi="宋体" w:eastAsia="宋体" w:cs="宋体"/>
                <w:color w:val="auto"/>
                <w:kern w:val="0"/>
                <w:szCs w:val="21"/>
                <w:highlight w:val="none"/>
                <w:lang w:val="en-US" w:eastAsia="zh-CN"/>
              </w:rPr>
              <w:t xml:space="preserve"> 1</w:t>
            </w:r>
            <w:r>
              <w:rPr>
                <w:rFonts w:hint="eastAsia" w:ascii="宋体" w:hAnsi="宋体" w:eastAsia="宋体" w:cs="宋体"/>
                <w:color w:val="auto"/>
                <w:kern w:val="0"/>
                <w:szCs w:val="21"/>
                <w:highlight w:val="none"/>
                <w:lang w:val="zh-CN"/>
              </w:rPr>
              <w:t>分，（</w:t>
            </w:r>
            <w:r>
              <w:rPr>
                <w:rFonts w:hint="eastAsia" w:ascii="宋体" w:hAnsi="宋体" w:eastAsia="宋体" w:cs="宋体"/>
                <w:color w:val="auto"/>
                <w:kern w:val="0"/>
                <w:szCs w:val="21"/>
                <w:highlight w:val="none"/>
                <w:lang w:val="en-US" w:eastAsia="zh-CN"/>
              </w:rPr>
              <w:t>2020年度</w:t>
            </w:r>
            <w:r>
              <w:rPr>
                <w:rFonts w:hint="eastAsia" w:ascii="宋体" w:hAnsi="宋体" w:eastAsia="宋体" w:cs="宋体"/>
                <w:color w:val="auto"/>
                <w:kern w:val="0"/>
                <w:szCs w:val="21"/>
                <w:highlight w:val="none"/>
                <w:lang w:val="zh-CN"/>
              </w:rPr>
              <w:t>）获得</w:t>
            </w:r>
            <w:r>
              <w:rPr>
                <w:rFonts w:hint="eastAsia" w:ascii="宋体" w:hAnsi="宋体" w:eastAsia="宋体" w:cs="宋体"/>
                <w:color w:val="auto"/>
                <w:kern w:val="0"/>
                <w:szCs w:val="21"/>
                <w:highlight w:val="none"/>
              </w:rPr>
              <w:t>1次纳税信用</w:t>
            </w:r>
            <w:r>
              <w:rPr>
                <w:rFonts w:hint="eastAsia" w:ascii="宋体" w:hAnsi="宋体" w:eastAsia="宋体" w:cs="宋体"/>
                <w:color w:val="auto"/>
                <w:kern w:val="0"/>
                <w:szCs w:val="21"/>
                <w:highlight w:val="none"/>
                <w:lang w:val="zh-CN"/>
              </w:rPr>
              <w:t>等级为A的计</w:t>
            </w:r>
            <w:r>
              <w:rPr>
                <w:rFonts w:hint="eastAsia" w:ascii="宋体" w:hAnsi="宋体" w:eastAsia="宋体" w:cs="宋体"/>
                <w:color w:val="auto"/>
                <w:kern w:val="0"/>
                <w:szCs w:val="21"/>
                <w:highlight w:val="none"/>
                <w:lang w:val="en-US" w:eastAsia="zh-CN"/>
              </w:rPr>
              <w:t xml:space="preserve">0.5 </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val="zh-CN"/>
              </w:rPr>
              <w:t>其他不计分；</w:t>
            </w:r>
          </w:p>
          <w:p>
            <w:pPr>
              <w:widowControl/>
              <w:spacing w:line="2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（提供国家税务局官网查询结果截图或相关证明资料原件扫描件方可计分，否则不计分）</w:t>
            </w:r>
          </w:p>
        </w:tc>
        <w:tc>
          <w:tcPr>
            <w:tcW w:w="478" w:type="dxa"/>
            <w:tcBorders>
              <w:top w:val="single" w:color="000000" w:sz="8" w:space="0"/>
              <w:left w:val="single" w:color="000000" w:sz="8" w:space="0"/>
              <w:bottom w:val="single" w:color="000000" w:sz="8" w:space="0"/>
              <w:right w:val="single" w:color="000000" w:sz="8" w:space="0"/>
            </w:tcBorders>
            <w:vAlign w:val="center"/>
          </w:tcPr>
          <w:p>
            <w:pPr>
              <w:pStyle w:val="48"/>
              <w:spacing w:line="240" w:lineRule="exact"/>
              <w:ind w:right="11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82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795"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tcBorders>
              <w:top w:val="single" w:color="000000" w:sz="8" w:space="0"/>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jc w:val="center"/>
        </w:trPr>
        <w:tc>
          <w:tcPr>
            <w:tcW w:w="570" w:type="dxa"/>
            <w:vMerge w:val="restart"/>
            <w:tcBorders>
              <w:top w:val="single" w:color="000000" w:sz="8" w:space="0"/>
              <w:left w:val="single" w:color="000000" w:sz="8" w:space="0"/>
              <w:right w:val="single" w:color="000000" w:sz="8" w:space="0"/>
            </w:tcBorders>
            <w:vAlign w:val="top"/>
          </w:tcPr>
          <w:p>
            <w:pPr>
              <w:pStyle w:val="48"/>
              <w:spacing w:before="163" w:line="240" w:lineRule="exact"/>
              <w:jc w:val="center"/>
              <w:rPr>
                <w:rFonts w:hint="eastAsia" w:ascii="宋体" w:hAnsi="宋体" w:eastAsia="宋体" w:cs="宋体"/>
                <w:color w:val="auto"/>
                <w:szCs w:val="21"/>
                <w:highlight w:val="none"/>
                <w:lang w:val="en-US" w:eastAsia="zh-CN"/>
              </w:rPr>
            </w:pPr>
          </w:p>
          <w:p>
            <w:pPr>
              <w:pStyle w:val="48"/>
              <w:spacing w:before="163"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496" w:type="dxa"/>
            <w:vMerge w:val="restart"/>
            <w:tcBorders>
              <w:top w:val="single" w:color="000000" w:sz="8" w:space="0"/>
              <w:left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pacing w:val="-3"/>
                <w:szCs w:val="21"/>
                <w:highlight w:val="none"/>
                <w:lang w:val="en-US" w:eastAsia="zh-CN"/>
              </w:rPr>
            </w:pPr>
          </w:p>
          <w:p>
            <w:pPr>
              <w:pStyle w:val="48"/>
              <w:spacing w:line="240" w:lineRule="exact"/>
              <w:jc w:val="center"/>
              <w:rPr>
                <w:rFonts w:hint="eastAsia" w:ascii="宋体" w:hAnsi="宋体" w:eastAsia="宋体" w:cs="宋体"/>
                <w:color w:val="auto"/>
                <w:spacing w:val="-3"/>
                <w:szCs w:val="21"/>
                <w:highlight w:val="none"/>
                <w:lang w:val="en-US" w:eastAsia="zh-CN"/>
              </w:rPr>
            </w:pPr>
          </w:p>
          <w:p>
            <w:pPr>
              <w:pStyle w:val="48"/>
              <w:spacing w:line="240" w:lineRule="exact"/>
              <w:jc w:val="center"/>
              <w:rPr>
                <w:rFonts w:hint="eastAsia" w:ascii="宋体" w:hAnsi="宋体" w:eastAsia="宋体" w:cs="宋体"/>
                <w:color w:val="auto"/>
                <w:spacing w:val="-3"/>
                <w:szCs w:val="21"/>
                <w:highlight w:val="none"/>
                <w:lang w:val="en-US" w:eastAsia="zh-CN"/>
              </w:rPr>
            </w:pPr>
            <w:r>
              <w:rPr>
                <w:rFonts w:hint="eastAsia" w:ascii="宋体" w:hAnsi="宋体" w:eastAsia="宋体" w:cs="宋体"/>
                <w:color w:val="auto"/>
                <w:spacing w:val="-3"/>
                <w:szCs w:val="21"/>
                <w:highlight w:val="none"/>
                <w:lang w:val="en-US" w:eastAsia="zh-CN"/>
              </w:rPr>
              <w:t>拟任项目总负责人</w:t>
            </w:r>
          </w:p>
          <w:p>
            <w:pPr>
              <w:pStyle w:val="48"/>
              <w:spacing w:line="240" w:lineRule="exact"/>
              <w:jc w:val="center"/>
              <w:rPr>
                <w:rFonts w:hint="eastAsia" w:ascii="宋体" w:hAnsi="宋体" w:eastAsia="宋体" w:cs="宋体"/>
                <w:color w:val="auto"/>
                <w:spacing w:val="-3"/>
                <w:szCs w:val="21"/>
                <w:highlight w:val="none"/>
                <w:lang w:eastAsia="zh-CN"/>
              </w:rPr>
            </w:pPr>
          </w:p>
          <w:p>
            <w:pPr>
              <w:pStyle w:val="48"/>
              <w:spacing w:line="240" w:lineRule="exact"/>
              <w:jc w:val="both"/>
              <w:rPr>
                <w:rFonts w:hint="eastAsia" w:ascii="宋体" w:hAnsi="宋体" w:eastAsia="宋体" w:cs="宋体"/>
                <w:color w:val="auto"/>
                <w:spacing w:val="-3"/>
                <w:szCs w:val="21"/>
                <w:highlight w:val="none"/>
                <w:lang w:val="en-US" w:eastAsia="zh-CN"/>
              </w:rPr>
            </w:pPr>
          </w:p>
        </w:tc>
        <w:tc>
          <w:tcPr>
            <w:tcW w:w="5925" w:type="dxa"/>
            <w:tcBorders>
              <w:top w:val="single" w:color="000000" w:sz="8" w:space="0"/>
              <w:left w:val="single" w:color="000000" w:sz="8" w:space="0"/>
              <w:bottom w:val="single" w:color="auto" w:sz="4" w:space="0"/>
              <w:right w:val="single" w:color="000000" w:sz="8" w:space="0"/>
            </w:tcBorders>
            <w:vAlign w:val="center"/>
          </w:tcPr>
          <w:p>
            <w:pPr>
              <w:pStyle w:val="48"/>
              <w:spacing w:line="240" w:lineRule="exact"/>
              <w:ind w:left="863" w:leftChars="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没有不良行为记录</w:t>
            </w:r>
          </w:p>
        </w:tc>
        <w:tc>
          <w:tcPr>
            <w:tcW w:w="478" w:type="dxa"/>
            <w:tcBorders>
              <w:top w:val="single" w:color="000000" w:sz="8" w:space="0"/>
              <w:left w:val="single" w:color="000000" w:sz="8" w:space="0"/>
              <w:bottom w:val="single" w:color="auto" w:sz="4" w:space="0"/>
              <w:right w:val="single" w:color="000000" w:sz="8" w:space="0"/>
            </w:tcBorders>
            <w:vAlign w:val="center"/>
          </w:tcPr>
          <w:p>
            <w:pPr>
              <w:pStyle w:val="48"/>
              <w:spacing w:line="240" w:lineRule="exact"/>
              <w:ind w:right="11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825" w:type="dxa"/>
            <w:vMerge w:val="restart"/>
            <w:tcBorders>
              <w:top w:val="single" w:color="000000" w:sz="8" w:space="0"/>
              <w:left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795" w:type="dxa"/>
            <w:vMerge w:val="restart"/>
            <w:tcBorders>
              <w:top w:val="single" w:color="000000" w:sz="8" w:space="0"/>
              <w:left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vMerge w:val="restart"/>
            <w:tcBorders>
              <w:top w:val="single" w:color="000000" w:sz="8" w:space="0"/>
              <w:left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570" w:type="dxa"/>
            <w:vMerge w:val="continue"/>
            <w:tcBorders>
              <w:left w:val="single" w:color="000000" w:sz="8" w:space="0"/>
              <w:bottom w:val="single" w:color="000000" w:sz="8" w:space="0"/>
              <w:right w:val="single" w:color="000000" w:sz="8" w:space="0"/>
            </w:tcBorders>
            <w:vAlign w:val="top"/>
          </w:tcPr>
          <w:p>
            <w:pPr>
              <w:pStyle w:val="48"/>
              <w:spacing w:before="163" w:line="240" w:lineRule="exact"/>
              <w:jc w:val="center"/>
              <w:rPr>
                <w:rFonts w:hint="eastAsia" w:ascii="宋体" w:hAnsi="宋体" w:eastAsia="宋体" w:cs="宋体"/>
                <w:color w:val="auto"/>
                <w:szCs w:val="21"/>
                <w:highlight w:val="none"/>
                <w:lang w:val="en-US" w:eastAsia="zh-CN"/>
              </w:rPr>
            </w:pPr>
          </w:p>
        </w:tc>
        <w:tc>
          <w:tcPr>
            <w:tcW w:w="1496" w:type="dxa"/>
            <w:vMerge w:val="continue"/>
            <w:tcBorders>
              <w:left w:val="single" w:color="000000" w:sz="8" w:space="0"/>
              <w:bottom w:val="single" w:color="000000" w:sz="8" w:space="0"/>
              <w:right w:val="single" w:color="000000" w:sz="8" w:space="0"/>
            </w:tcBorders>
            <w:vAlign w:val="center"/>
          </w:tcPr>
          <w:p>
            <w:pPr>
              <w:pStyle w:val="48"/>
              <w:spacing w:line="240" w:lineRule="exact"/>
              <w:jc w:val="center"/>
              <w:rPr>
                <w:rFonts w:hint="eastAsia" w:ascii="宋体" w:hAnsi="宋体" w:eastAsia="宋体" w:cs="宋体"/>
                <w:color w:val="auto"/>
                <w:spacing w:val="-3"/>
                <w:szCs w:val="21"/>
                <w:highlight w:val="none"/>
                <w:lang w:eastAsia="zh-CN"/>
              </w:rPr>
            </w:pPr>
          </w:p>
        </w:tc>
        <w:tc>
          <w:tcPr>
            <w:tcW w:w="5925" w:type="dxa"/>
            <w:tcBorders>
              <w:top w:val="single" w:color="auto" w:sz="4" w:space="0"/>
              <w:left w:val="single" w:color="000000" w:sz="8" w:space="0"/>
              <w:bottom w:val="single" w:color="auto" w:sz="4" w:space="0"/>
              <w:right w:val="single" w:color="000000" w:sz="8" w:space="0"/>
            </w:tcBorders>
            <w:vAlign w:val="center"/>
          </w:tcPr>
          <w:p>
            <w:pPr>
              <w:pStyle w:val="48"/>
              <w:spacing w:line="240" w:lineRule="exact"/>
              <w:ind w:left="863" w:leftChars="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 xml:space="preserve">  每发生一次一般不良行为记录扣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478" w:type="dxa"/>
            <w:vMerge w:val="restart"/>
            <w:tcBorders>
              <w:top w:val="single" w:color="auto" w:sz="4" w:space="0"/>
              <w:left w:val="single" w:color="000000" w:sz="8" w:space="0"/>
              <w:right w:val="single" w:color="000000" w:sz="8" w:space="0"/>
            </w:tcBorders>
            <w:vAlign w:val="center"/>
          </w:tcPr>
          <w:p>
            <w:pPr>
              <w:pStyle w:val="48"/>
              <w:spacing w:line="240" w:lineRule="exact"/>
              <w:ind w:right="115"/>
              <w:jc w:val="center"/>
              <w:rPr>
                <w:rFonts w:hint="eastAsia" w:ascii="宋体" w:hAnsi="宋体" w:eastAsia="宋体" w:cs="宋体"/>
                <w:color w:val="auto"/>
                <w:szCs w:val="21"/>
                <w:highlight w:val="none"/>
                <w:lang w:val="en-US" w:eastAsia="zh-CN"/>
              </w:rPr>
            </w:pPr>
          </w:p>
        </w:tc>
        <w:tc>
          <w:tcPr>
            <w:tcW w:w="825" w:type="dxa"/>
            <w:vMerge w:val="continue"/>
            <w:tcBorders>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795" w:type="dxa"/>
            <w:vMerge w:val="continue"/>
            <w:tcBorders>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vMerge w:val="continue"/>
            <w:tcBorders>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570" w:type="dxa"/>
            <w:vMerge w:val="continue"/>
            <w:tcBorders>
              <w:left w:val="single" w:color="000000" w:sz="8" w:space="0"/>
              <w:bottom w:val="single" w:color="auto" w:sz="4" w:space="0"/>
              <w:right w:val="single" w:color="000000" w:sz="8" w:space="0"/>
            </w:tcBorders>
            <w:vAlign w:val="top"/>
          </w:tcPr>
          <w:p>
            <w:pPr>
              <w:pStyle w:val="48"/>
              <w:spacing w:before="163" w:line="240" w:lineRule="exact"/>
              <w:jc w:val="center"/>
              <w:rPr>
                <w:rFonts w:hint="eastAsia" w:ascii="宋体" w:hAnsi="宋体" w:eastAsia="宋体" w:cs="宋体"/>
                <w:color w:val="auto"/>
                <w:szCs w:val="21"/>
                <w:highlight w:val="none"/>
                <w:lang w:val="en-US" w:eastAsia="zh-CN"/>
              </w:rPr>
            </w:pPr>
          </w:p>
        </w:tc>
        <w:tc>
          <w:tcPr>
            <w:tcW w:w="1496" w:type="dxa"/>
            <w:vMerge w:val="continue"/>
            <w:tcBorders>
              <w:left w:val="single" w:color="000000" w:sz="8" w:space="0"/>
              <w:bottom w:val="single" w:color="auto" w:sz="4" w:space="0"/>
              <w:right w:val="single" w:color="000000" w:sz="8" w:space="0"/>
            </w:tcBorders>
            <w:vAlign w:val="center"/>
          </w:tcPr>
          <w:p>
            <w:pPr>
              <w:pStyle w:val="48"/>
              <w:spacing w:line="240" w:lineRule="exact"/>
              <w:jc w:val="center"/>
              <w:rPr>
                <w:rFonts w:hint="eastAsia" w:ascii="宋体" w:hAnsi="宋体" w:eastAsia="宋体" w:cs="宋体"/>
                <w:color w:val="auto"/>
                <w:spacing w:val="-3"/>
                <w:szCs w:val="21"/>
                <w:highlight w:val="none"/>
                <w:lang w:eastAsia="zh-CN"/>
              </w:rPr>
            </w:pPr>
          </w:p>
        </w:tc>
        <w:tc>
          <w:tcPr>
            <w:tcW w:w="5925" w:type="dxa"/>
            <w:tcBorders>
              <w:top w:val="single" w:color="auto" w:sz="4" w:space="0"/>
              <w:left w:val="single" w:color="000000" w:sz="8" w:space="0"/>
              <w:bottom w:val="single" w:color="000000" w:sz="8" w:space="0"/>
              <w:right w:val="single" w:color="000000" w:sz="8" w:space="0"/>
            </w:tcBorders>
            <w:vAlign w:val="center"/>
          </w:tcPr>
          <w:p>
            <w:pPr>
              <w:ind w:firstLine="1050" w:firstLineChars="500"/>
              <w:jc w:val="both"/>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每发生一次严重不良行为记录扣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78" w:type="dxa"/>
            <w:vMerge w:val="continue"/>
            <w:tcBorders>
              <w:left w:val="single" w:color="000000" w:sz="8" w:space="0"/>
              <w:bottom w:val="single" w:color="000000" w:sz="8" w:space="0"/>
              <w:right w:val="single" w:color="000000" w:sz="8" w:space="0"/>
            </w:tcBorders>
            <w:vAlign w:val="center"/>
          </w:tcPr>
          <w:p>
            <w:pPr>
              <w:pStyle w:val="48"/>
              <w:spacing w:line="240" w:lineRule="exact"/>
              <w:ind w:right="115"/>
              <w:jc w:val="center"/>
              <w:rPr>
                <w:rFonts w:hint="eastAsia" w:ascii="宋体" w:hAnsi="宋体" w:eastAsia="宋体" w:cs="宋体"/>
                <w:color w:val="auto"/>
                <w:szCs w:val="21"/>
                <w:highlight w:val="none"/>
                <w:lang w:val="en-US" w:eastAsia="zh-CN"/>
              </w:rPr>
            </w:pPr>
          </w:p>
        </w:tc>
        <w:tc>
          <w:tcPr>
            <w:tcW w:w="825" w:type="dxa"/>
            <w:vMerge w:val="continue"/>
            <w:tcBorders>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795" w:type="dxa"/>
            <w:vMerge w:val="continue"/>
            <w:tcBorders>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vMerge w:val="continue"/>
            <w:tcBorders>
              <w:left w:val="single" w:color="000000" w:sz="8" w:space="0"/>
              <w:bottom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9"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top"/>
          </w:tcPr>
          <w:p>
            <w:pPr>
              <w:pStyle w:val="48"/>
              <w:spacing w:before="163" w:line="240" w:lineRule="exact"/>
              <w:jc w:val="center"/>
              <w:rPr>
                <w:rFonts w:hint="eastAsia" w:ascii="宋体" w:hAnsi="宋体" w:eastAsia="宋体" w:cs="宋体"/>
                <w:color w:val="auto"/>
                <w:szCs w:val="21"/>
                <w:highlight w:val="none"/>
                <w:lang w:val="en-US" w:eastAsia="zh-CN"/>
              </w:rPr>
            </w:pPr>
          </w:p>
          <w:p>
            <w:pPr>
              <w:pStyle w:val="48"/>
              <w:spacing w:before="163" w:line="2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p>
          <w:p>
            <w:pPr>
              <w:pStyle w:val="48"/>
              <w:spacing w:line="240" w:lineRule="exact"/>
              <w:jc w:val="center"/>
              <w:rPr>
                <w:rFonts w:hint="eastAsia" w:ascii="宋体" w:hAnsi="宋体" w:eastAsia="宋体" w:cs="宋体"/>
                <w:color w:val="auto"/>
                <w:spacing w:val="-3"/>
                <w:szCs w:val="21"/>
                <w:highlight w:val="none"/>
                <w:lang w:eastAsia="zh-CN"/>
              </w:rPr>
            </w:pPr>
            <w:r>
              <w:rPr>
                <w:rFonts w:hint="eastAsia" w:ascii="宋体" w:hAnsi="宋体" w:eastAsia="宋体" w:cs="宋体"/>
                <w:color w:val="auto"/>
                <w:spacing w:val="-3"/>
                <w:szCs w:val="21"/>
                <w:highlight w:val="none"/>
                <w:lang w:eastAsia="zh-CN"/>
              </w:rPr>
              <w:t>（联合体任一方）</w:t>
            </w:r>
          </w:p>
          <w:p>
            <w:pPr>
              <w:pStyle w:val="48"/>
              <w:spacing w:line="240" w:lineRule="exact"/>
              <w:jc w:val="center"/>
              <w:rPr>
                <w:rFonts w:hint="eastAsia" w:ascii="宋体" w:hAnsi="宋体" w:eastAsia="宋体" w:cs="宋体"/>
                <w:color w:val="auto"/>
                <w:szCs w:val="21"/>
                <w:highlight w:val="none"/>
              </w:rPr>
            </w:pPr>
          </w:p>
        </w:tc>
        <w:tc>
          <w:tcPr>
            <w:tcW w:w="5925" w:type="dxa"/>
            <w:tcBorders>
              <w:top w:val="single" w:color="000000" w:sz="8" w:space="0"/>
              <w:left w:val="single" w:color="auto" w:sz="4" w:space="0"/>
              <w:bottom w:val="single" w:color="auto" w:sz="4" w:space="0"/>
              <w:right w:val="single" w:color="000000" w:sz="8" w:space="0"/>
            </w:tcBorders>
            <w:vAlign w:val="center"/>
          </w:tcPr>
          <w:p>
            <w:pPr>
              <w:pStyle w:val="48"/>
              <w:spacing w:line="240" w:lineRule="exact"/>
              <w:ind w:left="863"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没有不良行为记录</w:t>
            </w:r>
          </w:p>
        </w:tc>
        <w:tc>
          <w:tcPr>
            <w:tcW w:w="478" w:type="dxa"/>
            <w:tcBorders>
              <w:top w:val="single" w:color="000000" w:sz="8" w:space="0"/>
              <w:left w:val="single" w:color="000000" w:sz="8" w:space="0"/>
              <w:bottom w:val="single" w:color="auto" w:sz="4" w:space="0"/>
              <w:right w:val="single" w:color="000000" w:sz="8" w:space="0"/>
            </w:tcBorders>
            <w:vAlign w:val="center"/>
          </w:tcPr>
          <w:p>
            <w:pPr>
              <w:pStyle w:val="48"/>
              <w:spacing w:line="240" w:lineRule="exact"/>
              <w:ind w:left="863"/>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p>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825" w:type="dxa"/>
            <w:vMerge w:val="restart"/>
            <w:tcBorders>
              <w:top w:val="single" w:color="000000" w:sz="8" w:space="0"/>
              <w:left w:val="single" w:color="000000" w:sz="8" w:space="0"/>
              <w:right w:val="single" w:color="000000" w:sz="8" w:space="0"/>
            </w:tcBorders>
            <w:vAlign w:val="top"/>
          </w:tcPr>
          <w:p>
            <w:pPr>
              <w:pStyle w:val="48"/>
              <w:spacing w:before="10" w:line="240" w:lineRule="exact"/>
              <w:rPr>
                <w:rFonts w:hint="eastAsia" w:ascii="宋体" w:hAnsi="宋体" w:eastAsia="宋体" w:cs="宋体"/>
                <w:color w:val="auto"/>
                <w:szCs w:val="21"/>
                <w:highlight w:val="none"/>
              </w:rPr>
            </w:pPr>
          </w:p>
          <w:p>
            <w:pPr>
              <w:pStyle w:val="48"/>
              <w:spacing w:line="240" w:lineRule="exact"/>
              <w:ind w:left="11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795" w:type="dxa"/>
            <w:vMerge w:val="restart"/>
            <w:tcBorders>
              <w:top w:val="single" w:color="000000" w:sz="8" w:space="0"/>
              <w:left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c>
          <w:tcPr>
            <w:tcW w:w="561" w:type="dxa"/>
            <w:vMerge w:val="restart"/>
            <w:tcBorders>
              <w:top w:val="single" w:color="000000" w:sz="8" w:space="0"/>
              <w:left w:val="single" w:color="000000" w:sz="8" w:space="0"/>
              <w:right w:val="single" w:color="000000" w:sz="8" w:space="0"/>
            </w:tcBorders>
            <w:vAlign w:val="top"/>
          </w:tcPr>
          <w:p>
            <w:pPr>
              <w:pStyle w:val="48"/>
              <w:spacing w:line="240" w:lineRule="exact"/>
              <w:ind w:left="112"/>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7"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top"/>
          </w:tcPr>
          <w:p>
            <w:pPr>
              <w:pStyle w:val="48"/>
              <w:spacing w:before="163" w:line="240" w:lineRule="exact"/>
              <w:ind w:left="354"/>
              <w:rPr>
                <w:rFonts w:hint="eastAsia" w:ascii="宋体" w:hAnsi="宋体" w:eastAsia="宋体" w:cs="宋体"/>
                <w:color w:val="auto"/>
                <w:szCs w:val="21"/>
                <w:highlight w:val="none"/>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pStyle w:val="48"/>
              <w:spacing w:line="240" w:lineRule="exact"/>
              <w:jc w:val="center"/>
              <w:rPr>
                <w:rFonts w:hint="eastAsia" w:ascii="宋体" w:hAnsi="宋体" w:eastAsia="宋体" w:cs="宋体"/>
                <w:color w:val="auto"/>
                <w:szCs w:val="21"/>
                <w:highlight w:val="none"/>
              </w:rPr>
            </w:pPr>
          </w:p>
        </w:tc>
        <w:tc>
          <w:tcPr>
            <w:tcW w:w="5925" w:type="dxa"/>
            <w:tcBorders>
              <w:top w:val="single" w:color="auto" w:sz="4" w:space="0"/>
              <w:left w:val="single" w:color="auto" w:sz="4" w:space="0"/>
              <w:bottom w:val="single" w:color="000000" w:sz="8" w:space="0"/>
              <w:right w:val="single" w:color="000000" w:sz="8" w:space="0"/>
            </w:tcBorders>
            <w:vAlign w:val="center"/>
          </w:tcPr>
          <w:p>
            <w:pPr>
              <w:pStyle w:val="48"/>
              <w:spacing w:line="240" w:lineRule="exact"/>
              <w:ind w:left="86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每发生一次一般不良行为记录扣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478" w:type="dxa"/>
            <w:vMerge w:val="restart"/>
            <w:tcBorders>
              <w:top w:val="single" w:color="auto" w:sz="4" w:space="0"/>
              <w:left w:val="single" w:color="000000" w:sz="8" w:space="0"/>
              <w:right w:val="single" w:color="000000" w:sz="8" w:space="0"/>
            </w:tcBorders>
            <w:vAlign w:val="center"/>
          </w:tcPr>
          <w:p>
            <w:pPr>
              <w:pStyle w:val="48"/>
              <w:spacing w:line="240" w:lineRule="exact"/>
              <w:ind w:left="863"/>
              <w:rPr>
                <w:rFonts w:hint="eastAsia" w:ascii="宋体" w:hAnsi="宋体" w:eastAsia="宋体" w:cs="宋体"/>
                <w:color w:val="auto"/>
                <w:szCs w:val="21"/>
                <w:highlight w:val="none"/>
              </w:rPr>
            </w:pPr>
          </w:p>
        </w:tc>
        <w:tc>
          <w:tcPr>
            <w:tcW w:w="825" w:type="dxa"/>
            <w:vMerge w:val="continue"/>
            <w:tcBorders>
              <w:left w:val="single" w:color="000000" w:sz="8" w:space="0"/>
              <w:right w:val="single" w:color="000000" w:sz="8" w:space="0"/>
            </w:tcBorders>
            <w:vAlign w:val="top"/>
          </w:tcPr>
          <w:p>
            <w:pPr>
              <w:spacing w:line="240" w:lineRule="exact"/>
              <w:rPr>
                <w:rFonts w:hint="eastAsia" w:ascii="宋体" w:hAnsi="宋体" w:eastAsia="宋体" w:cs="宋体"/>
                <w:color w:val="auto"/>
                <w:szCs w:val="21"/>
                <w:highlight w:val="none"/>
              </w:rPr>
            </w:pPr>
          </w:p>
        </w:tc>
        <w:tc>
          <w:tcPr>
            <w:tcW w:w="795" w:type="dxa"/>
            <w:vMerge w:val="continue"/>
            <w:tcBorders>
              <w:left w:val="single" w:color="000000" w:sz="8" w:space="0"/>
              <w:right w:val="single" w:color="000000" w:sz="8" w:space="0"/>
            </w:tcBorders>
            <w:vAlign w:val="top"/>
          </w:tcPr>
          <w:p>
            <w:pPr>
              <w:spacing w:line="240" w:lineRule="exact"/>
              <w:rPr>
                <w:rFonts w:hint="eastAsia" w:ascii="宋体" w:hAnsi="宋体" w:eastAsia="宋体" w:cs="宋体"/>
                <w:color w:val="auto"/>
                <w:szCs w:val="21"/>
                <w:highlight w:val="none"/>
              </w:rPr>
            </w:pPr>
          </w:p>
        </w:tc>
        <w:tc>
          <w:tcPr>
            <w:tcW w:w="561" w:type="dxa"/>
            <w:vMerge w:val="continue"/>
            <w:tcBorders>
              <w:left w:val="single" w:color="000000" w:sz="8" w:space="0"/>
              <w:right w:val="single" w:color="000000" w:sz="8" w:space="0"/>
            </w:tcBorders>
            <w:vAlign w:val="top"/>
          </w:tcPr>
          <w:p>
            <w:pPr>
              <w:spacing w:line="240" w:lineRule="exac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6"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pStyle w:val="48"/>
              <w:spacing w:before="163" w:line="240" w:lineRule="exact"/>
              <w:jc w:val="center"/>
              <w:rPr>
                <w:rFonts w:hint="eastAsia" w:ascii="宋体" w:hAnsi="宋体" w:eastAsia="宋体" w:cs="宋体"/>
                <w:color w:val="auto"/>
                <w:szCs w:val="21"/>
                <w:highlight w:val="none"/>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pStyle w:val="48"/>
              <w:spacing w:line="240" w:lineRule="exact"/>
              <w:jc w:val="center"/>
              <w:rPr>
                <w:rFonts w:hint="eastAsia" w:ascii="宋体" w:hAnsi="宋体" w:eastAsia="宋体" w:cs="宋体"/>
                <w:color w:val="auto"/>
                <w:szCs w:val="21"/>
                <w:highlight w:val="none"/>
              </w:rPr>
            </w:pPr>
          </w:p>
        </w:tc>
        <w:tc>
          <w:tcPr>
            <w:tcW w:w="5925" w:type="dxa"/>
            <w:tcBorders>
              <w:top w:val="single" w:color="000000" w:sz="8" w:space="0"/>
              <w:left w:val="single" w:color="auto" w:sz="4" w:space="0"/>
              <w:bottom w:val="single" w:color="000000" w:sz="8" w:space="0"/>
              <w:right w:val="single" w:color="000000" w:sz="8" w:space="0"/>
            </w:tcBorders>
            <w:vAlign w:val="center"/>
          </w:tcPr>
          <w:p>
            <w:pPr>
              <w:ind w:firstLine="1050" w:firstLineChars="500"/>
              <w:jc w:val="both"/>
              <w:rPr>
                <w:rFonts w:hint="eastAsia" w:ascii="宋体" w:hAnsi="宋体" w:eastAsia="宋体" w:cs="宋体"/>
                <w:color w:val="auto"/>
                <w:highlight w:val="none"/>
              </w:rPr>
            </w:pPr>
            <w:r>
              <w:rPr>
                <w:rFonts w:hint="eastAsia" w:ascii="宋体" w:hAnsi="宋体" w:eastAsia="宋体" w:cs="宋体"/>
                <w:color w:val="auto"/>
                <w:szCs w:val="21"/>
                <w:highlight w:val="none"/>
              </w:rPr>
              <w:t>每发生一次严重不良行为记录扣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478" w:type="dxa"/>
            <w:vMerge w:val="continue"/>
            <w:tcBorders>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highlight w:val="none"/>
              </w:rPr>
            </w:pPr>
          </w:p>
        </w:tc>
        <w:tc>
          <w:tcPr>
            <w:tcW w:w="825" w:type="dxa"/>
            <w:vMerge w:val="continue"/>
            <w:tcBorders>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highlight w:val="none"/>
              </w:rPr>
            </w:pPr>
          </w:p>
        </w:tc>
        <w:tc>
          <w:tcPr>
            <w:tcW w:w="795" w:type="dxa"/>
            <w:vMerge w:val="continue"/>
            <w:tcBorders>
              <w:left w:val="single" w:color="000000" w:sz="8" w:space="0"/>
              <w:bottom w:val="single" w:color="000000" w:sz="8" w:space="0"/>
              <w:right w:val="single" w:color="000000" w:sz="8" w:space="0"/>
            </w:tcBorders>
            <w:vAlign w:val="center"/>
          </w:tcPr>
          <w:p>
            <w:pPr>
              <w:ind w:firstLine="420"/>
              <w:jc w:val="center"/>
              <w:rPr>
                <w:rFonts w:hint="eastAsia" w:ascii="宋体" w:hAnsi="宋体" w:eastAsia="宋体" w:cs="宋体"/>
                <w:color w:val="auto"/>
                <w:highlight w:val="none"/>
              </w:rPr>
            </w:pPr>
          </w:p>
        </w:tc>
        <w:tc>
          <w:tcPr>
            <w:tcW w:w="561" w:type="dxa"/>
            <w:vMerge w:val="continue"/>
            <w:tcBorders>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pStyle w:val="48"/>
              <w:spacing w:before="163"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496" w:type="dxa"/>
            <w:tcBorders>
              <w:top w:val="single" w:color="auto" w:sz="4" w:space="0"/>
              <w:left w:val="single" w:color="auto" w:sz="4" w:space="0"/>
              <w:bottom w:val="single" w:color="auto" w:sz="4" w:space="0"/>
              <w:right w:val="single" w:color="auto" w:sz="4" w:space="0"/>
            </w:tcBorders>
            <w:vAlign w:val="center"/>
          </w:tcPr>
          <w:p>
            <w:pPr>
              <w:pStyle w:val="48"/>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5925" w:type="dxa"/>
            <w:tcBorders>
              <w:top w:val="single" w:color="000000" w:sz="8" w:space="0"/>
              <w:left w:val="single" w:color="auto" w:sz="4" w:space="0"/>
              <w:bottom w:val="single" w:color="000000" w:sz="8" w:space="0"/>
              <w:right w:val="single" w:color="000000" w:sz="8" w:space="0"/>
            </w:tcBorders>
            <w:vAlign w:val="center"/>
          </w:tcPr>
          <w:p>
            <w:pPr>
              <w:ind w:firstLine="1050" w:firstLineChars="500"/>
              <w:jc w:val="both"/>
              <w:rPr>
                <w:rFonts w:hint="eastAsia" w:ascii="宋体" w:hAnsi="宋体" w:eastAsia="宋体" w:cs="宋体"/>
                <w:color w:val="auto"/>
                <w:szCs w:val="21"/>
                <w:highlight w:val="none"/>
              </w:rPr>
            </w:pPr>
          </w:p>
        </w:tc>
        <w:tc>
          <w:tcPr>
            <w:tcW w:w="478"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8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highlight w:val="none"/>
              </w:rPr>
            </w:pPr>
          </w:p>
        </w:tc>
        <w:tc>
          <w:tcPr>
            <w:tcW w:w="795" w:type="dxa"/>
            <w:tcBorders>
              <w:top w:val="single" w:color="000000" w:sz="8" w:space="0"/>
              <w:left w:val="single" w:color="000000" w:sz="8" w:space="0"/>
              <w:bottom w:val="single" w:color="000000" w:sz="8" w:space="0"/>
              <w:right w:val="single" w:color="000000" w:sz="8" w:space="0"/>
            </w:tcBorders>
            <w:vAlign w:val="center"/>
          </w:tcPr>
          <w:p>
            <w:pPr>
              <w:ind w:firstLine="420"/>
              <w:jc w:val="center"/>
              <w:rPr>
                <w:rFonts w:hint="eastAsia" w:ascii="宋体" w:hAnsi="宋体" w:eastAsia="宋体" w:cs="宋体"/>
                <w:color w:val="auto"/>
                <w:highlight w:val="none"/>
              </w:rPr>
            </w:pPr>
          </w:p>
        </w:tc>
        <w:tc>
          <w:tcPr>
            <w:tcW w:w="561"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auto"/>
                <w:highlight w:val="none"/>
              </w:rPr>
            </w:pPr>
          </w:p>
        </w:tc>
      </w:tr>
    </w:tbl>
    <w:p>
      <w:pPr>
        <w:spacing w:line="400" w:lineRule="exact"/>
        <w:ind w:firstLine="420" w:firstLineChars="200"/>
        <w:rPr>
          <w:rFonts w:hint="eastAsia" w:ascii="宋体" w:hAnsi="宋体" w:eastAsia="宋体" w:cs="宋体"/>
          <w:color w:val="auto"/>
          <w:spacing w:val="-8"/>
          <w:highlight w:val="none"/>
        </w:rPr>
      </w:pP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注：1、</w:t>
      </w:r>
      <w:r>
        <w:rPr>
          <w:rFonts w:hint="eastAsia" w:ascii="宋体" w:hAnsi="宋体" w:eastAsia="宋体" w:cs="宋体"/>
          <w:color w:val="auto"/>
          <w:spacing w:val="-6"/>
          <w:szCs w:val="21"/>
          <w:highlight w:val="none"/>
        </w:rPr>
        <w:t>设计类似工程业绩具体要求：</w:t>
      </w:r>
      <w:r>
        <w:rPr>
          <w:rFonts w:hint="eastAsia" w:ascii="宋体" w:hAnsi="宋体" w:eastAsia="宋体" w:cs="宋体"/>
          <w:color w:val="auto"/>
          <w:spacing w:val="-8"/>
          <w:highlight w:val="none"/>
        </w:rPr>
        <w:t>（1）设计类似工程业绩具体要求：①为招标项目的须同时提供中标通知书和设计合同以及施工图审查合格书；②为非招标项目的须提供设计合同以及施工图审查合格书。类似工程业绩考核时间以提交投标文件截止时间前1080天为准，按设计合同中建设单位签字的时间起算，面积以施工图审查合格书为准。</w:t>
      </w:r>
    </w:p>
    <w:p>
      <w:pPr>
        <w:pStyle w:val="48"/>
        <w:spacing w:line="360" w:lineRule="auto"/>
        <w:ind w:left="114" w:right="2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2、</w:t>
      </w:r>
      <w:r>
        <w:rPr>
          <w:rFonts w:hint="eastAsia" w:ascii="宋体" w:hAnsi="宋体" w:eastAsia="宋体" w:cs="宋体"/>
          <w:color w:val="auto"/>
          <w:spacing w:val="-5"/>
          <w:szCs w:val="21"/>
          <w:highlight w:val="none"/>
        </w:rPr>
        <w:t>施工</w:t>
      </w:r>
      <w:r>
        <w:rPr>
          <w:rFonts w:hint="eastAsia" w:ascii="宋体" w:hAnsi="宋体" w:eastAsia="宋体" w:cs="宋体"/>
          <w:color w:val="auto"/>
          <w:spacing w:val="-5"/>
          <w:szCs w:val="21"/>
          <w:highlight w:val="none"/>
          <w:lang w:val="en-US"/>
        </w:rPr>
        <w:t>或工程总承包</w:t>
      </w:r>
      <w:r>
        <w:rPr>
          <w:rFonts w:hint="eastAsia" w:ascii="宋体" w:hAnsi="宋体" w:eastAsia="宋体" w:cs="宋体"/>
          <w:color w:val="auto"/>
          <w:spacing w:val="-5"/>
          <w:szCs w:val="21"/>
          <w:highlight w:val="none"/>
        </w:rPr>
        <w:t>类似工程业绩具体要求：</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lang w:val="en-US" w:eastAsia="zh-CN"/>
        </w:rPr>
        <w:t>1</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为招标项目的</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须同时</w:t>
      </w:r>
      <w:r>
        <w:rPr>
          <w:rFonts w:hint="eastAsia" w:ascii="宋体" w:hAnsi="宋体" w:eastAsia="宋体" w:cs="宋体"/>
          <w:color w:val="auto"/>
          <w:spacing w:val="-8"/>
          <w:szCs w:val="21"/>
          <w:highlight w:val="none"/>
        </w:rPr>
        <w:t>提供</w:t>
      </w:r>
      <w:r>
        <w:rPr>
          <w:rFonts w:hint="eastAsia" w:ascii="宋体" w:hAnsi="宋体" w:eastAsia="宋体" w:cs="宋体"/>
          <w:color w:val="auto"/>
          <w:spacing w:val="-8"/>
          <w:highlight w:val="none"/>
        </w:rPr>
        <w:t>①</w:t>
      </w:r>
      <w:r>
        <w:rPr>
          <w:rFonts w:hint="eastAsia" w:ascii="宋体" w:hAnsi="宋体" w:eastAsia="宋体" w:cs="宋体"/>
          <w:color w:val="auto"/>
          <w:spacing w:val="-8"/>
          <w:szCs w:val="21"/>
          <w:highlight w:val="none"/>
        </w:rPr>
        <w:t>中标通知书和合同；②竣工验收备案登记表</w:t>
      </w:r>
      <w:r>
        <w:rPr>
          <w:rFonts w:hint="eastAsia" w:ascii="宋体" w:hAnsi="宋体" w:eastAsia="宋体" w:cs="宋体"/>
          <w:color w:val="auto"/>
          <w:spacing w:val="-5"/>
          <w:szCs w:val="21"/>
          <w:highlight w:val="none"/>
        </w:rPr>
        <w:t>（</w:t>
      </w:r>
      <w:r>
        <w:rPr>
          <w:rFonts w:hint="eastAsia" w:ascii="宋体" w:hAnsi="宋体" w:eastAsia="宋体" w:cs="宋体"/>
          <w:color w:val="auto"/>
          <w:spacing w:val="-2"/>
          <w:szCs w:val="21"/>
          <w:highlight w:val="none"/>
        </w:rPr>
        <w:t>经建设工程</w:t>
      </w:r>
      <w:r>
        <w:rPr>
          <w:rFonts w:hint="eastAsia" w:ascii="宋体" w:hAnsi="宋体" w:eastAsia="宋体" w:cs="宋体"/>
          <w:color w:val="auto"/>
          <w:spacing w:val="-4"/>
          <w:szCs w:val="21"/>
          <w:highlight w:val="none"/>
        </w:rPr>
        <w:t>质量监督部门签字确认</w:t>
      </w:r>
      <w:r>
        <w:rPr>
          <w:rFonts w:hint="eastAsia" w:ascii="宋体" w:hAnsi="宋体" w:eastAsia="宋体" w:cs="宋体"/>
          <w:color w:val="auto"/>
          <w:spacing w:val="-20"/>
          <w:szCs w:val="21"/>
          <w:highlight w:val="none"/>
        </w:rPr>
        <w:t>）</w:t>
      </w:r>
      <w:r>
        <w:rPr>
          <w:rFonts w:hint="eastAsia" w:ascii="宋体" w:hAnsi="宋体" w:eastAsia="宋体" w:cs="宋体"/>
          <w:color w:val="auto"/>
          <w:spacing w:val="-5"/>
          <w:szCs w:val="21"/>
          <w:highlight w:val="none"/>
        </w:rPr>
        <w:t>或竣工验收证明</w:t>
      </w:r>
      <w:r>
        <w:rPr>
          <w:rFonts w:hint="eastAsia" w:ascii="宋体" w:hAnsi="宋体" w:eastAsia="宋体" w:cs="宋体"/>
          <w:color w:val="auto"/>
          <w:szCs w:val="21"/>
          <w:highlight w:val="none"/>
        </w:rPr>
        <w:t>（</w:t>
      </w:r>
      <w:r>
        <w:rPr>
          <w:rFonts w:hint="eastAsia" w:ascii="宋体" w:hAnsi="宋体" w:eastAsia="宋体" w:cs="宋体"/>
          <w:color w:val="auto"/>
          <w:spacing w:val="-6"/>
          <w:szCs w:val="21"/>
          <w:highlight w:val="none"/>
        </w:rPr>
        <w:t>由建设单位、施工</w:t>
      </w:r>
      <w:r>
        <w:rPr>
          <w:rFonts w:hint="eastAsia" w:ascii="宋体" w:hAnsi="宋体" w:eastAsia="宋体" w:cs="宋体"/>
          <w:color w:val="auto"/>
          <w:spacing w:val="-7"/>
          <w:szCs w:val="21"/>
          <w:highlight w:val="none"/>
        </w:rPr>
        <w:t>单位、监理单位、设计单位盖章认可</w:t>
      </w:r>
      <w:r>
        <w:rPr>
          <w:rFonts w:hint="eastAsia" w:ascii="宋体" w:hAnsi="宋体" w:eastAsia="宋体" w:cs="宋体"/>
          <w:color w:val="auto"/>
          <w:spacing w:val="-10"/>
          <w:szCs w:val="21"/>
          <w:highlight w:val="none"/>
        </w:rPr>
        <w:t>）</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2</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为非招标项目的：须</w:t>
      </w:r>
      <w:r>
        <w:rPr>
          <w:rFonts w:hint="eastAsia" w:ascii="宋体" w:hAnsi="宋体" w:eastAsia="宋体" w:cs="宋体"/>
          <w:color w:val="auto"/>
          <w:spacing w:val="-10"/>
          <w:szCs w:val="21"/>
          <w:highlight w:val="none"/>
        </w:rPr>
        <w:t>同时提供①合同；②竣工验收备案登记表</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经建设工程质量监</w:t>
      </w:r>
      <w:r>
        <w:rPr>
          <w:rFonts w:hint="eastAsia" w:ascii="宋体" w:hAnsi="宋体" w:eastAsia="宋体" w:cs="宋体"/>
          <w:color w:val="auto"/>
          <w:spacing w:val="-4"/>
          <w:szCs w:val="21"/>
          <w:highlight w:val="none"/>
        </w:rPr>
        <w:t>督部门签字确认</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或竣工验收证明</w:t>
      </w:r>
      <w:r>
        <w:rPr>
          <w:rFonts w:hint="eastAsia" w:ascii="宋体" w:hAnsi="宋体" w:eastAsia="宋体" w:cs="宋体"/>
          <w:color w:val="auto"/>
          <w:szCs w:val="21"/>
          <w:highlight w:val="none"/>
        </w:rPr>
        <w:t>（</w:t>
      </w:r>
      <w:r>
        <w:rPr>
          <w:rFonts w:hint="eastAsia" w:ascii="宋体" w:hAnsi="宋体" w:eastAsia="宋体" w:cs="宋体"/>
          <w:color w:val="auto"/>
          <w:spacing w:val="-6"/>
          <w:szCs w:val="21"/>
          <w:highlight w:val="none"/>
        </w:rPr>
        <w:t>由建设单位、施工单位、</w:t>
      </w:r>
      <w:r>
        <w:rPr>
          <w:rFonts w:hint="eastAsia" w:ascii="宋体" w:hAnsi="宋体" w:eastAsia="宋体" w:cs="宋体"/>
          <w:color w:val="auto"/>
          <w:spacing w:val="-5"/>
          <w:szCs w:val="21"/>
          <w:highlight w:val="none"/>
        </w:rPr>
        <w:t>监理单位、设计单位盖章认可</w:t>
      </w:r>
      <w:r>
        <w:rPr>
          <w:rFonts w:hint="eastAsia" w:ascii="宋体" w:hAnsi="宋体" w:eastAsia="宋体" w:cs="宋体"/>
          <w:color w:val="auto"/>
          <w:spacing w:val="-20"/>
          <w:szCs w:val="21"/>
          <w:highlight w:val="none"/>
        </w:rPr>
        <w:t>）</w:t>
      </w:r>
      <w:r>
        <w:rPr>
          <w:rFonts w:hint="eastAsia" w:ascii="宋体" w:hAnsi="宋体" w:eastAsia="宋体" w:cs="宋体"/>
          <w:color w:val="auto"/>
          <w:spacing w:val="-5"/>
          <w:szCs w:val="21"/>
          <w:highlight w:val="none"/>
        </w:rPr>
        <w:t>。类似工程业绩考核时间</w:t>
      </w:r>
      <w:r>
        <w:rPr>
          <w:rFonts w:hint="eastAsia" w:ascii="宋体" w:hAnsi="宋体" w:eastAsia="宋体" w:cs="宋体"/>
          <w:color w:val="auto"/>
          <w:spacing w:val="-6"/>
          <w:szCs w:val="21"/>
          <w:highlight w:val="none"/>
        </w:rPr>
        <w:t xml:space="preserve">以提交投标文件截止时间前 </w:t>
      </w:r>
      <w:r>
        <w:rPr>
          <w:rFonts w:hint="eastAsia" w:ascii="宋体" w:hAnsi="宋体" w:eastAsia="宋体" w:cs="宋体"/>
          <w:color w:val="auto"/>
          <w:spacing w:val="-6"/>
          <w:szCs w:val="21"/>
          <w:highlight w:val="none"/>
          <w:lang w:val="en-US"/>
        </w:rPr>
        <w:t>1080</w:t>
      </w:r>
      <w:r>
        <w:rPr>
          <w:rFonts w:hint="eastAsia" w:ascii="宋体" w:hAnsi="宋体" w:eastAsia="宋体" w:cs="宋体"/>
          <w:color w:val="auto"/>
          <w:spacing w:val="-5"/>
          <w:szCs w:val="21"/>
          <w:highlight w:val="none"/>
        </w:rPr>
        <w:t>天为准，按工程竣工验收文件中建设单位签字的时间起算。</w:t>
      </w:r>
      <w:r>
        <w:rPr>
          <w:rFonts w:hint="eastAsia" w:ascii="宋体" w:hAnsi="宋体" w:eastAsia="宋体" w:cs="宋体"/>
          <w:color w:val="auto"/>
          <w:szCs w:val="21"/>
          <w:highlight w:val="none"/>
        </w:rPr>
        <w:t xml:space="preserve"> </w:t>
      </w:r>
    </w:p>
    <w:p>
      <w:pPr>
        <w:pStyle w:val="48"/>
        <w:spacing w:before="3" w:line="360" w:lineRule="auto"/>
        <w:ind w:left="114" w:right="77" w:firstLine="388" w:firstLineChars="200"/>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该类似施工和</w:t>
      </w:r>
      <w:r>
        <w:rPr>
          <w:rFonts w:hint="eastAsia" w:ascii="宋体" w:hAnsi="宋体" w:eastAsia="宋体" w:cs="宋体"/>
          <w:color w:val="auto"/>
          <w:spacing w:val="-8"/>
          <w:szCs w:val="21"/>
          <w:highlight w:val="none"/>
          <w:lang w:val="en-US" w:eastAsia="zh-CN"/>
        </w:rPr>
        <w:t>工程</w:t>
      </w:r>
      <w:r>
        <w:rPr>
          <w:rFonts w:hint="eastAsia" w:ascii="宋体" w:hAnsi="宋体" w:eastAsia="宋体" w:cs="宋体"/>
          <w:color w:val="auto"/>
          <w:spacing w:val="-8"/>
          <w:szCs w:val="21"/>
          <w:highlight w:val="none"/>
        </w:rPr>
        <w:t>总承包工程业绩应当在“湖南省智慧住建云—湖南省建筑市场监管公共服务平台—房屋建筑和市政基础设施工程施工招标投标信用评价管理平台（http://gcxm.hunanjs.gov.cn/）”或者“全国建筑市场监管公共服务平台”（http://jzsc.mohurd.gov.cn/home）查询到其项目名称，提供查询截图。</w:t>
      </w:r>
      <w:r>
        <w:rPr>
          <w:rFonts w:hint="eastAsia" w:ascii="宋体" w:hAnsi="宋体" w:eastAsia="宋体" w:cs="宋体"/>
          <w:color w:val="auto"/>
          <w:szCs w:val="21"/>
          <w:highlight w:val="none"/>
        </w:rPr>
        <w:t xml:space="preserve"> </w:t>
      </w:r>
    </w:p>
    <w:p>
      <w:pPr>
        <w:pStyle w:val="48"/>
        <w:spacing w:line="360" w:lineRule="auto"/>
        <w:ind w:left="114" w:right="77" w:firstLine="630" w:firstLineChars="300"/>
        <w:rPr>
          <w:rFonts w:ascii="宋体" w:hAnsi="宋体" w:eastAsia="宋体"/>
          <w:color w:val="auto"/>
          <w:spacing w:val="-5"/>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pacing w:val="-5"/>
          <w:szCs w:val="21"/>
        </w:rPr>
        <w:t>国家级奖项为：中国建筑业协会颁发的鲁班奖、中国勘察设计协会颁发的行业优秀勘察设计奖（公共建筑类设计奖项）、庆祝新中国成立七十周年系列推举活动中获得的优秀勘察设计项目奖（公共建筑类设计奖项）；省级奖项为：各省级（含直辖市）建筑业协会</w:t>
      </w:r>
      <w:r>
        <w:rPr>
          <w:rStyle w:val="51"/>
          <w:rFonts w:hint="eastAsia" w:cs="宋体" w:asciiTheme="minorEastAsia" w:hAnsiTheme="minorEastAsia" w:eastAsiaTheme="minorEastAsia"/>
          <w:color w:val="auto"/>
          <w:szCs w:val="21"/>
        </w:rPr>
        <w:t>（或建筑业联合会）</w:t>
      </w:r>
      <w:r>
        <w:rPr>
          <w:rFonts w:hint="eastAsia" w:ascii="宋体" w:hAnsi="宋体" w:eastAsia="宋体" w:cs="宋体"/>
          <w:color w:val="auto"/>
          <w:spacing w:val="-5"/>
          <w:szCs w:val="21"/>
        </w:rPr>
        <w:t>颁发的奖项、各省级勘察设计协会颁发的奖项（公共建筑类设计奖项）；市级奖项为：各市级（含直辖市区级）建筑业协会</w:t>
      </w:r>
      <w:r>
        <w:rPr>
          <w:rStyle w:val="51"/>
          <w:rFonts w:hint="eastAsia" w:cs="宋体" w:asciiTheme="minorEastAsia" w:hAnsiTheme="minorEastAsia" w:eastAsiaTheme="minorEastAsia"/>
          <w:color w:val="auto"/>
          <w:szCs w:val="21"/>
        </w:rPr>
        <w:t>（或建筑业联合会）</w:t>
      </w:r>
      <w:r>
        <w:rPr>
          <w:rFonts w:hint="eastAsia" w:ascii="宋体" w:hAnsi="宋体" w:eastAsia="宋体" w:cs="宋体"/>
          <w:color w:val="auto"/>
          <w:spacing w:val="-5"/>
          <w:szCs w:val="21"/>
        </w:rPr>
        <w:t>颁发的奖项。</w:t>
      </w:r>
    </w:p>
    <w:p>
      <w:pPr>
        <w:pStyle w:val="48"/>
        <w:spacing w:before="3" w:line="360" w:lineRule="auto"/>
        <w:ind w:left="114" w:right="77" w:firstLine="630" w:firstLineChars="300"/>
        <w:rPr>
          <w:rFonts w:hint="default" w:ascii="宋体" w:hAnsi="宋体" w:eastAsia="宋体" w:cs="宋体"/>
          <w:color w:val="auto"/>
          <w:szCs w:val="21"/>
          <w:highlight w:val="none"/>
          <w:lang w:val="en-US" w:eastAsia="zh-CN"/>
        </w:rPr>
      </w:pPr>
    </w:p>
    <w:p>
      <w:pPr>
        <w:pStyle w:val="48"/>
        <w:spacing w:before="3" w:line="360" w:lineRule="auto"/>
        <w:ind w:left="114" w:right="77" w:firstLine="211"/>
        <w:rPr>
          <w:rFonts w:hint="eastAsia" w:ascii="宋体" w:hAnsi="宋体" w:eastAsia="宋体" w:cs="宋体"/>
          <w:color w:val="auto"/>
          <w:szCs w:val="21"/>
          <w:highlight w:val="none"/>
          <w:lang w:val="en-US" w:eastAsia="zh-CN"/>
        </w:rPr>
      </w:pPr>
    </w:p>
    <w:p>
      <w:pPr>
        <w:pStyle w:val="48"/>
        <w:spacing w:before="3" w:line="360" w:lineRule="auto"/>
        <w:ind w:right="77"/>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评委签字：</w:t>
      </w:r>
    </w:p>
    <w:p>
      <w:pPr>
        <w:pStyle w:val="19"/>
        <w:rPr>
          <w:color w:val="auto"/>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31"/>
        <w:rPr>
          <w:rFonts w:hint="eastAsia" w:ascii="宋体" w:hAnsi="宋体" w:eastAsia="宋体" w:cs="宋体"/>
          <w:b w:val="0"/>
          <w:bCs/>
          <w:color w:val="auto"/>
          <w:sz w:val="24"/>
          <w:highlight w:val="none"/>
        </w:rPr>
      </w:pPr>
    </w:p>
    <w:p>
      <w:pPr>
        <w:pStyle w:val="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附表3-1</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：投标报价评审计分表</w:t>
      </w:r>
      <w:bookmarkEnd w:id="329"/>
    </w:p>
    <w:p>
      <w:pPr>
        <w:spacing w:line="60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投标报价评审计分表（权数：0.1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p>
    <w:tbl>
      <w:tblPr>
        <w:tblStyle w:val="21"/>
        <w:tblW w:w="8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34"/>
        <w:gridCol w:w="1263"/>
        <w:gridCol w:w="1251"/>
        <w:gridCol w:w="2160"/>
        <w:gridCol w:w="1270"/>
        <w:gridCol w:w="1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20"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序号</w:t>
            </w:r>
          </w:p>
        </w:tc>
        <w:tc>
          <w:tcPr>
            <w:tcW w:w="2848" w:type="dxa"/>
            <w:gridSpan w:val="3"/>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项目</w:t>
            </w:r>
          </w:p>
        </w:tc>
        <w:tc>
          <w:tcPr>
            <w:tcW w:w="2160"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评分标准</w:t>
            </w:r>
          </w:p>
        </w:tc>
        <w:tc>
          <w:tcPr>
            <w:tcW w:w="2616" w:type="dxa"/>
            <w:gridSpan w:val="2"/>
            <w:tcBorders>
              <w:top w:val="single" w:color="auto" w:sz="12"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1</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p>
            <w:pPr>
              <w:jc w:val="center"/>
              <w:rPr>
                <w:rFonts w:hint="eastAsia" w:ascii="宋体" w:hAnsi="宋体" w:cs="宋体"/>
                <w:color w:val="auto"/>
                <w:sz w:val="18"/>
                <w:highlight w:val="none"/>
              </w:rPr>
            </w:pPr>
            <w:r>
              <w:rPr>
                <w:rFonts w:hint="eastAsia" w:ascii="宋体" w:hAnsi="宋体" w:cs="宋体"/>
                <w:color w:val="auto"/>
                <w:sz w:val="18"/>
                <w:highlight w:val="none"/>
              </w:rPr>
              <w:t>最终投标价＞基准价</w:t>
            </w:r>
          </w:p>
          <w:p>
            <w:pPr>
              <w:rPr>
                <w:rFonts w:hint="eastAsia" w:ascii="宋体" w:hAnsi="宋体" w:cs="宋体"/>
                <w:color w:val="auto"/>
                <w:sz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从0开始每升1%减</w:t>
            </w:r>
            <w:r>
              <w:rPr>
                <w:rFonts w:ascii="宋体" w:hAnsi="宋体" w:cs="宋体"/>
                <w:color w:val="auto"/>
                <w:sz w:val="18"/>
                <w:highlight w:val="none"/>
              </w:rPr>
              <w:t>1</w:t>
            </w:r>
            <w:r>
              <w:rPr>
                <w:rFonts w:hint="eastAsia" w:ascii="宋体" w:hAnsi="宋体" w:cs="宋体"/>
                <w:color w:val="auto"/>
                <w:sz w:val="18"/>
                <w:highlight w:val="none"/>
              </w:rPr>
              <w:t>.5分，即100-</w:t>
            </w:r>
            <w:r>
              <w:rPr>
                <w:rFonts w:ascii="宋体" w:hAnsi="宋体" w:cs="宋体"/>
                <w:color w:val="auto"/>
                <w:sz w:val="18"/>
                <w:highlight w:val="none"/>
              </w:rPr>
              <w:t>1</w:t>
            </w:r>
            <w:r>
              <w:rPr>
                <w:rFonts w:hint="eastAsia" w:ascii="宋体" w:hAnsi="宋体" w:cs="宋体"/>
                <w:color w:val="auto"/>
                <w:sz w:val="18"/>
                <w:highlight w:val="none"/>
              </w:rPr>
              <w:t>.5*100X</w:t>
            </w:r>
          </w:p>
        </w:tc>
        <w:tc>
          <w:tcPr>
            <w:tcW w:w="2616" w:type="dxa"/>
            <w:gridSpan w:val="2"/>
            <w:vMerge w:val="restart"/>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18"/>
                <w:highlight w:val="none"/>
              </w:rPr>
            </w:pPr>
          </w:p>
          <w:p>
            <w:pPr>
              <w:rPr>
                <w:rFonts w:hint="eastAsia" w:ascii="宋体" w:hAnsi="宋体" w:cs="宋体"/>
                <w:color w:val="auto"/>
                <w:sz w:val="18"/>
                <w:highlight w:val="none"/>
              </w:rPr>
            </w:pPr>
            <w:r>
              <w:rPr>
                <w:rFonts w:hint="eastAsia" w:ascii="宋体" w:hAnsi="宋体" w:cs="宋体"/>
                <w:color w:val="auto"/>
                <w:sz w:val="18"/>
                <w:highlight w:val="none"/>
              </w:rPr>
              <w:t>X为最终投标价升、降率百分点数的绝对值，即</w:t>
            </w:r>
          </w:p>
          <w:p>
            <w:pPr>
              <w:rPr>
                <w:rFonts w:hint="eastAsia" w:ascii="宋体" w:hAnsi="宋体" w:cs="宋体"/>
                <w:color w:val="auto"/>
                <w:sz w:val="18"/>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60325</wp:posOffset>
                      </wp:positionV>
                      <wp:extent cx="3175" cy="510540"/>
                      <wp:effectExtent l="4445" t="0" r="11430" b="3810"/>
                      <wp:wrapNone/>
                      <wp:docPr id="21" name="直接连接符 21"/>
                      <wp:cNvGraphicFramePr/>
                      <a:graphic xmlns:a="http://schemas.openxmlformats.org/drawingml/2006/main">
                        <a:graphicData uri="http://schemas.microsoft.com/office/word/2010/wordprocessingShape">
                          <wps:wsp>
                            <wps:cNvCnPr/>
                            <wps:spPr>
                              <a:xfrm>
                                <a:off x="0" y="0"/>
                                <a:ext cx="3175" cy="510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75pt;height:40.2pt;width:0.25pt;z-index:251661312;mso-width-relative:page;mso-height-relative:page;" filled="f" stroked="t" coordsize="21600,21600" o:gfxdata="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RAS7RAAAAAgEAAA8AAAAAAAAAAQAgAAAAIgAAAGRycy9kb3ducmV2LnhtbFBL&#10;AQIUABQAAAAIAIdO4kCBQRi0/QEAAPYDAAAOAAAAAAAAAAEAIAAAACA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1039495</wp:posOffset>
                      </wp:positionH>
                      <wp:positionV relativeFrom="paragraph">
                        <wp:posOffset>75565</wp:posOffset>
                      </wp:positionV>
                      <wp:extent cx="635" cy="495300"/>
                      <wp:effectExtent l="0" t="0" r="0" b="0"/>
                      <wp:wrapNone/>
                      <wp:docPr id="19" name="直接连接符 19"/>
                      <wp:cNvGraphicFramePr/>
                      <a:graphic xmlns:a="http://schemas.openxmlformats.org/drawingml/2006/main">
                        <a:graphicData uri="http://schemas.microsoft.com/office/word/2010/wordprocessingShape">
                          <wps:wsp>
                            <wps:cNvCnPr/>
                            <wps:spPr>
                              <a:xfrm flipH="1" flipV="1">
                                <a:off x="0" y="0"/>
                                <a:ext cx="635" cy="4953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81.85pt;margin-top:5.95pt;height:39pt;width:0.05pt;z-index:251662336;mso-width-relative:page;mso-height-relative:page;" filled="f" stroked="t" coordsize="21600,21600" o:gfxdata="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39q/0wAAAAkBAAAPAAAAAAAAAAEAIAAAACIAAABkcnMv&#10;ZG93bnJldi54bWxQSwECFAAUAAAACACHTuJAoZs5xggCAAAJBAAADgAAAAAAAAABACAAAAAiAQAA&#10;ZHJzL2Uyb0RvYy54bWxQSwUGAAAAAAYABgBZAQAAnAUAAAAA&#10;">
                      <v:fill on="f" focussize="0,0"/>
                      <v:stroke color="#000000" joinstyle="round"/>
                      <v:imagedata o:title=""/>
                      <o:lock v:ext="edit" aspectratio="f"/>
                    </v:line>
                  </w:pict>
                </mc:Fallback>
              </mc:AlternateContent>
            </w:r>
            <w:r>
              <w:rPr>
                <w:rFonts w:hint="eastAsia" w:ascii="宋体" w:hAnsi="宋体" w:cs="宋体"/>
                <w:color w:val="auto"/>
                <w:sz w:val="18"/>
                <w:highlight w:val="none"/>
              </w:rPr>
              <w:t>最终投标价—基准价</w:t>
            </w:r>
          </w:p>
          <w:p>
            <w:pPr>
              <w:rPr>
                <w:rFonts w:hint="eastAsia" w:ascii="宋体" w:hAnsi="宋体" w:cs="宋体"/>
                <w:color w:val="auto"/>
                <w:sz w:val="18"/>
                <w:highlight w:val="none"/>
              </w:rPr>
            </w:pP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60325</wp:posOffset>
                      </wp:positionV>
                      <wp:extent cx="977900" cy="0"/>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97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6pt;margin-top:4.75pt;height:0pt;width:77pt;z-index:251663360;mso-width-relative:page;mso-height-relative:page;" filled="f" stroked="t" coordsize="21600,21600" o:gfxdata="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Q+2srRAAAABQEAAA8AAAAAAAAAAQAgAAAAIgAAAGRycy9kb3ducmV2Lnht&#10;bFBLAQIUABQAAAAIAIdO4kBDun2pAAIAAP0DAAAOAAAAAAAAAAEAIAAAACABAABkcnMvZTJvRG9j&#10;LnhtbFBLBQYAAAAABgAGAFkBAACSBQAAAAA=&#10;">
                      <v:fill on="f" focussize="0,0"/>
                      <v:stroke color="#000000" joinstyle="round"/>
                      <v:imagedata o:title=""/>
                      <o:lock v:ext="edit" aspectratio="f"/>
                    </v:line>
                  </w:pict>
                </mc:Fallback>
              </mc:AlternateContent>
            </w:r>
            <w:r>
              <w:rPr>
                <w:rFonts w:hint="eastAsia" w:ascii="宋体" w:hAnsi="宋体" w:cs="宋体"/>
                <w:color w:val="auto"/>
                <w:sz w:val="18"/>
                <w:highlight w:val="none"/>
              </w:rPr>
              <w:t xml:space="preserve">                  ×100%</w:t>
            </w:r>
          </w:p>
          <w:p>
            <w:pPr>
              <w:ind w:firstLine="540" w:firstLineChars="300"/>
              <w:rPr>
                <w:rFonts w:hint="eastAsia" w:ascii="宋体" w:hAnsi="宋体" w:cs="宋体"/>
                <w:color w:val="auto"/>
                <w:sz w:val="18"/>
                <w:highlight w:val="none"/>
              </w:rPr>
            </w:pPr>
            <w:r>
              <w:rPr>
                <w:rFonts w:hint="eastAsia" w:ascii="宋体" w:hAnsi="宋体" w:cs="宋体"/>
                <w:color w:val="auto"/>
                <w:sz w:val="18"/>
                <w:highlight w:val="none"/>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2</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最终投标价=基准价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100分</w:t>
            </w:r>
          </w:p>
        </w:tc>
        <w:tc>
          <w:tcPr>
            <w:tcW w:w="2616"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hint="eastAsia" w:ascii="宋体"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atLeast"/>
          <w:jc w:val="center"/>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3</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p>
            <w:pPr>
              <w:jc w:val="center"/>
              <w:rPr>
                <w:rFonts w:hint="eastAsia" w:ascii="宋体" w:hAnsi="宋体" w:cs="宋体"/>
                <w:color w:val="auto"/>
                <w:sz w:val="18"/>
                <w:highlight w:val="none"/>
              </w:rPr>
            </w:pPr>
            <w:r>
              <w:rPr>
                <w:rFonts w:hint="eastAsia" w:ascii="宋体" w:hAnsi="宋体" w:cs="宋体"/>
                <w:color w:val="auto"/>
                <w:sz w:val="18"/>
                <w:highlight w:val="none"/>
              </w:rPr>
              <w:t>最终投标价＜基准价</w:t>
            </w:r>
          </w:p>
          <w:p>
            <w:pPr>
              <w:rPr>
                <w:rFonts w:hint="eastAsia" w:ascii="宋体" w:hAnsi="宋体" w:cs="宋体"/>
                <w:color w:val="auto"/>
                <w:sz w:val="18"/>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从0开始每降1%减1分，即100-1*100X</w:t>
            </w:r>
          </w:p>
        </w:tc>
        <w:tc>
          <w:tcPr>
            <w:tcW w:w="2616"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hint="eastAsia" w:ascii="宋体"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1054"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投标人</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投标报价</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最终投标价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基准价</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X值</w:t>
            </w: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cs="宋体"/>
                <w:color w:val="auto"/>
                <w:sz w:val="18"/>
                <w:highlight w:val="none"/>
              </w:rPr>
            </w:pPr>
            <w:r>
              <w:rPr>
                <w:rFonts w:hint="eastAsia" w:ascii="宋体" w:hAnsi="宋体" w:cs="宋体"/>
                <w:color w:val="auto"/>
                <w:sz w:val="18"/>
                <w:highlight w:val="none"/>
              </w:rPr>
              <w:t>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4" w:type="dxa"/>
            <w:gridSpan w:val="2"/>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346"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4" w:type="dxa"/>
            <w:gridSpan w:val="2"/>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346"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4" w:type="dxa"/>
            <w:gridSpan w:val="2"/>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346"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4" w:type="dxa"/>
            <w:gridSpan w:val="2"/>
            <w:tcBorders>
              <w:top w:val="single" w:color="auto" w:sz="4" w:space="0"/>
              <w:left w:val="single" w:color="auto" w:sz="12"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18"/>
                <w:highlight w:val="none"/>
              </w:rPr>
            </w:pPr>
          </w:p>
        </w:tc>
        <w:tc>
          <w:tcPr>
            <w:tcW w:w="1346"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344" w:type="dxa"/>
            <w:gridSpan w:val="7"/>
            <w:tcBorders>
              <w:top w:val="single" w:color="auto" w:sz="4" w:space="0"/>
              <w:left w:val="single" w:color="auto" w:sz="12" w:space="0"/>
              <w:bottom w:val="single" w:color="auto" w:sz="12" w:space="0"/>
              <w:right w:val="single" w:color="auto" w:sz="12" w:space="0"/>
            </w:tcBorders>
            <w:vAlign w:val="center"/>
          </w:tcPr>
          <w:p>
            <w:pPr>
              <w:rPr>
                <w:rFonts w:hint="eastAsia" w:ascii="宋体" w:hAnsi="宋体" w:cs="宋体"/>
                <w:color w:val="auto"/>
                <w:sz w:val="18"/>
                <w:highlight w:val="none"/>
              </w:rPr>
            </w:pPr>
            <w:r>
              <w:rPr>
                <w:rFonts w:hint="eastAsia" w:ascii="宋体" w:hAnsi="宋体" w:cs="宋体"/>
                <w:color w:val="auto"/>
                <w:sz w:val="18"/>
                <w:highlight w:val="none"/>
              </w:rPr>
              <w:t>对投标报价的调整记录：</w:t>
            </w:r>
          </w:p>
        </w:tc>
      </w:tr>
    </w:tbl>
    <w:p>
      <w:pPr>
        <w:spacing w:line="30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备注：</w:t>
      </w:r>
    </w:p>
    <w:p>
      <w:pPr>
        <w:spacing w:line="30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1．投标报价得分，基本分100分。</w:t>
      </w:r>
    </w:p>
    <w:p>
      <w:pPr>
        <w:spacing w:line="30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2．除经初步评审为不合格投标人（包括投标报价文件无效）的和被认定为最终投标报价低于其企业成本的外，其他的最终投标报价均应按规定进入最终投标价的算术平均。</w:t>
      </w:r>
    </w:p>
    <w:p>
      <w:pPr>
        <w:spacing w:line="30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3．符合招标控制价≥最终投标价≥0.90×最终投标价的算术平均值的最终投标价进入基准价计算。</w:t>
      </w:r>
    </w:p>
    <w:p>
      <w:pPr>
        <w:spacing w:line="300" w:lineRule="auto"/>
        <w:jc w:val="left"/>
        <w:rPr>
          <w:rFonts w:hint="eastAsia" w:ascii="宋体" w:hAnsi="宋体" w:cs="宋体"/>
          <w:color w:val="auto"/>
          <w:sz w:val="18"/>
          <w:szCs w:val="18"/>
          <w:highlight w:val="none"/>
          <w:lang w:val="pt-BR"/>
        </w:rPr>
      </w:pPr>
      <w:r>
        <w:rPr>
          <w:rFonts w:hint="eastAsia" w:ascii="宋体" w:hAnsi="宋体" w:cs="宋体"/>
          <w:color w:val="auto"/>
          <w:sz w:val="18"/>
          <w:szCs w:val="18"/>
          <w:highlight w:val="none"/>
          <w:lang w:val="pt-BR"/>
        </w:rPr>
        <w:t xml:space="preserve">    4．</w:t>
      </w:r>
      <w:r>
        <w:rPr>
          <w:rFonts w:hint="eastAsia" w:ascii="宋体" w:hAnsi="宋体" w:cs="宋体"/>
          <w:color w:val="auto"/>
          <w:sz w:val="18"/>
          <w:szCs w:val="18"/>
          <w:highlight w:val="none"/>
        </w:rPr>
        <w:t>基准价公式</w:t>
      </w:r>
      <w:r>
        <w:rPr>
          <w:rFonts w:hint="eastAsia" w:ascii="宋体" w:hAnsi="宋体" w:cs="宋体"/>
          <w:color w:val="auto"/>
          <w:sz w:val="18"/>
          <w:szCs w:val="18"/>
          <w:highlight w:val="none"/>
          <w:lang w:val="pt-BR"/>
        </w:rPr>
        <w:t>：</w:t>
      </w:r>
    </w:p>
    <w:p>
      <w:pPr>
        <w:spacing w:line="312" w:lineRule="auto"/>
        <w:ind w:firstLine="360" w:firstLineChars="200"/>
        <w:rPr>
          <w:rFonts w:hint="eastAsia" w:ascii="宋体" w:hAnsi="宋体" w:cs="宋体"/>
          <w:color w:val="auto"/>
          <w:sz w:val="18"/>
          <w:szCs w:val="18"/>
          <w:highlight w:val="none"/>
          <w:lang w:val="pt-BR"/>
        </w:rPr>
      </w:pPr>
      <w:r>
        <w:rPr>
          <w:rFonts w:hint="eastAsia" w:ascii="宋体" w:hAnsi="宋体" w:cs="宋体"/>
          <w:color w:val="auto"/>
          <w:sz w:val="18"/>
          <w:szCs w:val="18"/>
          <w:highlight w:val="none"/>
          <w:lang w:val="pt-BR"/>
        </w:rPr>
        <w:t xml:space="preserve">                  A1+A2+……＋Ai+……＋An</w:t>
      </w:r>
    </w:p>
    <w:p>
      <w:pPr>
        <w:spacing w:line="300" w:lineRule="auto"/>
        <w:jc w:val="left"/>
        <w:rPr>
          <w:rFonts w:hint="eastAsia" w:ascii="宋体" w:hAnsi="宋体" w:cs="宋体"/>
          <w:color w:val="auto"/>
          <w:sz w:val="18"/>
          <w:szCs w:val="18"/>
          <w:highlight w:val="none"/>
          <w:lang w:val="pt-BR"/>
        </w:rPr>
      </w:pP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10795</wp:posOffset>
                </wp:positionV>
                <wp:extent cx="1921510" cy="444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1927225"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2pt;margin-top:0.85pt;height:0.35pt;width:151.3pt;z-index:251664384;mso-width-relative:page;mso-height-relative:page;" filled="f" stroked="t" coordsize="21600,21600" o:gfxdata="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qEextUAAAAHAQAADwAAAAAAAAABACAAAAAiAAAAZHJzL2Rvd25y&#10;ZXYueG1sUEsBAhQAFAAAAAgAh07iQJGv4GEBAgAAAQQAAA4AAAAAAAAAAQAgAAAAJAEAAGRycy9l&#10;Mm9Eb2MueG1sUEsFBgAAAAAGAAYAWQEAAJcFAAAAAA==&#10;">
                <v:fill on="f" focussize="0,0"/>
                <v:stroke color="#000000" joinstyle="round"/>
                <v:imagedata o:title=""/>
                <o:lock v:ext="edit" aspectratio="f"/>
              </v:line>
            </w:pict>
          </mc:Fallback>
        </mc:AlternateContent>
      </w:r>
      <w:r>
        <w:rPr>
          <w:rFonts w:hint="eastAsia" w:ascii="宋体" w:hAnsi="宋体" w:cs="宋体"/>
          <w:color w:val="auto"/>
          <w:sz w:val="18"/>
          <w:szCs w:val="18"/>
          <w:highlight w:val="none"/>
        </w:rPr>
        <w:t>基准价</w:t>
      </w:r>
      <w:r>
        <w:rPr>
          <w:rFonts w:hint="eastAsia" w:ascii="宋体" w:hAnsi="宋体" w:cs="宋体"/>
          <w:color w:val="auto"/>
          <w:sz w:val="18"/>
          <w:szCs w:val="18"/>
          <w:highlight w:val="none"/>
          <w:lang w:val="pt-BR"/>
        </w:rPr>
        <w:t xml:space="preserve">=                N                </w:t>
      </w:r>
    </w:p>
    <w:p>
      <w:pPr>
        <w:spacing w:line="300" w:lineRule="auto"/>
        <w:jc w:val="left"/>
        <w:rPr>
          <w:rFonts w:hint="eastAsia" w:ascii="宋体" w:hAnsi="宋体" w:cs="宋体"/>
          <w:color w:val="auto"/>
          <w:sz w:val="18"/>
          <w:szCs w:val="18"/>
          <w:highlight w:val="none"/>
          <w:lang w:val="pt-BR"/>
        </w:rPr>
      </w:pPr>
      <w:r>
        <w:rPr>
          <w:rFonts w:hint="eastAsia" w:ascii="宋体" w:hAnsi="宋体" w:cs="宋体"/>
          <w:color w:val="auto"/>
          <w:sz w:val="18"/>
          <w:szCs w:val="18"/>
          <w:highlight w:val="none"/>
          <w:lang w:val="pt-BR"/>
        </w:rPr>
        <w:t xml:space="preserve">       i=1…i…n; Ai</w:t>
      </w:r>
      <w:r>
        <w:rPr>
          <w:rFonts w:hint="eastAsia" w:ascii="宋体" w:hAnsi="宋体" w:cs="宋体"/>
          <w:color w:val="auto"/>
          <w:sz w:val="18"/>
          <w:szCs w:val="18"/>
          <w:highlight w:val="none"/>
        </w:rPr>
        <w:t>为进入基准价计算的最终投标价</w:t>
      </w:r>
      <w:r>
        <w:rPr>
          <w:rFonts w:hint="eastAsia" w:ascii="宋体" w:hAnsi="宋体" w:cs="宋体"/>
          <w:color w:val="auto"/>
          <w:sz w:val="18"/>
          <w:szCs w:val="18"/>
          <w:highlight w:val="none"/>
          <w:lang w:val="pt-BR"/>
        </w:rPr>
        <w:t>; N</w:t>
      </w:r>
      <w:r>
        <w:rPr>
          <w:rFonts w:hint="eastAsia" w:ascii="宋体" w:hAnsi="宋体" w:cs="宋体"/>
          <w:color w:val="auto"/>
          <w:sz w:val="18"/>
          <w:szCs w:val="18"/>
          <w:highlight w:val="none"/>
        </w:rPr>
        <w:t>为进入基准价计算的最终投标价的个数。</w:t>
      </w:r>
    </w:p>
    <w:p>
      <w:pPr>
        <w:spacing w:line="30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5．最终投标价以元为单位，计算保留至小数点后2位（百分比亦然），小数点后第3位采取4舍5入。</w:t>
      </w:r>
    </w:p>
    <w:p>
      <w:pPr>
        <w:jc w:val="left"/>
        <w:rPr>
          <w:rFonts w:hint="eastAsia" w:ascii="宋体" w:hAnsi="宋体" w:cs="宋体"/>
          <w:color w:val="auto"/>
          <w:highlight w:val="none"/>
        </w:rPr>
      </w:pPr>
    </w:p>
    <w:p>
      <w:pPr>
        <w:jc w:val="left"/>
        <w:rPr>
          <w:rFonts w:hint="eastAsia" w:ascii="宋体" w:hAnsi="宋体" w:cs="宋体"/>
          <w:color w:val="auto"/>
          <w:highlight w:val="none"/>
        </w:rPr>
      </w:pPr>
    </w:p>
    <w:p>
      <w:pPr>
        <w:jc w:val="left"/>
        <w:rPr>
          <w:rFonts w:hint="eastAsia" w:ascii="宋体" w:hAnsi="宋体" w:cs="宋体"/>
          <w:color w:val="auto"/>
          <w:szCs w:val="21"/>
          <w:highlight w:val="none"/>
        </w:rPr>
      </w:pPr>
      <w:r>
        <w:rPr>
          <w:rFonts w:hint="eastAsia" w:ascii="宋体" w:hAnsi="宋体" w:cs="宋体"/>
          <w:color w:val="auto"/>
          <w:szCs w:val="21"/>
          <w:highlight w:val="none"/>
        </w:rPr>
        <w:t>评标委员会全体成员签字/日期：</w:t>
      </w:r>
    </w:p>
    <w:p>
      <w:pPr>
        <w:rPr>
          <w:rFonts w:hint="eastAsia" w:ascii="宋体" w:hAnsi="宋体" w:cs="宋体"/>
          <w:b/>
          <w:bCs/>
          <w:color w:val="auto"/>
          <w:sz w:val="24"/>
          <w:highlight w:val="none"/>
        </w:rPr>
      </w:pPr>
    </w:p>
    <w:bookmarkEnd w:id="325"/>
    <w:p>
      <w:pPr>
        <w:pStyle w:val="6"/>
        <w:outlineLvl w:val="9"/>
        <w:rPr>
          <w:rFonts w:hint="eastAsia" w:ascii="宋体" w:hAnsi="宋体" w:eastAsia="宋体" w:cs="宋体"/>
          <w:b w:val="0"/>
          <w:bCs/>
          <w:color w:val="auto"/>
          <w:sz w:val="24"/>
          <w:highlight w:val="none"/>
        </w:rPr>
      </w:pPr>
      <w:bookmarkStart w:id="330" w:name="_Toc300678157"/>
      <w:bookmarkStart w:id="331" w:name="_Hlk530048083"/>
    </w:p>
    <w:p>
      <w:pPr>
        <w:pStyle w:val="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附表3-1</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：权数取值表</w:t>
      </w:r>
      <w:bookmarkEnd w:id="330"/>
    </w:p>
    <w:p>
      <w:pPr>
        <w:spacing w:line="360" w:lineRule="auto"/>
        <w:jc w:val="center"/>
        <w:rPr>
          <w:rFonts w:hint="eastAsia" w:ascii="宋体" w:hAnsi="宋体" w:eastAsia="宋体" w:cs="宋体"/>
          <w:b/>
          <w:color w:val="auto"/>
          <w:szCs w:val="21"/>
          <w:highlight w:val="none"/>
        </w:rPr>
      </w:pPr>
      <w:bookmarkStart w:id="332" w:name="_Toc300678158"/>
      <w:r>
        <w:rPr>
          <w:rFonts w:hint="eastAsia" w:ascii="宋体" w:hAnsi="宋体" w:eastAsia="宋体" w:cs="宋体"/>
          <w:color w:val="auto"/>
          <w:szCs w:val="21"/>
          <w:highlight w:val="none"/>
        </w:rPr>
        <w:t>权数取值表</w:t>
      </w:r>
    </w:p>
    <w:p>
      <w:pPr>
        <w:rPr>
          <w:rFonts w:hint="eastAsia" w:ascii="宋体" w:hAnsi="宋体" w:eastAsia="宋体" w:cs="宋体"/>
          <w:color w:val="auto"/>
          <w:szCs w:val="21"/>
          <w:highlight w:val="none"/>
        </w:rPr>
      </w:pPr>
    </w:p>
    <w:tbl>
      <w:tblPr>
        <w:tblStyle w:val="21"/>
        <w:tblW w:w="86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3679"/>
        <w:gridCol w:w="2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2276" w:type="dxa"/>
            <w:vMerge w:val="restart"/>
            <w:tcBorders>
              <w:top w:val="single" w:color="auto" w:sz="12" w:space="0"/>
            </w:tcBorders>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679" w:type="dxa"/>
            <w:vMerge w:val="restart"/>
            <w:tcBorders>
              <w:top w:val="single" w:color="auto" w:sz="12" w:space="0"/>
            </w:tcBorders>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2672" w:type="dxa"/>
            <w:vMerge w:val="restart"/>
            <w:tcBorders>
              <w:top w:val="single" w:color="auto" w:sz="12" w:space="0"/>
            </w:tcBorders>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权值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2276" w:type="dxa"/>
            <w:vMerge w:val="continue"/>
            <w:vAlign w:val="center"/>
          </w:tcPr>
          <w:p>
            <w:pPr>
              <w:spacing w:line="360" w:lineRule="auto"/>
              <w:jc w:val="center"/>
              <w:rPr>
                <w:rFonts w:hint="eastAsia" w:ascii="宋体" w:hAnsi="宋体" w:cs="宋体"/>
                <w:b/>
                <w:bCs/>
                <w:color w:val="auto"/>
                <w:szCs w:val="21"/>
                <w:highlight w:val="none"/>
              </w:rPr>
            </w:pPr>
          </w:p>
        </w:tc>
        <w:tc>
          <w:tcPr>
            <w:tcW w:w="3679" w:type="dxa"/>
            <w:vMerge w:val="continue"/>
            <w:vAlign w:val="center"/>
          </w:tcPr>
          <w:p>
            <w:pPr>
              <w:spacing w:line="360" w:lineRule="auto"/>
              <w:jc w:val="center"/>
              <w:rPr>
                <w:rFonts w:hint="eastAsia" w:ascii="宋体" w:hAnsi="宋体" w:cs="宋体"/>
                <w:b/>
                <w:bCs/>
                <w:color w:val="auto"/>
                <w:szCs w:val="21"/>
                <w:highlight w:val="none"/>
              </w:rPr>
            </w:pPr>
          </w:p>
        </w:tc>
        <w:tc>
          <w:tcPr>
            <w:tcW w:w="2672" w:type="dxa"/>
            <w:vMerge w:val="continue"/>
            <w:vAlign w:val="center"/>
          </w:tcPr>
          <w:p>
            <w:pPr>
              <w:spacing w:line="360" w:lineRule="auto"/>
              <w:jc w:val="center"/>
              <w:rPr>
                <w:rFonts w:hint="eastAsia" w:ascii="宋体" w:hAnsi="宋体" w:cs="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2276"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3679" w:type="dxa"/>
            <w:vAlign w:val="center"/>
          </w:tcPr>
          <w:p>
            <w:pPr>
              <w:spacing w:line="360" w:lineRule="auto"/>
              <w:jc w:val="center"/>
              <w:rPr>
                <w:rFonts w:hint="eastAsia" w:ascii="宋体" w:hAnsi="宋体" w:eastAsia="方正小标宋简体" w:cs="宋体"/>
                <w:b/>
                <w:bCs/>
                <w:color w:val="auto"/>
                <w:szCs w:val="21"/>
                <w:highlight w:val="none"/>
                <w:lang w:eastAsia="zh-CN"/>
              </w:rPr>
            </w:pPr>
            <w:r>
              <w:rPr>
                <w:rFonts w:hint="eastAsia" w:ascii="宋体" w:hAnsi="宋体" w:cs="宋体"/>
                <w:b/>
                <w:bCs/>
                <w:color w:val="auto"/>
                <w:szCs w:val="21"/>
                <w:highlight w:val="none"/>
              </w:rPr>
              <w:t>设计方案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K1</w:t>
            </w:r>
            <w:r>
              <w:rPr>
                <w:rFonts w:hint="eastAsia" w:ascii="宋体" w:hAnsi="宋体" w:cs="宋体"/>
                <w:b/>
                <w:bCs/>
                <w:color w:val="auto"/>
                <w:szCs w:val="21"/>
                <w:highlight w:val="none"/>
                <w:lang w:eastAsia="zh-CN"/>
              </w:rPr>
              <w:t>）</w:t>
            </w:r>
          </w:p>
        </w:tc>
        <w:tc>
          <w:tcPr>
            <w:tcW w:w="2672" w:type="dxa"/>
            <w:vAlign w:val="center"/>
          </w:tcPr>
          <w:p>
            <w:pPr>
              <w:spacing w:line="360" w:lineRule="auto"/>
              <w:jc w:val="center"/>
              <w:rPr>
                <w:rFonts w:hint="default" w:ascii="宋体" w:hAnsi="宋体" w:eastAsia="方正小标宋简体" w:cs="宋体"/>
                <w:b/>
                <w:bCs/>
                <w:color w:val="auto"/>
                <w:szCs w:val="21"/>
                <w:highlight w:val="none"/>
                <w:lang w:val="en-US" w:eastAsia="zh-CN"/>
              </w:rPr>
            </w:pPr>
            <w:r>
              <w:rPr>
                <w:rFonts w:hint="eastAsia" w:ascii="宋体" w:hAnsi="宋体" w:cs="宋体"/>
                <w:b/>
                <w:bCs/>
                <w:color w:val="auto"/>
                <w:szCs w:val="21"/>
                <w:highlight w:val="none"/>
              </w:rPr>
              <w:t>0.</w:t>
            </w:r>
            <w:r>
              <w:rPr>
                <w:rFonts w:hint="eastAsia" w:ascii="宋体" w:hAnsi="宋体" w:cs="宋体"/>
                <w:b/>
                <w:bCs/>
                <w:color w:val="auto"/>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exact"/>
          <w:jc w:val="center"/>
        </w:trPr>
        <w:tc>
          <w:tcPr>
            <w:tcW w:w="2276"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c>
          <w:tcPr>
            <w:tcW w:w="3679"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实施</w:t>
            </w:r>
            <w:r>
              <w:rPr>
                <w:rFonts w:hint="eastAsia" w:ascii="宋体" w:hAnsi="宋体" w:cs="宋体"/>
                <w:b/>
                <w:bCs/>
                <w:color w:val="auto"/>
                <w:szCs w:val="21"/>
                <w:highlight w:val="none"/>
              </w:rPr>
              <w:t>方案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K2</w:t>
            </w:r>
            <w:r>
              <w:rPr>
                <w:rFonts w:hint="eastAsia" w:ascii="宋体" w:hAnsi="宋体" w:cs="宋体"/>
                <w:b/>
                <w:bCs/>
                <w:color w:val="auto"/>
                <w:szCs w:val="21"/>
                <w:highlight w:val="none"/>
                <w:lang w:eastAsia="zh-CN"/>
              </w:rPr>
              <w:t>）</w:t>
            </w:r>
          </w:p>
        </w:tc>
        <w:tc>
          <w:tcPr>
            <w:tcW w:w="2672"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0</w:t>
            </w:r>
            <w:r>
              <w:rPr>
                <w:rFonts w:ascii="宋体" w:hAnsi="宋体" w:cs="宋体"/>
                <w:b/>
                <w:bCs/>
                <w:color w:val="auto"/>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2276"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c>
          <w:tcPr>
            <w:tcW w:w="3679"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资信业绩</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K3</w:t>
            </w:r>
            <w:r>
              <w:rPr>
                <w:rFonts w:hint="eastAsia" w:ascii="宋体" w:hAnsi="宋体" w:cs="宋体"/>
                <w:b/>
                <w:bCs/>
                <w:color w:val="auto"/>
                <w:szCs w:val="21"/>
                <w:highlight w:val="none"/>
                <w:lang w:eastAsia="zh-CN"/>
              </w:rPr>
              <w:t>）</w:t>
            </w:r>
          </w:p>
        </w:tc>
        <w:tc>
          <w:tcPr>
            <w:tcW w:w="2672" w:type="dxa"/>
            <w:vAlign w:val="center"/>
          </w:tcPr>
          <w:p>
            <w:pPr>
              <w:spacing w:line="360" w:lineRule="auto"/>
              <w:jc w:val="center"/>
              <w:rPr>
                <w:rFonts w:hint="default" w:ascii="宋体" w:hAnsi="宋体" w:eastAsia="方正小标宋简体" w:cs="宋体"/>
                <w:b/>
                <w:bCs/>
                <w:color w:val="auto"/>
                <w:szCs w:val="21"/>
                <w:highlight w:val="none"/>
                <w:lang w:val="en-US" w:eastAsia="zh-CN"/>
              </w:rPr>
            </w:pPr>
            <w:r>
              <w:rPr>
                <w:rFonts w:hint="eastAsia" w:ascii="宋体" w:hAnsi="宋体" w:cs="宋体"/>
                <w:b/>
                <w:bCs/>
                <w:color w:val="auto"/>
                <w:szCs w:val="21"/>
                <w:highlight w:val="none"/>
              </w:rPr>
              <w:t>0.</w:t>
            </w:r>
            <w:r>
              <w:rPr>
                <w:rFonts w:hint="eastAsia" w:ascii="宋体" w:hAnsi="宋体" w:cs="宋体"/>
                <w:b/>
                <w:bCs/>
                <w:color w:val="auto"/>
                <w:szCs w:val="21"/>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2276" w:type="dxa"/>
            <w:tcBorders>
              <w:bottom w:val="single" w:color="auto" w:sz="12" w:space="0"/>
            </w:tcBorders>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3</w:t>
            </w:r>
          </w:p>
        </w:tc>
        <w:tc>
          <w:tcPr>
            <w:tcW w:w="3679" w:type="dxa"/>
            <w:tcBorders>
              <w:bottom w:val="single" w:color="auto" w:sz="12" w:space="0"/>
            </w:tcBorders>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投标报价</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K4</w:t>
            </w:r>
            <w:r>
              <w:rPr>
                <w:rFonts w:hint="eastAsia" w:ascii="宋体" w:hAnsi="宋体" w:cs="宋体"/>
                <w:b/>
                <w:bCs/>
                <w:color w:val="auto"/>
                <w:szCs w:val="21"/>
                <w:highlight w:val="none"/>
                <w:lang w:eastAsia="zh-CN"/>
              </w:rPr>
              <w:t>）</w:t>
            </w:r>
          </w:p>
        </w:tc>
        <w:tc>
          <w:tcPr>
            <w:tcW w:w="2672" w:type="dxa"/>
            <w:tcBorders>
              <w:bottom w:val="single" w:color="auto" w:sz="12" w:space="0"/>
            </w:tcBorders>
            <w:vAlign w:val="center"/>
          </w:tcPr>
          <w:p>
            <w:pPr>
              <w:spacing w:line="360" w:lineRule="auto"/>
              <w:jc w:val="center"/>
              <w:rPr>
                <w:rFonts w:hint="eastAsia" w:ascii="宋体" w:hAnsi="宋体" w:eastAsia="方正小标宋简体" w:cs="宋体"/>
                <w:b/>
                <w:bCs/>
                <w:color w:val="auto"/>
                <w:szCs w:val="21"/>
                <w:highlight w:val="none"/>
                <w:lang w:val="en-US" w:eastAsia="zh-CN"/>
              </w:rPr>
            </w:pPr>
            <w:r>
              <w:rPr>
                <w:rFonts w:hint="eastAsia" w:ascii="宋体" w:hAnsi="宋体" w:cs="宋体"/>
                <w:b/>
                <w:bCs/>
                <w:color w:val="auto"/>
                <w:szCs w:val="21"/>
                <w:highlight w:val="none"/>
              </w:rPr>
              <w:t>0.</w:t>
            </w:r>
            <w:r>
              <w:rPr>
                <w:rFonts w:ascii="宋体" w:hAnsi="宋体" w:cs="宋体"/>
                <w:b/>
                <w:bCs/>
                <w:color w:val="auto"/>
                <w:szCs w:val="21"/>
                <w:highlight w:val="none"/>
              </w:rPr>
              <w:t>1</w:t>
            </w:r>
            <w:r>
              <w:rPr>
                <w:rFonts w:hint="eastAsia" w:ascii="宋体" w:hAnsi="宋体" w:cs="宋体"/>
                <w:b/>
                <w:bCs/>
                <w:color w:val="auto"/>
                <w:szCs w:val="21"/>
                <w:highlight w:val="none"/>
                <w:lang w:val="en-US" w:eastAsia="zh-CN"/>
              </w:rPr>
              <w:t>5</w:t>
            </w:r>
          </w:p>
        </w:tc>
      </w:tr>
      <w:bookmarkEnd w:id="331"/>
    </w:tbl>
    <w:p>
      <w:pPr>
        <w:jc w:val="left"/>
        <w:rPr>
          <w:rFonts w:hint="eastAsia" w:ascii="宋体" w:hAnsi="宋体" w:eastAsia="宋体" w:cs="宋体"/>
          <w:b/>
          <w:color w:val="auto"/>
          <w:highlight w:val="none"/>
        </w:rPr>
      </w:pPr>
    </w:p>
    <w:p>
      <w:pPr>
        <w:pStyle w:val="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附表3-1</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rPr>
        <w:t>：综合得分计算表</w:t>
      </w:r>
      <w:bookmarkEnd w:id="332"/>
    </w:p>
    <w:p>
      <w:pPr>
        <w:adjustRightInd w:val="0"/>
        <w:snapToGrid w:val="0"/>
        <w:spacing w:line="600" w:lineRule="exact"/>
        <w:jc w:val="center"/>
        <w:rPr>
          <w:rFonts w:hint="eastAsia" w:ascii="宋体" w:hAnsi="宋体" w:eastAsia="宋体" w:cs="宋体"/>
          <w:b/>
          <w:color w:val="auto"/>
          <w:sz w:val="32"/>
          <w:szCs w:val="32"/>
          <w:highlight w:val="none"/>
        </w:rPr>
      </w:pPr>
      <w:bookmarkStart w:id="333" w:name="_Toc300678159"/>
      <w:r>
        <w:rPr>
          <w:rFonts w:hint="eastAsia" w:ascii="宋体" w:hAnsi="宋体" w:eastAsia="宋体" w:cs="宋体"/>
          <w:b/>
          <w:color w:val="auto"/>
          <w:sz w:val="32"/>
          <w:szCs w:val="32"/>
          <w:highlight w:val="none"/>
        </w:rPr>
        <w:t>综合得分计分表</w:t>
      </w:r>
    </w:p>
    <w:tbl>
      <w:tblPr>
        <w:tblStyle w:val="21"/>
        <w:tblW w:w="10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01"/>
        <w:gridCol w:w="2058"/>
        <w:gridCol w:w="2134"/>
        <w:gridCol w:w="2134"/>
        <w:gridCol w:w="2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134" w:type="dxa"/>
            <w:gridSpan w:val="2"/>
            <w:tcBorders>
              <w:top w:val="single" w:color="auto" w:sz="12" w:space="0"/>
            </w:tcBorders>
            <w:vAlign w:val="top"/>
          </w:tcPr>
          <w:p>
            <w:pPr>
              <w:spacing w:line="360" w:lineRule="auto"/>
              <w:rPr>
                <w:rFonts w:hint="eastAsia" w:ascii="宋体" w:hAnsi="宋体" w:cs="宋体"/>
                <w:color w:val="auto"/>
                <w:szCs w:val="21"/>
                <w:highlight w:val="none"/>
              </w:rPr>
            </w:pPr>
          </w:p>
        </w:tc>
        <w:tc>
          <w:tcPr>
            <w:tcW w:w="8460" w:type="dxa"/>
            <w:gridSpan w:val="4"/>
            <w:tcBorders>
              <w:top w:val="single" w:color="auto" w:sz="12" w:space="0"/>
            </w:tcBorders>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                             ）                   总分（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评委编号</w:t>
            </w:r>
          </w:p>
        </w:tc>
        <w:tc>
          <w:tcPr>
            <w:tcW w:w="9161" w:type="dxa"/>
            <w:gridSpan w:val="5"/>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433" w:type="dxa"/>
            <w:vMerge w:val="continue"/>
            <w:vAlign w:val="center"/>
          </w:tcPr>
          <w:p>
            <w:pPr>
              <w:widowControl/>
              <w:spacing w:line="360" w:lineRule="auto"/>
              <w:jc w:val="center"/>
              <w:rPr>
                <w:rFonts w:hint="eastAsia" w:ascii="宋体" w:hAnsi="宋体" w:cs="宋体"/>
                <w:color w:val="auto"/>
                <w:szCs w:val="21"/>
                <w:highlight w:val="none"/>
              </w:rPr>
            </w:pPr>
          </w:p>
        </w:tc>
        <w:tc>
          <w:tcPr>
            <w:tcW w:w="2759" w:type="dxa"/>
            <w:gridSpan w:val="2"/>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设计方案</w:t>
            </w:r>
          </w:p>
        </w:tc>
        <w:tc>
          <w:tcPr>
            <w:tcW w:w="2134" w:type="dxa"/>
            <w:vAlign w:val="center"/>
          </w:tcPr>
          <w:p>
            <w:pPr>
              <w:spacing w:line="360" w:lineRule="auto"/>
              <w:jc w:val="center"/>
              <w:rPr>
                <w:rFonts w:hint="eastAsia" w:ascii="宋体" w:hAnsi="宋体" w:eastAsia="方正小标宋简体" w:cs="宋体"/>
                <w:b/>
                <w:bCs/>
                <w:color w:val="auto"/>
                <w:szCs w:val="21"/>
                <w:highlight w:val="none"/>
                <w:lang w:eastAsia="zh-CN"/>
              </w:rPr>
            </w:pPr>
            <w:r>
              <w:rPr>
                <w:rFonts w:hint="eastAsia" w:ascii="宋体" w:hAnsi="宋体" w:cs="宋体"/>
                <w:b/>
                <w:bCs/>
                <w:color w:val="auto"/>
                <w:szCs w:val="21"/>
                <w:highlight w:val="none"/>
                <w:lang w:eastAsia="zh-CN"/>
              </w:rPr>
              <w:t>实施方案</w:t>
            </w:r>
          </w:p>
        </w:tc>
        <w:tc>
          <w:tcPr>
            <w:tcW w:w="2134"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资信业绩</w:t>
            </w:r>
          </w:p>
        </w:tc>
        <w:tc>
          <w:tcPr>
            <w:tcW w:w="2134"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restart"/>
            <w:vAlign w:val="center"/>
          </w:tcPr>
          <w:p>
            <w:pPr>
              <w:spacing w:line="360" w:lineRule="auto"/>
              <w:jc w:val="center"/>
              <w:rPr>
                <w:rFonts w:hint="eastAsia" w:ascii="宋体" w:hAnsi="宋体" w:cs="宋体"/>
                <w:color w:val="auto"/>
                <w:szCs w:val="21"/>
                <w:highlight w:val="none"/>
              </w:rPr>
            </w:pPr>
          </w:p>
        </w:tc>
        <w:tc>
          <w:tcPr>
            <w:tcW w:w="2134" w:type="dxa"/>
            <w:vMerge w:val="restart"/>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33"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759" w:type="dxa"/>
            <w:gridSpan w:val="2"/>
            <w:vAlign w:val="center"/>
          </w:tcPr>
          <w:p>
            <w:pPr>
              <w:spacing w:line="360" w:lineRule="auto"/>
              <w:jc w:val="center"/>
              <w:rPr>
                <w:rFonts w:hint="eastAsia" w:ascii="宋体" w:hAnsi="宋体" w:cs="宋体"/>
                <w:color w:val="auto"/>
                <w:szCs w:val="21"/>
                <w:highlight w:val="none"/>
              </w:rPr>
            </w:pPr>
          </w:p>
        </w:tc>
        <w:tc>
          <w:tcPr>
            <w:tcW w:w="2134" w:type="dxa"/>
            <w:vAlign w:val="top"/>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c>
          <w:tcPr>
            <w:tcW w:w="2134" w:type="dxa"/>
            <w:vMerge w:val="continue"/>
            <w:vAlign w:val="center"/>
          </w:tcPr>
          <w:p>
            <w:pPr>
              <w:spacing w:line="36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433" w:type="dxa"/>
            <w:tcBorders>
              <w:bottom w:val="single" w:color="auto" w:sz="12"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单项得分</w:t>
            </w:r>
          </w:p>
        </w:tc>
        <w:tc>
          <w:tcPr>
            <w:tcW w:w="2759" w:type="dxa"/>
            <w:gridSpan w:val="2"/>
            <w:tcBorders>
              <w:bottom w:val="single" w:color="auto" w:sz="12" w:space="0"/>
            </w:tcBorders>
            <w:vAlign w:val="center"/>
          </w:tcPr>
          <w:p>
            <w:pPr>
              <w:spacing w:line="360" w:lineRule="auto"/>
              <w:jc w:val="center"/>
              <w:rPr>
                <w:rFonts w:hint="eastAsia" w:ascii="宋体" w:hAnsi="宋体" w:cs="宋体"/>
                <w:color w:val="auto"/>
                <w:szCs w:val="21"/>
                <w:highlight w:val="none"/>
              </w:rPr>
            </w:pPr>
          </w:p>
        </w:tc>
        <w:tc>
          <w:tcPr>
            <w:tcW w:w="2134" w:type="dxa"/>
            <w:tcBorders>
              <w:bottom w:val="single" w:color="auto" w:sz="12" w:space="0"/>
            </w:tcBorders>
            <w:vAlign w:val="top"/>
          </w:tcPr>
          <w:p>
            <w:pPr>
              <w:spacing w:line="360" w:lineRule="auto"/>
              <w:jc w:val="center"/>
              <w:rPr>
                <w:rFonts w:hint="eastAsia" w:ascii="宋体" w:hAnsi="宋体" w:cs="宋体"/>
                <w:color w:val="auto"/>
                <w:szCs w:val="21"/>
                <w:highlight w:val="none"/>
              </w:rPr>
            </w:pPr>
          </w:p>
        </w:tc>
        <w:tc>
          <w:tcPr>
            <w:tcW w:w="2134" w:type="dxa"/>
            <w:tcBorders>
              <w:bottom w:val="single" w:color="auto" w:sz="12" w:space="0"/>
            </w:tcBorders>
            <w:vAlign w:val="center"/>
          </w:tcPr>
          <w:p>
            <w:pPr>
              <w:spacing w:line="360" w:lineRule="auto"/>
              <w:jc w:val="center"/>
              <w:rPr>
                <w:rFonts w:hint="eastAsia" w:ascii="宋体" w:hAnsi="宋体" w:cs="宋体"/>
                <w:color w:val="auto"/>
                <w:szCs w:val="21"/>
                <w:highlight w:val="none"/>
              </w:rPr>
            </w:pPr>
          </w:p>
        </w:tc>
        <w:tc>
          <w:tcPr>
            <w:tcW w:w="2134" w:type="dxa"/>
            <w:tcBorders>
              <w:bottom w:val="single" w:color="auto" w:sz="12" w:space="0"/>
            </w:tcBorders>
            <w:vAlign w:val="center"/>
          </w:tcPr>
          <w:p>
            <w:pPr>
              <w:spacing w:line="360" w:lineRule="auto"/>
              <w:jc w:val="center"/>
              <w:rPr>
                <w:rFonts w:hint="eastAsia" w:ascii="宋体" w:hAnsi="宋体" w:cs="宋体"/>
                <w:color w:val="auto"/>
                <w:szCs w:val="21"/>
                <w:highlight w:val="none"/>
              </w:rPr>
            </w:pPr>
          </w:p>
        </w:tc>
      </w:tr>
    </w:tbl>
    <w:p>
      <w:pPr>
        <w:spacing w:line="360" w:lineRule="auto"/>
        <w:rPr>
          <w:rFonts w:hint="eastAsia"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color w:val="auto"/>
          <w:highlight w:val="none"/>
        </w:rPr>
        <w:t>设计方案和</w:t>
      </w:r>
      <w:r>
        <w:rPr>
          <w:rFonts w:hint="eastAsia" w:ascii="宋体" w:hAnsi="宋体" w:cs="宋体"/>
          <w:color w:val="auto"/>
          <w:highlight w:val="none"/>
          <w:lang w:eastAsia="zh-CN"/>
        </w:rPr>
        <w:t>实施方案</w:t>
      </w:r>
      <w:r>
        <w:rPr>
          <w:rFonts w:hint="eastAsia" w:ascii="宋体" w:hAnsi="宋体" w:cs="宋体"/>
          <w:color w:val="auto"/>
          <w:highlight w:val="none"/>
        </w:rPr>
        <w:t>为评委单独计分，最终得分为评标委员会成员个人评审计分去掉一个最高分和一个最低分后的算术平均值。</w:t>
      </w:r>
    </w:p>
    <w:p>
      <w:pPr>
        <w:spacing w:line="360" w:lineRule="auto"/>
        <w:rPr>
          <w:rFonts w:hint="eastAsia" w:ascii="宋体" w:hAnsi="宋体" w:cs="宋体"/>
          <w:color w:val="auto"/>
          <w:highlight w:val="none"/>
        </w:rPr>
      </w:pPr>
      <w:r>
        <w:rPr>
          <w:rFonts w:hint="eastAsia" w:ascii="宋体" w:hAnsi="宋体" w:cs="宋体"/>
          <w:color w:val="auto"/>
          <w:highlight w:val="none"/>
        </w:rPr>
        <w:t>2.资信业绩和投标报价由评标委员会全体成员集体评议。</w:t>
      </w:r>
    </w:p>
    <w:p>
      <w:pPr>
        <w:spacing w:line="360" w:lineRule="auto"/>
        <w:rPr>
          <w:rFonts w:hint="eastAsia" w:ascii="宋体" w:hAnsi="宋体" w:cs="宋体"/>
          <w:color w:val="auto"/>
          <w:sz w:val="24"/>
          <w:highlight w:val="none"/>
        </w:rPr>
      </w:pPr>
      <w:r>
        <w:rPr>
          <w:rFonts w:hint="eastAsia" w:ascii="宋体" w:hAnsi="宋体" w:cs="宋体"/>
          <w:color w:val="auto"/>
          <w:highlight w:val="none"/>
        </w:rPr>
        <w:t>评标委员会全体成员签字/日期：</w:t>
      </w:r>
      <w:r>
        <w:rPr>
          <w:rFonts w:hint="eastAsia" w:ascii="宋体" w:hAnsi="宋体" w:cs="宋体"/>
          <w:color w:val="auto"/>
          <w:highlight w:val="none"/>
        </w:rPr>
        <w:br w:type="page"/>
      </w:r>
    </w:p>
    <w:p>
      <w:pPr>
        <w:rPr>
          <w:rFonts w:hint="eastAsia" w:ascii="宋体" w:hAnsi="宋体" w:eastAsia="宋体" w:cs="宋体"/>
          <w:color w:val="auto"/>
          <w:szCs w:val="21"/>
          <w:highlight w:val="none"/>
        </w:rPr>
      </w:pPr>
    </w:p>
    <w:p>
      <w:pPr>
        <w:jc w:val="left"/>
        <w:rPr>
          <w:rFonts w:hint="eastAsia" w:ascii="宋体" w:hAnsi="宋体" w:eastAsia="宋体" w:cs="宋体"/>
          <w:b/>
          <w:color w:val="auto"/>
          <w:highlight w:val="none"/>
        </w:rPr>
      </w:pPr>
    </w:p>
    <w:p>
      <w:pPr>
        <w:pStyle w:val="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附表3-1</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：经评审的投标人排序表</w:t>
      </w:r>
      <w:bookmarkEnd w:id="333"/>
    </w:p>
    <w:p>
      <w:pPr>
        <w:spacing w:line="600" w:lineRule="exact"/>
        <w:jc w:val="center"/>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经评审的投标人排序表</w:t>
      </w:r>
    </w:p>
    <w:p>
      <w:pPr>
        <w:spacing w:after="156" w:afterLines="50" w:line="600" w:lineRule="exact"/>
        <w:rPr>
          <w:rFonts w:hint="eastAsia" w:ascii="宋体" w:hAnsi="宋体" w:eastAsia="宋体" w:cs="宋体"/>
          <w:color w:val="auto"/>
          <w:szCs w:val="10"/>
          <w:highlight w:val="none"/>
        </w:rPr>
      </w:pPr>
      <w:r>
        <w:rPr>
          <w:rFonts w:hint="eastAsia" w:ascii="宋体" w:hAnsi="宋体" w:eastAsia="宋体" w:cs="宋体"/>
          <w:color w:val="auto"/>
          <w:szCs w:val="21"/>
          <w:highlight w:val="none"/>
        </w:rPr>
        <w:t>工程名称：（项目名称）</w:t>
      </w:r>
    </w:p>
    <w:tbl>
      <w:tblPr>
        <w:tblStyle w:val="21"/>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5020"/>
        <w:gridCol w:w="3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49"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排序</w:t>
            </w:r>
          </w:p>
        </w:tc>
        <w:tc>
          <w:tcPr>
            <w:tcW w:w="5020"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投标人名称</w:t>
            </w:r>
          </w:p>
        </w:tc>
        <w:tc>
          <w:tcPr>
            <w:tcW w:w="31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49" w:type="dxa"/>
            <w:vAlign w:val="center"/>
          </w:tcPr>
          <w:p>
            <w:pPr>
              <w:jc w:val="center"/>
              <w:rPr>
                <w:rFonts w:hint="eastAsia" w:ascii="宋体" w:hAnsi="宋体" w:eastAsia="宋体" w:cs="宋体"/>
                <w:color w:val="auto"/>
                <w:szCs w:val="21"/>
                <w:highlight w:val="none"/>
              </w:rPr>
            </w:pPr>
          </w:p>
        </w:tc>
        <w:tc>
          <w:tcPr>
            <w:tcW w:w="5020" w:type="dxa"/>
            <w:vAlign w:val="center"/>
          </w:tcPr>
          <w:p>
            <w:pPr>
              <w:jc w:val="center"/>
              <w:rPr>
                <w:rFonts w:hint="eastAsia" w:ascii="宋体" w:hAnsi="宋体" w:eastAsia="宋体" w:cs="宋体"/>
                <w:color w:val="auto"/>
                <w:szCs w:val="21"/>
                <w:highlight w:val="none"/>
              </w:rPr>
            </w:pPr>
          </w:p>
        </w:tc>
        <w:tc>
          <w:tcPr>
            <w:tcW w:w="3101"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49" w:type="dxa"/>
            <w:vAlign w:val="center"/>
          </w:tcPr>
          <w:p>
            <w:pPr>
              <w:jc w:val="center"/>
              <w:rPr>
                <w:rFonts w:hint="eastAsia" w:ascii="宋体" w:hAnsi="宋体" w:eastAsia="宋体" w:cs="宋体"/>
                <w:color w:val="auto"/>
                <w:szCs w:val="21"/>
                <w:highlight w:val="none"/>
              </w:rPr>
            </w:pPr>
          </w:p>
        </w:tc>
        <w:tc>
          <w:tcPr>
            <w:tcW w:w="5020" w:type="dxa"/>
            <w:vAlign w:val="center"/>
          </w:tcPr>
          <w:p>
            <w:pPr>
              <w:jc w:val="center"/>
              <w:rPr>
                <w:rFonts w:hint="eastAsia" w:ascii="宋体" w:hAnsi="宋体" w:eastAsia="宋体" w:cs="宋体"/>
                <w:color w:val="auto"/>
                <w:szCs w:val="21"/>
                <w:highlight w:val="none"/>
              </w:rPr>
            </w:pPr>
          </w:p>
        </w:tc>
        <w:tc>
          <w:tcPr>
            <w:tcW w:w="3101"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9" w:type="dxa"/>
            <w:vAlign w:val="center"/>
          </w:tcPr>
          <w:p>
            <w:pPr>
              <w:jc w:val="center"/>
              <w:rPr>
                <w:rFonts w:hint="eastAsia" w:ascii="宋体" w:hAnsi="宋体" w:eastAsia="宋体" w:cs="宋体"/>
                <w:color w:val="auto"/>
                <w:szCs w:val="21"/>
                <w:highlight w:val="none"/>
              </w:rPr>
            </w:pPr>
          </w:p>
        </w:tc>
        <w:tc>
          <w:tcPr>
            <w:tcW w:w="5020" w:type="dxa"/>
            <w:vAlign w:val="center"/>
          </w:tcPr>
          <w:p>
            <w:pPr>
              <w:jc w:val="center"/>
              <w:rPr>
                <w:rFonts w:hint="eastAsia" w:ascii="宋体" w:hAnsi="宋体" w:eastAsia="宋体" w:cs="宋体"/>
                <w:color w:val="auto"/>
                <w:szCs w:val="21"/>
                <w:highlight w:val="none"/>
              </w:rPr>
            </w:pPr>
          </w:p>
        </w:tc>
        <w:tc>
          <w:tcPr>
            <w:tcW w:w="3101" w:type="dxa"/>
            <w:vAlign w:val="center"/>
          </w:tcPr>
          <w:p>
            <w:pPr>
              <w:jc w:val="center"/>
              <w:rPr>
                <w:rFonts w:hint="eastAsia" w:ascii="宋体" w:hAnsi="宋体" w:eastAsia="宋体" w:cs="宋体"/>
                <w:color w:val="auto"/>
                <w:szCs w:val="21"/>
                <w:highlight w:val="none"/>
              </w:rPr>
            </w:pPr>
          </w:p>
        </w:tc>
      </w:tr>
    </w:tbl>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评标委员会全体成员签字/日期：</w:t>
      </w:r>
    </w:p>
    <w:p>
      <w:pPr>
        <w:jc w:val="left"/>
        <w:rPr>
          <w:rFonts w:hint="eastAsia" w:ascii="宋体" w:hAnsi="宋体" w:eastAsia="宋体" w:cs="宋体"/>
          <w:color w:val="auto"/>
          <w:sz w:val="28"/>
          <w:szCs w:val="28"/>
          <w:highlight w:val="none"/>
        </w:rPr>
      </w:pPr>
    </w:p>
    <w:p>
      <w:pPr>
        <w:pStyle w:val="6"/>
        <w:spacing w:line="600" w:lineRule="exact"/>
        <w:rPr>
          <w:rFonts w:hint="eastAsia" w:ascii="宋体" w:hAnsi="宋体" w:eastAsia="宋体" w:cs="宋体"/>
          <w:b w:val="0"/>
          <w:bCs/>
          <w:color w:val="auto"/>
          <w:sz w:val="24"/>
          <w:highlight w:val="none"/>
        </w:rPr>
      </w:pPr>
      <w:bookmarkStart w:id="334" w:name="_Toc300678160"/>
      <w:r>
        <w:rPr>
          <w:rFonts w:hint="eastAsia" w:ascii="宋体" w:hAnsi="宋体" w:eastAsia="宋体" w:cs="宋体"/>
          <w:b w:val="0"/>
          <w:bCs/>
          <w:color w:val="auto"/>
          <w:sz w:val="24"/>
          <w:highlight w:val="none"/>
        </w:rPr>
        <w:t>附表3-1</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：中标候选人表</w:t>
      </w:r>
      <w:bookmarkEnd w:id="334"/>
    </w:p>
    <w:p>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28"/>
          <w:szCs w:val="32"/>
          <w:highlight w:val="none"/>
        </w:rPr>
        <w:t>中标候选人表</w:t>
      </w:r>
    </w:p>
    <w:p>
      <w:pPr>
        <w:spacing w:after="156" w:afterLines="50" w:line="6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工程名称：（项目名称）</w:t>
      </w:r>
    </w:p>
    <w:tbl>
      <w:tblPr>
        <w:tblStyle w:val="21"/>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802"/>
        <w:gridCol w:w="3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96"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排序</w:t>
            </w:r>
          </w:p>
        </w:tc>
        <w:tc>
          <w:tcPr>
            <w:tcW w:w="4802"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中标候选人</w:t>
            </w:r>
          </w:p>
        </w:tc>
        <w:tc>
          <w:tcPr>
            <w:tcW w:w="3572"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6"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第一名</w:t>
            </w:r>
          </w:p>
        </w:tc>
        <w:tc>
          <w:tcPr>
            <w:tcW w:w="4802" w:type="dxa"/>
            <w:vAlign w:val="center"/>
          </w:tcPr>
          <w:p>
            <w:pPr>
              <w:jc w:val="center"/>
              <w:rPr>
                <w:rFonts w:hint="eastAsia" w:ascii="宋体" w:hAnsi="宋体" w:eastAsia="宋体" w:cs="宋体"/>
                <w:color w:val="auto"/>
                <w:sz w:val="18"/>
                <w:szCs w:val="21"/>
                <w:highlight w:val="none"/>
              </w:rPr>
            </w:pPr>
          </w:p>
        </w:tc>
        <w:tc>
          <w:tcPr>
            <w:tcW w:w="3572" w:type="dxa"/>
            <w:vAlign w:val="center"/>
          </w:tcPr>
          <w:p>
            <w:pPr>
              <w:jc w:val="center"/>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96"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第二名</w:t>
            </w:r>
          </w:p>
        </w:tc>
        <w:tc>
          <w:tcPr>
            <w:tcW w:w="4802" w:type="dxa"/>
            <w:vAlign w:val="center"/>
          </w:tcPr>
          <w:p>
            <w:pPr>
              <w:jc w:val="center"/>
              <w:rPr>
                <w:rFonts w:hint="eastAsia" w:ascii="宋体" w:hAnsi="宋体" w:eastAsia="宋体" w:cs="宋体"/>
                <w:color w:val="auto"/>
                <w:sz w:val="18"/>
                <w:szCs w:val="21"/>
                <w:highlight w:val="none"/>
              </w:rPr>
            </w:pPr>
          </w:p>
        </w:tc>
        <w:tc>
          <w:tcPr>
            <w:tcW w:w="3572" w:type="dxa"/>
            <w:vAlign w:val="center"/>
          </w:tcPr>
          <w:p>
            <w:pPr>
              <w:jc w:val="center"/>
              <w:rPr>
                <w:rFonts w:hint="eastAsia" w:ascii="宋体" w:hAnsi="宋体" w:eastAsia="宋体" w:cs="宋体"/>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6" w:type="dxa"/>
            <w:vAlign w:val="center"/>
          </w:tcPr>
          <w:p>
            <w:pPr>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第三名</w:t>
            </w:r>
          </w:p>
        </w:tc>
        <w:tc>
          <w:tcPr>
            <w:tcW w:w="4802" w:type="dxa"/>
            <w:vAlign w:val="center"/>
          </w:tcPr>
          <w:p>
            <w:pPr>
              <w:jc w:val="center"/>
              <w:rPr>
                <w:rFonts w:hint="eastAsia" w:ascii="宋体" w:hAnsi="宋体" w:eastAsia="宋体" w:cs="宋体"/>
                <w:color w:val="auto"/>
                <w:sz w:val="18"/>
                <w:szCs w:val="21"/>
                <w:highlight w:val="none"/>
              </w:rPr>
            </w:pPr>
          </w:p>
        </w:tc>
        <w:tc>
          <w:tcPr>
            <w:tcW w:w="3572" w:type="dxa"/>
            <w:vAlign w:val="center"/>
          </w:tcPr>
          <w:p>
            <w:pPr>
              <w:jc w:val="center"/>
              <w:rPr>
                <w:rFonts w:hint="eastAsia" w:ascii="宋体" w:hAnsi="宋体" w:eastAsia="宋体" w:cs="宋体"/>
                <w:color w:val="auto"/>
                <w:sz w:val="18"/>
                <w:szCs w:val="21"/>
                <w:highlight w:val="none"/>
              </w:rPr>
            </w:pPr>
          </w:p>
        </w:tc>
      </w:tr>
    </w:tbl>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签订合同前要处理的事宜：</w:t>
      </w:r>
    </w:p>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评标委员会全体成员签字：</w:t>
      </w:r>
    </w:p>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监督人员签字：</w:t>
      </w:r>
    </w:p>
    <w:p>
      <w:pPr>
        <w:jc w:val="left"/>
        <w:rPr>
          <w:rFonts w:hint="eastAsia" w:ascii="宋体" w:hAnsi="宋体" w:eastAsia="宋体" w:cs="宋体"/>
          <w:color w:val="auto"/>
          <w:szCs w:val="28"/>
          <w:highlight w:val="none"/>
        </w:rPr>
      </w:pP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400" w:lineRule="exact"/>
        <w:ind w:firstLine="420" w:firstLineChars="200"/>
        <w:rPr>
          <w:rFonts w:hint="eastAsia" w:ascii="宋体" w:hAnsi="宋体" w:eastAsia="宋体" w:cs="宋体"/>
          <w:color w:val="auto"/>
          <w:szCs w:val="21"/>
          <w:highlight w:val="none"/>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ascii="宋体" w:hAnsi="宋体" w:cs="宋体"/>
          <w:color w:val="auto"/>
          <w:highlight w:val="none"/>
        </w:rPr>
      </w:pPr>
      <w:bookmarkStart w:id="335" w:name="_Toc499738270"/>
      <w:bookmarkStart w:id="336" w:name="_Toc247514245"/>
      <w:bookmarkStart w:id="337" w:name="_Toc453749622"/>
      <w:bookmarkStart w:id="338" w:name="_Toc458942811"/>
      <w:bookmarkStart w:id="339" w:name="_Toc152045786"/>
      <w:bookmarkStart w:id="340" w:name="_Toc458193435"/>
      <w:bookmarkStart w:id="341" w:name="_Toc152042575"/>
      <w:bookmarkStart w:id="342" w:name="_Toc300835208"/>
      <w:bookmarkStart w:id="343" w:name="_Toc459816534"/>
      <w:bookmarkStart w:id="344" w:name="_Toc144974855"/>
      <w:bookmarkStart w:id="345" w:name="_Toc247527826"/>
      <w:bookmarkStart w:id="346" w:name="_Toc459405561"/>
    </w:p>
    <w:p>
      <w:pPr>
        <w:pStyle w:val="3"/>
        <w:spacing w:line="240" w:lineRule="auto"/>
        <w:jc w:val="center"/>
        <w:rPr>
          <w:rFonts w:hint="eastAsia" w:ascii="宋体" w:hAnsi="宋体" w:cs="宋体"/>
          <w:color w:val="auto"/>
          <w:highlight w:val="none"/>
        </w:rPr>
      </w:pPr>
      <w:bookmarkStart w:id="347" w:name="_Toc26151"/>
      <w:bookmarkStart w:id="348" w:name="_Toc499738097"/>
      <w:bookmarkStart w:id="349" w:name="_Toc152042387"/>
      <w:bookmarkStart w:id="350" w:name="_Toc247527634"/>
      <w:bookmarkStart w:id="351" w:name="_Toc22935"/>
      <w:bookmarkStart w:id="352" w:name="_Toc247514033"/>
      <w:bookmarkStart w:id="353" w:name="_Toc152045609"/>
      <w:bookmarkStart w:id="354" w:name="_Toc144974577"/>
      <w:r>
        <w:rPr>
          <w:rFonts w:hint="eastAsia" w:ascii="宋体" w:hAnsi="宋体" w:cs="宋体"/>
          <w:color w:val="auto"/>
          <w:highlight w:val="none"/>
        </w:rPr>
        <w:t>第四章合同条款及格式</w:t>
      </w:r>
      <w:bookmarkEnd w:id="347"/>
      <w:bookmarkEnd w:id="348"/>
      <w:bookmarkEnd w:id="349"/>
      <w:bookmarkEnd w:id="350"/>
      <w:bookmarkEnd w:id="351"/>
      <w:bookmarkEnd w:id="352"/>
      <w:bookmarkEnd w:id="353"/>
      <w:bookmarkEnd w:id="354"/>
      <w:bookmarkStart w:id="355" w:name="_Toc152042388"/>
      <w:bookmarkStart w:id="356" w:name="_Toc152045610"/>
      <w:bookmarkStart w:id="357" w:name="_Toc247527635"/>
      <w:bookmarkStart w:id="358" w:name="_Toc184635097"/>
      <w:bookmarkStart w:id="359" w:name="_Toc247514034"/>
      <w:bookmarkStart w:id="360" w:name="_Toc144974578"/>
    </w:p>
    <w:p>
      <w:pPr>
        <w:spacing w:line="480" w:lineRule="exact"/>
        <w:jc w:val="center"/>
        <w:rPr>
          <w:rFonts w:hint="eastAsia" w:ascii="宋体" w:hAnsi="宋体" w:cs="宋体"/>
          <w:color w:val="auto"/>
          <w:sz w:val="24"/>
          <w:highlight w:val="none"/>
        </w:rPr>
      </w:pPr>
      <w:r>
        <w:rPr>
          <w:rFonts w:hint="eastAsia" w:ascii="宋体" w:hAnsi="宋体" w:cs="宋体"/>
          <w:color w:val="auto"/>
          <w:sz w:val="24"/>
          <w:highlight w:val="none"/>
        </w:rPr>
        <w:t>（仅为参考版本，最终以实际签定的合同为准）</w:t>
      </w:r>
    </w:p>
    <w:p>
      <w:pPr>
        <w:spacing w:line="480" w:lineRule="exact"/>
        <w:jc w:val="center"/>
        <w:rPr>
          <w:rFonts w:hint="eastAsia" w:ascii="宋体" w:hAnsi="宋体" w:cs="宋体"/>
          <w:color w:val="auto"/>
          <w:sz w:val="32"/>
          <w:szCs w:val="32"/>
          <w:highlight w:val="none"/>
        </w:rPr>
      </w:pPr>
    </w:p>
    <w:p>
      <w:pPr>
        <w:rPr>
          <w:rFonts w:hint="eastAsia"/>
          <w:color w:val="auto"/>
          <w:highlight w:val="none"/>
        </w:rPr>
      </w:pPr>
    </w:p>
    <w:p>
      <w:pPr>
        <w:pStyle w:val="53"/>
        <w:shd w:val="clear" w:color="auto" w:fill="auto"/>
        <w:spacing w:before="0" w:after="0" w:line="500" w:lineRule="exact"/>
        <w:ind w:left="200" w:firstLine="640" w:firstLineChars="200"/>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 xml:space="preserve">                                  </w:t>
      </w:r>
      <w:bookmarkEnd w:id="355"/>
      <w:bookmarkEnd w:id="356"/>
      <w:bookmarkEnd w:id="357"/>
      <w:bookmarkEnd w:id="358"/>
      <w:bookmarkEnd w:id="359"/>
      <w:bookmarkEnd w:id="360"/>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GF-2020-0216</w:t>
      </w:r>
    </w:p>
    <w:p>
      <w:pPr>
        <w:pStyle w:val="19"/>
        <w:rPr>
          <w:rFonts w:hint="eastAsia"/>
          <w:color w:val="auto"/>
          <w:highlight w:val="none"/>
        </w:rPr>
      </w:pPr>
    </w:p>
    <w:p>
      <w:pPr>
        <w:pStyle w:val="19"/>
        <w:rPr>
          <w:color w:val="auto"/>
          <w:highlight w:val="none"/>
        </w:rPr>
      </w:pPr>
    </w:p>
    <w:p>
      <w:pPr>
        <w:rPr>
          <w:color w:val="auto"/>
          <w:highlight w:val="none"/>
        </w:rPr>
      </w:pPr>
    </w:p>
    <w:p>
      <w:pPr>
        <w:pStyle w:val="35"/>
        <w:rPr>
          <w:rFonts w:hint="eastAsia" w:ascii="方正小标宋简体" w:hAnsi="方正小标宋简体" w:eastAsia="方正小标宋简体" w:cs="方正小标宋简体"/>
          <w:bCs/>
          <w:color w:val="auto"/>
          <w:sz w:val="48"/>
          <w:szCs w:val="48"/>
          <w:highlight w:val="none"/>
        </w:rPr>
      </w:pPr>
      <w:r>
        <w:rPr>
          <w:rFonts w:hint="eastAsia" w:ascii="方正小标宋简体" w:hAnsi="方正小标宋简体" w:eastAsia="方正小标宋简体" w:cs="方正小标宋简体"/>
          <w:bCs/>
          <w:color w:val="auto"/>
          <w:sz w:val="48"/>
          <w:szCs w:val="48"/>
          <w:highlight w:val="none"/>
        </w:rPr>
        <w:t>建设项目工程总承包合同</w:t>
      </w:r>
    </w:p>
    <w:p>
      <w:pPr>
        <w:pStyle w:val="35"/>
        <w:rPr>
          <w:rFonts w:ascii="华文中宋" w:hAnsi="华文中宋" w:eastAsia="华文中宋"/>
          <w:b w:val="0"/>
          <w:bCs/>
          <w:color w:val="auto"/>
          <w:sz w:val="52"/>
          <w:szCs w:val="52"/>
          <w:highlight w:val="none"/>
        </w:rPr>
      </w:pPr>
      <w:r>
        <w:rPr>
          <w:rFonts w:hint="eastAsia" w:ascii="方正小标宋简体" w:hAnsi="方正小标宋简体" w:eastAsia="方正小标宋简体" w:cs="方正小标宋简体"/>
          <w:b w:val="0"/>
          <w:bCs/>
          <w:color w:val="auto"/>
          <w:sz w:val="52"/>
          <w:szCs w:val="52"/>
          <w:highlight w:val="none"/>
        </w:rPr>
        <w:t>（示范文本）</w:t>
      </w:r>
    </w:p>
    <w:p>
      <w:pPr>
        <w:pStyle w:val="35"/>
        <w:rPr>
          <w:rFonts w:ascii="华文中宋" w:hAnsi="华文中宋" w:eastAsia="华文中宋"/>
          <w:color w:val="auto"/>
          <w:sz w:val="40"/>
          <w:szCs w:val="40"/>
          <w:highlight w:val="none"/>
        </w:rPr>
      </w:pPr>
    </w:p>
    <w:p>
      <w:pPr>
        <w:pStyle w:val="35"/>
        <w:rPr>
          <w:rFonts w:ascii="华文中宋" w:hAnsi="华文中宋" w:eastAsia="华文中宋"/>
          <w:color w:val="auto"/>
          <w:sz w:val="40"/>
          <w:szCs w:val="40"/>
          <w:highlight w:val="none"/>
        </w:rPr>
      </w:pPr>
    </w:p>
    <w:p>
      <w:pPr>
        <w:rPr>
          <w:color w:val="auto"/>
          <w:highlight w:val="none"/>
        </w:rPr>
      </w:pPr>
    </w:p>
    <w:p>
      <w:pPr>
        <w:pStyle w:val="35"/>
        <w:rPr>
          <w:rFonts w:ascii="华文中宋" w:hAnsi="华文中宋" w:eastAsia="华文中宋"/>
          <w:color w:val="auto"/>
          <w:sz w:val="40"/>
          <w:szCs w:val="40"/>
          <w:highlight w:val="none"/>
        </w:rPr>
      </w:pPr>
    </w:p>
    <w:p>
      <w:pPr>
        <w:rPr>
          <w:color w:val="auto"/>
          <w:highlight w:val="none"/>
        </w:rPr>
      </w:pPr>
    </w:p>
    <w:p>
      <w:pPr>
        <w:pStyle w:val="35"/>
        <w:rPr>
          <w:rFonts w:ascii="宋体" w:hAnsi="宋体" w:eastAsia="宋体"/>
          <w:color w:val="auto"/>
          <w:sz w:val="32"/>
          <w:szCs w:val="32"/>
          <w:highlight w:val="none"/>
        </w:rPr>
      </w:pPr>
    </w:p>
    <w:p>
      <w:pPr>
        <w:ind w:right="2182" w:rightChars="1039"/>
        <w:jc w:val="distribute"/>
        <w:rPr>
          <w:b/>
          <w:bCs/>
          <w:color w:val="auto"/>
          <w:sz w:val="32"/>
          <w:szCs w:val="32"/>
          <w:highlight w:val="none"/>
        </w:rPr>
      </w:pPr>
      <w:r>
        <w:rPr>
          <w:rFonts w:hint="eastAsia"/>
          <w:b/>
          <w:color w:val="auto"/>
          <w:sz w:val="32"/>
          <w:szCs w:val="28"/>
          <w:highlight w:val="none"/>
        </w:rPr>
        <w:t xml:space="preserve">     </w:t>
      </w:r>
      <w:r>
        <w:rPr>
          <w:b/>
          <w:bCs/>
          <w:color w:val="auto"/>
          <w:sz w:val="32"/>
          <w:szCs w:val="32"/>
          <w:highlight w:val="none"/>
        </w:rPr>
        <mc:AlternateContent>
          <mc:Choice Requires="wps">
            <w:drawing>
              <wp:anchor distT="0" distB="0" distL="114300" distR="114300" simplePos="0" relativeHeight="251665408" behindDoc="1" locked="0" layoutInCell="1" allowOverlap="1">
                <wp:simplePos x="0" y="0"/>
                <wp:positionH relativeFrom="column">
                  <wp:posOffset>3954780</wp:posOffset>
                </wp:positionH>
                <wp:positionV relativeFrom="paragraph">
                  <wp:posOffset>150495</wp:posOffset>
                </wp:positionV>
                <wp:extent cx="754380" cy="1806575"/>
                <wp:effectExtent l="0" t="0" r="7620" b="6985"/>
                <wp:wrapThrough wrapText="bothSides">
                  <wp:wrapPolygon>
                    <wp:start x="0" y="0"/>
                    <wp:lineTo x="0" y="20402"/>
                    <wp:lineTo x="21382" y="20402"/>
                    <wp:lineTo x="21382" y="0"/>
                    <wp:lineTo x="0" y="0"/>
                  </wp:wrapPolygon>
                </wp:wrapThrough>
                <wp:docPr id="4" name="文本框 4"/>
                <wp:cNvGraphicFramePr/>
                <a:graphic xmlns:a="http://schemas.openxmlformats.org/drawingml/2006/main">
                  <a:graphicData uri="http://schemas.microsoft.com/office/word/2010/wordprocessingShape">
                    <wps:wsp>
                      <wps:cNvSpPr txBox="1"/>
                      <wps:spPr>
                        <a:xfrm>
                          <a:off x="0" y="0"/>
                          <a:ext cx="754380" cy="1806575"/>
                        </a:xfrm>
                        <a:prstGeom prst="rect">
                          <a:avLst/>
                        </a:prstGeom>
                        <a:solidFill>
                          <a:srgbClr val="FFFFFF"/>
                        </a:solidFill>
                        <a:ln>
                          <a:noFill/>
                        </a:ln>
                      </wps:spPr>
                      <wps:txbx>
                        <w:txbxContent>
                          <w:p>
                            <w:pPr>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142.25pt;width:59.4pt;mso-wrap-distance-left:9pt;mso-wrap-distance-right:9pt;z-index:-251651072;mso-width-relative:page;mso-height-relative:margin;mso-height-percent:200;" fillcolor="#FFFFFF" filled="t" stroked="f" coordsize="21600,21600" wrapcoords="0 0 0 20402 21382 20402 21382 0 0 0" o:gfxdata="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&#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73N6rYAAAACgEAAA8AAAAAAAAAAQAgAAAAIgAAAGRy&#10;cy9kb3ducmV2LnhtbFBLAQIUABQAAAAIAIdO4kCiTP2JzAEAAJEDAAAOAAAAAAAAAAEAIAAAACcB&#10;AABkcnMvZTJvRG9jLnhtbFBLBQYAAAAABgAGAFkBAABlBQAAAAA=&#10;">
                <v:fill on="t" focussize="0,0"/>
                <v:stroke on="f"/>
                <v:imagedata o:title=""/>
                <o:lock v:ext="edit" aspectratio="f"/>
                <v:textbox style="mso-fit-shape-to-text:t;">
                  <w:txbxContent>
                    <w:p>
                      <w:pPr>
                        <w:jc w:val="center"/>
                        <w:rPr>
                          <w:b/>
                          <w:bCs/>
                          <w:sz w:val="32"/>
                          <w:szCs w:val="32"/>
                        </w:rPr>
                      </w:pPr>
                      <w:r>
                        <w:rPr>
                          <w:rFonts w:hint="eastAsia"/>
                          <w:b/>
                          <w:bCs/>
                          <w:sz w:val="32"/>
                          <w:szCs w:val="32"/>
                        </w:rPr>
                        <w:t>制定</w:t>
                      </w:r>
                    </w:p>
                  </w:txbxContent>
                </v:textbox>
                <w10:wrap type="through"/>
              </v:shape>
            </w:pict>
          </mc:Fallback>
        </mc:AlternateContent>
      </w:r>
      <w:r>
        <w:rPr>
          <w:rFonts w:hint="eastAsia"/>
          <w:b/>
          <w:bCs/>
          <w:color w:val="auto"/>
          <w:sz w:val="32"/>
          <w:szCs w:val="32"/>
          <w:highlight w:val="none"/>
        </w:rPr>
        <w:t>中华人民共和国</w:t>
      </w:r>
      <w:r>
        <w:rPr>
          <w:b/>
          <w:bCs/>
          <w:color w:val="auto"/>
          <w:sz w:val="32"/>
          <w:szCs w:val="32"/>
          <w:highlight w:val="none"/>
        </w:rPr>
        <w:t>住房</w:t>
      </w:r>
      <w:r>
        <w:rPr>
          <w:rFonts w:hint="eastAsia"/>
          <w:b/>
          <w:bCs/>
          <w:color w:val="auto"/>
          <w:sz w:val="32"/>
          <w:szCs w:val="32"/>
          <w:highlight w:val="none"/>
        </w:rPr>
        <w:t>和</w:t>
      </w:r>
      <w:r>
        <w:rPr>
          <w:b/>
          <w:bCs/>
          <w:color w:val="auto"/>
          <w:sz w:val="32"/>
          <w:szCs w:val="32"/>
          <w:highlight w:val="none"/>
        </w:rPr>
        <w:t>城乡建设部</w:t>
      </w:r>
    </w:p>
    <w:p>
      <w:pPr>
        <w:ind w:right="2182" w:rightChars="1039"/>
        <w:jc w:val="distribute"/>
        <w:rPr>
          <w:b/>
          <w:bCs/>
          <w:color w:val="auto"/>
          <w:sz w:val="32"/>
          <w:szCs w:val="32"/>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304" w:right="1080" w:bottom="1304" w:left="1080" w:header="680" w:footer="1417" w:gutter="0"/>
          <w:cols w:space="720" w:num="1"/>
          <w:titlePg/>
          <w:docGrid w:linePitch="326" w:charSpace="0"/>
        </w:sectPr>
      </w:pPr>
      <w:r>
        <w:rPr>
          <w:rFonts w:hint="eastAsia"/>
          <w:b/>
          <w:color w:val="auto"/>
          <w:sz w:val="32"/>
          <w:szCs w:val="28"/>
          <w:highlight w:val="none"/>
        </w:rPr>
        <w:t xml:space="preserve">     国家</w:t>
      </w:r>
      <w:r>
        <w:rPr>
          <w:rFonts w:hint="eastAsia"/>
          <w:b/>
          <w:bCs/>
          <w:color w:val="auto"/>
          <w:sz w:val="32"/>
          <w:szCs w:val="32"/>
          <w:highlight w:val="none"/>
        </w:rPr>
        <w:t>市场监</w:t>
      </w:r>
      <w:r>
        <w:rPr>
          <w:rFonts w:hint="eastAsia"/>
          <w:b/>
          <w:color w:val="auto"/>
          <w:sz w:val="32"/>
          <w:szCs w:val="28"/>
          <w:highlight w:val="none"/>
        </w:rPr>
        <w:t>督</w:t>
      </w:r>
      <w:r>
        <w:rPr>
          <w:rFonts w:hint="eastAsia"/>
          <w:b/>
          <w:bCs/>
          <w:color w:val="auto"/>
          <w:sz w:val="32"/>
          <w:szCs w:val="32"/>
          <w:highlight w:val="none"/>
        </w:rPr>
        <w:t>管理</w:t>
      </w:r>
      <w:r>
        <w:rPr>
          <w:b/>
          <w:bCs/>
          <w:color w:val="auto"/>
          <w:sz w:val="32"/>
          <w:szCs w:val="32"/>
          <w:highlight w:val="none"/>
        </w:rPr>
        <w:t>总局</w:t>
      </w:r>
    </w:p>
    <w:p>
      <w:pPr>
        <w:pStyle w:val="35"/>
        <w:spacing w:after="0" w:afterLines="0" w:line="240" w:lineRule="auto"/>
        <w:rPr>
          <w:rFonts w:ascii="华文中宋" w:hAnsi="华文中宋" w:eastAsia="华文中宋"/>
          <w:color w:val="auto"/>
          <w:sz w:val="44"/>
          <w:szCs w:val="44"/>
          <w:highlight w:val="none"/>
        </w:rPr>
      </w:pPr>
      <w:bookmarkStart w:id="361" w:name="_Toc523410369"/>
      <w:r>
        <w:rPr>
          <w:rFonts w:hint="eastAsia" w:ascii="华文中宋" w:hAnsi="华文中宋" w:eastAsia="华文中宋"/>
          <w:color w:val="auto"/>
          <w:sz w:val="44"/>
          <w:szCs w:val="44"/>
          <w:highlight w:val="none"/>
        </w:rPr>
        <w:t>说</w:t>
      </w:r>
      <w:r>
        <w:rPr>
          <w:rFonts w:ascii="华文中宋" w:hAnsi="华文中宋" w:eastAsia="华文中宋"/>
          <w:color w:val="auto"/>
          <w:sz w:val="44"/>
          <w:szCs w:val="44"/>
          <w:highlight w:val="none"/>
        </w:rPr>
        <w:t xml:space="preserve">  </w:t>
      </w:r>
      <w:r>
        <w:rPr>
          <w:rFonts w:hint="eastAsia" w:ascii="华文中宋" w:hAnsi="华文中宋" w:eastAsia="华文中宋"/>
          <w:color w:val="auto"/>
          <w:sz w:val="44"/>
          <w:szCs w:val="44"/>
          <w:highlight w:val="none"/>
        </w:rPr>
        <w:t>明</w:t>
      </w:r>
      <w:bookmarkEnd w:id="361"/>
    </w:p>
    <w:p>
      <w:pPr>
        <w:ind w:firstLine="600"/>
        <w:rPr>
          <w:rFonts w:ascii="仿宋_GB2312" w:eastAsia="仿宋_GB2312"/>
          <w:color w:val="auto"/>
          <w:sz w:val="24"/>
          <w:highlight w:val="none"/>
        </w:rPr>
      </w:pPr>
      <w:r>
        <w:rPr>
          <w:rFonts w:hint="eastAsia" w:ascii="仿宋_GB2312" w:eastAsia="仿宋_GB2312"/>
          <w:color w:val="auto"/>
          <w:sz w:val="24"/>
          <w:highlight w:val="none"/>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pPr>
        <w:pStyle w:val="36"/>
        <w:numPr>
          <w:ilvl w:val="0"/>
          <w:numId w:val="0"/>
        </w:numPr>
        <w:spacing w:line="360" w:lineRule="auto"/>
        <w:ind w:firstLine="480" w:firstLineChars="200"/>
        <w:rPr>
          <w:b w:val="0"/>
          <w:bCs/>
          <w:color w:val="auto"/>
          <w:highlight w:val="none"/>
        </w:rPr>
      </w:pPr>
      <w:bookmarkStart w:id="362" w:name="_Toc521079598"/>
      <w:r>
        <w:rPr>
          <w:rFonts w:hint="eastAsia"/>
          <w:b w:val="0"/>
          <w:bCs/>
          <w:color w:val="auto"/>
          <w:highlight w:val="none"/>
        </w:rPr>
        <w:t>一、《示范文本》的组成</w:t>
      </w:r>
      <w:bookmarkEnd w:id="362"/>
    </w:p>
    <w:p>
      <w:pPr>
        <w:ind w:firstLine="600"/>
        <w:rPr>
          <w:rFonts w:ascii="仿宋_GB2312" w:eastAsia="仿宋_GB2312"/>
          <w:color w:val="auto"/>
          <w:sz w:val="24"/>
          <w:highlight w:val="none"/>
        </w:rPr>
      </w:pPr>
      <w:r>
        <w:rPr>
          <w:rFonts w:hint="eastAsia" w:ascii="仿宋_GB2312" w:eastAsia="仿宋_GB2312"/>
          <w:color w:val="auto"/>
          <w:sz w:val="24"/>
          <w:highlight w:val="none"/>
        </w:rPr>
        <w:t>《示范文本》由合同协议书、通用合同条件和专用合同条件三部分组成。</w:t>
      </w:r>
    </w:p>
    <w:p>
      <w:pPr>
        <w:ind w:firstLine="600"/>
        <w:rPr>
          <w:rFonts w:ascii="仿宋_GB2312" w:eastAsia="仿宋_GB2312"/>
          <w:color w:val="auto"/>
          <w:sz w:val="24"/>
          <w:highlight w:val="none"/>
        </w:rPr>
      </w:pPr>
      <w:bookmarkStart w:id="363" w:name="_Toc521079599"/>
      <w:r>
        <w:rPr>
          <w:rFonts w:hint="eastAsia" w:ascii="仿宋_GB2312" w:eastAsia="仿宋_GB2312"/>
          <w:color w:val="auto"/>
          <w:sz w:val="24"/>
          <w:highlight w:val="none"/>
        </w:rPr>
        <w:t>（一）合同协议书</w:t>
      </w:r>
      <w:bookmarkEnd w:id="363"/>
    </w:p>
    <w:p>
      <w:pPr>
        <w:ind w:firstLine="600"/>
        <w:rPr>
          <w:rFonts w:ascii="仿宋_GB2312" w:eastAsia="仿宋_GB2312"/>
          <w:color w:val="auto"/>
          <w:sz w:val="24"/>
          <w:highlight w:val="none"/>
        </w:rPr>
      </w:pPr>
      <w:r>
        <w:rPr>
          <w:rFonts w:hint="eastAsia" w:ascii="仿宋_GB2312" w:eastAsia="仿宋_GB2312"/>
          <w:color w:val="auto"/>
          <w:sz w:val="24"/>
          <w:highlight w:val="none"/>
        </w:rPr>
        <w:t>《示范文本》合同协议书共计</w:t>
      </w:r>
      <w:r>
        <w:rPr>
          <w:rFonts w:ascii="仿宋_GB2312" w:eastAsia="仿宋_GB2312"/>
          <w:color w:val="auto"/>
          <w:sz w:val="24"/>
          <w:highlight w:val="none"/>
        </w:rPr>
        <w:t>11</w:t>
      </w:r>
      <w:r>
        <w:rPr>
          <w:rFonts w:hint="eastAsia" w:ascii="仿宋_GB2312" w:eastAsia="仿宋_GB2312"/>
          <w:color w:val="auto"/>
          <w:sz w:val="24"/>
          <w:highlight w:val="none"/>
        </w:rPr>
        <w:t>条，主要包括：工程概况、合同工期、质量标准、签约合同价与合同价格形式、工程总承包项目经理、合同文件构成、承诺、订立时间、订立地点、合同生效和合同份数，集中约定了合同当事人基本的合同权利义务。</w:t>
      </w:r>
    </w:p>
    <w:p>
      <w:pPr>
        <w:ind w:firstLine="600"/>
        <w:rPr>
          <w:rFonts w:ascii="仿宋_GB2312" w:eastAsia="仿宋_GB2312"/>
          <w:color w:val="auto"/>
          <w:sz w:val="24"/>
          <w:highlight w:val="none"/>
        </w:rPr>
      </w:pPr>
      <w:bookmarkStart w:id="364" w:name="_Toc521079600"/>
      <w:r>
        <w:rPr>
          <w:rFonts w:hint="eastAsia" w:ascii="仿宋_GB2312" w:eastAsia="仿宋_GB2312"/>
          <w:color w:val="auto"/>
          <w:sz w:val="24"/>
          <w:highlight w:val="none"/>
        </w:rPr>
        <w:t>（二）通用合同条件</w:t>
      </w:r>
      <w:bookmarkEnd w:id="364"/>
    </w:p>
    <w:p>
      <w:pPr>
        <w:ind w:firstLine="600"/>
        <w:rPr>
          <w:rFonts w:ascii="仿宋_GB2312" w:eastAsia="仿宋_GB2312"/>
          <w:color w:val="auto"/>
          <w:sz w:val="24"/>
          <w:highlight w:val="none"/>
        </w:rPr>
      </w:pPr>
      <w:r>
        <w:rPr>
          <w:rFonts w:hint="eastAsia" w:ascii="仿宋_GB2312" w:eastAsia="仿宋_GB2312"/>
          <w:color w:val="auto"/>
          <w:sz w:val="24"/>
          <w:highlight w:val="none"/>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365" w:name="_Hlk54448922"/>
      <w:r>
        <w:rPr>
          <w:rFonts w:hint="eastAsia" w:ascii="仿宋_GB2312" w:eastAsia="仿宋_GB2312"/>
          <w:color w:val="auto"/>
          <w:sz w:val="24"/>
          <w:highlight w:val="none"/>
        </w:rPr>
        <w:t>第</w:t>
      </w:r>
      <w:r>
        <w:rPr>
          <w:rFonts w:ascii="仿宋_GB2312" w:eastAsia="仿宋_GB2312"/>
          <w:color w:val="auto"/>
          <w:sz w:val="24"/>
          <w:highlight w:val="none"/>
        </w:rP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ascii="仿宋_GB2312" w:eastAsia="仿宋_GB2312"/>
          <w:color w:val="auto"/>
          <w:sz w:val="24"/>
          <w:highlight w:val="none"/>
        </w:rPr>
        <w:t>。</w:t>
      </w:r>
      <w:bookmarkEnd w:id="365"/>
      <w:r>
        <w:rPr>
          <w:rFonts w:hint="eastAsia" w:ascii="仿宋_GB2312" w:eastAsia="仿宋_GB2312"/>
          <w:color w:val="auto"/>
          <w:sz w:val="24"/>
          <w:highlight w:val="none"/>
        </w:rPr>
        <w:t>前述条款安排既考虑了现行法律法规对工程总承包活动的有关要求，也考虑了工程总承包项目管理的实际需要。</w:t>
      </w:r>
    </w:p>
    <w:p>
      <w:pPr>
        <w:ind w:firstLine="600"/>
        <w:rPr>
          <w:rFonts w:ascii="仿宋_GB2312" w:eastAsia="仿宋_GB2312"/>
          <w:color w:val="auto"/>
          <w:sz w:val="24"/>
          <w:highlight w:val="none"/>
        </w:rPr>
      </w:pPr>
      <w:bookmarkStart w:id="366" w:name="_Toc521079601"/>
      <w:r>
        <w:rPr>
          <w:rFonts w:hint="eastAsia" w:ascii="仿宋_GB2312" w:eastAsia="仿宋_GB2312"/>
          <w:color w:val="auto"/>
          <w:sz w:val="24"/>
          <w:highlight w:val="none"/>
        </w:rPr>
        <w:t>（三）专用合同条件</w:t>
      </w:r>
      <w:bookmarkEnd w:id="366"/>
    </w:p>
    <w:p>
      <w:pPr>
        <w:ind w:firstLine="600"/>
        <w:rPr>
          <w:rFonts w:ascii="仿宋_GB2312" w:eastAsia="仿宋_GB2312"/>
          <w:color w:val="auto"/>
          <w:sz w:val="24"/>
          <w:highlight w:val="none"/>
        </w:rPr>
      </w:pPr>
      <w:r>
        <w:rPr>
          <w:rFonts w:hint="eastAsia" w:ascii="仿宋_GB2312" w:eastAsia="仿宋_GB2312"/>
          <w:color w:val="auto"/>
          <w:sz w:val="24"/>
          <w:highlight w:val="none"/>
        </w:rPr>
        <w:t>专用合同条件是合同当事人根据不同建设项目的特点及具体情况，通过双方的谈判、协商对通用合同条件原则性约定细化、完善、补充、修改或另行约定的合同条件。在编写专用合同条件时，应注意以下事项：</w:t>
      </w:r>
    </w:p>
    <w:p>
      <w:pPr>
        <w:ind w:firstLine="600"/>
        <w:rPr>
          <w:rFonts w:ascii="仿宋_GB2312" w:eastAsia="仿宋_GB2312"/>
          <w:color w:val="auto"/>
          <w:sz w:val="24"/>
          <w:highlight w:val="none"/>
        </w:rPr>
      </w:pPr>
      <w:r>
        <w:rPr>
          <w:rFonts w:hint="eastAsia" w:ascii="仿宋_GB2312" w:eastAsia="仿宋_GB2312"/>
          <w:color w:val="auto"/>
          <w:sz w:val="24"/>
          <w:highlight w:val="none"/>
        </w:rPr>
        <w:t>1.专用合同条件的编号应与相应的通用合同条件的编号一致；</w:t>
      </w:r>
    </w:p>
    <w:p>
      <w:pPr>
        <w:ind w:firstLine="600"/>
        <w:rPr>
          <w:rFonts w:ascii="仿宋_GB2312" w:eastAsia="仿宋_GB2312"/>
          <w:color w:val="auto"/>
          <w:sz w:val="24"/>
          <w:highlight w:val="none"/>
        </w:rPr>
      </w:pPr>
      <w:r>
        <w:rPr>
          <w:rFonts w:hint="eastAsia" w:ascii="仿宋_GB2312" w:eastAsia="仿宋_GB2312"/>
          <w:color w:val="auto"/>
          <w:sz w:val="24"/>
          <w:highlight w:val="none"/>
        </w:rPr>
        <w:t>2.在专用合同条件中有横道线的地方，合同当事人可针对相应的通用合同条件进行细化、完善、补充、修改或另行约定；如无细化、完善、补充、修改或另行约定，则填写“无”或划“/”；</w:t>
      </w:r>
    </w:p>
    <w:p>
      <w:pPr>
        <w:ind w:firstLine="600"/>
        <w:rPr>
          <w:rFonts w:ascii="仿宋_GB2312" w:eastAsia="仿宋_GB2312"/>
          <w:color w:val="auto"/>
          <w:sz w:val="24"/>
          <w:highlight w:val="none"/>
        </w:rPr>
      </w:pPr>
      <w:r>
        <w:rPr>
          <w:rFonts w:hint="eastAsia" w:ascii="仿宋_GB2312" w:eastAsia="仿宋_GB2312"/>
          <w:color w:val="auto"/>
          <w:sz w:val="24"/>
          <w:highlight w:val="none"/>
        </w:rPr>
        <w:t>3.对于在专用合同条件中未列出的通用合同条件中的条款，合同当事人根据建设项目的具体情况认为需要进行细化、完善、补充、修改或另行约定的，可在专用合同条件中，以同一条款号增加相关条款的内容。</w:t>
      </w:r>
    </w:p>
    <w:p>
      <w:pPr>
        <w:pStyle w:val="36"/>
        <w:numPr>
          <w:ilvl w:val="0"/>
          <w:numId w:val="0"/>
        </w:numPr>
        <w:spacing w:line="360" w:lineRule="auto"/>
        <w:rPr>
          <w:b w:val="0"/>
          <w:bCs/>
          <w:color w:val="auto"/>
          <w:highlight w:val="none"/>
        </w:rPr>
      </w:pPr>
      <w:bookmarkStart w:id="367" w:name="_Toc521079602"/>
      <w:r>
        <w:rPr>
          <w:rFonts w:hint="eastAsia"/>
          <w:b w:val="0"/>
          <w:bCs/>
          <w:color w:val="auto"/>
          <w:highlight w:val="none"/>
        </w:rPr>
        <w:t>二、《示范文本》的适用范围</w:t>
      </w:r>
      <w:bookmarkEnd w:id="367"/>
    </w:p>
    <w:p>
      <w:pPr>
        <w:ind w:firstLine="600"/>
        <w:rPr>
          <w:rFonts w:ascii="仿宋_GB2312" w:eastAsia="仿宋_GB2312"/>
          <w:color w:val="auto"/>
          <w:sz w:val="24"/>
          <w:highlight w:val="none"/>
        </w:rPr>
      </w:pPr>
      <w:r>
        <w:rPr>
          <w:rFonts w:hint="eastAsia" w:ascii="仿宋_GB2312" w:eastAsia="仿宋_GB2312"/>
          <w:color w:val="auto"/>
          <w:sz w:val="24"/>
          <w:highlight w:val="none"/>
        </w:rPr>
        <w:t>《示范文本》适用于房屋建筑和市政基础设施项目工程总承包承发包活动。</w:t>
      </w:r>
    </w:p>
    <w:p>
      <w:pPr>
        <w:pStyle w:val="36"/>
        <w:numPr>
          <w:ilvl w:val="0"/>
          <w:numId w:val="0"/>
        </w:numPr>
        <w:spacing w:line="360" w:lineRule="auto"/>
        <w:rPr>
          <w:b w:val="0"/>
          <w:bCs/>
          <w:color w:val="auto"/>
          <w:highlight w:val="none"/>
        </w:rPr>
      </w:pPr>
      <w:r>
        <w:rPr>
          <w:rFonts w:hint="eastAsia"/>
          <w:b w:val="0"/>
          <w:bCs/>
          <w:color w:val="auto"/>
          <w:highlight w:val="none"/>
        </w:rPr>
        <w:t>三、《示范文本》的性质</w:t>
      </w:r>
    </w:p>
    <w:p>
      <w:pPr>
        <w:ind w:firstLine="600"/>
        <w:rPr>
          <w:rFonts w:ascii="仿宋_GB2312" w:eastAsia="仿宋_GB2312"/>
          <w:color w:val="auto"/>
          <w:sz w:val="24"/>
          <w:highlight w:val="none"/>
        </w:rPr>
        <w:sectPr>
          <w:footerReference r:id="rId19" w:type="first"/>
          <w:footerReference r:id="rId18" w:type="default"/>
          <w:pgSz w:w="11906" w:h="16838"/>
          <w:pgMar w:top="1247" w:right="1281" w:bottom="1247" w:left="1281" w:header="720" w:footer="998" w:gutter="0"/>
          <w:cols w:space="720" w:num="1"/>
          <w:titlePg/>
          <w:docGrid w:linePitch="326" w:charSpace="0"/>
        </w:sectPr>
      </w:pPr>
      <w:r>
        <w:rPr>
          <w:rFonts w:hint="eastAsia" w:ascii="仿宋_GB2312" w:eastAsia="仿宋_GB2312"/>
          <w:color w:val="auto"/>
          <w:sz w:val="24"/>
          <w:highlight w:val="none"/>
        </w:rPr>
        <w:t>《示范文本》为推荐使用的非强制性使用文本。合同当事人可结合建设工程具体情况，参照《示范文本》订立合同，并按照法律法规和合同约定承担相应的法律责任及合同权利义务</w:t>
      </w:r>
    </w:p>
    <w:p>
      <w:pPr>
        <w:rPr>
          <w:color w:val="auto"/>
          <w:highlight w:val="none"/>
        </w:rPr>
        <w:sectPr>
          <w:footerReference r:id="rId20" w:type="default"/>
          <w:pgSz w:w="11906" w:h="16838"/>
          <w:pgMar w:top="1440" w:right="1800" w:bottom="1440" w:left="1800" w:header="720" w:footer="998" w:gutter="0"/>
          <w:cols w:space="720" w:num="2"/>
        </w:sectPr>
      </w:pPr>
    </w:p>
    <w:p>
      <w:pPr>
        <w:pStyle w:val="38"/>
        <w:keepNext w:val="0"/>
        <w:adjustRightInd w:val="0"/>
        <w:snapToGrid w:val="0"/>
        <w:spacing w:before="0" w:after="50" w:line="360" w:lineRule="auto"/>
        <w:jc w:val="center"/>
        <w:rPr>
          <w:rFonts w:ascii="华文中宋" w:hAnsi="华文中宋" w:eastAsia="华文中宋"/>
          <w:color w:val="auto"/>
          <w:sz w:val="44"/>
          <w:szCs w:val="52"/>
          <w:highlight w:val="none"/>
          <w:lang w:eastAsia="zh-CN"/>
        </w:rPr>
      </w:pPr>
      <w:bookmarkStart w:id="368" w:name="_Toc54862164"/>
      <w:bookmarkStart w:id="369" w:name="_Toc24714"/>
      <w:bookmarkStart w:id="370" w:name="_Toc23847"/>
      <w:r>
        <w:rPr>
          <w:rFonts w:hint="eastAsia" w:ascii="华文中宋" w:hAnsi="华文中宋" w:eastAsia="华文中宋"/>
          <w:color w:val="auto"/>
          <w:sz w:val="44"/>
          <w:szCs w:val="52"/>
          <w:highlight w:val="none"/>
          <w:lang w:eastAsia="zh-CN"/>
        </w:rPr>
        <w:t>第一部分</w:t>
      </w:r>
      <w:r>
        <w:rPr>
          <w:rFonts w:ascii="华文中宋" w:hAnsi="华文中宋" w:eastAsia="华文中宋"/>
          <w:color w:val="auto"/>
          <w:sz w:val="44"/>
          <w:szCs w:val="52"/>
          <w:highlight w:val="none"/>
          <w:lang w:eastAsia="zh-CN"/>
        </w:rPr>
        <w:t xml:space="preserve"> </w:t>
      </w:r>
      <w:r>
        <w:rPr>
          <w:rFonts w:hint="eastAsia" w:ascii="华文中宋" w:hAnsi="华文中宋" w:eastAsia="华文中宋"/>
          <w:color w:val="auto"/>
          <w:sz w:val="44"/>
          <w:szCs w:val="52"/>
          <w:highlight w:val="none"/>
          <w:lang w:eastAsia="zh-CN"/>
        </w:rPr>
        <w:t>合同协议书</w:t>
      </w:r>
      <w:bookmarkEnd w:id="368"/>
      <w:bookmarkEnd w:id="369"/>
      <w:bookmarkEnd w:id="370"/>
    </w:p>
    <w:p>
      <w:pPr>
        <w:ind w:firstLine="600"/>
        <w:rPr>
          <w:rFonts w:ascii="仿宋_GB2312" w:eastAsia="仿宋_GB2312"/>
          <w:color w:val="auto"/>
          <w:sz w:val="24"/>
          <w:highlight w:val="none"/>
          <w:u w:val="single"/>
        </w:rPr>
      </w:pPr>
      <w:r>
        <w:rPr>
          <w:rFonts w:hint="eastAsia" w:ascii="仿宋_GB2312" w:eastAsia="仿宋_GB2312"/>
          <w:color w:val="auto"/>
          <w:sz w:val="24"/>
          <w:highlight w:val="none"/>
        </w:rPr>
        <w:t>发包人（全称）：</w:t>
      </w:r>
      <w:r>
        <w:rPr>
          <w:rFonts w:ascii="仿宋_GB2312" w:eastAsia="仿宋_GB2312"/>
          <w:color w:val="auto"/>
          <w:sz w:val="24"/>
          <w:highlight w:val="none"/>
          <w:u w:val="singl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承包人（全称）：</w:t>
      </w:r>
      <w:r>
        <w:rPr>
          <w:rFonts w:ascii="仿宋_GB2312" w:eastAsia="仿宋_GB2312"/>
          <w:color w:val="auto"/>
          <w:sz w:val="24"/>
          <w:highlight w:val="none"/>
          <w:u w:val="singl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根据《中华人民共和国民法典》、《中华人民共和国建筑法》及有关法律规定，遵循平等、自愿、公平和诚实信用的原则，双方就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项目的工程总承包及有关事项协商一致，共同达成如下协议：</w:t>
      </w:r>
    </w:p>
    <w:p>
      <w:pPr>
        <w:pStyle w:val="39"/>
        <w:numPr>
          <w:ilvl w:val="0"/>
          <w:numId w:val="0"/>
        </w:numPr>
        <w:wordWrap/>
        <w:topLinePunct w:val="0"/>
        <w:rPr>
          <w:rFonts w:ascii="黑体" w:hAnsi="黑体" w:eastAsia="黑体"/>
          <w:b w:val="0"/>
          <w:bCs/>
          <w:color w:val="auto"/>
          <w:szCs w:val="24"/>
          <w:highlight w:val="none"/>
        </w:rPr>
      </w:pPr>
      <w:bookmarkStart w:id="371" w:name="_Toc54862165"/>
      <w:r>
        <w:rPr>
          <w:rFonts w:hint="eastAsia" w:ascii="黑体" w:hAnsi="黑体" w:eastAsia="黑体"/>
          <w:b w:val="0"/>
          <w:bCs/>
          <w:color w:val="auto"/>
          <w:szCs w:val="24"/>
          <w:highlight w:val="none"/>
        </w:rPr>
        <w:t>一、工程概况</w:t>
      </w:r>
      <w:bookmarkEnd w:id="371"/>
    </w:p>
    <w:p>
      <w:pPr>
        <w:ind w:firstLine="600"/>
        <w:rPr>
          <w:rFonts w:ascii="仿宋_GB2312" w:eastAsia="仿宋_GB2312"/>
          <w:color w:val="auto"/>
          <w:sz w:val="24"/>
          <w:highlight w:val="none"/>
        </w:rPr>
      </w:pPr>
      <w:r>
        <w:rPr>
          <w:rFonts w:hint="eastAsia" w:ascii="仿宋_GB2312" w:eastAsia="仿宋_GB2312"/>
          <w:color w:val="auto"/>
          <w:sz w:val="24"/>
          <w:highlight w:val="none"/>
        </w:rPr>
        <w:t>1. 工程名称：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2. 工程地点：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3. 工程审批、核准或备案文号：</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4. 资金来源：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5. 工程内容及规模：</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6. 工程承包范围：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39"/>
        <w:numPr>
          <w:ilvl w:val="0"/>
          <w:numId w:val="0"/>
        </w:numPr>
        <w:wordWrap/>
        <w:topLinePunct w:val="0"/>
        <w:rPr>
          <w:rFonts w:ascii="黑体" w:hAnsi="黑体" w:eastAsia="黑体"/>
          <w:b w:val="0"/>
          <w:bCs/>
          <w:color w:val="auto"/>
          <w:szCs w:val="24"/>
          <w:highlight w:val="none"/>
        </w:rPr>
      </w:pPr>
      <w:bookmarkStart w:id="372" w:name="_Toc54862166"/>
      <w:r>
        <w:rPr>
          <w:rFonts w:hint="eastAsia" w:ascii="黑体" w:hAnsi="黑体" w:eastAsia="黑体"/>
          <w:b w:val="0"/>
          <w:bCs/>
          <w:color w:val="auto"/>
          <w:szCs w:val="24"/>
          <w:highlight w:val="none"/>
        </w:rPr>
        <w:t>二、合同工期</w:t>
      </w:r>
      <w:bookmarkEnd w:id="372"/>
    </w:p>
    <w:p>
      <w:pPr>
        <w:ind w:firstLine="600"/>
        <w:rPr>
          <w:rFonts w:ascii="仿宋_GB2312" w:eastAsia="仿宋_GB2312"/>
          <w:color w:val="auto"/>
          <w:sz w:val="24"/>
          <w:highlight w:val="none"/>
        </w:rPr>
      </w:pPr>
      <w:r>
        <w:rPr>
          <w:rFonts w:hint="eastAsia" w:ascii="仿宋_GB2312" w:eastAsia="仿宋_GB2312"/>
          <w:color w:val="auto"/>
          <w:sz w:val="24"/>
          <w:highlight w:val="none"/>
        </w:rPr>
        <w:t>计划开始工作日期：</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ind w:firstLine="600"/>
        <w:rPr>
          <w:rFonts w:ascii="仿宋_GB2312" w:eastAsia="仿宋_GB2312"/>
          <w:color w:val="auto"/>
          <w:sz w:val="24"/>
          <w:highlight w:val="none"/>
        </w:rPr>
      </w:pPr>
      <w:r>
        <w:rPr>
          <w:rFonts w:hint="eastAsia" w:ascii="仿宋_GB2312" w:eastAsia="仿宋_GB2312"/>
          <w:color w:val="auto"/>
          <w:sz w:val="24"/>
          <w:highlight w:val="none"/>
        </w:rPr>
        <w:t>计划开始现场施工日期：</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ind w:firstLine="600"/>
        <w:rPr>
          <w:rFonts w:ascii="仿宋_GB2312" w:eastAsia="仿宋_GB2312"/>
          <w:color w:val="auto"/>
          <w:sz w:val="24"/>
          <w:highlight w:val="none"/>
        </w:rPr>
      </w:pPr>
      <w:r>
        <w:rPr>
          <w:rFonts w:hint="eastAsia" w:ascii="仿宋_GB2312" w:eastAsia="仿宋_GB2312"/>
          <w:color w:val="auto"/>
          <w:sz w:val="24"/>
          <w:highlight w:val="none"/>
        </w:rPr>
        <w:t>计划竣工日期：</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ind w:firstLine="600"/>
        <w:rPr>
          <w:rFonts w:ascii="仿宋_GB2312" w:eastAsia="仿宋_GB2312"/>
          <w:color w:val="auto"/>
          <w:sz w:val="24"/>
          <w:highlight w:val="none"/>
        </w:rPr>
      </w:pPr>
      <w:r>
        <w:rPr>
          <w:rFonts w:hint="eastAsia" w:ascii="仿宋_GB2312" w:eastAsia="仿宋_GB2312"/>
          <w:color w:val="auto"/>
          <w:sz w:val="24"/>
          <w:highlight w:val="none"/>
        </w:rPr>
        <w:t>工期总日历天数：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天，工期总日历天数与根据前述计划日期计算的工期天数不一致的，以工期总日历天数为准。</w:t>
      </w:r>
    </w:p>
    <w:p>
      <w:pPr>
        <w:pStyle w:val="39"/>
        <w:numPr>
          <w:ilvl w:val="0"/>
          <w:numId w:val="0"/>
        </w:numPr>
        <w:wordWrap/>
        <w:topLinePunct w:val="0"/>
        <w:rPr>
          <w:rFonts w:ascii="黑体" w:hAnsi="黑体" w:eastAsia="黑体"/>
          <w:b w:val="0"/>
          <w:bCs/>
          <w:color w:val="auto"/>
          <w:szCs w:val="24"/>
          <w:highlight w:val="none"/>
        </w:rPr>
      </w:pPr>
      <w:bookmarkStart w:id="373" w:name="_Toc54862167"/>
      <w:r>
        <w:rPr>
          <w:rFonts w:hint="eastAsia" w:ascii="黑体" w:hAnsi="黑体" w:eastAsia="黑体"/>
          <w:b w:val="0"/>
          <w:bCs/>
          <w:color w:val="auto"/>
          <w:szCs w:val="24"/>
          <w:highlight w:val="none"/>
        </w:rPr>
        <w:t>三、质量标准</w:t>
      </w:r>
      <w:bookmarkEnd w:id="373"/>
    </w:p>
    <w:p>
      <w:pPr>
        <w:ind w:firstLine="600"/>
        <w:rPr>
          <w:rFonts w:ascii="仿宋_GB2312" w:eastAsia="仿宋_GB2312"/>
          <w:color w:val="auto"/>
          <w:sz w:val="24"/>
          <w:highlight w:val="none"/>
        </w:rPr>
      </w:pPr>
      <w:r>
        <w:rPr>
          <w:rFonts w:hint="eastAsia" w:ascii="仿宋_GB2312" w:eastAsia="仿宋_GB2312"/>
          <w:color w:val="auto"/>
          <w:sz w:val="24"/>
          <w:highlight w:val="none"/>
        </w:rPr>
        <w:t>工程质量标准：</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39"/>
        <w:numPr>
          <w:ilvl w:val="0"/>
          <w:numId w:val="0"/>
        </w:numPr>
        <w:wordWrap/>
        <w:topLinePunct w:val="0"/>
        <w:rPr>
          <w:rFonts w:ascii="黑体" w:hAnsi="黑体" w:eastAsia="黑体"/>
          <w:b w:val="0"/>
          <w:bCs/>
          <w:color w:val="auto"/>
          <w:szCs w:val="24"/>
          <w:highlight w:val="none"/>
        </w:rPr>
      </w:pPr>
      <w:bookmarkStart w:id="374" w:name="_Toc54862168"/>
      <w:r>
        <w:rPr>
          <w:rFonts w:hint="eastAsia" w:ascii="黑体" w:hAnsi="黑体" w:eastAsia="黑体"/>
          <w:b w:val="0"/>
          <w:bCs/>
          <w:color w:val="auto"/>
          <w:szCs w:val="24"/>
          <w:highlight w:val="none"/>
        </w:rPr>
        <w:t>四、签约合同价与合同价格形式</w:t>
      </w:r>
      <w:bookmarkEnd w:id="374"/>
    </w:p>
    <w:p>
      <w:pPr>
        <w:ind w:firstLine="600"/>
        <w:rPr>
          <w:rFonts w:ascii="仿宋_GB2312" w:eastAsia="仿宋_GB2312"/>
          <w:color w:val="auto"/>
          <w:sz w:val="24"/>
          <w:highlight w:val="none"/>
        </w:rPr>
      </w:pPr>
      <w:r>
        <w:rPr>
          <w:rFonts w:hint="eastAsia" w:ascii="仿宋_GB2312" w:eastAsia="仿宋_GB2312"/>
          <w:color w:val="auto"/>
          <w:sz w:val="24"/>
          <w:highlight w:val="none"/>
        </w:rPr>
        <w:t>1. 签约合同价（含税）为：</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人民币（大写)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元）。</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具体构成详见价格清单。其中： </w:t>
      </w:r>
    </w:p>
    <w:p>
      <w:pPr>
        <w:ind w:firstLine="600"/>
        <w:rPr>
          <w:rFonts w:ascii="仿宋_GB2312" w:eastAsia="仿宋_GB2312"/>
          <w:color w:val="auto"/>
          <w:sz w:val="24"/>
          <w:highlight w:val="none"/>
        </w:rPr>
      </w:pPr>
      <w:r>
        <w:rPr>
          <w:rFonts w:hint="eastAsia" w:ascii="仿宋_GB2312" w:eastAsia="仿宋_GB2312"/>
          <w:color w:val="auto"/>
          <w:sz w:val="24"/>
          <w:highlight w:val="none"/>
        </w:rPr>
        <w:t>（1） 设计费（含税）：</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人民币（大写)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元）；适用税率：</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%，税金为人民币（大写)</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元）； </w:t>
      </w:r>
    </w:p>
    <w:p>
      <w:pPr>
        <w:ind w:firstLine="600"/>
        <w:rPr>
          <w:rFonts w:ascii="仿宋_GB2312" w:eastAsia="仿宋_GB2312"/>
          <w:color w:val="auto"/>
          <w:sz w:val="24"/>
          <w:highlight w:val="none"/>
        </w:rPr>
      </w:pPr>
      <w:r>
        <w:rPr>
          <w:rFonts w:hint="eastAsia" w:ascii="仿宋_GB2312" w:eastAsia="仿宋_GB2312"/>
          <w:color w:val="auto"/>
          <w:sz w:val="24"/>
          <w:highlight w:val="none"/>
        </w:rPr>
        <w:t>（2） 设备购置费（含税）：</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人民币（大写)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元）；适用税率：</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%，税金为人民币（大写)</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元）； </w:t>
      </w:r>
    </w:p>
    <w:p>
      <w:pPr>
        <w:ind w:firstLine="600"/>
        <w:rPr>
          <w:rFonts w:ascii="仿宋_GB2312" w:eastAsia="仿宋_GB2312"/>
          <w:color w:val="auto"/>
          <w:sz w:val="24"/>
          <w:highlight w:val="none"/>
        </w:rPr>
      </w:pPr>
      <w:r>
        <w:rPr>
          <w:rFonts w:hint="eastAsia" w:ascii="仿宋_GB2312" w:eastAsia="仿宋_GB2312"/>
          <w:color w:val="auto"/>
          <w:sz w:val="24"/>
          <w:highlight w:val="none"/>
        </w:rPr>
        <w:t>（3） 建筑安装工程费（含税）：</w:t>
      </w:r>
    </w:p>
    <w:p>
      <w:pPr>
        <w:ind w:firstLine="600"/>
        <w:rPr>
          <w:rFonts w:ascii="仿宋_GB2312" w:eastAsia="仿宋_GB2312"/>
          <w:color w:val="auto"/>
          <w:sz w:val="24"/>
          <w:highlight w:val="none"/>
        </w:rPr>
      </w:pPr>
      <w:r>
        <w:rPr>
          <w:rFonts w:hint="eastAsia" w:ascii="仿宋_GB2312" w:eastAsia="仿宋_GB2312"/>
          <w:color w:val="auto"/>
          <w:sz w:val="24"/>
          <w:highlight w:val="none"/>
        </w:rPr>
        <w:t>人民币（大写)</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元）；适用税率：</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%，税金为人民币（大写)</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元）； </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 暂估价（含税）：</w:t>
      </w:r>
    </w:p>
    <w:p>
      <w:pPr>
        <w:ind w:firstLine="600"/>
        <w:rPr>
          <w:rFonts w:ascii="仿宋_GB2312" w:eastAsia="仿宋_GB2312"/>
          <w:color w:val="auto"/>
          <w:sz w:val="24"/>
          <w:highlight w:val="none"/>
        </w:rPr>
      </w:pPr>
      <w:r>
        <w:rPr>
          <w:rFonts w:hint="eastAsia" w:ascii="仿宋_GB2312" w:eastAsia="仿宋_GB2312"/>
          <w:color w:val="auto"/>
          <w:sz w:val="24"/>
          <w:highlight w:val="none"/>
        </w:rPr>
        <w:t>人民币（大写)</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元）。</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5</w:t>
      </w:r>
      <w:r>
        <w:rPr>
          <w:rFonts w:hint="eastAsia" w:ascii="仿宋_GB2312" w:eastAsia="仿宋_GB2312"/>
          <w:color w:val="auto"/>
          <w:sz w:val="24"/>
          <w:highlight w:val="none"/>
        </w:rPr>
        <w:t>） 暂列金额（含税）：</w:t>
      </w:r>
    </w:p>
    <w:p>
      <w:pPr>
        <w:ind w:firstLine="600"/>
        <w:rPr>
          <w:rFonts w:ascii="仿宋_GB2312" w:eastAsia="仿宋_GB2312"/>
          <w:color w:val="auto"/>
          <w:sz w:val="24"/>
          <w:highlight w:val="none"/>
        </w:rPr>
      </w:pPr>
      <w:r>
        <w:rPr>
          <w:rFonts w:hint="eastAsia" w:ascii="仿宋_GB2312" w:eastAsia="仿宋_GB2312"/>
          <w:color w:val="auto"/>
          <w:sz w:val="24"/>
          <w:highlight w:val="none"/>
        </w:rPr>
        <w:t>人民币（大写)</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元）。</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6）</w:t>
      </w:r>
      <w:r>
        <w:rPr>
          <w:rFonts w:hint="eastAsia" w:ascii="仿宋_GB2312" w:eastAsia="仿宋_GB2312"/>
          <w:color w:val="auto"/>
          <w:sz w:val="24"/>
          <w:highlight w:val="none"/>
        </w:rPr>
        <w:t xml:space="preserve"> </w:t>
      </w:r>
      <w:r>
        <w:rPr>
          <w:rFonts w:ascii="仿宋_GB2312" w:eastAsia="仿宋_GB2312"/>
          <w:color w:val="auto"/>
          <w:sz w:val="24"/>
          <w:highlight w:val="none"/>
        </w:rPr>
        <w:t>双方约定的其他费用</w:t>
      </w:r>
      <w:r>
        <w:rPr>
          <w:rFonts w:hint="eastAsia" w:ascii="仿宋_GB2312" w:eastAsia="仿宋_GB2312"/>
          <w:color w:val="auto"/>
          <w:sz w:val="24"/>
          <w:highlight w:val="none"/>
        </w:rPr>
        <w:t>（含税）</w:t>
      </w:r>
      <w:r>
        <w:rPr>
          <w:rFonts w:ascii="仿宋_GB2312" w:eastAsia="仿宋_GB2312"/>
          <w:color w:val="auto"/>
          <w:sz w:val="24"/>
          <w:highlight w:val="none"/>
        </w:rPr>
        <w:t>：</w:t>
      </w:r>
    </w:p>
    <w:p>
      <w:pPr>
        <w:ind w:firstLine="600"/>
        <w:jc w:val="left"/>
        <w:rPr>
          <w:rFonts w:ascii="仿宋_GB2312" w:eastAsia="仿宋_GB2312"/>
          <w:color w:val="auto"/>
          <w:sz w:val="24"/>
          <w:highlight w:val="none"/>
        </w:rPr>
      </w:pPr>
      <w:r>
        <w:rPr>
          <w:rFonts w:hint="eastAsia" w:ascii="仿宋_GB2312" w:eastAsia="仿宋_GB2312"/>
          <w:color w:val="auto"/>
          <w:sz w:val="24"/>
          <w:highlight w:val="none"/>
        </w:rPr>
        <w:t>人民币（大写</w:t>
      </w:r>
      <w:r>
        <w:rPr>
          <w:rFonts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元）；适用税率：</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%，税金为人民币（大写)</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元）。</w:t>
      </w:r>
    </w:p>
    <w:p>
      <w:pPr>
        <w:ind w:firstLine="600"/>
        <w:rPr>
          <w:rFonts w:ascii="仿宋_GB2312" w:eastAsia="仿宋_GB2312"/>
          <w:color w:val="auto"/>
          <w:sz w:val="24"/>
          <w:highlight w:val="none"/>
        </w:rPr>
      </w:pPr>
      <w:r>
        <w:rPr>
          <w:rFonts w:hint="eastAsia" w:ascii="仿宋_GB2312" w:eastAsia="仿宋_GB2312"/>
          <w:color w:val="auto"/>
          <w:sz w:val="24"/>
          <w:highlight w:val="none"/>
        </w:rPr>
        <w:t>2. 合同价格形式：</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合同价格形式为总价合同，除根据合同约定的在工程实施过程中需进行增减的款项外，合同价格不予调整，但合同当事人另有约定的除外。</w:t>
      </w:r>
    </w:p>
    <w:p>
      <w:pPr>
        <w:kinsoku w:val="0"/>
        <w:ind w:left="263" w:leftChars="125" w:firstLine="240" w:firstLineChars="100"/>
        <w:jc w:val="left"/>
        <w:rPr>
          <w:rFonts w:ascii="仿宋_GB2312" w:eastAsia="仿宋_GB2312"/>
          <w:color w:val="auto"/>
          <w:sz w:val="24"/>
          <w:highlight w:val="none"/>
        </w:rPr>
      </w:pPr>
      <w:r>
        <w:rPr>
          <w:rFonts w:hint="eastAsia" w:ascii="仿宋_GB2312" w:eastAsia="仿宋_GB2312"/>
          <w:color w:val="auto"/>
          <w:sz w:val="24"/>
          <w:highlight w:val="none"/>
        </w:rPr>
        <w:t>合同当事人对合同价格形式的其他约定：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39"/>
        <w:numPr>
          <w:ilvl w:val="0"/>
          <w:numId w:val="0"/>
        </w:numPr>
        <w:wordWrap/>
        <w:topLinePunct w:val="0"/>
        <w:rPr>
          <w:rFonts w:ascii="黑体" w:hAnsi="黑体" w:eastAsia="黑体"/>
          <w:b w:val="0"/>
          <w:bCs/>
          <w:color w:val="auto"/>
          <w:szCs w:val="24"/>
          <w:highlight w:val="none"/>
        </w:rPr>
      </w:pPr>
      <w:bookmarkStart w:id="375" w:name="_Toc54862169"/>
      <w:r>
        <w:rPr>
          <w:rFonts w:hint="eastAsia" w:ascii="黑体" w:hAnsi="黑体" w:eastAsia="黑体"/>
          <w:b w:val="0"/>
          <w:bCs/>
          <w:color w:val="auto"/>
          <w:szCs w:val="24"/>
          <w:highlight w:val="none"/>
        </w:rPr>
        <w:t>五、工程总承包项目经理</w:t>
      </w:r>
      <w:bookmarkEnd w:id="375"/>
    </w:p>
    <w:p>
      <w:pPr>
        <w:ind w:firstLine="600"/>
        <w:rPr>
          <w:rFonts w:ascii="仿宋_GB2312" w:eastAsia="仿宋_GB2312"/>
          <w:color w:val="auto"/>
          <w:sz w:val="24"/>
          <w:highlight w:val="none"/>
        </w:rPr>
      </w:pPr>
      <w:r>
        <w:rPr>
          <w:rFonts w:hint="eastAsia" w:ascii="仿宋_GB2312" w:eastAsia="仿宋_GB2312"/>
          <w:color w:val="auto"/>
          <w:sz w:val="24"/>
          <w:highlight w:val="none"/>
        </w:rPr>
        <w:t>工程总承包项目经理：</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39"/>
        <w:numPr>
          <w:ilvl w:val="0"/>
          <w:numId w:val="0"/>
        </w:numPr>
        <w:wordWrap/>
        <w:topLinePunct w:val="0"/>
        <w:rPr>
          <w:rFonts w:ascii="黑体" w:hAnsi="黑体" w:eastAsia="黑体"/>
          <w:b w:val="0"/>
          <w:bCs/>
          <w:color w:val="auto"/>
          <w:szCs w:val="24"/>
          <w:highlight w:val="none"/>
        </w:rPr>
      </w:pPr>
      <w:bookmarkStart w:id="376" w:name="_Toc54862170"/>
      <w:r>
        <w:rPr>
          <w:rFonts w:hint="eastAsia" w:ascii="黑体" w:hAnsi="黑体" w:eastAsia="黑体"/>
          <w:b w:val="0"/>
          <w:bCs/>
          <w:color w:val="auto"/>
          <w:szCs w:val="24"/>
          <w:highlight w:val="none"/>
        </w:rPr>
        <w:t>六、合同文件构成</w:t>
      </w:r>
      <w:bookmarkEnd w:id="376"/>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本协议书与下列文件一起构成合同文件： </w:t>
      </w:r>
    </w:p>
    <w:p>
      <w:pPr>
        <w:ind w:firstLine="600"/>
        <w:rPr>
          <w:rFonts w:ascii="仿宋_GB2312" w:eastAsia="仿宋_GB2312"/>
          <w:color w:val="auto"/>
          <w:sz w:val="24"/>
          <w:highlight w:val="none"/>
        </w:rPr>
      </w:pPr>
      <w:r>
        <w:rPr>
          <w:rFonts w:hint="eastAsia" w:ascii="仿宋_GB2312" w:eastAsia="仿宋_GB2312"/>
          <w:color w:val="auto"/>
          <w:sz w:val="24"/>
          <w:highlight w:val="none"/>
        </w:rPr>
        <w:t>（1） 中标通知书（如果有）；</w:t>
      </w:r>
    </w:p>
    <w:p>
      <w:pPr>
        <w:ind w:firstLine="600"/>
        <w:rPr>
          <w:rFonts w:ascii="仿宋_GB2312" w:eastAsia="仿宋_GB2312"/>
          <w:color w:val="auto"/>
          <w:sz w:val="24"/>
          <w:highlight w:val="none"/>
        </w:rPr>
      </w:pPr>
      <w:r>
        <w:rPr>
          <w:rFonts w:hint="eastAsia" w:ascii="仿宋_GB2312" w:eastAsia="仿宋_GB2312"/>
          <w:color w:val="auto"/>
          <w:sz w:val="24"/>
          <w:highlight w:val="none"/>
        </w:rPr>
        <w:t>（2） 投标函及投标函附录（如果有）；</w:t>
      </w:r>
    </w:p>
    <w:p>
      <w:pPr>
        <w:ind w:firstLine="600"/>
        <w:rPr>
          <w:rFonts w:ascii="仿宋_GB2312" w:eastAsia="仿宋_GB2312"/>
          <w:color w:val="auto"/>
          <w:sz w:val="24"/>
          <w:highlight w:val="none"/>
        </w:rPr>
      </w:pPr>
      <w:r>
        <w:rPr>
          <w:rFonts w:hint="eastAsia" w:ascii="仿宋_GB2312" w:eastAsia="仿宋_GB2312"/>
          <w:color w:val="auto"/>
          <w:sz w:val="24"/>
          <w:highlight w:val="none"/>
        </w:rPr>
        <w:t>（3） 专用合同条件及《发包人要求》等附件；</w:t>
      </w:r>
    </w:p>
    <w:p>
      <w:pPr>
        <w:ind w:firstLine="600"/>
        <w:rPr>
          <w:rFonts w:ascii="仿宋_GB2312" w:eastAsia="仿宋_GB2312"/>
          <w:color w:val="auto"/>
          <w:sz w:val="24"/>
          <w:highlight w:val="none"/>
        </w:rPr>
      </w:pPr>
      <w:r>
        <w:rPr>
          <w:rFonts w:hint="eastAsia" w:ascii="仿宋_GB2312" w:eastAsia="仿宋_GB2312"/>
          <w:color w:val="auto"/>
          <w:sz w:val="24"/>
          <w:highlight w:val="none"/>
        </w:rPr>
        <w:t>（4） 通用合同条件；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5</w:t>
      </w:r>
      <w:r>
        <w:rPr>
          <w:rFonts w:hint="eastAsia" w:ascii="仿宋_GB2312" w:eastAsia="仿宋_GB2312"/>
          <w:color w:val="auto"/>
          <w:sz w:val="24"/>
          <w:highlight w:val="none"/>
        </w:rPr>
        <w:t xml:space="preserve">） 承包人建议书； </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6</w:t>
      </w:r>
      <w:r>
        <w:rPr>
          <w:rFonts w:hint="eastAsia" w:ascii="仿宋_GB2312" w:eastAsia="仿宋_GB2312"/>
          <w:color w:val="auto"/>
          <w:sz w:val="24"/>
          <w:highlight w:val="none"/>
        </w:rPr>
        <w:t>） 价格清单；</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7</w:t>
      </w:r>
      <w:r>
        <w:rPr>
          <w:rFonts w:hint="eastAsia" w:ascii="仿宋_GB2312" w:eastAsia="仿宋_GB2312"/>
          <w:color w:val="auto"/>
          <w:sz w:val="24"/>
          <w:highlight w:val="none"/>
        </w:rPr>
        <w:t>） 双方约定的其他合同文件。</w:t>
      </w:r>
    </w:p>
    <w:p>
      <w:pPr>
        <w:ind w:firstLine="600"/>
        <w:rPr>
          <w:rFonts w:ascii="仿宋_GB2312" w:eastAsia="仿宋_GB2312"/>
          <w:color w:val="auto"/>
          <w:sz w:val="24"/>
          <w:highlight w:val="none"/>
        </w:rPr>
      </w:pPr>
      <w:r>
        <w:rPr>
          <w:rFonts w:hint="eastAsia" w:ascii="仿宋_GB2312" w:eastAsia="仿宋_GB2312"/>
          <w:color w:val="auto"/>
          <w:sz w:val="24"/>
          <w:highlight w:val="none"/>
        </w:rPr>
        <w:t>上述各项合同文件包括双方就该项合同文件所作出的补充和修改，属于同一类内容的合同文件应以最新签署的为准。专用合同条件及其附件须经合同当事人签字或盖章。</w:t>
      </w:r>
    </w:p>
    <w:p>
      <w:pPr>
        <w:pStyle w:val="39"/>
        <w:numPr>
          <w:ilvl w:val="0"/>
          <w:numId w:val="0"/>
        </w:numPr>
        <w:wordWrap/>
        <w:topLinePunct w:val="0"/>
        <w:rPr>
          <w:rFonts w:ascii="黑体" w:hAnsi="黑体" w:eastAsia="黑体"/>
          <w:b w:val="0"/>
          <w:bCs/>
          <w:color w:val="auto"/>
          <w:szCs w:val="24"/>
          <w:highlight w:val="none"/>
        </w:rPr>
      </w:pPr>
      <w:bookmarkStart w:id="377" w:name="_Toc54862171"/>
      <w:r>
        <w:rPr>
          <w:rFonts w:hint="eastAsia" w:ascii="黑体" w:hAnsi="黑体" w:eastAsia="黑体"/>
          <w:b w:val="0"/>
          <w:bCs/>
          <w:color w:val="auto"/>
          <w:szCs w:val="24"/>
          <w:highlight w:val="none"/>
        </w:rPr>
        <w:t>七、承诺</w:t>
      </w:r>
      <w:bookmarkEnd w:id="377"/>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发包人承诺按照法律规定履行项目审批手续、筹集工程建设资金并按照合同约定的期限和方式支付合同价款。</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39"/>
        <w:numPr>
          <w:ilvl w:val="0"/>
          <w:numId w:val="0"/>
        </w:numPr>
        <w:wordWrap/>
        <w:topLinePunct w:val="0"/>
        <w:rPr>
          <w:rFonts w:hint="eastAsia" w:ascii="黑体" w:hAnsi="黑体" w:eastAsia="黑体"/>
          <w:b w:val="0"/>
          <w:bCs/>
          <w:color w:val="auto"/>
          <w:szCs w:val="24"/>
          <w:highlight w:val="none"/>
        </w:rPr>
      </w:pPr>
      <w:bookmarkStart w:id="378" w:name="_Toc54862172"/>
      <w:r>
        <w:rPr>
          <w:rFonts w:hint="eastAsia" w:ascii="黑体" w:hAnsi="黑体" w:eastAsia="黑体"/>
          <w:b w:val="0"/>
          <w:bCs/>
          <w:color w:val="auto"/>
          <w:szCs w:val="24"/>
          <w:highlight w:val="none"/>
        </w:rPr>
        <w:t>八、订立时间</w:t>
      </w:r>
      <w:bookmarkEnd w:id="378"/>
    </w:p>
    <w:p>
      <w:pPr>
        <w:pStyle w:val="39"/>
        <w:numPr>
          <w:ilvl w:val="0"/>
          <w:numId w:val="0"/>
        </w:numPr>
        <w:wordWrap/>
        <w:topLinePunct w:val="0"/>
        <w:rPr>
          <w:rFonts w:ascii="仿宋_GB2312" w:eastAsia="仿宋_GB2312"/>
          <w:color w:val="auto"/>
          <w:sz w:val="24"/>
          <w:highlight w:val="none"/>
        </w:rPr>
      </w:pPr>
      <w:r>
        <w:rPr>
          <w:rFonts w:hint="eastAsia" w:ascii="仿宋_GB2312" w:eastAsia="仿宋_GB2312"/>
          <w:color w:val="auto"/>
          <w:sz w:val="24"/>
          <w:highlight w:val="none"/>
        </w:rPr>
        <w:t>本合同于</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日订立。</w:t>
      </w:r>
    </w:p>
    <w:p>
      <w:pPr>
        <w:pStyle w:val="39"/>
        <w:numPr>
          <w:ilvl w:val="0"/>
          <w:numId w:val="0"/>
        </w:numPr>
        <w:wordWrap/>
        <w:topLinePunct w:val="0"/>
        <w:rPr>
          <w:rFonts w:ascii="黑体" w:hAnsi="黑体" w:eastAsia="黑体"/>
          <w:b w:val="0"/>
          <w:bCs/>
          <w:color w:val="auto"/>
          <w:szCs w:val="24"/>
          <w:highlight w:val="none"/>
        </w:rPr>
      </w:pPr>
      <w:bookmarkStart w:id="379" w:name="_Toc54862173"/>
      <w:r>
        <w:rPr>
          <w:rFonts w:hint="eastAsia" w:ascii="黑体" w:hAnsi="黑体" w:eastAsia="黑体"/>
          <w:b w:val="0"/>
          <w:bCs/>
          <w:color w:val="auto"/>
          <w:szCs w:val="24"/>
          <w:highlight w:val="none"/>
        </w:rPr>
        <w:t>九、订立地点</w:t>
      </w:r>
      <w:bookmarkEnd w:id="379"/>
    </w:p>
    <w:p>
      <w:pPr>
        <w:ind w:firstLine="600"/>
        <w:rPr>
          <w:rFonts w:ascii="仿宋_GB2312" w:eastAsia="仿宋_GB2312"/>
          <w:color w:val="auto"/>
          <w:sz w:val="24"/>
          <w:highlight w:val="none"/>
        </w:rPr>
      </w:pPr>
      <w:r>
        <w:rPr>
          <w:rFonts w:hint="eastAsia" w:ascii="仿宋_GB2312" w:eastAsia="仿宋_GB2312"/>
          <w:color w:val="auto"/>
          <w:sz w:val="24"/>
          <w:highlight w:val="none"/>
        </w:rPr>
        <w:t>本合同在</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订立。</w:t>
      </w:r>
    </w:p>
    <w:p>
      <w:pPr>
        <w:pStyle w:val="39"/>
        <w:numPr>
          <w:ilvl w:val="0"/>
          <w:numId w:val="0"/>
        </w:numPr>
        <w:wordWrap/>
        <w:topLinePunct w:val="0"/>
        <w:rPr>
          <w:rFonts w:ascii="黑体" w:hAnsi="黑体" w:eastAsia="黑体"/>
          <w:b w:val="0"/>
          <w:bCs/>
          <w:color w:val="auto"/>
          <w:szCs w:val="24"/>
          <w:highlight w:val="none"/>
        </w:rPr>
      </w:pPr>
      <w:bookmarkStart w:id="380" w:name="_Toc54862174"/>
      <w:r>
        <w:rPr>
          <w:rFonts w:hint="eastAsia" w:ascii="黑体" w:hAnsi="黑体" w:eastAsia="黑体"/>
          <w:b w:val="0"/>
          <w:bCs/>
          <w:color w:val="auto"/>
          <w:szCs w:val="24"/>
          <w:highlight w:val="none"/>
        </w:rPr>
        <w:t>十、合同生效</w:t>
      </w:r>
      <w:bookmarkEnd w:id="380"/>
    </w:p>
    <w:p>
      <w:pPr>
        <w:ind w:firstLine="600"/>
        <w:rPr>
          <w:rFonts w:ascii="仿宋_GB2312" w:eastAsia="仿宋_GB2312"/>
          <w:color w:val="auto"/>
          <w:sz w:val="24"/>
          <w:highlight w:val="none"/>
        </w:rPr>
      </w:pPr>
      <w:r>
        <w:rPr>
          <w:rFonts w:hint="eastAsia" w:ascii="仿宋_GB2312" w:eastAsia="仿宋_GB2312"/>
          <w:color w:val="auto"/>
          <w:sz w:val="24"/>
          <w:highlight w:val="none"/>
        </w:rPr>
        <w:t>本合同经双方签字或盖章后成立，并自</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生效。</w:t>
      </w:r>
    </w:p>
    <w:p>
      <w:pPr>
        <w:pStyle w:val="39"/>
        <w:numPr>
          <w:ilvl w:val="0"/>
          <w:numId w:val="0"/>
        </w:numPr>
        <w:wordWrap/>
        <w:topLinePunct w:val="0"/>
        <w:rPr>
          <w:rFonts w:ascii="黑体" w:hAnsi="黑体" w:eastAsia="黑体"/>
          <w:b w:val="0"/>
          <w:bCs/>
          <w:color w:val="auto"/>
          <w:szCs w:val="24"/>
          <w:highlight w:val="none"/>
        </w:rPr>
      </w:pPr>
      <w:bookmarkStart w:id="381" w:name="_Toc54862175"/>
      <w:r>
        <w:rPr>
          <w:rFonts w:hint="eastAsia" w:ascii="黑体" w:hAnsi="黑体" w:eastAsia="黑体"/>
          <w:b w:val="0"/>
          <w:bCs/>
          <w:color w:val="auto"/>
          <w:szCs w:val="24"/>
          <w:highlight w:val="none"/>
        </w:rPr>
        <w:t>十一、合同份数</w:t>
      </w:r>
      <w:bookmarkEnd w:id="381"/>
    </w:p>
    <w:p>
      <w:pPr>
        <w:ind w:firstLine="600"/>
        <w:rPr>
          <w:rFonts w:ascii="仿宋_GB2312" w:eastAsia="仿宋_GB2312"/>
          <w:color w:val="auto"/>
          <w:sz w:val="24"/>
          <w:highlight w:val="none"/>
        </w:rPr>
      </w:pPr>
      <w:r>
        <w:rPr>
          <w:rFonts w:hint="eastAsia" w:ascii="仿宋_GB2312" w:eastAsia="仿宋_GB2312"/>
          <w:color w:val="auto"/>
          <w:sz w:val="24"/>
          <w:highlight w:val="none"/>
        </w:rPr>
        <w:t>本合同一式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份，均具有同等法律效力，发包人执</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份，承包人执</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份。</w:t>
      </w:r>
    </w:p>
    <w:p>
      <w:pPr>
        <w:rPr>
          <w:rFonts w:ascii="仿宋_GB2312" w:eastAsia="仿宋_GB2312"/>
          <w:color w:val="auto"/>
          <w:sz w:val="24"/>
          <w:highlight w:val="none"/>
        </w:rPr>
      </w:pPr>
    </w:p>
    <w:tbl>
      <w:tblPr>
        <w:tblStyle w:val="21"/>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408"/>
        <w:gridCol w:w="4664"/>
      </w:tblGrid>
      <w:tr>
        <w:tblPrEx>
          <w:tblCellMar>
            <w:top w:w="0" w:type="dxa"/>
            <w:left w:w="108" w:type="dxa"/>
            <w:bottom w:w="0" w:type="dxa"/>
            <w:right w:w="108" w:type="dxa"/>
          </w:tblCellMar>
        </w:tblPrEx>
        <w:trPr>
          <w:trHeight w:val="1687" w:hRule="atLeast"/>
        </w:trPr>
        <w:tc>
          <w:tcPr>
            <w:tcW w:w="4408" w:type="dxa"/>
            <w:vAlign w:val="top"/>
          </w:tcPr>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发包人：（公章）</w:t>
            </w:r>
          </w:p>
          <w:p>
            <w:pPr>
              <w:pStyle w:val="40"/>
              <w:spacing w:after="50" w:line="240" w:lineRule="auto"/>
              <w:rPr>
                <w:rFonts w:ascii="仿宋_GB2312" w:hAnsi="宋体" w:eastAsia="仿宋_GB2312"/>
                <w:color w:val="auto"/>
                <w:szCs w:val="24"/>
                <w:highlight w:val="none"/>
              </w:rPr>
            </w:pPr>
          </w:p>
        </w:tc>
        <w:tc>
          <w:tcPr>
            <w:tcW w:w="4664" w:type="dxa"/>
            <w:vAlign w:val="top"/>
          </w:tcPr>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承包人：（公章）</w:t>
            </w:r>
          </w:p>
          <w:p>
            <w:pPr>
              <w:pStyle w:val="40"/>
              <w:spacing w:after="50" w:line="240" w:lineRule="auto"/>
              <w:rPr>
                <w:rFonts w:ascii="仿宋_GB2312" w:hAnsi="宋体" w:eastAsia="仿宋_GB2312"/>
                <w:color w:val="auto"/>
                <w:szCs w:val="24"/>
                <w:highlight w:val="none"/>
              </w:rPr>
            </w:pPr>
          </w:p>
        </w:tc>
      </w:tr>
      <w:tr>
        <w:tblPrEx>
          <w:tblCellMar>
            <w:top w:w="0" w:type="dxa"/>
            <w:left w:w="108" w:type="dxa"/>
            <w:bottom w:w="0" w:type="dxa"/>
            <w:right w:w="108" w:type="dxa"/>
          </w:tblCellMar>
        </w:tblPrEx>
        <w:trPr>
          <w:trHeight w:val="1726" w:hRule="atLeast"/>
        </w:trPr>
        <w:tc>
          <w:tcPr>
            <w:tcW w:w="4408" w:type="dxa"/>
            <w:vAlign w:val="top"/>
          </w:tcPr>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法定代表人或其委托代理人：</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（签字）</w:t>
            </w:r>
          </w:p>
          <w:p>
            <w:pPr>
              <w:pStyle w:val="40"/>
              <w:spacing w:after="50" w:line="240" w:lineRule="auto"/>
              <w:rPr>
                <w:rFonts w:ascii="仿宋_GB2312" w:hAnsi="宋体" w:eastAsia="仿宋_GB2312"/>
                <w:color w:val="auto"/>
                <w:szCs w:val="24"/>
                <w:highlight w:val="none"/>
              </w:rPr>
            </w:pPr>
          </w:p>
        </w:tc>
        <w:tc>
          <w:tcPr>
            <w:tcW w:w="4664" w:type="dxa"/>
            <w:vAlign w:val="top"/>
          </w:tcPr>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法定代表人或其委托代理人：</w:t>
            </w:r>
          </w:p>
          <w:p>
            <w:pPr>
              <w:pStyle w:val="40"/>
              <w:spacing w:after="50" w:line="240" w:lineRule="auto"/>
              <w:rPr>
                <w:rFonts w:hint="eastAsia" w:ascii="仿宋_GB2312" w:hAnsi="宋体" w:eastAsia="仿宋_GB2312"/>
                <w:color w:val="auto"/>
                <w:szCs w:val="24"/>
                <w:highlight w:val="none"/>
                <w:lang w:eastAsia="zh-CN"/>
              </w:rPr>
            </w:pPr>
            <w:r>
              <w:rPr>
                <w:rFonts w:hint="eastAsia" w:ascii="仿宋_GB2312" w:hAnsi="宋体" w:eastAsia="仿宋_GB2312"/>
                <w:color w:val="auto"/>
                <w:szCs w:val="24"/>
                <w:highlight w:val="none"/>
              </w:rPr>
              <w:t>（签字）</w:t>
            </w:r>
            <w:r>
              <w:rPr>
                <w:rFonts w:hint="eastAsia" w:ascii="仿宋_GB2312" w:eastAsia="仿宋_GB2312"/>
                <w:color w:val="auto"/>
                <w:szCs w:val="24"/>
                <w:highlight w:val="none"/>
                <w:lang w:eastAsia="zh-CN"/>
              </w:rPr>
              <w:t>：</w:t>
            </w:r>
          </w:p>
        </w:tc>
      </w:tr>
      <w:tr>
        <w:tblPrEx>
          <w:tblCellMar>
            <w:top w:w="0" w:type="dxa"/>
            <w:left w:w="108" w:type="dxa"/>
            <w:bottom w:w="0" w:type="dxa"/>
            <w:right w:w="108" w:type="dxa"/>
          </w:tblCellMar>
        </w:tblPrEx>
        <w:trPr>
          <w:trHeight w:val="4936" w:hRule="atLeast"/>
        </w:trPr>
        <w:tc>
          <w:tcPr>
            <w:tcW w:w="4408" w:type="dxa"/>
            <w:vAlign w:val="top"/>
          </w:tcPr>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统一社会信用代码：</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地址：</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邮政编码：</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委托代理人：</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电话：</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 xml:space="preserve">传真： </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电子信箱：</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开户银行：</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账号：</w:t>
            </w:r>
            <w:r>
              <w:rPr>
                <w:rFonts w:ascii="仿宋_GB2312" w:hAnsi="宋体" w:eastAsia="仿宋_GB2312"/>
                <w:color w:val="auto"/>
                <w:kern w:val="0"/>
                <w:szCs w:val="24"/>
                <w:highlight w:val="none"/>
                <w:u w:val="single"/>
              </w:rPr>
              <w:t xml:space="preserve">                       </w:t>
            </w:r>
          </w:p>
        </w:tc>
        <w:tc>
          <w:tcPr>
            <w:tcW w:w="4664" w:type="dxa"/>
            <w:vAlign w:val="top"/>
          </w:tcPr>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统一社会信用代码：</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地址：</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邮政编码：</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委托代理人：</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电话：</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传真：</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电子信箱：</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开户银行：</w:t>
            </w:r>
            <w:r>
              <w:rPr>
                <w:rFonts w:ascii="仿宋_GB2312" w:hAnsi="宋体" w:eastAsia="仿宋_GB2312"/>
                <w:color w:val="auto"/>
                <w:kern w:val="0"/>
                <w:szCs w:val="24"/>
                <w:highlight w:val="none"/>
                <w:u w:val="single"/>
              </w:rPr>
              <w:t xml:space="preserve">                   </w:t>
            </w:r>
          </w:p>
          <w:p>
            <w:pPr>
              <w:pStyle w:val="40"/>
              <w:spacing w:after="50" w:line="240" w:lineRule="auto"/>
              <w:rPr>
                <w:rFonts w:ascii="仿宋_GB2312" w:hAnsi="宋体" w:eastAsia="仿宋_GB2312"/>
                <w:color w:val="auto"/>
                <w:szCs w:val="24"/>
                <w:highlight w:val="none"/>
              </w:rPr>
            </w:pPr>
            <w:r>
              <w:rPr>
                <w:rFonts w:hint="eastAsia" w:ascii="仿宋_GB2312" w:hAnsi="宋体" w:eastAsia="仿宋_GB2312"/>
                <w:color w:val="auto"/>
                <w:szCs w:val="24"/>
                <w:highlight w:val="none"/>
              </w:rPr>
              <w:t>账号：</w:t>
            </w:r>
            <w:r>
              <w:rPr>
                <w:rFonts w:ascii="仿宋_GB2312" w:hAnsi="宋体" w:eastAsia="仿宋_GB2312"/>
                <w:color w:val="auto"/>
                <w:szCs w:val="24"/>
                <w:highlight w:val="none"/>
                <w:u w:val="single"/>
              </w:rPr>
              <w:t xml:space="preserve">                       </w:t>
            </w:r>
          </w:p>
        </w:tc>
      </w:tr>
    </w:tbl>
    <w:p>
      <w:pPr>
        <w:rPr>
          <w:color w:val="auto"/>
          <w:highlight w:val="none"/>
        </w:rPr>
        <w:sectPr>
          <w:footerReference r:id="rId21" w:type="default"/>
          <w:type w:val="continuous"/>
          <w:pgSz w:w="11906" w:h="16838"/>
          <w:pgMar w:top="1440" w:right="1800" w:bottom="1440" w:left="1800" w:header="720" w:footer="850" w:gutter="0"/>
          <w:cols w:space="720" w:num="1"/>
          <w:docGrid w:linePitch="326" w:charSpace="0"/>
        </w:sectPr>
      </w:pPr>
      <w:r>
        <w:rPr>
          <w:color w:val="auto"/>
          <w:highlight w:val="none"/>
        </w:rPr>
        <w:tab/>
      </w:r>
    </w:p>
    <w:p>
      <w:pPr>
        <w:pStyle w:val="38"/>
        <w:keepNext w:val="0"/>
        <w:adjustRightInd w:val="0"/>
        <w:snapToGrid w:val="0"/>
        <w:spacing w:before="0" w:after="50" w:line="360" w:lineRule="auto"/>
        <w:jc w:val="center"/>
        <w:rPr>
          <w:rFonts w:ascii="华文中宋" w:hAnsi="华文中宋" w:eastAsia="华文中宋"/>
          <w:color w:val="auto"/>
          <w:sz w:val="44"/>
          <w:szCs w:val="52"/>
          <w:highlight w:val="none"/>
        </w:rPr>
      </w:pPr>
      <w:bookmarkStart w:id="382" w:name="_Toc54862176"/>
      <w:bookmarkStart w:id="383" w:name="_Toc32623"/>
      <w:bookmarkStart w:id="384" w:name="_Toc16539"/>
      <w:r>
        <w:rPr>
          <w:rFonts w:hint="eastAsia" w:ascii="华文中宋" w:hAnsi="华文中宋" w:eastAsia="华文中宋"/>
          <w:color w:val="auto"/>
          <w:sz w:val="44"/>
          <w:szCs w:val="52"/>
          <w:highlight w:val="none"/>
        </w:rPr>
        <w:t>第二部分</w:t>
      </w:r>
      <w:r>
        <w:rPr>
          <w:rFonts w:ascii="华文中宋" w:hAnsi="华文中宋" w:eastAsia="华文中宋"/>
          <w:color w:val="auto"/>
          <w:sz w:val="44"/>
          <w:szCs w:val="52"/>
          <w:highlight w:val="none"/>
        </w:rPr>
        <w:t xml:space="preserve"> </w:t>
      </w:r>
      <w:r>
        <w:rPr>
          <w:rFonts w:hint="eastAsia" w:ascii="华文中宋" w:hAnsi="华文中宋" w:eastAsia="华文中宋"/>
          <w:color w:val="auto"/>
          <w:sz w:val="44"/>
          <w:szCs w:val="52"/>
          <w:highlight w:val="none"/>
        </w:rPr>
        <w:t>通用合同条件</w:t>
      </w:r>
      <w:bookmarkEnd w:id="382"/>
      <w:bookmarkEnd w:id="383"/>
      <w:bookmarkEnd w:id="384"/>
    </w:p>
    <w:p>
      <w:pPr>
        <w:pStyle w:val="42"/>
        <w:numPr>
          <w:ilvl w:val="0"/>
          <w:numId w:val="0"/>
        </w:numPr>
        <w:wordWrap/>
        <w:topLinePunct w:val="0"/>
        <w:jc w:val="center"/>
        <w:rPr>
          <w:b w:val="0"/>
          <w:bCs/>
          <w:color w:val="auto"/>
          <w:sz w:val="32"/>
          <w:szCs w:val="32"/>
          <w:highlight w:val="none"/>
        </w:rPr>
      </w:pPr>
      <w:bookmarkStart w:id="385" w:name="_Ref508893699"/>
      <w:bookmarkStart w:id="386" w:name="_Toc54862177"/>
      <w:bookmarkStart w:id="387" w:name="_Ref509040826"/>
      <w:bookmarkStart w:id="388" w:name="_Ref509040831"/>
      <w:r>
        <w:rPr>
          <w:rFonts w:hint="eastAsia"/>
          <w:b w:val="0"/>
          <w:bCs/>
          <w:color w:val="auto"/>
          <w:sz w:val="32"/>
          <w:szCs w:val="32"/>
          <w:highlight w:val="none"/>
        </w:rPr>
        <w:t xml:space="preserve">第1条 </w:t>
      </w:r>
      <w:r>
        <w:rPr>
          <w:b w:val="0"/>
          <w:bCs/>
          <w:color w:val="auto"/>
          <w:sz w:val="32"/>
          <w:szCs w:val="32"/>
          <w:highlight w:val="none"/>
        </w:rPr>
        <w:t>一般</w:t>
      </w:r>
      <w:r>
        <w:rPr>
          <w:rFonts w:hint="eastAsia"/>
          <w:b w:val="0"/>
          <w:bCs/>
          <w:color w:val="auto"/>
          <w:sz w:val="32"/>
          <w:szCs w:val="32"/>
          <w:highlight w:val="none"/>
        </w:rPr>
        <w:t>约</w:t>
      </w:r>
      <w:r>
        <w:rPr>
          <w:b w:val="0"/>
          <w:bCs/>
          <w:color w:val="auto"/>
          <w:sz w:val="32"/>
          <w:szCs w:val="32"/>
          <w:highlight w:val="none"/>
        </w:rPr>
        <w:t>定</w:t>
      </w:r>
      <w:bookmarkEnd w:id="385"/>
      <w:bookmarkEnd w:id="386"/>
    </w:p>
    <w:p>
      <w:pPr>
        <w:pStyle w:val="54"/>
        <w:widowControl/>
        <w:numPr>
          <w:ilvl w:val="0"/>
          <w:numId w:val="0"/>
        </w:numPr>
        <w:rPr>
          <w:b w:val="0"/>
          <w:bCs/>
          <w:color w:val="auto"/>
          <w:highlight w:val="none"/>
        </w:rPr>
      </w:pPr>
      <w:bookmarkStart w:id="389" w:name="_Ref523741471"/>
      <w:bookmarkStart w:id="390" w:name="_Ref523741474"/>
      <w:bookmarkStart w:id="391" w:name="_Toc54862178"/>
      <w:r>
        <w:rPr>
          <w:rFonts w:hint="eastAsia"/>
          <w:b w:val="0"/>
          <w:bCs/>
          <w:color w:val="auto"/>
          <w:highlight w:val="none"/>
        </w:rPr>
        <w:t>1</w:t>
      </w:r>
      <w:r>
        <w:rPr>
          <w:b w:val="0"/>
          <w:bCs/>
          <w:color w:val="auto"/>
          <w:highlight w:val="none"/>
        </w:rPr>
        <w:t xml:space="preserve">.1 </w:t>
      </w:r>
      <w:r>
        <w:rPr>
          <w:rFonts w:hint="eastAsia"/>
          <w:b w:val="0"/>
          <w:bCs/>
          <w:color w:val="auto"/>
          <w:highlight w:val="none"/>
        </w:rPr>
        <w:t>词语定义和解释</w:t>
      </w:r>
      <w:bookmarkEnd w:id="387"/>
      <w:bookmarkEnd w:id="388"/>
      <w:bookmarkEnd w:id="389"/>
      <w:bookmarkEnd w:id="390"/>
      <w:bookmarkEnd w:id="391"/>
    </w:p>
    <w:p>
      <w:pPr>
        <w:ind w:firstLine="600"/>
        <w:rPr>
          <w:rFonts w:ascii="仿宋_GB2312" w:eastAsia="仿宋_GB2312"/>
          <w:color w:val="auto"/>
          <w:sz w:val="24"/>
          <w:highlight w:val="none"/>
        </w:rPr>
      </w:pPr>
      <w:r>
        <w:rPr>
          <w:rFonts w:hint="eastAsia" w:ascii="仿宋_GB2312" w:eastAsia="仿宋_GB2312"/>
          <w:color w:val="auto"/>
          <w:sz w:val="24"/>
          <w:highlight w:val="none"/>
        </w:rPr>
        <w:t>合同协议书、通用合同条件、专用合同条件中的下列词语应具有本款所赋予的含义：</w:t>
      </w:r>
    </w:p>
    <w:p>
      <w:pPr>
        <w:pStyle w:val="55"/>
        <w:numPr>
          <w:ilvl w:val="0"/>
          <w:numId w:val="0"/>
        </w:numPr>
        <w:rPr>
          <w:rFonts w:ascii="仿宋_GB2312" w:eastAsia="仿宋_GB2312"/>
          <w:color w:val="auto"/>
          <w:szCs w:val="24"/>
          <w:highlight w:val="none"/>
        </w:rPr>
      </w:pPr>
      <w:bookmarkStart w:id="392" w:name="_Ref4757289"/>
      <w:bookmarkStart w:id="393" w:name="_Ref521288340"/>
      <w:r>
        <w:rPr>
          <w:rFonts w:hint="eastAsia" w:ascii="仿宋_GB2312" w:eastAsia="仿宋_GB2312"/>
          <w:color w:val="auto"/>
          <w:szCs w:val="24"/>
          <w:highlight w:val="none"/>
        </w:rPr>
        <w:t>1</w:t>
      </w:r>
      <w:r>
        <w:rPr>
          <w:rFonts w:ascii="仿宋_GB2312" w:eastAsia="仿宋_GB2312"/>
          <w:color w:val="auto"/>
          <w:szCs w:val="24"/>
          <w:highlight w:val="none"/>
        </w:rPr>
        <w:t xml:space="preserve">.1.1 </w:t>
      </w:r>
      <w:r>
        <w:rPr>
          <w:rFonts w:hint="eastAsia" w:ascii="仿宋_GB2312" w:eastAsia="仿宋_GB2312"/>
          <w:color w:val="auto"/>
          <w:szCs w:val="24"/>
          <w:highlight w:val="none"/>
        </w:rPr>
        <w:t>合同</w:t>
      </w:r>
      <w:bookmarkEnd w:id="392"/>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.1.1.1 </w:t>
      </w:r>
      <w:r>
        <w:rPr>
          <w:rFonts w:hint="eastAsia" w:ascii="仿宋_GB2312" w:eastAsia="仿宋_GB2312"/>
          <w:color w:val="auto"/>
          <w:szCs w:val="24"/>
          <w:highlight w:val="none"/>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.1.1.2 </w:t>
      </w:r>
      <w:r>
        <w:rPr>
          <w:rFonts w:hint="eastAsia" w:ascii="仿宋_GB2312" w:eastAsia="仿宋_GB2312"/>
          <w:color w:val="auto"/>
          <w:szCs w:val="24"/>
          <w:highlight w:val="none"/>
        </w:rPr>
        <w:t>合同协议书：是指构成合同的由发包人和承包人共同签署的称为“合同协议书”的书面文件。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.1.1.3 </w:t>
      </w:r>
      <w:r>
        <w:rPr>
          <w:rFonts w:hint="eastAsia" w:ascii="仿宋_GB2312" w:eastAsia="仿宋_GB2312"/>
          <w:color w:val="auto"/>
          <w:szCs w:val="24"/>
          <w:highlight w:val="none"/>
        </w:rPr>
        <w:t>中标通知书：是指构成合同的由发包人通知承包人中标的书面文件。中标通知书随附的澄清、说明、补正事项纪要等，是中标通知书的组成部分。</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.1.1.4 </w:t>
      </w:r>
      <w:r>
        <w:rPr>
          <w:rFonts w:hint="eastAsia" w:ascii="仿宋_GB2312" w:eastAsia="仿宋_GB2312"/>
          <w:color w:val="auto"/>
          <w:szCs w:val="24"/>
          <w:highlight w:val="none"/>
        </w:rPr>
        <w:t>投标函：是指构成合同的由承包人填写并签署的用于投标的称为“投标函”的文件。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.1.1.5 </w:t>
      </w:r>
      <w:r>
        <w:rPr>
          <w:rFonts w:hint="eastAsia" w:ascii="仿宋_GB2312" w:eastAsia="仿宋_GB2312"/>
          <w:color w:val="auto"/>
          <w:szCs w:val="24"/>
          <w:highlight w:val="none"/>
        </w:rPr>
        <w:t>投标函附录：是指构成合同的附在投标函后的称为“投标函附录”的文件。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.1.1.6 </w:t>
      </w:r>
      <w:r>
        <w:rPr>
          <w:rFonts w:hint="eastAsia" w:ascii="仿宋_GB2312" w:eastAsia="仿宋_GB2312"/>
          <w:color w:val="auto"/>
          <w:szCs w:val="24"/>
          <w:highlight w:val="none"/>
        </w:rPr>
        <w:t>《发包人要求》：指构成合同文件组成部分的名为《发包人要求》的文件，其中列明工程的目的、范围、设计与其他技术标准和要求，以及合同双方当事人约定对其所作的修改或补充。</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.1.1.7 </w:t>
      </w:r>
      <w:r>
        <w:rPr>
          <w:rFonts w:hint="eastAsia" w:ascii="仿宋_GB2312" w:eastAsia="仿宋_GB2312"/>
          <w:color w:val="auto"/>
          <w:szCs w:val="24"/>
          <w:highlight w:val="none"/>
        </w:rPr>
        <w:t>项目清单：是指发包人提供的载明工程总承包项目勘察费（如果有）、设计费、建筑安装工程费、设备购置费、暂估价、暂列金额和双方约定的其他费用的名称和相应数量等内容的项目明细。</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.1.1.8 </w:t>
      </w:r>
      <w:r>
        <w:rPr>
          <w:rFonts w:hint="eastAsia" w:ascii="仿宋_GB2312" w:eastAsia="仿宋_GB2312"/>
          <w:color w:val="auto"/>
          <w:szCs w:val="24"/>
          <w:highlight w:val="none"/>
        </w:rPr>
        <w:t>价格清单：指构成合同文件组成部分的由承包人按发包人提供的项目清单规定的格式和要求填写并标明价格的清单。</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.1.1.9 </w:t>
      </w:r>
      <w:r>
        <w:rPr>
          <w:rFonts w:hint="eastAsia" w:ascii="仿宋_GB2312" w:eastAsia="仿宋_GB2312"/>
          <w:color w:val="auto"/>
          <w:szCs w:val="24"/>
          <w:highlight w:val="none"/>
        </w:rPr>
        <w:t>承包人建议书：指构成合同文件组成部分的名为承包人建议书的文件。承包人建议书由承包人随投标函一起提交。</w:t>
      </w:r>
    </w:p>
    <w:p>
      <w:pPr>
        <w:pStyle w:val="56"/>
        <w:numPr>
          <w:ilvl w:val="0"/>
          <w:numId w:val="0"/>
        </w:numPr>
        <w:rPr>
          <w:rFonts w:ascii="仿宋_GB2312" w:eastAsia="仿宋_GB2312"/>
          <w:color w:val="auto"/>
          <w:szCs w:val="24"/>
          <w:highlight w:val="none"/>
        </w:rPr>
      </w:pPr>
      <w:bookmarkStart w:id="394" w:name="_Ref4415300"/>
      <w:r>
        <w:rPr>
          <w:rFonts w:hint="eastAsia" w:ascii="仿宋_GB2312" w:eastAsia="仿宋_GB2312"/>
          <w:color w:val="auto"/>
          <w:szCs w:val="24"/>
          <w:highlight w:val="none"/>
        </w:rPr>
        <w:t>1</w:t>
      </w:r>
      <w:r>
        <w:rPr>
          <w:rFonts w:ascii="仿宋_GB2312" w:eastAsia="仿宋_GB2312"/>
          <w:color w:val="auto"/>
          <w:szCs w:val="24"/>
          <w:highlight w:val="none"/>
        </w:rPr>
        <w:t>.1.1.1</w:t>
      </w:r>
      <w:r>
        <w:rPr>
          <w:rFonts w:hint="eastAsia" w:ascii="仿宋_GB2312" w:eastAsia="仿宋_GB2312"/>
          <w:color w:val="auto"/>
          <w:szCs w:val="24"/>
          <w:highlight w:val="none"/>
        </w:rPr>
        <w:t>0</w:t>
      </w:r>
      <w:r>
        <w:rPr>
          <w:rFonts w:ascii="仿宋_GB2312" w:eastAsia="仿宋_GB2312"/>
          <w:color w:val="auto"/>
          <w:szCs w:val="24"/>
          <w:highlight w:val="none"/>
        </w:rPr>
        <w:t xml:space="preserve"> </w:t>
      </w:r>
      <w:r>
        <w:rPr>
          <w:rFonts w:hint="eastAsia" w:ascii="仿宋_GB2312" w:eastAsia="仿宋_GB2312"/>
          <w:color w:val="auto"/>
          <w:szCs w:val="24"/>
          <w:highlight w:val="none"/>
        </w:rPr>
        <w:t>其他合同文件：是指经合同当事人约定的与工程实施有关的具有合同约束力的文件或书面协议。合同当事人可以在专用合同条件中进行约定。</w:t>
      </w:r>
      <w:bookmarkEnd w:id="394"/>
    </w:p>
    <w:p>
      <w:pPr>
        <w:pStyle w:val="55"/>
        <w:numPr>
          <w:ilvl w:val="0"/>
          <w:numId w:val="0"/>
        </w:numPr>
        <w:rPr>
          <w:rFonts w:ascii="仿宋_GB2312" w:eastAsia="仿宋_GB2312"/>
          <w:color w:val="auto"/>
          <w:szCs w:val="24"/>
          <w:highlight w:val="none"/>
        </w:rPr>
      </w:pPr>
      <w:bookmarkStart w:id="395" w:name="_Ref4757418"/>
      <w:r>
        <w:rPr>
          <w:rFonts w:hint="eastAsia" w:ascii="仿宋_GB2312" w:eastAsia="仿宋_GB2312"/>
          <w:color w:val="auto"/>
          <w:szCs w:val="24"/>
          <w:highlight w:val="none"/>
        </w:rPr>
        <w:t>1</w:t>
      </w:r>
      <w:r>
        <w:rPr>
          <w:rFonts w:ascii="仿宋_GB2312" w:eastAsia="仿宋_GB2312"/>
          <w:color w:val="auto"/>
          <w:szCs w:val="24"/>
          <w:highlight w:val="none"/>
        </w:rPr>
        <w:t xml:space="preserve">.1.2 </w:t>
      </w:r>
      <w:r>
        <w:rPr>
          <w:rFonts w:hint="eastAsia" w:ascii="仿宋_GB2312" w:eastAsia="仿宋_GB2312"/>
          <w:color w:val="auto"/>
          <w:szCs w:val="24"/>
          <w:highlight w:val="none"/>
        </w:rPr>
        <w:t>合同当事人及其他相关方</w:t>
      </w:r>
      <w:bookmarkEnd w:id="395"/>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.1.2.1 </w:t>
      </w:r>
      <w:r>
        <w:rPr>
          <w:rFonts w:hint="eastAsia" w:ascii="仿宋_GB2312" w:eastAsia="仿宋_GB2312"/>
          <w:color w:val="auto"/>
          <w:szCs w:val="24"/>
          <w:highlight w:val="none"/>
        </w:rPr>
        <w:t>合同当事人：是指发包人和（或）承包人。</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.1.2.2 </w:t>
      </w:r>
      <w:r>
        <w:rPr>
          <w:rFonts w:hint="eastAsia" w:ascii="仿宋_GB2312" w:eastAsia="仿宋_GB2312"/>
          <w:color w:val="auto"/>
          <w:szCs w:val="24"/>
          <w:highlight w:val="none"/>
        </w:rPr>
        <w:t>发包人：是指与承包人订立合同协议书的当事人及取得该当事人资格的合法继受人。本合同中“因发包人原因”里的“发包人”包括发包人及所有发包人人员。</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.1.2.3 </w:t>
      </w:r>
      <w:r>
        <w:rPr>
          <w:rFonts w:hint="eastAsia" w:ascii="仿宋_GB2312" w:eastAsia="仿宋_GB2312"/>
          <w:color w:val="auto"/>
          <w:szCs w:val="24"/>
          <w:highlight w:val="none"/>
        </w:rPr>
        <w:t>承包人：是指与发包人订立合同协议书的当事人及取得该当事人资格的合法继受人。</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.1.2.4 </w:t>
      </w:r>
      <w:r>
        <w:rPr>
          <w:rFonts w:hint="eastAsia" w:ascii="仿宋_GB2312" w:eastAsia="仿宋_GB2312"/>
          <w:color w:val="auto"/>
          <w:szCs w:val="24"/>
          <w:highlight w:val="none"/>
        </w:rPr>
        <w:t>联合体：是指经发包人同意由两个或两个以上法人或者其他组织组成的，作为承包人的临时机构。</w:t>
      </w:r>
    </w:p>
    <w:p>
      <w:pPr>
        <w:pStyle w:val="56"/>
        <w:numPr>
          <w:ilvl w:val="0"/>
          <w:numId w:val="0"/>
        </w:numPr>
        <w:rPr>
          <w:rFonts w:ascii="仿宋_GB2312" w:eastAsia="仿宋_GB2312"/>
          <w:color w:val="auto"/>
          <w:szCs w:val="24"/>
          <w:highlight w:val="none"/>
        </w:rPr>
      </w:pPr>
      <w:bookmarkStart w:id="396" w:name="_Ref4420046"/>
      <w:r>
        <w:rPr>
          <w:rFonts w:hint="eastAsia" w:ascii="仿宋_GB2312" w:eastAsia="仿宋_GB2312"/>
          <w:color w:val="auto"/>
          <w:szCs w:val="24"/>
          <w:highlight w:val="none"/>
        </w:rPr>
        <w:t>1</w:t>
      </w:r>
      <w:r>
        <w:rPr>
          <w:rFonts w:ascii="仿宋_GB2312" w:eastAsia="仿宋_GB2312"/>
          <w:color w:val="auto"/>
          <w:szCs w:val="24"/>
          <w:highlight w:val="none"/>
        </w:rPr>
        <w:t xml:space="preserve">.1.2.5 </w:t>
      </w:r>
      <w:r>
        <w:rPr>
          <w:rFonts w:hint="eastAsia" w:ascii="仿宋_GB2312" w:eastAsia="仿宋_GB2312"/>
          <w:color w:val="auto"/>
          <w:szCs w:val="24"/>
          <w:highlight w:val="none"/>
        </w:rPr>
        <w:t>发包人代表：是指由发包人任命并派驻工作现场，在发包人授权范围内行使发包人权利和履行发包人义务的人。</w:t>
      </w:r>
    </w:p>
    <w:p>
      <w:pPr>
        <w:pStyle w:val="56"/>
        <w:numPr>
          <w:ilvl w:val="0"/>
          <w:numId w:val="0"/>
        </w:numPr>
        <w:rPr>
          <w:rFonts w:ascii="仿宋_GB2312" w:eastAsia="仿宋_GB2312"/>
          <w:color w:val="auto"/>
          <w:szCs w:val="24"/>
          <w:highlight w:val="none"/>
        </w:rPr>
      </w:pPr>
      <w:bookmarkStart w:id="397" w:name="_Ref4756982"/>
      <w:r>
        <w:rPr>
          <w:rFonts w:hint="eastAsia" w:ascii="仿宋_GB2312" w:eastAsia="仿宋_GB2312"/>
          <w:color w:val="auto"/>
          <w:szCs w:val="24"/>
          <w:highlight w:val="none"/>
        </w:rPr>
        <w:t>1</w:t>
      </w:r>
      <w:r>
        <w:rPr>
          <w:rFonts w:ascii="仿宋_GB2312" w:eastAsia="仿宋_GB2312"/>
          <w:color w:val="auto"/>
          <w:szCs w:val="24"/>
          <w:highlight w:val="none"/>
        </w:rPr>
        <w:t xml:space="preserve">.1.2.6 </w:t>
      </w:r>
      <w:r>
        <w:rPr>
          <w:rFonts w:hint="eastAsia" w:ascii="仿宋_GB2312" w:eastAsia="仿宋_GB2312"/>
          <w:color w:val="auto"/>
          <w:szCs w:val="24"/>
          <w:highlight w:val="none"/>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96"/>
      <w:bookmarkEnd w:id="397"/>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.1.2.7 </w:t>
      </w:r>
      <w:r>
        <w:rPr>
          <w:rFonts w:hint="eastAsia" w:ascii="仿宋_GB2312" w:eastAsia="仿宋_GB2312"/>
          <w:color w:val="auto"/>
          <w:szCs w:val="24"/>
          <w:highlight w:val="none"/>
        </w:rPr>
        <w:t>工程总承包项目经理：是指由承包人任命的，在承包人授权范围内负责合同履行的管理，且按照法律规定具有相应资格的项目负责人。</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.1.2.8 </w:t>
      </w:r>
      <w:r>
        <w:rPr>
          <w:rFonts w:hint="eastAsia" w:ascii="仿宋_GB2312" w:eastAsia="仿宋_GB2312"/>
          <w:color w:val="auto"/>
          <w:szCs w:val="24"/>
          <w:highlight w:val="none"/>
        </w:rPr>
        <w:t>设计负责人：是指承包人指定负责组织、指导、协调设计工作并具有相应资格的人员。</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.1.2.9 </w:t>
      </w:r>
      <w:r>
        <w:rPr>
          <w:rFonts w:hint="eastAsia" w:ascii="仿宋_GB2312" w:eastAsia="仿宋_GB2312"/>
          <w:color w:val="auto"/>
          <w:szCs w:val="24"/>
          <w:highlight w:val="none"/>
        </w:rPr>
        <w:t>采购负责人：是指承包人指定负责组织、指导、协调采购工作的人员。</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.1.2.10 </w:t>
      </w:r>
      <w:r>
        <w:rPr>
          <w:rFonts w:hint="eastAsia" w:ascii="仿宋_GB2312" w:eastAsia="仿宋_GB2312"/>
          <w:color w:val="auto"/>
          <w:szCs w:val="24"/>
          <w:highlight w:val="none"/>
        </w:rPr>
        <w:t>施工负责人：是指承包人指定负责组织、指导、协调施工工作并具有相应资格的人员。</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.1.2.11 </w:t>
      </w:r>
      <w:r>
        <w:rPr>
          <w:rFonts w:hint="eastAsia" w:ascii="仿宋_GB2312" w:eastAsia="仿宋_GB2312"/>
          <w:color w:val="auto"/>
          <w:szCs w:val="24"/>
          <w:highlight w:val="none"/>
        </w:rPr>
        <w:t>分包人：是指按照法律规定和合同约定，分包部分工程或工作，并与承包人订立分包合同的具有相应资质或资格的法人或其他组织。</w:t>
      </w:r>
    </w:p>
    <w:p>
      <w:pPr>
        <w:pStyle w:val="55"/>
        <w:numPr>
          <w:ilvl w:val="0"/>
          <w:numId w:val="0"/>
        </w:numPr>
        <w:rPr>
          <w:rFonts w:ascii="仿宋_GB2312" w:eastAsia="仿宋_GB2312"/>
          <w:color w:val="auto"/>
          <w:szCs w:val="24"/>
          <w:highlight w:val="none"/>
        </w:rPr>
      </w:pPr>
      <w:bookmarkStart w:id="398" w:name="_Ref4758319"/>
      <w:r>
        <w:rPr>
          <w:rFonts w:hint="eastAsia" w:ascii="仿宋_GB2312" w:eastAsia="仿宋_GB2312"/>
          <w:color w:val="auto"/>
          <w:szCs w:val="24"/>
          <w:highlight w:val="none"/>
        </w:rPr>
        <w:t>1</w:t>
      </w:r>
      <w:r>
        <w:rPr>
          <w:rFonts w:ascii="仿宋_GB2312" w:eastAsia="仿宋_GB2312"/>
          <w:color w:val="auto"/>
          <w:szCs w:val="24"/>
          <w:highlight w:val="none"/>
        </w:rPr>
        <w:t xml:space="preserve">.1.3 </w:t>
      </w:r>
      <w:r>
        <w:rPr>
          <w:rFonts w:hint="eastAsia" w:ascii="仿宋_GB2312" w:eastAsia="仿宋_GB2312"/>
          <w:color w:val="auto"/>
          <w:szCs w:val="24"/>
          <w:highlight w:val="none"/>
        </w:rPr>
        <w:t>工程和设备</w:t>
      </w:r>
      <w:bookmarkEnd w:id="398"/>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.1.3.1 </w:t>
      </w:r>
      <w:r>
        <w:rPr>
          <w:rFonts w:hint="eastAsia" w:ascii="仿宋_GB2312" w:eastAsia="仿宋_GB2312"/>
          <w:color w:val="auto"/>
          <w:szCs w:val="24"/>
          <w:highlight w:val="none"/>
        </w:rPr>
        <w:t>工程：是指与合同协议书中工程承包范围对应的永久工程和（或）临时工程。</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.1.3.2 </w:t>
      </w:r>
      <w:r>
        <w:rPr>
          <w:rFonts w:hint="eastAsia" w:ascii="仿宋_GB2312" w:eastAsia="仿宋_GB2312"/>
          <w:color w:val="auto"/>
          <w:szCs w:val="24"/>
          <w:highlight w:val="none"/>
        </w:rPr>
        <w:t>工程实施：是指进行工程的设计、采购、施工和竣工以及对工程任何缺陷的修复。</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.1.3.3 </w:t>
      </w:r>
      <w:r>
        <w:rPr>
          <w:rFonts w:hint="eastAsia" w:ascii="仿宋_GB2312" w:eastAsia="仿宋_GB2312"/>
          <w:color w:val="auto"/>
          <w:szCs w:val="24"/>
          <w:highlight w:val="none"/>
        </w:rPr>
        <w:t>永久工程：是指按合同约定建造并移交给发包人的工程，包括工程设备。</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.1.3.4 </w:t>
      </w:r>
      <w:r>
        <w:rPr>
          <w:rFonts w:hint="eastAsia" w:ascii="仿宋_GB2312" w:eastAsia="仿宋_GB2312"/>
          <w:color w:val="auto"/>
          <w:szCs w:val="24"/>
          <w:highlight w:val="none"/>
        </w:rPr>
        <w:t>临时工程：是指为完成合同约定的永久工程所修建的各类临时性工程，不包括施工设备。</w:t>
      </w:r>
    </w:p>
    <w:p>
      <w:pPr>
        <w:pStyle w:val="56"/>
        <w:numPr>
          <w:ilvl w:val="0"/>
          <w:numId w:val="0"/>
        </w:numPr>
        <w:rPr>
          <w:rFonts w:ascii="仿宋_GB2312" w:eastAsia="仿宋_GB2312"/>
          <w:color w:val="auto"/>
          <w:szCs w:val="24"/>
          <w:highlight w:val="none"/>
        </w:rPr>
      </w:pPr>
      <w:bookmarkStart w:id="399" w:name="_Ref4419825"/>
      <w:r>
        <w:rPr>
          <w:rFonts w:hint="eastAsia" w:ascii="仿宋_GB2312" w:eastAsia="仿宋_GB2312"/>
          <w:color w:val="auto"/>
          <w:szCs w:val="24"/>
          <w:highlight w:val="none"/>
        </w:rPr>
        <w:t>1</w:t>
      </w:r>
      <w:r>
        <w:rPr>
          <w:rFonts w:ascii="仿宋_GB2312" w:eastAsia="仿宋_GB2312"/>
          <w:color w:val="auto"/>
          <w:szCs w:val="24"/>
          <w:highlight w:val="none"/>
        </w:rPr>
        <w:t xml:space="preserve">.1.3.5 </w:t>
      </w:r>
      <w:r>
        <w:rPr>
          <w:rFonts w:hint="eastAsia" w:ascii="仿宋_GB2312" w:eastAsia="仿宋_GB2312"/>
          <w:color w:val="auto"/>
          <w:szCs w:val="24"/>
          <w:highlight w:val="none"/>
        </w:rPr>
        <w:t>单位/区段工程：是指在专用合同条件中指明特定范围的，能单独接收并使用的永久工程。</w:t>
      </w:r>
      <w:bookmarkEnd w:id="399"/>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.1.3.6 </w:t>
      </w:r>
      <w:r>
        <w:rPr>
          <w:rFonts w:hint="eastAsia" w:ascii="仿宋_GB2312" w:eastAsia="仿宋_GB2312"/>
          <w:color w:val="auto"/>
          <w:szCs w:val="24"/>
          <w:highlight w:val="none"/>
        </w:rPr>
        <w:t>工程设备：指构成永久工程的机电设备、仪器装置、运载工具及其他类似的设备和装置，包括其配件及备品、备件、易损易耗件等。</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.1.3.7 </w:t>
      </w:r>
      <w:r>
        <w:rPr>
          <w:rFonts w:hint="eastAsia" w:ascii="仿宋_GB2312" w:eastAsia="仿宋_GB2312"/>
          <w:color w:val="auto"/>
          <w:szCs w:val="24"/>
          <w:highlight w:val="none"/>
        </w:rPr>
        <w:t>施工设备：指为完成合同约定的各项工作所需的设备、器具和其他物品，不包括工程设备、临时工程和材料。</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.1.3.8 </w:t>
      </w:r>
      <w:r>
        <w:rPr>
          <w:rFonts w:hint="eastAsia" w:ascii="仿宋_GB2312" w:eastAsia="仿宋_GB2312"/>
          <w:color w:val="auto"/>
          <w:szCs w:val="24"/>
          <w:highlight w:val="none"/>
        </w:rPr>
        <w:t>临时设施：指为完成合同约定的各项工作所服务的临时性生产和生活设施。</w:t>
      </w:r>
    </w:p>
    <w:p>
      <w:pPr>
        <w:pStyle w:val="56"/>
        <w:numPr>
          <w:ilvl w:val="0"/>
          <w:numId w:val="0"/>
        </w:numPr>
        <w:rPr>
          <w:rFonts w:ascii="仿宋_GB2312" w:eastAsia="仿宋_GB2312"/>
          <w:color w:val="auto"/>
          <w:szCs w:val="24"/>
          <w:highlight w:val="none"/>
        </w:rPr>
      </w:pPr>
      <w:bookmarkStart w:id="400" w:name="_Ref4420577"/>
      <w:r>
        <w:rPr>
          <w:rFonts w:hint="eastAsia" w:ascii="仿宋_GB2312" w:eastAsia="仿宋_GB2312"/>
          <w:color w:val="auto"/>
          <w:szCs w:val="24"/>
          <w:highlight w:val="none"/>
        </w:rPr>
        <w:t>1</w:t>
      </w:r>
      <w:r>
        <w:rPr>
          <w:rFonts w:ascii="仿宋_GB2312" w:eastAsia="仿宋_GB2312"/>
          <w:color w:val="auto"/>
          <w:szCs w:val="24"/>
          <w:highlight w:val="none"/>
        </w:rPr>
        <w:t xml:space="preserve">.1.3.9 </w:t>
      </w:r>
      <w:r>
        <w:rPr>
          <w:rFonts w:hint="eastAsia" w:ascii="仿宋_GB2312" w:eastAsia="仿宋_GB2312"/>
          <w:color w:val="auto"/>
          <w:szCs w:val="24"/>
          <w:highlight w:val="none"/>
        </w:rPr>
        <w:t>施工现场：是指用于工程施工的场所，以及在专用合同条件中指明作为施工场所组成部分的其他场所，包括永久占地和临时占地。</w:t>
      </w:r>
      <w:bookmarkEnd w:id="400"/>
    </w:p>
    <w:p>
      <w:pPr>
        <w:pStyle w:val="56"/>
        <w:numPr>
          <w:ilvl w:val="0"/>
          <w:numId w:val="0"/>
        </w:numPr>
        <w:rPr>
          <w:rFonts w:ascii="仿宋_GB2312" w:eastAsia="仿宋_GB2312"/>
          <w:color w:val="auto"/>
          <w:szCs w:val="24"/>
          <w:highlight w:val="none"/>
        </w:rPr>
      </w:pPr>
      <w:bookmarkStart w:id="401" w:name="_Ref4420746"/>
      <w:r>
        <w:rPr>
          <w:rFonts w:hint="eastAsia" w:ascii="仿宋_GB2312" w:eastAsia="仿宋_GB2312"/>
          <w:color w:val="auto"/>
          <w:szCs w:val="24"/>
          <w:highlight w:val="none"/>
        </w:rPr>
        <w:t>1</w:t>
      </w:r>
      <w:r>
        <w:rPr>
          <w:rFonts w:ascii="仿宋_GB2312" w:eastAsia="仿宋_GB2312"/>
          <w:color w:val="auto"/>
          <w:szCs w:val="24"/>
          <w:highlight w:val="none"/>
        </w:rPr>
        <w:t xml:space="preserve">.1.3.10 </w:t>
      </w:r>
      <w:r>
        <w:rPr>
          <w:rFonts w:hint="eastAsia" w:ascii="仿宋_GB2312" w:eastAsia="仿宋_GB2312"/>
          <w:color w:val="auto"/>
          <w:szCs w:val="24"/>
          <w:highlight w:val="none"/>
        </w:rPr>
        <w:t>永久占地：是指专用合同条件中指明为实施工程需永久占用的土地。</w:t>
      </w:r>
      <w:bookmarkEnd w:id="401"/>
    </w:p>
    <w:p>
      <w:pPr>
        <w:pStyle w:val="56"/>
        <w:numPr>
          <w:ilvl w:val="0"/>
          <w:numId w:val="0"/>
        </w:numPr>
        <w:rPr>
          <w:rFonts w:ascii="仿宋_GB2312" w:eastAsia="仿宋_GB2312"/>
          <w:color w:val="auto"/>
          <w:szCs w:val="24"/>
          <w:highlight w:val="none"/>
        </w:rPr>
      </w:pPr>
      <w:bookmarkStart w:id="402" w:name="_Ref4420821"/>
      <w:r>
        <w:rPr>
          <w:rFonts w:hint="eastAsia" w:ascii="仿宋_GB2312" w:eastAsia="仿宋_GB2312"/>
          <w:color w:val="auto"/>
          <w:szCs w:val="24"/>
          <w:highlight w:val="none"/>
        </w:rPr>
        <w:t>1</w:t>
      </w:r>
      <w:r>
        <w:rPr>
          <w:rFonts w:ascii="仿宋_GB2312" w:eastAsia="仿宋_GB2312"/>
          <w:color w:val="auto"/>
          <w:szCs w:val="24"/>
          <w:highlight w:val="none"/>
        </w:rPr>
        <w:t xml:space="preserve">.1.3.11 </w:t>
      </w:r>
      <w:r>
        <w:rPr>
          <w:rFonts w:hint="eastAsia" w:ascii="仿宋_GB2312" w:eastAsia="仿宋_GB2312"/>
          <w:color w:val="auto"/>
          <w:szCs w:val="24"/>
          <w:highlight w:val="none"/>
        </w:rPr>
        <w:t>临时占地：是指专用合同条件中指明为实施工程需临时占用的土地。</w:t>
      </w:r>
      <w:bookmarkEnd w:id="402"/>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 </w:t>
      </w:r>
      <w:r>
        <w:rPr>
          <w:rFonts w:hint="eastAsia" w:ascii="仿宋_GB2312" w:eastAsia="仿宋_GB2312"/>
          <w:color w:val="auto"/>
          <w:szCs w:val="24"/>
          <w:highlight w:val="none"/>
        </w:rPr>
        <w:t>日期和期限</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.1.4.1 </w:t>
      </w:r>
      <w:r>
        <w:rPr>
          <w:rFonts w:hint="eastAsia" w:ascii="仿宋_GB2312" w:eastAsia="仿宋_GB2312"/>
          <w:color w:val="auto"/>
          <w:szCs w:val="24"/>
          <w:highlight w:val="none"/>
        </w:rPr>
        <w:t>开始工作通知：指工程师按第</w:t>
      </w:r>
      <w:r>
        <w:rPr>
          <w:rFonts w:ascii="仿宋_GB2312" w:eastAsia="仿宋_GB2312"/>
          <w:color w:val="auto"/>
          <w:szCs w:val="24"/>
          <w:highlight w:val="none"/>
        </w:rPr>
        <w:t>8.1.2</w:t>
      </w:r>
      <w:r>
        <w:rPr>
          <w:rFonts w:hint="eastAsia" w:ascii="仿宋_GB2312" w:eastAsia="仿宋_GB2312"/>
          <w:color w:val="auto"/>
          <w:szCs w:val="24"/>
          <w:highlight w:val="none"/>
        </w:rPr>
        <w:t>项[开始工作通知]的约定通知承包人开始工作的函件。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.1.4.2 </w:t>
      </w:r>
      <w:r>
        <w:rPr>
          <w:rFonts w:hint="eastAsia" w:ascii="仿宋_GB2312" w:eastAsia="仿宋_GB2312"/>
          <w:color w:val="auto"/>
          <w:szCs w:val="24"/>
          <w:highlight w:val="none"/>
        </w:rPr>
        <w:t>开始工作日期：包括计划开始工作日期和实际开始工作日期。计划开始工作日期是指合同协议书约定的开始工作日期；实际开始工作日期是指工程师按照第</w:t>
      </w:r>
      <w:r>
        <w:rPr>
          <w:rFonts w:ascii="仿宋_GB2312" w:eastAsia="仿宋_GB2312"/>
          <w:color w:val="auto"/>
          <w:szCs w:val="24"/>
          <w:highlight w:val="none"/>
        </w:rPr>
        <w:t>8.1</w:t>
      </w:r>
      <w:r>
        <w:rPr>
          <w:rFonts w:hint="eastAsia" w:ascii="仿宋_GB2312" w:eastAsia="仿宋_GB2312"/>
          <w:color w:val="auto"/>
          <w:szCs w:val="24"/>
          <w:highlight w:val="none"/>
        </w:rPr>
        <w:t>款[开始工作]约定发出的符合法律规定的开始工作通知中载明的开始工作日期。</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.1.4.3 </w:t>
      </w:r>
      <w:r>
        <w:rPr>
          <w:rFonts w:hint="eastAsia" w:ascii="仿宋_GB2312" w:eastAsia="仿宋_GB2312"/>
          <w:color w:val="auto"/>
          <w:szCs w:val="24"/>
          <w:highlight w:val="none"/>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.1.4.4 </w:t>
      </w:r>
      <w:r>
        <w:rPr>
          <w:rFonts w:hint="eastAsia" w:ascii="仿宋_GB2312" w:eastAsia="仿宋_GB2312"/>
          <w:color w:val="auto"/>
          <w:szCs w:val="24"/>
          <w:highlight w:val="none"/>
        </w:rPr>
        <w:t>竣工日期：包括计划竣工日期和实际竣工日期。计划竣工日期是指合同协议书约定的竣工日期；实际竣工日期按照第</w:t>
      </w:r>
      <w:r>
        <w:rPr>
          <w:rFonts w:ascii="仿宋_GB2312" w:eastAsia="仿宋_GB2312"/>
          <w:color w:val="auto"/>
          <w:szCs w:val="24"/>
          <w:highlight w:val="none"/>
        </w:rPr>
        <w:t>8.2</w:t>
      </w:r>
      <w:r>
        <w:rPr>
          <w:rFonts w:hint="eastAsia" w:ascii="仿宋_GB2312" w:eastAsia="仿宋_GB2312"/>
          <w:color w:val="auto"/>
          <w:szCs w:val="24"/>
          <w:highlight w:val="none"/>
        </w:rPr>
        <w:t>款[竣工日期]的约定确定。</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.1.4.5 </w:t>
      </w:r>
      <w:r>
        <w:rPr>
          <w:rFonts w:hint="eastAsia" w:ascii="仿宋_GB2312" w:eastAsia="仿宋_GB2312"/>
          <w:color w:val="auto"/>
          <w:szCs w:val="24"/>
          <w:highlight w:val="none"/>
        </w:rPr>
        <w:t>工期：是指在合同协议书约定的承包人完成合同工作所需的期限，包括按照合同约定所作的期限变更及按合同约定承包人有权取得的工期延长。</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.1.4.6 </w:t>
      </w:r>
      <w:r>
        <w:rPr>
          <w:rFonts w:hint="eastAsia" w:ascii="仿宋_GB2312" w:eastAsia="仿宋_GB2312"/>
          <w:color w:val="auto"/>
          <w:szCs w:val="24"/>
          <w:highlight w:val="none"/>
        </w:rPr>
        <w:t>缺陷责任期：是指发包人预留工程质量保证金以保证承包人履行第</w:t>
      </w:r>
      <w:r>
        <w:rPr>
          <w:rFonts w:ascii="仿宋_GB2312" w:eastAsia="仿宋_GB2312"/>
          <w:color w:val="auto"/>
          <w:szCs w:val="24"/>
          <w:highlight w:val="none"/>
        </w:rPr>
        <w:t>11.3</w:t>
      </w:r>
      <w:r>
        <w:rPr>
          <w:rFonts w:hint="eastAsia" w:ascii="仿宋_GB2312" w:eastAsia="仿宋_GB2312"/>
          <w:color w:val="auto"/>
          <w:szCs w:val="24"/>
          <w:highlight w:val="none"/>
        </w:rPr>
        <w:t>款[缺陷调查]</w:t>
      </w:r>
      <w:r>
        <w:rPr>
          <w:rFonts w:ascii="仿宋_GB2312" w:eastAsia="仿宋_GB2312"/>
          <w:color w:val="auto"/>
          <w:szCs w:val="24"/>
          <w:highlight w:val="none"/>
        </w:rPr>
        <w:t>下质量缺陷责任的期限</w:t>
      </w:r>
      <w:r>
        <w:rPr>
          <w:rFonts w:hint="eastAsia" w:ascii="仿宋_GB2312" w:eastAsia="仿宋_GB2312"/>
          <w:color w:val="auto"/>
          <w:szCs w:val="24"/>
          <w:highlight w:val="none"/>
        </w:rPr>
        <w:t>。</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.1.4.7 </w:t>
      </w:r>
      <w:r>
        <w:rPr>
          <w:rFonts w:hint="eastAsia" w:ascii="仿宋_GB2312" w:eastAsia="仿宋_GB2312"/>
          <w:color w:val="auto"/>
          <w:szCs w:val="24"/>
          <w:highlight w:val="none"/>
        </w:rPr>
        <w:t>保修期：是指承包人按照合同约定和法律规定对工程质量承担保修责任的期限，该期限自缺陷责任期起算之日起计算。</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.1.4.8 </w:t>
      </w:r>
      <w:r>
        <w:rPr>
          <w:rFonts w:hint="eastAsia" w:ascii="仿宋_GB2312" w:eastAsia="仿宋_GB2312"/>
          <w:color w:val="auto"/>
          <w:szCs w:val="24"/>
          <w:highlight w:val="none"/>
        </w:rPr>
        <w:t>基准日期：招标发包的工程以投标截止日前28天的日期为基准日期，直接发包的工程以合同订立日前28天的日期为基准日期。</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.1.4.9 </w:t>
      </w:r>
      <w:r>
        <w:rPr>
          <w:rFonts w:hint="eastAsia" w:ascii="仿宋_GB2312" w:eastAsia="仿宋_GB2312"/>
          <w:color w:val="auto"/>
          <w:szCs w:val="24"/>
          <w:highlight w:val="none"/>
        </w:rPr>
        <w:t>天：除特别指明外，均指日历天。合同中按天计算时间的，开始当天不计入，从次日开始计算。期限最后一天的截止时间为当天24:00。</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.1.4.10 </w:t>
      </w:r>
      <w:r>
        <w:rPr>
          <w:rFonts w:hint="eastAsia" w:ascii="仿宋_GB2312" w:eastAsia="仿宋_GB2312"/>
          <w:color w:val="auto"/>
          <w:szCs w:val="24"/>
          <w:highlight w:val="none"/>
        </w:rPr>
        <w:t>竣工试验：是指在工程竣工验收前，根据第</w:t>
      </w:r>
      <w:r>
        <w:rPr>
          <w:rFonts w:ascii="仿宋_GB2312" w:eastAsia="仿宋_GB2312"/>
          <w:color w:val="auto"/>
          <w:szCs w:val="24"/>
          <w:highlight w:val="none"/>
        </w:rPr>
        <w:t>9条</w:t>
      </w:r>
      <w:r>
        <w:rPr>
          <w:rFonts w:hint="eastAsia" w:ascii="仿宋_GB2312" w:eastAsia="仿宋_GB2312"/>
          <w:color w:val="auto"/>
          <w:szCs w:val="24"/>
          <w:highlight w:val="none"/>
        </w:rPr>
        <w:t>[竣工试验]要求进行的试验。</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.1.4.11 </w:t>
      </w:r>
      <w:r>
        <w:rPr>
          <w:rFonts w:hint="eastAsia" w:ascii="仿宋_GB2312" w:eastAsia="仿宋_GB2312"/>
          <w:color w:val="auto"/>
          <w:szCs w:val="24"/>
          <w:highlight w:val="none"/>
        </w:rPr>
        <w:t>竣工验收：是指承包人完成了合同约定的各项内容后，发包人按合同要求进行的验收。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.1.4.12 </w:t>
      </w:r>
      <w:r>
        <w:rPr>
          <w:rFonts w:hint="eastAsia" w:ascii="仿宋_GB2312" w:eastAsia="仿宋_GB2312"/>
          <w:color w:val="auto"/>
          <w:szCs w:val="24"/>
          <w:highlight w:val="none"/>
        </w:rPr>
        <w:t>竣工后试验：是指在工程竣工验收后，根据第</w:t>
      </w:r>
      <w:r>
        <w:rPr>
          <w:rFonts w:ascii="仿宋_GB2312" w:eastAsia="仿宋_GB2312"/>
          <w:color w:val="auto"/>
          <w:szCs w:val="24"/>
          <w:highlight w:val="none"/>
        </w:rPr>
        <w:t>12条</w:t>
      </w:r>
      <w:r>
        <w:rPr>
          <w:rFonts w:hint="eastAsia" w:ascii="仿宋_GB2312" w:eastAsia="仿宋_GB2312"/>
          <w:color w:val="auto"/>
          <w:szCs w:val="24"/>
          <w:highlight w:val="none"/>
        </w:rPr>
        <w:t>[竣工后试验]约定进行的试验。</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 </w:t>
      </w:r>
      <w:r>
        <w:rPr>
          <w:rFonts w:hint="eastAsia" w:ascii="仿宋_GB2312" w:eastAsia="仿宋_GB2312"/>
          <w:color w:val="auto"/>
          <w:szCs w:val="24"/>
          <w:highlight w:val="none"/>
        </w:rPr>
        <w:t>合同价格和费用</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.1.5.1 </w:t>
      </w:r>
      <w:r>
        <w:rPr>
          <w:rFonts w:hint="eastAsia" w:ascii="仿宋_GB2312" w:eastAsia="仿宋_GB2312"/>
          <w:color w:val="auto"/>
          <w:szCs w:val="24"/>
          <w:highlight w:val="none"/>
        </w:rPr>
        <w:t>签约合同价：是指发包人和承包人在合同协议书中确定的总金额，包括暂估价及暂列金额等。</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.1.5.2 </w:t>
      </w:r>
      <w:r>
        <w:rPr>
          <w:rFonts w:hint="eastAsia" w:ascii="仿宋_GB2312" w:eastAsia="仿宋_GB2312"/>
          <w:color w:val="auto"/>
          <w:szCs w:val="24"/>
          <w:highlight w:val="none"/>
        </w:rPr>
        <w:t>合同价格：是指发包人用于支付承包人按照合同约定完成承包范围内全部工作的金额，包括合同履行过程中按合同约定发生的价格变化。</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.1.5.3 </w:t>
      </w:r>
      <w:r>
        <w:rPr>
          <w:rFonts w:hint="eastAsia" w:ascii="仿宋_GB2312" w:eastAsia="仿宋_GB2312"/>
          <w:color w:val="auto"/>
          <w:szCs w:val="24"/>
          <w:highlight w:val="none"/>
        </w:rPr>
        <w:t>费用：是指为履行合同所发生的或将要发生的所有合理开支，包括管理费和应分摊的其他费用，但不包括利润。</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.1.5.4 </w:t>
      </w:r>
      <w:r>
        <w:rPr>
          <w:rFonts w:hint="eastAsia" w:ascii="仿宋_GB2312" w:eastAsia="仿宋_GB2312"/>
          <w:color w:val="auto"/>
          <w:szCs w:val="24"/>
          <w:highlight w:val="none"/>
        </w:rPr>
        <w:t>人工费：是指支付给直接从事建筑安装工程施工作业的建筑工人的各项费用。</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.1.5.5 </w:t>
      </w:r>
      <w:r>
        <w:rPr>
          <w:rFonts w:hint="eastAsia" w:ascii="仿宋_GB2312" w:eastAsia="仿宋_GB2312"/>
          <w:color w:val="auto"/>
          <w:szCs w:val="24"/>
          <w:highlight w:val="none"/>
        </w:rPr>
        <w:t>暂估价：</w:t>
      </w:r>
      <w:bookmarkStart w:id="403" w:name="_Hlk18973781"/>
      <w:r>
        <w:rPr>
          <w:rFonts w:hint="eastAsia" w:ascii="仿宋_GB2312" w:eastAsia="仿宋_GB2312"/>
          <w:color w:val="auto"/>
          <w:szCs w:val="24"/>
          <w:highlight w:val="none"/>
        </w:rPr>
        <w:t>是指发包人在项目清单中给定的，用于支付必然发生但暂时不能确定价格的专业服务、材料、设备、专业工程的金额。</w:t>
      </w:r>
      <w:bookmarkEnd w:id="403"/>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.1.5.6 </w:t>
      </w:r>
      <w:r>
        <w:rPr>
          <w:rFonts w:hint="eastAsia" w:ascii="仿宋_GB2312" w:eastAsia="仿宋_GB2312"/>
          <w:color w:val="auto"/>
          <w:szCs w:val="24"/>
          <w:highlight w:val="none"/>
        </w:rPr>
        <w:t>暂列金额：是指发包人在项目清单中给定的，用于在订立协议书时尚未确定或不可预见变更的设计、施工及其所需材料、工程设备、服务等的金额，包括以计日工方式支付的金额。</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.1.5.7 </w:t>
      </w:r>
      <w:r>
        <w:rPr>
          <w:rFonts w:hint="eastAsia" w:ascii="仿宋_GB2312" w:eastAsia="仿宋_GB2312"/>
          <w:color w:val="auto"/>
          <w:szCs w:val="24"/>
          <w:highlight w:val="none"/>
        </w:rPr>
        <w:t>计日工：是指合同履行过程中，承包人完成发包人提出的零星工作或需要采用计日工计价的变更工作时，按合同中约定的单价计价的一种方式。</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.1.5.8 </w:t>
      </w:r>
      <w:r>
        <w:rPr>
          <w:rFonts w:hint="eastAsia" w:ascii="仿宋_GB2312" w:eastAsia="仿宋_GB2312"/>
          <w:color w:val="auto"/>
          <w:szCs w:val="24"/>
          <w:highlight w:val="none"/>
        </w:rPr>
        <w:t>质量保证金：是指按第</w:t>
      </w:r>
      <w:r>
        <w:rPr>
          <w:rFonts w:ascii="仿宋_GB2312" w:eastAsia="仿宋_GB2312"/>
          <w:color w:val="auto"/>
          <w:szCs w:val="24"/>
          <w:highlight w:val="none"/>
        </w:rPr>
        <w:t>14.6</w:t>
      </w:r>
      <w:r>
        <w:rPr>
          <w:rFonts w:hint="eastAsia" w:ascii="仿宋_GB2312" w:eastAsia="仿宋_GB2312"/>
          <w:color w:val="auto"/>
          <w:szCs w:val="24"/>
          <w:highlight w:val="none"/>
        </w:rPr>
        <w:t>款[质量保证金]约定承包人用于保证其在缺陷责任期内履行缺陷修复义务的担保。</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.1.6 </w:t>
      </w:r>
      <w:r>
        <w:rPr>
          <w:rFonts w:hint="eastAsia" w:ascii="仿宋_GB2312" w:eastAsia="仿宋_GB2312"/>
          <w:color w:val="auto"/>
          <w:szCs w:val="24"/>
          <w:highlight w:val="none"/>
        </w:rPr>
        <w:t>其他</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.1.6.1 </w:t>
      </w:r>
      <w:r>
        <w:rPr>
          <w:rFonts w:hint="eastAsia" w:ascii="仿宋_GB2312" w:eastAsia="仿宋_GB2312"/>
          <w:color w:val="auto"/>
          <w:szCs w:val="24"/>
          <w:highlight w:val="none"/>
        </w:rPr>
        <w:t>书面形式：指合同文件、信函、电报、传真、数据电文、电子邮件、会议纪要等可以有形地表现所载内容的形式。</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.1.6.2 </w:t>
      </w:r>
      <w:r>
        <w:rPr>
          <w:rFonts w:hint="eastAsia" w:ascii="仿宋_GB2312" w:eastAsia="仿宋_GB2312"/>
          <w:color w:val="auto"/>
          <w:szCs w:val="24"/>
          <w:highlight w:val="none"/>
        </w:rPr>
        <w:t>承包人文件：指由承包人根据合同约定应提交的所有图纸、手册、模型、计算书、软件、函件、洽商性文件和其他技术性文件。</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.1.6.3 </w:t>
      </w:r>
      <w:r>
        <w:rPr>
          <w:rFonts w:hint="eastAsia" w:ascii="仿宋_GB2312" w:eastAsia="仿宋_GB2312"/>
          <w:color w:val="auto"/>
          <w:szCs w:val="24"/>
          <w:highlight w:val="none"/>
        </w:rPr>
        <w:t>变更：指根据第</w:t>
      </w:r>
      <w:r>
        <w:rPr>
          <w:rFonts w:ascii="仿宋_GB2312" w:eastAsia="仿宋_GB2312"/>
          <w:color w:val="auto"/>
          <w:szCs w:val="24"/>
          <w:highlight w:val="none"/>
        </w:rPr>
        <w:t>13条</w:t>
      </w:r>
      <w:r>
        <w:rPr>
          <w:rFonts w:hint="eastAsia" w:ascii="仿宋_GB2312" w:eastAsia="仿宋_GB2312"/>
          <w:color w:val="auto"/>
          <w:szCs w:val="24"/>
          <w:highlight w:val="none"/>
        </w:rPr>
        <w:t>[变更与调整]的约定，经指示或批准对《发包人要求》或工程所做的改变。</w:t>
      </w:r>
    </w:p>
    <w:bookmarkEnd w:id="393"/>
    <w:p>
      <w:pPr>
        <w:pStyle w:val="54"/>
        <w:widowControl/>
        <w:numPr>
          <w:ilvl w:val="0"/>
          <w:numId w:val="0"/>
        </w:numPr>
        <w:rPr>
          <w:b w:val="0"/>
          <w:bCs/>
          <w:color w:val="auto"/>
          <w:highlight w:val="none"/>
        </w:rPr>
      </w:pPr>
      <w:bookmarkStart w:id="404" w:name="_Ref509042104"/>
      <w:bookmarkStart w:id="405" w:name="_Toc54862179"/>
      <w:bookmarkStart w:id="406" w:name="_Ref509042101"/>
      <w:bookmarkStart w:id="407" w:name="_Ref522730349"/>
      <w:bookmarkStart w:id="408" w:name="_Ref522730353"/>
      <w:r>
        <w:rPr>
          <w:rFonts w:hint="eastAsia"/>
          <w:b w:val="0"/>
          <w:bCs/>
          <w:color w:val="auto"/>
          <w:highlight w:val="none"/>
        </w:rPr>
        <w:t>1</w:t>
      </w:r>
      <w:r>
        <w:rPr>
          <w:b w:val="0"/>
          <w:bCs/>
          <w:color w:val="auto"/>
          <w:highlight w:val="none"/>
        </w:rPr>
        <w:t>.2 语言文字</w:t>
      </w:r>
      <w:bookmarkEnd w:id="404"/>
      <w:bookmarkEnd w:id="405"/>
      <w:bookmarkEnd w:id="406"/>
    </w:p>
    <w:p>
      <w:pPr>
        <w:ind w:firstLine="600"/>
        <w:rPr>
          <w:rFonts w:ascii="仿宋_GB2312" w:eastAsia="仿宋_GB2312"/>
          <w:color w:val="auto"/>
          <w:sz w:val="24"/>
          <w:highlight w:val="none"/>
        </w:rPr>
      </w:pPr>
      <w:r>
        <w:rPr>
          <w:rFonts w:hint="eastAsia" w:ascii="仿宋_GB2312" w:eastAsia="仿宋_GB2312"/>
          <w:color w:val="auto"/>
          <w:sz w:val="24"/>
          <w:highlight w:val="none"/>
        </w:rPr>
        <w:t>合同文件以中国的汉语简体语言文字编写、解释和说明。专用术语使用外文的，应附有中文注释。合同当事人在专用合同条件约定使用两种及以上语言时，汉语为优先解释和说明合同的语言。</w:t>
      </w:r>
    </w:p>
    <w:p>
      <w:pPr>
        <w:ind w:firstLine="600"/>
        <w:rPr>
          <w:rFonts w:ascii="仿宋_GB2312" w:eastAsia="仿宋_GB2312"/>
          <w:color w:val="auto"/>
          <w:sz w:val="24"/>
          <w:highlight w:val="none"/>
        </w:rPr>
      </w:pPr>
      <w:r>
        <w:rPr>
          <w:rFonts w:hint="eastAsia" w:ascii="仿宋_GB2312" w:eastAsia="仿宋_GB2312"/>
          <w:color w:val="auto"/>
          <w:sz w:val="24"/>
          <w:highlight w:val="none"/>
        </w:rPr>
        <w:t>与合同有关的联络应使用专用合同条件约定的语言。如没有约定，则应使用中国的汉语简体语言文字。</w:t>
      </w:r>
    </w:p>
    <w:p>
      <w:pPr>
        <w:pStyle w:val="54"/>
        <w:widowControl/>
        <w:numPr>
          <w:ilvl w:val="0"/>
          <w:numId w:val="0"/>
        </w:numPr>
        <w:rPr>
          <w:b w:val="0"/>
          <w:bCs/>
          <w:color w:val="auto"/>
          <w:highlight w:val="none"/>
        </w:rPr>
      </w:pPr>
      <w:bookmarkStart w:id="409" w:name="_Toc54862180"/>
      <w:bookmarkStart w:id="410" w:name="_Ref531949539"/>
      <w:bookmarkStart w:id="411" w:name="_Ref531949543"/>
      <w:r>
        <w:rPr>
          <w:rFonts w:hint="eastAsia"/>
          <w:b w:val="0"/>
          <w:bCs/>
          <w:color w:val="auto"/>
          <w:highlight w:val="none"/>
        </w:rPr>
        <w:t>1</w:t>
      </w:r>
      <w:r>
        <w:rPr>
          <w:b w:val="0"/>
          <w:bCs/>
          <w:color w:val="auto"/>
          <w:highlight w:val="none"/>
        </w:rPr>
        <w:t xml:space="preserve">.3 </w:t>
      </w:r>
      <w:r>
        <w:rPr>
          <w:rFonts w:hint="eastAsia"/>
          <w:b w:val="0"/>
          <w:bCs/>
          <w:color w:val="auto"/>
          <w:highlight w:val="none"/>
        </w:rPr>
        <w:t>法律</w:t>
      </w:r>
      <w:bookmarkEnd w:id="409"/>
      <w:bookmarkEnd w:id="410"/>
      <w:bookmarkEnd w:id="411"/>
    </w:p>
    <w:p>
      <w:pPr>
        <w:ind w:firstLine="600"/>
        <w:rPr>
          <w:rFonts w:ascii="仿宋_GB2312" w:eastAsia="仿宋_GB2312"/>
          <w:color w:val="auto"/>
          <w:sz w:val="24"/>
          <w:highlight w:val="none"/>
        </w:rPr>
      </w:pPr>
      <w:r>
        <w:rPr>
          <w:rFonts w:hint="eastAsia" w:ascii="仿宋_GB2312" w:eastAsia="仿宋_GB2312"/>
          <w:color w:val="auto"/>
          <w:sz w:val="24"/>
          <w:highlight w:val="none"/>
        </w:rPr>
        <w:t>合同所称法律是指</w:t>
      </w:r>
      <w:r>
        <w:rPr>
          <w:rFonts w:ascii="仿宋_GB2312" w:eastAsia="仿宋_GB2312"/>
          <w:color w:val="auto"/>
          <w:sz w:val="24"/>
          <w:highlight w:val="none"/>
        </w:rPr>
        <w:t>中华人民共和国法律、行政法规、部门规章</w:t>
      </w:r>
      <w:r>
        <w:rPr>
          <w:rFonts w:hint="eastAsia" w:ascii="仿宋_GB2312" w:eastAsia="仿宋_GB2312"/>
          <w:color w:val="auto"/>
          <w:sz w:val="24"/>
          <w:highlight w:val="none"/>
        </w:rPr>
        <w:t>，</w:t>
      </w:r>
      <w:r>
        <w:rPr>
          <w:rFonts w:ascii="仿宋_GB2312" w:eastAsia="仿宋_GB2312"/>
          <w:color w:val="auto"/>
          <w:sz w:val="24"/>
          <w:highlight w:val="none"/>
        </w:rPr>
        <w:t>以及工程所在地的地方法规、自治条例、单行条例和地方政府规章</w:t>
      </w:r>
      <w:r>
        <w:rPr>
          <w:rFonts w:hint="eastAsia" w:ascii="仿宋_GB2312" w:eastAsia="仿宋_GB2312"/>
          <w:color w:val="auto"/>
          <w:sz w:val="24"/>
          <w:highlight w:val="none"/>
        </w:rPr>
        <w:t>等。</w:t>
      </w:r>
    </w:p>
    <w:p>
      <w:pPr>
        <w:ind w:firstLine="600"/>
        <w:rPr>
          <w:rFonts w:ascii="仿宋_GB2312" w:eastAsia="仿宋_GB2312"/>
          <w:color w:val="auto"/>
          <w:sz w:val="24"/>
          <w:highlight w:val="none"/>
        </w:rPr>
      </w:pPr>
      <w:r>
        <w:rPr>
          <w:rFonts w:ascii="仿宋_GB2312" w:eastAsia="仿宋_GB2312"/>
          <w:color w:val="auto"/>
          <w:sz w:val="24"/>
          <w:highlight w:val="none"/>
        </w:rPr>
        <w:t>合同当事人可以在专用合同条件中约定合同适用的其他规范性文件</w:t>
      </w:r>
      <w:r>
        <w:rPr>
          <w:rFonts w:hint="eastAsia" w:ascii="仿宋_GB2312" w:eastAsia="仿宋_GB2312"/>
          <w:color w:val="auto"/>
          <w:sz w:val="24"/>
          <w:highlight w:val="none"/>
        </w:rPr>
        <w:t>。</w:t>
      </w:r>
    </w:p>
    <w:p>
      <w:pPr>
        <w:pStyle w:val="54"/>
        <w:widowControl/>
        <w:numPr>
          <w:ilvl w:val="0"/>
          <w:numId w:val="0"/>
        </w:numPr>
        <w:rPr>
          <w:b w:val="0"/>
          <w:bCs/>
          <w:color w:val="auto"/>
          <w:highlight w:val="none"/>
        </w:rPr>
      </w:pPr>
      <w:bookmarkStart w:id="412" w:name="_Ref531949589"/>
      <w:bookmarkStart w:id="413" w:name="_Toc54862181"/>
      <w:bookmarkStart w:id="414" w:name="_Ref531949594"/>
      <w:r>
        <w:rPr>
          <w:rFonts w:hint="eastAsia"/>
          <w:b w:val="0"/>
          <w:bCs/>
          <w:color w:val="auto"/>
          <w:highlight w:val="none"/>
        </w:rPr>
        <w:t>1</w:t>
      </w:r>
      <w:r>
        <w:rPr>
          <w:b w:val="0"/>
          <w:bCs/>
          <w:color w:val="auto"/>
          <w:highlight w:val="none"/>
        </w:rPr>
        <w:t xml:space="preserve">.4 </w:t>
      </w:r>
      <w:r>
        <w:rPr>
          <w:rFonts w:hint="eastAsia"/>
          <w:b w:val="0"/>
          <w:bCs/>
          <w:color w:val="auto"/>
          <w:highlight w:val="none"/>
        </w:rPr>
        <w:t>标准和规范</w:t>
      </w:r>
      <w:bookmarkEnd w:id="412"/>
      <w:bookmarkEnd w:id="413"/>
      <w:bookmarkEnd w:id="414"/>
    </w:p>
    <w:p>
      <w:pPr>
        <w:pStyle w:val="55"/>
        <w:numPr>
          <w:ilvl w:val="0"/>
          <w:numId w:val="0"/>
        </w:numPr>
        <w:rPr>
          <w:rFonts w:ascii="仿宋_GB2312" w:eastAsia="仿宋_GB2312"/>
          <w:color w:val="auto"/>
          <w:szCs w:val="24"/>
          <w:highlight w:val="none"/>
        </w:rPr>
      </w:pPr>
      <w:bookmarkStart w:id="415" w:name="_Ref4420991"/>
      <w:r>
        <w:rPr>
          <w:rFonts w:hint="eastAsia" w:ascii="仿宋_GB2312" w:eastAsia="仿宋_GB2312"/>
          <w:color w:val="auto"/>
          <w:szCs w:val="24"/>
          <w:highlight w:val="none"/>
        </w:rPr>
        <w:t>1</w:t>
      </w:r>
      <w:r>
        <w:rPr>
          <w:rFonts w:ascii="仿宋_GB2312" w:eastAsia="仿宋_GB2312"/>
          <w:color w:val="auto"/>
          <w:szCs w:val="24"/>
          <w:highlight w:val="none"/>
        </w:rPr>
        <w:t xml:space="preserve">.4.1 </w:t>
      </w:r>
      <w:r>
        <w:rPr>
          <w:rFonts w:hint="eastAsia" w:ascii="仿宋_GB2312" w:eastAsia="仿宋_GB2312"/>
          <w:color w:val="auto"/>
          <w:szCs w:val="24"/>
          <w:highlight w:val="none"/>
        </w:rPr>
        <w:t>适用于工程的国家标准、行业标准、工程所在地的地方性标准，以及相应的规范、规程等，合同当事人有特别要求的，应在专用合同条件中约定。</w:t>
      </w:r>
      <w:bookmarkEnd w:id="415"/>
    </w:p>
    <w:p>
      <w:pPr>
        <w:pStyle w:val="55"/>
        <w:numPr>
          <w:ilvl w:val="0"/>
          <w:numId w:val="0"/>
        </w:numPr>
        <w:rPr>
          <w:rFonts w:ascii="仿宋_GB2312" w:eastAsia="仿宋_GB2312"/>
          <w:color w:val="auto"/>
          <w:szCs w:val="24"/>
          <w:highlight w:val="none"/>
        </w:rPr>
      </w:pPr>
      <w:bookmarkStart w:id="416" w:name="_Ref531949642"/>
      <w:r>
        <w:rPr>
          <w:rFonts w:hint="eastAsia" w:ascii="仿宋_GB2312" w:eastAsia="仿宋_GB2312"/>
          <w:color w:val="auto"/>
          <w:szCs w:val="24"/>
          <w:highlight w:val="none"/>
        </w:rPr>
        <w:t>1</w:t>
      </w:r>
      <w:r>
        <w:rPr>
          <w:rFonts w:ascii="仿宋_GB2312" w:eastAsia="仿宋_GB2312"/>
          <w:color w:val="auto"/>
          <w:szCs w:val="24"/>
          <w:highlight w:val="none"/>
        </w:rPr>
        <w:t xml:space="preserve">.4.2 </w:t>
      </w:r>
      <w:r>
        <w:rPr>
          <w:rFonts w:hint="eastAsia" w:ascii="仿宋_GB2312" w:eastAsia="仿宋_GB2312"/>
          <w:color w:val="auto"/>
          <w:szCs w:val="24"/>
          <w:highlight w:val="none"/>
        </w:rPr>
        <w:t>发包人要求使用国外标准、规范的，发包人负责提供原文版本和中文译本，并在专用合同条件中约定提供标准规范的名称、份数和时间。</w:t>
      </w:r>
      <w:bookmarkEnd w:id="416"/>
    </w:p>
    <w:p>
      <w:pPr>
        <w:pStyle w:val="55"/>
        <w:numPr>
          <w:ilvl w:val="0"/>
          <w:numId w:val="0"/>
        </w:numPr>
        <w:rPr>
          <w:rFonts w:ascii="仿宋_GB2312" w:eastAsia="仿宋_GB2312"/>
          <w:color w:val="auto"/>
          <w:szCs w:val="24"/>
          <w:highlight w:val="none"/>
        </w:rPr>
      </w:pPr>
      <w:bookmarkStart w:id="417" w:name="_Ref531949657"/>
      <w:r>
        <w:rPr>
          <w:rFonts w:hint="eastAsia" w:ascii="仿宋_GB2312" w:eastAsia="仿宋_GB2312"/>
          <w:color w:val="auto"/>
          <w:szCs w:val="24"/>
          <w:highlight w:val="none"/>
        </w:rPr>
        <w:t>1</w:t>
      </w:r>
      <w:r>
        <w:rPr>
          <w:rFonts w:ascii="仿宋_GB2312" w:eastAsia="仿宋_GB2312"/>
          <w:color w:val="auto"/>
          <w:szCs w:val="24"/>
          <w:highlight w:val="none"/>
        </w:rPr>
        <w:t xml:space="preserve">.4.3 </w:t>
      </w:r>
      <w:r>
        <w:rPr>
          <w:rFonts w:hint="eastAsia" w:ascii="仿宋_GB2312" w:eastAsia="仿宋_GB2312"/>
          <w:color w:val="auto"/>
          <w:szCs w:val="24"/>
          <w:highlight w:val="none"/>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17"/>
    </w:p>
    <w:p>
      <w:pPr>
        <w:pStyle w:val="55"/>
        <w:numPr>
          <w:ilvl w:val="0"/>
          <w:numId w:val="0"/>
        </w:numPr>
        <w:rPr>
          <w:rFonts w:ascii="仿宋_GB2312" w:eastAsia="仿宋_GB2312"/>
          <w:color w:val="auto"/>
          <w:szCs w:val="24"/>
          <w:highlight w:val="none"/>
        </w:rPr>
      </w:pPr>
      <w:bookmarkStart w:id="418" w:name="_Ref4421272"/>
      <w:r>
        <w:rPr>
          <w:rFonts w:hint="eastAsia" w:ascii="仿宋_GB2312" w:eastAsia="仿宋_GB2312"/>
          <w:color w:val="auto"/>
          <w:szCs w:val="24"/>
          <w:highlight w:val="none"/>
        </w:rPr>
        <w:t>1</w:t>
      </w:r>
      <w:r>
        <w:rPr>
          <w:rFonts w:ascii="仿宋_GB2312" w:eastAsia="仿宋_GB2312"/>
          <w:color w:val="auto"/>
          <w:szCs w:val="24"/>
          <w:highlight w:val="none"/>
        </w:rPr>
        <w:t xml:space="preserve">.4.4 </w:t>
      </w:r>
      <w:r>
        <w:rPr>
          <w:rFonts w:hint="eastAsia" w:ascii="仿宋_GB2312" w:eastAsia="仿宋_GB2312"/>
          <w:color w:val="auto"/>
          <w:szCs w:val="24"/>
          <w:highlight w:val="none"/>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18"/>
    </w:p>
    <w:p>
      <w:pPr>
        <w:pStyle w:val="54"/>
        <w:widowControl/>
        <w:numPr>
          <w:ilvl w:val="0"/>
          <w:numId w:val="0"/>
        </w:numPr>
        <w:rPr>
          <w:b w:val="0"/>
          <w:bCs/>
          <w:color w:val="auto"/>
          <w:highlight w:val="none"/>
        </w:rPr>
      </w:pPr>
      <w:bookmarkStart w:id="419" w:name="_Ref4421717"/>
      <w:bookmarkStart w:id="420" w:name="_Toc54862182"/>
      <w:r>
        <w:rPr>
          <w:rFonts w:hint="eastAsia"/>
          <w:b w:val="0"/>
          <w:bCs/>
          <w:color w:val="auto"/>
          <w:highlight w:val="none"/>
        </w:rPr>
        <w:t>1</w:t>
      </w:r>
      <w:r>
        <w:rPr>
          <w:b w:val="0"/>
          <w:bCs/>
          <w:color w:val="auto"/>
          <w:highlight w:val="none"/>
        </w:rPr>
        <w:t xml:space="preserve">.5 </w:t>
      </w:r>
      <w:r>
        <w:rPr>
          <w:rFonts w:hint="eastAsia"/>
          <w:b w:val="0"/>
          <w:bCs/>
          <w:color w:val="auto"/>
          <w:highlight w:val="none"/>
        </w:rPr>
        <w:t>合同文件的优先顺序</w:t>
      </w:r>
      <w:bookmarkEnd w:id="407"/>
      <w:bookmarkEnd w:id="408"/>
      <w:bookmarkEnd w:id="419"/>
      <w:bookmarkEnd w:id="420"/>
    </w:p>
    <w:p>
      <w:pPr>
        <w:ind w:firstLine="600"/>
        <w:rPr>
          <w:rFonts w:ascii="仿宋_GB2312" w:eastAsia="仿宋_GB2312"/>
          <w:color w:val="auto"/>
          <w:sz w:val="24"/>
          <w:highlight w:val="none"/>
        </w:rPr>
      </w:pPr>
      <w:bookmarkStart w:id="421" w:name="_Ref531948776"/>
      <w:r>
        <w:rPr>
          <w:rFonts w:hint="eastAsia" w:ascii="仿宋_GB2312" w:eastAsia="仿宋_GB2312"/>
          <w:color w:val="auto"/>
          <w:sz w:val="24"/>
          <w:highlight w:val="none"/>
        </w:rPr>
        <w:t>组成合同的各项文件应互相解释，互为说明。除专用合同条件另有约定外，</w:t>
      </w:r>
      <w:bookmarkEnd w:id="421"/>
      <w:r>
        <w:rPr>
          <w:rFonts w:hint="eastAsia" w:ascii="仿宋_GB2312" w:eastAsia="仿宋_GB2312"/>
          <w:color w:val="auto"/>
          <w:sz w:val="24"/>
          <w:highlight w:val="none"/>
        </w:rPr>
        <w:t>解释合同文件的优先顺序如下：</w:t>
      </w:r>
    </w:p>
    <w:p>
      <w:pPr>
        <w:ind w:firstLine="600"/>
        <w:rPr>
          <w:rFonts w:ascii="仿宋_GB2312" w:eastAsia="仿宋_GB2312"/>
          <w:color w:val="auto"/>
          <w:sz w:val="24"/>
          <w:highlight w:val="none"/>
        </w:rPr>
      </w:pPr>
      <w:r>
        <w:rPr>
          <w:rFonts w:hint="eastAsia" w:ascii="仿宋_GB2312" w:eastAsia="仿宋_GB2312"/>
          <w:color w:val="auto"/>
          <w:sz w:val="24"/>
          <w:highlight w:val="none"/>
        </w:rPr>
        <w:t>（1） 合同协议书；</w:t>
      </w:r>
    </w:p>
    <w:p>
      <w:pPr>
        <w:ind w:firstLine="600"/>
        <w:rPr>
          <w:rFonts w:ascii="仿宋_GB2312" w:eastAsia="仿宋_GB2312"/>
          <w:color w:val="auto"/>
          <w:sz w:val="24"/>
          <w:highlight w:val="none"/>
        </w:rPr>
      </w:pPr>
      <w:r>
        <w:rPr>
          <w:rFonts w:hint="eastAsia" w:ascii="仿宋_GB2312" w:eastAsia="仿宋_GB2312"/>
          <w:color w:val="auto"/>
          <w:sz w:val="24"/>
          <w:highlight w:val="none"/>
        </w:rPr>
        <w:t>（2） 中标通知书（如果有）；</w:t>
      </w:r>
    </w:p>
    <w:p>
      <w:pPr>
        <w:ind w:firstLine="600"/>
        <w:rPr>
          <w:rFonts w:ascii="仿宋_GB2312" w:eastAsia="仿宋_GB2312"/>
          <w:color w:val="auto"/>
          <w:sz w:val="24"/>
          <w:highlight w:val="none"/>
        </w:rPr>
      </w:pPr>
      <w:r>
        <w:rPr>
          <w:rFonts w:hint="eastAsia" w:ascii="仿宋_GB2312" w:eastAsia="仿宋_GB2312"/>
          <w:color w:val="auto"/>
          <w:sz w:val="24"/>
          <w:highlight w:val="none"/>
        </w:rPr>
        <w:t>（3） 投标函及投标函附录（如果有）；</w:t>
      </w:r>
    </w:p>
    <w:p>
      <w:pPr>
        <w:ind w:firstLine="600"/>
        <w:rPr>
          <w:rFonts w:ascii="仿宋_GB2312" w:eastAsia="仿宋_GB2312"/>
          <w:color w:val="auto"/>
          <w:sz w:val="24"/>
          <w:highlight w:val="none"/>
        </w:rPr>
      </w:pPr>
      <w:r>
        <w:rPr>
          <w:rFonts w:hint="eastAsia" w:ascii="仿宋_GB2312" w:eastAsia="仿宋_GB2312"/>
          <w:color w:val="auto"/>
          <w:sz w:val="24"/>
          <w:highlight w:val="none"/>
        </w:rPr>
        <w:t>（4） 专用合同条件及《发包人要求》等附件；</w:t>
      </w:r>
    </w:p>
    <w:p>
      <w:pPr>
        <w:ind w:firstLine="600"/>
        <w:rPr>
          <w:rFonts w:ascii="仿宋_GB2312" w:eastAsia="仿宋_GB2312"/>
          <w:color w:val="auto"/>
          <w:sz w:val="24"/>
          <w:highlight w:val="none"/>
        </w:rPr>
      </w:pPr>
      <w:r>
        <w:rPr>
          <w:rFonts w:hint="eastAsia" w:ascii="仿宋_GB2312" w:eastAsia="仿宋_GB2312"/>
          <w:color w:val="auto"/>
          <w:sz w:val="24"/>
          <w:highlight w:val="none"/>
        </w:rPr>
        <w:t>（5） 通用合同条件；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（6） 承包人建议书； </w:t>
      </w:r>
    </w:p>
    <w:p>
      <w:pPr>
        <w:ind w:firstLine="600"/>
        <w:rPr>
          <w:rFonts w:ascii="仿宋_GB2312" w:eastAsia="仿宋_GB2312"/>
          <w:color w:val="auto"/>
          <w:sz w:val="24"/>
          <w:highlight w:val="none"/>
        </w:rPr>
      </w:pPr>
      <w:r>
        <w:rPr>
          <w:rFonts w:hint="eastAsia" w:ascii="仿宋_GB2312" w:eastAsia="仿宋_GB2312"/>
          <w:color w:val="auto"/>
          <w:sz w:val="24"/>
          <w:highlight w:val="none"/>
        </w:rPr>
        <w:t>（7） 价格清单；</w:t>
      </w:r>
    </w:p>
    <w:p>
      <w:pPr>
        <w:ind w:firstLine="600"/>
        <w:rPr>
          <w:rFonts w:ascii="仿宋_GB2312" w:eastAsia="仿宋_GB2312"/>
          <w:color w:val="auto"/>
          <w:sz w:val="24"/>
          <w:highlight w:val="none"/>
        </w:rPr>
      </w:pPr>
      <w:r>
        <w:rPr>
          <w:rFonts w:hint="eastAsia" w:ascii="仿宋_GB2312" w:eastAsia="仿宋_GB2312"/>
          <w:color w:val="auto"/>
          <w:sz w:val="24"/>
          <w:highlight w:val="none"/>
        </w:rPr>
        <w:t>（8） 双方约定的其他合同文件。</w:t>
      </w:r>
    </w:p>
    <w:p>
      <w:pPr>
        <w:ind w:firstLine="600"/>
        <w:rPr>
          <w:rFonts w:ascii="仿宋_GB2312" w:eastAsia="仿宋_GB2312"/>
          <w:color w:val="auto"/>
          <w:sz w:val="24"/>
          <w:highlight w:val="none"/>
        </w:rPr>
      </w:pPr>
      <w:bookmarkStart w:id="422" w:name="_Hlk18951547"/>
      <w:r>
        <w:rPr>
          <w:rFonts w:hint="eastAsia" w:ascii="仿宋_GB2312" w:eastAsia="仿宋_GB2312"/>
          <w:color w:val="auto"/>
          <w:sz w:val="24"/>
          <w:highlight w:val="none"/>
        </w:rPr>
        <w:t>上述各项合同文件包括合同当事人就该项合同文件所作出的补充和修改，属于同一类内容的文件，应以最新签署的为准</w:t>
      </w:r>
      <w:bookmarkEnd w:id="422"/>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在合同订立及履行过程中形成的与合同有关的文件均构成合同文件组成部分，并根据其性质确定优先解释顺序。</w:t>
      </w:r>
    </w:p>
    <w:p>
      <w:pPr>
        <w:pStyle w:val="54"/>
        <w:widowControl/>
        <w:numPr>
          <w:ilvl w:val="0"/>
          <w:numId w:val="0"/>
        </w:numPr>
        <w:rPr>
          <w:b w:val="0"/>
          <w:bCs/>
          <w:color w:val="auto"/>
          <w:highlight w:val="none"/>
        </w:rPr>
      </w:pPr>
      <w:bookmarkStart w:id="423" w:name="_Ref4422060"/>
      <w:bookmarkStart w:id="424" w:name="_Toc54862183"/>
      <w:bookmarkStart w:id="425" w:name="_Ref11917818"/>
      <w:bookmarkStart w:id="426" w:name="_Ref531949803"/>
      <w:bookmarkStart w:id="427" w:name="_Ref531949822"/>
      <w:bookmarkStart w:id="428" w:name="_Ref531949807"/>
      <w:r>
        <w:rPr>
          <w:rFonts w:hint="eastAsia"/>
          <w:b w:val="0"/>
          <w:bCs/>
          <w:color w:val="auto"/>
          <w:highlight w:val="none"/>
        </w:rPr>
        <w:t>1</w:t>
      </w:r>
      <w:r>
        <w:rPr>
          <w:b w:val="0"/>
          <w:bCs/>
          <w:color w:val="auto"/>
          <w:highlight w:val="none"/>
        </w:rPr>
        <w:t xml:space="preserve">.6 </w:t>
      </w:r>
      <w:r>
        <w:rPr>
          <w:rFonts w:hint="eastAsia"/>
          <w:b w:val="0"/>
          <w:bCs/>
          <w:color w:val="auto"/>
          <w:highlight w:val="none"/>
        </w:rPr>
        <w:t>文件的提供和</w:t>
      </w:r>
      <w:bookmarkEnd w:id="423"/>
      <w:r>
        <w:rPr>
          <w:rFonts w:hint="eastAsia"/>
          <w:b w:val="0"/>
          <w:bCs/>
          <w:color w:val="auto"/>
          <w:highlight w:val="none"/>
        </w:rPr>
        <w:t>照管</w:t>
      </w:r>
      <w:bookmarkEnd w:id="424"/>
      <w:bookmarkEnd w:id="425"/>
    </w:p>
    <w:p>
      <w:pPr>
        <w:pStyle w:val="55"/>
        <w:numPr>
          <w:ilvl w:val="0"/>
          <w:numId w:val="0"/>
        </w:numPr>
        <w:rPr>
          <w:rFonts w:ascii="仿宋_GB2312" w:eastAsia="仿宋_GB2312"/>
          <w:color w:val="auto"/>
          <w:szCs w:val="24"/>
          <w:highlight w:val="none"/>
        </w:rPr>
      </w:pPr>
      <w:bookmarkStart w:id="429" w:name="_Ref4421991"/>
      <w:r>
        <w:rPr>
          <w:rFonts w:hint="eastAsia" w:ascii="仿宋_GB2312" w:eastAsia="仿宋_GB2312"/>
          <w:color w:val="auto"/>
          <w:szCs w:val="24"/>
          <w:highlight w:val="none"/>
        </w:rPr>
        <w:t>1</w:t>
      </w:r>
      <w:r>
        <w:rPr>
          <w:rFonts w:ascii="仿宋_GB2312" w:eastAsia="仿宋_GB2312"/>
          <w:color w:val="auto"/>
          <w:szCs w:val="24"/>
          <w:highlight w:val="none"/>
        </w:rPr>
        <w:t xml:space="preserve">.6.1 </w:t>
      </w:r>
      <w:r>
        <w:rPr>
          <w:rFonts w:hint="eastAsia" w:ascii="仿宋_GB2312" w:eastAsia="仿宋_GB2312"/>
          <w:color w:val="auto"/>
          <w:szCs w:val="24"/>
          <w:highlight w:val="none"/>
        </w:rPr>
        <w:t>发包人文件的提供</w:t>
      </w:r>
      <w:bookmarkEnd w:id="429"/>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ascii="仿宋_GB2312" w:eastAsia="仿宋_GB2312"/>
          <w:color w:val="auto"/>
          <w:sz w:val="24"/>
          <w:highlight w:val="none"/>
        </w:rPr>
        <w:t>8.7.1</w:t>
      </w:r>
      <w:r>
        <w:rPr>
          <w:rFonts w:hint="eastAsia" w:ascii="仿宋_GB2312" w:eastAsia="仿宋_GB2312"/>
          <w:color w:val="auto"/>
          <w:sz w:val="24"/>
          <w:highlight w:val="none"/>
        </w:rPr>
        <w:t>项[</w:t>
      </w:r>
      <w:r>
        <w:rPr>
          <w:rFonts w:ascii="仿宋_GB2312" w:eastAsia="仿宋_GB2312"/>
          <w:color w:val="auto"/>
          <w:sz w:val="24"/>
          <w:highlight w:val="none"/>
        </w:rPr>
        <w:t>因发包人原因导致工期延误</w:t>
      </w:r>
      <w:r>
        <w:rPr>
          <w:rFonts w:hint="eastAsia" w:ascii="仿宋_GB2312" w:eastAsia="仿宋_GB2312"/>
          <w:color w:val="auto"/>
          <w:sz w:val="24"/>
          <w:highlight w:val="none"/>
        </w:rPr>
        <w:t>]约定办理。</w:t>
      </w:r>
    </w:p>
    <w:p>
      <w:pPr>
        <w:pStyle w:val="55"/>
        <w:numPr>
          <w:ilvl w:val="0"/>
          <w:numId w:val="0"/>
        </w:numPr>
        <w:rPr>
          <w:rFonts w:ascii="仿宋_GB2312" w:eastAsia="仿宋_GB2312"/>
          <w:color w:val="auto"/>
          <w:szCs w:val="24"/>
          <w:highlight w:val="none"/>
        </w:rPr>
      </w:pPr>
      <w:bookmarkStart w:id="430" w:name="_Ref4422317"/>
      <w:r>
        <w:rPr>
          <w:rFonts w:hint="eastAsia" w:ascii="仿宋_GB2312" w:eastAsia="仿宋_GB2312"/>
          <w:color w:val="auto"/>
          <w:szCs w:val="24"/>
          <w:highlight w:val="none"/>
        </w:rPr>
        <w:t>1</w:t>
      </w:r>
      <w:r>
        <w:rPr>
          <w:rFonts w:ascii="仿宋_GB2312" w:eastAsia="仿宋_GB2312"/>
          <w:color w:val="auto"/>
          <w:szCs w:val="24"/>
          <w:highlight w:val="none"/>
        </w:rPr>
        <w:t xml:space="preserve">.6.2 </w:t>
      </w:r>
      <w:r>
        <w:rPr>
          <w:rFonts w:hint="eastAsia" w:ascii="仿宋_GB2312" w:eastAsia="仿宋_GB2312"/>
          <w:color w:val="auto"/>
          <w:szCs w:val="24"/>
          <w:highlight w:val="none"/>
        </w:rPr>
        <w:t>承包人文件的提供</w:t>
      </w:r>
      <w:bookmarkEnd w:id="430"/>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除专用合同条件另有约定外，承包人文件应包含下列内容，并用第</w:t>
      </w:r>
      <w:r>
        <w:rPr>
          <w:rFonts w:ascii="仿宋_GB2312" w:eastAsia="仿宋_GB2312"/>
          <w:color w:val="auto"/>
          <w:sz w:val="24"/>
          <w:highlight w:val="none"/>
        </w:rPr>
        <w:t>1.2</w:t>
      </w:r>
      <w:r>
        <w:rPr>
          <w:rFonts w:hint="eastAsia" w:ascii="仿宋_GB2312" w:eastAsia="仿宋_GB2312"/>
          <w:color w:val="auto"/>
          <w:sz w:val="24"/>
          <w:highlight w:val="none"/>
        </w:rPr>
        <w:t>款[语言文字]约定的语言制作：</w:t>
      </w:r>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《发包人要求》中规定的相关文件；</w:t>
      </w:r>
    </w:p>
    <w:p>
      <w:pPr>
        <w:ind w:firstLine="600"/>
        <w:rPr>
          <w:rFonts w:ascii="仿宋_GB2312" w:eastAsia="仿宋_GB2312"/>
          <w:color w:val="auto"/>
          <w:sz w:val="24"/>
          <w:highlight w:val="none"/>
        </w:rPr>
      </w:pPr>
      <w:r>
        <w:rPr>
          <w:rFonts w:hint="eastAsia" w:ascii="仿宋_GB2312" w:eastAsia="仿宋_GB2312"/>
          <w:color w:val="auto"/>
          <w:sz w:val="24"/>
          <w:highlight w:val="none"/>
        </w:rPr>
        <w:t>（2） 满足工程相关行政审批手续所必须的应由承包人负责的相关文件；</w:t>
      </w:r>
    </w:p>
    <w:p>
      <w:pPr>
        <w:ind w:firstLine="600"/>
        <w:rPr>
          <w:rFonts w:ascii="仿宋_GB2312" w:eastAsia="仿宋_GB2312"/>
          <w:color w:val="auto"/>
          <w:sz w:val="24"/>
          <w:highlight w:val="none"/>
        </w:rPr>
      </w:pPr>
      <w:r>
        <w:rPr>
          <w:rFonts w:hint="eastAsia" w:ascii="仿宋_GB2312" w:eastAsia="仿宋_GB2312"/>
          <w:color w:val="auto"/>
          <w:sz w:val="24"/>
          <w:highlight w:val="none"/>
        </w:rPr>
        <w:t>（3） 第</w:t>
      </w:r>
      <w:r>
        <w:rPr>
          <w:rFonts w:ascii="仿宋_GB2312" w:eastAsia="仿宋_GB2312"/>
          <w:color w:val="auto"/>
          <w:sz w:val="24"/>
          <w:highlight w:val="none"/>
        </w:rPr>
        <w:t>5.4</w:t>
      </w:r>
      <w:r>
        <w:rPr>
          <w:rFonts w:hint="eastAsia" w:ascii="仿宋_GB2312" w:eastAsia="仿宋_GB2312"/>
          <w:color w:val="auto"/>
          <w:sz w:val="24"/>
          <w:highlight w:val="none"/>
        </w:rPr>
        <w:t>款[竣工文件]与第</w:t>
      </w:r>
      <w:r>
        <w:rPr>
          <w:rFonts w:ascii="仿宋_GB2312" w:eastAsia="仿宋_GB2312"/>
          <w:color w:val="auto"/>
          <w:sz w:val="24"/>
          <w:highlight w:val="none"/>
        </w:rPr>
        <w:t>5.5</w:t>
      </w:r>
      <w:r>
        <w:rPr>
          <w:rFonts w:hint="eastAsia" w:ascii="仿宋_GB2312" w:eastAsia="仿宋_GB2312"/>
          <w:color w:val="auto"/>
          <w:sz w:val="24"/>
          <w:highlight w:val="none"/>
        </w:rPr>
        <w:t>款[操作和维修手册]中要求的相关文件。</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ascii="仿宋_GB2312" w:eastAsia="仿宋_GB2312"/>
          <w:color w:val="auto"/>
          <w:sz w:val="24"/>
          <w:highlight w:val="none"/>
        </w:rPr>
        <w:t>5.2</w:t>
      </w:r>
      <w:r>
        <w:rPr>
          <w:rFonts w:hint="eastAsia" w:ascii="仿宋_GB2312" w:eastAsia="仿宋_GB2312"/>
          <w:color w:val="auto"/>
          <w:sz w:val="24"/>
          <w:highlight w:val="none"/>
        </w:rPr>
        <w:t>款[承包人文件审查]和第</w:t>
      </w:r>
      <w:r>
        <w:rPr>
          <w:rFonts w:ascii="仿宋_GB2312" w:eastAsia="仿宋_GB2312"/>
          <w:color w:val="auto"/>
          <w:sz w:val="24"/>
          <w:highlight w:val="none"/>
        </w:rPr>
        <w:t>5.4</w:t>
      </w:r>
      <w:r>
        <w:rPr>
          <w:rFonts w:hint="eastAsia" w:ascii="仿宋_GB2312" w:eastAsia="仿宋_GB2312"/>
          <w:color w:val="auto"/>
          <w:sz w:val="24"/>
          <w:highlight w:val="none"/>
        </w:rPr>
        <w:t>款[竣工文件]的约定。</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.6.3 </w:t>
      </w:r>
      <w:r>
        <w:rPr>
          <w:rFonts w:hint="eastAsia" w:ascii="仿宋_GB2312" w:eastAsia="仿宋_GB2312"/>
          <w:color w:val="auto"/>
          <w:szCs w:val="24"/>
          <w:highlight w:val="none"/>
        </w:rPr>
        <w:t>文件错误的通知</w:t>
      </w:r>
    </w:p>
    <w:p>
      <w:pPr>
        <w:ind w:firstLine="600"/>
        <w:rPr>
          <w:rFonts w:ascii="仿宋_GB2312" w:eastAsia="仿宋_GB2312"/>
          <w:color w:val="auto"/>
          <w:sz w:val="24"/>
          <w:highlight w:val="none"/>
        </w:rPr>
      </w:pPr>
      <w:r>
        <w:rPr>
          <w:rFonts w:hint="eastAsia" w:ascii="仿宋_GB2312" w:eastAsia="仿宋_GB2312"/>
          <w:color w:val="auto"/>
          <w:sz w:val="24"/>
          <w:highlight w:val="none"/>
        </w:rPr>
        <w:t>任何一方发现文件中存在明显的错误或疏忽，应及时通知另一方。</w:t>
      </w:r>
    </w:p>
    <w:p>
      <w:pPr>
        <w:pStyle w:val="55"/>
        <w:numPr>
          <w:ilvl w:val="0"/>
          <w:numId w:val="0"/>
        </w:numPr>
        <w:rPr>
          <w:rFonts w:ascii="仿宋_GB2312" w:eastAsia="仿宋_GB2312"/>
          <w:color w:val="auto"/>
          <w:szCs w:val="24"/>
          <w:highlight w:val="none"/>
        </w:rPr>
      </w:pPr>
      <w:bookmarkStart w:id="431" w:name="_Ref4678410"/>
      <w:bookmarkStart w:id="432" w:name="_Ref11957673"/>
      <w:r>
        <w:rPr>
          <w:rFonts w:hint="eastAsia" w:ascii="仿宋_GB2312" w:eastAsia="仿宋_GB2312"/>
          <w:color w:val="auto"/>
          <w:szCs w:val="24"/>
          <w:highlight w:val="none"/>
        </w:rPr>
        <w:t>1</w:t>
      </w:r>
      <w:r>
        <w:rPr>
          <w:rFonts w:ascii="仿宋_GB2312" w:eastAsia="仿宋_GB2312"/>
          <w:color w:val="auto"/>
          <w:szCs w:val="24"/>
          <w:highlight w:val="none"/>
        </w:rPr>
        <w:t xml:space="preserve">.6.4 </w:t>
      </w:r>
      <w:r>
        <w:rPr>
          <w:rFonts w:hint="eastAsia" w:ascii="仿宋_GB2312" w:eastAsia="仿宋_GB2312"/>
          <w:color w:val="auto"/>
          <w:szCs w:val="24"/>
          <w:highlight w:val="none"/>
        </w:rPr>
        <w:t>文件的</w:t>
      </w:r>
      <w:bookmarkEnd w:id="431"/>
      <w:r>
        <w:rPr>
          <w:rFonts w:hint="eastAsia" w:ascii="仿宋_GB2312" w:eastAsia="仿宋_GB2312"/>
          <w:color w:val="auto"/>
          <w:szCs w:val="24"/>
          <w:highlight w:val="none"/>
        </w:rPr>
        <w:t>照管</w:t>
      </w:r>
      <w:bookmarkEnd w:id="432"/>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54"/>
        <w:widowControl/>
        <w:numPr>
          <w:ilvl w:val="0"/>
          <w:numId w:val="0"/>
        </w:numPr>
        <w:rPr>
          <w:b w:val="0"/>
          <w:bCs/>
          <w:color w:val="auto"/>
          <w:highlight w:val="none"/>
        </w:rPr>
      </w:pPr>
      <w:bookmarkStart w:id="433" w:name="_Toc54862184"/>
      <w:bookmarkStart w:id="434" w:name="_Ref4415170"/>
      <w:r>
        <w:rPr>
          <w:rFonts w:hint="eastAsia"/>
          <w:b w:val="0"/>
          <w:bCs/>
          <w:color w:val="auto"/>
          <w:highlight w:val="none"/>
        </w:rPr>
        <w:t>1</w:t>
      </w:r>
      <w:r>
        <w:rPr>
          <w:b w:val="0"/>
          <w:bCs/>
          <w:color w:val="auto"/>
          <w:highlight w:val="none"/>
        </w:rPr>
        <w:t xml:space="preserve">.7 </w:t>
      </w:r>
      <w:r>
        <w:rPr>
          <w:rFonts w:hint="eastAsia"/>
          <w:b w:val="0"/>
          <w:bCs/>
          <w:color w:val="auto"/>
          <w:highlight w:val="none"/>
        </w:rPr>
        <w:t>联络</w:t>
      </w:r>
      <w:bookmarkEnd w:id="433"/>
      <w:bookmarkEnd w:id="434"/>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.7.1 </w:t>
      </w:r>
      <w:r>
        <w:rPr>
          <w:rFonts w:hint="eastAsia" w:ascii="仿宋_GB2312" w:eastAsia="仿宋_GB2312"/>
          <w:color w:val="auto"/>
          <w:szCs w:val="24"/>
          <w:highlight w:val="none"/>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55"/>
        <w:numPr>
          <w:ilvl w:val="0"/>
          <w:numId w:val="0"/>
        </w:numPr>
        <w:rPr>
          <w:rFonts w:ascii="仿宋_GB2312" w:eastAsia="仿宋_GB2312"/>
          <w:color w:val="auto"/>
          <w:szCs w:val="24"/>
          <w:highlight w:val="none"/>
        </w:rPr>
      </w:pPr>
      <w:bookmarkStart w:id="435" w:name="_Ref531949897"/>
      <w:r>
        <w:rPr>
          <w:rFonts w:hint="eastAsia" w:ascii="仿宋_GB2312" w:eastAsia="仿宋_GB2312"/>
          <w:color w:val="auto"/>
          <w:szCs w:val="24"/>
          <w:highlight w:val="none"/>
        </w:rPr>
        <w:t>1</w:t>
      </w:r>
      <w:r>
        <w:rPr>
          <w:rFonts w:ascii="仿宋_GB2312" w:eastAsia="仿宋_GB2312"/>
          <w:color w:val="auto"/>
          <w:szCs w:val="24"/>
          <w:highlight w:val="none"/>
        </w:rPr>
        <w:t xml:space="preserve">.7.2 </w:t>
      </w:r>
      <w:r>
        <w:rPr>
          <w:rFonts w:hint="eastAsia" w:ascii="仿宋_GB2312" w:eastAsia="仿宋_GB2312"/>
          <w:color w:val="auto"/>
          <w:szCs w:val="24"/>
          <w:highlight w:val="none"/>
        </w:rPr>
        <w:t>发包人和承包人应在专用合同条件中约定各自的送达方式和收件地址。任何一方合同当事人指定的送达方式或收件地址发生变动的，应提前3天以书面形式通知对方。</w:t>
      </w:r>
      <w:bookmarkEnd w:id="435"/>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.7.3 </w:t>
      </w:r>
      <w:r>
        <w:rPr>
          <w:rFonts w:hint="eastAsia" w:ascii="仿宋_GB2312" w:eastAsia="仿宋_GB2312"/>
          <w:color w:val="auto"/>
          <w:szCs w:val="24"/>
          <w:highlight w:val="none"/>
        </w:rPr>
        <w:t>发包人和承包人应当及时签收另一方通过约定的送达方式送达至收件地址的来往文件。拒不签收的，由此增加的费用和（或）延误的工期由拒绝接收一方承担。</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.7.4 </w:t>
      </w:r>
      <w:r>
        <w:rPr>
          <w:rFonts w:hint="eastAsia" w:ascii="仿宋_GB2312" w:eastAsia="仿宋_GB2312"/>
          <w:color w:val="auto"/>
          <w:szCs w:val="24"/>
          <w:highlight w:val="none"/>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54"/>
        <w:widowControl/>
        <w:numPr>
          <w:ilvl w:val="0"/>
          <w:numId w:val="0"/>
        </w:numPr>
        <w:rPr>
          <w:b w:val="0"/>
          <w:bCs/>
          <w:color w:val="auto"/>
          <w:highlight w:val="none"/>
        </w:rPr>
      </w:pPr>
      <w:bookmarkStart w:id="436" w:name="_Toc54862185"/>
      <w:r>
        <w:rPr>
          <w:rFonts w:hint="eastAsia"/>
          <w:b w:val="0"/>
          <w:bCs/>
          <w:color w:val="auto"/>
          <w:highlight w:val="none"/>
        </w:rPr>
        <w:t>1</w:t>
      </w:r>
      <w:r>
        <w:rPr>
          <w:b w:val="0"/>
          <w:bCs/>
          <w:color w:val="auto"/>
          <w:highlight w:val="none"/>
        </w:rPr>
        <w:t xml:space="preserve">.8 </w:t>
      </w:r>
      <w:r>
        <w:rPr>
          <w:rFonts w:hint="eastAsia"/>
          <w:b w:val="0"/>
          <w:bCs/>
          <w:color w:val="auto"/>
          <w:highlight w:val="none"/>
        </w:rPr>
        <w:t>严禁贿赂</w:t>
      </w:r>
      <w:bookmarkEnd w:id="426"/>
      <w:bookmarkEnd w:id="427"/>
      <w:bookmarkEnd w:id="428"/>
      <w:bookmarkEnd w:id="436"/>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合同当事人不得以贿赂或变相贿赂的方式，谋取非法利益或损害对方权益。因一方合同当事人的贿赂造成对方损失的，应赔偿损失，并承担相应的法律责任。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54"/>
        <w:widowControl/>
        <w:numPr>
          <w:ilvl w:val="0"/>
          <w:numId w:val="0"/>
        </w:numPr>
        <w:rPr>
          <w:b w:val="0"/>
          <w:bCs/>
          <w:color w:val="auto"/>
          <w:highlight w:val="none"/>
        </w:rPr>
      </w:pPr>
      <w:bookmarkStart w:id="437" w:name="_Toc54862186"/>
      <w:r>
        <w:rPr>
          <w:rFonts w:hint="eastAsia"/>
          <w:b w:val="0"/>
          <w:bCs/>
          <w:color w:val="auto"/>
          <w:highlight w:val="none"/>
        </w:rPr>
        <w:t>1</w:t>
      </w:r>
      <w:r>
        <w:rPr>
          <w:b w:val="0"/>
          <w:bCs/>
          <w:color w:val="auto"/>
          <w:highlight w:val="none"/>
        </w:rPr>
        <w:t>.9 化石、文物</w:t>
      </w:r>
      <w:bookmarkEnd w:id="437"/>
    </w:p>
    <w:p>
      <w:pPr>
        <w:ind w:firstLine="600"/>
        <w:rPr>
          <w:rFonts w:ascii="仿宋_GB2312" w:eastAsia="仿宋_GB2312"/>
          <w:color w:val="auto"/>
          <w:sz w:val="24"/>
          <w:highlight w:val="none"/>
        </w:rPr>
      </w:pPr>
      <w:r>
        <w:rPr>
          <w:rFonts w:hint="eastAsia" w:ascii="仿宋_GB2312" w:eastAsia="仿宋_GB2312"/>
          <w:color w:val="auto"/>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发包人、工程师和承包人应按有关政府行政管理部门要求采取妥善的保护措施，由此增加的费用和（或）延误的工期由发包人承担。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承包人发现文物后不及时报告或隐瞒不报，致使文物丢失或损坏的，应赔偿损失，并承担相应的法律责任。</w:t>
      </w:r>
    </w:p>
    <w:p>
      <w:pPr>
        <w:pStyle w:val="54"/>
        <w:widowControl/>
        <w:numPr>
          <w:ilvl w:val="0"/>
          <w:numId w:val="0"/>
        </w:numPr>
        <w:rPr>
          <w:b w:val="0"/>
          <w:bCs/>
          <w:color w:val="auto"/>
          <w:highlight w:val="none"/>
        </w:rPr>
      </w:pPr>
      <w:bookmarkStart w:id="438" w:name="_Ref4423426"/>
      <w:bookmarkStart w:id="439" w:name="_Ref531949770"/>
      <w:bookmarkStart w:id="440" w:name="_Toc54862187"/>
      <w:bookmarkStart w:id="441" w:name="_Ref531949766"/>
      <w:bookmarkStart w:id="442" w:name="_Ref531949841"/>
      <w:bookmarkStart w:id="443" w:name="_Ref531949855"/>
      <w:bookmarkStart w:id="444" w:name="_Ref531949826"/>
      <w:r>
        <w:rPr>
          <w:rFonts w:hint="eastAsia"/>
          <w:b w:val="0"/>
          <w:bCs/>
          <w:color w:val="auto"/>
          <w:highlight w:val="none"/>
        </w:rPr>
        <w:t>1</w:t>
      </w:r>
      <w:r>
        <w:rPr>
          <w:b w:val="0"/>
          <w:bCs/>
          <w:color w:val="auto"/>
          <w:highlight w:val="none"/>
        </w:rPr>
        <w:t xml:space="preserve">.10 </w:t>
      </w:r>
      <w:r>
        <w:rPr>
          <w:rFonts w:hint="eastAsia"/>
          <w:b w:val="0"/>
          <w:bCs/>
          <w:color w:val="auto"/>
          <w:highlight w:val="none"/>
        </w:rPr>
        <w:t>知识产权</w:t>
      </w:r>
      <w:bookmarkEnd w:id="438"/>
      <w:bookmarkEnd w:id="439"/>
      <w:bookmarkEnd w:id="440"/>
      <w:bookmarkEnd w:id="441"/>
      <w:r>
        <w:rPr>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445" w:name="_Ref4423563"/>
      <w:r>
        <w:rPr>
          <w:rFonts w:hint="eastAsia" w:ascii="仿宋_GB2312" w:eastAsia="仿宋_GB2312"/>
          <w:color w:val="auto"/>
          <w:szCs w:val="24"/>
          <w:highlight w:val="none"/>
        </w:rPr>
        <w:t>1</w:t>
      </w:r>
      <w:r>
        <w:rPr>
          <w:rFonts w:ascii="仿宋_GB2312" w:eastAsia="仿宋_GB2312"/>
          <w:color w:val="auto"/>
          <w:szCs w:val="24"/>
          <w:highlight w:val="none"/>
        </w:rPr>
        <w:t xml:space="preserve">.10.1 </w:t>
      </w:r>
      <w:r>
        <w:rPr>
          <w:rFonts w:hint="eastAsia" w:ascii="仿宋_GB2312" w:eastAsia="仿宋_GB2312"/>
          <w:color w:val="auto"/>
          <w:szCs w:val="24"/>
          <w:highlight w:val="none"/>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445"/>
    </w:p>
    <w:p>
      <w:pPr>
        <w:pStyle w:val="55"/>
        <w:numPr>
          <w:ilvl w:val="0"/>
          <w:numId w:val="0"/>
        </w:numPr>
        <w:rPr>
          <w:rFonts w:ascii="仿宋_GB2312" w:eastAsia="仿宋_GB2312"/>
          <w:color w:val="auto"/>
          <w:szCs w:val="24"/>
          <w:highlight w:val="none"/>
        </w:rPr>
      </w:pPr>
      <w:bookmarkStart w:id="446" w:name="_Ref4423604"/>
      <w:r>
        <w:rPr>
          <w:rFonts w:hint="eastAsia" w:ascii="仿宋_GB2312" w:eastAsia="仿宋_GB2312"/>
          <w:color w:val="auto"/>
          <w:szCs w:val="24"/>
          <w:highlight w:val="none"/>
        </w:rPr>
        <w:t>1</w:t>
      </w:r>
      <w:r>
        <w:rPr>
          <w:rFonts w:ascii="仿宋_GB2312" w:eastAsia="仿宋_GB2312"/>
          <w:color w:val="auto"/>
          <w:szCs w:val="24"/>
          <w:highlight w:val="none"/>
        </w:rPr>
        <w:t xml:space="preserve">.10.2 </w:t>
      </w:r>
      <w:r>
        <w:rPr>
          <w:rFonts w:hint="eastAsia" w:ascii="仿宋_GB2312" w:eastAsia="仿宋_GB2312"/>
          <w:color w:val="auto"/>
          <w:szCs w:val="24"/>
          <w:highlight w:val="none"/>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446"/>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.10.3 </w:t>
      </w:r>
      <w:r>
        <w:rPr>
          <w:rFonts w:hint="eastAsia" w:ascii="仿宋_GB2312" w:eastAsia="仿宋_GB2312"/>
          <w:color w:val="auto"/>
          <w:szCs w:val="24"/>
          <w:highlight w:val="none"/>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55"/>
        <w:numPr>
          <w:ilvl w:val="0"/>
          <w:numId w:val="0"/>
        </w:numPr>
        <w:rPr>
          <w:rFonts w:ascii="仿宋_GB2312" w:eastAsia="仿宋_GB2312"/>
          <w:color w:val="auto"/>
          <w:szCs w:val="24"/>
          <w:highlight w:val="none"/>
        </w:rPr>
      </w:pPr>
      <w:bookmarkStart w:id="447" w:name="_Ref4423695"/>
      <w:r>
        <w:rPr>
          <w:rFonts w:hint="eastAsia" w:ascii="仿宋_GB2312" w:eastAsia="仿宋_GB2312"/>
          <w:color w:val="auto"/>
          <w:szCs w:val="24"/>
          <w:highlight w:val="none"/>
        </w:rPr>
        <w:t>1</w:t>
      </w:r>
      <w:r>
        <w:rPr>
          <w:rFonts w:ascii="仿宋_GB2312" w:eastAsia="仿宋_GB2312"/>
          <w:color w:val="auto"/>
          <w:szCs w:val="24"/>
          <w:highlight w:val="none"/>
        </w:rPr>
        <w:t xml:space="preserve">.10.4 </w:t>
      </w:r>
      <w:r>
        <w:rPr>
          <w:rFonts w:hint="eastAsia" w:ascii="仿宋_GB2312" w:eastAsia="仿宋_GB2312"/>
          <w:color w:val="auto"/>
          <w:szCs w:val="24"/>
          <w:highlight w:val="none"/>
        </w:rPr>
        <w:t>除专用合同条件另有约定外，承包人在投标文件中采用的专利、专有技术、商业软件、技术秘密的使用费已包含在签约合同价中。</w:t>
      </w:r>
      <w:bookmarkEnd w:id="447"/>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.10.5 </w:t>
      </w:r>
      <w:r>
        <w:rPr>
          <w:rFonts w:hint="eastAsia" w:ascii="仿宋_GB2312" w:eastAsia="仿宋_GB2312"/>
          <w:color w:val="auto"/>
          <w:szCs w:val="24"/>
          <w:highlight w:val="none"/>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54"/>
        <w:widowControl/>
        <w:numPr>
          <w:ilvl w:val="0"/>
          <w:numId w:val="0"/>
        </w:numPr>
        <w:rPr>
          <w:b w:val="0"/>
          <w:bCs/>
          <w:color w:val="auto"/>
          <w:highlight w:val="none"/>
        </w:rPr>
      </w:pPr>
      <w:bookmarkStart w:id="448" w:name="_Toc54862188"/>
      <w:bookmarkStart w:id="449" w:name="_Ref4423873"/>
      <w:bookmarkStart w:id="450" w:name="_Ref4423898"/>
      <w:r>
        <w:rPr>
          <w:rFonts w:hint="eastAsia"/>
          <w:b w:val="0"/>
          <w:bCs/>
          <w:color w:val="auto"/>
          <w:highlight w:val="none"/>
        </w:rPr>
        <w:t>1</w:t>
      </w:r>
      <w:r>
        <w:rPr>
          <w:b w:val="0"/>
          <w:bCs/>
          <w:color w:val="auto"/>
          <w:highlight w:val="none"/>
        </w:rPr>
        <w:t xml:space="preserve">.11 </w:t>
      </w:r>
      <w:r>
        <w:rPr>
          <w:rFonts w:hint="eastAsia"/>
          <w:b w:val="0"/>
          <w:bCs/>
          <w:color w:val="auto"/>
          <w:highlight w:val="none"/>
        </w:rPr>
        <w:t>保密</w:t>
      </w:r>
      <w:bookmarkEnd w:id="442"/>
      <w:bookmarkEnd w:id="443"/>
      <w:bookmarkEnd w:id="444"/>
      <w:bookmarkEnd w:id="448"/>
      <w:bookmarkEnd w:id="449"/>
      <w:bookmarkEnd w:id="450"/>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合同当事人一方对在订立和履行合同过程中知悉的另一方的商业秘密、技术秘密，以及任何一方明确要求保密的其它信息，负有保密责任。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除法律规定或合同另有约定外，未经对方同意，任何一方当事人不得将对方提供的文件、技术秘密以及声明需要保密的资料信息等商业秘密泄露给第三方或者用于本合同以外的目的。</w:t>
      </w:r>
    </w:p>
    <w:p>
      <w:pPr>
        <w:ind w:firstLine="600"/>
        <w:rPr>
          <w:rFonts w:ascii="仿宋_GB2312" w:eastAsia="仿宋_GB2312"/>
          <w:color w:val="auto"/>
          <w:sz w:val="24"/>
          <w:highlight w:val="none"/>
        </w:rPr>
      </w:pPr>
      <w:r>
        <w:rPr>
          <w:rFonts w:hint="eastAsia" w:ascii="仿宋_GB2312" w:eastAsia="仿宋_GB2312"/>
          <w:color w:val="auto"/>
          <w:sz w:val="24"/>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54"/>
        <w:widowControl/>
        <w:numPr>
          <w:ilvl w:val="0"/>
          <w:numId w:val="0"/>
        </w:numPr>
        <w:rPr>
          <w:b w:val="0"/>
          <w:bCs/>
          <w:color w:val="auto"/>
          <w:highlight w:val="none"/>
        </w:rPr>
      </w:pPr>
      <w:bookmarkStart w:id="451" w:name="_Ref532336812"/>
      <w:bookmarkStart w:id="452" w:name="_Toc54862189"/>
      <w:r>
        <w:rPr>
          <w:rFonts w:hint="eastAsia"/>
          <w:b w:val="0"/>
          <w:bCs/>
          <w:color w:val="auto"/>
          <w:highlight w:val="none"/>
        </w:rPr>
        <w:t>1</w:t>
      </w:r>
      <w:r>
        <w:rPr>
          <w:b w:val="0"/>
          <w:bCs/>
          <w:color w:val="auto"/>
          <w:highlight w:val="none"/>
        </w:rPr>
        <w:t xml:space="preserve">.12 </w:t>
      </w:r>
      <w:bookmarkStart w:id="453" w:name="_Hlk55215423"/>
      <w:r>
        <w:rPr>
          <w:rFonts w:hint="eastAsia"/>
          <w:b w:val="0"/>
          <w:bCs/>
          <w:color w:val="auto"/>
          <w:highlight w:val="none"/>
        </w:rPr>
        <w:t>《发包人要求》和基础资料中的错误</w:t>
      </w:r>
      <w:bookmarkEnd w:id="451"/>
      <w:bookmarkEnd w:id="452"/>
      <w:bookmarkEnd w:id="453"/>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承包人应尽早认真阅读、复核《发包人要求》以及其提供的基础资料，发现错误的，应及时书面通知发包人补正。发包人作相应修改的，按照第</w:t>
      </w:r>
      <w:r>
        <w:rPr>
          <w:rFonts w:ascii="仿宋_GB2312" w:eastAsia="仿宋_GB2312"/>
          <w:color w:val="auto"/>
          <w:sz w:val="24"/>
          <w:highlight w:val="none"/>
        </w:rPr>
        <w:t>13条</w:t>
      </w:r>
      <w:r>
        <w:rPr>
          <w:rFonts w:hint="eastAsia" w:ascii="仿宋_GB2312" w:eastAsia="仿宋_GB2312"/>
          <w:color w:val="auto"/>
          <w:sz w:val="24"/>
          <w:highlight w:val="none"/>
        </w:rPr>
        <w:t>[变更与调整</w:t>
      </w:r>
      <w:bookmarkStart w:id="454" w:name="_Ref523403409"/>
      <w:bookmarkStart w:id="455" w:name="_Ref523403776"/>
      <w:r>
        <w:rPr>
          <w:rFonts w:hint="eastAsia" w:ascii="仿宋_GB2312" w:eastAsia="仿宋_GB2312"/>
          <w:color w:val="auto"/>
          <w:sz w:val="24"/>
          <w:highlight w:val="none"/>
        </w:rPr>
        <w:t>]的约定处理。</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《发包人要求》或其提供的基础资料中的错误导致承包人增加费用和（或）工期延误的，发包人应承担由此增加的费用和（或）工期延误，并向承包人支付合理利润。</w:t>
      </w:r>
    </w:p>
    <w:bookmarkEnd w:id="454"/>
    <w:bookmarkEnd w:id="455"/>
    <w:p>
      <w:pPr>
        <w:pStyle w:val="54"/>
        <w:widowControl/>
        <w:numPr>
          <w:ilvl w:val="0"/>
          <w:numId w:val="0"/>
        </w:numPr>
        <w:rPr>
          <w:b w:val="0"/>
          <w:bCs/>
          <w:color w:val="auto"/>
          <w:highlight w:val="none"/>
        </w:rPr>
      </w:pPr>
      <w:bookmarkStart w:id="456" w:name="_Ref531949933"/>
      <w:bookmarkStart w:id="457" w:name="_Ref531949937"/>
      <w:bookmarkStart w:id="458" w:name="_Toc54862190"/>
      <w:r>
        <w:rPr>
          <w:rFonts w:hint="eastAsia"/>
          <w:b w:val="0"/>
          <w:bCs/>
          <w:color w:val="auto"/>
          <w:highlight w:val="none"/>
        </w:rPr>
        <w:t>1</w:t>
      </w:r>
      <w:r>
        <w:rPr>
          <w:b w:val="0"/>
          <w:bCs/>
          <w:color w:val="auto"/>
          <w:highlight w:val="none"/>
        </w:rPr>
        <w:t xml:space="preserve">.13 </w:t>
      </w:r>
      <w:r>
        <w:rPr>
          <w:rFonts w:hint="eastAsia"/>
          <w:b w:val="0"/>
          <w:bCs/>
          <w:color w:val="auto"/>
          <w:highlight w:val="none"/>
        </w:rPr>
        <w:t>责任限制</w:t>
      </w:r>
      <w:bookmarkEnd w:id="456"/>
      <w:bookmarkEnd w:id="457"/>
      <w:bookmarkEnd w:id="458"/>
    </w:p>
    <w:p>
      <w:pPr>
        <w:ind w:firstLine="600"/>
        <w:rPr>
          <w:rFonts w:ascii="仿宋_GB2312" w:eastAsia="仿宋_GB2312"/>
          <w:color w:val="auto"/>
          <w:sz w:val="24"/>
          <w:highlight w:val="none"/>
        </w:rPr>
      </w:pPr>
      <w:r>
        <w:rPr>
          <w:rFonts w:ascii="仿宋_GB2312" w:eastAsia="仿宋_GB2312"/>
          <w:color w:val="auto"/>
          <w:sz w:val="24"/>
          <w:highlight w:val="none"/>
        </w:rPr>
        <w:t>承包人对发包人的赔偿责任不应超过专用合同条件约定的赔偿最高限额。若专用合同条件未约定，则承包人对发包人的赔偿责任不应超过</w:t>
      </w:r>
      <w:r>
        <w:rPr>
          <w:rFonts w:hint="eastAsia" w:ascii="仿宋_GB2312" w:eastAsia="仿宋_GB2312"/>
          <w:color w:val="auto"/>
          <w:sz w:val="24"/>
          <w:highlight w:val="none"/>
        </w:rPr>
        <w:t>签约合同价。</w:t>
      </w:r>
      <w:r>
        <w:rPr>
          <w:rFonts w:ascii="仿宋_GB2312" w:eastAsia="仿宋_GB2312"/>
          <w:color w:val="auto"/>
          <w:sz w:val="24"/>
          <w:highlight w:val="none"/>
        </w:rPr>
        <w:t>但对于因欺诈、</w:t>
      </w:r>
      <w:r>
        <w:rPr>
          <w:rFonts w:hint="eastAsia" w:ascii="仿宋_GB2312" w:eastAsia="仿宋_GB2312"/>
          <w:color w:val="auto"/>
          <w:sz w:val="24"/>
          <w:highlight w:val="none"/>
        </w:rPr>
        <w:t>犯罪、</w:t>
      </w:r>
      <w:r>
        <w:rPr>
          <w:rFonts w:ascii="仿宋_GB2312" w:eastAsia="仿宋_GB2312"/>
          <w:color w:val="auto"/>
          <w:sz w:val="24"/>
          <w:highlight w:val="none"/>
        </w:rPr>
        <w:t>故意、</w:t>
      </w:r>
      <w:r>
        <w:rPr>
          <w:rFonts w:hint="eastAsia" w:ascii="仿宋_GB2312" w:eastAsia="仿宋_GB2312"/>
          <w:color w:val="auto"/>
          <w:sz w:val="24"/>
          <w:highlight w:val="none"/>
        </w:rPr>
        <w:t>重大过失、人身伤害</w:t>
      </w:r>
      <w:r>
        <w:rPr>
          <w:rFonts w:ascii="仿宋_GB2312" w:eastAsia="仿宋_GB2312"/>
          <w:color w:val="auto"/>
          <w:sz w:val="24"/>
          <w:highlight w:val="none"/>
        </w:rPr>
        <w:t>等不当行为造成的损失，赔偿的责任限度不受</w:t>
      </w:r>
      <w:r>
        <w:rPr>
          <w:rFonts w:hint="eastAsia" w:ascii="仿宋_GB2312" w:eastAsia="仿宋_GB2312"/>
          <w:color w:val="auto"/>
          <w:sz w:val="24"/>
          <w:highlight w:val="none"/>
        </w:rPr>
        <w:t>上述最高</w:t>
      </w:r>
      <w:r>
        <w:rPr>
          <w:rFonts w:ascii="仿宋_GB2312" w:eastAsia="仿宋_GB2312"/>
          <w:color w:val="auto"/>
          <w:sz w:val="24"/>
          <w:highlight w:val="none"/>
        </w:rPr>
        <w:t>限额的限制</w:t>
      </w:r>
      <w:r>
        <w:rPr>
          <w:rFonts w:hint="eastAsia" w:ascii="仿宋_GB2312" w:eastAsia="仿宋_GB2312"/>
          <w:color w:val="auto"/>
          <w:sz w:val="24"/>
          <w:highlight w:val="none"/>
        </w:rPr>
        <w:t>。</w:t>
      </w:r>
    </w:p>
    <w:p>
      <w:pPr>
        <w:pStyle w:val="54"/>
        <w:widowControl/>
        <w:numPr>
          <w:ilvl w:val="0"/>
          <w:numId w:val="0"/>
        </w:numPr>
        <w:rPr>
          <w:b w:val="0"/>
          <w:bCs/>
          <w:color w:val="auto"/>
          <w:highlight w:val="none"/>
        </w:rPr>
      </w:pPr>
      <w:bookmarkStart w:id="459" w:name="_Toc54862191"/>
      <w:bookmarkStart w:id="460" w:name="_Hlk51506160"/>
      <w:r>
        <w:rPr>
          <w:rFonts w:hint="eastAsia"/>
          <w:b w:val="0"/>
          <w:bCs/>
          <w:color w:val="auto"/>
          <w:highlight w:val="none"/>
        </w:rPr>
        <w:t>1</w:t>
      </w:r>
      <w:r>
        <w:rPr>
          <w:b w:val="0"/>
          <w:bCs/>
          <w:color w:val="auto"/>
          <w:highlight w:val="none"/>
        </w:rPr>
        <w:t>.14 建筑信息模型技术的应用</w:t>
      </w:r>
      <w:bookmarkEnd w:id="459"/>
    </w:p>
    <w:bookmarkEnd w:id="460"/>
    <w:p>
      <w:pPr>
        <w:ind w:firstLine="600"/>
        <w:rPr>
          <w:rFonts w:ascii="仿宋_GB2312" w:eastAsia="仿宋_GB2312"/>
          <w:color w:val="auto"/>
          <w:sz w:val="24"/>
          <w:highlight w:val="none"/>
        </w:rPr>
      </w:pPr>
      <w:r>
        <w:rPr>
          <w:rFonts w:hint="eastAsia" w:ascii="仿宋_GB2312" w:eastAsia="仿宋_GB2312"/>
          <w:color w:val="auto"/>
          <w:sz w:val="24"/>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42"/>
        <w:numPr>
          <w:ilvl w:val="0"/>
          <w:numId w:val="0"/>
        </w:numPr>
        <w:wordWrap/>
        <w:topLinePunct w:val="0"/>
        <w:rPr>
          <w:b w:val="0"/>
          <w:bCs/>
          <w:color w:val="auto"/>
          <w:sz w:val="24"/>
          <w:szCs w:val="24"/>
          <w:highlight w:val="none"/>
        </w:rPr>
      </w:pPr>
      <w:bookmarkStart w:id="461" w:name="_Toc54862192"/>
      <w:bookmarkStart w:id="462" w:name="_Ref4796511"/>
      <w:r>
        <w:rPr>
          <w:rFonts w:hint="eastAsia"/>
          <w:b w:val="0"/>
          <w:bCs/>
          <w:color w:val="auto"/>
          <w:sz w:val="24"/>
          <w:szCs w:val="24"/>
          <w:highlight w:val="none"/>
        </w:rPr>
        <w:t>第2条 发包人</w:t>
      </w:r>
      <w:bookmarkEnd w:id="461"/>
      <w:bookmarkEnd w:id="462"/>
    </w:p>
    <w:p>
      <w:pPr>
        <w:pStyle w:val="54"/>
        <w:widowControl/>
        <w:numPr>
          <w:ilvl w:val="0"/>
          <w:numId w:val="0"/>
        </w:numPr>
        <w:rPr>
          <w:b w:val="0"/>
          <w:bCs/>
          <w:color w:val="auto"/>
          <w:highlight w:val="none"/>
        </w:rPr>
      </w:pPr>
      <w:bookmarkStart w:id="463" w:name="_Toc54862193"/>
      <w:r>
        <w:rPr>
          <w:rFonts w:hint="eastAsia"/>
          <w:b w:val="0"/>
          <w:bCs/>
          <w:color w:val="auto"/>
          <w:highlight w:val="none"/>
        </w:rPr>
        <w:t>2</w:t>
      </w:r>
      <w:r>
        <w:rPr>
          <w:b w:val="0"/>
          <w:bCs/>
          <w:color w:val="auto"/>
          <w:highlight w:val="none"/>
        </w:rPr>
        <w:t xml:space="preserve">.1 </w:t>
      </w:r>
      <w:r>
        <w:rPr>
          <w:rFonts w:hint="eastAsia"/>
          <w:b w:val="0"/>
          <w:bCs/>
          <w:color w:val="auto"/>
          <w:highlight w:val="none"/>
        </w:rPr>
        <w:t>遵守法律</w:t>
      </w:r>
      <w:bookmarkEnd w:id="463"/>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54"/>
        <w:widowControl/>
        <w:numPr>
          <w:ilvl w:val="0"/>
          <w:numId w:val="0"/>
        </w:numPr>
        <w:rPr>
          <w:rFonts w:hint="eastAsia"/>
          <w:b w:val="0"/>
          <w:bCs/>
          <w:color w:val="auto"/>
          <w:highlight w:val="none"/>
        </w:rPr>
      </w:pPr>
      <w:bookmarkStart w:id="464" w:name="_Ref11917995"/>
      <w:bookmarkStart w:id="465" w:name="_Toc54862194"/>
      <w:bookmarkStart w:id="466" w:name="_Ref11917977"/>
      <w:r>
        <w:rPr>
          <w:rFonts w:hint="eastAsia"/>
          <w:b w:val="0"/>
          <w:bCs/>
          <w:color w:val="auto"/>
          <w:highlight w:val="none"/>
        </w:rPr>
        <w:t>2</w:t>
      </w:r>
      <w:r>
        <w:rPr>
          <w:b w:val="0"/>
          <w:bCs/>
          <w:color w:val="auto"/>
          <w:highlight w:val="none"/>
        </w:rPr>
        <w:t xml:space="preserve">.2 </w:t>
      </w:r>
      <w:r>
        <w:rPr>
          <w:rFonts w:hint="eastAsia"/>
          <w:b w:val="0"/>
          <w:bCs/>
          <w:color w:val="auto"/>
          <w:highlight w:val="none"/>
        </w:rPr>
        <w:t>提供施工现场和工作条件</w:t>
      </w:r>
      <w:bookmarkEnd w:id="464"/>
      <w:bookmarkEnd w:id="465"/>
      <w:bookmarkEnd w:id="466"/>
      <w:bookmarkStart w:id="467" w:name="_Toc51505124"/>
      <w:bookmarkEnd w:id="467"/>
      <w:bookmarkStart w:id="468" w:name="_Toc51505123"/>
      <w:bookmarkEnd w:id="468"/>
      <w:bookmarkStart w:id="469" w:name="_Toc54862195"/>
      <w:bookmarkEnd w:id="469"/>
      <w:bookmarkStart w:id="470" w:name="_Toc51505125"/>
      <w:bookmarkEnd w:id="470"/>
      <w:bookmarkStart w:id="471" w:name="_Toc54862197"/>
      <w:bookmarkEnd w:id="471"/>
      <w:bookmarkStart w:id="472" w:name="_Toc54862196"/>
      <w:bookmarkEnd w:id="472"/>
      <w:bookmarkStart w:id="473" w:name="_Ref531950085"/>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2</w:t>
      </w:r>
      <w:r>
        <w:rPr>
          <w:rFonts w:ascii="仿宋_GB2312" w:eastAsia="仿宋_GB2312"/>
          <w:color w:val="auto"/>
          <w:szCs w:val="24"/>
          <w:highlight w:val="none"/>
        </w:rPr>
        <w:t xml:space="preserve">.2.1 </w:t>
      </w:r>
      <w:r>
        <w:rPr>
          <w:rFonts w:hint="eastAsia" w:ascii="仿宋_GB2312" w:eastAsia="仿宋_GB2312"/>
          <w:color w:val="auto"/>
          <w:szCs w:val="24"/>
          <w:highlight w:val="none"/>
        </w:rPr>
        <w:t>提供施工</w:t>
      </w:r>
      <w:bookmarkEnd w:id="473"/>
      <w:r>
        <w:rPr>
          <w:rFonts w:hint="eastAsia" w:ascii="仿宋_GB2312" w:eastAsia="仿宋_GB2312"/>
          <w:color w:val="auto"/>
          <w:szCs w:val="24"/>
          <w:highlight w:val="none"/>
        </w:rPr>
        <w:t>现场</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55"/>
        <w:numPr>
          <w:ilvl w:val="0"/>
          <w:numId w:val="0"/>
        </w:numPr>
        <w:rPr>
          <w:rFonts w:ascii="仿宋_GB2312" w:eastAsia="仿宋_GB2312"/>
          <w:color w:val="auto"/>
          <w:szCs w:val="24"/>
          <w:highlight w:val="none"/>
        </w:rPr>
      </w:pPr>
      <w:bookmarkStart w:id="474" w:name="_Ref531950101"/>
      <w:r>
        <w:rPr>
          <w:rFonts w:hint="eastAsia" w:ascii="仿宋_GB2312" w:eastAsia="仿宋_GB2312"/>
          <w:color w:val="auto"/>
          <w:szCs w:val="24"/>
          <w:highlight w:val="none"/>
        </w:rPr>
        <w:t>2</w:t>
      </w:r>
      <w:r>
        <w:rPr>
          <w:rFonts w:ascii="仿宋_GB2312" w:eastAsia="仿宋_GB2312"/>
          <w:color w:val="auto"/>
          <w:szCs w:val="24"/>
          <w:highlight w:val="none"/>
        </w:rPr>
        <w:t xml:space="preserve">.2.2 </w:t>
      </w:r>
      <w:r>
        <w:rPr>
          <w:rFonts w:hint="eastAsia" w:ascii="仿宋_GB2312" w:eastAsia="仿宋_GB2312"/>
          <w:color w:val="auto"/>
          <w:szCs w:val="24"/>
          <w:highlight w:val="none"/>
        </w:rPr>
        <w:t>提供工作条件</w:t>
      </w:r>
      <w:bookmarkEnd w:id="474"/>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发包人应按专用合同条件约定向承包人提供工作条件。专用合同条件对此没有约定的，发包人应负责提供开展本合同相关工作所需要的条件，包括：</w:t>
      </w:r>
    </w:p>
    <w:p>
      <w:pPr>
        <w:ind w:firstLine="600"/>
        <w:rPr>
          <w:rFonts w:ascii="仿宋_GB2312" w:eastAsia="仿宋_GB2312"/>
          <w:color w:val="auto"/>
          <w:sz w:val="24"/>
          <w:highlight w:val="none"/>
        </w:rPr>
      </w:pPr>
      <w:r>
        <w:rPr>
          <w:rFonts w:hint="eastAsia" w:ascii="仿宋_GB2312" w:eastAsia="仿宋_GB2312"/>
          <w:color w:val="auto"/>
          <w:sz w:val="24"/>
          <w:highlight w:val="none"/>
        </w:rPr>
        <w:t>（1） 将施工用水、电力、通讯线路等施工所必需的条件接至施工现场内；</w:t>
      </w:r>
    </w:p>
    <w:p>
      <w:pPr>
        <w:ind w:firstLine="600"/>
        <w:rPr>
          <w:rFonts w:ascii="仿宋_GB2312" w:eastAsia="仿宋_GB2312"/>
          <w:color w:val="auto"/>
          <w:sz w:val="24"/>
          <w:highlight w:val="none"/>
        </w:rPr>
      </w:pPr>
      <w:r>
        <w:rPr>
          <w:rFonts w:hint="eastAsia" w:ascii="仿宋_GB2312" w:eastAsia="仿宋_GB2312"/>
          <w:color w:val="auto"/>
          <w:sz w:val="24"/>
          <w:highlight w:val="none"/>
        </w:rPr>
        <w:t>（2） 保证向承包人提供正常施工所需要的进入施工现场的交通条件；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（3） 协调处理施工现场周围地下管线和邻近建筑物、构筑物、古树名木、文物、化石及坟墓等的保护工作，并承担相关费用；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（4） 对工程现场临近发包人正在使用、运行、或由发包人用于生产的建筑物、构筑物、生产装置、设施、设备等，设置隔离设施，竖立禁止入内、禁止动火的明显标志，</w:t>
      </w:r>
      <w:r>
        <w:rPr>
          <w:rFonts w:ascii="仿宋_GB2312" w:eastAsia="仿宋_GB2312"/>
          <w:color w:val="auto"/>
          <w:sz w:val="24"/>
          <w:highlight w:val="none"/>
        </w:rPr>
        <w:t xml:space="preserve"> 并以书面形式通知承包人须遵守的安全规定和位置范围；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（5） 按照专用合同条件约定应提供的其他设施和条件。</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2</w:t>
      </w:r>
      <w:r>
        <w:rPr>
          <w:rFonts w:ascii="仿宋_GB2312" w:eastAsia="仿宋_GB2312"/>
          <w:color w:val="auto"/>
          <w:szCs w:val="24"/>
          <w:highlight w:val="none"/>
        </w:rPr>
        <w:t xml:space="preserve">.2.3 </w:t>
      </w:r>
      <w:r>
        <w:rPr>
          <w:rFonts w:hint="eastAsia" w:ascii="仿宋_GB2312" w:eastAsia="仿宋_GB2312"/>
          <w:color w:val="auto"/>
          <w:szCs w:val="24"/>
          <w:highlight w:val="none"/>
        </w:rPr>
        <w:t>逾期提供的责任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因发包人原因未能按合同约定及时向承包人提供施工现场和施工条件的，由发包人承担由此增加的费用和（或）延误的工期。</w:t>
      </w:r>
    </w:p>
    <w:p>
      <w:pPr>
        <w:pStyle w:val="54"/>
        <w:widowControl/>
        <w:numPr>
          <w:ilvl w:val="0"/>
          <w:numId w:val="0"/>
        </w:numPr>
        <w:rPr>
          <w:b w:val="0"/>
          <w:bCs/>
          <w:color w:val="auto"/>
          <w:highlight w:val="none"/>
        </w:rPr>
      </w:pPr>
      <w:bookmarkStart w:id="475" w:name="_Toc54862198"/>
      <w:bookmarkStart w:id="476" w:name="_Ref11918036"/>
      <w:bookmarkStart w:id="477" w:name="_Ref11918025"/>
      <w:bookmarkStart w:id="478" w:name="_Ref11956654"/>
      <w:bookmarkStart w:id="479" w:name="_Ref11956647"/>
      <w:r>
        <w:rPr>
          <w:rFonts w:hint="eastAsia"/>
          <w:b w:val="0"/>
          <w:bCs/>
          <w:color w:val="auto"/>
          <w:highlight w:val="none"/>
        </w:rPr>
        <w:t>2</w:t>
      </w:r>
      <w:r>
        <w:rPr>
          <w:b w:val="0"/>
          <w:bCs/>
          <w:color w:val="auto"/>
          <w:highlight w:val="none"/>
        </w:rPr>
        <w:t xml:space="preserve">.3 </w:t>
      </w:r>
      <w:r>
        <w:rPr>
          <w:rFonts w:hint="eastAsia"/>
          <w:b w:val="0"/>
          <w:bCs/>
          <w:color w:val="auto"/>
          <w:highlight w:val="none"/>
        </w:rPr>
        <w:t>提供基础资料</w:t>
      </w:r>
      <w:bookmarkEnd w:id="475"/>
      <w:bookmarkEnd w:id="476"/>
      <w:bookmarkEnd w:id="477"/>
      <w:bookmarkEnd w:id="478"/>
      <w:bookmarkEnd w:id="479"/>
    </w:p>
    <w:p>
      <w:pPr>
        <w:ind w:firstLine="600"/>
        <w:rPr>
          <w:rFonts w:ascii="仿宋_GB2312" w:eastAsia="仿宋_GB2312"/>
          <w:color w:val="auto"/>
          <w:sz w:val="24"/>
          <w:highlight w:val="none"/>
        </w:rPr>
      </w:pPr>
      <w:bookmarkStart w:id="480" w:name="_Hlk51506429"/>
      <w:r>
        <w:rPr>
          <w:rFonts w:hint="eastAsia" w:ascii="仿宋_GB2312" w:eastAsia="仿宋_GB2312"/>
          <w:color w:val="auto"/>
          <w:sz w:val="24"/>
          <w:highlight w:val="none"/>
        </w:rPr>
        <w:t>发包人应按专用合同条件和《发包人要求》中的约定向承包人提供</w:t>
      </w:r>
      <w:bookmarkEnd w:id="480"/>
      <w:r>
        <w:rPr>
          <w:rFonts w:hint="eastAsia" w:ascii="仿宋_GB2312" w:eastAsia="仿宋_GB2312"/>
          <w:color w:val="auto"/>
          <w:sz w:val="24"/>
          <w:highlight w:val="none"/>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ascii="仿宋_GB2312" w:eastAsia="仿宋_GB2312"/>
          <w:color w:val="auto"/>
          <w:sz w:val="24"/>
          <w:highlight w:val="none"/>
        </w:rPr>
        <w:t>1.12</w:t>
      </w:r>
      <w:r>
        <w:rPr>
          <w:rFonts w:hint="eastAsia" w:ascii="仿宋_GB2312" w:eastAsia="仿宋_GB2312"/>
          <w:color w:val="auto"/>
          <w:sz w:val="24"/>
          <w:highlight w:val="none"/>
        </w:rPr>
        <w:t>款[</w:t>
      </w:r>
      <w:r>
        <w:rPr>
          <w:rFonts w:ascii="仿宋_GB2312" w:eastAsia="仿宋_GB2312"/>
          <w:color w:val="auto"/>
          <w:sz w:val="24"/>
          <w:highlight w:val="none"/>
        </w:rPr>
        <w:t>《发包人要求》和基础资料中的错误</w:t>
      </w:r>
      <w:r>
        <w:rPr>
          <w:rFonts w:hint="eastAsia" w:ascii="仿宋_GB2312" w:eastAsia="仿宋_GB2312"/>
          <w:color w:val="auto"/>
          <w:sz w:val="24"/>
          <w:highlight w:val="none"/>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54"/>
        <w:widowControl/>
        <w:numPr>
          <w:ilvl w:val="0"/>
          <w:numId w:val="0"/>
        </w:numPr>
        <w:rPr>
          <w:b w:val="0"/>
          <w:bCs/>
          <w:color w:val="auto"/>
          <w:highlight w:val="none"/>
        </w:rPr>
      </w:pPr>
      <w:bookmarkStart w:id="481" w:name="_Toc54862199"/>
      <w:bookmarkStart w:id="482" w:name="_Ref531950045"/>
      <w:bookmarkStart w:id="483" w:name="_Ref531950041"/>
      <w:r>
        <w:rPr>
          <w:rFonts w:hint="eastAsia"/>
          <w:b w:val="0"/>
          <w:bCs/>
          <w:color w:val="auto"/>
          <w:highlight w:val="none"/>
        </w:rPr>
        <w:t>2</w:t>
      </w:r>
      <w:r>
        <w:rPr>
          <w:b w:val="0"/>
          <w:bCs/>
          <w:color w:val="auto"/>
          <w:highlight w:val="none"/>
        </w:rPr>
        <w:t xml:space="preserve">.4 </w:t>
      </w:r>
      <w:r>
        <w:rPr>
          <w:rFonts w:hint="eastAsia"/>
          <w:b w:val="0"/>
          <w:bCs/>
          <w:color w:val="auto"/>
          <w:highlight w:val="none"/>
        </w:rPr>
        <w:t>办理许可和批准</w:t>
      </w:r>
      <w:bookmarkEnd w:id="481"/>
      <w:bookmarkEnd w:id="482"/>
      <w:bookmarkEnd w:id="483"/>
    </w:p>
    <w:p>
      <w:pPr>
        <w:pStyle w:val="55"/>
        <w:numPr>
          <w:ilvl w:val="0"/>
          <w:numId w:val="0"/>
        </w:numPr>
        <w:rPr>
          <w:rFonts w:ascii="仿宋_GB2312" w:eastAsia="仿宋_GB2312"/>
          <w:color w:val="auto"/>
          <w:szCs w:val="24"/>
          <w:highlight w:val="none"/>
        </w:rPr>
      </w:pPr>
      <w:bookmarkStart w:id="484" w:name="_Toc51505128"/>
      <w:r>
        <w:rPr>
          <w:rFonts w:hint="eastAsia" w:ascii="仿宋_GB2312" w:eastAsia="仿宋_GB2312"/>
          <w:color w:val="auto"/>
          <w:szCs w:val="24"/>
          <w:highlight w:val="none"/>
        </w:rPr>
        <w:t>2</w:t>
      </w:r>
      <w:r>
        <w:rPr>
          <w:rFonts w:ascii="仿宋_GB2312" w:eastAsia="仿宋_GB2312"/>
          <w:color w:val="auto"/>
          <w:szCs w:val="24"/>
          <w:highlight w:val="none"/>
        </w:rPr>
        <w:t xml:space="preserve">.4.1 </w:t>
      </w:r>
      <w:r>
        <w:rPr>
          <w:rFonts w:hint="eastAsia" w:ascii="仿宋_GB2312" w:eastAsia="仿宋_GB2312"/>
          <w:color w:val="auto"/>
          <w:szCs w:val="24"/>
          <w:highlight w:val="none"/>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484"/>
    </w:p>
    <w:p>
      <w:pPr>
        <w:pStyle w:val="55"/>
        <w:numPr>
          <w:ilvl w:val="0"/>
          <w:numId w:val="0"/>
        </w:numPr>
        <w:rPr>
          <w:rFonts w:ascii="仿宋_GB2312" w:eastAsia="仿宋_GB2312"/>
          <w:color w:val="auto"/>
          <w:szCs w:val="24"/>
          <w:highlight w:val="none"/>
        </w:rPr>
      </w:pPr>
      <w:bookmarkStart w:id="485" w:name="_Toc51505129"/>
      <w:r>
        <w:rPr>
          <w:rFonts w:hint="eastAsia" w:ascii="仿宋_GB2312" w:eastAsia="仿宋_GB2312"/>
          <w:color w:val="auto"/>
          <w:szCs w:val="24"/>
          <w:highlight w:val="none"/>
        </w:rPr>
        <w:t>2</w:t>
      </w:r>
      <w:r>
        <w:rPr>
          <w:rFonts w:ascii="仿宋_GB2312" w:eastAsia="仿宋_GB2312"/>
          <w:color w:val="auto"/>
          <w:szCs w:val="24"/>
          <w:highlight w:val="none"/>
        </w:rPr>
        <w:t xml:space="preserve">.4.2 </w:t>
      </w:r>
      <w:r>
        <w:rPr>
          <w:rFonts w:hint="eastAsia" w:ascii="仿宋_GB2312" w:eastAsia="仿宋_GB2312"/>
          <w:color w:val="auto"/>
          <w:szCs w:val="24"/>
          <w:highlight w:val="none"/>
        </w:rPr>
        <w:t>因发包人原因未能及时办理完毕前述许可、批准或备案，由发包人承担由此增加的费用和（或）延误的工期，并支付承包人合理的利润。</w:t>
      </w:r>
      <w:bookmarkEnd w:id="485"/>
    </w:p>
    <w:p>
      <w:pPr>
        <w:pStyle w:val="54"/>
        <w:widowControl/>
        <w:numPr>
          <w:ilvl w:val="0"/>
          <w:numId w:val="0"/>
        </w:numPr>
        <w:rPr>
          <w:b w:val="0"/>
          <w:bCs/>
          <w:color w:val="auto"/>
          <w:highlight w:val="none"/>
        </w:rPr>
      </w:pPr>
      <w:bookmarkStart w:id="486" w:name="_Ref11956525"/>
      <w:bookmarkStart w:id="487" w:name="_Ref11918060"/>
      <w:bookmarkStart w:id="488" w:name="_Ref11956533"/>
      <w:bookmarkStart w:id="489" w:name="_Ref11918070"/>
      <w:bookmarkStart w:id="490" w:name="_Toc54862200"/>
      <w:r>
        <w:rPr>
          <w:rFonts w:hint="eastAsia"/>
          <w:b w:val="0"/>
          <w:bCs/>
          <w:color w:val="auto"/>
          <w:highlight w:val="none"/>
        </w:rPr>
        <w:t>2</w:t>
      </w:r>
      <w:r>
        <w:rPr>
          <w:b w:val="0"/>
          <w:bCs/>
          <w:color w:val="auto"/>
          <w:highlight w:val="none"/>
        </w:rPr>
        <w:t>.5 支付合同价款</w:t>
      </w:r>
      <w:bookmarkEnd w:id="486"/>
      <w:bookmarkEnd w:id="487"/>
      <w:bookmarkEnd w:id="488"/>
      <w:bookmarkEnd w:id="489"/>
      <w:bookmarkEnd w:id="490"/>
    </w:p>
    <w:p>
      <w:pPr>
        <w:pStyle w:val="55"/>
        <w:numPr>
          <w:ilvl w:val="0"/>
          <w:numId w:val="0"/>
        </w:numPr>
        <w:rPr>
          <w:rFonts w:ascii="仿宋_GB2312" w:eastAsia="仿宋_GB2312"/>
          <w:color w:val="auto"/>
          <w:szCs w:val="24"/>
          <w:highlight w:val="none"/>
        </w:rPr>
      </w:pPr>
      <w:bookmarkStart w:id="491" w:name="_Toc51505131"/>
      <w:bookmarkStart w:id="492" w:name="_Ref531950147"/>
      <w:r>
        <w:rPr>
          <w:rFonts w:hint="eastAsia" w:ascii="仿宋_GB2312" w:eastAsia="仿宋_GB2312"/>
          <w:color w:val="auto"/>
          <w:szCs w:val="24"/>
          <w:highlight w:val="none"/>
        </w:rPr>
        <w:t>2</w:t>
      </w:r>
      <w:r>
        <w:rPr>
          <w:rFonts w:ascii="仿宋_GB2312" w:eastAsia="仿宋_GB2312"/>
          <w:color w:val="auto"/>
          <w:szCs w:val="24"/>
          <w:highlight w:val="none"/>
        </w:rPr>
        <w:t xml:space="preserve">.5.1 </w:t>
      </w:r>
      <w:r>
        <w:rPr>
          <w:rFonts w:hint="eastAsia" w:ascii="仿宋_GB2312" w:eastAsia="仿宋_GB2312"/>
          <w:color w:val="auto"/>
          <w:szCs w:val="24"/>
          <w:highlight w:val="none"/>
        </w:rPr>
        <w:t>发包人应按合同约定向承包人及时支付合同价款。</w:t>
      </w:r>
      <w:bookmarkEnd w:id="491"/>
    </w:p>
    <w:bookmarkEnd w:id="492"/>
    <w:p>
      <w:pPr>
        <w:pStyle w:val="55"/>
        <w:numPr>
          <w:ilvl w:val="0"/>
          <w:numId w:val="0"/>
        </w:numPr>
        <w:rPr>
          <w:rFonts w:ascii="仿宋_GB2312" w:eastAsia="仿宋_GB2312"/>
          <w:color w:val="auto"/>
          <w:szCs w:val="24"/>
          <w:highlight w:val="none"/>
        </w:rPr>
      </w:pPr>
      <w:bookmarkStart w:id="493" w:name="_Toc51505132"/>
      <w:r>
        <w:rPr>
          <w:rFonts w:hint="eastAsia" w:ascii="仿宋_GB2312" w:eastAsia="仿宋_GB2312"/>
          <w:color w:val="auto"/>
          <w:szCs w:val="24"/>
          <w:highlight w:val="none"/>
        </w:rPr>
        <w:t>2</w:t>
      </w:r>
      <w:r>
        <w:rPr>
          <w:rFonts w:ascii="仿宋_GB2312" w:eastAsia="仿宋_GB2312"/>
          <w:color w:val="auto"/>
          <w:szCs w:val="24"/>
          <w:highlight w:val="none"/>
        </w:rPr>
        <w:t xml:space="preserve">.5.2 </w:t>
      </w:r>
      <w:r>
        <w:rPr>
          <w:rFonts w:hint="eastAsia" w:ascii="仿宋_GB2312" w:eastAsia="仿宋_GB2312"/>
          <w:color w:val="auto"/>
          <w:szCs w:val="24"/>
          <w:highlight w:val="none"/>
        </w:rPr>
        <w:t>发包人应当制定资金安排计划，除专用合同条件另有约定外，如发包人拟对资金安排做任何重要变更，应将变更的详细情况通知承包人。如发生承包人收到价格大于签约合同价</w:t>
      </w:r>
      <w:r>
        <w:rPr>
          <w:rFonts w:ascii="仿宋_GB2312" w:eastAsia="仿宋_GB2312"/>
          <w:color w:val="auto"/>
          <w:szCs w:val="24"/>
          <w:highlight w:val="none"/>
        </w:rPr>
        <w:t>10%</w:t>
      </w:r>
      <w:r>
        <w:rPr>
          <w:rFonts w:hint="eastAsia" w:ascii="仿宋_GB2312" w:eastAsia="仿宋_GB2312"/>
          <w:color w:val="auto"/>
          <w:szCs w:val="24"/>
          <w:highlight w:val="none"/>
        </w:rPr>
        <w:t>的变更指示或累计变更的总价超过签约合同价</w:t>
      </w:r>
      <w:r>
        <w:rPr>
          <w:rFonts w:ascii="仿宋_GB2312" w:eastAsia="仿宋_GB2312"/>
          <w:color w:val="auto"/>
          <w:szCs w:val="24"/>
          <w:highlight w:val="none"/>
        </w:rPr>
        <w:t>30%；或承包人未能根据</w:t>
      </w:r>
      <w:r>
        <w:rPr>
          <w:rFonts w:hint="eastAsia" w:ascii="仿宋_GB2312" w:eastAsia="仿宋_GB2312"/>
          <w:color w:val="auto"/>
          <w:szCs w:val="24"/>
          <w:highlight w:val="none"/>
        </w:rPr>
        <w:t>第</w:t>
      </w:r>
      <w:r>
        <w:rPr>
          <w:rFonts w:ascii="仿宋_GB2312" w:eastAsia="仿宋_GB2312"/>
          <w:color w:val="auto"/>
          <w:szCs w:val="24"/>
          <w:highlight w:val="none"/>
        </w:rPr>
        <w:t>14条</w:t>
      </w:r>
      <w:r>
        <w:rPr>
          <w:rFonts w:hint="eastAsia" w:ascii="仿宋_GB2312" w:eastAsia="仿宋_GB2312"/>
          <w:color w:val="auto"/>
          <w:szCs w:val="24"/>
          <w:highlight w:val="none"/>
        </w:rPr>
        <w:t>[合同价格与支付]收到付款，或承包人得知发包人的资金安排发生重要变更但并未收到发包人上述重要变更通知的情况，则承包人可随时要求发包人在</w:t>
      </w:r>
      <w:r>
        <w:rPr>
          <w:rFonts w:ascii="仿宋_GB2312" w:eastAsia="仿宋_GB2312"/>
          <w:color w:val="auto"/>
          <w:szCs w:val="24"/>
          <w:highlight w:val="none"/>
        </w:rPr>
        <w:t>28</w:t>
      </w:r>
      <w:r>
        <w:rPr>
          <w:rFonts w:hint="eastAsia" w:ascii="仿宋_GB2312" w:eastAsia="仿宋_GB2312"/>
          <w:color w:val="auto"/>
          <w:szCs w:val="24"/>
          <w:highlight w:val="none"/>
        </w:rPr>
        <w:t>天内补充提供能够按照合同约定支付合同价款的相应资金来源证明。</w:t>
      </w:r>
      <w:bookmarkEnd w:id="493"/>
    </w:p>
    <w:p>
      <w:pPr>
        <w:pStyle w:val="55"/>
        <w:numPr>
          <w:ilvl w:val="0"/>
          <w:numId w:val="0"/>
        </w:numPr>
        <w:rPr>
          <w:rFonts w:ascii="仿宋_GB2312" w:eastAsia="仿宋_GB2312"/>
          <w:color w:val="auto"/>
          <w:szCs w:val="24"/>
          <w:highlight w:val="none"/>
        </w:rPr>
      </w:pPr>
      <w:bookmarkStart w:id="494" w:name="_Ref531950161"/>
      <w:bookmarkStart w:id="495" w:name="_Toc51505133"/>
      <w:r>
        <w:rPr>
          <w:rFonts w:hint="eastAsia" w:ascii="仿宋_GB2312" w:eastAsia="仿宋_GB2312"/>
          <w:color w:val="auto"/>
          <w:szCs w:val="24"/>
          <w:highlight w:val="none"/>
        </w:rPr>
        <w:t>2</w:t>
      </w:r>
      <w:r>
        <w:rPr>
          <w:rFonts w:ascii="仿宋_GB2312" w:eastAsia="仿宋_GB2312"/>
          <w:color w:val="auto"/>
          <w:szCs w:val="24"/>
          <w:highlight w:val="none"/>
        </w:rPr>
        <w:t xml:space="preserve">.5.3 </w:t>
      </w:r>
      <w:r>
        <w:rPr>
          <w:rFonts w:hint="eastAsia" w:ascii="仿宋_GB2312" w:eastAsia="仿宋_GB2312"/>
          <w:color w:val="auto"/>
          <w:szCs w:val="24"/>
          <w:highlight w:val="none"/>
        </w:rPr>
        <w:t>发包人应当向承包人提供支付担保。支付担保可以采用银行保函或担保公司担保等形式，具体由合同当事人在专用合同条件中约定。</w:t>
      </w:r>
      <w:bookmarkEnd w:id="494"/>
      <w:bookmarkEnd w:id="495"/>
    </w:p>
    <w:p>
      <w:pPr>
        <w:pStyle w:val="54"/>
        <w:widowControl/>
        <w:numPr>
          <w:ilvl w:val="0"/>
          <w:numId w:val="0"/>
        </w:numPr>
        <w:rPr>
          <w:b w:val="0"/>
          <w:bCs/>
          <w:color w:val="auto"/>
          <w:highlight w:val="none"/>
        </w:rPr>
      </w:pPr>
      <w:bookmarkStart w:id="496" w:name="_Toc54862201"/>
      <w:r>
        <w:rPr>
          <w:rFonts w:hint="eastAsia"/>
          <w:b w:val="0"/>
          <w:bCs/>
          <w:color w:val="auto"/>
          <w:highlight w:val="none"/>
        </w:rPr>
        <w:t>2</w:t>
      </w:r>
      <w:r>
        <w:rPr>
          <w:b w:val="0"/>
          <w:bCs/>
          <w:color w:val="auto"/>
          <w:highlight w:val="none"/>
        </w:rPr>
        <w:t xml:space="preserve">.6 </w:t>
      </w:r>
      <w:r>
        <w:rPr>
          <w:rFonts w:hint="eastAsia"/>
          <w:b w:val="0"/>
          <w:bCs/>
          <w:color w:val="auto"/>
          <w:highlight w:val="none"/>
        </w:rPr>
        <w:t>现场管理配合</w:t>
      </w:r>
      <w:bookmarkEnd w:id="496"/>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发包人应负责保证在现场或现场附近的发包人人员和发包人的其他承包人（如有）：</w:t>
      </w:r>
    </w:p>
    <w:p>
      <w:pPr>
        <w:ind w:firstLine="600"/>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 </w:t>
      </w:r>
      <w:r>
        <w:rPr>
          <w:rFonts w:hint="eastAsia" w:ascii="仿宋_GB2312" w:eastAsia="仿宋_GB2312"/>
          <w:color w:val="auto"/>
          <w:sz w:val="24"/>
          <w:highlight w:val="none"/>
        </w:rPr>
        <w:t>根据第</w:t>
      </w:r>
      <w:r>
        <w:rPr>
          <w:rFonts w:ascii="仿宋_GB2312" w:eastAsia="仿宋_GB2312"/>
          <w:color w:val="auto"/>
          <w:sz w:val="24"/>
          <w:highlight w:val="none"/>
        </w:rPr>
        <w:t>7.3</w:t>
      </w:r>
      <w:r>
        <w:rPr>
          <w:rFonts w:hint="eastAsia" w:ascii="仿宋_GB2312" w:eastAsia="仿宋_GB2312"/>
          <w:color w:val="auto"/>
          <w:sz w:val="24"/>
          <w:highlight w:val="none"/>
        </w:rPr>
        <w:t>款[现场合作]的约定，与承包人进行合作；</w:t>
      </w:r>
    </w:p>
    <w:p>
      <w:pPr>
        <w:ind w:firstLine="600"/>
        <w:rPr>
          <w:rFonts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 xml:space="preserve"> </w:t>
      </w:r>
      <w:r>
        <w:rPr>
          <w:rFonts w:hint="eastAsia" w:ascii="仿宋_GB2312" w:eastAsia="仿宋_GB2312"/>
          <w:color w:val="auto"/>
          <w:sz w:val="24"/>
          <w:highlight w:val="none"/>
        </w:rPr>
        <w:t>遵守第</w:t>
      </w:r>
      <w:r>
        <w:rPr>
          <w:rFonts w:ascii="仿宋_GB2312" w:eastAsia="仿宋_GB2312"/>
          <w:color w:val="auto"/>
          <w:sz w:val="24"/>
          <w:highlight w:val="none"/>
        </w:rPr>
        <w:t>7.5</w:t>
      </w:r>
      <w:r>
        <w:rPr>
          <w:rFonts w:hint="eastAsia" w:ascii="仿宋_GB2312" w:eastAsia="仿宋_GB2312"/>
          <w:color w:val="auto"/>
          <w:sz w:val="24"/>
          <w:highlight w:val="none"/>
        </w:rPr>
        <w:t>款[现场劳动用工</w:t>
      </w:r>
      <w:r>
        <w:rPr>
          <w:rFonts w:ascii="仿宋_GB2312" w:eastAsia="仿宋_GB2312"/>
          <w:color w:val="auto"/>
          <w:sz w:val="24"/>
          <w:highlight w:val="none"/>
        </w:rPr>
        <w:t>]</w:t>
      </w:r>
      <w:r>
        <w:rPr>
          <w:rFonts w:hint="eastAsia" w:ascii="仿宋_GB2312" w:eastAsia="仿宋_GB2312"/>
          <w:color w:val="auto"/>
          <w:sz w:val="24"/>
          <w:highlight w:val="none"/>
        </w:rPr>
        <w:t>、第7</w:t>
      </w:r>
      <w:r>
        <w:rPr>
          <w:rFonts w:ascii="仿宋_GB2312" w:eastAsia="仿宋_GB2312"/>
          <w:color w:val="auto"/>
          <w:sz w:val="24"/>
          <w:highlight w:val="none"/>
        </w:rPr>
        <w:t>.6</w:t>
      </w:r>
      <w:r>
        <w:rPr>
          <w:rFonts w:hint="eastAsia" w:ascii="仿宋_GB2312" w:eastAsia="仿宋_GB2312"/>
          <w:color w:val="auto"/>
          <w:sz w:val="24"/>
          <w:highlight w:val="none"/>
        </w:rPr>
        <w:t>款[安全文明施工]、第</w:t>
      </w:r>
      <w:r>
        <w:rPr>
          <w:rFonts w:ascii="仿宋_GB2312" w:eastAsia="仿宋_GB2312"/>
          <w:color w:val="auto"/>
          <w:sz w:val="24"/>
          <w:highlight w:val="none"/>
        </w:rPr>
        <w:t>7.7</w:t>
      </w:r>
      <w:r>
        <w:rPr>
          <w:rFonts w:hint="eastAsia" w:ascii="仿宋_GB2312" w:eastAsia="仿宋_GB2312"/>
          <w:color w:val="auto"/>
          <w:sz w:val="24"/>
          <w:highlight w:val="none"/>
        </w:rPr>
        <w:t>款[职业健康</w:t>
      </w:r>
      <w:bookmarkStart w:id="497" w:name="_Ref531952756"/>
      <w:bookmarkStart w:id="498" w:name="_Ref531952761"/>
      <w:r>
        <w:rPr>
          <w:rFonts w:hint="eastAsia" w:ascii="仿宋_GB2312" w:eastAsia="仿宋_GB2312"/>
          <w:color w:val="auto"/>
          <w:sz w:val="24"/>
          <w:highlight w:val="none"/>
        </w:rPr>
        <w:t>]和第</w:t>
      </w:r>
      <w:r>
        <w:rPr>
          <w:rFonts w:ascii="仿宋_GB2312" w:eastAsia="仿宋_GB2312"/>
          <w:color w:val="auto"/>
          <w:sz w:val="24"/>
          <w:highlight w:val="none"/>
        </w:rPr>
        <w:t>7.8</w:t>
      </w:r>
      <w:r>
        <w:rPr>
          <w:rFonts w:hint="eastAsia" w:ascii="仿宋_GB2312" w:eastAsia="仿宋_GB2312"/>
          <w:color w:val="auto"/>
          <w:sz w:val="24"/>
          <w:highlight w:val="none"/>
        </w:rPr>
        <w:t>款[</w:t>
      </w:r>
      <w:r>
        <w:rPr>
          <w:rFonts w:ascii="仿宋_GB2312" w:eastAsia="仿宋_GB2312"/>
          <w:color w:val="auto"/>
          <w:sz w:val="24"/>
          <w:highlight w:val="none"/>
        </w:rPr>
        <w:t>环境保护</w:t>
      </w:r>
      <w:r>
        <w:rPr>
          <w:rFonts w:hint="eastAsia" w:ascii="仿宋_GB2312" w:eastAsia="仿宋_GB2312"/>
          <w:color w:val="auto"/>
          <w:sz w:val="24"/>
          <w:highlight w:val="none"/>
        </w:rPr>
        <w:t>]的相关约定。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发包人应与承包人、由发包人直接发包的其他承包人（如有）订立施工现场统一管理协议，明确各方的权利义务。</w:t>
      </w:r>
    </w:p>
    <w:p>
      <w:pPr>
        <w:pStyle w:val="54"/>
        <w:widowControl/>
        <w:numPr>
          <w:ilvl w:val="0"/>
          <w:numId w:val="0"/>
        </w:numPr>
        <w:rPr>
          <w:b w:val="0"/>
          <w:bCs/>
          <w:color w:val="auto"/>
          <w:highlight w:val="none"/>
        </w:rPr>
      </w:pPr>
      <w:bookmarkStart w:id="499" w:name="_Toc54862202"/>
      <w:bookmarkStart w:id="500" w:name="_Ref11959372"/>
      <w:bookmarkStart w:id="501" w:name="_Ref11959376"/>
      <w:r>
        <w:rPr>
          <w:rFonts w:hint="eastAsia"/>
          <w:b w:val="0"/>
          <w:bCs/>
          <w:color w:val="auto"/>
          <w:highlight w:val="none"/>
        </w:rPr>
        <w:t>2</w:t>
      </w:r>
      <w:r>
        <w:rPr>
          <w:b w:val="0"/>
          <w:bCs/>
          <w:color w:val="auto"/>
          <w:highlight w:val="none"/>
        </w:rPr>
        <w:t xml:space="preserve">.7 </w:t>
      </w:r>
      <w:r>
        <w:rPr>
          <w:rFonts w:hint="eastAsia"/>
          <w:b w:val="0"/>
          <w:bCs/>
          <w:color w:val="auto"/>
          <w:highlight w:val="none"/>
        </w:rPr>
        <w:t>其他义务</w:t>
      </w:r>
      <w:bookmarkEnd w:id="499"/>
      <w:bookmarkEnd w:id="500"/>
      <w:bookmarkEnd w:id="501"/>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发包人应履行合同约定的其他义务，双方可在专用合同条件内对发包人应履行的其他义务进行补充约定。</w:t>
      </w:r>
    </w:p>
    <w:bookmarkEnd w:id="497"/>
    <w:bookmarkEnd w:id="498"/>
    <w:p>
      <w:pPr>
        <w:pStyle w:val="42"/>
        <w:numPr>
          <w:ilvl w:val="0"/>
          <w:numId w:val="0"/>
        </w:numPr>
        <w:wordWrap/>
        <w:topLinePunct w:val="0"/>
        <w:rPr>
          <w:b w:val="0"/>
          <w:bCs/>
          <w:color w:val="auto"/>
          <w:sz w:val="24"/>
          <w:szCs w:val="24"/>
          <w:highlight w:val="none"/>
        </w:rPr>
      </w:pPr>
      <w:bookmarkStart w:id="502" w:name="_Ref531952791"/>
      <w:bookmarkStart w:id="503" w:name="_Toc54862203"/>
      <w:r>
        <w:rPr>
          <w:rFonts w:hint="eastAsia"/>
          <w:b w:val="0"/>
          <w:bCs/>
          <w:color w:val="auto"/>
          <w:sz w:val="24"/>
          <w:szCs w:val="24"/>
          <w:highlight w:val="none"/>
        </w:rPr>
        <w:t>第3条 发包人的管理</w:t>
      </w:r>
      <w:bookmarkEnd w:id="502"/>
      <w:bookmarkEnd w:id="503"/>
    </w:p>
    <w:p>
      <w:pPr>
        <w:pStyle w:val="54"/>
        <w:widowControl/>
        <w:numPr>
          <w:ilvl w:val="0"/>
          <w:numId w:val="0"/>
        </w:numPr>
        <w:rPr>
          <w:b w:val="0"/>
          <w:bCs/>
          <w:color w:val="auto"/>
          <w:highlight w:val="none"/>
        </w:rPr>
      </w:pPr>
      <w:bookmarkStart w:id="504" w:name="_Ref522810094"/>
      <w:bookmarkStart w:id="505" w:name="_Ref522810097"/>
      <w:bookmarkStart w:id="506" w:name="_Ref531951538"/>
      <w:bookmarkStart w:id="507" w:name="_Toc54862204"/>
      <w:bookmarkStart w:id="508" w:name="_Ref531951533"/>
      <w:r>
        <w:rPr>
          <w:rFonts w:hint="eastAsia"/>
          <w:b w:val="0"/>
          <w:bCs/>
          <w:color w:val="auto"/>
          <w:highlight w:val="none"/>
        </w:rPr>
        <w:t>3</w:t>
      </w:r>
      <w:r>
        <w:rPr>
          <w:b w:val="0"/>
          <w:bCs/>
          <w:color w:val="auto"/>
          <w:highlight w:val="none"/>
        </w:rPr>
        <w:t xml:space="preserve">.1 </w:t>
      </w:r>
      <w:r>
        <w:rPr>
          <w:rFonts w:hint="eastAsia"/>
          <w:b w:val="0"/>
          <w:bCs/>
          <w:color w:val="auto"/>
          <w:highlight w:val="none"/>
        </w:rPr>
        <w:t>发包人</w:t>
      </w:r>
      <w:bookmarkEnd w:id="504"/>
      <w:bookmarkEnd w:id="505"/>
      <w:r>
        <w:rPr>
          <w:rFonts w:hint="eastAsia"/>
          <w:b w:val="0"/>
          <w:bCs/>
          <w:color w:val="auto"/>
          <w:highlight w:val="none"/>
        </w:rPr>
        <w:t>代表</w:t>
      </w:r>
      <w:bookmarkEnd w:id="506"/>
      <w:bookmarkEnd w:id="507"/>
      <w:bookmarkEnd w:id="508"/>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除非发包人另行通知承包人，发包人代表应被授予并且被认为具有发包人在授权范围内享有的相应权利，涉及第</w:t>
      </w:r>
      <w:r>
        <w:rPr>
          <w:rFonts w:ascii="仿宋_GB2312" w:eastAsia="仿宋_GB2312"/>
          <w:color w:val="auto"/>
          <w:sz w:val="24"/>
          <w:highlight w:val="none"/>
        </w:rPr>
        <w:t>16.1</w:t>
      </w:r>
      <w:r>
        <w:rPr>
          <w:rFonts w:hint="eastAsia" w:ascii="仿宋_GB2312" w:eastAsia="仿宋_GB2312"/>
          <w:color w:val="auto"/>
          <w:sz w:val="24"/>
          <w:highlight w:val="none"/>
        </w:rPr>
        <w:t>款[由发包人解除合同]的权利除外。</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发包人代表（或者在其为法人的情况下，被任命代表其行事的自然人）应：</w:t>
      </w:r>
    </w:p>
    <w:p>
      <w:pPr>
        <w:ind w:firstLine="600"/>
        <w:rPr>
          <w:rFonts w:ascii="仿宋_GB2312" w:eastAsia="仿宋_GB2312"/>
          <w:color w:val="auto"/>
          <w:sz w:val="24"/>
          <w:highlight w:val="none"/>
        </w:rPr>
      </w:pPr>
      <w:r>
        <w:rPr>
          <w:rFonts w:hint="eastAsia" w:ascii="仿宋_GB2312" w:eastAsia="仿宋_GB2312"/>
          <w:color w:val="auto"/>
          <w:sz w:val="24"/>
          <w:highlight w:val="none"/>
        </w:rPr>
        <w:t>（1） 履行指派给其的职责，行使发包人托付给的权利；</w:t>
      </w:r>
    </w:p>
    <w:p>
      <w:pPr>
        <w:ind w:firstLine="600"/>
        <w:rPr>
          <w:rFonts w:ascii="仿宋_GB2312" w:eastAsia="仿宋_GB2312"/>
          <w:color w:val="auto"/>
          <w:sz w:val="24"/>
          <w:highlight w:val="none"/>
        </w:rPr>
      </w:pPr>
      <w:r>
        <w:rPr>
          <w:rFonts w:hint="eastAsia" w:ascii="仿宋_GB2312" w:eastAsia="仿宋_GB2312"/>
          <w:color w:val="auto"/>
          <w:sz w:val="24"/>
          <w:highlight w:val="none"/>
        </w:rPr>
        <w:t>（2） 具备履行这些职责、行使这些权利的能力；</w:t>
      </w:r>
    </w:p>
    <w:p>
      <w:pPr>
        <w:ind w:firstLine="600"/>
        <w:rPr>
          <w:rFonts w:ascii="仿宋_GB2312" w:eastAsia="仿宋_GB2312"/>
          <w:color w:val="auto"/>
          <w:sz w:val="24"/>
          <w:highlight w:val="none"/>
        </w:rPr>
      </w:pPr>
      <w:r>
        <w:rPr>
          <w:rFonts w:hint="eastAsia" w:ascii="仿宋_GB2312" w:eastAsia="仿宋_GB2312"/>
          <w:color w:val="auto"/>
          <w:sz w:val="24"/>
          <w:highlight w:val="none"/>
        </w:rPr>
        <w:t>（3） 作为熟练的专业人员行事。</w:t>
      </w:r>
    </w:p>
    <w:p>
      <w:pPr>
        <w:ind w:firstLine="600"/>
        <w:rPr>
          <w:rFonts w:ascii="仿宋_GB2312" w:eastAsia="仿宋_GB2312"/>
          <w:color w:val="auto"/>
          <w:sz w:val="24"/>
          <w:highlight w:val="none"/>
        </w:rPr>
      </w:pPr>
      <w:r>
        <w:rPr>
          <w:rFonts w:hint="eastAsia" w:ascii="仿宋_GB2312" w:eastAsia="仿宋_GB2312"/>
          <w:color w:val="auto"/>
          <w:sz w:val="24"/>
          <w:highlight w:val="none"/>
        </w:rPr>
        <w:t>如果发包人代表为法人且在签订本合同时未能确定授权代表的，发包人代表应在本合同签订之日起</w:t>
      </w:r>
      <w:r>
        <w:rPr>
          <w:rFonts w:ascii="仿宋_GB2312" w:eastAsia="仿宋_GB2312"/>
          <w:color w:val="auto"/>
          <w:sz w:val="24"/>
          <w:highlight w:val="none"/>
        </w:rPr>
        <w:t>3日内</w:t>
      </w:r>
      <w:r>
        <w:rPr>
          <w:rFonts w:hint="eastAsia" w:ascii="仿宋_GB2312" w:eastAsia="仿宋_GB2312"/>
          <w:color w:val="auto"/>
          <w:sz w:val="24"/>
          <w:highlight w:val="none"/>
        </w:rPr>
        <w:t>向双方发出书面通知，告知被任命和授权的自然人以及任何替代人员。此授权在双方收到本通知后生效。发包人代表撤销该授权或者变更授权代表时也应同样发出该通知。</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发包人代表不能按照合同约定履行其职责及义务，并导致合同无法继续正常履行的，承包人可以要求发包人撤换发包人代表。</w:t>
      </w:r>
    </w:p>
    <w:p>
      <w:pPr>
        <w:pStyle w:val="54"/>
        <w:widowControl/>
        <w:numPr>
          <w:ilvl w:val="0"/>
          <w:numId w:val="0"/>
        </w:numPr>
        <w:rPr>
          <w:b w:val="0"/>
          <w:bCs/>
          <w:color w:val="auto"/>
          <w:highlight w:val="none"/>
        </w:rPr>
      </w:pPr>
      <w:bookmarkStart w:id="509" w:name="_Ref531951553"/>
      <w:bookmarkStart w:id="510" w:name="_Ref531951557"/>
      <w:bookmarkStart w:id="511" w:name="_Toc54862205"/>
      <w:r>
        <w:rPr>
          <w:rFonts w:hint="eastAsia"/>
          <w:b w:val="0"/>
          <w:bCs/>
          <w:color w:val="auto"/>
          <w:highlight w:val="none"/>
        </w:rPr>
        <w:t>3</w:t>
      </w:r>
      <w:r>
        <w:rPr>
          <w:b w:val="0"/>
          <w:bCs/>
          <w:color w:val="auto"/>
          <w:highlight w:val="none"/>
        </w:rPr>
        <w:t xml:space="preserve">.2 </w:t>
      </w:r>
      <w:r>
        <w:rPr>
          <w:rFonts w:hint="eastAsia"/>
          <w:b w:val="0"/>
          <w:bCs/>
          <w:color w:val="auto"/>
          <w:highlight w:val="none"/>
        </w:rPr>
        <w:t>发包人人员</w:t>
      </w:r>
      <w:bookmarkEnd w:id="509"/>
      <w:bookmarkEnd w:id="510"/>
      <w:bookmarkEnd w:id="511"/>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发包人应要求在施工现场的发包人人员遵守法律及有关安全、质量、环境保护、文明施工等规定，因发包人人员未遵守上述要求给承包人造成的损失和责任由发包人承担。</w:t>
      </w:r>
    </w:p>
    <w:p>
      <w:pPr>
        <w:pStyle w:val="54"/>
        <w:widowControl/>
        <w:numPr>
          <w:ilvl w:val="0"/>
          <w:numId w:val="0"/>
        </w:numPr>
        <w:rPr>
          <w:b w:val="0"/>
          <w:bCs/>
          <w:color w:val="auto"/>
          <w:highlight w:val="none"/>
        </w:rPr>
      </w:pPr>
      <w:bookmarkStart w:id="512" w:name="_Toc54862206"/>
      <w:r>
        <w:rPr>
          <w:rFonts w:hint="eastAsia"/>
          <w:b w:val="0"/>
          <w:bCs/>
          <w:color w:val="auto"/>
          <w:highlight w:val="none"/>
        </w:rPr>
        <w:t>3</w:t>
      </w:r>
      <w:r>
        <w:rPr>
          <w:b w:val="0"/>
          <w:bCs/>
          <w:color w:val="auto"/>
          <w:highlight w:val="none"/>
        </w:rPr>
        <w:t>.3 工程师</w:t>
      </w:r>
      <w:bookmarkEnd w:id="512"/>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.3.1 </w:t>
      </w:r>
      <w:r>
        <w:rPr>
          <w:rFonts w:hint="eastAsia" w:ascii="仿宋_GB2312" w:eastAsia="仿宋_GB2312"/>
          <w:color w:val="auto"/>
          <w:szCs w:val="24"/>
          <w:highlight w:val="none"/>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.3.2 </w:t>
      </w:r>
      <w:r>
        <w:rPr>
          <w:rFonts w:hint="eastAsia" w:ascii="仿宋_GB2312" w:eastAsia="仿宋_GB2312"/>
          <w:color w:val="auto"/>
          <w:szCs w:val="24"/>
          <w:highlight w:val="none"/>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.3.3 </w:t>
      </w:r>
      <w:r>
        <w:rPr>
          <w:rFonts w:hint="eastAsia" w:ascii="仿宋_GB2312" w:eastAsia="仿宋_GB2312"/>
          <w:color w:val="auto"/>
          <w:szCs w:val="24"/>
          <w:highlight w:val="none"/>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.3.4 </w:t>
      </w:r>
      <w:r>
        <w:rPr>
          <w:rFonts w:hint="eastAsia" w:ascii="仿宋_GB2312" w:eastAsia="仿宋_GB2312"/>
          <w:color w:val="auto"/>
          <w:szCs w:val="24"/>
          <w:highlight w:val="none"/>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54"/>
        <w:widowControl/>
        <w:numPr>
          <w:ilvl w:val="0"/>
          <w:numId w:val="0"/>
        </w:numPr>
        <w:rPr>
          <w:b w:val="0"/>
          <w:bCs/>
          <w:color w:val="auto"/>
          <w:highlight w:val="none"/>
        </w:rPr>
      </w:pPr>
      <w:bookmarkStart w:id="513" w:name="_Toc54862207"/>
      <w:bookmarkStart w:id="514" w:name="_Ref531951594"/>
      <w:bookmarkStart w:id="515" w:name="_Ref531951597"/>
      <w:r>
        <w:rPr>
          <w:rFonts w:hint="eastAsia"/>
          <w:b w:val="0"/>
          <w:bCs/>
          <w:color w:val="auto"/>
          <w:highlight w:val="none"/>
        </w:rPr>
        <w:t>3</w:t>
      </w:r>
      <w:r>
        <w:rPr>
          <w:b w:val="0"/>
          <w:bCs/>
          <w:color w:val="auto"/>
          <w:highlight w:val="none"/>
        </w:rPr>
        <w:t xml:space="preserve">.4 </w:t>
      </w:r>
      <w:r>
        <w:rPr>
          <w:rFonts w:hint="eastAsia"/>
          <w:b w:val="0"/>
          <w:bCs/>
          <w:color w:val="auto"/>
          <w:highlight w:val="none"/>
        </w:rPr>
        <w:t>任命和授权</w:t>
      </w:r>
      <w:bookmarkEnd w:id="513"/>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.4.1 </w:t>
      </w:r>
      <w:r>
        <w:rPr>
          <w:rFonts w:hint="eastAsia" w:ascii="仿宋_GB2312" w:eastAsia="仿宋_GB2312"/>
          <w:color w:val="auto"/>
          <w:szCs w:val="24"/>
          <w:highlight w:val="none"/>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.4.2 </w:t>
      </w:r>
      <w:r>
        <w:rPr>
          <w:rFonts w:hint="eastAsia" w:ascii="仿宋_GB2312" w:eastAsia="仿宋_GB2312"/>
          <w:color w:val="auto"/>
          <w:szCs w:val="24"/>
          <w:highlight w:val="none"/>
        </w:rPr>
        <w:t>工程师可以授权其他人员负责执行其指派的一项或多项工作，但第</w:t>
      </w:r>
      <w:r>
        <w:rPr>
          <w:rFonts w:ascii="仿宋_GB2312" w:eastAsia="仿宋_GB2312"/>
          <w:color w:val="auto"/>
          <w:szCs w:val="24"/>
          <w:highlight w:val="none"/>
        </w:rPr>
        <w:t>3.6</w:t>
      </w:r>
      <w:r>
        <w:rPr>
          <w:rFonts w:hint="eastAsia" w:ascii="仿宋_GB2312" w:eastAsia="仿宋_GB2312"/>
          <w:color w:val="auto"/>
          <w:szCs w:val="24"/>
          <w:highlight w:val="none"/>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54"/>
        <w:widowControl/>
        <w:numPr>
          <w:ilvl w:val="0"/>
          <w:numId w:val="0"/>
        </w:numPr>
        <w:rPr>
          <w:b w:val="0"/>
          <w:bCs/>
          <w:color w:val="auto"/>
          <w:highlight w:val="none"/>
        </w:rPr>
      </w:pPr>
      <w:bookmarkStart w:id="516" w:name="_Ref20165400"/>
      <w:bookmarkStart w:id="517" w:name="_Toc54862208"/>
      <w:r>
        <w:rPr>
          <w:rFonts w:hint="eastAsia"/>
          <w:b w:val="0"/>
          <w:bCs/>
          <w:color w:val="auto"/>
          <w:highlight w:val="none"/>
        </w:rPr>
        <w:t>3</w:t>
      </w:r>
      <w:r>
        <w:rPr>
          <w:b w:val="0"/>
          <w:bCs/>
          <w:color w:val="auto"/>
          <w:highlight w:val="none"/>
        </w:rPr>
        <w:t>.5 指示</w:t>
      </w:r>
      <w:bookmarkEnd w:id="514"/>
      <w:bookmarkEnd w:id="515"/>
      <w:bookmarkEnd w:id="516"/>
      <w:bookmarkEnd w:id="517"/>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.5.1 </w:t>
      </w:r>
      <w:r>
        <w:rPr>
          <w:rFonts w:hint="eastAsia" w:ascii="仿宋_GB2312" w:eastAsia="仿宋_GB2312"/>
          <w:color w:val="auto"/>
          <w:szCs w:val="24"/>
          <w:highlight w:val="none"/>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.5.2 </w:t>
      </w:r>
      <w:r>
        <w:rPr>
          <w:rFonts w:hint="eastAsia" w:ascii="仿宋_GB2312" w:eastAsia="仿宋_GB2312"/>
          <w:color w:val="auto"/>
          <w:szCs w:val="24"/>
          <w:highlight w:val="none"/>
        </w:rPr>
        <w:t>承包人收到工程师作出的指示后应遵照执行。如果任何此类指示构成一项变更时，应按照第</w:t>
      </w:r>
      <w:r>
        <w:rPr>
          <w:rFonts w:ascii="仿宋_GB2312" w:eastAsia="仿宋_GB2312"/>
          <w:color w:val="auto"/>
          <w:szCs w:val="24"/>
          <w:highlight w:val="none"/>
        </w:rPr>
        <w:t>13条</w:t>
      </w:r>
      <w:r>
        <w:rPr>
          <w:rFonts w:hint="eastAsia" w:ascii="仿宋_GB2312" w:eastAsia="仿宋_GB2312"/>
          <w:color w:val="auto"/>
          <w:szCs w:val="24"/>
          <w:highlight w:val="none"/>
        </w:rPr>
        <w:t>[变更与调整]的约定办理。</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.5.3 </w:t>
      </w:r>
      <w:r>
        <w:rPr>
          <w:rFonts w:hint="eastAsia" w:ascii="仿宋_GB2312" w:eastAsia="仿宋_GB2312"/>
          <w:color w:val="auto"/>
          <w:szCs w:val="24"/>
          <w:highlight w:val="none"/>
        </w:rPr>
        <w:t>由于工程师未能按合同约定发出指示、指示延误或指示错误而导致承包人费用增加和（或）工期延误的，发包人应承担由此增加的费用和（或）工期延误，并向承包人支付合理利润。</w:t>
      </w:r>
    </w:p>
    <w:p>
      <w:pPr>
        <w:pStyle w:val="54"/>
        <w:widowControl/>
        <w:numPr>
          <w:ilvl w:val="0"/>
          <w:numId w:val="0"/>
        </w:numPr>
        <w:rPr>
          <w:b w:val="0"/>
          <w:bCs/>
          <w:color w:val="auto"/>
          <w:highlight w:val="none"/>
        </w:rPr>
      </w:pPr>
      <w:bookmarkStart w:id="518" w:name="_Ref531951611"/>
      <w:bookmarkStart w:id="519" w:name="_Toc54862209"/>
      <w:bookmarkStart w:id="520" w:name="_Ref531951609"/>
      <w:r>
        <w:rPr>
          <w:rFonts w:hint="eastAsia"/>
          <w:b w:val="0"/>
          <w:bCs/>
          <w:color w:val="auto"/>
          <w:highlight w:val="none"/>
        </w:rPr>
        <w:t>3</w:t>
      </w:r>
      <w:r>
        <w:rPr>
          <w:b w:val="0"/>
          <w:bCs/>
          <w:color w:val="auto"/>
          <w:highlight w:val="none"/>
        </w:rPr>
        <w:t>.6 商定或确定</w:t>
      </w:r>
      <w:bookmarkEnd w:id="518"/>
      <w:bookmarkEnd w:id="519"/>
      <w:bookmarkEnd w:id="520"/>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.6.1 </w:t>
      </w:r>
      <w:r>
        <w:rPr>
          <w:rFonts w:hint="eastAsia" w:ascii="仿宋_GB2312" w:eastAsia="仿宋_GB2312"/>
          <w:color w:val="auto"/>
          <w:szCs w:val="24"/>
          <w:highlight w:val="none"/>
        </w:rPr>
        <w:t>合同约定工程师应按照本款对任何事项进行商定或确定时，工程师应及时与合同当事人协商，尽量达成一致。工程师应将商定的结果以书面形式通知发包人和承包人，并由双方签署确认。</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.6.2 </w:t>
      </w:r>
      <w:r>
        <w:rPr>
          <w:rFonts w:hint="eastAsia" w:ascii="仿宋_GB2312" w:eastAsia="仿宋_GB2312"/>
          <w:color w:val="auto"/>
          <w:szCs w:val="24"/>
          <w:highlight w:val="none"/>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55"/>
        <w:numPr>
          <w:ilvl w:val="0"/>
          <w:numId w:val="0"/>
        </w:numPr>
        <w:rPr>
          <w:rFonts w:ascii="仿宋_GB2312" w:eastAsia="仿宋_GB2312"/>
          <w:color w:val="auto"/>
          <w:szCs w:val="24"/>
          <w:highlight w:val="none"/>
        </w:rPr>
      </w:pPr>
      <w:bookmarkStart w:id="521" w:name="_Ref532287856"/>
      <w:r>
        <w:rPr>
          <w:rFonts w:hint="eastAsia" w:ascii="仿宋_GB2312" w:eastAsia="仿宋_GB2312"/>
          <w:color w:val="auto"/>
          <w:szCs w:val="24"/>
          <w:highlight w:val="none"/>
        </w:rPr>
        <w:t>3</w:t>
      </w:r>
      <w:r>
        <w:rPr>
          <w:rFonts w:ascii="仿宋_GB2312" w:eastAsia="仿宋_GB2312"/>
          <w:color w:val="auto"/>
          <w:szCs w:val="24"/>
          <w:highlight w:val="none"/>
        </w:rPr>
        <w:t xml:space="preserve">.6.3 </w:t>
      </w:r>
      <w:r>
        <w:rPr>
          <w:rFonts w:hint="eastAsia" w:ascii="仿宋_GB2312" w:eastAsia="仿宋_GB2312"/>
          <w:color w:val="auto"/>
          <w:szCs w:val="24"/>
          <w:highlight w:val="none"/>
        </w:rPr>
        <w:t>任何一方对工程师的确定有异议的，应在收到确定的结果后28天内向另一方发出书面异议通知并抄送工程师。除第</w:t>
      </w:r>
      <w:r>
        <w:rPr>
          <w:rFonts w:ascii="仿宋_GB2312" w:eastAsia="仿宋_GB2312"/>
          <w:color w:val="auto"/>
          <w:szCs w:val="24"/>
          <w:highlight w:val="none"/>
        </w:rPr>
        <w:t>19.2</w:t>
      </w:r>
      <w:r>
        <w:rPr>
          <w:rFonts w:hint="eastAsia" w:ascii="仿宋_GB2312" w:eastAsia="仿宋_GB2312"/>
          <w:color w:val="auto"/>
          <w:szCs w:val="24"/>
          <w:highlight w:val="none"/>
        </w:rPr>
        <w:t>款[</w:t>
      </w:r>
      <w:r>
        <w:rPr>
          <w:rFonts w:ascii="仿宋_GB2312" w:eastAsia="仿宋_GB2312"/>
          <w:color w:val="auto"/>
          <w:szCs w:val="24"/>
          <w:highlight w:val="none"/>
        </w:rPr>
        <w:t>承包人索赔的处理程序</w:t>
      </w:r>
      <w:r>
        <w:rPr>
          <w:rFonts w:hint="eastAsia" w:ascii="仿宋_GB2312" w:eastAsia="仿宋_GB2312"/>
          <w:color w:val="auto"/>
          <w:szCs w:val="24"/>
          <w:highlight w:val="none"/>
        </w:rPr>
        <w:t>]另有约定外，工程师未能在确定的期限内发出确定的结果通知的，或者任何一方发出对确定的结果有异议的通知的，则构成争议并应按照第</w:t>
      </w:r>
      <w:r>
        <w:rPr>
          <w:rFonts w:ascii="仿宋_GB2312" w:eastAsia="仿宋_GB2312"/>
          <w:color w:val="auto"/>
          <w:szCs w:val="24"/>
          <w:highlight w:val="none"/>
        </w:rPr>
        <w:t>20条</w:t>
      </w:r>
      <w:r>
        <w:rPr>
          <w:rFonts w:hint="eastAsia" w:ascii="仿宋_GB2312" w:eastAsia="仿宋_GB2312"/>
          <w:color w:val="auto"/>
          <w:szCs w:val="24"/>
          <w:highlight w:val="none"/>
        </w:rPr>
        <w:t>[争议解决]的约定处理。如未在28天内发出上述通知的，工程师的确定应被视为已被双方接受并对双方具有约束力，但专用合同条件另有约定的除外。</w:t>
      </w:r>
      <w:bookmarkEnd w:id="521"/>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.6.4 </w:t>
      </w:r>
      <w:r>
        <w:rPr>
          <w:rFonts w:hint="eastAsia" w:ascii="仿宋_GB2312" w:eastAsia="仿宋_GB2312"/>
          <w:color w:val="auto"/>
          <w:szCs w:val="24"/>
          <w:highlight w:val="none"/>
        </w:rPr>
        <w:t>在该争议解决前，双方应暂按工程师的确定执行。按照第</w:t>
      </w:r>
      <w:r>
        <w:rPr>
          <w:rFonts w:ascii="仿宋_GB2312" w:eastAsia="仿宋_GB2312"/>
          <w:color w:val="auto"/>
          <w:szCs w:val="24"/>
          <w:highlight w:val="none"/>
        </w:rPr>
        <w:t>20条</w:t>
      </w:r>
      <w:r>
        <w:rPr>
          <w:rFonts w:hint="eastAsia" w:ascii="仿宋_GB2312" w:eastAsia="仿宋_GB2312"/>
          <w:color w:val="auto"/>
          <w:szCs w:val="24"/>
          <w:highlight w:val="none"/>
        </w:rPr>
        <w:t>[争议解决]的约定对工程师的确定作出修改的，按修改后的结果执行，由此导致承包人增加的费用和延误的工期由责任方承担。</w:t>
      </w:r>
    </w:p>
    <w:p>
      <w:pPr>
        <w:pStyle w:val="54"/>
        <w:widowControl/>
        <w:numPr>
          <w:ilvl w:val="0"/>
          <w:numId w:val="0"/>
        </w:numPr>
        <w:rPr>
          <w:b w:val="0"/>
          <w:bCs/>
          <w:color w:val="auto"/>
          <w:highlight w:val="none"/>
        </w:rPr>
      </w:pPr>
      <w:bookmarkStart w:id="522" w:name="_Ref531951747"/>
      <w:bookmarkStart w:id="523" w:name="_Toc54862210"/>
      <w:bookmarkStart w:id="524" w:name="_Ref531951749"/>
      <w:r>
        <w:rPr>
          <w:rFonts w:hint="eastAsia"/>
          <w:b w:val="0"/>
          <w:bCs/>
          <w:color w:val="auto"/>
          <w:highlight w:val="none"/>
        </w:rPr>
        <w:t>3</w:t>
      </w:r>
      <w:r>
        <w:rPr>
          <w:b w:val="0"/>
          <w:bCs/>
          <w:color w:val="auto"/>
          <w:highlight w:val="none"/>
        </w:rPr>
        <w:t xml:space="preserve">.7 </w:t>
      </w:r>
      <w:r>
        <w:rPr>
          <w:rFonts w:hint="eastAsia"/>
          <w:b w:val="0"/>
          <w:bCs/>
          <w:color w:val="auto"/>
          <w:highlight w:val="none"/>
        </w:rPr>
        <w:t>会议</w:t>
      </w:r>
      <w:bookmarkEnd w:id="522"/>
      <w:bookmarkEnd w:id="523"/>
      <w:bookmarkEnd w:id="524"/>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.7.1 </w:t>
      </w:r>
      <w:r>
        <w:rPr>
          <w:rFonts w:hint="eastAsia" w:ascii="仿宋_GB2312" w:eastAsia="仿宋_GB2312"/>
          <w:color w:val="auto"/>
          <w:szCs w:val="24"/>
          <w:highlight w:val="none"/>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3</w:t>
      </w:r>
      <w:r>
        <w:rPr>
          <w:rFonts w:ascii="仿宋_GB2312" w:eastAsia="仿宋_GB2312"/>
          <w:color w:val="auto"/>
          <w:szCs w:val="24"/>
          <w:highlight w:val="none"/>
        </w:rPr>
        <w:t xml:space="preserve">.7.2 </w:t>
      </w:r>
      <w:r>
        <w:rPr>
          <w:rFonts w:hint="eastAsia" w:ascii="仿宋_GB2312" w:eastAsia="仿宋_GB2312"/>
          <w:color w:val="auto"/>
          <w:szCs w:val="24"/>
          <w:highlight w:val="none"/>
        </w:rPr>
        <w:t>除专用合同条件另有约定外，发包人应保存每次会议参加人签名的记录，并将会议纪要提供给出席会议的人员。任何根据此类会议以及会议纪要采取的行动应符合本合同的约定。</w:t>
      </w:r>
    </w:p>
    <w:p>
      <w:pPr>
        <w:pStyle w:val="42"/>
        <w:numPr>
          <w:ilvl w:val="0"/>
          <w:numId w:val="0"/>
        </w:numPr>
        <w:wordWrap/>
        <w:topLinePunct w:val="0"/>
        <w:rPr>
          <w:b w:val="0"/>
          <w:bCs/>
          <w:color w:val="auto"/>
          <w:sz w:val="24"/>
          <w:szCs w:val="24"/>
          <w:highlight w:val="none"/>
        </w:rPr>
      </w:pPr>
      <w:bookmarkStart w:id="525" w:name="_Ref531952805"/>
      <w:bookmarkStart w:id="526" w:name="_Toc54862211"/>
      <w:r>
        <w:rPr>
          <w:rFonts w:hint="eastAsia"/>
          <w:b w:val="0"/>
          <w:bCs/>
          <w:color w:val="auto"/>
          <w:sz w:val="24"/>
          <w:szCs w:val="24"/>
          <w:highlight w:val="none"/>
        </w:rPr>
        <w:t>第4条 承包人</w:t>
      </w:r>
      <w:bookmarkEnd w:id="525"/>
      <w:bookmarkEnd w:id="526"/>
    </w:p>
    <w:p>
      <w:pPr>
        <w:pStyle w:val="54"/>
        <w:widowControl/>
        <w:numPr>
          <w:ilvl w:val="0"/>
          <w:numId w:val="0"/>
        </w:numPr>
        <w:rPr>
          <w:b w:val="0"/>
          <w:bCs/>
          <w:color w:val="auto"/>
          <w:highlight w:val="none"/>
        </w:rPr>
      </w:pPr>
      <w:bookmarkStart w:id="527" w:name="_Ref531951958"/>
      <w:bookmarkStart w:id="528" w:name="_Ref531951961"/>
      <w:bookmarkStart w:id="529" w:name="_Ref531951945"/>
      <w:bookmarkStart w:id="530" w:name="_Toc54862212"/>
      <w:bookmarkStart w:id="531" w:name="_Ref531951975"/>
      <w:bookmarkStart w:id="532" w:name="_Ref531951941"/>
      <w:r>
        <w:rPr>
          <w:rFonts w:hint="eastAsia"/>
          <w:b w:val="0"/>
          <w:bCs/>
          <w:color w:val="auto"/>
          <w:highlight w:val="none"/>
        </w:rPr>
        <w:t>4</w:t>
      </w:r>
      <w:r>
        <w:rPr>
          <w:b w:val="0"/>
          <w:bCs/>
          <w:color w:val="auto"/>
          <w:highlight w:val="none"/>
        </w:rPr>
        <w:t>.1 承包人的一般义务</w:t>
      </w:r>
      <w:bookmarkEnd w:id="527"/>
      <w:bookmarkEnd w:id="528"/>
      <w:bookmarkEnd w:id="529"/>
      <w:bookmarkEnd w:id="530"/>
      <w:bookmarkEnd w:id="531"/>
      <w:bookmarkEnd w:id="532"/>
      <w:r>
        <w:rPr>
          <w:rFonts w:hint="eastAsia"/>
          <w:b w:val="0"/>
          <w:bCs/>
          <w:color w:val="auto"/>
          <w:highlight w:val="none"/>
        </w:rPr>
        <w:t xml:space="preserve"> </w:t>
      </w:r>
    </w:p>
    <w:p>
      <w:pPr>
        <w:ind w:firstLine="600"/>
        <w:rPr>
          <w:rFonts w:ascii="仿宋_GB2312" w:eastAsia="仿宋_GB2312"/>
          <w:color w:val="auto"/>
          <w:sz w:val="24"/>
          <w:highlight w:val="none"/>
        </w:rPr>
      </w:pPr>
      <w:bookmarkStart w:id="533" w:name="_Ref509046929"/>
      <w:r>
        <w:rPr>
          <w:rFonts w:hint="eastAsia" w:ascii="仿宋_GB2312" w:eastAsia="仿宋_GB2312"/>
          <w:color w:val="auto"/>
          <w:sz w:val="24"/>
          <w:highlight w:val="none"/>
        </w:rPr>
        <w:t>除专用合同条件另有约定外，承包人在履行合同过程中应遵守法律和工程建设标准规范，并履行以下义务：</w:t>
      </w:r>
    </w:p>
    <w:p>
      <w:pPr>
        <w:ind w:firstLine="600"/>
        <w:rPr>
          <w:rFonts w:ascii="仿宋_GB2312" w:eastAsia="仿宋_GB2312"/>
          <w:color w:val="auto"/>
          <w:sz w:val="24"/>
          <w:highlight w:val="none"/>
        </w:rPr>
      </w:pPr>
      <w:r>
        <w:rPr>
          <w:rFonts w:hint="eastAsia" w:ascii="仿宋_GB2312" w:eastAsia="仿宋_GB2312"/>
          <w:color w:val="auto"/>
          <w:sz w:val="24"/>
          <w:highlight w:val="none"/>
        </w:rPr>
        <w:t>（1） 办理法律规定和合同约定由承包人办理的许可和批准，将办理结果书面报送发包人留存，并承担因承包人违反法律或合同约定给发包人造成的任何费用和损失；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（2） 按合同约定完成全部工作并在缺陷责任期和保修期内承担缺陷保证责任和保修义务，对工作中的任何缺陷进行整改、完善和修补，使其满足合同约定的目的；</w:t>
      </w:r>
    </w:p>
    <w:p>
      <w:pPr>
        <w:ind w:firstLine="600"/>
        <w:rPr>
          <w:rFonts w:ascii="仿宋_GB2312" w:eastAsia="仿宋_GB2312"/>
          <w:color w:val="auto"/>
          <w:sz w:val="24"/>
          <w:highlight w:val="none"/>
        </w:rPr>
      </w:pPr>
      <w:r>
        <w:rPr>
          <w:rFonts w:hint="eastAsia" w:ascii="仿宋_GB2312" w:eastAsia="仿宋_GB2312"/>
          <w:color w:val="auto"/>
          <w:sz w:val="24"/>
          <w:highlight w:val="none"/>
        </w:rPr>
        <w:t>（3） 提供合同约定的工程设备和承包人文件，以及为完成合同工作所需的劳务、材料、施工设备和其他物品，并按合同约定负责临时设施的设计、施工、运行、维护、管理和拆除；</w:t>
      </w:r>
    </w:p>
    <w:p>
      <w:pPr>
        <w:ind w:firstLine="600"/>
        <w:rPr>
          <w:rFonts w:ascii="仿宋_GB2312" w:eastAsia="仿宋_GB2312"/>
          <w:color w:val="auto"/>
          <w:sz w:val="24"/>
          <w:highlight w:val="none"/>
        </w:rPr>
      </w:pPr>
      <w:r>
        <w:rPr>
          <w:rFonts w:hint="eastAsia" w:ascii="仿宋_GB2312" w:eastAsia="仿宋_GB2312"/>
          <w:color w:val="auto"/>
          <w:sz w:val="24"/>
          <w:highlight w:val="none"/>
        </w:rPr>
        <w:t>（4） 按合同约定的工作内容和进度要求，编制设计、施工的组织和实施计划，保证项目进度计划的实现，并对所有设计、施工作业和施工方法，以及全部工程的完备性和安全可靠性负责；</w:t>
      </w:r>
    </w:p>
    <w:p>
      <w:pPr>
        <w:ind w:firstLine="600"/>
        <w:rPr>
          <w:rFonts w:ascii="仿宋_GB2312" w:eastAsia="仿宋_GB2312"/>
          <w:color w:val="auto"/>
          <w:sz w:val="24"/>
          <w:highlight w:val="none"/>
        </w:rPr>
      </w:pPr>
      <w:r>
        <w:rPr>
          <w:rFonts w:hint="eastAsia" w:ascii="仿宋_GB2312" w:eastAsia="仿宋_GB2312"/>
          <w:color w:val="auto"/>
          <w:sz w:val="24"/>
          <w:highlight w:val="none"/>
        </w:rPr>
        <w:t>（5） 按法律规定和合同约定采取安全文明施工、职业健康和环境保护措施，办理员工工伤保险等相关保险，确保工程及人员、材料、设备和设施的安全，防止因工程实施造成的人身伤害和财产损失；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（6） 将发包人按合同约定支付的各项价款专用于合同工程，且应及时支付其雇用人员（包括建筑工人）工资，并及时向分包人支付合同价款；</w:t>
      </w:r>
    </w:p>
    <w:p>
      <w:pPr>
        <w:ind w:firstLine="600"/>
        <w:rPr>
          <w:rFonts w:ascii="仿宋_GB2312" w:eastAsia="仿宋_GB2312"/>
          <w:color w:val="auto"/>
          <w:sz w:val="24"/>
          <w:highlight w:val="none"/>
        </w:rPr>
      </w:pPr>
      <w:r>
        <w:rPr>
          <w:rFonts w:hint="eastAsia" w:ascii="仿宋_GB2312" w:eastAsia="仿宋_GB2312"/>
          <w:color w:val="auto"/>
          <w:sz w:val="24"/>
          <w:highlight w:val="none"/>
        </w:rPr>
        <w:t>（7） 在进行合同约定的各项工作时，不得侵害发包人与他人使用公用道路、水源、市政管网等公共设施的权利，避免对邻近的公共设施产生干扰。</w:t>
      </w:r>
    </w:p>
    <w:p>
      <w:pPr>
        <w:pStyle w:val="54"/>
        <w:widowControl/>
        <w:numPr>
          <w:ilvl w:val="0"/>
          <w:numId w:val="0"/>
        </w:numPr>
        <w:rPr>
          <w:b w:val="0"/>
          <w:bCs/>
          <w:color w:val="auto"/>
          <w:highlight w:val="none"/>
        </w:rPr>
      </w:pPr>
      <w:bookmarkStart w:id="534" w:name="_Ref4426803"/>
      <w:bookmarkStart w:id="535" w:name="_Toc54862213"/>
      <w:bookmarkStart w:id="536" w:name="_Ref4428418"/>
      <w:r>
        <w:rPr>
          <w:rFonts w:hint="eastAsia"/>
          <w:b w:val="0"/>
          <w:bCs/>
          <w:color w:val="auto"/>
          <w:highlight w:val="none"/>
        </w:rPr>
        <w:t>4</w:t>
      </w:r>
      <w:r>
        <w:rPr>
          <w:b w:val="0"/>
          <w:bCs/>
          <w:color w:val="auto"/>
          <w:highlight w:val="none"/>
        </w:rPr>
        <w:t xml:space="preserve">.2 </w:t>
      </w:r>
      <w:r>
        <w:rPr>
          <w:rFonts w:hint="eastAsia"/>
          <w:b w:val="0"/>
          <w:bCs/>
          <w:color w:val="auto"/>
          <w:highlight w:val="none"/>
        </w:rPr>
        <w:t>履约担保</w:t>
      </w:r>
      <w:bookmarkEnd w:id="534"/>
      <w:bookmarkEnd w:id="535"/>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发包人需要承包人提供履约担保的，由合同当事人在专用合同条件中约定履约担保的方式、金额及提交的时间等，并应符合第</w:t>
      </w:r>
      <w:r>
        <w:rPr>
          <w:rFonts w:ascii="仿宋_GB2312" w:eastAsia="仿宋_GB2312"/>
          <w:color w:val="auto"/>
          <w:sz w:val="24"/>
          <w:highlight w:val="none"/>
        </w:rPr>
        <w:t>2.5</w:t>
      </w:r>
      <w:r>
        <w:rPr>
          <w:rFonts w:hint="eastAsia" w:ascii="仿宋_GB2312" w:eastAsia="仿宋_GB2312"/>
          <w:color w:val="auto"/>
          <w:sz w:val="24"/>
          <w:highlight w:val="none"/>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承包人应保证其履约担保在发包人竣工验收前一直有效，发包人应在竣工验收合格后</w:t>
      </w:r>
      <w:r>
        <w:rPr>
          <w:rFonts w:ascii="仿宋_GB2312" w:eastAsia="仿宋_GB2312"/>
          <w:color w:val="auto"/>
          <w:sz w:val="24"/>
          <w:highlight w:val="none"/>
        </w:rPr>
        <w:t>7</w:t>
      </w:r>
      <w:r>
        <w:rPr>
          <w:rFonts w:hint="eastAsia" w:ascii="仿宋_GB2312" w:eastAsia="仿宋_GB2312"/>
          <w:color w:val="auto"/>
          <w:sz w:val="24"/>
          <w:highlight w:val="none"/>
        </w:rPr>
        <w:t>天内将履约担保款项退还给承包人或者解除履约担保。</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因承包人原因导致工期延长的，继续提供履约担保所增加的费用由承包人承担；非因承包人原因导致工期延长的，继续提供履约担保所增加的费用由发包人承担。</w:t>
      </w:r>
    </w:p>
    <w:bookmarkEnd w:id="533"/>
    <w:bookmarkEnd w:id="536"/>
    <w:p>
      <w:pPr>
        <w:pStyle w:val="54"/>
        <w:widowControl/>
        <w:numPr>
          <w:ilvl w:val="0"/>
          <w:numId w:val="0"/>
        </w:numPr>
        <w:rPr>
          <w:b w:val="0"/>
          <w:bCs/>
          <w:color w:val="auto"/>
          <w:highlight w:val="none"/>
        </w:rPr>
      </w:pPr>
      <w:bookmarkStart w:id="537" w:name="_Toc54862214"/>
      <w:bookmarkStart w:id="538" w:name="_Ref532689108"/>
      <w:bookmarkStart w:id="539" w:name="_Ref532689105"/>
      <w:r>
        <w:rPr>
          <w:rFonts w:hint="eastAsia"/>
          <w:b w:val="0"/>
          <w:bCs/>
          <w:color w:val="auto"/>
          <w:highlight w:val="none"/>
        </w:rPr>
        <w:t>4</w:t>
      </w:r>
      <w:r>
        <w:rPr>
          <w:b w:val="0"/>
          <w:bCs/>
          <w:color w:val="auto"/>
          <w:highlight w:val="none"/>
        </w:rPr>
        <w:t xml:space="preserve">.3 </w:t>
      </w:r>
      <w:r>
        <w:rPr>
          <w:rFonts w:hint="eastAsia"/>
          <w:b w:val="0"/>
          <w:bCs/>
          <w:color w:val="auto"/>
          <w:highlight w:val="none"/>
        </w:rPr>
        <w:t>工程总承包项目经理</w:t>
      </w:r>
      <w:bookmarkEnd w:id="537"/>
      <w:bookmarkEnd w:id="538"/>
      <w:bookmarkEnd w:id="539"/>
    </w:p>
    <w:p>
      <w:pPr>
        <w:pStyle w:val="55"/>
        <w:numPr>
          <w:ilvl w:val="0"/>
          <w:numId w:val="0"/>
        </w:numPr>
        <w:rPr>
          <w:rFonts w:ascii="仿宋_GB2312" w:eastAsia="仿宋_GB2312"/>
          <w:color w:val="auto"/>
          <w:szCs w:val="24"/>
          <w:highlight w:val="none"/>
        </w:rPr>
      </w:pPr>
      <w:bookmarkStart w:id="540" w:name="_Ref532351726"/>
      <w:r>
        <w:rPr>
          <w:rFonts w:hint="eastAsia" w:ascii="仿宋_GB2312" w:eastAsia="仿宋_GB2312"/>
          <w:color w:val="auto"/>
          <w:szCs w:val="24"/>
          <w:highlight w:val="none"/>
        </w:rPr>
        <w:t>4</w:t>
      </w:r>
      <w:r>
        <w:rPr>
          <w:rFonts w:ascii="仿宋_GB2312" w:eastAsia="仿宋_GB2312"/>
          <w:color w:val="auto"/>
          <w:szCs w:val="24"/>
          <w:highlight w:val="none"/>
        </w:rPr>
        <w:t xml:space="preserve">.3.1 </w:t>
      </w:r>
      <w:r>
        <w:rPr>
          <w:rFonts w:hint="eastAsia" w:ascii="仿宋_GB2312" w:eastAsia="仿宋_GB2312"/>
          <w:color w:val="auto"/>
          <w:szCs w:val="24"/>
          <w:highlight w:val="none"/>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540"/>
    </w:p>
    <w:p>
      <w:pPr>
        <w:pStyle w:val="55"/>
        <w:numPr>
          <w:ilvl w:val="0"/>
          <w:numId w:val="0"/>
        </w:numPr>
        <w:rPr>
          <w:rFonts w:ascii="仿宋_GB2312" w:eastAsia="仿宋_GB2312"/>
          <w:color w:val="auto"/>
          <w:szCs w:val="24"/>
          <w:highlight w:val="none"/>
        </w:rPr>
      </w:pPr>
      <w:bookmarkStart w:id="541" w:name="_Ref532689263"/>
      <w:r>
        <w:rPr>
          <w:rFonts w:hint="eastAsia" w:ascii="仿宋_GB2312" w:eastAsia="仿宋_GB2312"/>
          <w:color w:val="auto"/>
          <w:szCs w:val="24"/>
          <w:highlight w:val="none"/>
        </w:rPr>
        <w:t>4</w:t>
      </w:r>
      <w:r>
        <w:rPr>
          <w:rFonts w:ascii="仿宋_GB2312" w:eastAsia="仿宋_GB2312"/>
          <w:color w:val="auto"/>
          <w:szCs w:val="24"/>
          <w:highlight w:val="none"/>
        </w:rPr>
        <w:t xml:space="preserve">.3.2 </w:t>
      </w:r>
      <w:r>
        <w:rPr>
          <w:rFonts w:hint="eastAsia" w:ascii="仿宋_GB2312" w:eastAsia="仿宋_GB2312"/>
          <w:color w:val="auto"/>
          <w:szCs w:val="24"/>
          <w:highlight w:val="none"/>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541"/>
    </w:p>
    <w:p>
      <w:pPr>
        <w:pStyle w:val="55"/>
        <w:numPr>
          <w:ilvl w:val="0"/>
          <w:numId w:val="0"/>
        </w:numPr>
        <w:rPr>
          <w:rFonts w:ascii="仿宋_GB2312" w:eastAsia="仿宋_GB2312"/>
          <w:color w:val="auto"/>
          <w:szCs w:val="24"/>
          <w:highlight w:val="none"/>
        </w:rPr>
      </w:pPr>
      <w:bookmarkStart w:id="542" w:name="_Ref532689178"/>
      <w:bookmarkStart w:id="543" w:name="_Ref531952112"/>
      <w:r>
        <w:rPr>
          <w:rFonts w:hint="eastAsia" w:ascii="仿宋_GB2312" w:eastAsia="仿宋_GB2312"/>
          <w:color w:val="auto"/>
          <w:szCs w:val="24"/>
          <w:highlight w:val="none"/>
        </w:rPr>
        <w:t>4</w:t>
      </w:r>
      <w:r>
        <w:rPr>
          <w:rFonts w:ascii="仿宋_GB2312" w:eastAsia="仿宋_GB2312"/>
          <w:color w:val="auto"/>
          <w:szCs w:val="24"/>
          <w:highlight w:val="none"/>
        </w:rPr>
        <w:t xml:space="preserve">.3.3 </w:t>
      </w:r>
      <w:r>
        <w:rPr>
          <w:rFonts w:hint="eastAsia" w:ascii="仿宋_GB2312" w:eastAsia="仿宋_GB2312"/>
          <w:color w:val="auto"/>
          <w:szCs w:val="24"/>
          <w:highlight w:val="none"/>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ascii="仿宋_GB2312" w:eastAsia="仿宋_GB2312"/>
          <w:color w:val="auto"/>
          <w:szCs w:val="24"/>
          <w:highlight w:val="none"/>
        </w:rPr>
        <w:t>3.5</w:t>
      </w:r>
      <w:r>
        <w:rPr>
          <w:rFonts w:hint="eastAsia" w:ascii="仿宋_GB2312" w:eastAsia="仿宋_GB2312"/>
          <w:color w:val="auto"/>
          <w:szCs w:val="24"/>
          <w:highlight w:val="none"/>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542"/>
    </w:p>
    <w:bookmarkEnd w:id="543"/>
    <w:p>
      <w:pPr>
        <w:pStyle w:val="55"/>
        <w:numPr>
          <w:ilvl w:val="0"/>
          <w:numId w:val="0"/>
        </w:numPr>
        <w:rPr>
          <w:rFonts w:ascii="仿宋_GB2312" w:eastAsia="仿宋_GB2312"/>
          <w:color w:val="auto"/>
          <w:szCs w:val="24"/>
          <w:highlight w:val="none"/>
        </w:rPr>
      </w:pPr>
      <w:bookmarkStart w:id="544" w:name="_Ref4426412"/>
      <w:r>
        <w:rPr>
          <w:rFonts w:hint="eastAsia" w:ascii="仿宋_GB2312" w:eastAsia="仿宋_GB2312"/>
          <w:color w:val="auto"/>
          <w:szCs w:val="24"/>
          <w:highlight w:val="none"/>
        </w:rPr>
        <w:t>4</w:t>
      </w:r>
      <w:r>
        <w:rPr>
          <w:rFonts w:ascii="仿宋_GB2312" w:eastAsia="仿宋_GB2312"/>
          <w:color w:val="auto"/>
          <w:szCs w:val="24"/>
          <w:highlight w:val="none"/>
        </w:rPr>
        <w:t xml:space="preserve">.3.4 </w:t>
      </w:r>
      <w:r>
        <w:rPr>
          <w:rFonts w:hint="eastAsia" w:ascii="仿宋_GB2312" w:eastAsia="仿宋_GB2312"/>
          <w:color w:val="auto"/>
          <w:szCs w:val="24"/>
          <w:highlight w:val="none"/>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545" w:name="_Hlk55056591"/>
      <w:r>
        <w:rPr>
          <w:rFonts w:hint="eastAsia" w:ascii="仿宋_GB2312" w:eastAsia="仿宋_GB2312"/>
          <w:color w:val="auto"/>
          <w:szCs w:val="24"/>
          <w:highlight w:val="none"/>
        </w:rPr>
        <w:t>应按照专用合同条件的约定承担违约责任。</w:t>
      </w:r>
      <w:bookmarkEnd w:id="544"/>
      <w:bookmarkEnd w:id="545"/>
    </w:p>
    <w:p>
      <w:pPr>
        <w:pStyle w:val="55"/>
        <w:numPr>
          <w:ilvl w:val="0"/>
          <w:numId w:val="0"/>
        </w:numPr>
        <w:rPr>
          <w:rFonts w:ascii="仿宋_GB2312" w:eastAsia="仿宋_GB2312"/>
          <w:color w:val="auto"/>
          <w:szCs w:val="24"/>
          <w:highlight w:val="none"/>
        </w:rPr>
      </w:pPr>
      <w:bookmarkStart w:id="546" w:name="_Ref531952137"/>
      <w:r>
        <w:rPr>
          <w:rFonts w:hint="eastAsia" w:ascii="仿宋_GB2312" w:eastAsia="仿宋_GB2312"/>
          <w:color w:val="auto"/>
          <w:szCs w:val="24"/>
          <w:highlight w:val="none"/>
        </w:rPr>
        <w:t>4</w:t>
      </w:r>
      <w:r>
        <w:rPr>
          <w:rFonts w:ascii="仿宋_GB2312" w:eastAsia="仿宋_GB2312"/>
          <w:color w:val="auto"/>
          <w:szCs w:val="24"/>
          <w:highlight w:val="none"/>
        </w:rPr>
        <w:t xml:space="preserve">.3.5 </w:t>
      </w:r>
      <w:r>
        <w:rPr>
          <w:rFonts w:hint="eastAsia" w:ascii="仿宋_GB2312" w:eastAsia="仿宋_GB2312"/>
          <w:color w:val="auto"/>
          <w:szCs w:val="24"/>
          <w:highlight w:val="none"/>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rFonts w:ascii="仿宋_GB2312" w:eastAsia="仿宋_GB2312"/>
          <w:color w:val="auto"/>
          <w:szCs w:val="24"/>
          <w:highlight w:val="none"/>
        </w:rPr>
        <w:t>28天内更换项目经理。</w:t>
      </w:r>
      <w:r>
        <w:rPr>
          <w:rFonts w:hint="eastAsia" w:ascii="仿宋_GB2312" w:eastAsia="仿宋_GB2312"/>
          <w:color w:val="auto"/>
          <w:szCs w:val="24"/>
          <w:highlight w:val="none"/>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546"/>
    </w:p>
    <w:p>
      <w:pPr>
        <w:pStyle w:val="55"/>
        <w:numPr>
          <w:ilvl w:val="0"/>
          <w:numId w:val="0"/>
        </w:numPr>
        <w:rPr>
          <w:rFonts w:ascii="仿宋_GB2312" w:eastAsia="仿宋_GB2312"/>
          <w:color w:val="auto"/>
          <w:szCs w:val="24"/>
          <w:highlight w:val="none"/>
        </w:rPr>
      </w:pPr>
      <w:bookmarkStart w:id="547" w:name="_Ref122620"/>
      <w:r>
        <w:rPr>
          <w:rFonts w:hint="eastAsia" w:ascii="仿宋_GB2312" w:eastAsia="仿宋_GB2312"/>
          <w:color w:val="auto"/>
          <w:szCs w:val="24"/>
          <w:highlight w:val="none"/>
        </w:rPr>
        <w:t>4</w:t>
      </w:r>
      <w:r>
        <w:rPr>
          <w:rFonts w:ascii="仿宋_GB2312" w:eastAsia="仿宋_GB2312"/>
          <w:color w:val="auto"/>
          <w:szCs w:val="24"/>
          <w:highlight w:val="none"/>
        </w:rPr>
        <w:t xml:space="preserve">.3.6 </w:t>
      </w:r>
      <w:r>
        <w:rPr>
          <w:rFonts w:hint="eastAsia" w:ascii="仿宋_GB2312" w:eastAsia="仿宋_GB2312"/>
          <w:color w:val="auto"/>
          <w:szCs w:val="24"/>
          <w:highlight w:val="none"/>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547"/>
    </w:p>
    <w:p>
      <w:pPr>
        <w:pStyle w:val="54"/>
        <w:widowControl/>
        <w:numPr>
          <w:ilvl w:val="0"/>
          <w:numId w:val="0"/>
        </w:numPr>
        <w:rPr>
          <w:b w:val="0"/>
          <w:bCs/>
          <w:color w:val="auto"/>
          <w:highlight w:val="none"/>
        </w:rPr>
      </w:pPr>
      <w:bookmarkStart w:id="548" w:name="_Toc54862215"/>
      <w:bookmarkStart w:id="549" w:name="_Ref531952175"/>
      <w:bookmarkStart w:id="550" w:name="_Ref531952172"/>
      <w:r>
        <w:rPr>
          <w:rFonts w:hint="eastAsia"/>
          <w:b w:val="0"/>
          <w:bCs/>
          <w:color w:val="auto"/>
          <w:highlight w:val="none"/>
        </w:rPr>
        <w:t>4</w:t>
      </w:r>
      <w:r>
        <w:rPr>
          <w:b w:val="0"/>
          <w:bCs/>
          <w:color w:val="auto"/>
          <w:highlight w:val="none"/>
        </w:rPr>
        <w:t xml:space="preserve">.4 </w:t>
      </w:r>
      <w:r>
        <w:rPr>
          <w:rFonts w:hint="eastAsia"/>
          <w:b w:val="0"/>
          <w:bCs/>
          <w:color w:val="auto"/>
          <w:highlight w:val="none"/>
        </w:rPr>
        <w:t>承包人人员</w:t>
      </w:r>
      <w:bookmarkEnd w:id="548"/>
      <w:bookmarkEnd w:id="549"/>
      <w:bookmarkEnd w:id="550"/>
    </w:p>
    <w:p>
      <w:pPr>
        <w:pStyle w:val="55"/>
        <w:numPr>
          <w:ilvl w:val="0"/>
          <w:numId w:val="0"/>
        </w:numPr>
        <w:rPr>
          <w:rFonts w:ascii="仿宋_GB2312" w:eastAsia="仿宋_GB2312"/>
          <w:color w:val="auto"/>
          <w:szCs w:val="24"/>
          <w:highlight w:val="none"/>
        </w:rPr>
      </w:pPr>
      <w:bookmarkStart w:id="551" w:name="_Ref531952185"/>
      <w:r>
        <w:rPr>
          <w:rFonts w:hint="eastAsia" w:ascii="仿宋_GB2312" w:eastAsia="仿宋_GB2312"/>
          <w:color w:val="auto"/>
          <w:szCs w:val="24"/>
          <w:highlight w:val="none"/>
        </w:rPr>
        <w:t>4</w:t>
      </w:r>
      <w:r>
        <w:rPr>
          <w:rFonts w:ascii="仿宋_GB2312" w:eastAsia="仿宋_GB2312"/>
          <w:color w:val="auto"/>
          <w:szCs w:val="24"/>
          <w:highlight w:val="none"/>
        </w:rPr>
        <w:t xml:space="preserve">.4.1 </w:t>
      </w:r>
      <w:r>
        <w:rPr>
          <w:rFonts w:hint="eastAsia" w:ascii="仿宋_GB2312" w:eastAsia="仿宋_GB2312"/>
          <w:color w:val="auto"/>
          <w:szCs w:val="24"/>
          <w:highlight w:val="none"/>
        </w:rPr>
        <w:t>人员安排</w:t>
      </w:r>
      <w:bookmarkEnd w:id="551"/>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ind w:firstLine="600"/>
        <w:rPr>
          <w:rFonts w:ascii="仿宋_GB2312" w:eastAsia="仿宋_GB2312"/>
          <w:color w:val="auto"/>
          <w:sz w:val="24"/>
          <w:highlight w:val="none"/>
        </w:rPr>
      </w:pPr>
      <w:r>
        <w:rPr>
          <w:rFonts w:hint="eastAsia" w:ascii="仿宋_GB2312" w:eastAsia="仿宋_GB2312"/>
          <w:color w:val="auto"/>
          <w:sz w:val="24"/>
          <w:highlight w:val="none"/>
        </w:rPr>
        <w:t>关键人员</w:t>
      </w:r>
      <w:bookmarkStart w:id="552" w:name="_Hlk16210335"/>
      <w:r>
        <w:rPr>
          <w:rFonts w:hint="eastAsia" w:ascii="仿宋_GB2312" w:eastAsia="仿宋_GB2312"/>
          <w:color w:val="auto"/>
          <w:sz w:val="24"/>
          <w:highlight w:val="none"/>
        </w:rPr>
        <w:t>是发包人及承包人一致认为对工程建设起重要作用的承包人主要管理人员或技术人员。关键人员的具体范围由发包人及承包人在附件</w:t>
      </w:r>
      <w:r>
        <w:rPr>
          <w:rFonts w:ascii="仿宋_GB2312" w:eastAsia="仿宋_GB2312"/>
          <w:color w:val="auto"/>
          <w:sz w:val="24"/>
          <w:highlight w:val="none"/>
        </w:rPr>
        <w:t>5[承包人主要管理人员表]</w:t>
      </w:r>
      <w:r>
        <w:rPr>
          <w:rFonts w:hint="eastAsia" w:ascii="仿宋_GB2312" w:eastAsia="仿宋_GB2312"/>
          <w:color w:val="auto"/>
          <w:sz w:val="24"/>
          <w:highlight w:val="none"/>
        </w:rPr>
        <w:t>中另行约定。</w:t>
      </w:r>
    </w:p>
    <w:bookmarkEnd w:id="552"/>
    <w:p>
      <w:pPr>
        <w:pStyle w:val="55"/>
        <w:numPr>
          <w:ilvl w:val="0"/>
          <w:numId w:val="0"/>
        </w:numPr>
        <w:rPr>
          <w:rFonts w:ascii="仿宋_GB2312" w:eastAsia="仿宋_GB2312"/>
          <w:color w:val="auto"/>
          <w:szCs w:val="24"/>
          <w:highlight w:val="none"/>
        </w:rPr>
      </w:pPr>
      <w:bookmarkStart w:id="553" w:name="_Ref531952211"/>
      <w:bookmarkStart w:id="554" w:name="_Ref4426641"/>
      <w:r>
        <w:rPr>
          <w:rFonts w:hint="eastAsia" w:ascii="仿宋_GB2312" w:eastAsia="仿宋_GB2312"/>
          <w:color w:val="auto"/>
          <w:szCs w:val="24"/>
          <w:highlight w:val="none"/>
        </w:rPr>
        <w:t>4</w:t>
      </w:r>
      <w:r>
        <w:rPr>
          <w:rFonts w:ascii="仿宋_GB2312" w:eastAsia="仿宋_GB2312"/>
          <w:color w:val="auto"/>
          <w:szCs w:val="24"/>
          <w:highlight w:val="none"/>
        </w:rPr>
        <w:t xml:space="preserve">.4.2 </w:t>
      </w:r>
      <w:r>
        <w:rPr>
          <w:rFonts w:hint="eastAsia" w:ascii="仿宋_GB2312" w:eastAsia="仿宋_GB2312"/>
          <w:color w:val="auto"/>
          <w:szCs w:val="24"/>
          <w:highlight w:val="none"/>
        </w:rPr>
        <w:t>关键人员更换</w:t>
      </w:r>
      <w:bookmarkEnd w:id="553"/>
      <w:bookmarkEnd w:id="554"/>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55"/>
        <w:numPr>
          <w:ilvl w:val="0"/>
          <w:numId w:val="0"/>
        </w:numPr>
        <w:rPr>
          <w:rFonts w:ascii="仿宋_GB2312" w:eastAsia="仿宋_GB2312"/>
          <w:color w:val="auto"/>
          <w:szCs w:val="24"/>
          <w:highlight w:val="none"/>
        </w:rPr>
      </w:pPr>
      <w:bookmarkStart w:id="555" w:name="_Ref531952227"/>
      <w:r>
        <w:rPr>
          <w:rFonts w:hint="eastAsia" w:ascii="仿宋_GB2312" w:eastAsia="仿宋_GB2312"/>
          <w:color w:val="auto"/>
          <w:szCs w:val="24"/>
          <w:highlight w:val="none"/>
        </w:rPr>
        <w:t>4</w:t>
      </w:r>
      <w:r>
        <w:rPr>
          <w:rFonts w:ascii="仿宋_GB2312" w:eastAsia="仿宋_GB2312"/>
          <w:color w:val="auto"/>
          <w:szCs w:val="24"/>
          <w:highlight w:val="none"/>
        </w:rPr>
        <w:t xml:space="preserve">.4.3 </w:t>
      </w:r>
      <w:r>
        <w:rPr>
          <w:rFonts w:hint="eastAsia" w:ascii="仿宋_GB2312" w:eastAsia="仿宋_GB2312"/>
          <w:color w:val="auto"/>
          <w:szCs w:val="24"/>
          <w:highlight w:val="none"/>
        </w:rPr>
        <w:t>现场管理关键人员在岗要求</w:t>
      </w:r>
      <w:bookmarkEnd w:id="555"/>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54"/>
        <w:widowControl/>
        <w:numPr>
          <w:ilvl w:val="0"/>
          <w:numId w:val="0"/>
        </w:numPr>
        <w:rPr>
          <w:b w:val="0"/>
          <w:bCs/>
          <w:color w:val="auto"/>
          <w:highlight w:val="none"/>
        </w:rPr>
      </w:pPr>
      <w:bookmarkStart w:id="556" w:name="_Ref531952259"/>
      <w:bookmarkStart w:id="557" w:name="_Ref531952262"/>
      <w:bookmarkStart w:id="558" w:name="_Toc54862216"/>
      <w:r>
        <w:rPr>
          <w:rFonts w:hint="eastAsia"/>
          <w:b w:val="0"/>
          <w:bCs/>
          <w:color w:val="auto"/>
          <w:highlight w:val="none"/>
        </w:rPr>
        <w:t>4</w:t>
      </w:r>
      <w:r>
        <w:rPr>
          <w:b w:val="0"/>
          <w:bCs/>
          <w:color w:val="auto"/>
          <w:highlight w:val="none"/>
        </w:rPr>
        <w:t xml:space="preserve">.5 </w:t>
      </w:r>
      <w:r>
        <w:rPr>
          <w:rFonts w:hint="eastAsia"/>
          <w:b w:val="0"/>
          <w:bCs/>
          <w:color w:val="auto"/>
          <w:highlight w:val="none"/>
        </w:rPr>
        <w:t>分包</w:t>
      </w:r>
      <w:bookmarkEnd w:id="556"/>
      <w:bookmarkEnd w:id="557"/>
      <w:bookmarkEnd w:id="558"/>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559" w:name="_Ref531952273"/>
      <w:r>
        <w:rPr>
          <w:rFonts w:hint="eastAsia" w:ascii="仿宋_GB2312" w:eastAsia="仿宋_GB2312"/>
          <w:color w:val="auto"/>
          <w:szCs w:val="24"/>
          <w:highlight w:val="none"/>
        </w:rPr>
        <w:t>4</w:t>
      </w:r>
      <w:r>
        <w:rPr>
          <w:rFonts w:ascii="仿宋_GB2312" w:eastAsia="仿宋_GB2312"/>
          <w:color w:val="auto"/>
          <w:szCs w:val="24"/>
          <w:highlight w:val="none"/>
        </w:rPr>
        <w:t xml:space="preserve">.5.1 </w:t>
      </w:r>
      <w:r>
        <w:rPr>
          <w:rFonts w:hint="eastAsia" w:ascii="仿宋_GB2312" w:eastAsia="仿宋_GB2312"/>
          <w:color w:val="auto"/>
          <w:szCs w:val="24"/>
          <w:highlight w:val="none"/>
        </w:rPr>
        <w:t>一般约定</w:t>
      </w:r>
      <w:bookmarkEnd w:id="559"/>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55"/>
        <w:numPr>
          <w:ilvl w:val="0"/>
          <w:numId w:val="0"/>
        </w:numPr>
        <w:rPr>
          <w:rFonts w:ascii="仿宋_GB2312" w:eastAsia="仿宋_GB2312"/>
          <w:color w:val="auto"/>
          <w:szCs w:val="24"/>
          <w:highlight w:val="none"/>
        </w:rPr>
      </w:pPr>
      <w:bookmarkStart w:id="560" w:name="_Ref531952286"/>
      <w:r>
        <w:rPr>
          <w:rFonts w:hint="eastAsia" w:ascii="仿宋_GB2312" w:eastAsia="仿宋_GB2312"/>
          <w:color w:val="auto"/>
          <w:szCs w:val="24"/>
          <w:highlight w:val="none"/>
        </w:rPr>
        <w:t>4</w:t>
      </w:r>
      <w:r>
        <w:rPr>
          <w:rFonts w:ascii="仿宋_GB2312" w:eastAsia="仿宋_GB2312"/>
          <w:color w:val="auto"/>
          <w:szCs w:val="24"/>
          <w:highlight w:val="none"/>
        </w:rPr>
        <w:t xml:space="preserve">.5.2 </w:t>
      </w:r>
      <w:r>
        <w:rPr>
          <w:rFonts w:hint="eastAsia" w:ascii="仿宋_GB2312" w:eastAsia="仿宋_GB2312"/>
          <w:color w:val="auto"/>
          <w:szCs w:val="24"/>
          <w:highlight w:val="none"/>
        </w:rPr>
        <w:t>分包的确定</w:t>
      </w:r>
      <w:bookmarkEnd w:id="560"/>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承包人应按照专用合同条件约定对工作事项进行分包，确定分包人。</w:t>
      </w:r>
    </w:p>
    <w:p>
      <w:pPr>
        <w:ind w:firstLine="600"/>
        <w:rPr>
          <w:rFonts w:ascii="仿宋_GB2312" w:eastAsia="仿宋_GB2312"/>
          <w:color w:val="auto"/>
          <w:sz w:val="24"/>
          <w:highlight w:val="none"/>
        </w:rPr>
      </w:pPr>
      <w:r>
        <w:rPr>
          <w:rFonts w:hint="eastAsia" w:ascii="仿宋_GB2312" w:eastAsia="仿宋_GB2312"/>
          <w:color w:val="auto"/>
          <w:sz w:val="24"/>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.5.3 </w:t>
      </w:r>
      <w:r>
        <w:rPr>
          <w:rFonts w:hint="eastAsia" w:ascii="仿宋_GB2312" w:eastAsia="仿宋_GB2312"/>
          <w:color w:val="auto"/>
          <w:szCs w:val="24"/>
          <w:highlight w:val="none"/>
        </w:rPr>
        <w:t>分包人资质</w:t>
      </w:r>
    </w:p>
    <w:p>
      <w:pPr>
        <w:ind w:firstLine="600"/>
        <w:rPr>
          <w:rFonts w:ascii="仿宋_GB2312" w:eastAsia="仿宋_GB2312"/>
          <w:color w:val="auto"/>
          <w:sz w:val="24"/>
          <w:highlight w:val="none"/>
        </w:rPr>
      </w:pPr>
      <w:r>
        <w:rPr>
          <w:rFonts w:hint="eastAsia" w:ascii="仿宋_GB2312" w:eastAsia="仿宋_GB2312"/>
          <w:color w:val="auto"/>
          <w:sz w:val="24"/>
          <w:highlight w:val="none"/>
        </w:rPr>
        <w:t>分包人应符合国家法律规定的资质等级，否则不能作为分包人。承包人有义务对分包人的资质进行审查。</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.5.4 </w:t>
      </w:r>
      <w:r>
        <w:rPr>
          <w:rFonts w:hint="eastAsia" w:ascii="仿宋_GB2312" w:eastAsia="仿宋_GB2312"/>
          <w:color w:val="auto"/>
          <w:szCs w:val="24"/>
          <w:highlight w:val="none"/>
        </w:rPr>
        <w:t>分包管理</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55"/>
        <w:numPr>
          <w:ilvl w:val="0"/>
          <w:numId w:val="0"/>
        </w:numPr>
        <w:rPr>
          <w:rFonts w:ascii="仿宋_GB2312" w:eastAsia="仿宋_GB2312"/>
          <w:color w:val="auto"/>
          <w:szCs w:val="24"/>
          <w:highlight w:val="none"/>
        </w:rPr>
      </w:pPr>
      <w:bookmarkStart w:id="561" w:name="_Ref531952298"/>
      <w:r>
        <w:rPr>
          <w:rFonts w:hint="eastAsia" w:ascii="仿宋_GB2312" w:eastAsia="仿宋_GB2312"/>
          <w:color w:val="auto"/>
          <w:szCs w:val="24"/>
          <w:highlight w:val="none"/>
        </w:rPr>
        <w:t>4</w:t>
      </w:r>
      <w:r>
        <w:rPr>
          <w:rFonts w:ascii="仿宋_GB2312" w:eastAsia="仿宋_GB2312"/>
          <w:color w:val="auto"/>
          <w:szCs w:val="24"/>
          <w:highlight w:val="none"/>
        </w:rPr>
        <w:t xml:space="preserve">.5.5 </w:t>
      </w:r>
      <w:r>
        <w:rPr>
          <w:rFonts w:hint="eastAsia" w:ascii="仿宋_GB2312" w:eastAsia="仿宋_GB2312"/>
          <w:color w:val="auto"/>
          <w:szCs w:val="24"/>
          <w:highlight w:val="none"/>
        </w:rPr>
        <w:t>分包合同价款支付</w:t>
      </w:r>
      <w:bookmarkEnd w:id="561"/>
    </w:p>
    <w:p>
      <w:pPr>
        <w:ind w:firstLine="600"/>
        <w:rPr>
          <w:rFonts w:ascii="仿宋_GB2312" w:eastAsia="仿宋_GB2312"/>
          <w:color w:val="auto"/>
          <w:sz w:val="24"/>
          <w:highlight w:val="none"/>
        </w:rPr>
      </w:pPr>
      <w:r>
        <w:rPr>
          <w:rFonts w:hint="eastAsia" w:ascii="仿宋_GB2312" w:eastAsia="仿宋_GB2312"/>
          <w:color w:val="auto"/>
          <w:sz w:val="24"/>
          <w:highlight w:val="none"/>
        </w:rPr>
        <w:t>（1） 除本项第（2）目约定的情况或专用合同条件另有约定外，分包合同价款由承包人与分包人结算，未经承包人同意，发包人不得向分包人支付分包合同价款；</w:t>
      </w:r>
    </w:p>
    <w:p>
      <w:pPr>
        <w:ind w:firstLine="600"/>
        <w:rPr>
          <w:rFonts w:ascii="仿宋_GB2312" w:eastAsia="仿宋_GB2312"/>
          <w:color w:val="auto"/>
          <w:sz w:val="24"/>
          <w:highlight w:val="none"/>
        </w:rPr>
      </w:pPr>
      <w:bookmarkStart w:id="562" w:name="_Ref4613798"/>
      <w:r>
        <w:rPr>
          <w:rFonts w:hint="eastAsia" w:ascii="仿宋_GB2312" w:eastAsia="仿宋_GB2312"/>
          <w:color w:val="auto"/>
          <w:sz w:val="24"/>
          <w:highlight w:val="none"/>
        </w:rPr>
        <w:t>（2） 生效法律文书要求发包人向分包人支付分包合同价款的，发包人有权从应付承包人工程款中扣除该部分款项</w:t>
      </w:r>
      <w:bookmarkEnd w:id="562"/>
      <w:r>
        <w:rPr>
          <w:rFonts w:hint="eastAsia" w:ascii="仿宋_GB2312" w:eastAsia="仿宋_GB2312"/>
          <w:color w:val="auto"/>
          <w:sz w:val="24"/>
          <w:highlight w:val="none"/>
        </w:rPr>
        <w:t>，将扣款直接支付给分包人，并书面通知承包人。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.5.6 </w:t>
      </w:r>
      <w:r>
        <w:rPr>
          <w:rFonts w:hint="eastAsia" w:ascii="仿宋_GB2312" w:eastAsia="仿宋_GB2312"/>
          <w:color w:val="auto"/>
          <w:szCs w:val="24"/>
          <w:highlight w:val="none"/>
        </w:rPr>
        <w:t>责任承担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承包人对分包人的行为向发包人负责，承包人和分包人就分包工作向发包人承担连带责任。</w:t>
      </w:r>
    </w:p>
    <w:p>
      <w:pPr>
        <w:pStyle w:val="54"/>
        <w:widowControl/>
        <w:numPr>
          <w:ilvl w:val="0"/>
          <w:numId w:val="0"/>
        </w:numPr>
        <w:rPr>
          <w:b w:val="0"/>
          <w:bCs/>
          <w:color w:val="auto"/>
          <w:highlight w:val="none"/>
        </w:rPr>
      </w:pPr>
      <w:bookmarkStart w:id="563" w:name="_Ref4426916"/>
      <w:bookmarkStart w:id="564" w:name="_Toc54862217"/>
      <w:bookmarkStart w:id="565" w:name="_Ref4768805"/>
      <w:bookmarkStart w:id="566" w:name="_Ref531952321"/>
      <w:bookmarkStart w:id="567" w:name="_Ref531952317"/>
      <w:r>
        <w:rPr>
          <w:rFonts w:hint="eastAsia"/>
          <w:b w:val="0"/>
          <w:bCs/>
          <w:color w:val="auto"/>
          <w:highlight w:val="none"/>
        </w:rPr>
        <w:t>4</w:t>
      </w:r>
      <w:r>
        <w:rPr>
          <w:b w:val="0"/>
          <w:bCs/>
          <w:color w:val="auto"/>
          <w:highlight w:val="none"/>
        </w:rPr>
        <w:t xml:space="preserve">.6 </w:t>
      </w:r>
      <w:r>
        <w:rPr>
          <w:rFonts w:hint="eastAsia"/>
          <w:b w:val="0"/>
          <w:bCs/>
          <w:color w:val="auto"/>
          <w:highlight w:val="none"/>
        </w:rPr>
        <w:t>联合体</w:t>
      </w:r>
      <w:bookmarkEnd w:id="563"/>
      <w:bookmarkEnd w:id="564"/>
    </w:p>
    <w:p>
      <w:pPr>
        <w:pStyle w:val="55"/>
        <w:numPr>
          <w:ilvl w:val="0"/>
          <w:numId w:val="0"/>
        </w:numPr>
        <w:rPr>
          <w:rFonts w:ascii="仿宋_GB2312" w:eastAsia="仿宋_GB2312"/>
          <w:color w:val="auto"/>
          <w:szCs w:val="24"/>
          <w:highlight w:val="none"/>
        </w:rPr>
      </w:pPr>
      <w:bookmarkStart w:id="568" w:name="_Hlk16235129"/>
      <w:r>
        <w:rPr>
          <w:rFonts w:hint="eastAsia" w:ascii="仿宋_GB2312" w:eastAsia="仿宋_GB2312"/>
          <w:color w:val="auto"/>
          <w:szCs w:val="24"/>
          <w:highlight w:val="none"/>
        </w:rPr>
        <w:t>4</w:t>
      </w:r>
      <w:r>
        <w:rPr>
          <w:rFonts w:ascii="仿宋_GB2312" w:eastAsia="仿宋_GB2312"/>
          <w:color w:val="auto"/>
          <w:szCs w:val="24"/>
          <w:highlight w:val="none"/>
        </w:rPr>
        <w:t xml:space="preserve">.6.1 </w:t>
      </w:r>
      <w:r>
        <w:rPr>
          <w:rFonts w:hint="eastAsia" w:ascii="仿宋_GB2312" w:eastAsia="仿宋_GB2312"/>
          <w:color w:val="auto"/>
          <w:szCs w:val="24"/>
          <w:highlight w:val="none"/>
        </w:rPr>
        <w:t>经发包人同意，</w:t>
      </w:r>
      <w:bookmarkEnd w:id="568"/>
      <w:r>
        <w:rPr>
          <w:rFonts w:hint="eastAsia" w:ascii="仿宋_GB2312" w:eastAsia="仿宋_GB2312"/>
          <w:color w:val="auto"/>
          <w:szCs w:val="24"/>
          <w:highlight w:val="none"/>
        </w:rPr>
        <w:t>以联合体方式承包工程的，联合体各方应共同与发包人订立合同协议书。联合体各方应为履行合同向发包人承担连带责任。</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.6.2 </w:t>
      </w:r>
      <w:r>
        <w:rPr>
          <w:rFonts w:hint="eastAsia" w:ascii="仿宋_GB2312" w:eastAsia="仿宋_GB2312"/>
          <w:color w:val="auto"/>
          <w:szCs w:val="24"/>
          <w:highlight w:val="none"/>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.6.3 </w:t>
      </w:r>
      <w:r>
        <w:rPr>
          <w:rFonts w:hint="eastAsia" w:ascii="仿宋_GB2312" w:eastAsia="仿宋_GB2312"/>
          <w:color w:val="auto"/>
          <w:szCs w:val="24"/>
          <w:highlight w:val="none"/>
        </w:rPr>
        <w:t>联合体协议经发包人确认后作为合同附件。在履行合同过程中，未经发包人同意，不得变更联合体成员和其负责的工作范围，或者修改联合体协议中与本合同履行相关的内容。</w:t>
      </w:r>
    </w:p>
    <w:p>
      <w:pPr>
        <w:pStyle w:val="54"/>
        <w:widowControl/>
        <w:numPr>
          <w:ilvl w:val="0"/>
          <w:numId w:val="0"/>
        </w:numPr>
        <w:rPr>
          <w:b w:val="0"/>
          <w:bCs/>
          <w:color w:val="auto"/>
          <w:highlight w:val="none"/>
        </w:rPr>
      </w:pPr>
      <w:bookmarkStart w:id="569" w:name="_Ref11926631"/>
      <w:bookmarkStart w:id="570" w:name="_Toc54862218"/>
      <w:bookmarkStart w:id="571" w:name="_Ref11926629"/>
      <w:r>
        <w:rPr>
          <w:rFonts w:hint="eastAsia"/>
          <w:b w:val="0"/>
          <w:bCs/>
          <w:color w:val="auto"/>
          <w:highlight w:val="none"/>
        </w:rPr>
        <w:t>4</w:t>
      </w:r>
      <w:r>
        <w:rPr>
          <w:b w:val="0"/>
          <w:bCs/>
          <w:color w:val="auto"/>
          <w:highlight w:val="none"/>
        </w:rPr>
        <w:t xml:space="preserve">.7 </w:t>
      </w:r>
      <w:r>
        <w:rPr>
          <w:rFonts w:hint="eastAsia"/>
          <w:b w:val="0"/>
          <w:bCs/>
          <w:color w:val="auto"/>
          <w:highlight w:val="none"/>
        </w:rPr>
        <w:t>承包人现场查勘</w:t>
      </w:r>
      <w:bookmarkEnd w:id="569"/>
      <w:bookmarkEnd w:id="570"/>
      <w:bookmarkEnd w:id="571"/>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.7.1 </w:t>
      </w:r>
      <w:r>
        <w:rPr>
          <w:rFonts w:hint="eastAsia" w:ascii="仿宋_GB2312" w:eastAsia="仿宋_GB2312"/>
          <w:color w:val="auto"/>
          <w:szCs w:val="24"/>
          <w:highlight w:val="none"/>
        </w:rPr>
        <w:t>除专用合同条件另有约定外，承包人应对基于发包人提交的基础资料所做出的解释和推断负责，因基础资料存在错误、遗漏导致承包人解释或推断失实的，按照第</w:t>
      </w:r>
      <w:r>
        <w:rPr>
          <w:rFonts w:ascii="仿宋_GB2312" w:eastAsia="仿宋_GB2312"/>
          <w:color w:val="auto"/>
          <w:szCs w:val="24"/>
          <w:highlight w:val="none"/>
        </w:rPr>
        <w:t>2.3</w:t>
      </w:r>
      <w:r>
        <w:rPr>
          <w:rFonts w:hint="eastAsia" w:ascii="仿宋_GB2312" w:eastAsia="仿宋_GB2312"/>
          <w:color w:val="auto"/>
          <w:szCs w:val="24"/>
          <w:highlight w:val="none"/>
        </w:rPr>
        <w:t>项[</w:t>
      </w:r>
      <w:r>
        <w:rPr>
          <w:rFonts w:ascii="仿宋_GB2312" w:eastAsia="仿宋_GB2312"/>
          <w:color w:val="auto"/>
          <w:szCs w:val="24"/>
          <w:highlight w:val="none"/>
        </w:rPr>
        <w:t>提供基础资料</w:t>
      </w:r>
      <w:r>
        <w:rPr>
          <w:rFonts w:hint="eastAsia" w:ascii="仿宋_GB2312" w:eastAsia="仿宋_GB2312"/>
          <w:color w:val="auto"/>
          <w:szCs w:val="24"/>
          <w:highlight w:val="none"/>
        </w:rPr>
        <w:t>]的规定承担责任。承包人发现基础资料中存在明显错误或疏忽的，应及时书面通知发包人。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.7.2 </w:t>
      </w:r>
      <w:r>
        <w:rPr>
          <w:rFonts w:hint="eastAsia" w:ascii="仿宋_GB2312" w:eastAsia="仿宋_GB2312"/>
          <w:color w:val="auto"/>
          <w:szCs w:val="24"/>
          <w:highlight w:val="none"/>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rFonts w:ascii="仿宋_GB2312" w:eastAsia="仿宋_GB2312"/>
          <w:color w:val="auto"/>
          <w:szCs w:val="24"/>
          <w:highlight w:val="none"/>
        </w:rPr>
        <w:t>4.8</w:t>
      </w:r>
      <w:r>
        <w:rPr>
          <w:rFonts w:hint="eastAsia" w:ascii="仿宋_GB2312" w:eastAsia="仿宋_GB2312"/>
          <w:color w:val="auto"/>
          <w:szCs w:val="24"/>
          <w:highlight w:val="none"/>
        </w:rPr>
        <w:t>款</w:t>
      </w:r>
      <w:r>
        <w:rPr>
          <w:rFonts w:ascii="仿宋_GB2312" w:eastAsia="仿宋_GB2312"/>
          <w:color w:val="auto"/>
          <w:szCs w:val="24"/>
          <w:highlight w:val="none"/>
        </w:rPr>
        <w:t>[</w:t>
      </w:r>
      <w:r>
        <w:rPr>
          <w:rFonts w:hint="eastAsia" w:ascii="仿宋_GB2312" w:eastAsia="仿宋_GB2312"/>
          <w:color w:val="auto"/>
          <w:szCs w:val="24"/>
          <w:highlight w:val="none"/>
        </w:rPr>
        <w:t>不可预见的困难</w:t>
      </w:r>
      <w:r>
        <w:rPr>
          <w:rFonts w:ascii="仿宋_GB2312" w:eastAsia="仿宋_GB2312"/>
          <w:color w:val="auto"/>
          <w:szCs w:val="24"/>
          <w:highlight w:val="none"/>
        </w:rPr>
        <w:t>]约定的情形除外</w:t>
      </w:r>
      <w:r>
        <w:rPr>
          <w:rFonts w:hint="eastAsia" w:ascii="仿宋_GB2312" w:eastAsia="仿宋_GB2312"/>
          <w:color w:val="auto"/>
          <w:szCs w:val="24"/>
          <w:highlight w:val="none"/>
        </w:rPr>
        <w:t>。</w:t>
      </w:r>
    </w:p>
    <w:p>
      <w:pPr>
        <w:pStyle w:val="54"/>
        <w:widowControl/>
        <w:numPr>
          <w:ilvl w:val="0"/>
          <w:numId w:val="0"/>
        </w:numPr>
        <w:rPr>
          <w:b w:val="0"/>
          <w:bCs/>
          <w:color w:val="auto"/>
          <w:highlight w:val="none"/>
        </w:rPr>
      </w:pPr>
      <w:bookmarkStart w:id="572" w:name="_Ref11918693"/>
      <w:bookmarkStart w:id="573" w:name="_Ref11918626"/>
      <w:bookmarkStart w:id="574" w:name="_Toc54862219"/>
      <w:bookmarkStart w:id="575" w:name="_Ref11918789"/>
      <w:bookmarkStart w:id="576" w:name="不可预见的困难"/>
      <w:r>
        <w:rPr>
          <w:rFonts w:hint="eastAsia"/>
          <w:b w:val="0"/>
          <w:bCs/>
          <w:color w:val="auto"/>
          <w:highlight w:val="none"/>
        </w:rPr>
        <w:t>4</w:t>
      </w:r>
      <w:r>
        <w:rPr>
          <w:b w:val="0"/>
          <w:bCs/>
          <w:color w:val="auto"/>
          <w:highlight w:val="none"/>
        </w:rPr>
        <w:t xml:space="preserve">.8 </w:t>
      </w:r>
      <w:r>
        <w:rPr>
          <w:rFonts w:hint="eastAsia"/>
          <w:b w:val="0"/>
          <w:bCs/>
          <w:color w:val="auto"/>
          <w:highlight w:val="none"/>
        </w:rPr>
        <w:t>不可预见的困难</w:t>
      </w:r>
      <w:bookmarkEnd w:id="565"/>
      <w:bookmarkEnd w:id="566"/>
      <w:bookmarkEnd w:id="567"/>
      <w:bookmarkEnd w:id="572"/>
      <w:bookmarkEnd w:id="573"/>
      <w:bookmarkEnd w:id="574"/>
      <w:bookmarkEnd w:id="575"/>
      <w:bookmarkEnd w:id="576"/>
      <w:r>
        <w:rPr>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ascii="仿宋_GB2312" w:eastAsia="仿宋_GB2312"/>
          <w:color w:val="auto"/>
          <w:sz w:val="24"/>
          <w:highlight w:val="none"/>
        </w:rPr>
        <w:t>13条</w:t>
      </w:r>
      <w:r>
        <w:rPr>
          <w:rFonts w:hint="eastAsia" w:ascii="仿宋_GB2312" w:eastAsia="仿宋_GB2312"/>
          <w:color w:val="auto"/>
          <w:sz w:val="24"/>
          <w:highlight w:val="none"/>
        </w:rPr>
        <w:t>[变更与调整]约定执行。承包人因采取合理措施而增加的费用和（或）延误的工期由发包人承担。</w:t>
      </w:r>
    </w:p>
    <w:p>
      <w:pPr>
        <w:pStyle w:val="54"/>
        <w:widowControl/>
        <w:numPr>
          <w:ilvl w:val="0"/>
          <w:numId w:val="0"/>
        </w:numPr>
        <w:rPr>
          <w:b w:val="0"/>
          <w:bCs/>
          <w:color w:val="auto"/>
          <w:highlight w:val="none"/>
        </w:rPr>
      </w:pPr>
      <w:bookmarkStart w:id="577" w:name="_Toc54862220"/>
      <w:bookmarkStart w:id="578" w:name="_Ref11926566"/>
      <w:bookmarkStart w:id="579" w:name="_Ref11926570"/>
      <w:r>
        <w:rPr>
          <w:rFonts w:hint="eastAsia"/>
          <w:b w:val="0"/>
          <w:bCs/>
          <w:color w:val="auto"/>
          <w:highlight w:val="none"/>
        </w:rPr>
        <w:t>4</w:t>
      </w:r>
      <w:r>
        <w:rPr>
          <w:b w:val="0"/>
          <w:bCs/>
          <w:color w:val="auto"/>
          <w:highlight w:val="none"/>
        </w:rPr>
        <w:t xml:space="preserve">.9 </w:t>
      </w:r>
      <w:r>
        <w:rPr>
          <w:rFonts w:hint="eastAsia"/>
          <w:b w:val="0"/>
          <w:bCs/>
          <w:color w:val="auto"/>
          <w:highlight w:val="none"/>
        </w:rPr>
        <w:t>工程质量管理</w:t>
      </w:r>
      <w:bookmarkEnd w:id="577"/>
      <w:bookmarkEnd w:id="578"/>
      <w:bookmarkEnd w:id="579"/>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.9.1 </w:t>
      </w:r>
      <w:r>
        <w:rPr>
          <w:rFonts w:hint="eastAsia" w:ascii="仿宋_GB2312" w:eastAsia="仿宋_GB2312"/>
          <w:color w:val="auto"/>
          <w:szCs w:val="24"/>
          <w:highlight w:val="none"/>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55"/>
        <w:numPr>
          <w:ilvl w:val="0"/>
          <w:numId w:val="0"/>
        </w:numPr>
        <w:rPr>
          <w:rFonts w:ascii="仿宋_GB2312" w:eastAsia="仿宋_GB2312"/>
          <w:color w:val="auto"/>
          <w:szCs w:val="24"/>
          <w:highlight w:val="none"/>
        </w:rPr>
      </w:pPr>
      <w:r>
        <w:rPr>
          <w:rFonts w:ascii="仿宋_GB2312" w:eastAsia="仿宋_GB2312"/>
          <w:color w:val="auto"/>
          <w:szCs w:val="24"/>
          <w:highlight w:val="none"/>
        </w:rPr>
        <w:t xml:space="preserve">4.9.2 </w:t>
      </w:r>
      <w:r>
        <w:rPr>
          <w:rFonts w:hint="eastAsia" w:ascii="仿宋_GB2312" w:eastAsia="仿宋_GB2312"/>
          <w:color w:val="auto"/>
          <w:szCs w:val="24"/>
          <w:highlight w:val="none"/>
        </w:rPr>
        <w:t>承包人按照第</w:t>
      </w:r>
      <w:r>
        <w:rPr>
          <w:rFonts w:ascii="仿宋_GB2312" w:eastAsia="仿宋_GB2312"/>
          <w:color w:val="auto"/>
          <w:szCs w:val="24"/>
          <w:highlight w:val="none"/>
        </w:rPr>
        <w:t>8.4</w:t>
      </w:r>
      <w:r>
        <w:rPr>
          <w:rFonts w:hint="eastAsia" w:ascii="仿宋_GB2312" w:eastAsia="仿宋_GB2312"/>
          <w:color w:val="auto"/>
          <w:szCs w:val="24"/>
          <w:highlight w:val="none"/>
        </w:rPr>
        <w:t>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.9.3 </w:t>
      </w:r>
      <w:r>
        <w:rPr>
          <w:rFonts w:hint="eastAsia" w:ascii="仿宋_GB2312" w:eastAsia="仿宋_GB2312"/>
          <w:color w:val="auto"/>
          <w:szCs w:val="24"/>
          <w:highlight w:val="none"/>
        </w:rPr>
        <w:t>承包人应对其人员进行质量教育和技术培训，定期考核人员的劳动技能，严格执行相关规范和操作规程。</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4</w:t>
      </w:r>
      <w:r>
        <w:rPr>
          <w:rFonts w:ascii="仿宋_GB2312" w:eastAsia="仿宋_GB2312"/>
          <w:color w:val="auto"/>
          <w:szCs w:val="24"/>
          <w:highlight w:val="none"/>
        </w:rPr>
        <w:t xml:space="preserve">.9.4 </w:t>
      </w:r>
      <w:r>
        <w:rPr>
          <w:rFonts w:hint="eastAsia" w:ascii="仿宋_GB2312" w:eastAsia="仿宋_GB2312"/>
          <w:color w:val="auto"/>
          <w:szCs w:val="24"/>
          <w:highlight w:val="none"/>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42"/>
        <w:numPr>
          <w:ilvl w:val="0"/>
          <w:numId w:val="0"/>
        </w:numPr>
        <w:wordWrap/>
        <w:topLinePunct w:val="0"/>
        <w:rPr>
          <w:b w:val="0"/>
          <w:bCs/>
          <w:color w:val="auto"/>
          <w:sz w:val="24"/>
          <w:szCs w:val="24"/>
          <w:highlight w:val="none"/>
        </w:rPr>
      </w:pPr>
      <w:bookmarkStart w:id="580" w:name="_Ref531952837"/>
      <w:bookmarkStart w:id="581" w:name="_Toc54862221"/>
      <w:r>
        <w:rPr>
          <w:rFonts w:hint="eastAsia"/>
          <w:b w:val="0"/>
          <w:bCs/>
          <w:color w:val="auto"/>
          <w:sz w:val="24"/>
          <w:szCs w:val="24"/>
          <w:highlight w:val="none"/>
        </w:rPr>
        <w:t>第5条 设计</w:t>
      </w:r>
      <w:bookmarkEnd w:id="580"/>
      <w:bookmarkEnd w:id="581"/>
    </w:p>
    <w:p>
      <w:pPr>
        <w:pStyle w:val="54"/>
        <w:widowControl/>
        <w:numPr>
          <w:ilvl w:val="0"/>
          <w:numId w:val="0"/>
        </w:numPr>
        <w:rPr>
          <w:b w:val="0"/>
          <w:bCs/>
          <w:color w:val="auto"/>
          <w:highlight w:val="none"/>
        </w:rPr>
      </w:pPr>
      <w:bookmarkStart w:id="582" w:name="_Ref531952860"/>
      <w:bookmarkStart w:id="583" w:name="_Ref531952863"/>
      <w:bookmarkStart w:id="584" w:name="_Toc54862222"/>
      <w:r>
        <w:rPr>
          <w:rFonts w:hint="eastAsia"/>
          <w:b w:val="0"/>
          <w:bCs/>
          <w:color w:val="auto"/>
          <w:highlight w:val="none"/>
        </w:rPr>
        <w:t>5</w:t>
      </w:r>
      <w:r>
        <w:rPr>
          <w:b w:val="0"/>
          <w:bCs/>
          <w:color w:val="auto"/>
          <w:highlight w:val="none"/>
        </w:rPr>
        <w:t xml:space="preserve">.1 </w:t>
      </w:r>
      <w:r>
        <w:rPr>
          <w:rFonts w:hint="eastAsia"/>
          <w:b w:val="0"/>
          <w:bCs/>
          <w:color w:val="auto"/>
          <w:highlight w:val="none"/>
        </w:rPr>
        <w:t>承包人的设计义务</w:t>
      </w:r>
      <w:bookmarkEnd w:id="582"/>
      <w:bookmarkEnd w:id="583"/>
      <w:bookmarkEnd w:id="584"/>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585" w:name="_Ref531952881"/>
      <w:r>
        <w:rPr>
          <w:rFonts w:hint="eastAsia" w:ascii="仿宋_GB2312" w:eastAsia="仿宋_GB2312"/>
          <w:color w:val="auto"/>
          <w:szCs w:val="24"/>
          <w:highlight w:val="none"/>
        </w:rPr>
        <w:t>5</w:t>
      </w:r>
      <w:r>
        <w:rPr>
          <w:rFonts w:ascii="仿宋_GB2312" w:eastAsia="仿宋_GB2312"/>
          <w:color w:val="auto"/>
          <w:szCs w:val="24"/>
          <w:highlight w:val="none"/>
        </w:rPr>
        <w:t xml:space="preserve">.1.1 </w:t>
      </w:r>
      <w:r>
        <w:rPr>
          <w:rFonts w:hint="eastAsia" w:ascii="仿宋_GB2312" w:eastAsia="仿宋_GB2312"/>
          <w:color w:val="auto"/>
          <w:szCs w:val="24"/>
          <w:highlight w:val="none"/>
        </w:rPr>
        <w:t>设计义务的一般要求</w:t>
      </w:r>
      <w:bookmarkEnd w:id="585"/>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55"/>
        <w:numPr>
          <w:ilvl w:val="0"/>
          <w:numId w:val="0"/>
        </w:numPr>
        <w:rPr>
          <w:rFonts w:ascii="仿宋_GB2312" w:eastAsia="仿宋_GB2312"/>
          <w:color w:val="auto"/>
          <w:szCs w:val="24"/>
          <w:highlight w:val="none"/>
        </w:rPr>
      </w:pPr>
      <w:bookmarkStart w:id="586" w:name="_Ref531952952"/>
      <w:bookmarkStart w:id="587" w:name="_Ref531952899"/>
      <w:r>
        <w:rPr>
          <w:rFonts w:hint="eastAsia" w:ascii="仿宋_GB2312" w:eastAsia="仿宋_GB2312"/>
          <w:color w:val="auto"/>
          <w:szCs w:val="24"/>
          <w:highlight w:val="none"/>
        </w:rPr>
        <w:t>5</w:t>
      </w:r>
      <w:r>
        <w:rPr>
          <w:rFonts w:ascii="仿宋_GB2312" w:eastAsia="仿宋_GB2312"/>
          <w:color w:val="auto"/>
          <w:szCs w:val="24"/>
          <w:highlight w:val="none"/>
        </w:rPr>
        <w:t xml:space="preserve">.1.2 </w:t>
      </w:r>
      <w:r>
        <w:rPr>
          <w:rFonts w:hint="eastAsia" w:ascii="仿宋_GB2312" w:eastAsia="仿宋_GB2312"/>
          <w:color w:val="auto"/>
          <w:szCs w:val="24"/>
          <w:highlight w:val="none"/>
        </w:rPr>
        <w:t>对设计人员的要求</w:t>
      </w:r>
      <w:bookmarkEnd w:id="586"/>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587"/>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5</w:t>
      </w:r>
      <w:r>
        <w:rPr>
          <w:rFonts w:ascii="仿宋_GB2312" w:eastAsia="仿宋_GB2312"/>
          <w:color w:val="auto"/>
          <w:szCs w:val="24"/>
          <w:highlight w:val="none"/>
        </w:rPr>
        <w:t xml:space="preserve">.1.3 </w:t>
      </w:r>
      <w:r>
        <w:rPr>
          <w:rFonts w:hint="eastAsia" w:ascii="仿宋_GB2312" w:eastAsia="仿宋_GB2312"/>
          <w:color w:val="auto"/>
          <w:szCs w:val="24"/>
          <w:highlight w:val="none"/>
        </w:rPr>
        <w:t>法律和标准的变化</w:t>
      </w:r>
    </w:p>
    <w:p>
      <w:pPr>
        <w:ind w:firstLine="600"/>
        <w:rPr>
          <w:rFonts w:ascii="仿宋_GB2312" w:eastAsia="仿宋_GB2312"/>
          <w:color w:val="auto"/>
          <w:sz w:val="24"/>
          <w:highlight w:val="none"/>
        </w:rPr>
      </w:pPr>
      <w:r>
        <w:rPr>
          <w:rFonts w:hint="eastAsia" w:ascii="仿宋_GB2312" w:eastAsia="仿宋_GB2312"/>
          <w:color w:val="auto"/>
          <w:sz w:val="24"/>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ascii="仿宋_GB2312" w:eastAsia="仿宋_GB2312"/>
          <w:color w:val="auto"/>
          <w:sz w:val="24"/>
          <w:highlight w:val="none"/>
        </w:rPr>
        <w:t>13.2</w:t>
      </w:r>
      <w:r>
        <w:rPr>
          <w:rFonts w:hint="eastAsia" w:ascii="仿宋_GB2312" w:eastAsia="仿宋_GB2312"/>
          <w:color w:val="auto"/>
          <w:sz w:val="24"/>
          <w:highlight w:val="none"/>
        </w:rPr>
        <w:t>款[承包人的合理化建议]的约定执行。</w:t>
      </w:r>
    </w:p>
    <w:p>
      <w:pPr>
        <w:ind w:firstLine="600"/>
        <w:rPr>
          <w:rFonts w:ascii="仿宋_GB2312" w:eastAsia="仿宋_GB2312"/>
          <w:color w:val="auto"/>
          <w:sz w:val="24"/>
          <w:highlight w:val="none"/>
        </w:rPr>
      </w:pPr>
      <w:r>
        <w:rPr>
          <w:rFonts w:hint="eastAsia" w:ascii="仿宋_GB2312" w:eastAsia="仿宋_GB2312"/>
          <w:color w:val="auto"/>
          <w:sz w:val="24"/>
          <w:highlight w:val="none"/>
        </w:rPr>
        <w:t>在基准日期之后，因国家颁布新的强制性规范、标准导致承包人的费用变化的，发包人应合理调整合同价格；导致工期延误的，发包人应合理延长工期。</w:t>
      </w:r>
    </w:p>
    <w:p>
      <w:pPr>
        <w:pStyle w:val="54"/>
        <w:widowControl/>
        <w:numPr>
          <w:ilvl w:val="0"/>
          <w:numId w:val="0"/>
        </w:numPr>
        <w:rPr>
          <w:b w:val="0"/>
          <w:bCs/>
          <w:color w:val="auto"/>
          <w:highlight w:val="none"/>
        </w:rPr>
      </w:pPr>
      <w:bookmarkStart w:id="588" w:name="_Toc54862223"/>
      <w:bookmarkStart w:id="589" w:name="_Ref531953051"/>
      <w:bookmarkStart w:id="590" w:name="_Ref531953054"/>
      <w:r>
        <w:rPr>
          <w:rFonts w:hint="eastAsia"/>
          <w:b w:val="0"/>
          <w:bCs/>
          <w:color w:val="auto"/>
          <w:highlight w:val="none"/>
        </w:rPr>
        <w:t>5</w:t>
      </w:r>
      <w:r>
        <w:rPr>
          <w:b w:val="0"/>
          <w:bCs/>
          <w:color w:val="auto"/>
          <w:highlight w:val="none"/>
        </w:rPr>
        <w:t xml:space="preserve">.2 </w:t>
      </w:r>
      <w:r>
        <w:rPr>
          <w:rFonts w:hint="eastAsia"/>
          <w:b w:val="0"/>
          <w:bCs/>
          <w:color w:val="auto"/>
          <w:highlight w:val="none"/>
        </w:rPr>
        <w:t>承包人文件审查</w:t>
      </w:r>
      <w:bookmarkEnd w:id="588"/>
      <w:bookmarkEnd w:id="589"/>
      <w:bookmarkEnd w:id="590"/>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591" w:name="_Ref531953064"/>
      <w:r>
        <w:rPr>
          <w:rFonts w:hint="eastAsia" w:ascii="仿宋_GB2312" w:eastAsia="仿宋_GB2312"/>
          <w:color w:val="auto"/>
          <w:szCs w:val="24"/>
          <w:highlight w:val="none"/>
        </w:rPr>
        <w:t>5</w:t>
      </w:r>
      <w:r>
        <w:rPr>
          <w:rFonts w:ascii="仿宋_GB2312" w:eastAsia="仿宋_GB2312"/>
          <w:color w:val="auto"/>
          <w:szCs w:val="24"/>
          <w:highlight w:val="none"/>
        </w:rPr>
        <w:t xml:space="preserve">.2.1 </w:t>
      </w:r>
      <w:r>
        <w:rPr>
          <w:rFonts w:hint="eastAsia" w:ascii="仿宋_GB2312" w:eastAsia="仿宋_GB2312"/>
          <w:color w:val="auto"/>
          <w:szCs w:val="24"/>
          <w:highlight w:val="none"/>
        </w:rPr>
        <w:t>根据《发包人要求》应当通过工程师报发包人审查同意的承包人文件，承包人应当按照《发包人要求》约定的范围和内容及时报送审查。</w:t>
      </w:r>
      <w:bookmarkEnd w:id="591"/>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发包人同意承包人文件的，应及时通知承包人，发包人不同意承包人文件的，应在审查期限内通过工程师以书面形式通知承包人，并说明不同意的具体内容和理由。</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承包人对发包人的意见按以下方式处理：</w:t>
      </w:r>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发包人的意见构成变更的，承包人应在7天内通知发包人按照第1</w:t>
      </w:r>
      <w:r>
        <w:rPr>
          <w:rFonts w:ascii="仿宋_GB2312" w:eastAsia="仿宋_GB2312"/>
          <w:color w:val="auto"/>
          <w:sz w:val="24"/>
          <w:highlight w:val="none"/>
        </w:rPr>
        <w:t>3</w:t>
      </w:r>
      <w:r>
        <w:rPr>
          <w:rFonts w:hint="eastAsia" w:ascii="仿宋_GB2312" w:eastAsia="仿宋_GB2312"/>
          <w:color w:val="auto"/>
          <w:sz w:val="24"/>
          <w:highlight w:val="none"/>
        </w:rPr>
        <w:t>条</w:t>
      </w:r>
      <w:r>
        <w:rPr>
          <w:rFonts w:ascii="仿宋_GB2312" w:eastAsia="仿宋_GB2312"/>
          <w:color w:val="auto"/>
          <w:sz w:val="24"/>
          <w:highlight w:val="none"/>
        </w:rPr>
        <w:t>[</w:t>
      </w:r>
      <w:r>
        <w:rPr>
          <w:rFonts w:hint="eastAsia" w:ascii="仿宋_GB2312" w:eastAsia="仿宋_GB2312"/>
          <w:color w:val="auto"/>
          <w:sz w:val="24"/>
          <w:highlight w:val="none"/>
        </w:rPr>
        <w:t>变更与调整</w:t>
      </w:r>
      <w:r>
        <w:rPr>
          <w:rFonts w:ascii="仿宋_GB2312" w:eastAsia="仿宋_GB2312"/>
          <w:color w:val="auto"/>
          <w:sz w:val="24"/>
          <w:highlight w:val="none"/>
        </w:rPr>
        <w:t>]</w:t>
      </w:r>
      <w:r>
        <w:rPr>
          <w:rFonts w:hint="eastAsia" w:ascii="仿宋_GB2312" w:eastAsia="仿宋_GB2312"/>
          <w:color w:val="auto"/>
          <w:sz w:val="24"/>
          <w:highlight w:val="none"/>
        </w:rPr>
        <w:t>中关于发包人指示变更的约定执行，双方对是否构成变更无法达成一致的，按照第</w:t>
      </w:r>
      <w:r>
        <w:rPr>
          <w:rFonts w:ascii="仿宋_GB2312" w:eastAsia="仿宋_GB2312"/>
          <w:color w:val="auto"/>
          <w:sz w:val="24"/>
          <w:highlight w:val="none"/>
        </w:rPr>
        <w:t>20条[</w:t>
      </w:r>
      <w:r>
        <w:rPr>
          <w:rFonts w:hint="eastAsia" w:ascii="仿宋_GB2312" w:eastAsia="仿宋_GB2312"/>
          <w:color w:val="auto"/>
          <w:sz w:val="24"/>
          <w:highlight w:val="none"/>
        </w:rPr>
        <w:t>争议解决</w:t>
      </w:r>
      <w:r>
        <w:rPr>
          <w:rFonts w:ascii="仿宋_GB2312" w:eastAsia="仿宋_GB2312"/>
          <w:color w:val="auto"/>
          <w:sz w:val="24"/>
          <w:highlight w:val="none"/>
        </w:rPr>
        <w:t>]</w:t>
      </w:r>
      <w:r>
        <w:rPr>
          <w:rFonts w:hint="eastAsia" w:ascii="仿宋_GB2312" w:eastAsia="仿宋_GB2312"/>
          <w:color w:val="auto"/>
          <w:sz w:val="24"/>
          <w:highlight w:val="none"/>
        </w:rPr>
        <w:t>的约定执行；</w:t>
      </w:r>
    </w:p>
    <w:p>
      <w:pPr>
        <w:ind w:firstLine="600"/>
        <w:rPr>
          <w:rFonts w:ascii="仿宋_GB2312" w:eastAsia="仿宋_GB2312"/>
          <w:color w:val="auto"/>
          <w:sz w:val="24"/>
          <w:highlight w:val="none"/>
        </w:rPr>
      </w:pPr>
      <w:r>
        <w:rPr>
          <w:rFonts w:hint="eastAsia" w:ascii="仿宋_GB2312" w:eastAsia="仿宋_GB2312"/>
          <w:color w:val="auto"/>
          <w:sz w:val="24"/>
          <w:highlight w:val="none"/>
        </w:rPr>
        <w:t>（2） 因承包人原因导致无法通过审查的，承包人应根据发包人的书面说明，对承包人文件进行修改后重新报送发包人审查，审查期重新起算。因此引起的工期延长和必要的工程费用增加，由承包人负责。</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合同约定的审查期满，发包人没有做出审查结论也没有提出异议的，视为承包人文件已获发包人同意。</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发包人对承包人文件的审查和同意不得被理解为对合同的修改或改变，也并不减轻或免除承包人任何的责任和义务。</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5</w:t>
      </w:r>
      <w:r>
        <w:rPr>
          <w:rFonts w:ascii="仿宋_GB2312" w:eastAsia="仿宋_GB2312"/>
          <w:color w:val="auto"/>
          <w:szCs w:val="24"/>
          <w:highlight w:val="none"/>
        </w:rPr>
        <w:t xml:space="preserve">.2.2 </w:t>
      </w:r>
      <w:r>
        <w:rPr>
          <w:rFonts w:hint="eastAsia" w:ascii="仿宋_GB2312" w:eastAsia="仿宋_GB2312"/>
          <w:color w:val="auto"/>
          <w:szCs w:val="24"/>
          <w:highlight w:val="none"/>
        </w:rPr>
        <w:t>承包人文件不需要政府有关部门或专用合同条件约定的第三方审查单位审查或批准的，承包人应当严格按照经发包人审查同意的承包人文件设计和实施工程。</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发包人有义务向承包人提供审查会议的批准文件和纪要。承包人有义务按照相关审查会议批准的文件和纪要，并依据合同约定及相关技术标准，对承包人文件进行修改、补充和完善。</w:t>
      </w:r>
    </w:p>
    <w:p>
      <w:pPr>
        <w:pStyle w:val="55"/>
        <w:numPr>
          <w:ilvl w:val="0"/>
          <w:numId w:val="0"/>
        </w:numPr>
        <w:rPr>
          <w:rFonts w:ascii="仿宋_GB2312" w:eastAsia="仿宋_GB2312"/>
          <w:color w:val="auto"/>
          <w:szCs w:val="24"/>
          <w:highlight w:val="none"/>
        </w:rPr>
      </w:pPr>
      <w:bookmarkStart w:id="592" w:name="_Ref531953074"/>
      <w:r>
        <w:rPr>
          <w:rFonts w:hint="eastAsia" w:ascii="仿宋_GB2312" w:eastAsia="仿宋_GB2312"/>
          <w:color w:val="auto"/>
          <w:szCs w:val="24"/>
          <w:highlight w:val="none"/>
        </w:rPr>
        <w:t>5</w:t>
      </w:r>
      <w:r>
        <w:rPr>
          <w:rFonts w:ascii="仿宋_GB2312" w:eastAsia="仿宋_GB2312"/>
          <w:color w:val="auto"/>
          <w:szCs w:val="24"/>
          <w:highlight w:val="none"/>
        </w:rPr>
        <w:t xml:space="preserve">.2.3 </w:t>
      </w:r>
      <w:r>
        <w:rPr>
          <w:rFonts w:hint="eastAsia" w:ascii="仿宋_GB2312" w:eastAsia="仿宋_GB2312"/>
          <w:color w:val="auto"/>
          <w:szCs w:val="24"/>
          <w:highlight w:val="none"/>
        </w:rPr>
        <w:t>承包人文件需政府有关部门或专用合同条件约定的第三方审查单位审查或批准的，发包人应在发包人审查同意承包人文件后7天内，向政府有关部门或第三方报送承包人文件，承包人应予以协助。</w:t>
      </w:r>
      <w:bookmarkEnd w:id="592"/>
    </w:p>
    <w:p>
      <w:pPr>
        <w:ind w:firstLine="600"/>
        <w:rPr>
          <w:rFonts w:ascii="仿宋_GB2312" w:eastAsia="仿宋_GB2312"/>
          <w:color w:val="auto"/>
          <w:sz w:val="24"/>
          <w:highlight w:val="none"/>
        </w:rPr>
      </w:pPr>
      <w:r>
        <w:rPr>
          <w:rFonts w:hint="eastAsia" w:ascii="仿宋_GB2312" w:eastAsia="仿宋_GB2312"/>
          <w:color w:val="auto"/>
          <w:sz w:val="24"/>
          <w:highlight w:val="none"/>
        </w:rPr>
        <w:t>对于政府有关部门或第三方审查单位的审查意见，不需要修改《发包人要求》的，承包人需按该审查意见修改承包人的设计文件；需要修改《发包人要求》的，承包人应按第</w:t>
      </w:r>
      <w:r>
        <w:rPr>
          <w:rFonts w:ascii="仿宋_GB2312" w:eastAsia="仿宋_GB2312"/>
          <w:color w:val="auto"/>
          <w:sz w:val="24"/>
          <w:highlight w:val="none"/>
        </w:rPr>
        <w:t>13.2</w:t>
      </w:r>
      <w:r>
        <w:rPr>
          <w:rFonts w:hint="eastAsia" w:ascii="仿宋_GB2312" w:eastAsia="仿宋_GB2312"/>
          <w:color w:val="auto"/>
          <w:sz w:val="24"/>
          <w:highlight w:val="none"/>
        </w:rPr>
        <w:t>款[承包人的合理化建议]的约定执行。上述情形还应适用第</w:t>
      </w:r>
      <w:r>
        <w:rPr>
          <w:rFonts w:ascii="仿宋_GB2312" w:eastAsia="仿宋_GB2312"/>
          <w:color w:val="auto"/>
          <w:sz w:val="24"/>
          <w:highlight w:val="none"/>
        </w:rPr>
        <w:t>5.1</w:t>
      </w:r>
      <w:r>
        <w:rPr>
          <w:rFonts w:hint="eastAsia" w:ascii="仿宋_GB2312" w:eastAsia="仿宋_GB2312"/>
          <w:color w:val="auto"/>
          <w:sz w:val="24"/>
          <w:highlight w:val="none"/>
        </w:rPr>
        <w:t>款[承包人的设计义务]和第</w:t>
      </w:r>
      <w:r>
        <w:rPr>
          <w:rFonts w:ascii="仿宋_GB2312" w:eastAsia="仿宋_GB2312"/>
          <w:color w:val="auto"/>
          <w:sz w:val="24"/>
          <w:highlight w:val="none"/>
        </w:rPr>
        <w:t>13条</w:t>
      </w:r>
      <w:r>
        <w:rPr>
          <w:rFonts w:hint="eastAsia" w:ascii="仿宋_GB2312" w:eastAsia="仿宋_GB2312"/>
          <w:color w:val="auto"/>
          <w:sz w:val="24"/>
          <w:highlight w:val="none"/>
        </w:rPr>
        <w:t>[变更与调整]的有关约定。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54"/>
        <w:widowControl/>
        <w:numPr>
          <w:ilvl w:val="0"/>
          <w:numId w:val="0"/>
        </w:numPr>
        <w:rPr>
          <w:b w:val="0"/>
          <w:bCs/>
          <w:color w:val="auto"/>
          <w:highlight w:val="none"/>
        </w:rPr>
      </w:pPr>
      <w:bookmarkStart w:id="593" w:name="_Toc54862224"/>
      <w:bookmarkStart w:id="594" w:name="_Ref531953095"/>
      <w:bookmarkStart w:id="595" w:name="_Ref531953097"/>
      <w:r>
        <w:rPr>
          <w:rFonts w:hint="eastAsia"/>
          <w:b w:val="0"/>
          <w:bCs/>
          <w:color w:val="auto"/>
          <w:highlight w:val="none"/>
        </w:rPr>
        <w:t>5</w:t>
      </w:r>
      <w:r>
        <w:rPr>
          <w:b w:val="0"/>
          <w:bCs/>
          <w:color w:val="auto"/>
          <w:highlight w:val="none"/>
        </w:rPr>
        <w:t xml:space="preserve">.3 </w:t>
      </w:r>
      <w:r>
        <w:rPr>
          <w:rFonts w:hint="eastAsia"/>
          <w:b w:val="0"/>
          <w:bCs/>
          <w:color w:val="auto"/>
          <w:highlight w:val="none"/>
        </w:rPr>
        <w:t>培训</w:t>
      </w:r>
      <w:bookmarkEnd w:id="593"/>
      <w:bookmarkEnd w:id="594"/>
      <w:bookmarkEnd w:id="595"/>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承包人应按照《发包人要求》，对发包人的雇员或其它发包人指定的人员进行工程操作、维修或其它合同中约定的培训。合同约定接收之前进行培训的，应在第</w:t>
      </w:r>
      <w:r>
        <w:rPr>
          <w:rFonts w:ascii="仿宋_GB2312" w:eastAsia="仿宋_GB2312"/>
          <w:color w:val="auto"/>
          <w:sz w:val="24"/>
          <w:highlight w:val="none"/>
        </w:rPr>
        <w:t>10.1</w:t>
      </w:r>
      <w:r>
        <w:rPr>
          <w:rFonts w:hint="eastAsia" w:ascii="仿宋_GB2312" w:eastAsia="仿宋_GB2312"/>
          <w:color w:val="auto"/>
          <w:sz w:val="24"/>
          <w:highlight w:val="none"/>
        </w:rPr>
        <w:t>款[</w:t>
      </w:r>
      <w:r>
        <w:rPr>
          <w:rFonts w:ascii="仿宋_GB2312" w:eastAsia="仿宋_GB2312"/>
          <w:color w:val="auto"/>
          <w:sz w:val="24"/>
          <w:highlight w:val="none"/>
        </w:rPr>
        <w:t>竣工验收</w:t>
      </w:r>
      <w:r>
        <w:rPr>
          <w:rFonts w:hint="eastAsia" w:ascii="仿宋_GB2312" w:eastAsia="仿宋_GB2312"/>
          <w:color w:val="auto"/>
          <w:sz w:val="24"/>
          <w:highlight w:val="none"/>
        </w:rPr>
        <w:t>]约定的竣工验收前或试运行结束前完成培训。</w:t>
      </w:r>
    </w:p>
    <w:p>
      <w:pPr>
        <w:ind w:firstLine="600"/>
        <w:rPr>
          <w:rFonts w:ascii="仿宋_GB2312" w:eastAsia="仿宋_GB2312"/>
          <w:color w:val="auto"/>
          <w:sz w:val="24"/>
          <w:highlight w:val="none"/>
        </w:rPr>
      </w:pPr>
      <w:r>
        <w:rPr>
          <w:rFonts w:hint="eastAsia" w:ascii="仿宋_GB2312" w:eastAsia="仿宋_GB2312"/>
          <w:color w:val="auto"/>
          <w:sz w:val="24"/>
          <w:highlight w:val="none"/>
        </w:rPr>
        <w:t>培训的时长应由双方在专用合同条件中约定，承包人应为培训提供有经验的人员、设施和其它必要条件。</w:t>
      </w:r>
    </w:p>
    <w:p>
      <w:pPr>
        <w:pStyle w:val="54"/>
        <w:widowControl/>
        <w:numPr>
          <w:ilvl w:val="0"/>
          <w:numId w:val="0"/>
        </w:numPr>
        <w:rPr>
          <w:b w:val="0"/>
          <w:bCs/>
          <w:color w:val="auto"/>
          <w:highlight w:val="none"/>
        </w:rPr>
      </w:pPr>
      <w:bookmarkStart w:id="596" w:name="_Ref531953105"/>
      <w:bookmarkStart w:id="597" w:name="_Toc54862225"/>
      <w:bookmarkStart w:id="598" w:name="_Ref531953108"/>
      <w:r>
        <w:rPr>
          <w:rFonts w:hint="eastAsia"/>
          <w:b w:val="0"/>
          <w:bCs/>
          <w:color w:val="auto"/>
          <w:highlight w:val="none"/>
        </w:rPr>
        <w:t>5</w:t>
      </w:r>
      <w:r>
        <w:rPr>
          <w:b w:val="0"/>
          <w:bCs/>
          <w:color w:val="auto"/>
          <w:highlight w:val="none"/>
        </w:rPr>
        <w:t xml:space="preserve">.4 </w:t>
      </w:r>
      <w:r>
        <w:rPr>
          <w:rFonts w:hint="eastAsia"/>
          <w:b w:val="0"/>
          <w:bCs/>
          <w:color w:val="auto"/>
          <w:highlight w:val="none"/>
        </w:rPr>
        <w:t>竣工文件</w:t>
      </w:r>
      <w:bookmarkEnd w:id="596"/>
      <w:bookmarkEnd w:id="597"/>
      <w:bookmarkEnd w:id="598"/>
    </w:p>
    <w:p>
      <w:pPr>
        <w:pStyle w:val="55"/>
        <w:numPr>
          <w:ilvl w:val="0"/>
          <w:numId w:val="0"/>
        </w:numPr>
        <w:rPr>
          <w:rFonts w:ascii="仿宋_GB2312" w:eastAsia="仿宋_GB2312"/>
          <w:color w:val="auto"/>
          <w:szCs w:val="24"/>
          <w:highlight w:val="none"/>
        </w:rPr>
      </w:pPr>
      <w:bookmarkStart w:id="599" w:name="_Ref531953134"/>
      <w:r>
        <w:rPr>
          <w:rFonts w:hint="eastAsia" w:ascii="仿宋_GB2312" w:eastAsia="仿宋_GB2312"/>
          <w:color w:val="auto"/>
          <w:szCs w:val="24"/>
          <w:highlight w:val="none"/>
        </w:rPr>
        <w:t>5</w:t>
      </w:r>
      <w:r>
        <w:rPr>
          <w:rFonts w:ascii="仿宋_GB2312" w:eastAsia="仿宋_GB2312"/>
          <w:color w:val="auto"/>
          <w:szCs w:val="24"/>
          <w:highlight w:val="none"/>
        </w:rPr>
        <w:t xml:space="preserve">.4.1 </w:t>
      </w:r>
      <w:r>
        <w:rPr>
          <w:rFonts w:hint="eastAsia" w:ascii="仿宋_GB2312" w:eastAsia="仿宋_GB2312"/>
          <w:color w:val="auto"/>
          <w:szCs w:val="24"/>
          <w:highlight w:val="none"/>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599"/>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5</w:t>
      </w:r>
      <w:r>
        <w:rPr>
          <w:rFonts w:ascii="仿宋_GB2312" w:eastAsia="仿宋_GB2312"/>
          <w:color w:val="auto"/>
          <w:szCs w:val="24"/>
          <w:highlight w:val="none"/>
        </w:rPr>
        <w:t xml:space="preserve">.4.2 </w:t>
      </w:r>
      <w:r>
        <w:rPr>
          <w:rFonts w:hint="eastAsia" w:ascii="仿宋_GB2312" w:eastAsia="仿宋_GB2312"/>
          <w:color w:val="auto"/>
          <w:szCs w:val="24"/>
          <w:highlight w:val="none"/>
        </w:rPr>
        <w:t>在颁发工程接收证书之前，承包人应按照《发包人要求》的份数和形式向工程师提交相应竣工图纸，并取得工程师对尺寸、参照系统及其他有关细节的认可。工程师应按照第</w:t>
      </w:r>
      <w:r>
        <w:rPr>
          <w:rFonts w:ascii="仿宋_GB2312" w:eastAsia="仿宋_GB2312"/>
          <w:color w:val="auto"/>
          <w:szCs w:val="24"/>
          <w:highlight w:val="none"/>
        </w:rPr>
        <w:t>5.2</w:t>
      </w:r>
      <w:r>
        <w:rPr>
          <w:rFonts w:hint="eastAsia" w:ascii="仿宋_GB2312" w:eastAsia="仿宋_GB2312"/>
          <w:color w:val="auto"/>
          <w:szCs w:val="24"/>
          <w:highlight w:val="none"/>
        </w:rPr>
        <w:t>款[</w:t>
      </w:r>
      <w:r>
        <w:rPr>
          <w:rFonts w:ascii="仿宋_GB2312" w:eastAsia="仿宋_GB2312"/>
          <w:color w:val="auto"/>
          <w:szCs w:val="24"/>
          <w:highlight w:val="none"/>
        </w:rPr>
        <w:t>承包人文件审查</w:t>
      </w:r>
      <w:r>
        <w:rPr>
          <w:rFonts w:hint="eastAsia" w:ascii="仿宋_GB2312" w:eastAsia="仿宋_GB2312"/>
          <w:color w:val="auto"/>
          <w:szCs w:val="24"/>
          <w:highlight w:val="none"/>
        </w:rPr>
        <w:t>]的约定进行审查。</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5</w:t>
      </w:r>
      <w:r>
        <w:rPr>
          <w:rFonts w:ascii="仿宋_GB2312" w:eastAsia="仿宋_GB2312"/>
          <w:color w:val="auto"/>
          <w:szCs w:val="24"/>
          <w:highlight w:val="none"/>
        </w:rPr>
        <w:t xml:space="preserve">.4.3 </w:t>
      </w:r>
      <w:r>
        <w:rPr>
          <w:rFonts w:hint="eastAsia" w:ascii="仿宋_GB2312" w:eastAsia="仿宋_GB2312"/>
          <w:color w:val="auto"/>
          <w:szCs w:val="24"/>
          <w:highlight w:val="none"/>
        </w:rPr>
        <w:t>除专用合同条件另有约定外，在工程师收到本款下的文件前，不应认为工程已根据第</w:t>
      </w:r>
      <w:r>
        <w:rPr>
          <w:rFonts w:ascii="仿宋_GB2312" w:eastAsia="仿宋_GB2312"/>
          <w:color w:val="auto"/>
          <w:szCs w:val="24"/>
          <w:highlight w:val="none"/>
        </w:rPr>
        <w:t>10.1</w:t>
      </w:r>
      <w:r>
        <w:rPr>
          <w:rFonts w:hint="eastAsia" w:ascii="仿宋_GB2312" w:eastAsia="仿宋_GB2312"/>
          <w:color w:val="auto"/>
          <w:szCs w:val="24"/>
          <w:highlight w:val="none"/>
        </w:rPr>
        <w:t>款[竣工验收]和第</w:t>
      </w:r>
      <w:r>
        <w:rPr>
          <w:rFonts w:ascii="仿宋_GB2312" w:eastAsia="仿宋_GB2312"/>
          <w:color w:val="auto"/>
          <w:szCs w:val="24"/>
          <w:highlight w:val="none"/>
        </w:rPr>
        <w:t>10.2</w:t>
      </w:r>
      <w:r>
        <w:rPr>
          <w:rFonts w:hint="eastAsia" w:ascii="仿宋_GB2312" w:eastAsia="仿宋_GB2312"/>
          <w:color w:val="auto"/>
          <w:szCs w:val="24"/>
          <w:highlight w:val="none"/>
        </w:rPr>
        <w:t>款[</w:t>
      </w:r>
      <w:r>
        <w:rPr>
          <w:rFonts w:ascii="仿宋_GB2312" w:eastAsia="仿宋_GB2312"/>
          <w:color w:val="auto"/>
          <w:szCs w:val="24"/>
          <w:highlight w:val="none"/>
        </w:rPr>
        <w:t>单位/区段工程的验收</w:t>
      </w:r>
      <w:r>
        <w:rPr>
          <w:rFonts w:hint="eastAsia" w:ascii="仿宋_GB2312" w:eastAsia="仿宋_GB2312"/>
          <w:color w:val="auto"/>
          <w:szCs w:val="24"/>
          <w:highlight w:val="none"/>
        </w:rPr>
        <w:t>]的约定完成验收。</w:t>
      </w:r>
    </w:p>
    <w:p>
      <w:pPr>
        <w:pStyle w:val="54"/>
        <w:widowControl/>
        <w:numPr>
          <w:ilvl w:val="0"/>
          <w:numId w:val="0"/>
        </w:numPr>
        <w:rPr>
          <w:b w:val="0"/>
          <w:bCs/>
          <w:color w:val="auto"/>
          <w:highlight w:val="none"/>
        </w:rPr>
      </w:pPr>
      <w:bookmarkStart w:id="600" w:name="_Ref531953117"/>
      <w:bookmarkStart w:id="601" w:name="_Ref531953119"/>
      <w:bookmarkStart w:id="602" w:name="_Toc54862226"/>
      <w:r>
        <w:rPr>
          <w:rFonts w:hint="eastAsia"/>
          <w:b w:val="0"/>
          <w:bCs/>
          <w:color w:val="auto"/>
          <w:highlight w:val="none"/>
        </w:rPr>
        <w:t>5</w:t>
      </w:r>
      <w:r>
        <w:rPr>
          <w:b w:val="0"/>
          <w:bCs/>
          <w:color w:val="auto"/>
          <w:highlight w:val="none"/>
        </w:rPr>
        <w:t xml:space="preserve">.5 </w:t>
      </w:r>
      <w:r>
        <w:rPr>
          <w:rFonts w:hint="eastAsia"/>
          <w:b w:val="0"/>
          <w:bCs/>
          <w:color w:val="auto"/>
          <w:highlight w:val="none"/>
        </w:rPr>
        <w:t>操作和维修手册</w:t>
      </w:r>
      <w:bookmarkEnd w:id="600"/>
      <w:bookmarkEnd w:id="601"/>
      <w:bookmarkEnd w:id="602"/>
    </w:p>
    <w:p>
      <w:pPr>
        <w:pStyle w:val="55"/>
        <w:numPr>
          <w:ilvl w:val="0"/>
          <w:numId w:val="0"/>
        </w:numPr>
        <w:rPr>
          <w:rFonts w:ascii="仿宋_GB2312" w:eastAsia="仿宋_GB2312"/>
          <w:color w:val="auto"/>
          <w:szCs w:val="24"/>
          <w:highlight w:val="none"/>
        </w:rPr>
      </w:pPr>
      <w:bookmarkStart w:id="603" w:name="_Ref531953145"/>
      <w:r>
        <w:rPr>
          <w:rFonts w:hint="eastAsia" w:ascii="仿宋_GB2312" w:eastAsia="仿宋_GB2312"/>
          <w:color w:val="auto"/>
          <w:szCs w:val="24"/>
          <w:highlight w:val="none"/>
        </w:rPr>
        <w:t>5</w:t>
      </w:r>
      <w:r>
        <w:rPr>
          <w:rFonts w:ascii="仿宋_GB2312" w:eastAsia="仿宋_GB2312"/>
          <w:color w:val="auto"/>
          <w:szCs w:val="24"/>
          <w:highlight w:val="none"/>
        </w:rPr>
        <w:t xml:space="preserve">.5.1 </w:t>
      </w:r>
      <w:r>
        <w:rPr>
          <w:rFonts w:hint="eastAsia" w:ascii="仿宋_GB2312" w:eastAsia="仿宋_GB2312"/>
          <w:color w:val="auto"/>
          <w:szCs w:val="24"/>
          <w:highlight w:val="none"/>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603"/>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5</w:t>
      </w:r>
      <w:r>
        <w:rPr>
          <w:rFonts w:ascii="仿宋_GB2312" w:eastAsia="仿宋_GB2312"/>
          <w:color w:val="auto"/>
          <w:szCs w:val="24"/>
          <w:highlight w:val="none"/>
        </w:rPr>
        <w:t xml:space="preserve">.5.2 </w:t>
      </w:r>
      <w:r>
        <w:rPr>
          <w:rFonts w:hint="eastAsia" w:ascii="仿宋_GB2312" w:eastAsia="仿宋_GB2312"/>
          <w:color w:val="auto"/>
          <w:szCs w:val="24"/>
          <w:highlight w:val="none"/>
        </w:rPr>
        <w:t>工程师收到承包人提交的文件后，应依据第</w:t>
      </w:r>
      <w:r>
        <w:rPr>
          <w:rFonts w:ascii="仿宋_GB2312" w:eastAsia="仿宋_GB2312"/>
          <w:color w:val="auto"/>
          <w:szCs w:val="24"/>
          <w:highlight w:val="none"/>
        </w:rPr>
        <w:t>5.2</w:t>
      </w:r>
      <w:r>
        <w:rPr>
          <w:rFonts w:hint="eastAsia" w:ascii="仿宋_GB2312" w:eastAsia="仿宋_GB2312"/>
          <w:color w:val="auto"/>
          <w:szCs w:val="24"/>
          <w:highlight w:val="none"/>
        </w:rPr>
        <w:t>款[</w:t>
      </w:r>
      <w:r>
        <w:rPr>
          <w:rFonts w:ascii="仿宋_GB2312" w:eastAsia="仿宋_GB2312"/>
          <w:color w:val="auto"/>
          <w:szCs w:val="24"/>
          <w:highlight w:val="none"/>
        </w:rPr>
        <w:t>承包人文件审查</w:t>
      </w:r>
      <w:r>
        <w:rPr>
          <w:rFonts w:hint="eastAsia" w:ascii="仿宋_GB2312" w:eastAsia="仿宋_GB2312"/>
          <w:color w:val="auto"/>
          <w:szCs w:val="24"/>
          <w:highlight w:val="none"/>
        </w:rPr>
        <w:t>]的约定对操作和维修手册进行审查，竣工试验工程中，承包人应为任何因操作和维修手册错误或遗漏引起的风险或损失承担责任。</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5</w:t>
      </w:r>
      <w:r>
        <w:rPr>
          <w:rFonts w:ascii="仿宋_GB2312" w:eastAsia="仿宋_GB2312"/>
          <w:color w:val="auto"/>
          <w:szCs w:val="24"/>
          <w:highlight w:val="none"/>
        </w:rPr>
        <w:t xml:space="preserve">.5.3 </w:t>
      </w:r>
      <w:r>
        <w:rPr>
          <w:rFonts w:hint="eastAsia" w:ascii="仿宋_GB2312" w:eastAsia="仿宋_GB2312"/>
          <w:color w:val="auto"/>
          <w:szCs w:val="24"/>
          <w:highlight w:val="none"/>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rFonts w:ascii="仿宋_GB2312" w:eastAsia="仿宋_GB2312"/>
          <w:color w:val="auto"/>
          <w:szCs w:val="24"/>
          <w:highlight w:val="none"/>
        </w:rPr>
        <w:t>10.1</w:t>
      </w:r>
      <w:r>
        <w:rPr>
          <w:rFonts w:hint="eastAsia" w:ascii="仿宋_GB2312" w:eastAsia="仿宋_GB2312"/>
          <w:color w:val="auto"/>
          <w:szCs w:val="24"/>
          <w:highlight w:val="none"/>
        </w:rPr>
        <w:t>款[竣工验收]和第</w:t>
      </w:r>
      <w:r>
        <w:rPr>
          <w:rFonts w:ascii="仿宋_GB2312" w:eastAsia="仿宋_GB2312"/>
          <w:color w:val="auto"/>
          <w:szCs w:val="24"/>
          <w:highlight w:val="none"/>
        </w:rPr>
        <w:t>10.2</w:t>
      </w:r>
      <w:r>
        <w:rPr>
          <w:rFonts w:hint="eastAsia" w:ascii="仿宋_GB2312" w:eastAsia="仿宋_GB2312"/>
          <w:color w:val="auto"/>
          <w:szCs w:val="24"/>
          <w:highlight w:val="none"/>
        </w:rPr>
        <w:t>款[</w:t>
      </w:r>
      <w:r>
        <w:rPr>
          <w:rFonts w:ascii="仿宋_GB2312" w:eastAsia="仿宋_GB2312"/>
          <w:color w:val="auto"/>
          <w:szCs w:val="24"/>
          <w:highlight w:val="none"/>
        </w:rPr>
        <w:t>单位/区段工程的验收</w:t>
      </w:r>
      <w:r>
        <w:rPr>
          <w:rFonts w:hint="eastAsia" w:ascii="仿宋_GB2312" w:eastAsia="仿宋_GB2312"/>
          <w:color w:val="auto"/>
          <w:szCs w:val="24"/>
          <w:highlight w:val="none"/>
        </w:rPr>
        <w:t>]的约定完成验收。</w:t>
      </w:r>
    </w:p>
    <w:p>
      <w:pPr>
        <w:pStyle w:val="54"/>
        <w:widowControl/>
        <w:numPr>
          <w:ilvl w:val="0"/>
          <w:numId w:val="0"/>
        </w:numPr>
        <w:rPr>
          <w:b w:val="0"/>
          <w:bCs/>
          <w:color w:val="auto"/>
          <w:highlight w:val="none"/>
        </w:rPr>
      </w:pPr>
      <w:bookmarkStart w:id="604" w:name="_Toc54862227"/>
      <w:r>
        <w:rPr>
          <w:rFonts w:hint="eastAsia"/>
          <w:b w:val="0"/>
          <w:bCs/>
          <w:color w:val="auto"/>
          <w:highlight w:val="none"/>
        </w:rPr>
        <w:t>5</w:t>
      </w:r>
      <w:r>
        <w:rPr>
          <w:b w:val="0"/>
          <w:bCs/>
          <w:color w:val="auto"/>
          <w:highlight w:val="none"/>
        </w:rPr>
        <w:t xml:space="preserve">.6 </w:t>
      </w:r>
      <w:r>
        <w:rPr>
          <w:rFonts w:hint="eastAsia"/>
          <w:b w:val="0"/>
          <w:bCs/>
          <w:color w:val="auto"/>
          <w:highlight w:val="none"/>
        </w:rPr>
        <w:t>承包人文件错误</w:t>
      </w:r>
      <w:bookmarkEnd w:id="604"/>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承包人文件存在错误、遗漏、含混、矛盾、不充分之处或其他缺陷，无论承包人是否根据本款获得了同意，承包人均应自费对前述问题带来的缺陷和工程问题进行改正，并按照第</w:t>
      </w:r>
      <w:r>
        <w:rPr>
          <w:rFonts w:ascii="仿宋_GB2312" w:eastAsia="仿宋_GB2312"/>
          <w:color w:val="auto"/>
          <w:sz w:val="24"/>
          <w:highlight w:val="none"/>
        </w:rPr>
        <w:t>5.2</w:t>
      </w:r>
      <w:r>
        <w:rPr>
          <w:rFonts w:hint="eastAsia" w:ascii="仿宋_GB2312" w:eastAsia="仿宋_GB2312"/>
          <w:color w:val="auto"/>
          <w:sz w:val="24"/>
          <w:highlight w:val="none"/>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42"/>
        <w:numPr>
          <w:ilvl w:val="0"/>
          <w:numId w:val="0"/>
        </w:numPr>
        <w:wordWrap/>
        <w:topLinePunct w:val="0"/>
        <w:rPr>
          <w:b w:val="0"/>
          <w:bCs/>
          <w:color w:val="auto"/>
          <w:sz w:val="24"/>
          <w:szCs w:val="24"/>
          <w:highlight w:val="none"/>
        </w:rPr>
      </w:pPr>
      <w:bookmarkStart w:id="605" w:name="_Ref531953761"/>
      <w:bookmarkStart w:id="606" w:name="_Toc54862228"/>
      <w:bookmarkStart w:id="607" w:name="_Ref531953765"/>
      <w:r>
        <w:rPr>
          <w:rFonts w:hint="eastAsia"/>
          <w:b w:val="0"/>
          <w:bCs/>
          <w:color w:val="auto"/>
          <w:sz w:val="24"/>
          <w:szCs w:val="24"/>
          <w:highlight w:val="none"/>
        </w:rPr>
        <w:t>第6条 材料、工程设备</w:t>
      </w:r>
      <w:bookmarkEnd w:id="605"/>
      <w:bookmarkEnd w:id="606"/>
      <w:bookmarkEnd w:id="607"/>
    </w:p>
    <w:p>
      <w:pPr>
        <w:pStyle w:val="54"/>
        <w:widowControl/>
        <w:numPr>
          <w:ilvl w:val="0"/>
          <w:numId w:val="0"/>
        </w:numPr>
        <w:rPr>
          <w:b w:val="0"/>
          <w:bCs/>
          <w:color w:val="auto"/>
          <w:highlight w:val="none"/>
        </w:rPr>
      </w:pPr>
      <w:bookmarkStart w:id="608" w:name="_Toc54862229"/>
      <w:bookmarkStart w:id="609" w:name="_Ref531953828"/>
      <w:bookmarkStart w:id="610" w:name="_Ref531953832"/>
      <w:r>
        <w:rPr>
          <w:rFonts w:hint="eastAsia"/>
          <w:b w:val="0"/>
          <w:bCs/>
          <w:color w:val="auto"/>
          <w:highlight w:val="none"/>
        </w:rPr>
        <w:t>6</w:t>
      </w:r>
      <w:r>
        <w:rPr>
          <w:b w:val="0"/>
          <w:bCs/>
          <w:color w:val="auto"/>
          <w:highlight w:val="none"/>
        </w:rPr>
        <w:t xml:space="preserve">.1 </w:t>
      </w:r>
      <w:r>
        <w:rPr>
          <w:rFonts w:hint="eastAsia"/>
          <w:b w:val="0"/>
          <w:bCs/>
          <w:color w:val="auto"/>
          <w:highlight w:val="none"/>
        </w:rPr>
        <w:t>实施方法</w:t>
      </w:r>
      <w:bookmarkEnd w:id="608"/>
      <w:bookmarkEnd w:id="609"/>
      <w:bookmarkEnd w:id="610"/>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承包人应按以下方法进行材料的加工、工程设备的采购、制造和安装、以及工程的所有其他实施作业：</w:t>
      </w:r>
    </w:p>
    <w:p>
      <w:pPr>
        <w:ind w:firstLine="600"/>
        <w:rPr>
          <w:rFonts w:ascii="仿宋_GB2312" w:eastAsia="仿宋_GB2312"/>
          <w:color w:val="auto"/>
          <w:sz w:val="24"/>
          <w:highlight w:val="none"/>
        </w:rPr>
      </w:pPr>
      <w:bookmarkStart w:id="611" w:name="_Ref531953847"/>
      <w:r>
        <w:rPr>
          <w:rFonts w:hint="eastAsia" w:ascii="仿宋_GB2312" w:eastAsia="仿宋_GB2312"/>
          <w:color w:val="auto"/>
          <w:sz w:val="24"/>
          <w:highlight w:val="none"/>
        </w:rPr>
        <w:t>（1） 按照法律规定和合同约定的方法；</w:t>
      </w:r>
      <w:bookmarkEnd w:id="611"/>
    </w:p>
    <w:p>
      <w:pPr>
        <w:ind w:firstLine="600"/>
        <w:rPr>
          <w:rFonts w:ascii="仿宋_GB2312" w:eastAsia="仿宋_GB2312"/>
          <w:color w:val="auto"/>
          <w:sz w:val="24"/>
          <w:highlight w:val="none"/>
        </w:rPr>
      </w:pPr>
      <w:r>
        <w:rPr>
          <w:rFonts w:hint="eastAsia" w:ascii="仿宋_GB2312" w:eastAsia="仿宋_GB2312"/>
          <w:color w:val="auto"/>
          <w:sz w:val="24"/>
          <w:highlight w:val="none"/>
        </w:rPr>
        <w:t>（2） 按照公认的良好行业习惯，使用恰当、审慎、先进的方法；</w:t>
      </w:r>
    </w:p>
    <w:p>
      <w:pPr>
        <w:ind w:firstLine="600"/>
        <w:rPr>
          <w:rFonts w:ascii="仿宋_GB2312" w:eastAsia="仿宋_GB2312"/>
          <w:color w:val="auto"/>
          <w:sz w:val="24"/>
          <w:highlight w:val="none"/>
        </w:rPr>
      </w:pPr>
      <w:r>
        <w:rPr>
          <w:rFonts w:hint="eastAsia" w:ascii="仿宋_GB2312" w:eastAsia="仿宋_GB2312"/>
          <w:color w:val="auto"/>
          <w:sz w:val="24"/>
          <w:highlight w:val="none"/>
        </w:rPr>
        <w:t>（3） 除专用合同条件另有规定外，应使用适当配备的实施方法、设备、设施和无危险的材料。</w:t>
      </w:r>
    </w:p>
    <w:p>
      <w:pPr>
        <w:pStyle w:val="54"/>
        <w:widowControl/>
        <w:numPr>
          <w:ilvl w:val="0"/>
          <w:numId w:val="0"/>
        </w:numPr>
        <w:rPr>
          <w:b w:val="0"/>
          <w:bCs/>
          <w:color w:val="auto"/>
          <w:highlight w:val="none"/>
        </w:rPr>
      </w:pPr>
      <w:bookmarkStart w:id="612" w:name="_Ref11926422"/>
      <w:bookmarkStart w:id="613" w:name="_Toc54862230"/>
      <w:bookmarkStart w:id="614" w:name="_Ref4427594"/>
      <w:r>
        <w:rPr>
          <w:rFonts w:hint="eastAsia"/>
          <w:b w:val="0"/>
          <w:bCs/>
          <w:color w:val="auto"/>
          <w:highlight w:val="none"/>
        </w:rPr>
        <w:t>6</w:t>
      </w:r>
      <w:r>
        <w:rPr>
          <w:b w:val="0"/>
          <w:bCs/>
          <w:color w:val="auto"/>
          <w:highlight w:val="none"/>
        </w:rPr>
        <w:t xml:space="preserve">.2 </w:t>
      </w:r>
      <w:r>
        <w:rPr>
          <w:rFonts w:hint="eastAsia"/>
          <w:b w:val="0"/>
          <w:bCs/>
          <w:color w:val="auto"/>
          <w:highlight w:val="none"/>
        </w:rPr>
        <w:t>材料和工程设备</w:t>
      </w:r>
      <w:bookmarkEnd w:id="612"/>
      <w:bookmarkEnd w:id="613"/>
    </w:p>
    <w:p>
      <w:pPr>
        <w:pStyle w:val="55"/>
        <w:numPr>
          <w:ilvl w:val="0"/>
          <w:numId w:val="0"/>
        </w:numPr>
        <w:rPr>
          <w:rFonts w:ascii="仿宋_GB2312" w:eastAsia="仿宋_GB2312"/>
          <w:color w:val="auto"/>
          <w:szCs w:val="24"/>
          <w:highlight w:val="none"/>
        </w:rPr>
      </w:pPr>
      <w:bookmarkStart w:id="615" w:name="_Ref11960295"/>
      <w:r>
        <w:rPr>
          <w:rFonts w:hint="eastAsia" w:ascii="仿宋_GB2312" w:eastAsia="仿宋_GB2312"/>
          <w:color w:val="auto"/>
          <w:szCs w:val="24"/>
          <w:highlight w:val="none"/>
        </w:rPr>
        <w:t>6</w:t>
      </w:r>
      <w:r>
        <w:rPr>
          <w:rFonts w:ascii="仿宋_GB2312" w:eastAsia="仿宋_GB2312"/>
          <w:color w:val="auto"/>
          <w:szCs w:val="24"/>
          <w:highlight w:val="none"/>
        </w:rPr>
        <w:t xml:space="preserve">.2.1 </w:t>
      </w:r>
      <w:r>
        <w:rPr>
          <w:rFonts w:hint="eastAsia" w:ascii="仿宋_GB2312" w:eastAsia="仿宋_GB2312"/>
          <w:color w:val="auto"/>
          <w:szCs w:val="24"/>
          <w:highlight w:val="none"/>
        </w:rPr>
        <w:t>发包人提供的材料和工程设备</w:t>
      </w:r>
      <w:bookmarkEnd w:id="614"/>
      <w:bookmarkEnd w:id="615"/>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发包人自行供应材料、工程设备的，应在订立合同时在专用合同条件的附件《发包人供应材料设备一览表》中明确材料、工程设备的品种、规格、型号、主要参数、数量、单价、质量等级和交接地点等。</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承包人应根据项目进度计划的安排，提前28天以书面形式通知工程师供应材料与工程设备的进场计划。承包人按照第</w:t>
      </w:r>
      <w:r>
        <w:rPr>
          <w:rFonts w:ascii="仿宋_GB2312" w:eastAsia="仿宋_GB2312"/>
          <w:color w:val="auto"/>
          <w:sz w:val="24"/>
          <w:highlight w:val="none"/>
        </w:rPr>
        <w:t>8.4</w:t>
      </w:r>
      <w:r>
        <w:rPr>
          <w:rFonts w:hint="eastAsia" w:ascii="仿宋_GB2312" w:eastAsia="仿宋_GB2312"/>
          <w:color w:val="auto"/>
          <w:sz w:val="24"/>
          <w:highlight w:val="none"/>
        </w:rPr>
        <w:t>款[项目进度计划]约定修订项目进度计划时，需同时提交经修订后的发包人供应材料与工程设备的进场计划。发包人应按照上述进场计划，向承包人提交材料和工程设备。</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发包人需要对进场计划进行变更的，承包人不得拒绝，应根据第1</w:t>
      </w:r>
      <w:r>
        <w:rPr>
          <w:rFonts w:ascii="仿宋_GB2312" w:eastAsia="仿宋_GB2312"/>
          <w:color w:val="auto"/>
          <w:sz w:val="24"/>
          <w:highlight w:val="none"/>
        </w:rPr>
        <w:t>3</w:t>
      </w:r>
      <w:r>
        <w:rPr>
          <w:rFonts w:hint="eastAsia" w:ascii="仿宋_GB2312" w:eastAsia="仿宋_GB2312"/>
          <w:color w:val="auto"/>
          <w:sz w:val="24"/>
          <w:highlight w:val="none"/>
        </w:rPr>
        <w:t>条[变更与调整]的规定执行，并由发包人承担承包人由此增加的费用，以及引起的工期延误。承包人需要对进场计划进行变更的，应事先报请工程师批准，由此增加的费用和（或）工期延误由承包人承担。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5"/>
        <w:numPr>
          <w:ilvl w:val="0"/>
          <w:numId w:val="0"/>
        </w:numPr>
        <w:rPr>
          <w:rFonts w:ascii="仿宋_GB2312" w:eastAsia="仿宋_GB2312"/>
          <w:color w:val="auto"/>
          <w:szCs w:val="24"/>
          <w:highlight w:val="none"/>
        </w:rPr>
      </w:pPr>
      <w:bookmarkStart w:id="616" w:name="_Ref531953918"/>
      <w:r>
        <w:rPr>
          <w:rFonts w:hint="eastAsia" w:ascii="仿宋_GB2312" w:eastAsia="仿宋_GB2312"/>
          <w:color w:val="auto"/>
          <w:szCs w:val="24"/>
          <w:highlight w:val="none"/>
        </w:rPr>
        <w:t>6</w:t>
      </w:r>
      <w:r>
        <w:rPr>
          <w:rFonts w:ascii="仿宋_GB2312" w:eastAsia="仿宋_GB2312"/>
          <w:color w:val="auto"/>
          <w:szCs w:val="24"/>
          <w:highlight w:val="none"/>
        </w:rPr>
        <w:t xml:space="preserve">.2.2 </w:t>
      </w:r>
      <w:r>
        <w:rPr>
          <w:rFonts w:hint="eastAsia" w:ascii="仿宋_GB2312" w:eastAsia="仿宋_GB2312"/>
          <w:color w:val="auto"/>
          <w:szCs w:val="24"/>
          <w:highlight w:val="none"/>
        </w:rPr>
        <w:t>承包人提供的材料和工程设备</w:t>
      </w:r>
      <w:bookmarkEnd w:id="616"/>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承包人应按照已被批准的第</w:t>
      </w:r>
      <w:r>
        <w:rPr>
          <w:rFonts w:ascii="仿宋_GB2312" w:eastAsia="仿宋_GB2312"/>
          <w:color w:val="auto"/>
          <w:sz w:val="24"/>
          <w:highlight w:val="none"/>
        </w:rPr>
        <w:t>8.4</w:t>
      </w:r>
      <w:r>
        <w:rPr>
          <w:rFonts w:hint="eastAsia" w:ascii="仿宋_GB2312" w:eastAsia="仿宋_GB2312"/>
          <w:color w:val="auto"/>
          <w:sz w:val="24"/>
          <w:highlight w:val="none"/>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55"/>
        <w:numPr>
          <w:ilvl w:val="0"/>
          <w:numId w:val="0"/>
        </w:numPr>
        <w:rPr>
          <w:rFonts w:ascii="仿宋_GB2312" w:eastAsia="仿宋_GB2312"/>
          <w:color w:val="auto"/>
          <w:szCs w:val="24"/>
          <w:highlight w:val="none"/>
        </w:rPr>
      </w:pPr>
      <w:bookmarkStart w:id="617" w:name="_Ref531953999"/>
      <w:bookmarkStart w:id="618" w:name="_Ref531953991"/>
      <w:r>
        <w:rPr>
          <w:rFonts w:hint="eastAsia" w:ascii="仿宋_GB2312" w:eastAsia="仿宋_GB2312"/>
          <w:color w:val="auto"/>
          <w:szCs w:val="24"/>
          <w:highlight w:val="none"/>
        </w:rPr>
        <w:t>6</w:t>
      </w:r>
      <w:r>
        <w:rPr>
          <w:rFonts w:ascii="仿宋_GB2312" w:eastAsia="仿宋_GB2312"/>
          <w:color w:val="auto"/>
          <w:szCs w:val="24"/>
          <w:highlight w:val="none"/>
        </w:rPr>
        <w:t xml:space="preserve">.2.3 </w:t>
      </w:r>
      <w:r>
        <w:rPr>
          <w:rFonts w:hint="eastAsia" w:ascii="仿宋_GB2312" w:eastAsia="仿宋_GB2312"/>
          <w:color w:val="auto"/>
          <w:szCs w:val="24"/>
          <w:highlight w:val="none"/>
        </w:rPr>
        <w:t>材料和工程设备的保管</w:t>
      </w:r>
      <w:bookmarkEnd w:id="617"/>
      <w:bookmarkEnd w:id="618"/>
      <w:r>
        <w:rPr>
          <w:rFonts w:hint="eastAsia" w:ascii="仿宋_GB2312" w:eastAsia="仿宋_GB2312"/>
          <w:color w:val="auto"/>
          <w:szCs w:val="24"/>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发包人供应材料与工程设备的保管与使用</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发包人供应的材料和工程设备，承包人清点并接收后由承包人妥善保管，保管费用由承包人承担，但专用合同条件另有约定除外。因承包人原因发生丢失毁损的，由承包人负责赔偿。</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发包人供应的材料和工程设备使用前，由承包人负责必要的检验，检验费用由发包人承担，不合格的不得使用。</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承包人采购材料与工程设备的保管与使用</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工程师发现承包人使用不符合设计或有关标准要求的材料和工程设备时，有权要求承包人进行修复、拆除或重新采购，由此增加的费用和（或）延误的工期，由承包人承担。</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.2.4 </w:t>
      </w:r>
      <w:r>
        <w:rPr>
          <w:rFonts w:hint="eastAsia" w:ascii="仿宋_GB2312" w:eastAsia="仿宋_GB2312"/>
          <w:color w:val="auto"/>
          <w:szCs w:val="24"/>
          <w:highlight w:val="none"/>
        </w:rPr>
        <w:t>材料和工程设备的所有权</w:t>
      </w:r>
    </w:p>
    <w:p>
      <w:pPr>
        <w:ind w:firstLine="600"/>
        <w:rPr>
          <w:rFonts w:ascii="仿宋_GB2312" w:eastAsia="仿宋_GB2312"/>
          <w:color w:val="auto"/>
          <w:sz w:val="24"/>
          <w:highlight w:val="none"/>
        </w:rPr>
      </w:pPr>
      <w:r>
        <w:rPr>
          <w:rFonts w:hint="eastAsia" w:ascii="仿宋_GB2312" w:eastAsia="仿宋_GB2312"/>
          <w:color w:val="auto"/>
          <w:sz w:val="24"/>
          <w:highlight w:val="none"/>
        </w:rPr>
        <w:t>除本合同另有约定外，承包人根据第</w:t>
      </w:r>
      <w:r>
        <w:rPr>
          <w:rFonts w:ascii="仿宋_GB2312" w:eastAsia="仿宋_GB2312"/>
          <w:color w:val="auto"/>
          <w:sz w:val="24"/>
          <w:highlight w:val="none"/>
        </w:rPr>
        <w:t>6.2.2</w:t>
      </w:r>
      <w:r>
        <w:rPr>
          <w:rFonts w:hint="eastAsia" w:ascii="仿宋_GB2312" w:eastAsia="仿宋_GB2312"/>
          <w:color w:val="auto"/>
          <w:sz w:val="24"/>
          <w:highlight w:val="none"/>
        </w:rPr>
        <w:t>项[承包人提供的材料和工程设备]约定提供的材料和工程设备后，材料及工程设备的价款应列入第1</w:t>
      </w:r>
      <w:r>
        <w:rPr>
          <w:rFonts w:ascii="仿宋_GB2312" w:eastAsia="仿宋_GB2312"/>
          <w:color w:val="auto"/>
          <w:sz w:val="24"/>
          <w:highlight w:val="none"/>
        </w:rPr>
        <w:t>4.3.1</w:t>
      </w:r>
      <w:r>
        <w:rPr>
          <w:rFonts w:hint="eastAsia" w:ascii="仿宋_GB2312" w:eastAsia="仿宋_GB2312"/>
          <w:color w:val="auto"/>
          <w:sz w:val="24"/>
          <w:highlight w:val="none"/>
        </w:rPr>
        <w:t>项第（2）目的进度款金额中，发包人支付当期进度款之后，其所有权转为发包人所有（周转性材料除外）；在发包人接收工程前，承包人有义务对材料和工程设备进行保管、维护和保养，未经发包人批准不得运出现场。</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承包人按第</w:t>
      </w:r>
      <w:r>
        <w:rPr>
          <w:rFonts w:ascii="仿宋_GB2312" w:eastAsia="仿宋_GB2312"/>
          <w:color w:val="auto"/>
          <w:sz w:val="24"/>
          <w:highlight w:val="none"/>
        </w:rPr>
        <w:t>6.2.2项提供的材料和工程设备</w:t>
      </w:r>
      <w:r>
        <w:rPr>
          <w:rFonts w:hint="eastAsia" w:ascii="仿宋_GB2312" w:eastAsia="仿宋_GB2312"/>
          <w:color w:val="auto"/>
          <w:sz w:val="24"/>
          <w:highlight w:val="none"/>
        </w:rPr>
        <w:t>，承包人应确保发包人取得无权利负担的材料及工程设备所有权，因承包人与第三人的物权争议导致的增加的费用和（或）延误的工期，由承包人承担。</w:t>
      </w:r>
    </w:p>
    <w:p>
      <w:pPr>
        <w:pStyle w:val="54"/>
        <w:widowControl/>
        <w:numPr>
          <w:ilvl w:val="0"/>
          <w:numId w:val="0"/>
        </w:numPr>
        <w:rPr>
          <w:b w:val="0"/>
          <w:bCs/>
          <w:color w:val="auto"/>
          <w:highlight w:val="none"/>
        </w:rPr>
      </w:pPr>
      <w:bookmarkStart w:id="619" w:name="_Ref4428239"/>
      <w:bookmarkStart w:id="620" w:name="_Toc54862231"/>
      <w:bookmarkStart w:id="621" w:name="_Toc351203565"/>
      <w:bookmarkStart w:id="622" w:name="_Toc337558785"/>
      <w:r>
        <w:rPr>
          <w:rFonts w:hint="eastAsia"/>
          <w:b w:val="0"/>
          <w:bCs/>
          <w:color w:val="auto"/>
          <w:highlight w:val="none"/>
        </w:rPr>
        <w:t>6</w:t>
      </w:r>
      <w:r>
        <w:rPr>
          <w:b w:val="0"/>
          <w:bCs/>
          <w:color w:val="auto"/>
          <w:highlight w:val="none"/>
        </w:rPr>
        <w:t xml:space="preserve">.3 </w:t>
      </w:r>
      <w:r>
        <w:rPr>
          <w:rFonts w:hint="eastAsia"/>
          <w:b w:val="0"/>
          <w:bCs/>
          <w:color w:val="auto"/>
          <w:highlight w:val="none"/>
        </w:rPr>
        <w:t>样品</w:t>
      </w:r>
      <w:bookmarkEnd w:id="619"/>
      <w:bookmarkEnd w:id="620"/>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.3.1 </w:t>
      </w:r>
      <w:r>
        <w:rPr>
          <w:rFonts w:hint="eastAsia" w:ascii="仿宋_GB2312" w:eastAsia="仿宋_GB2312"/>
          <w:color w:val="auto"/>
          <w:szCs w:val="24"/>
          <w:highlight w:val="none"/>
        </w:rPr>
        <w:t>样品的报送与封存</w:t>
      </w:r>
    </w:p>
    <w:p>
      <w:pPr>
        <w:ind w:firstLine="600"/>
        <w:rPr>
          <w:rFonts w:ascii="仿宋_GB2312" w:eastAsia="仿宋_GB2312"/>
          <w:color w:val="auto"/>
          <w:sz w:val="24"/>
          <w:highlight w:val="none"/>
        </w:rPr>
      </w:pPr>
      <w:r>
        <w:rPr>
          <w:rFonts w:hint="eastAsia" w:ascii="仿宋_GB2312" w:eastAsia="仿宋_GB2312"/>
          <w:color w:val="auto"/>
          <w:sz w:val="24"/>
          <w:highlight w:val="none"/>
        </w:rPr>
        <w:t>需要承包人报送样品的材料或工程设备，样品的种类、名称、规格、数量等要求均应在专用合同条件中约定。样品的报送程序如下：</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ind w:firstLine="600"/>
        <w:rPr>
          <w:rFonts w:ascii="仿宋_GB2312" w:eastAsia="仿宋_GB2312"/>
          <w:color w:val="auto"/>
          <w:sz w:val="24"/>
          <w:highlight w:val="none"/>
        </w:rPr>
      </w:pPr>
      <w:r>
        <w:rPr>
          <w:rFonts w:hint="eastAsia" w:ascii="仿宋_GB2312" w:eastAsia="仿宋_GB2312"/>
          <w:color w:val="auto"/>
          <w:sz w:val="24"/>
          <w:highlight w:val="none"/>
        </w:rPr>
        <w:t>（3） 经工程师审批确认的样品应按约定的方法封样，封存的样品作为检验工程相关部分的标准之一。承包人在施工过程中不得使用与样品不符的材料或工程设备。</w:t>
      </w:r>
    </w:p>
    <w:p>
      <w:pPr>
        <w:ind w:firstLine="600"/>
        <w:rPr>
          <w:rFonts w:ascii="仿宋_GB2312" w:eastAsia="仿宋_GB2312"/>
          <w:color w:val="auto"/>
          <w:sz w:val="24"/>
          <w:highlight w:val="none"/>
        </w:rPr>
      </w:pPr>
      <w:r>
        <w:rPr>
          <w:rFonts w:hint="eastAsia" w:ascii="仿宋_GB2312" w:eastAsia="仿宋_GB2312"/>
          <w:color w:val="auto"/>
          <w:sz w:val="24"/>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.3.2 </w:t>
      </w:r>
      <w:r>
        <w:rPr>
          <w:rFonts w:hint="eastAsia" w:ascii="仿宋_GB2312" w:eastAsia="仿宋_GB2312"/>
          <w:color w:val="auto"/>
          <w:szCs w:val="24"/>
          <w:highlight w:val="none"/>
        </w:rPr>
        <w:t>样品的保管</w:t>
      </w:r>
    </w:p>
    <w:p>
      <w:pPr>
        <w:ind w:firstLine="600"/>
        <w:rPr>
          <w:rFonts w:ascii="仿宋_GB2312" w:eastAsia="仿宋_GB2312"/>
          <w:color w:val="auto"/>
          <w:sz w:val="24"/>
          <w:highlight w:val="none"/>
        </w:rPr>
      </w:pPr>
      <w:r>
        <w:rPr>
          <w:rFonts w:hint="eastAsia" w:ascii="仿宋_GB2312" w:eastAsia="仿宋_GB2312"/>
          <w:color w:val="auto"/>
          <w:sz w:val="24"/>
          <w:highlight w:val="none"/>
        </w:rPr>
        <w:t>经批准的样品应由工程师负责封存于现场，承包人应在现场为保存样品提供适当和固定的场所并保持适当和良好的存储环境条件。</w:t>
      </w:r>
    </w:p>
    <w:p>
      <w:pPr>
        <w:pStyle w:val="54"/>
        <w:widowControl/>
        <w:numPr>
          <w:ilvl w:val="0"/>
          <w:numId w:val="0"/>
        </w:numPr>
        <w:rPr>
          <w:b w:val="0"/>
          <w:bCs/>
          <w:color w:val="auto"/>
          <w:highlight w:val="none"/>
        </w:rPr>
      </w:pPr>
      <w:bookmarkStart w:id="623" w:name="_Toc54862232"/>
      <w:bookmarkStart w:id="624" w:name="_Ref11959210"/>
      <w:bookmarkStart w:id="625" w:name="_Ref11959204"/>
      <w:r>
        <w:rPr>
          <w:rFonts w:hint="eastAsia"/>
          <w:b w:val="0"/>
          <w:bCs/>
          <w:color w:val="auto"/>
          <w:highlight w:val="none"/>
        </w:rPr>
        <w:t>6</w:t>
      </w:r>
      <w:r>
        <w:rPr>
          <w:b w:val="0"/>
          <w:bCs/>
          <w:color w:val="auto"/>
          <w:highlight w:val="none"/>
        </w:rPr>
        <w:t xml:space="preserve">.4 </w:t>
      </w:r>
      <w:r>
        <w:rPr>
          <w:rFonts w:hint="eastAsia"/>
          <w:b w:val="0"/>
          <w:bCs/>
          <w:color w:val="auto"/>
          <w:highlight w:val="none"/>
        </w:rPr>
        <w:t>质量检查</w:t>
      </w:r>
      <w:bookmarkEnd w:id="623"/>
      <w:bookmarkEnd w:id="624"/>
      <w:bookmarkEnd w:id="625"/>
    </w:p>
    <w:p>
      <w:pPr>
        <w:pStyle w:val="55"/>
        <w:numPr>
          <w:ilvl w:val="0"/>
          <w:numId w:val="0"/>
        </w:numPr>
        <w:rPr>
          <w:rFonts w:ascii="仿宋_GB2312" w:eastAsia="仿宋_GB2312"/>
          <w:color w:val="auto"/>
          <w:szCs w:val="24"/>
          <w:highlight w:val="none"/>
        </w:rPr>
      </w:pPr>
      <w:bookmarkStart w:id="626" w:name="_Ref18990699"/>
      <w:r>
        <w:rPr>
          <w:rFonts w:hint="eastAsia" w:ascii="仿宋_GB2312" w:eastAsia="仿宋_GB2312"/>
          <w:color w:val="auto"/>
          <w:szCs w:val="24"/>
          <w:highlight w:val="none"/>
        </w:rPr>
        <w:t>6</w:t>
      </w:r>
      <w:r>
        <w:rPr>
          <w:rFonts w:ascii="仿宋_GB2312" w:eastAsia="仿宋_GB2312"/>
          <w:color w:val="auto"/>
          <w:szCs w:val="24"/>
          <w:highlight w:val="none"/>
        </w:rPr>
        <w:t xml:space="preserve">.4.1 </w:t>
      </w:r>
      <w:r>
        <w:rPr>
          <w:rFonts w:hint="eastAsia" w:ascii="仿宋_GB2312" w:eastAsia="仿宋_GB2312"/>
          <w:color w:val="auto"/>
          <w:szCs w:val="24"/>
          <w:highlight w:val="none"/>
        </w:rPr>
        <w:t>工程质量要求</w:t>
      </w:r>
      <w:bookmarkEnd w:id="626"/>
    </w:p>
    <w:p>
      <w:pPr>
        <w:ind w:firstLine="600"/>
        <w:rPr>
          <w:rFonts w:ascii="仿宋_GB2312" w:eastAsia="仿宋_GB2312"/>
          <w:color w:val="auto"/>
          <w:sz w:val="24"/>
          <w:highlight w:val="none"/>
        </w:rPr>
      </w:pPr>
      <w:r>
        <w:rPr>
          <w:rFonts w:hint="eastAsia" w:ascii="仿宋_GB2312" w:eastAsia="仿宋_GB2312"/>
          <w:color w:val="auto"/>
          <w:sz w:val="24"/>
          <w:highlight w:val="none"/>
        </w:rPr>
        <w:t>工程质量标准必须符合现行国家有关工程施工质量验收规范和标准的要求。有关工程质量的特殊标准或要求由合同当事人在专用合同条件中约定。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55"/>
        <w:numPr>
          <w:ilvl w:val="0"/>
          <w:numId w:val="0"/>
        </w:numPr>
        <w:rPr>
          <w:rFonts w:ascii="仿宋_GB2312" w:eastAsia="仿宋_GB2312"/>
          <w:color w:val="auto"/>
          <w:szCs w:val="24"/>
          <w:highlight w:val="none"/>
        </w:rPr>
      </w:pPr>
      <w:bookmarkStart w:id="627" w:name="_Ref18990717"/>
      <w:r>
        <w:rPr>
          <w:rFonts w:hint="eastAsia" w:ascii="仿宋_GB2312" w:eastAsia="仿宋_GB2312"/>
          <w:color w:val="auto"/>
          <w:szCs w:val="24"/>
          <w:highlight w:val="none"/>
        </w:rPr>
        <w:t>6</w:t>
      </w:r>
      <w:r>
        <w:rPr>
          <w:rFonts w:ascii="仿宋_GB2312" w:eastAsia="仿宋_GB2312"/>
          <w:color w:val="auto"/>
          <w:szCs w:val="24"/>
          <w:highlight w:val="none"/>
        </w:rPr>
        <w:t xml:space="preserve">.4.2 </w:t>
      </w:r>
      <w:r>
        <w:rPr>
          <w:rFonts w:hint="eastAsia" w:ascii="仿宋_GB2312" w:eastAsia="仿宋_GB2312"/>
          <w:color w:val="auto"/>
          <w:szCs w:val="24"/>
          <w:highlight w:val="none"/>
        </w:rPr>
        <w:t>质量检查</w:t>
      </w:r>
      <w:bookmarkEnd w:id="627"/>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55"/>
        <w:numPr>
          <w:ilvl w:val="0"/>
          <w:numId w:val="0"/>
        </w:numPr>
        <w:rPr>
          <w:rFonts w:ascii="仿宋_GB2312" w:eastAsia="仿宋_GB2312"/>
          <w:color w:val="auto"/>
          <w:szCs w:val="24"/>
          <w:highlight w:val="none"/>
        </w:rPr>
      </w:pPr>
      <w:bookmarkStart w:id="628" w:name="_Ref11959222"/>
      <w:r>
        <w:rPr>
          <w:rFonts w:hint="eastAsia" w:ascii="仿宋_GB2312" w:eastAsia="仿宋_GB2312"/>
          <w:color w:val="auto"/>
          <w:szCs w:val="24"/>
          <w:highlight w:val="none"/>
        </w:rPr>
        <w:t>6</w:t>
      </w:r>
      <w:r>
        <w:rPr>
          <w:rFonts w:ascii="仿宋_GB2312" w:eastAsia="仿宋_GB2312"/>
          <w:color w:val="auto"/>
          <w:szCs w:val="24"/>
          <w:highlight w:val="none"/>
        </w:rPr>
        <w:t xml:space="preserve">.4.3 </w:t>
      </w:r>
      <w:r>
        <w:rPr>
          <w:rFonts w:hint="eastAsia" w:ascii="仿宋_GB2312" w:eastAsia="仿宋_GB2312"/>
          <w:color w:val="auto"/>
          <w:szCs w:val="24"/>
          <w:highlight w:val="none"/>
        </w:rPr>
        <w:t>隐蔽工程检查</w:t>
      </w:r>
      <w:bookmarkEnd w:id="628"/>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除专用合同条件另有约定外，工程师不能按时进行检查的，应提前向承包人提交书面延期要求，顺延时间不得超过</w:t>
      </w:r>
      <w:r>
        <w:rPr>
          <w:rFonts w:ascii="仿宋_GB2312" w:eastAsia="仿宋_GB2312"/>
          <w:color w:val="auto"/>
          <w:sz w:val="24"/>
          <w:highlight w:val="none"/>
        </w:rPr>
        <w:t>48小时，</w:t>
      </w:r>
      <w:r>
        <w:rPr>
          <w:rFonts w:hint="eastAsia" w:ascii="仿宋_GB2312" w:eastAsia="仿宋_GB2312"/>
          <w:color w:val="auto"/>
          <w:sz w:val="24"/>
          <w:highlight w:val="none"/>
        </w:rPr>
        <w:t>由此导致工期延误的，工期应予以顺延，顺延超过</w:t>
      </w:r>
      <w:r>
        <w:rPr>
          <w:rFonts w:ascii="仿宋_GB2312" w:eastAsia="仿宋_GB2312"/>
          <w:color w:val="auto"/>
          <w:sz w:val="24"/>
          <w:highlight w:val="none"/>
        </w:rPr>
        <w:t>48小时的，由此导致的工期延误及费用增加由发包人承担</w:t>
      </w:r>
      <w:r>
        <w:rPr>
          <w:rFonts w:hint="eastAsia" w:ascii="仿宋_GB2312" w:eastAsia="仿宋_GB2312"/>
          <w:color w:val="auto"/>
          <w:sz w:val="24"/>
          <w:highlight w:val="none"/>
        </w:rPr>
        <w:t>。工程师未按时进行检查，也未提出延期要求的，视为隐蔽工程检查合格，承包人可自行完成覆盖工作，并作相应记录报送工程师，工程师应签字确认。工程师事后对检查记录有疑问的，可按下列约定重新检查。</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621"/>
    <w:p>
      <w:pPr>
        <w:pStyle w:val="54"/>
        <w:widowControl/>
        <w:numPr>
          <w:ilvl w:val="0"/>
          <w:numId w:val="0"/>
        </w:numPr>
        <w:rPr>
          <w:b w:val="0"/>
          <w:bCs/>
          <w:color w:val="auto"/>
          <w:highlight w:val="none"/>
        </w:rPr>
      </w:pPr>
      <w:bookmarkStart w:id="629" w:name="_Ref11927389"/>
      <w:bookmarkStart w:id="630" w:name="_Ref11927398"/>
      <w:bookmarkStart w:id="631" w:name="_Ref11927403"/>
      <w:bookmarkStart w:id="632" w:name="_Ref11959175"/>
      <w:bookmarkStart w:id="633" w:name="_Toc54862233"/>
      <w:bookmarkStart w:id="634" w:name="_Ref11959158"/>
      <w:r>
        <w:rPr>
          <w:rFonts w:hint="eastAsia"/>
          <w:b w:val="0"/>
          <w:bCs/>
          <w:color w:val="auto"/>
          <w:highlight w:val="none"/>
        </w:rPr>
        <w:t>6</w:t>
      </w:r>
      <w:r>
        <w:rPr>
          <w:b w:val="0"/>
          <w:bCs/>
          <w:color w:val="auto"/>
          <w:highlight w:val="none"/>
        </w:rPr>
        <w:t xml:space="preserve">.5 </w:t>
      </w:r>
      <w:r>
        <w:rPr>
          <w:rFonts w:hint="eastAsia"/>
          <w:b w:val="0"/>
          <w:bCs/>
          <w:color w:val="auto"/>
          <w:highlight w:val="none"/>
        </w:rPr>
        <w:t>由承包人试验</w:t>
      </w:r>
      <w:bookmarkEnd w:id="629"/>
      <w:bookmarkEnd w:id="630"/>
      <w:bookmarkEnd w:id="631"/>
      <w:r>
        <w:rPr>
          <w:rFonts w:hint="eastAsia"/>
          <w:b w:val="0"/>
          <w:bCs/>
          <w:color w:val="auto"/>
          <w:highlight w:val="none"/>
        </w:rPr>
        <w:t>和检验</w:t>
      </w:r>
      <w:bookmarkEnd w:id="632"/>
      <w:bookmarkEnd w:id="633"/>
      <w:bookmarkEnd w:id="634"/>
    </w:p>
    <w:bookmarkEnd w:id="622"/>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.5.1 </w:t>
      </w:r>
      <w:r>
        <w:rPr>
          <w:rFonts w:hint="eastAsia" w:ascii="仿宋_GB2312" w:eastAsia="仿宋_GB2312"/>
          <w:color w:val="auto"/>
          <w:szCs w:val="24"/>
          <w:highlight w:val="none"/>
        </w:rPr>
        <w:t>试验设备与试验人员</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承包人应按专用合同条件约定的试验内容、时间和地点提供试验设备、取样装置、试验场所和试验条件，并向工程师提交相应进场计划表。</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承包人配置的试验设备要符合相应试验规程的要求并经过具有资质的检测单位检测，且在正式使用该试验设备前，需要经过工程师与承包人共同校定。</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承包人应向工程师提交试验人员的名单及其岗位、资格等证明资料，试验人员必须能够熟练进行相应的检测试验，承包人对试验人员的试验程序和试验结果的正确性负责。</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.5.2 </w:t>
      </w:r>
      <w:r>
        <w:rPr>
          <w:rFonts w:hint="eastAsia" w:ascii="仿宋_GB2312" w:eastAsia="仿宋_GB2312"/>
          <w:color w:val="auto"/>
          <w:szCs w:val="24"/>
          <w:highlight w:val="none"/>
        </w:rPr>
        <w:t>取样</w:t>
      </w:r>
    </w:p>
    <w:p>
      <w:pPr>
        <w:ind w:firstLine="600"/>
        <w:rPr>
          <w:rFonts w:ascii="仿宋_GB2312" w:eastAsia="仿宋_GB2312"/>
          <w:color w:val="auto"/>
          <w:sz w:val="24"/>
          <w:highlight w:val="none"/>
        </w:rPr>
      </w:pPr>
      <w:r>
        <w:rPr>
          <w:rFonts w:hint="eastAsia" w:ascii="仿宋_GB2312" w:eastAsia="仿宋_GB2312"/>
          <w:color w:val="auto"/>
          <w:sz w:val="24"/>
          <w:highlight w:val="none"/>
        </w:rPr>
        <w:t>试验属于自检性质的，承包人可以单独取样。试验属于工程师抽检性质的，可由工程师取样，也可由承包人的试验人员在工程师的监督下取样。</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.5.3 </w:t>
      </w:r>
      <w:r>
        <w:rPr>
          <w:rFonts w:hint="eastAsia" w:ascii="仿宋_GB2312" w:eastAsia="仿宋_GB2312"/>
          <w:color w:val="auto"/>
          <w:szCs w:val="24"/>
          <w:highlight w:val="none"/>
        </w:rPr>
        <w:t>材料、工程设备和工程的试验和检验</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ind w:firstLine="600"/>
        <w:rPr>
          <w:rFonts w:ascii="仿宋_GB2312" w:eastAsia="仿宋_GB2312"/>
          <w:color w:val="auto"/>
          <w:sz w:val="24"/>
          <w:highlight w:val="none"/>
        </w:rPr>
      </w:pPr>
      <w:r>
        <w:rPr>
          <w:rFonts w:hint="eastAsia" w:ascii="仿宋_GB2312" w:eastAsia="仿宋_GB2312"/>
          <w:color w:val="auto"/>
          <w:sz w:val="24"/>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ind w:firstLine="600"/>
        <w:rPr>
          <w:rFonts w:ascii="仿宋_GB2312" w:eastAsia="仿宋_GB2312"/>
          <w:color w:val="auto"/>
          <w:sz w:val="24"/>
          <w:highlight w:val="none"/>
        </w:rPr>
      </w:pPr>
      <w:r>
        <w:rPr>
          <w:rFonts w:hint="eastAsia" w:ascii="仿宋_GB2312" w:eastAsia="仿宋_GB2312"/>
          <w:color w:val="auto"/>
          <w:sz w:val="24"/>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5"/>
        <w:numPr>
          <w:ilvl w:val="0"/>
          <w:numId w:val="0"/>
        </w:numPr>
        <w:rPr>
          <w:rFonts w:ascii="仿宋_GB2312" w:eastAsia="仿宋_GB2312"/>
          <w:color w:val="auto"/>
          <w:szCs w:val="24"/>
          <w:highlight w:val="none"/>
        </w:rPr>
      </w:pPr>
      <w:bookmarkStart w:id="635" w:name="_Toc351203566"/>
      <w:bookmarkStart w:id="636" w:name="_Toc337558786"/>
      <w:r>
        <w:rPr>
          <w:rFonts w:hint="eastAsia" w:ascii="仿宋_GB2312" w:eastAsia="仿宋_GB2312"/>
          <w:color w:val="auto"/>
          <w:szCs w:val="24"/>
          <w:highlight w:val="none"/>
        </w:rPr>
        <w:t>6</w:t>
      </w:r>
      <w:r>
        <w:rPr>
          <w:rFonts w:ascii="仿宋_GB2312" w:eastAsia="仿宋_GB2312"/>
          <w:color w:val="auto"/>
          <w:szCs w:val="24"/>
          <w:highlight w:val="none"/>
        </w:rPr>
        <w:t xml:space="preserve">.5.4 </w:t>
      </w:r>
      <w:r>
        <w:rPr>
          <w:rFonts w:hint="eastAsia" w:ascii="仿宋_GB2312" w:eastAsia="仿宋_GB2312"/>
          <w:color w:val="auto"/>
          <w:szCs w:val="24"/>
          <w:highlight w:val="none"/>
        </w:rPr>
        <w:t>现场工艺试验</w:t>
      </w:r>
      <w:bookmarkEnd w:id="635"/>
    </w:p>
    <w:bookmarkEnd w:id="636"/>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承包人应按合同约定进行现场工艺试验。对大型的现场工艺试验，发包人认为必要时，承包人应根据发包人提出的工艺试验要求，编制工艺试验措施计划，报送发包人审查。</w:t>
      </w:r>
    </w:p>
    <w:p>
      <w:pPr>
        <w:pStyle w:val="54"/>
        <w:widowControl/>
        <w:numPr>
          <w:ilvl w:val="0"/>
          <w:numId w:val="0"/>
        </w:numPr>
        <w:rPr>
          <w:b w:val="0"/>
          <w:bCs/>
          <w:color w:val="auto"/>
          <w:highlight w:val="none"/>
        </w:rPr>
      </w:pPr>
      <w:bookmarkStart w:id="637" w:name="_Ref532592787"/>
      <w:bookmarkStart w:id="638" w:name="_Toc54862234"/>
      <w:bookmarkStart w:id="639" w:name="_Ref532592784"/>
      <w:r>
        <w:rPr>
          <w:rFonts w:hint="eastAsia"/>
          <w:b w:val="0"/>
          <w:bCs/>
          <w:color w:val="auto"/>
          <w:highlight w:val="none"/>
        </w:rPr>
        <w:t>6</w:t>
      </w:r>
      <w:r>
        <w:rPr>
          <w:b w:val="0"/>
          <w:bCs/>
          <w:color w:val="auto"/>
          <w:highlight w:val="none"/>
        </w:rPr>
        <w:t xml:space="preserve">.6 </w:t>
      </w:r>
      <w:r>
        <w:rPr>
          <w:rFonts w:hint="eastAsia"/>
          <w:b w:val="0"/>
          <w:bCs/>
          <w:color w:val="auto"/>
          <w:highlight w:val="none"/>
        </w:rPr>
        <w:t>缺陷和修补</w:t>
      </w:r>
      <w:bookmarkEnd w:id="637"/>
      <w:bookmarkEnd w:id="638"/>
      <w:bookmarkEnd w:id="639"/>
    </w:p>
    <w:p>
      <w:pPr>
        <w:pStyle w:val="55"/>
        <w:numPr>
          <w:ilvl w:val="0"/>
          <w:numId w:val="0"/>
        </w:numPr>
        <w:rPr>
          <w:rFonts w:ascii="仿宋_GB2312" w:eastAsia="仿宋_GB2312"/>
          <w:color w:val="auto"/>
          <w:szCs w:val="24"/>
          <w:highlight w:val="none"/>
        </w:rPr>
      </w:pPr>
      <w:bookmarkStart w:id="640" w:name="_Ref16875551"/>
      <w:r>
        <w:rPr>
          <w:rFonts w:hint="eastAsia" w:ascii="仿宋_GB2312" w:eastAsia="仿宋_GB2312"/>
          <w:color w:val="auto"/>
          <w:szCs w:val="24"/>
          <w:highlight w:val="none"/>
        </w:rPr>
        <w:t>6</w:t>
      </w:r>
      <w:r>
        <w:rPr>
          <w:rFonts w:ascii="仿宋_GB2312" w:eastAsia="仿宋_GB2312"/>
          <w:color w:val="auto"/>
          <w:szCs w:val="24"/>
          <w:highlight w:val="none"/>
        </w:rPr>
        <w:t xml:space="preserve">.6.1 </w:t>
      </w:r>
      <w:r>
        <w:rPr>
          <w:rFonts w:hint="eastAsia" w:ascii="仿宋_GB2312" w:eastAsia="仿宋_GB2312"/>
          <w:color w:val="auto"/>
          <w:szCs w:val="24"/>
          <w:highlight w:val="none"/>
        </w:rPr>
        <w:t>发包人可在颁发接收证书前随时指示承包人：</w:t>
      </w:r>
      <w:bookmarkEnd w:id="640"/>
    </w:p>
    <w:p>
      <w:pPr>
        <w:ind w:firstLine="600"/>
        <w:rPr>
          <w:rFonts w:ascii="仿宋_GB2312" w:eastAsia="仿宋_GB2312"/>
          <w:color w:val="auto"/>
          <w:sz w:val="24"/>
          <w:highlight w:val="none"/>
        </w:rPr>
      </w:pPr>
      <w:r>
        <w:rPr>
          <w:rFonts w:hint="eastAsia" w:ascii="仿宋_GB2312" w:eastAsia="仿宋_GB2312"/>
          <w:color w:val="auto"/>
          <w:sz w:val="24"/>
          <w:highlight w:val="none"/>
        </w:rPr>
        <w:t>（1） 对不符合合同要求的任何工程设备或材料进行修补，或者将其移出现场并进行更换；</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（2） 对不符合合同的其他工作进行修补，或者将其去除并重新实施； </w:t>
      </w:r>
    </w:p>
    <w:p>
      <w:pPr>
        <w:ind w:firstLine="600"/>
        <w:rPr>
          <w:rFonts w:ascii="仿宋_GB2312" w:eastAsia="仿宋_GB2312"/>
          <w:color w:val="auto"/>
          <w:sz w:val="24"/>
          <w:highlight w:val="none"/>
        </w:rPr>
      </w:pPr>
      <w:bookmarkStart w:id="641" w:name="_Ref4708991"/>
      <w:r>
        <w:rPr>
          <w:rFonts w:hint="eastAsia" w:ascii="仿宋_GB2312" w:eastAsia="仿宋_GB2312"/>
          <w:color w:val="auto"/>
          <w:sz w:val="24"/>
          <w:highlight w:val="none"/>
        </w:rPr>
        <w:t>（3） 实施因意外、不可预见的事件或其他原因引起的、为工程的安全迫切需要的任何修补工作。</w:t>
      </w:r>
      <w:bookmarkEnd w:id="641"/>
    </w:p>
    <w:p>
      <w:pPr>
        <w:pStyle w:val="55"/>
        <w:numPr>
          <w:ilvl w:val="0"/>
          <w:numId w:val="0"/>
        </w:numPr>
        <w:rPr>
          <w:rFonts w:ascii="仿宋_GB2312" w:eastAsia="仿宋_GB2312"/>
          <w:color w:val="auto"/>
          <w:szCs w:val="24"/>
          <w:highlight w:val="none"/>
        </w:rPr>
      </w:pPr>
      <w:bookmarkStart w:id="642" w:name="_Ref11956964"/>
      <w:r>
        <w:rPr>
          <w:rFonts w:hint="eastAsia" w:ascii="仿宋_GB2312" w:eastAsia="仿宋_GB2312"/>
          <w:color w:val="auto"/>
          <w:szCs w:val="24"/>
          <w:highlight w:val="none"/>
        </w:rPr>
        <w:t>6</w:t>
      </w:r>
      <w:r>
        <w:rPr>
          <w:rFonts w:ascii="仿宋_GB2312" w:eastAsia="仿宋_GB2312"/>
          <w:color w:val="auto"/>
          <w:szCs w:val="24"/>
          <w:highlight w:val="none"/>
        </w:rPr>
        <w:t xml:space="preserve">.6.2 </w:t>
      </w:r>
      <w:r>
        <w:rPr>
          <w:rFonts w:hint="eastAsia" w:ascii="仿宋_GB2312" w:eastAsia="仿宋_GB2312"/>
          <w:color w:val="auto"/>
          <w:szCs w:val="24"/>
          <w:highlight w:val="none"/>
        </w:rPr>
        <w:t>承包人应遵守第</w:t>
      </w:r>
      <w:r>
        <w:rPr>
          <w:rFonts w:ascii="仿宋_GB2312" w:eastAsia="仿宋_GB2312"/>
          <w:color w:val="auto"/>
          <w:szCs w:val="24"/>
          <w:highlight w:val="none"/>
        </w:rPr>
        <w:t>6.6.1项下</w:t>
      </w:r>
      <w:r>
        <w:rPr>
          <w:rFonts w:hint="eastAsia" w:ascii="仿宋_GB2312" w:eastAsia="仿宋_GB2312"/>
          <w:color w:val="auto"/>
          <w:szCs w:val="24"/>
          <w:highlight w:val="none"/>
        </w:rPr>
        <w:t>指示，并在合理可行的情况下，根据上述指示中规定的时间完成修补工作。除因下列原因引起的第</w:t>
      </w:r>
      <w:r>
        <w:rPr>
          <w:rFonts w:ascii="仿宋_GB2312" w:eastAsia="仿宋_GB2312"/>
          <w:color w:val="auto"/>
          <w:szCs w:val="24"/>
          <w:highlight w:val="none"/>
        </w:rPr>
        <w:t>6.6.1</w:t>
      </w:r>
      <w:r>
        <w:rPr>
          <w:rFonts w:hint="eastAsia" w:ascii="仿宋_GB2312" w:eastAsia="仿宋_GB2312"/>
          <w:color w:val="auto"/>
          <w:szCs w:val="24"/>
          <w:highlight w:val="none"/>
        </w:rPr>
        <w:t>项第（3）目下的情形外，承包人应承担所有修补工作的费用：</w:t>
      </w:r>
      <w:bookmarkEnd w:id="642"/>
    </w:p>
    <w:p>
      <w:pPr>
        <w:ind w:firstLine="600"/>
        <w:rPr>
          <w:rFonts w:ascii="仿宋_GB2312" w:eastAsia="仿宋_GB2312"/>
          <w:color w:val="auto"/>
          <w:sz w:val="24"/>
          <w:highlight w:val="none"/>
        </w:rPr>
      </w:pPr>
      <w:r>
        <w:rPr>
          <w:rFonts w:hint="eastAsia" w:ascii="仿宋_GB2312" w:eastAsia="仿宋_GB2312"/>
          <w:color w:val="auto"/>
          <w:sz w:val="24"/>
          <w:highlight w:val="none"/>
        </w:rPr>
        <w:t>（1） 因发包人或其人员的任何行为导致的情形，且在此情况下发包人应承担因此引起的工期延误和承包人费用损失，并向承包人支付合理的利润。</w:t>
      </w:r>
    </w:p>
    <w:p>
      <w:pPr>
        <w:ind w:firstLine="600"/>
        <w:rPr>
          <w:rFonts w:ascii="仿宋_GB2312" w:eastAsia="仿宋_GB2312"/>
          <w:color w:val="auto"/>
          <w:sz w:val="24"/>
          <w:highlight w:val="none"/>
        </w:rPr>
      </w:pPr>
      <w:r>
        <w:rPr>
          <w:rFonts w:hint="eastAsia" w:ascii="仿宋_GB2312" w:eastAsia="仿宋_GB2312"/>
          <w:color w:val="auto"/>
          <w:sz w:val="24"/>
          <w:highlight w:val="none"/>
        </w:rPr>
        <w:t>（2） 第</w:t>
      </w:r>
      <w:r>
        <w:rPr>
          <w:rFonts w:ascii="仿宋_GB2312" w:eastAsia="仿宋_GB2312"/>
          <w:color w:val="auto"/>
          <w:sz w:val="24"/>
          <w:highlight w:val="none"/>
        </w:rPr>
        <w:t>17.4</w:t>
      </w:r>
      <w:r>
        <w:rPr>
          <w:rFonts w:hint="eastAsia" w:ascii="仿宋_GB2312" w:eastAsia="仿宋_GB2312"/>
          <w:color w:val="auto"/>
          <w:sz w:val="24"/>
          <w:highlight w:val="none"/>
        </w:rPr>
        <w:t>款[</w:t>
      </w:r>
      <w:r>
        <w:rPr>
          <w:rFonts w:ascii="仿宋_GB2312" w:eastAsia="仿宋_GB2312"/>
          <w:color w:val="auto"/>
          <w:sz w:val="24"/>
          <w:highlight w:val="none"/>
        </w:rPr>
        <w:t>不可抗力后果</w:t>
      </w:r>
      <w:r>
        <w:rPr>
          <w:rFonts w:hint="eastAsia" w:ascii="仿宋_GB2312" w:eastAsia="仿宋_GB2312"/>
          <w:color w:val="auto"/>
          <w:sz w:val="24"/>
          <w:highlight w:val="none"/>
        </w:rPr>
        <w:t>的</w:t>
      </w:r>
      <w:r>
        <w:rPr>
          <w:rFonts w:ascii="仿宋_GB2312" w:eastAsia="仿宋_GB2312"/>
          <w:color w:val="auto"/>
          <w:sz w:val="24"/>
          <w:highlight w:val="none"/>
        </w:rPr>
        <w:t>承担</w:t>
      </w:r>
      <w:r>
        <w:rPr>
          <w:rFonts w:hint="eastAsia" w:ascii="仿宋_GB2312" w:eastAsia="仿宋_GB2312"/>
          <w:color w:val="auto"/>
          <w:sz w:val="24"/>
          <w:highlight w:val="none"/>
        </w:rPr>
        <w:t>]中适用的不可抗力事件的情形。</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6</w:t>
      </w:r>
      <w:r>
        <w:rPr>
          <w:rFonts w:ascii="仿宋_GB2312" w:eastAsia="仿宋_GB2312"/>
          <w:color w:val="auto"/>
          <w:szCs w:val="24"/>
          <w:highlight w:val="none"/>
        </w:rPr>
        <w:t xml:space="preserve">.6.3 </w:t>
      </w:r>
      <w:r>
        <w:rPr>
          <w:rFonts w:hint="eastAsia" w:ascii="仿宋_GB2312" w:eastAsia="仿宋_GB2312"/>
          <w:color w:val="auto"/>
          <w:szCs w:val="24"/>
          <w:highlight w:val="none"/>
        </w:rPr>
        <w:t>如果承包人未能遵守发包人的指示，发包人可以自行决定请第三方完成上述修补工作，并有权要求承包人支付因未履行指示而产生的所有费用，但承包人根据第</w:t>
      </w:r>
      <w:r>
        <w:rPr>
          <w:rFonts w:ascii="仿宋_GB2312" w:eastAsia="仿宋_GB2312"/>
          <w:color w:val="auto"/>
          <w:szCs w:val="24"/>
          <w:highlight w:val="none"/>
        </w:rPr>
        <w:t>6.6.2</w:t>
      </w:r>
      <w:r>
        <w:rPr>
          <w:rFonts w:hint="eastAsia" w:ascii="仿宋_GB2312" w:eastAsia="仿宋_GB2312"/>
          <w:color w:val="auto"/>
          <w:szCs w:val="24"/>
          <w:highlight w:val="none"/>
        </w:rPr>
        <w:t>项有权就修补工作获得支付的情况除外。</w:t>
      </w:r>
    </w:p>
    <w:p>
      <w:pPr>
        <w:pStyle w:val="42"/>
        <w:numPr>
          <w:ilvl w:val="0"/>
          <w:numId w:val="0"/>
        </w:numPr>
        <w:wordWrap/>
        <w:topLinePunct w:val="0"/>
        <w:rPr>
          <w:b w:val="0"/>
          <w:bCs/>
          <w:color w:val="auto"/>
          <w:sz w:val="24"/>
          <w:szCs w:val="24"/>
          <w:highlight w:val="none"/>
        </w:rPr>
      </w:pPr>
      <w:bookmarkStart w:id="643" w:name="_Ref531954214"/>
      <w:bookmarkStart w:id="644" w:name="_Toc54862235"/>
      <w:r>
        <w:rPr>
          <w:rFonts w:hint="eastAsia"/>
          <w:b w:val="0"/>
          <w:bCs/>
          <w:color w:val="auto"/>
          <w:sz w:val="24"/>
          <w:szCs w:val="24"/>
          <w:highlight w:val="none"/>
        </w:rPr>
        <w:t>第7条 施工</w:t>
      </w:r>
      <w:bookmarkEnd w:id="643"/>
      <w:bookmarkEnd w:id="644"/>
    </w:p>
    <w:p>
      <w:pPr>
        <w:pStyle w:val="54"/>
        <w:widowControl/>
        <w:numPr>
          <w:ilvl w:val="0"/>
          <w:numId w:val="0"/>
        </w:numPr>
        <w:rPr>
          <w:b w:val="0"/>
          <w:bCs/>
          <w:color w:val="auto"/>
          <w:highlight w:val="none"/>
        </w:rPr>
      </w:pPr>
      <w:bookmarkStart w:id="645" w:name="_Toc54862236"/>
      <w:bookmarkStart w:id="646" w:name="_Ref531954276"/>
      <w:bookmarkStart w:id="647" w:name="_Ref531954272"/>
      <w:bookmarkStart w:id="648" w:name="_Ref531954260"/>
      <w:bookmarkStart w:id="649" w:name="_Ref531954246"/>
      <w:r>
        <w:rPr>
          <w:rFonts w:hint="eastAsia"/>
          <w:b w:val="0"/>
          <w:bCs/>
          <w:color w:val="auto"/>
          <w:highlight w:val="none"/>
        </w:rPr>
        <w:t>7</w:t>
      </w:r>
      <w:r>
        <w:rPr>
          <w:b w:val="0"/>
          <w:bCs/>
          <w:color w:val="auto"/>
          <w:highlight w:val="none"/>
        </w:rPr>
        <w:t xml:space="preserve">.1 </w:t>
      </w:r>
      <w:r>
        <w:rPr>
          <w:rFonts w:hint="eastAsia"/>
          <w:b w:val="0"/>
          <w:bCs/>
          <w:color w:val="auto"/>
          <w:highlight w:val="none"/>
        </w:rPr>
        <w:t>交通运输</w:t>
      </w:r>
      <w:bookmarkEnd w:id="645"/>
      <w:bookmarkEnd w:id="646"/>
      <w:bookmarkEnd w:id="647"/>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650" w:name="_Ref4422645"/>
      <w:r>
        <w:rPr>
          <w:rFonts w:hint="eastAsia" w:ascii="仿宋_GB2312" w:eastAsia="仿宋_GB2312"/>
          <w:color w:val="auto"/>
          <w:szCs w:val="24"/>
          <w:highlight w:val="none"/>
        </w:rPr>
        <w:t>7</w:t>
      </w:r>
      <w:r>
        <w:rPr>
          <w:rFonts w:ascii="仿宋_GB2312" w:eastAsia="仿宋_GB2312"/>
          <w:color w:val="auto"/>
          <w:szCs w:val="24"/>
          <w:highlight w:val="none"/>
        </w:rPr>
        <w:t xml:space="preserve">.1.1 </w:t>
      </w:r>
      <w:r>
        <w:rPr>
          <w:rFonts w:hint="eastAsia" w:ascii="仿宋_GB2312" w:eastAsia="仿宋_GB2312"/>
          <w:color w:val="auto"/>
          <w:szCs w:val="24"/>
          <w:highlight w:val="none"/>
        </w:rPr>
        <w:t>出入现场的权利</w:t>
      </w:r>
      <w:bookmarkEnd w:id="650"/>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55"/>
        <w:numPr>
          <w:ilvl w:val="0"/>
          <w:numId w:val="0"/>
        </w:numPr>
        <w:rPr>
          <w:rFonts w:ascii="仿宋_GB2312" w:eastAsia="仿宋_GB2312"/>
          <w:color w:val="auto"/>
          <w:szCs w:val="24"/>
          <w:highlight w:val="none"/>
        </w:rPr>
      </w:pPr>
      <w:bookmarkStart w:id="651" w:name="_Ref18957045"/>
      <w:r>
        <w:rPr>
          <w:rFonts w:hint="eastAsia" w:ascii="仿宋_GB2312" w:eastAsia="仿宋_GB2312"/>
          <w:color w:val="auto"/>
          <w:szCs w:val="24"/>
          <w:highlight w:val="none"/>
        </w:rPr>
        <w:t>7</w:t>
      </w:r>
      <w:r>
        <w:rPr>
          <w:rFonts w:ascii="仿宋_GB2312" w:eastAsia="仿宋_GB2312"/>
          <w:color w:val="auto"/>
          <w:szCs w:val="24"/>
          <w:highlight w:val="none"/>
        </w:rPr>
        <w:t xml:space="preserve">.1.2 </w:t>
      </w:r>
      <w:r>
        <w:rPr>
          <w:rFonts w:hint="eastAsia" w:ascii="仿宋_GB2312" w:eastAsia="仿宋_GB2312"/>
          <w:color w:val="auto"/>
          <w:szCs w:val="24"/>
          <w:highlight w:val="none"/>
        </w:rPr>
        <w:t>场外交通</w:t>
      </w:r>
      <w:bookmarkEnd w:id="651"/>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55"/>
        <w:numPr>
          <w:ilvl w:val="0"/>
          <w:numId w:val="0"/>
        </w:numPr>
        <w:rPr>
          <w:rFonts w:ascii="仿宋_GB2312" w:eastAsia="仿宋_GB2312"/>
          <w:color w:val="auto"/>
          <w:szCs w:val="24"/>
          <w:highlight w:val="none"/>
        </w:rPr>
      </w:pPr>
      <w:bookmarkStart w:id="652" w:name="_Ref4622358"/>
      <w:r>
        <w:rPr>
          <w:rFonts w:hint="eastAsia" w:ascii="仿宋_GB2312" w:eastAsia="仿宋_GB2312"/>
          <w:color w:val="auto"/>
          <w:szCs w:val="24"/>
          <w:highlight w:val="none"/>
        </w:rPr>
        <w:t>7</w:t>
      </w:r>
      <w:r>
        <w:rPr>
          <w:rFonts w:ascii="仿宋_GB2312" w:eastAsia="仿宋_GB2312"/>
          <w:color w:val="auto"/>
          <w:szCs w:val="24"/>
          <w:highlight w:val="none"/>
        </w:rPr>
        <w:t xml:space="preserve">.1.3 </w:t>
      </w:r>
      <w:r>
        <w:rPr>
          <w:rFonts w:hint="eastAsia" w:ascii="仿宋_GB2312" w:eastAsia="仿宋_GB2312"/>
          <w:color w:val="auto"/>
          <w:szCs w:val="24"/>
          <w:highlight w:val="none"/>
        </w:rPr>
        <w:t>场内交通</w:t>
      </w:r>
      <w:bookmarkEnd w:id="652"/>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55"/>
        <w:numPr>
          <w:ilvl w:val="0"/>
          <w:numId w:val="0"/>
        </w:numPr>
        <w:rPr>
          <w:rFonts w:ascii="仿宋_GB2312" w:eastAsia="仿宋_GB2312"/>
          <w:color w:val="auto"/>
          <w:szCs w:val="24"/>
          <w:highlight w:val="none"/>
        </w:rPr>
      </w:pPr>
      <w:bookmarkStart w:id="653" w:name="_Ref4622376"/>
      <w:r>
        <w:rPr>
          <w:rFonts w:hint="eastAsia" w:ascii="仿宋_GB2312" w:eastAsia="仿宋_GB2312"/>
          <w:color w:val="auto"/>
          <w:szCs w:val="24"/>
          <w:highlight w:val="none"/>
        </w:rPr>
        <w:t>7</w:t>
      </w:r>
      <w:r>
        <w:rPr>
          <w:rFonts w:ascii="仿宋_GB2312" w:eastAsia="仿宋_GB2312"/>
          <w:color w:val="auto"/>
          <w:szCs w:val="24"/>
          <w:highlight w:val="none"/>
        </w:rPr>
        <w:t xml:space="preserve">.1.4 </w:t>
      </w:r>
      <w:r>
        <w:rPr>
          <w:rFonts w:hint="eastAsia" w:ascii="仿宋_GB2312" w:eastAsia="仿宋_GB2312"/>
          <w:color w:val="auto"/>
          <w:szCs w:val="24"/>
          <w:highlight w:val="none"/>
        </w:rPr>
        <w:t>超大件和超重件的运输</w:t>
      </w:r>
      <w:bookmarkEnd w:id="653"/>
    </w:p>
    <w:p>
      <w:pPr>
        <w:ind w:firstLine="600"/>
        <w:rPr>
          <w:rFonts w:ascii="仿宋_GB2312" w:eastAsia="仿宋_GB2312"/>
          <w:color w:val="auto"/>
          <w:sz w:val="24"/>
          <w:highlight w:val="none"/>
        </w:rPr>
      </w:pPr>
      <w:r>
        <w:rPr>
          <w:rFonts w:hint="eastAsia" w:ascii="仿宋_GB2312" w:eastAsia="仿宋_GB2312"/>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.1.5 </w:t>
      </w:r>
      <w:r>
        <w:rPr>
          <w:rFonts w:hint="eastAsia" w:ascii="仿宋_GB2312" w:eastAsia="仿宋_GB2312"/>
          <w:color w:val="auto"/>
          <w:szCs w:val="24"/>
          <w:highlight w:val="none"/>
        </w:rPr>
        <w:t>道路和桥梁的损坏责任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因承包人运输造成施工现场内外公共道路和桥梁损坏的，由承包人承担修复损坏的全部费用和可能引起的赔偿。</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.1.6 </w:t>
      </w:r>
      <w:r>
        <w:rPr>
          <w:rFonts w:hint="eastAsia" w:ascii="仿宋_GB2312" w:eastAsia="仿宋_GB2312"/>
          <w:color w:val="auto"/>
          <w:szCs w:val="24"/>
          <w:highlight w:val="none"/>
        </w:rPr>
        <w:t>水路和航空运输</w:t>
      </w:r>
    </w:p>
    <w:p>
      <w:pPr>
        <w:ind w:firstLine="600"/>
        <w:rPr>
          <w:rFonts w:ascii="仿宋_GB2312" w:eastAsia="仿宋_GB2312"/>
          <w:color w:val="auto"/>
          <w:sz w:val="24"/>
          <w:highlight w:val="none"/>
        </w:rPr>
      </w:pPr>
      <w:r>
        <w:rPr>
          <w:rFonts w:hint="eastAsia" w:ascii="仿宋_GB2312" w:eastAsia="仿宋_GB2312"/>
          <w:color w:val="auto"/>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54"/>
        <w:widowControl/>
        <w:numPr>
          <w:ilvl w:val="0"/>
          <w:numId w:val="0"/>
        </w:numPr>
        <w:rPr>
          <w:b w:val="0"/>
          <w:bCs/>
          <w:color w:val="auto"/>
          <w:highlight w:val="none"/>
        </w:rPr>
      </w:pPr>
      <w:bookmarkStart w:id="654" w:name="_Ref11919294"/>
      <w:bookmarkStart w:id="655" w:name="_Toc54862237"/>
      <w:bookmarkStart w:id="656" w:name="_Ref11919459"/>
      <w:r>
        <w:rPr>
          <w:rFonts w:hint="eastAsia"/>
          <w:b w:val="0"/>
          <w:bCs/>
          <w:color w:val="auto"/>
          <w:highlight w:val="none"/>
        </w:rPr>
        <w:t>7</w:t>
      </w:r>
      <w:r>
        <w:rPr>
          <w:b w:val="0"/>
          <w:bCs/>
          <w:color w:val="auto"/>
          <w:highlight w:val="none"/>
        </w:rPr>
        <w:t xml:space="preserve">.2 </w:t>
      </w:r>
      <w:r>
        <w:rPr>
          <w:rFonts w:hint="eastAsia"/>
          <w:b w:val="0"/>
          <w:bCs/>
          <w:color w:val="auto"/>
          <w:highlight w:val="none"/>
        </w:rPr>
        <w:t>施工设备和临时设施</w:t>
      </w:r>
      <w:bookmarkEnd w:id="648"/>
      <w:bookmarkEnd w:id="649"/>
      <w:bookmarkEnd w:id="654"/>
      <w:bookmarkEnd w:id="655"/>
      <w:bookmarkEnd w:id="656"/>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657" w:name="_Ref18990767"/>
      <w:bookmarkStart w:id="658" w:name="_Ref509043186"/>
      <w:r>
        <w:rPr>
          <w:rFonts w:hint="eastAsia" w:ascii="仿宋_GB2312" w:eastAsia="仿宋_GB2312"/>
          <w:color w:val="auto"/>
          <w:szCs w:val="24"/>
          <w:highlight w:val="none"/>
        </w:rPr>
        <w:t>7</w:t>
      </w:r>
      <w:r>
        <w:rPr>
          <w:rFonts w:ascii="仿宋_GB2312" w:eastAsia="仿宋_GB2312"/>
          <w:color w:val="auto"/>
          <w:szCs w:val="24"/>
          <w:highlight w:val="none"/>
        </w:rPr>
        <w:t xml:space="preserve">.2.1 </w:t>
      </w:r>
      <w:r>
        <w:rPr>
          <w:rFonts w:hint="eastAsia" w:ascii="仿宋_GB2312" w:eastAsia="仿宋_GB2312"/>
          <w:color w:val="auto"/>
          <w:szCs w:val="24"/>
          <w:highlight w:val="none"/>
        </w:rPr>
        <w:t>承包人提供的施工设备和临时设施</w:t>
      </w:r>
      <w:bookmarkEnd w:id="657"/>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除专用合同条件另有约定外，承包人应自行承担修建临时设施的费用，需要临时占地的，应由发包人办理申请手续并承担相应费用。承包人应在专用合同条件</w:t>
      </w:r>
      <w:r>
        <w:rPr>
          <w:rFonts w:ascii="仿宋_GB2312" w:eastAsia="仿宋_GB2312"/>
          <w:color w:val="auto"/>
          <w:sz w:val="24"/>
          <w:highlight w:val="none"/>
        </w:rPr>
        <w:t>7.2</w:t>
      </w:r>
      <w:r>
        <w:rPr>
          <w:rFonts w:hint="eastAsia" w:ascii="仿宋_GB2312" w:eastAsia="仿宋_GB2312"/>
          <w:color w:val="auto"/>
          <w:sz w:val="24"/>
          <w:highlight w:val="none"/>
        </w:rPr>
        <w:t>款</w:t>
      </w:r>
      <w:r>
        <w:rPr>
          <w:rFonts w:ascii="仿宋_GB2312" w:eastAsia="仿宋_GB2312"/>
          <w:color w:val="auto"/>
          <w:sz w:val="24"/>
          <w:highlight w:val="none"/>
        </w:rPr>
        <w:t>约定的时间内向发包人提交临时占地资料，因承包人未能按时提交资料，导致工期延误的，由此增加的费用和（或）竣工日期延误，由承包人负责。</w:t>
      </w:r>
    </w:p>
    <w:bookmarkEnd w:id="658"/>
    <w:p>
      <w:pPr>
        <w:pStyle w:val="55"/>
        <w:numPr>
          <w:ilvl w:val="0"/>
          <w:numId w:val="0"/>
        </w:numPr>
        <w:rPr>
          <w:rFonts w:ascii="仿宋_GB2312" w:eastAsia="仿宋_GB2312"/>
          <w:color w:val="auto"/>
          <w:szCs w:val="24"/>
          <w:highlight w:val="none"/>
        </w:rPr>
      </w:pPr>
      <w:bookmarkStart w:id="659" w:name="_Ref18990784"/>
      <w:r>
        <w:rPr>
          <w:rFonts w:hint="eastAsia" w:ascii="仿宋_GB2312" w:eastAsia="仿宋_GB2312"/>
          <w:color w:val="auto"/>
          <w:szCs w:val="24"/>
          <w:highlight w:val="none"/>
        </w:rPr>
        <w:t>7</w:t>
      </w:r>
      <w:r>
        <w:rPr>
          <w:rFonts w:ascii="仿宋_GB2312" w:eastAsia="仿宋_GB2312"/>
          <w:color w:val="auto"/>
          <w:szCs w:val="24"/>
          <w:highlight w:val="none"/>
        </w:rPr>
        <w:t xml:space="preserve">.2.2 </w:t>
      </w:r>
      <w:r>
        <w:rPr>
          <w:rFonts w:hint="eastAsia" w:ascii="仿宋_GB2312" w:eastAsia="仿宋_GB2312"/>
          <w:color w:val="auto"/>
          <w:szCs w:val="24"/>
          <w:highlight w:val="none"/>
        </w:rPr>
        <w:t>发包人提供的施工设备和临时设施</w:t>
      </w:r>
      <w:bookmarkEnd w:id="659"/>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发包人提供的施工设备或临时设施在专用合同条件中约定。</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.2.3 </w:t>
      </w:r>
      <w:r>
        <w:rPr>
          <w:rFonts w:hint="eastAsia" w:ascii="仿宋_GB2312" w:eastAsia="仿宋_GB2312"/>
          <w:color w:val="auto"/>
          <w:szCs w:val="24"/>
          <w:highlight w:val="none"/>
        </w:rPr>
        <w:t>要求承包人增加或更换施工设备</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承包人使用的施工设备不能满足项目进度计划和（或）质量要求时，工程师有权要求承包人增加或更换施工设备，承包人应及时增加或更换，由此增加的费用和（或）延误的工期由承包人承担。</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.2.4 </w:t>
      </w:r>
      <w:r>
        <w:rPr>
          <w:rFonts w:hint="eastAsia" w:ascii="仿宋_GB2312" w:eastAsia="仿宋_GB2312"/>
          <w:color w:val="auto"/>
          <w:szCs w:val="24"/>
          <w:highlight w:val="none"/>
        </w:rPr>
        <w:t>施工设备和临时设施专用于合同工程</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54"/>
        <w:widowControl/>
        <w:numPr>
          <w:ilvl w:val="0"/>
          <w:numId w:val="0"/>
        </w:numPr>
        <w:rPr>
          <w:b w:val="0"/>
          <w:bCs/>
          <w:color w:val="auto"/>
          <w:highlight w:val="none"/>
        </w:rPr>
      </w:pPr>
      <w:bookmarkStart w:id="660" w:name="_Ref11874352"/>
      <w:bookmarkStart w:id="661" w:name="_Toc54862238"/>
      <w:r>
        <w:rPr>
          <w:rFonts w:hint="eastAsia"/>
          <w:b w:val="0"/>
          <w:bCs/>
          <w:color w:val="auto"/>
          <w:highlight w:val="none"/>
        </w:rPr>
        <w:t>7</w:t>
      </w:r>
      <w:r>
        <w:rPr>
          <w:b w:val="0"/>
          <w:bCs/>
          <w:color w:val="auto"/>
          <w:highlight w:val="none"/>
        </w:rPr>
        <w:t xml:space="preserve">.3 </w:t>
      </w:r>
      <w:r>
        <w:rPr>
          <w:rFonts w:hint="eastAsia"/>
          <w:b w:val="0"/>
          <w:bCs/>
          <w:color w:val="auto"/>
          <w:highlight w:val="none"/>
        </w:rPr>
        <w:t>现场合作</w:t>
      </w:r>
      <w:bookmarkEnd w:id="660"/>
      <w:bookmarkEnd w:id="661"/>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承包人应对其在现场的施工活动负责，并应尽合理努力按合同约定或发包人的指示，协调自身与发包人人员、发包人的其他承包人等人员的活动。</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54"/>
        <w:widowControl/>
        <w:numPr>
          <w:ilvl w:val="0"/>
          <w:numId w:val="0"/>
        </w:numPr>
        <w:rPr>
          <w:b w:val="0"/>
          <w:bCs/>
          <w:color w:val="auto"/>
          <w:highlight w:val="none"/>
        </w:rPr>
      </w:pPr>
      <w:bookmarkStart w:id="662" w:name="_Toc54862239"/>
      <w:bookmarkStart w:id="663" w:name="_Ref531954285"/>
      <w:bookmarkStart w:id="664" w:name="_Ref531954287"/>
      <w:r>
        <w:rPr>
          <w:rFonts w:hint="eastAsia"/>
          <w:b w:val="0"/>
          <w:bCs/>
          <w:color w:val="auto"/>
          <w:highlight w:val="none"/>
        </w:rPr>
        <w:t>7</w:t>
      </w:r>
      <w:r>
        <w:rPr>
          <w:b w:val="0"/>
          <w:bCs/>
          <w:color w:val="auto"/>
          <w:highlight w:val="none"/>
        </w:rPr>
        <w:t xml:space="preserve">.4 </w:t>
      </w:r>
      <w:r>
        <w:rPr>
          <w:rFonts w:hint="eastAsia"/>
          <w:b w:val="0"/>
          <w:bCs/>
          <w:color w:val="auto"/>
          <w:highlight w:val="none"/>
        </w:rPr>
        <w:t>测量放线</w:t>
      </w:r>
      <w:bookmarkEnd w:id="662"/>
      <w:bookmarkEnd w:id="663"/>
      <w:bookmarkEnd w:id="664"/>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.4.1 </w:t>
      </w:r>
      <w:r>
        <w:rPr>
          <w:rFonts w:hint="eastAsia" w:ascii="仿宋_GB2312" w:eastAsia="仿宋_GB2312"/>
          <w:color w:val="auto"/>
          <w:szCs w:val="24"/>
          <w:highlight w:val="none"/>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.4.2 </w:t>
      </w:r>
      <w:r>
        <w:rPr>
          <w:rFonts w:hint="eastAsia" w:ascii="仿宋_GB2312" w:eastAsia="仿宋_GB2312"/>
          <w:color w:val="auto"/>
          <w:szCs w:val="24"/>
          <w:highlight w:val="none"/>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.4.3 </w:t>
      </w:r>
      <w:r>
        <w:rPr>
          <w:rFonts w:hint="eastAsia" w:ascii="仿宋_GB2312" w:eastAsia="仿宋_GB2312"/>
          <w:color w:val="auto"/>
          <w:szCs w:val="24"/>
          <w:highlight w:val="none"/>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54"/>
        <w:widowControl/>
        <w:numPr>
          <w:ilvl w:val="0"/>
          <w:numId w:val="0"/>
        </w:numPr>
        <w:rPr>
          <w:b w:val="0"/>
          <w:bCs/>
          <w:color w:val="auto"/>
          <w:highlight w:val="none"/>
        </w:rPr>
      </w:pPr>
      <w:bookmarkStart w:id="665" w:name="_Toc54862240"/>
      <w:bookmarkStart w:id="666" w:name="_Ref4770992"/>
      <w:bookmarkStart w:id="667" w:name="_Ref531954329"/>
      <w:bookmarkStart w:id="668" w:name="_Ref531954323"/>
      <w:r>
        <w:rPr>
          <w:rFonts w:hint="eastAsia"/>
          <w:b w:val="0"/>
          <w:bCs/>
          <w:color w:val="auto"/>
          <w:highlight w:val="none"/>
        </w:rPr>
        <w:t>7</w:t>
      </w:r>
      <w:r>
        <w:rPr>
          <w:b w:val="0"/>
          <w:bCs/>
          <w:color w:val="auto"/>
          <w:highlight w:val="none"/>
        </w:rPr>
        <w:t xml:space="preserve">.5 </w:t>
      </w:r>
      <w:r>
        <w:rPr>
          <w:rFonts w:hint="eastAsia"/>
          <w:b w:val="0"/>
          <w:bCs/>
          <w:color w:val="auto"/>
          <w:highlight w:val="none"/>
        </w:rPr>
        <w:t>现场劳动用工</w:t>
      </w:r>
      <w:bookmarkEnd w:id="665"/>
    </w:p>
    <w:p>
      <w:pPr>
        <w:pStyle w:val="55"/>
        <w:numPr>
          <w:ilvl w:val="0"/>
          <w:numId w:val="0"/>
        </w:numPr>
        <w:rPr>
          <w:rFonts w:ascii="仿宋_GB2312" w:eastAsia="仿宋_GB2312"/>
          <w:color w:val="auto"/>
          <w:szCs w:val="24"/>
          <w:highlight w:val="none"/>
        </w:rPr>
      </w:pPr>
      <w:r>
        <w:rPr>
          <w:rFonts w:ascii="仿宋_GB2312" w:eastAsia="仿宋_GB2312"/>
          <w:color w:val="auto"/>
          <w:szCs w:val="24"/>
          <w:highlight w:val="none"/>
        </w:rPr>
        <w:t>7.5.1 承包人及其分包人招用建筑工人的，</w:t>
      </w:r>
      <w:r>
        <w:rPr>
          <w:rFonts w:hint="eastAsia" w:ascii="仿宋_GB2312" w:eastAsia="仿宋_GB2312"/>
          <w:color w:val="auto"/>
          <w:szCs w:val="24"/>
          <w:highlight w:val="none"/>
        </w:rPr>
        <w:t>应当依法与所招用的建筑工人订立</w:t>
      </w:r>
      <w:r>
        <w:rPr>
          <w:rFonts w:ascii="仿宋_GB2312" w:eastAsia="仿宋_GB2312"/>
          <w:color w:val="auto"/>
          <w:szCs w:val="24"/>
          <w:highlight w:val="none"/>
        </w:rPr>
        <w:t>劳动合同，实行建筑工人劳动用工实名制管理，</w:t>
      </w:r>
      <w:r>
        <w:rPr>
          <w:rFonts w:hint="eastAsia" w:ascii="仿宋_GB2312" w:eastAsia="仿宋_GB2312"/>
          <w:color w:val="auto"/>
          <w:szCs w:val="24"/>
          <w:highlight w:val="none"/>
        </w:rPr>
        <w:t>承包人</w:t>
      </w:r>
      <w:r>
        <w:rPr>
          <w:rFonts w:ascii="仿宋_GB2312" w:eastAsia="仿宋_GB2312"/>
          <w:color w:val="auto"/>
          <w:szCs w:val="24"/>
          <w:highlight w:val="none"/>
        </w:rPr>
        <w:t>应当按照有关规定开设建筑工人工资专用账户、存储工资保证金，专项用于支付和保障该工程建设项目建筑工人工资。</w:t>
      </w:r>
    </w:p>
    <w:p>
      <w:pPr>
        <w:pStyle w:val="55"/>
        <w:numPr>
          <w:ilvl w:val="0"/>
          <w:numId w:val="0"/>
        </w:numPr>
        <w:rPr>
          <w:rFonts w:ascii="仿宋_GB2312" w:eastAsia="仿宋_GB2312"/>
          <w:color w:val="auto"/>
          <w:szCs w:val="24"/>
          <w:highlight w:val="none"/>
        </w:rPr>
      </w:pPr>
      <w:r>
        <w:rPr>
          <w:rFonts w:ascii="仿宋_GB2312" w:eastAsia="仿宋_GB2312"/>
          <w:color w:val="auto"/>
          <w:szCs w:val="24"/>
          <w:highlight w:val="none"/>
        </w:rPr>
        <w:t>7.5.2 承包人应当在工程项目部配备劳资专管员，对分包单位劳动用工及工资发放实施监督管理。</w:t>
      </w:r>
      <w:r>
        <w:rPr>
          <w:rFonts w:hint="eastAsia" w:ascii="仿宋_GB2312" w:eastAsia="仿宋_GB2312"/>
          <w:color w:val="auto"/>
          <w:szCs w:val="24"/>
          <w:highlight w:val="none"/>
        </w:rPr>
        <w:t>承包人拖欠建筑工人工资的</w:t>
      </w:r>
      <w:r>
        <w:rPr>
          <w:rFonts w:ascii="仿宋_GB2312" w:eastAsia="仿宋_GB2312"/>
          <w:color w:val="auto"/>
          <w:szCs w:val="24"/>
          <w:highlight w:val="none"/>
        </w:rPr>
        <w:t>,应当依法予以清偿。分包人拖欠建筑工人工资的,由承包人先行清偿,再依法进行追偿。</w:t>
      </w:r>
      <w:r>
        <w:rPr>
          <w:rFonts w:hint="eastAsia" w:ascii="仿宋_GB2312" w:eastAsia="仿宋_GB2312"/>
          <w:color w:val="auto"/>
          <w:szCs w:val="24"/>
          <w:highlight w:val="none"/>
        </w:rPr>
        <w:t>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7.5.3 承包人应当按照相关法律法规的要求，进行劳动用工管理和建筑工人工资支付。</w:t>
      </w:r>
    </w:p>
    <w:p>
      <w:pPr>
        <w:pStyle w:val="54"/>
        <w:widowControl/>
        <w:numPr>
          <w:ilvl w:val="0"/>
          <w:numId w:val="0"/>
        </w:numPr>
        <w:rPr>
          <w:b w:val="0"/>
          <w:bCs/>
          <w:color w:val="auto"/>
          <w:highlight w:val="none"/>
        </w:rPr>
      </w:pPr>
      <w:bookmarkStart w:id="669" w:name="_Toc54862241"/>
      <w:bookmarkStart w:id="670" w:name="_Ref41554059"/>
      <w:r>
        <w:rPr>
          <w:rFonts w:hint="eastAsia"/>
          <w:b w:val="0"/>
          <w:bCs/>
          <w:color w:val="auto"/>
          <w:highlight w:val="none"/>
        </w:rPr>
        <w:t>7</w:t>
      </w:r>
      <w:r>
        <w:rPr>
          <w:b w:val="0"/>
          <w:bCs/>
          <w:color w:val="auto"/>
          <w:highlight w:val="none"/>
        </w:rPr>
        <w:t xml:space="preserve">.6 </w:t>
      </w:r>
      <w:r>
        <w:rPr>
          <w:rFonts w:hint="eastAsia"/>
          <w:b w:val="0"/>
          <w:bCs/>
          <w:color w:val="auto"/>
          <w:highlight w:val="none"/>
        </w:rPr>
        <w:t>安全文明施工</w:t>
      </w:r>
      <w:bookmarkEnd w:id="666"/>
      <w:bookmarkEnd w:id="667"/>
      <w:bookmarkEnd w:id="668"/>
      <w:bookmarkEnd w:id="669"/>
      <w:bookmarkEnd w:id="670"/>
    </w:p>
    <w:p>
      <w:pPr>
        <w:pStyle w:val="55"/>
        <w:numPr>
          <w:ilvl w:val="0"/>
          <w:numId w:val="0"/>
        </w:numPr>
        <w:rPr>
          <w:rFonts w:ascii="仿宋_GB2312" w:eastAsia="仿宋_GB2312"/>
          <w:color w:val="auto"/>
          <w:szCs w:val="24"/>
          <w:highlight w:val="none"/>
        </w:rPr>
      </w:pPr>
      <w:bookmarkStart w:id="671" w:name="_Ref18990822"/>
      <w:r>
        <w:rPr>
          <w:rFonts w:hint="eastAsia" w:ascii="仿宋_GB2312" w:eastAsia="仿宋_GB2312"/>
          <w:color w:val="auto"/>
          <w:szCs w:val="24"/>
          <w:highlight w:val="none"/>
        </w:rPr>
        <w:t>7</w:t>
      </w:r>
      <w:r>
        <w:rPr>
          <w:rFonts w:ascii="仿宋_GB2312" w:eastAsia="仿宋_GB2312"/>
          <w:color w:val="auto"/>
          <w:szCs w:val="24"/>
          <w:highlight w:val="none"/>
        </w:rPr>
        <w:t xml:space="preserve">.6.1 </w:t>
      </w:r>
      <w:r>
        <w:rPr>
          <w:rFonts w:hint="eastAsia" w:ascii="仿宋_GB2312" w:eastAsia="仿宋_GB2312"/>
          <w:color w:val="auto"/>
          <w:szCs w:val="24"/>
          <w:highlight w:val="none"/>
        </w:rPr>
        <w:t>安全生产要求</w:t>
      </w:r>
      <w:bookmarkEnd w:id="671"/>
    </w:p>
    <w:p>
      <w:pPr>
        <w:ind w:firstLine="600"/>
        <w:rPr>
          <w:rFonts w:ascii="仿宋_GB2312" w:eastAsia="仿宋_GB2312"/>
          <w:color w:val="auto"/>
          <w:sz w:val="24"/>
          <w:highlight w:val="none"/>
        </w:rPr>
      </w:pPr>
      <w:r>
        <w:rPr>
          <w:rFonts w:hint="eastAsia" w:ascii="仿宋_GB2312" w:eastAsia="仿宋_GB2312"/>
          <w:color w:val="auto"/>
          <w:sz w:val="24"/>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ind w:firstLine="600"/>
        <w:rPr>
          <w:rFonts w:ascii="仿宋_GB2312" w:eastAsia="仿宋_GB2312"/>
          <w:color w:val="auto"/>
          <w:sz w:val="24"/>
          <w:highlight w:val="none"/>
        </w:rPr>
      </w:pPr>
      <w:r>
        <w:rPr>
          <w:rFonts w:hint="eastAsia" w:ascii="仿宋_GB2312" w:eastAsia="仿宋_GB2312"/>
          <w:color w:val="auto"/>
          <w:sz w:val="24"/>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因安全生产需要暂停施工的，按照第</w:t>
      </w:r>
      <w:r>
        <w:rPr>
          <w:rFonts w:ascii="仿宋_GB2312" w:eastAsia="仿宋_GB2312"/>
          <w:color w:val="auto"/>
          <w:sz w:val="24"/>
          <w:highlight w:val="none"/>
        </w:rPr>
        <w:t>8.9</w:t>
      </w:r>
      <w:r>
        <w:rPr>
          <w:rFonts w:hint="eastAsia" w:ascii="仿宋_GB2312" w:eastAsia="仿宋_GB2312"/>
          <w:color w:val="auto"/>
          <w:sz w:val="24"/>
          <w:highlight w:val="none"/>
        </w:rPr>
        <w:t>款[暂停工作]的约定执行。</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.6.2 </w:t>
      </w:r>
      <w:r>
        <w:rPr>
          <w:rFonts w:hint="eastAsia" w:ascii="仿宋_GB2312" w:eastAsia="仿宋_GB2312"/>
          <w:color w:val="auto"/>
          <w:szCs w:val="24"/>
          <w:highlight w:val="none"/>
        </w:rPr>
        <w:t>安全生产保证措施</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承包人应当按照有关规定编制安全技术措施或者专项</w:t>
      </w:r>
      <w:r>
        <w:rPr>
          <w:rFonts w:hint="eastAsia" w:ascii="仿宋_GB2312" w:eastAsia="仿宋_GB2312"/>
          <w:color w:val="auto"/>
          <w:sz w:val="24"/>
          <w:highlight w:val="none"/>
          <w:lang w:eastAsia="zh-CN"/>
        </w:rPr>
        <w:t>实施方案</w:t>
      </w:r>
      <w:r>
        <w:rPr>
          <w:rFonts w:hint="eastAsia" w:ascii="仿宋_GB2312" w:eastAsia="仿宋_GB2312"/>
          <w:color w:val="auto"/>
          <w:sz w:val="24"/>
          <w:highlight w:val="none"/>
        </w:rPr>
        <w:t>，建立安全生产责任制度、治安保卫制度及安全生产教育培训制度，并按安全生产法律规定及合同约定履行安全职责，如实编制工程安全生产的有关记录，接受发包人、工程师及政府安全监督部门的检查与监督。</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55"/>
        <w:numPr>
          <w:ilvl w:val="0"/>
          <w:numId w:val="0"/>
        </w:numPr>
        <w:rPr>
          <w:rFonts w:ascii="仿宋_GB2312" w:eastAsia="仿宋_GB2312"/>
          <w:color w:val="auto"/>
          <w:szCs w:val="24"/>
          <w:highlight w:val="none"/>
        </w:rPr>
      </w:pPr>
      <w:bookmarkStart w:id="672" w:name="_Ref18990840"/>
      <w:r>
        <w:rPr>
          <w:rFonts w:hint="eastAsia" w:ascii="仿宋_GB2312" w:eastAsia="仿宋_GB2312"/>
          <w:color w:val="auto"/>
          <w:szCs w:val="24"/>
          <w:highlight w:val="none"/>
        </w:rPr>
        <w:t>7</w:t>
      </w:r>
      <w:r>
        <w:rPr>
          <w:rFonts w:ascii="仿宋_GB2312" w:eastAsia="仿宋_GB2312"/>
          <w:color w:val="auto"/>
          <w:szCs w:val="24"/>
          <w:highlight w:val="none"/>
        </w:rPr>
        <w:t xml:space="preserve">.6.3 </w:t>
      </w:r>
      <w:r>
        <w:rPr>
          <w:rFonts w:hint="eastAsia" w:ascii="仿宋_GB2312" w:eastAsia="仿宋_GB2312"/>
          <w:color w:val="auto"/>
          <w:szCs w:val="24"/>
          <w:highlight w:val="none"/>
        </w:rPr>
        <w:t>文明施工</w:t>
      </w:r>
      <w:bookmarkEnd w:id="672"/>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ind w:firstLine="600"/>
        <w:rPr>
          <w:rFonts w:ascii="仿宋_GB2312" w:eastAsia="仿宋_GB2312"/>
          <w:color w:val="auto"/>
          <w:sz w:val="24"/>
          <w:highlight w:val="none"/>
        </w:rPr>
      </w:pPr>
      <w:r>
        <w:rPr>
          <w:rFonts w:hint="eastAsia" w:ascii="仿宋_GB2312" w:eastAsia="仿宋_GB2312"/>
          <w:color w:val="auto"/>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.6.4 </w:t>
      </w:r>
      <w:r>
        <w:rPr>
          <w:rFonts w:hint="eastAsia" w:ascii="仿宋_GB2312" w:eastAsia="仿宋_GB2312"/>
          <w:color w:val="auto"/>
          <w:szCs w:val="24"/>
          <w:highlight w:val="none"/>
        </w:rPr>
        <w:t>事故处理</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ind w:firstLine="600"/>
        <w:rPr>
          <w:rFonts w:ascii="仿宋_GB2312" w:eastAsia="仿宋_GB2312"/>
          <w:color w:val="auto"/>
          <w:sz w:val="24"/>
          <w:highlight w:val="none"/>
        </w:rPr>
      </w:pPr>
      <w:r>
        <w:rPr>
          <w:rFonts w:hint="eastAsia" w:ascii="仿宋_GB2312" w:eastAsia="仿宋_GB2312"/>
          <w:color w:val="auto"/>
          <w:sz w:val="24"/>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.6.5 </w:t>
      </w:r>
      <w:r>
        <w:rPr>
          <w:rFonts w:hint="eastAsia" w:ascii="仿宋_GB2312" w:eastAsia="仿宋_GB2312"/>
          <w:color w:val="auto"/>
          <w:szCs w:val="24"/>
          <w:highlight w:val="none"/>
        </w:rPr>
        <w:t>安全生产责任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发包人应负责赔偿以下各种情况造成的损失：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（1） 工程或工程的任何部分对土地的占用所造成的第三者财产损失；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（2） 由于发包人原因在施工现场及其毗邻地带、履行合同工作中造成的第三者人身伤亡和财产损失；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（3） 由于发包人原因对发包人自身、承包人、工程师造成的人身伤害和财产损失。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承包人应负责赔偿由于承包人原因在施工现场及其毗邻地带、履行合同工作中造成的第三者人身伤亡和财产损失。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如果上述损失是由于发包人和承包人共同原因导致的，则双方应根据过错情况按比例承担。</w:t>
      </w:r>
    </w:p>
    <w:p>
      <w:pPr>
        <w:pStyle w:val="54"/>
        <w:widowControl/>
        <w:numPr>
          <w:ilvl w:val="0"/>
          <w:numId w:val="0"/>
        </w:numPr>
        <w:rPr>
          <w:b w:val="0"/>
          <w:bCs/>
          <w:color w:val="auto"/>
          <w:highlight w:val="none"/>
        </w:rPr>
      </w:pPr>
      <w:bookmarkStart w:id="673" w:name="_Ref41554069"/>
      <w:bookmarkStart w:id="674" w:name="_Toc54862242"/>
      <w:bookmarkStart w:id="675" w:name="_Ref11874562"/>
      <w:r>
        <w:rPr>
          <w:rFonts w:hint="eastAsia"/>
          <w:b w:val="0"/>
          <w:bCs/>
          <w:color w:val="auto"/>
          <w:highlight w:val="none"/>
        </w:rPr>
        <w:t>7</w:t>
      </w:r>
      <w:r>
        <w:rPr>
          <w:b w:val="0"/>
          <w:bCs/>
          <w:color w:val="auto"/>
          <w:highlight w:val="none"/>
        </w:rPr>
        <w:t xml:space="preserve">.7 </w:t>
      </w:r>
      <w:r>
        <w:rPr>
          <w:rFonts w:hint="eastAsia"/>
          <w:b w:val="0"/>
          <w:bCs/>
          <w:color w:val="auto"/>
          <w:highlight w:val="none"/>
        </w:rPr>
        <w:t>职业健康</w:t>
      </w:r>
      <w:bookmarkEnd w:id="673"/>
      <w:bookmarkEnd w:id="674"/>
      <w:bookmarkEnd w:id="675"/>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承包人应遵守适用的职业健康的法律和合同约定（包括对雇用、职业健康、安全、福利等方面的规定），负责现场实施过程中其人员的职业健康和保护，包括：</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承包人应依法为承包人</w:t>
      </w:r>
      <w:bookmarkStart w:id="676" w:name="_Hlk46339538"/>
      <w:r>
        <w:rPr>
          <w:rFonts w:hint="eastAsia" w:ascii="仿宋_GB2312" w:eastAsia="仿宋_GB2312"/>
          <w:color w:val="auto"/>
          <w:sz w:val="24"/>
          <w:highlight w:val="none"/>
        </w:rPr>
        <w:t>员工及承包人聘用的第三方人员</w:t>
      </w:r>
      <w:bookmarkEnd w:id="676"/>
      <w:r>
        <w:rPr>
          <w:rFonts w:hint="eastAsia" w:ascii="仿宋_GB2312" w:eastAsia="仿宋_GB2312"/>
          <w:color w:val="auto"/>
          <w:sz w:val="24"/>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ind w:firstLine="600"/>
        <w:rPr>
          <w:rFonts w:ascii="仿宋_GB2312" w:eastAsia="仿宋_GB2312"/>
          <w:color w:val="auto"/>
          <w:sz w:val="24"/>
          <w:highlight w:val="none"/>
        </w:rPr>
      </w:pPr>
      <w:r>
        <w:rPr>
          <w:rFonts w:hint="eastAsia" w:ascii="仿宋_GB2312" w:eastAsia="仿宋_GB2312"/>
          <w:color w:val="auto"/>
          <w:sz w:val="24"/>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54"/>
        <w:widowControl/>
        <w:numPr>
          <w:ilvl w:val="0"/>
          <w:numId w:val="0"/>
        </w:numPr>
        <w:rPr>
          <w:b w:val="0"/>
          <w:bCs/>
          <w:color w:val="auto"/>
          <w:highlight w:val="none"/>
        </w:rPr>
      </w:pPr>
      <w:bookmarkStart w:id="677" w:name="_Ref11874570"/>
      <w:bookmarkStart w:id="678" w:name="_Toc54862243"/>
      <w:r>
        <w:rPr>
          <w:rFonts w:hint="eastAsia"/>
          <w:b w:val="0"/>
          <w:bCs/>
          <w:color w:val="auto"/>
          <w:highlight w:val="none"/>
        </w:rPr>
        <w:t>7</w:t>
      </w:r>
      <w:r>
        <w:rPr>
          <w:b w:val="0"/>
          <w:bCs/>
          <w:color w:val="auto"/>
          <w:highlight w:val="none"/>
        </w:rPr>
        <w:t xml:space="preserve">.8 </w:t>
      </w:r>
      <w:r>
        <w:rPr>
          <w:rFonts w:hint="eastAsia"/>
          <w:b w:val="0"/>
          <w:bCs/>
          <w:color w:val="auto"/>
          <w:highlight w:val="none"/>
        </w:rPr>
        <w:t>环境保护</w:t>
      </w:r>
      <w:bookmarkEnd w:id="677"/>
      <w:bookmarkEnd w:id="678"/>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.8.1 </w:t>
      </w:r>
      <w:r>
        <w:rPr>
          <w:rFonts w:hint="eastAsia" w:ascii="仿宋_GB2312" w:eastAsia="仿宋_GB2312"/>
          <w:color w:val="auto"/>
          <w:szCs w:val="24"/>
          <w:highlight w:val="none"/>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.8.2 </w:t>
      </w:r>
      <w:r>
        <w:rPr>
          <w:rFonts w:hint="eastAsia" w:ascii="仿宋_GB2312" w:eastAsia="仿宋_GB2312"/>
          <w:color w:val="auto"/>
          <w:szCs w:val="24"/>
          <w:highlight w:val="none"/>
        </w:rPr>
        <w:t>承包人应采取措施，并负责控制和（或）处理现场的粉尘、废气、废水、固体废物和噪声对环境的污染和危害。因此发生的伤害、赔偿、罚款等费用增加，和（或）竣工日期延误，由承包人负责。</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.8.3 </w:t>
      </w:r>
      <w:r>
        <w:rPr>
          <w:rFonts w:hint="eastAsia" w:ascii="仿宋_GB2312" w:eastAsia="仿宋_GB2312"/>
          <w:color w:val="auto"/>
          <w:szCs w:val="24"/>
          <w:highlight w:val="none"/>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54"/>
        <w:widowControl/>
        <w:numPr>
          <w:ilvl w:val="0"/>
          <w:numId w:val="0"/>
        </w:numPr>
        <w:rPr>
          <w:b w:val="0"/>
          <w:bCs/>
          <w:color w:val="auto"/>
          <w:highlight w:val="none"/>
        </w:rPr>
      </w:pPr>
      <w:bookmarkStart w:id="679" w:name="_Ref531954344"/>
      <w:bookmarkStart w:id="680" w:name="_Toc54862244"/>
      <w:bookmarkStart w:id="681" w:name="_Ref531954340"/>
      <w:bookmarkStart w:id="682" w:name="_Ref4771116"/>
      <w:r>
        <w:rPr>
          <w:rFonts w:hint="eastAsia"/>
          <w:b w:val="0"/>
          <w:bCs/>
          <w:color w:val="auto"/>
          <w:highlight w:val="none"/>
        </w:rPr>
        <w:t>7</w:t>
      </w:r>
      <w:r>
        <w:rPr>
          <w:b w:val="0"/>
          <w:bCs/>
          <w:color w:val="auto"/>
          <w:highlight w:val="none"/>
        </w:rPr>
        <w:t xml:space="preserve">.9 </w:t>
      </w:r>
      <w:r>
        <w:rPr>
          <w:rFonts w:hint="eastAsia"/>
          <w:b w:val="0"/>
          <w:bCs/>
          <w:color w:val="auto"/>
          <w:highlight w:val="none"/>
        </w:rPr>
        <w:t>临时性公用设施</w:t>
      </w:r>
      <w:bookmarkEnd w:id="679"/>
      <w:bookmarkEnd w:id="680"/>
      <w:bookmarkEnd w:id="681"/>
      <w:r>
        <w:rPr>
          <w:rFonts w:hint="eastAsia"/>
          <w:b w:val="0"/>
          <w:bCs/>
          <w:color w:val="auto"/>
          <w:highlight w:val="none"/>
        </w:rPr>
        <w:t xml:space="preserve"> </w:t>
      </w:r>
      <w:bookmarkEnd w:id="682"/>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.9.1 </w:t>
      </w:r>
      <w:r>
        <w:rPr>
          <w:rFonts w:hint="eastAsia" w:ascii="仿宋_GB2312" w:eastAsia="仿宋_GB2312"/>
          <w:color w:val="auto"/>
          <w:szCs w:val="24"/>
          <w:highlight w:val="none"/>
        </w:rPr>
        <w:t>提供临时用水、用电等和节点铺设</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7</w:t>
      </w:r>
      <w:r>
        <w:rPr>
          <w:rFonts w:ascii="仿宋_GB2312" w:eastAsia="仿宋_GB2312"/>
          <w:color w:val="auto"/>
          <w:szCs w:val="24"/>
          <w:highlight w:val="none"/>
        </w:rPr>
        <w:t xml:space="preserve">.9.2 </w:t>
      </w:r>
      <w:r>
        <w:rPr>
          <w:rFonts w:hint="eastAsia" w:ascii="仿宋_GB2312" w:eastAsia="仿宋_GB2312"/>
          <w:color w:val="auto"/>
          <w:szCs w:val="24"/>
          <w:highlight w:val="none"/>
        </w:rPr>
        <w:t>临时用水、用电等</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因承包人未能按合同约定提交上述资料，造成发包人费用增加和竣工日期延误时，由承包人负责。</w:t>
      </w:r>
      <w:bookmarkStart w:id="683" w:name="_Ref508893743"/>
    </w:p>
    <w:p>
      <w:pPr>
        <w:pStyle w:val="54"/>
        <w:widowControl/>
        <w:numPr>
          <w:ilvl w:val="0"/>
          <w:numId w:val="0"/>
        </w:numPr>
        <w:rPr>
          <w:b w:val="0"/>
          <w:bCs/>
          <w:color w:val="auto"/>
          <w:highlight w:val="none"/>
        </w:rPr>
      </w:pPr>
      <w:bookmarkStart w:id="684" w:name="_Ref531952239"/>
      <w:bookmarkStart w:id="685" w:name="_Toc54862245"/>
      <w:bookmarkStart w:id="686" w:name="_Ref531952248"/>
      <w:r>
        <w:rPr>
          <w:rFonts w:hint="eastAsia"/>
          <w:b w:val="0"/>
          <w:bCs/>
          <w:color w:val="auto"/>
          <w:highlight w:val="none"/>
        </w:rPr>
        <w:t>7</w:t>
      </w:r>
      <w:r>
        <w:rPr>
          <w:b w:val="0"/>
          <w:bCs/>
          <w:color w:val="auto"/>
          <w:highlight w:val="none"/>
        </w:rPr>
        <w:t xml:space="preserve">.10 </w:t>
      </w:r>
      <w:r>
        <w:rPr>
          <w:rFonts w:hint="eastAsia"/>
          <w:b w:val="0"/>
          <w:bCs/>
          <w:color w:val="auto"/>
          <w:highlight w:val="none"/>
        </w:rPr>
        <w:t>现场安保</w:t>
      </w:r>
      <w:bookmarkEnd w:id="684"/>
      <w:bookmarkEnd w:id="685"/>
      <w:bookmarkEnd w:id="686"/>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承包人应将其作业限制在现场区域、合同约定的区域或为履行合同所需的区域内。承包人应采取一切必要的预防措施，以保持承包人的设备和人员处于现场区域内，避免其进入邻近地区。</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承包人为履行合同义务而占用的其他场所（如预制加工场所、办公及生活营区） 的安保适用本款前述关于现场安保的规定。</w:t>
      </w:r>
    </w:p>
    <w:p>
      <w:pPr>
        <w:pStyle w:val="54"/>
        <w:widowControl/>
        <w:numPr>
          <w:ilvl w:val="0"/>
          <w:numId w:val="0"/>
        </w:numPr>
        <w:rPr>
          <w:b w:val="0"/>
          <w:bCs/>
          <w:color w:val="auto"/>
          <w:highlight w:val="none"/>
        </w:rPr>
      </w:pPr>
      <w:bookmarkStart w:id="687" w:name="_Toc54862246"/>
      <w:r>
        <w:rPr>
          <w:rFonts w:hint="eastAsia"/>
          <w:b w:val="0"/>
          <w:bCs/>
          <w:color w:val="auto"/>
          <w:highlight w:val="none"/>
        </w:rPr>
        <w:t>7</w:t>
      </w:r>
      <w:r>
        <w:rPr>
          <w:b w:val="0"/>
          <w:bCs/>
          <w:color w:val="auto"/>
          <w:highlight w:val="none"/>
        </w:rPr>
        <w:t xml:space="preserve">.11 </w:t>
      </w:r>
      <w:r>
        <w:rPr>
          <w:rFonts w:hint="eastAsia"/>
          <w:b w:val="0"/>
          <w:bCs/>
          <w:color w:val="auto"/>
          <w:highlight w:val="none"/>
        </w:rPr>
        <w:t>工程照管</w:t>
      </w:r>
      <w:bookmarkEnd w:id="687"/>
    </w:p>
    <w:p>
      <w:pPr>
        <w:ind w:firstLine="600"/>
        <w:rPr>
          <w:rFonts w:ascii="仿宋_GB2312" w:eastAsia="仿宋_GB2312"/>
          <w:color w:val="auto"/>
          <w:sz w:val="24"/>
          <w:highlight w:val="none"/>
        </w:rPr>
      </w:pPr>
      <w:r>
        <w:rPr>
          <w:rFonts w:hint="eastAsia" w:ascii="仿宋_GB2312" w:eastAsia="仿宋_GB2312"/>
          <w:color w:val="auto"/>
          <w:sz w:val="24"/>
          <w:highlight w:val="none"/>
        </w:rPr>
        <w:t>自开始现场施工日期起至发包人应当接收工程之日止，承包人应承担工程现场、材料、设备及承包人文件的照管和维护工作。</w:t>
      </w:r>
    </w:p>
    <w:p>
      <w:pPr>
        <w:ind w:firstLine="600"/>
        <w:rPr>
          <w:rFonts w:ascii="仿宋_GB2312" w:eastAsia="仿宋_GB2312"/>
          <w:color w:val="auto"/>
          <w:sz w:val="24"/>
          <w:highlight w:val="none"/>
        </w:rPr>
      </w:pPr>
      <w:r>
        <w:rPr>
          <w:rFonts w:hint="eastAsia" w:ascii="仿宋_GB2312" w:eastAsia="仿宋_GB2312"/>
          <w:color w:val="auto"/>
          <w:sz w:val="24"/>
          <w:highlight w:val="none"/>
        </w:rPr>
        <w:t>如部分工程于竣工验收前提前交付发包人的，则自交付之日起，该部分工程照管及维护职责由发包人承担。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如发包人及承包人进行竣工验收时尚有部分未竣工工程的，承包人应负责该未竣工工程的照管和维护工作，直至竣工后移交给发包人。</w:t>
      </w:r>
    </w:p>
    <w:p>
      <w:pPr>
        <w:ind w:firstLine="600"/>
        <w:rPr>
          <w:rFonts w:ascii="仿宋_GB2312" w:eastAsia="仿宋_GB2312"/>
          <w:color w:val="auto"/>
          <w:sz w:val="24"/>
          <w:highlight w:val="none"/>
        </w:rPr>
      </w:pPr>
      <w:r>
        <w:rPr>
          <w:rFonts w:hint="eastAsia" w:ascii="仿宋_GB2312" w:eastAsia="仿宋_GB2312"/>
          <w:color w:val="auto"/>
          <w:sz w:val="24"/>
          <w:highlight w:val="none"/>
        </w:rPr>
        <w:t>如合同解除或终止的，承包人自合同解除或终止之日起不再对工程承担照管和维护义务。</w:t>
      </w:r>
    </w:p>
    <w:p>
      <w:pPr>
        <w:pStyle w:val="42"/>
        <w:numPr>
          <w:ilvl w:val="0"/>
          <w:numId w:val="0"/>
        </w:numPr>
        <w:wordWrap/>
        <w:topLinePunct w:val="0"/>
        <w:rPr>
          <w:b w:val="0"/>
          <w:bCs/>
          <w:color w:val="auto"/>
          <w:sz w:val="24"/>
          <w:szCs w:val="24"/>
          <w:highlight w:val="none"/>
        </w:rPr>
      </w:pPr>
      <w:bookmarkStart w:id="688" w:name="_Toc54862247"/>
      <w:bookmarkStart w:id="689" w:name="_Ref508998009"/>
      <w:bookmarkStart w:id="690" w:name="_Ref531954505"/>
      <w:bookmarkStart w:id="691" w:name="_Ref531954518"/>
      <w:r>
        <w:rPr>
          <w:rFonts w:hint="eastAsia"/>
          <w:b w:val="0"/>
          <w:bCs/>
          <w:color w:val="auto"/>
          <w:sz w:val="24"/>
          <w:szCs w:val="24"/>
          <w:highlight w:val="none"/>
        </w:rPr>
        <w:t>第8条 工期和进度</w:t>
      </w:r>
      <w:bookmarkEnd w:id="688"/>
      <w:bookmarkEnd w:id="689"/>
    </w:p>
    <w:p>
      <w:pPr>
        <w:pStyle w:val="54"/>
        <w:widowControl/>
        <w:numPr>
          <w:ilvl w:val="0"/>
          <w:numId w:val="0"/>
        </w:numPr>
        <w:rPr>
          <w:b w:val="0"/>
          <w:bCs/>
          <w:color w:val="auto"/>
          <w:highlight w:val="none"/>
        </w:rPr>
      </w:pPr>
      <w:bookmarkStart w:id="692" w:name="_Ref532362072"/>
      <w:bookmarkStart w:id="693" w:name="_Ref532362777"/>
      <w:bookmarkStart w:id="694" w:name="_Ref532362075"/>
      <w:bookmarkStart w:id="695" w:name="_Toc54862248"/>
      <w:bookmarkStart w:id="696" w:name="_Ref532362774"/>
      <w:r>
        <w:rPr>
          <w:rFonts w:hint="eastAsia"/>
          <w:b w:val="0"/>
          <w:bCs/>
          <w:color w:val="auto"/>
          <w:highlight w:val="none"/>
        </w:rPr>
        <w:t>8</w:t>
      </w:r>
      <w:r>
        <w:rPr>
          <w:b w:val="0"/>
          <w:bCs/>
          <w:color w:val="auto"/>
          <w:highlight w:val="none"/>
        </w:rPr>
        <w:t xml:space="preserve">.1 </w:t>
      </w:r>
      <w:r>
        <w:rPr>
          <w:rFonts w:hint="eastAsia"/>
          <w:b w:val="0"/>
          <w:bCs/>
          <w:color w:val="auto"/>
          <w:highlight w:val="none"/>
        </w:rPr>
        <w:t>开始工作</w:t>
      </w:r>
      <w:bookmarkEnd w:id="692"/>
      <w:bookmarkEnd w:id="693"/>
      <w:bookmarkEnd w:id="694"/>
      <w:bookmarkEnd w:id="695"/>
      <w:bookmarkEnd w:id="696"/>
    </w:p>
    <w:p>
      <w:pPr>
        <w:pStyle w:val="55"/>
        <w:numPr>
          <w:ilvl w:val="0"/>
          <w:numId w:val="0"/>
        </w:numPr>
        <w:rPr>
          <w:rFonts w:ascii="仿宋_GB2312" w:eastAsia="仿宋_GB2312"/>
          <w:color w:val="auto"/>
          <w:szCs w:val="24"/>
          <w:highlight w:val="none"/>
        </w:rPr>
      </w:pPr>
      <w:bookmarkStart w:id="697" w:name="_Ref4428890"/>
      <w:r>
        <w:rPr>
          <w:rFonts w:hint="eastAsia" w:ascii="仿宋_GB2312" w:eastAsia="仿宋_GB2312"/>
          <w:color w:val="auto"/>
          <w:szCs w:val="24"/>
          <w:highlight w:val="none"/>
        </w:rPr>
        <w:t>8</w:t>
      </w:r>
      <w:r>
        <w:rPr>
          <w:rFonts w:ascii="仿宋_GB2312" w:eastAsia="仿宋_GB2312"/>
          <w:color w:val="auto"/>
          <w:szCs w:val="24"/>
          <w:highlight w:val="none"/>
        </w:rPr>
        <w:t xml:space="preserve">.1.1 </w:t>
      </w:r>
      <w:r>
        <w:rPr>
          <w:rFonts w:hint="eastAsia" w:ascii="仿宋_GB2312" w:eastAsia="仿宋_GB2312"/>
          <w:color w:val="auto"/>
          <w:szCs w:val="24"/>
          <w:highlight w:val="none"/>
        </w:rPr>
        <w:t>开始工作准备</w:t>
      </w:r>
      <w:bookmarkEnd w:id="697"/>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合同当事人应按专用合同条件约定完成开始工作准备工作。</w:t>
      </w:r>
    </w:p>
    <w:p>
      <w:pPr>
        <w:pStyle w:val="55"/>
        <w:numPr>
          <w:ilvl w:val="0"/>
          <w:numId w:val="0"/>
        </w:numPr>
        <w:rPr>
          <w:rFonts w:ascii="仿宋_GB2312" w:eastAsia="仿宋_GB2312"/>
          <w:color w:val="auto"/>
          <w:szCs w:val="24"/>
          <w:highlight w:val="none"/>
        </w:rPr>
      </w:pPr>
      <w:bookmarkStart w:id="698" w:name="_Ref536790534"/>
      <w:bookmarkStart w:id="699" w:name="_Hlk51506490"/>
      <w:r>
        <w:rPr>
          <w:rFonts w:hint="eastAsia" w:ascii="仿宋_GB2312" w:eastAsia="仿宋_GB2312"/>
          <w:color w:val="auto"/>
          <w:szCs w:val="24"/>
          <w:highlight w:val="none"/>
        </w:rPr>
        <w:t>8</w:t>
      </w:r>
      <w:r>
        <w:rPr>
          <w:rFonts w:ascii="仿宋_GB2312" w:eastAsia="仿宋_GB2312"/>
          <w:color w:val="auto"/>
          <w:szCs w:val="24"/>
          <w:highlight w:val="none"/>
        </w:rPr>
        <w:t xml:space="preserve">.1.2 </w:t>
      </w:r>
      <w:r>
        <w:rPr>
          <w:rFonts w:hint="eastAsia" w:ascii="仿宋_GB2312" w:eastAsia="仿宋_GB2312"/>
          <w:color w:val="auto"/>
          <w:szCs w:val="24"/>
          <w:highlight w:val="none"/>
        </w:rPr>
        <w:t>开始工作通知</w:t>
      </w:r>
      <w:bookmarkEnd w:id="698"/>
    </w:p>
    <w:bookmarkEnd w:id="699"/>
    <w:p>
      <w:pPr>
        <w:ind w:firstLine="600"/>
        <w:rPr>
          <w:rFonts w:ascii="仿宋_GB2312" w:eastAsia="仿宋_GB2312"/>
          <w:color w:val="auto"/>
          <w:sz w:val="24"/>
          <w:highlight w:val="none"/>
        </w:rPr>
      </w:pPr>
      <w:r>
        <w:rPr>
          <w:rFonts w:hint="eastAsia" w:ascii="仿宋_GB2312" w:eastAsia="仿宋_GB2312"/>
          <w:color w:val="auto"/>
          <w:sz w:val="24"/>
          <w:highlight w:val="none"/>
        </w:rPr>
        <w:t>经发包人同意后，工程师应提前7天向承包人发出经发包人签认的开始工作通知，工期自开始工作通知中载明的开始工作日期起算。</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除专用合同条件另有约定外，因发包人原因造成实际开始现场施工日期迟于</w:t>
      </w:r>
      <w:bookmarkStart w:id="700" w:name="_Hlk51506566"/>
      <w:r>
        <w:rPr>
          <w:rFonts w:hint="eastAsia" w:ascii="仿宋_GB2312" w:eastAsia="仿宋_GB2312"/>
          <w:color w:val="auto"/>
          <w:sz w:val="24"/>
          <w:highlight w:val="none"/>
        </w:rPr>
        <w:t>计划开始现场施工日期</w:t>
      </w:r>
      <w:bookmarkEnd w:id="700"/>
      <w:r>
        <w:rPr>
          <w:rFonts w:hint="eastAsia" w:ascii="仿宋_GB2312" w:eastAsia="仿宋_GB2312"/>
          <w:color w:val="auto"/>
          <w:sz w:val="24"/>
          <w:highlight w:val="none"/>
        </w:rPr>
        <w:t>后第</w:t>
      </w:r>
      <w:r>
        <w:rPr>
          <w:rFonts w:ascii="仿宋_GB2312" w:eastAsia="仿宋_GB2312"/>
          <w:color w:val="auto"/>
          <w:sz w:val="24"/>
          <w:highlight w:val="none"/>
        </w:rPr>
        <w:t>84</w:t>
      </w:r>
      <w:r>
        <w:rPr>
          <w:rFonts w:hint="eastAsia" w:ascii="仿宋_GB2312" w:eastAsia="仿宋_GB2312"/>
          <w:color w:val="auto"/>
          <w:sz w:val="24"/>
          <w:highlight w:val="none"/>
        </w:rPr>
        <w:t>天的，承包人有权提出价格调整要求，或者解除合同。发包人应当承担由此增加的费用和（或）延误的工期，并向承包人支付合理利润。</w:t>
      </w:r>
    </w:p>
    <w:p>
      <w:pPr>
        <w:pStyle w:val="54"/>
        <w:widowControl/>
        <w:numPr>
          <w:ilvl w:val="0"/>
          <w:numId w:val="0"/>
        </w:numPr>
        <w:rPr>
          <w:b w:val="0"/>
          <w:bCs/>
          <w:color w:val="auto"/>
          <w:highlight w:val="none"/>
        </w:rPr>
      </w:pPr>
      <w:bookmarkStart w:id="701" w:name="_Toc54862249"/>
      <w:bookmarkStart w:id="702" w:name="_Ref532362124"/>
      <w:r>
        <w:rPr>
          <w:rFonts w:hint="eastAsia"/>
          <w:b w:val="0"/>
          <w:bCs/>
          <w:color w:val="auto"/>
          <w:highlight w:val="none"/>
        </w:rPr>
        <w:t>8</w:t>
      </w:r>
      <w:r>
        <w:rPr>
          <w:b w:val="0"/>
          <w:bCs/>
          <w:color w:val="auto"/>
          <w:highlight w:val="none"/>
        </w:rPr>
        <w:t xml:space="preserve">.2 </w:t>
      </w:r>
      <w:r>
        <w:rPr>
          <w:rFonts w:hint="eastAsia"/>
          <w:b w:val="0"/>
          <w:bCs/>
          <w:color w:val="auto"/>
          <w:highlight w:val="none"/>
        </w:rPr>
        <w:t>竣工日期</w:t>
      </w:r>
      <w:bookmarkEnd w:id="701"/>
      <w:bookmarkEnd w:id="702"/>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承包人应在合同协议书约定的工期内完成合同工作。除专用合同条件另有约定外，工程的竣工日期以第</w:t>
      </w:r>
      <w:r>
        <w:rPr>
          <w:rFonts w:ascii="仿宋_GB2312" w:eastAsia="仿宋_GB2312"/>
          <w:color w:val="auto"/>
          <w:sz w:val="24"/>
          <w:highlight w:val="none"/>
        </w:rPr>
        <w:t>10.1</w:t>
      </w:r>
      <w:r>
        <w:rPr>
          <w:rFonts w:hint="eastAsia" w:ascii="仿宋_GB2312" w:eastAsia="仿宋_GB2312"/>
          <w:color w:val="auto"/>
          <w:sz w:val="24"/>
          <w:highlight w:val="none"/>
        </w:rPr>
        <w:t>条[竣工验收]的约定为准，并在工程接收证书中写明。</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因发包人原因，在工程师收到承包人竣工验收申请报告</w:t>
      </w:r>
      <w:r>
        <w:rPr>
          <w:rFonts w:ascii="仿宋_GB2312" w:eastAsia="仿宋_GB2312"/>
          <w:color w:val="auto"/>
          <w:sz w:val="24"/>
          <w:highlight w:val="none"/>
        </w:rPr>
        <w:t>42</w:t>
      </w:r>
      <w:r>
        <w:rPr>
          <w:rFonts w:hint="eastAsia" w:ascii="仿宋_GB2312" w:eastAsia="仿宋_GB2312"/>
          <w:color w:val="auto"/>
          <w:sz w:val="24"/>
          <w:highlight w:val="none"/>
        </w:rPr>
        <w:t>天后未进行验收的，视为验收合格，实际竣工日期以提交竣工验收申请报告的日期为准，但发包人由于不可抗力不能进行验收的除外。</w:t>
      </w:r>
    </w:p>
    <w:p>
      <w:pPr>
        <w:pStyle w:val="54"/>
        <w:widowControl/>
        <w:numPr>
          <w:ilvl w:val="0"/>
          <w:numId w:val="0"/>
        </w:numPr>
        <w:rPr>
          <w:b w:val="0"/>
          <w:bCs/>
          <w:color w:val="auto"/>
          <w:highlight w:val="none"/>
        </w:rPr>
      </w:pPr>
      <w:bookmarkStart w:id="703" w:name="_Toc54862250"/>
      <w:bookmarkStart w:id="704" w:name="_Ref11863334"/>
      <w:bookmarkStart w:id="705" w:name="_Ref532352853"/>
      <w:bookmarkStart w:id="706" w:name="_Ref532362207"/>
      <w:bookmarkStart w:id="707" w:name="_Ref532362204"/>
      <w:bookmarkStart w:id="708" w:name="_Ref532352856"/>
      <w:r>
        <w:rPr>
          <w:rFonts w:hint="eastAsia"/>
          <w:b w:val="0"/>
          <w:bCs/>
          <w:color w:val="auto"/>
          <w:highlight w:val="none"/>
        </w:rPr>
        <w:t>8</w:t>
      </w:r>
      <w:r>
        <w:rPr>
          <w:b w:val="0"/>
          <w:bCs/>
          <w:color w:val="auto"/>
          <w:highlight w:val="none"/>
        </w:rPr>
        <w:t xml:space="preserve">.3 </w:t>
      </w:r>
      <w:r>
        <w:rPr>
          <w:rFonts w:hint="eastAsia"/>
          <w:b w:val="0"/>
          <w:bCs/>
          <w:color w:val="auto"/>
          <w:highlight w:val="none"/>
        </w:rPr>
        <w:t>项目实施计划</w:t>
      </w:r>
      <w:bookmarkEnd w:id="703"/>
      <w:bookmarkEnd w:id="704"/>
    </w:p>
    <w:p>
      <w:pPr>
        <w:pStyle w:val="55"/>
        <w:numPr>
          <w:ilvl w:val="0"/>
          <w:numId w:val="0"/>
        </w:numPr>
        <w:rPr>
          <w:rFonts w:ascii="仿宋_GB2312" w:eastAsia="仿宋_GB2312"/>
          <w:color w:val="auto"/>
          <w:szCs w:val="24"/>
          <w:highlight w:val="none"/>
        </w:rPr>
      </w:pPr>
      <w:bookmarkStart w:id="709" w:name="_Ref18990904"/>
      <w:r>
        <w:rPr>
          <w:rFonts w:hint="eastAsia" w:ascii="仿宋_GB2312" w:eastAsia="仿宋_GB2312"/>
          <w:color w:val="auto"/>
          <w:szCs w:val="24"/>
          <w:highlight w:val="none"/>
        </w:rPr>
        <w:t>8</w:t>
      </w:r>
      <w:r>
        <w:rPr>
          <w:rFonts w:ascii="仿宋_GB2312" w:eastAsia="仿宋_GB2312"/>
          <w:color w:val="auto"/>
          <w:szCs w:val="24"/>
          <w:highlight w:val="none"/>
        </w:rPr>
        <w:t xml:space="preserve">.3.1 </w:t>
      </w:r>
      <w:r>
        <w:rPr>
          <w:rFonts w:hint="eastAsia" w:ascii="仿宋_GB2312" w:eastAsia="仿宋_GB2312"/>
          <w:color w:val="auto"/>
          <w:szCs w:val="24"/>
          <w:highlight w:val="none"/>
        </w:rPr>
        <w:t>项目实施计划的内容</w:t>
      </w:r>
      <w:bookmarkEnd w:id="709"/>
    </w:p>
    <w:p>
      <w:pPr>
        <w:ind w:firstLine="600"/>
        <w:rPr>
          <w:rFonts w:ascii="仿宋_GB2312" w:eastAsia="仿宋_GB2312"/>
          <w:color w:val="auto"/>
          <w:sz w:val="24"/>
          <w:highlight w:val="none"/>
        </w:rPr>
      </w:pPr>
      <w:r>
        <w:rPr>
          <w:rFonts w:hint="eastAsia" w:ascii="仿宋_GB2312" w:eastAsia="仿宋_GB2312"/>
          <w:color w:val="auto"/>
          <w:sz w:val="24"/>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55"/>
        <w:numPr>
          <w:ilvl w:val="0"/>
          <w:numId w:val="0"/>
        </w:numPr>
        <w:rPr>
          <w:rFonts w:ascii="仿宋_GB2312" w:eastAsia="仿宋_GB2312"/>
          <w:color w:val="auto"/>
          <w:szCs w:val="24"/>
          <w:highlight w:val="none"/>
        </w:rPr>
      </w:pPr>
      <w:bookmarkStart w:id="710" w:name="_Ref18990921"/>
      <w:r>
        <w:rPr>
          <w:rFonts w:hint="eastAsia" w:ascii="仿宋_GB2312" w:eastAsia="仿宋_GB2312"/>
          <w:color w:val="auto"/>
          <w:szCs w:val="24"/>
          <w:highlight w:val="none"/>
        </w:rPr>
        <w:t>8</w:t>
      </w:r>
      <w:r>
        <w:rPr>
          <w:rFonts w:ascii="仿宋_GB2312" w:eastAsia="仿宋_GB2312"/>
          <w:color w:val="auto"/>
          <w:szCs w:val="24"/>
          <w:highlight w:val="none"/>
        </w:rPr>
        <w:t xml:space="preserve">.3.2 </w:t>
      </w:r>
      <w:r>
        <w:rPr>
          <w:rFonts w:hint="eastAsia" w:ascii="仿宋_GB2312" w:eastAsia="仿宋_GB2312"/>
          <w:color w:val="auto"/>
          <w:szCs w:val="24"/>
          <w:highlight w:val="none"/>
        </w:rPr>
        <w:t>项目实施计划的提交和修改</w:t>
      </w:r>
      <w:bookmarkEnd w:id="710"/>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ind w:firstLine="600"/>
        <w:rPr>
          <w:rFonts w:ascii="仿宋_GB2312" w:eastAsia="仿宋_GB2312"/>
          <w:color w:val="auto"/>
          <w:sz w:val="24"/>
          <w:highlight w:val="none"/>
        </w:rPr>
      </w:pPr>
      <w:r>
        <w:rPr>
          <w:rFonts w:hint="eastAsia" w:ascii="仿宋_GB2312" w:eastAsia="仿宋_GB2312"/>
          <w:color w:val="auto"/>
          <w:sz w:val="24"/>
          <w:highlight w:val="none"/>
        </w:rPr>
        <w:t>项目进度计划的编制和修改按照第</w:t>
      </w:r>
      <w:r>
        <w:rPr>
          <w:rFonts w:ascii="仿宋_GB2312" w:eastAsia="仿宋_GB2312"/>
          <w:color w:val="auto"/>
          <w:sz w:val="24"/>
          <w:highlight w:val="none"/>
        </w:rPr>
        <w:t>8.4</w:t>
      </w:r>
      <w:r>
        <w:rPr>
          <w:rFonts w:hint="eastAsia" w:ascii="仿宋_GB2312" w:eastAsia="仿宋_GB2312"/>
          <w:color w:val="auto"/>
          <w:sz w:val="24"/>
          <w:highlight w:val="none"/>
        </w:rPr>
        <w:t>款[项目进度计划]执行。</w:t>
      </w:r>
    </w:p>
    <w:p>
      <w:pPr>
        <w:pStyle w:val="54"/>
        <w:widowControl/>
        <w:numPr>
          <w:ilvl w:val="0"/>
          <w:numId w:val="0"/>
        </w:numPr>
        <w:rPr>
          <w:b w:val="0"/>
          <w:bCs/>
          <w:color w:val="auto"/>
          <w:highlight w:val="none"/>
        </w:rPr>
      </w:pPr>
      <w:bookmarkStart w:id="711" w:name="_Toc54862251"/>
      <w:bookmarkStart w:id="712" w:name="_Ref11865507"/>
      <w:r>
        <w:rPr>
          <w:rFonts w:hint="eastAsia"/>
          <w:b w:val="0"/>
          <w:bCs/>
          <w:color w:val="auto"/>
          <w:highlight w:val="none"/>
        </w:rPr>
        <w:t>8</w:t>
      </w:r>
      <w:r>
        <w:rPr>
          <w:b w:val="0"/>
          <w:bCs/>
          <w:color w:val="auto"/>
          <w:highlight w:val="none"/>
        </w:rPr>
        <w:t xml:space="preserve">.4 </w:t>
      </w:r>
      <w:r>
        <w:rPr>
          <w:rFonts w:hint="eastAsia"/>
          <w:b w:val="0"/>
          <w:bCs/>
          <w:color w:val="auto"/>
          <w:highlight w:val="none"/>
        </w:rPr>
        <w:t>项目进度计划</w:t>
      </w:r>
      <w:bookmarkEnd w:id="705"/>
      <w:bookmarkEnd w:id="706"/>
      <w:bookmarkEnd w:id="707"/>
      <w:bookmarkEnd w:id="708"/>
      <w:bookmarkEnd w:id="711"/>
      <w:bookmarkEnd w:id="712"/>
    </w:p>
    <w:p>
      <w:pPr>
        <w:pStyle w:val="55"/>
        <w:numPr>
          <w:ilvl w:val="0"/>
          <w:numId w:val="0"/>
        </w:numPr>
        <w:rPr>
          <w:rFonts w:ascii="仿宋_GB2312" w:eastAsia="仿宋_GB2312"/>
          <w:color w:val="auto"/>
          <w:szCs w:val="24"/>
          <w:highlight w:val="none"/>
        </w:rPr>
      </w:pPr>
      <w:bookmarkStart w:id="713" w:name="_Ref4681217"/>
      <w:r>
        <w:rPr>
          <w:rFonts w:hint="eastAsia" w:ascii="仿宋_GB2312" w:eastAsia="仿宋_GB2312"/>
          <w:color w:val="auto"/>
          <w:szCs w:val="24"/>
          <w:highlight w:val="none"/>
        </w:rPr>
        <w:t>8</w:t>
      </w:r>
      <w:r>
        <w:rPr>
          <w:rFonts w:ascii="仿宋_GB2312" w:eastAsia="仿宋_GB2312"/>
          <w:color w:val="auto"/>
          <w:szCs w:val="24"/>
          <w:highlight w:val="none"/>
        </w:rPr>
        <w:t xml:space="preserve">.4.1 </w:t>
      </w:r>
      <w:r>
        <w:rPr>
          <w:rFonts w:hint="eastAsia" w:ascii="仿宋_GB2312" w:eastAsia="仿宋_GB2312"/>
          <w:color w:val="auto"/>
          <w:szCs w:val="24"/>
          <w:highlight w:val="none"/>
        </w:rPr>
        <w:t>项目进度计划的提交和修改</w:t>
      </w:r>
      <w:bookmarkEnd w:id="713"/>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承包人应按照第</w:t>
      </w:r>
      <w:r>
        <w:rPr>
          <w:rFonts w:ascii="仿宋_GB2312" w:eastAsia="仿宋_GB2312"/>
          <w:color w:val="auto"/>
          <w:sz w:val="24"/>
          <w:highlight w:val="none"/>
        </w:rPr>
        <w:t>8.3</w:t>
      </w:r>
      <w:r>
        <w:rPr>
          <w:rFonts w:hint="eastAsia" w:ascii="仿宋_GB2312" w:eastAsia="仿宋_GB2312"/>
          <w:color w:val="auto"/>
          <w:sz w:val="24"/>
          <w:highlight w:val="none"/>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ind w:firstLine="600"/>
        <w:rPr>
          <w:rFonts w:ascii="仿宋_GB2312" w:eastAsia="仿宋_GB2312"/>
          <w:color w:val="auto"/>
          <w:sz w:val="24"/>
          <w:highlight w:val="none"/>
        </w:rPr>
      </w:pPr>
      <w:r>
        <w:rPr>
          <w:rFonts w:hint="eastAsia" w:ascii="仿宋_GB2312" w:eastAsia="仿宋_GB2312"/>
          <w:color w:val="auto"/>
          <w:sz w:val="24"/>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55"/>
        <w:numPr>
          <w:ilvl w:val="0"/>
          <w:numId w:val="0"/>
        </w:numPr>
        <w:rPr>
          <w:rFonts w:ascii="仿宋_GB2312" w:eastAsia="仿宋_GB2312"/>
          <w:color w:val="auto"/>
          <w:szCs w:val="24"/>
          <w:highlight w:val="none"/>
        </w:rPr>
      </w:pPr>
      <w:bookmarkStart w:id="714" w:name="_Ref4429079"/>
      <w:r>
        <w:rPr>
          <w:rFonts w:hint="eastAsia" w:ascii="仿宋_GB2312" w:eastAsia="仿宋_GB2312"/>
          <w:color w:val="auto"/>
          <w:szCs w:val="24"/>
          <w:highlight w:val="none"/>
        </w:rPr>
        <w:t>8</w:t>
      </w:r>
      <w:r>
        <w:rPr>
          <w:rFonts w:ascii="仿宋_GB2312" w:eastAsia="仿宋_GB2312"/>
          <w:color w:val="auto"/>
          <w:szCs w:val="24"/>
          <w:highlight w:val="none"/>
        </w:rPr>
        <w:t xml:space="preserve">.4.2 </w:t>
      </w:r>
      <w:r>
        <w:rPr>
          <w:rFonts w:hint="eastAsia" w:ascii="仿宋_GB2312" w:eastAsia="仿宋_GB2312"/>
          <w:color w:val="auto"/>
          <w:szCs w:val="24"/>
          <w:highlight w:val="none"/>
        </w:rPr>
        <w:t>项目进度计划的内容</w:t>
      </w:r>
      <w:bookmarkEnd w:id="714"/>
    </w:p>
    <w:p>
      <w:pPr>
        <w:ind w:firstLine="600"/>
        <w:rPr>
          <w:rFonts w:ascii="仿宋_GB2312" w:eastAsia="仿宋_GB2312"/>
          <w:color w:val="auto"/>
          <w:sz w:val="24"/>
          <w:highlight w:val="none"/>
        </w:rPr>
      </w:pPr>
      <w:r>
        <w:rPr>
          <w:rFonts w:hint="eastAsia" w:ascii="仿宋_GB2312" w:eastAsia="仿宋_GB2312"/>
          <w:color w:val="auto"/>
          <w:sz w:val="24"/>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55"/>
        <w:numPr>
          <w:ilvl w:val="0"/>
          <w:numId w:val="0"/>
        </w:numPr>
        <w:rPr>
          <w:rFonts w:ascii="仿宋_GB2312" w:eastAsia="仿宋_GB2312"/>
          <w:color w:val="auto"/>
          <w:szCs w:val="24"/>
          <w:highlight w:val="none"/>
        </w:rPr>
      </w:pPr>
      <w:bookmarkStart w:id="715" w:name="_Ref3848203"/>
      <w:r>
        <w:rPr>
          <w:rFonts w:hint="eastAsia" w:ascii="仿宋_GB2312" w:eastAsia="仿宋_GB2312"/>
          <w:color w:val="auto"/>
          <w:szCs w:val="24"/>
          <w:highlight w:val="none"/>
        </w:rPr>
        <w:t>8</w:t>
      </w:r>
      <w:r>
        <w:rPr>
          <w:rFonts w:ascii="仿宋_GB2312" w:eastAsia="仿宋_GB2312"/>
          <w:color w:val="auto"/>
          <w:szCs w:val="24"/>
          <w:highlight w:val="none"/>
        </w:rPr>
        <w:t xml:space="preserve">.4.3 </w:t>
      </w:r>
      <w:r>
        <w:rPr>
          <w:rFonts w:hint="eastAsia" w:ascii="仿宋_GB2312" w:eastAsia="仿宋_GB2312"/>
          <w:color w:val="auto"/>
          <w:szCs w:val="24"/>
          <w:highlight w:val="none"/>
        </w:rPr>
        <w:t>项目进度计划的修订</w:t>
      </w:r>
      <w:bookmarkEnd w:id="715"/>
    </w:p>
    <w:p>
      <w:pPr>
        <w:ind w:firstLine="600"/>
        <w:rPr>
          <w:rFonts w:ascii="仿宋_GB2312" w:eastAsia="仿宋_GB2312"/>
          <w:color w:val="auto"/>
          <w:sz w:val="24"/>
          <w:highlight w:val="none"/>
        </w:rPr>
      </w:pPr>
      <w:r>
        <w:rPr>
          <w:rFonts w:hint="eastAsia" w:ascii="仿宋_GB2312" w:eastAsia="仿宋_GB2312"/>
          <w:color w:val="auto"/>
          <w:sz w:val="24"/>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ind w:firstLine="600"/>
        <w:rPr>
          <w:rFonts w:ascii="仿宋_GB2312" w:eastAsia="仿宋_GB2312"/>
          <w:color w:val="auto"/>
          <w:sz w:val="24"/>
          <w:highlight w:val="none"/>
        </w:rPr>
      </w:pPr>
      <w:r>
        <w:rPr>
          <w:rFonts w:hint="eastAsia" w:ascii="仿宋_GB2312" w:eastAsia="仿宋_GB2312"/>
          <w:color w:val="auto"/>
          <w:sz w:val="24"/>
          <w:highlight w:val="none"/>
        </w:rPr>
        <w:t>除合同当事人另有约定外，项目进度计划的修订并不能减轻或者免除双方按第</w:t>
      </w:r>
      <w:r>
        <w:rPr>
          <w:rFonts w:ascii="仿宋_GB2312" w:eastAsia="仿宋_GB2312"/>
          <w:color w:val="auto"/>
          <w:sz w:val="24"/>
          <w:highlight w:val="none"/>
        </w:rPr>
        <w:t>8.7</w:t>
      </w:r>
      <w:r>
        <w:rPr>
          <w:rFonts w:hint="eastAsia" w:ascii="仿宋_GB2312" w:eastAsia="仿宋_GB2312"/>
          <w:color w:val="auto"/>
          <w:sz w:val="24"/>
          <w:highlight w:val="none"/>
        </w:rPr>
        <w:t>款[工期延误]、第</w:t>
      </w:r>
      <w:r>
        <w:rPr>
          <w:rFonts w:ascii="仿宋_GB2312" w:eastAsia="仿宋_GB2312"/>
          <w:color w:val="auto"/>
          <w:sz w:val="24"/>
          <w:highlight w:val="none"/>
        </w:rPr>
        <w:t>8.8</w:t>
      </w:r>
      <w:r>
        <w:rPr>
          <w:rFonts w:hint="eastAsia" w:ascii="仿宋_GB2312" w:eastAsia="仿宋_GB2312"/>
          <w:color w:val="auto"/>
          <w:sz w:val="24"/>
          <w:highlight w:val="none"/>
        </w:rPr>
        <w:t>款[工期提前]、第</w:t>
      </w:r>
      <w:r>
        <w:rPr>
          <w:rFonts w:ascii="仿宋_GB2312" w:eastAsia="仿宋_GB2312"/>
          <w:color w:val="auto"/>
          <w:sz w:val="24"/>
          <w:highlight w:val="none"/>
        </w:rPr>
        <w:t>8.9</w:t>
      </w:r>
      <w:r>
        <w:rPr>
          <w:rFonts w:hint="eastAsia" w:ascii="仿宋_GB2312" w:eastAsia="仿宋_GB2312"/>
          <w:color w:val="auto"/>
          <w:sz w:val="24"/>
          <w:highlight w:val="none"/>
        </w:rPr>
        <w:t>款[暂停工作]应承担的合同责任。</w:t>
      </w:r>
    </w:p>
    <w:p>
      <w:pPr>
        <w:pStyle w:val="54"/>
        <w:widowControl/>
        <w:numPr>
          <w:ilvl w:val="0"/>
          <w:numId w:val="0"/>
        </w:numPr>
        <w:rPr>
          <w:b w:val="0"/>
          <w:bCs/>
          <w:color w:val="auto"/>
          <w:highlight w:val="none"/>
        </w:rPr>
      </w:pPr>
      <w:bookmarkStart w:id="716" w:name="_Ref532362278"/>
      <w:bookmarkStart w:id="717" w:name="_Toc54862252"/>
      <w:bookmarkStart w:id="718" w:name="_Ref532362276"/>
      <w:r>
        <w:rPr>
          <w:rFonts w:hint="eastAsia"/>
          <w:b w:val="0"/>
          <w:bCs/>
          <w:color w:val="auto"/>
          <w:highlight w:val="none"/>
        </w:rPr>
        <w:t>8</w:t>
      </w:r>
      <w:r>
        <w:rPr>
          <w:b w:val="0"/>
          <w:bCs/>
          <w:color w:val="auto"/>
          <w:highlight w:val="none"/>
        </w:rPr>
        <w:t xml:space="preserve">.5 </w:t>
      </w:r>
      <w:r>
        <w:rPr>
          <w:rFonts w:hint="eastAsia"/>
          <w:b w:val="0"/>
          <w:bCs/>
          <w:color w:val="auto"/>
          <w:highlight w:val="none"/>
        </w:rPr>
        <w:t>进度报告</w:t>
      </w:r>
      <w:bookmarkEnd w:id="716"/>
      <w:bookmarkEnd w:id="717"/>
      <w:bookmarkEnd w:id="718"/>
    </w:p>
    <w:p>
      <w:pPr>
        <w:ind w:firstLine="600"/>
        <w:rPr>
          <w:rFonts w:ascii="仿宋_GB2312" w:eastAsia="仿宋_GB2312"/>
          <w:color w:val="auto"/>
          <w:sz w:val="24"/>
          <w:highlight w:val="none"/>
        </w:rPr>
      </w:pPr>
      <w:r>
        <w:rPr>
          <w:rFonts w:hint="eastAsia" w:ascii="仿宋_GB2312" w:eastAsia="仿宋_GB2312"/>
          <w:color w:val="auto"/>
          <w:sz w:val="24"/>
          <w:highlight w:val="none"/>
        </w:rPr>
        <w:t>项目实施过程中，承包人应进行实际进度记录，并根据工程师的要求编制月进度报告，并提交给工程师。进度报告应包含以下主要内容：</w:t>
      </w:r>
    </w:p>
    <w:p>
      <w:pPr>
        <w:ind w:firstLine="600"/>
        <w:rPr>
          <w:rFonts w:ascii="仿宋_GB2312" w:eastAsia="仿宋_GB2312"/>
          <w:color w:val="auto"/>
          <w:sz w:val="24"/>
          <w:highlight w:val="none"/>
        </w:rPr>
      </w:pPr>
      <w:r>
        <w:rPr>
          <w:rFonts w:hint="eastAsia" w:ascii="仿宋_GB2312" w:eastAsia="仿宋_GB2312"/>
          <w:color w:val="auto"/>
          <w:sz w:val="24"/>
          <w:highlight w:val="none"/>
        </w:rPr>
        <w:t>（1） 工程设计、采购、施工等各个工作内容的进展报告；</w:t>
      </w:r>
    </w:p>
    <w:p>
      <w:pPr>
        <w:ind w:firstLine="600"/>
        <w:rPr>
          <w:rFonts w:ascii="仿宋_GB2312" w:eastAsia="仿宋_GB2312"/>
          <w:color w:val="auto"/>
          <w:sz w:val="24"/>
          <w:highlight w:val="none"/>
        </w:rPr>
      </w:pPr>
      <w:r>
        <w:rPr>
          <w:rFonts w:hint="eastAsia" w:ascii="仿宋_GB2312" w:eastAsia="仿宋_GB2312"/>
          <w:color w:val="auto"/>
          <w:sz w:val="24"/>
          <w:highlight w:val="none"/>
        </w:rPr>
        <w:t>（2） 工程施工方法的一般说明；</w:t>
      </w:r>
    </w:p>
    <w:p>
      <w:pPr>
        <w:ind w:firstLine="600"/>
        <w:rPr>
          <w:rFonts w:ascii="仿宋_GB2312" w:eastAsia="仿宋_GB2312"/>
          <w:color w:val="auto"/>
          <w:sz w:val="24"/>
          <w:highlight w:val="none"/>
        </w:rPr>
      </w:pPr>
      <w:r>
        <w:rPr>
          <w:rFonts w:hint="eastAsia" w:ascii="仿宋_GB2312" w:eastAsia="仿宋_GB2312"/>
          <w:color w:val="auto"/>
          <w:sz w:val="24"/>
          <w:highlight w:val="none"/>
        </w:rPr>
        <w:t>（3） 当月工程实施介入的项目人员、设备和材料的预估明细报告；</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（4） 当月实际进度与进度计划对比分析，以及提出未来可能引起工期延误的情形，同时提出应对措施；需要修订项目进度计划的，应对项目进度计划的修订部分进行说明； </w:t>
      </w:r>
    </w:p>
    <w:p>
      <w:pPr>
        <w:ind w:firstLine="600"/>
        <w:rPr>
          <w:rFonts w:ascii="仿宋_GB2312" w:eastAsia="仿宋_GB2312"/>
          <w:color w:val="auto"/>
          <w:sz w:val="24"/>
          <w:highlight w:val="none"/>
        </w:rPr>
      </w:pPr>
      <w:r>
        <w:rPr>
          <w:rFonts w:hint="eastAsia" w:ascii="仿宋_GB2312" w:eastAsia="仿宋_GB2312"/>
          <w:color w:val="auto"/>
          <w:sz w:val="24"/>
          <w:highlight w:val="none"/>
        </w:rPr>
        <w:t>（5） 承包人对于解决工期延误所提出的建议；</w:t>
      </w:r>
    </w:p>
    <w:p>
      <w:pPr>
        <w:ind w:firstLine="600"/>
        <w:rPr>
          <w:rFonts w:ascii="仿宋_GB2312" w:eastAsia="仿宋_GB2312"/>
          <w:color w:val="auto"/>
          <w:sz w:val="24"/>
          <w:highlight w:val="none"/>
        </w:rPr>
      </w:pPr>
      <w:r>
        <w:rPr>
          <w:rFonts w:hint="eastAsia" w:ascii="仿宋_GB2312" w:eastAsia="仿宋_GB2312"/>
          <w:color w:val="auto"/>
          <w:sz w:val="24"/>
          <w:highlight w:val="none"/>
        </w:rPr>
        <w:t>（6） 其他与工程有关的重大事项。</w:t>
      </w:r>
    </w:p>
    <w:p>
      <w:pPr>
        <w:ind w:firstLine="600"/>
        <w:rPr>
          <w:rFonts w:ascii="仿宋_GB2312" w:eastAsia="仿宋_GB2312"/>
          <w:color w:val="auto"/>
          <w:sz w:val="24"/>
          <w:highlight w:val="none"/>
        </w:rPr>
      </w:pPr>
      <w:r>
        <w:rPr>
          <w:rFonts w:hint="eastAsia" w:ascii="仿宋_GB2312" w:eastAsia="仿宋_GB2312"/>
          <w:color w:val="auto"/>
          <w:sz w:val="24"/>
          <w:highlight w:val="none"/>
        </w:rPr>
        <w:t>进度报告的具体要求等，在专用合同条件约定。</w:t>
      </w:r>
    </w:p>
    <w:p>
      <w:pPr>
        <w:pStyle w:val="54"/>
        <w:widowControl/>
        <w:numPr>
          <w:ilvl w:val="0"/>
          <w:numId w:val="0"/>
        </w:numPr>
        <w:rPr>
          <w:b w:val="0"/>
          <w:bCs/>
          <w:color w:val="auto"/>
          <w:highlight w:val="none"/>
        </w:rPr>
      </w:pPr>
      <w:bookmarkStart w:id="719" w:name="_Toc54862253"/>
      <w:r>
        <w:rPr>
          <w:rFonts w:hint="eastAsia"/>
          <w:b w:val="0"/>
          <w:bCs/>
          <w:color w:val="auto"/>
          <w:highlight w:val="none"/>
        </w:rPr>
        <w:t>8</w:t>
      </w:r>
      <w:r>
        <w:rPr>
          <w:b w:val="0"/>
          <w:bCs/>
          <w:color w:val="auto"/>
          <w:highlight w:val="none"/>
        </w:rPr>
        <w:t xml:space="preserve">.6 </w:t>
      </w:r>
      <w:r>
        <w:rPr>
          <w:rFonts w:hint="eastAsia"/>
          <w:b w:val="0"/>
          <w:bCs/>
          <w:color w:val="auto"/>
          <w:highlight w:val="none"/>
        </w:rPr>
        <w:t>提前预警</w:t>
      </w:r>
      <w:bookmarkEnd w:id="719"/>
    </w:p>
    <w:p>
      <w:pPr>
        <w:ind w:firstLine="600"/>
        <w:rPr>
          <w:rFonts w:ascii="仿宋_GB2312" w:eastAsia="仿宋_GB2312"/>
          <w:color w:val="auto"/>
          <w:sz w:val="24"/>
          <w:highlight w:val="none"/>
        </w:rPr>
      </w:pPr>
      <w:r>
        <w:rPr>
          <w:rFonts w:hint="eastAsia" w:ascii="仿宋_GB2312" w:eastAsia="仿宋_GB2312"/>
          <w:color w:val="auto"/>
          <w:sz w:val="24"/>
          <w:highlight w:val="none"/>
        </w:rPr>
        <w:t>任何一方应当在下列情形发生时尽快书面通知另一方：</w:t>
      </w:r>
    </w:p>
    <w:p>
      <w:pPr>
        <w:ind w:firstLine="600"/>
        <w:rPr>
          <w:rFonts w:ascii="仿宋_GB2312" w:eastAsia="仿宋_GB2312"/>
          <w:color w:val="auto"/>
          <w:sz w:val="24"/>
          <w:highlight w:val="none"/>
        </w:rPr>
      </w:pPr>
      <w:r>
        <w:rPr>
          <w:rFonts w:hint="eastAsia" w:ascii="仿宋_GB2312" w:eastAsia="仿宋_GB2312"/>
          <w:color w:val="auto"/>
          <w:sz w:val="24"/>
          <w:highlight w:val="none"/>
        </w:rPr>
        <w:t>（1） 该情形可能对合同的履行或实现合同目的产生不利影响；</w:t>
      </w:r>
    </w:p>
    <w:p>
      <w:pPr>
        <w:ind w:firstLine="600"/>
        <w:rPr>
          <w:rFonts w:ascii="仿宋_GB2312" w:eastAsia="仿宋_GB2312"/>
          <w:color w:val="auto"/>
          <w:sz w:val="24"/>
          <w:highlight w:val="none"/>
        </w:rPr>
      </w:pPr>
      <w:r>
        <w:rPr>
          <w:rFonts w:hint="eastAsia" w:ascii="仿宋_GB2312" w:eastAsia="仿宋_GB2312"/>
          <w:color w:val="auto"/>
          <w:sz w:val="24"/>
          <w:highlight w:val="none"/>
        </w:rPr>
        <w:t>（2） 该情形可能对工程完成后的使用产生不利影响；</w:t>
      </w:r>
    </w:p>
    <w:p>
      <w:pPr>
        <w:ind w:firstLine="600"/>
        <w:rPr>
          <w:rFonts w:ascii="仿宋_GB2312" w:eastAsia="仿宋_GB2312"/>
          <w:color w:val="auto"/>
          <w:sz w:val="24"/>
          <w:highlight w:val="none"/>
        </w:rPr>
      </w:pPr>
      <w:r>
        <w:rPr>
          <w:rFonts w:hint="eastAsia" w:ascii="仿宋_GB2312" w:eastAsia="仿宋_GB2312"/>
          <w:color w:val="auto"/>
          <w:sz w:val="24"/>
          <w:highlight w:val="none"/>
        </w:rPr>
        <w:t>（3） 该情形可能导致合同价款增加；</w:t>
      </w:r>
    </w:p>
    <w:p>
      <w:pPr>
        <w:ind w:firstLine="600"/>
        <w:rPr>
          <w:rFonts w:ascii="仿宋_GB2312" w:eastAsia="仿宋_GB2312"/>
          <w:color w:val="auto"/>
          <w:sz w:val="24"/>
          <w:highlight w:val="none"/>
        </w:rPr>
      </w:pPr>
      <w:r>
        <w:rPr>
          <w:rFonts w:hint="eastAsia" w:ascii="仿宋_GB2312" w:eastAsia="仿宋_GB2312"/>
          <w:color w:val="auto"/>
          <w:sz w:val="24"/>
          <w:highlight w:val="none"/>
        </w:rPr>
        <w:t>（4） 该情形可能导致整个工程或单位/区段工程的工期延长。</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发包人有权要求承包人根据第</w:t>
      </w:r>
      <w:r>
        <w:rPr>
          <w:rFonts w:ascii="仿宋_GB2312" w:eastAsia="仿宋_GB2312"/>
          <w:color w:val="auto"/>
          <w:sz w:val="24"/>
          <w:highlight w:val="none"/>
        </w:rPr>
        <w:t>13.2</w:t>
      </w:r>
      <w:r>
        <w:rPr>
          <w:rFonts w:hint="eastAsia" w:ascii="仿宋_GB2312" w:eastAsia="仿宋_GB2312"/>
          <w:color w:val="auto"/>
          <w:sz w:val="24"/>
          <w:highlight w:val="none"/>
        </w:rPr>
        <w:t>款[承包人的合理化建议]的约定提交变更建议，采取措施尽量避免或最小化上述情形的发生或影响。</w:t>
      </w:r>
    </w:p>
    <w:p>
      <w:pPr>
        <w:pStyle w:val="54"/>
        <w:widowControl/>
        <w:numPr>
          <w:ilvl w:val="0"/>
          <w:numId w:val="0"/>
        </w:numPr>
        <w:rPr>
          <w:b w:val="0"/>
          <w:bCs/>
          <w:color w:val="auto"/>
          <w:highlight w:val="none"/>
        </w:rPr>
      </w:pPr>
      <w:bookmarkStart w:id="720" w:name="_Toc4784159"/>
      <w:bookmarkEnd w:id="720"/>
      <w:bookmarkStart w:id="721" w:name="_Toc4784163"/>
      <w:bookmarkEnd w:id="721"/>
      <w:bookmarkStart w:id="722" w:name="_Toc4784158"/>
      <w:bookmarkEnd w:id="722"/>
      <w:bookmarkStart w:id="723" w:name="_Toc4784157"/>
      <w:bookmarkEnd w:id="723"/>
      <w:bookmarkStart w:id="724" w:name="_Toc4784173"/>
      <w:bookmarkEnd w:id="724"/>
      <w:bookmarkStart w:id="725" w:name="_Toc4784175"/>
      <w:bookmarkEnd w:id="725"/>
      <w:bookmarkStart w:id="726" w:name="_Toc4784174"/>
      <w:bookmarkEnd w:id="726"/>
      <w:bookmarkStart w:id="727" w:name="_Toc4784165"/>
      <w:bookmarkEnd w:id="727"/>
      <w:bookmarkStart w:id="728" w:name="_Toc4784167"/>
      <w:bookmarkEnd w:id="728"/>
      <w:bookmarkStart w:id="729" w:name="_Toc4784166"/>
      <w:bookmarkEnd w:id="729"/>
      <w:bookmarkStart w:id="730" w:name="_Toc4784160"/>
      <w:bookmarkEnd w:id="730"/>
      <w:bookmarkStart w:id="731" w:name="_Toc4784156"/>
      <w:bookmarkEnd w:id="731"/>
      <w:bookmarkStart w:id="732" w:name="_Toc4784161"/>
      <w:bookmarkEnd w:id="732"/>
      <w:bookmarkStart w:id="733" w:name="_Toc4784170"/>
      <w:bookmarkEnd w:id="733"/>
      <w:bookmarkStart w:id="734" w:name="_Toc4784171"/>
      <w:bookmarkEnd w:id="734"/>
      <w:bookmarkStart w:id="735" w:name="_Toc4784169"/>
      <w:bookmarkEnd w:id="735"/>
      <w:bookmarkStart w:id="736" w:name="_Toc4784162"/>
      <w:bookmarkEnd w:id="736"/>
      <w:bookmarkStart w:id="737" w:name="_Toc4784154"/>
      <w:bookmarkEnd w:id="737"/>
      <w:bookmarkStart w:id="738" w:name="_Toc4784168"/>
      <w:bookmarkEnd w:id="738"/>
      <w:bookmarkStart w:id="739" w:name="_Toc4784172"/>
      <w:bookmarkEnd w:id="739"/>
      <w:bookmarkStart w:id="740" w:name="_Toc4784164"/>
      <w:bookmarkEnd w:id="740"/>
      <w:bookmarkStart w:id="741" w:name="_Toc4784155"/>
      <w:bookmarkEnd w:id="741"/>
      <w:bookmarkStart w:id="742" w:name="_Toc54862254"/>
      <w:bookmarkStart w:id="743" w:name="_Ref4770106"/>
      <w:bookmarkStart w:id="744" w:name="_Ref532362359"/>
      <w:bookmarkStart w:id="745" w:name="_Ref532362356"/>
      <w:r>
        <w:rPr>
          <w:rFonts w:hint="eastAsia"/>
          <w:b w:val="0"/>
          <w:bCs/>
          <w:color w:val="auto"/>
          <w:highlight w:val="none"/>
        </w:rPr>
        <w:t>8</w:t>
      </w:r>
      <w:r>
        <w:rPr>
          <w:b w:val="0"/>
          <w:bCs/>
          <w:color w:val="auto"/>
          <w:highlight w:val="none"/>
        </w:rPr>
        <w:t xml:space="preserve">.7 </w:t>
      </w:r>
      <w:r>
        <w:rPr>
          <w:rFonts w:hint="eastAsia"/>
          <w:b w:val="0"/>
          <w:bCs/>
          <w:color w:val="auto"/>
          <w:highlight w:val="none"/>
        </w:rPr>
        <w:t>工期延误</w:t>
      </w:r>
      <w:bookmarkEnd w:id="742"/>
      <w:bookmarkEnd w:id="743"/>
    </w:p>
    <w:p>
      <w:pPr>
        <w:pStyle w:val="55"/>
        <w:numPr>
          <w:ilvl w:val="0"/>
          <w:numId w:val="0"/>
        </w:numPr>
        <w:rPr>
          <w:rFonts w:ascii="仿宋_GB2312" w:eastAsia="仿宋_GB2312"/>
          <w:color w:val="auto"/>
          <w:szCs w:val="24"/>
          <w:highlight w:val="none"/>
        </w:rPr>
      </w:pPr>
      <w:bookmarkStart w:id="746" w:name="_Ref4796050"/>
      <w:r>
        <w:rPr>
          <w:rFonts w:hint="eastAsia" w:ascii="仿宋_GB2312" w:eastAsia="仿宋_GB2312"/>
          <w:color w:val="auto"/>
          <w:szCs w:val="24"/>
          <w:highlight w:val="none"/>
        </w:rPr>
        <w:t>8</w:t>
      </w:r>
      <w:r>
        <w:rPr>
          <w:rFonts w:ascii="仿宋_GB2312" w:eastAsia="仿宋_GB2312"/>
          <w:color w:val="auto"/>
          <w:szCs w:val="24"/>
          <w:highlight w:val="none"/>
        </w:rPr>
        <w:t xml:space="preserve">.7.1 </w:t>
      </w:r>
      <w:r>
        <w:rPr>
          <w:rFonts w:hint="eastAsia" w:ascii="仿宋_GB2312" w:eastAsia="仿宋_GB2312"/>
          <w:color w:val="auto"/>
          <w:szCs w:val="24"/>
          <w:highlight w:val="none"/>
        </w:rPr>
        <w:t>因发包人原因导致工期延误</w:t>
      </w:r>
      <w:bookmarkEnd w:id="746"/>
    </w:p>
    <w:p>
      <w:pPr>
        <w:ind w:firstLine="600"/>
        <w:rPr>
          <w:rFonts w:ascii="仿宋_GB2312" w:eastAsia="仿宋_GB2312"/>
          <w:color w:val="auto"/>
          <w:sz w:val="24"/>
          <w:highlight w:val="none"/>
        </w:rPr>
      </w:pPr>
      <w:r>
        <w:rPr>
          <w:rFonts w:hint="eastAsia" w:ascii="仿宋_GB2312" w:eastAsia="仿宋_GB2312"/>
          <w:color w:val="auto"/>
          <w:sz w:val="24"/>
          <w:highlight w:val="none"/>
        </w:rPr>
        <w:t>在合同履行过程中，因下列情况导致工期延误和（或）费用增加的，由发包人承担由此延误的工期和（或）增加的费用，且发包人应支付承包人合理的利润：</w:t>
      </w:r>
    </w:p>
    <w:p>
      <w:pPr>
        <w:ind w:firstLine="600"/>
        <w:rPr>
          <w:rFonts w:ascii="仿宋_GB2312" w:eastAsia="仿宋_GB2312"/>
          <w:color w:val="auto"/>
          <w:sz w:val="24"/>
          <w:highlight w:val="none"/>
        </w:rPr>
      </w:pPr>
      <w:r>
        <w:rPr>
          <w:rFonts w:hint="eastAsia" w:ascii="仿宋_GB2312" w:eastAsia="仿宋_GB2312"/>
          <w:color w:val="auto"/>
          <w:sz w:val="24"/>
          <w:highlight w:val="none"/>
        </w:rPr>
        <w:t>（1） 根据第</w:t>
      </w:r>
      <w:r>
        <w:rPr>
          <w:rFonts w:ascii="仿宋_GB2312" w:eastAsia="仿宋_GB2312"/>
          <w:color w:val="auto"/>
          <w:sz w:val="24"/>
          <w:highlight w:val="none"/>
        </w:rPr>
        <w:t>13条</w:t>
      </w:r>
      <w:r>
        <w:rPr>
          <w:rFonts w:hint="eastAsia" w:ascii="仿宋_GB2312" w:eastAsia="仿宋_GB2312"/>
          <w:color w:val="auto"/>
          <w:sz w:val="24"/>
          <w:highlight w:val="none"/>
        </w:rPr>
        <w:t>[变更与调整]的约定构成一项变更的；</w:t>
      </w:r>
    </w:p>
    <w:p>
      <w:pPr>
        <w:ind w:firstLine="600"/>
        <w:rPr>
          <w:rFonts w:ascii="仿宋_GB2312" w:eastAsia="仿宋_GB2312"/>
          <w:color w:val="auto"/>
          <w:sz w:val="24"/>
          <w:highlight w:val="none"/>
        </w:rPr>
      </w:pPr>
      <w:r>
        <w:rPr>
          <w:rFonts w:hint="eastAsia" w:ascii="仿宋_GB2312" w:eastAsia="仿宋_GB2312"/>
          <w:color w:val="auto"/>
          <w:sz w:val="24"/>
          <w:highlight w:val="none"/>
        </w:rPr>
        <w:t>（2） 发包人违反本合同约定，导致工期延误和（或）费用增加的；</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发包人、发包人代表、工程师或发包人聘请的任意第三方造成或引起的任何延误、妨碍和阻碍；</w:t>
      </w:r>
    </w:p>
    <w:p>
      <w:pPr>
        <w:ind w:firstLine="600"/>
        <w:rPr>
          <w:rFonts w:ascii="仿宋_GB2312" w:eastAsia="仿宋_GB2312"/>
          <w:color w:val="auto"/>
          <w:sz w:val="24"/>
          <w:highlight w:val="none"/>
        </w:rPr>
      </w:pPr>
      <w:r>
        <w:rPr>
          <w:rFonts w:hint="eastAsia" w:ascii="仿宋_GB2312" w:eastAsia="仿宋_GB2312"/>
          <w:color w:val="auto"/>
          <w:sz w:val="24"/>
          <w:highlight w:val="none"/>
        </w:rPr>
        <w:t>（4） 发包人未能依据第</w:t>
      </w:r>
      <w:r>
        <w:rPr>
          <w:rFonts w:ascii="仿宋_GB2312" w:eastAsia="仿宋_GB2312"/>
          <w:color w:val="auto"/>
          <w:sz w:val="24"/>
          <w:highlight w:val="none"/>
        </w:rPr>
        <w:t>6.2.1</w:t>
      </w:r>
      <w:r>
        <w:rPr>
          <w:rFonts w:hint="eastAsia" w:ascii="仿宋_GB2312" w:eastAsia="仿宋_GB2312"/>
          <w:color w:val="auto"/>
          <w:sz w:val="24"/>
          <w:highlight w:val="none"/>
        </w:rPr>
        <w:t>项[发包人提供的材料和工程设备]的约定提供材料和工程设备导致工期延误和（或）费用增加的；</w:t>
      </w:r>
    </w:p>
    <w:p>
      <w:pPr>
        <w:ind w:firstLine="600"/>
        <w:rPr>
          <w:rFonts w:ascii="仿宋_GB2312" w:eastAsia="仿宋_GB2312"/>
          <w:color w:val="auto"/>
          <w:sz w:val="24"/>
          <w:highlight w:val="none"/>
        </w:rPr>
      </w:pPr>
      <w:r>
        <w:rPr>
          <w:rFonts w:hint="eastAsia" w:ascii="仿宋_GB2312" w:eastAsia="仿宋_GB2312"/>
          <w:color w:val="auto"/>
          <w:sz w:val="24"/>
          <w:highlight w:val="none"/>
        </w:rPr>
        <w:t>（5） 因发包人原因导致的暂停施工；</w:t>
      </w:r>
    </w:p>
    <w:p>
      <w:pPr>
        <w:ind w:firstLine="600"/>
        <w:rPr>
          <w:rFonts w:ascii="仿宋_GB2312" w:eastAsia="仿宋_GB2312"/>
          <w:color w:val="auto"/>
          <w:sz w:val="24"/>
          <w:highlight w:val="none"/>
        </w:rPr>
      </w:pPr>
      <w:r>
        <w:rPr>
          <w:rFonts w:hint="eastAsia" w:ascii="仿宋_GB2312" w:eastAsia="仿宋_GB2312"/>
          <w:color w:val="auto"/>
          <w:sz w:val="24"/>
          <w:highlight w:val="none"/>
        </w:rPr>
        <w:t>（6） 发包人未及时履行相关合同义务，造成工期延误的其他原因。</w:t>
      </w:r>
    </w:p>
    <w:p>
      <w:pPr>
        <w:pStyle w:val="55"/>
        <w:numPr>
          <w:ilvl w:val="0"/>
          <w:numId w:val="0"/>
        </w:numPr>
        <w:rPr>
          <w:rFonts w:ascii="仿宋_GB2312" w:eastAsia="仿宋_GB2312"/>
          <w:color w:val="auto"/>
          <w:szCs w:val="24"/>
          <w:highlight w:val="none"/>
        </w:rPr>
      </w:pPr>
      <w:bookmarkStart w:id="747" w:name="_Ref4770209"/>
      <w:r>
        <w:rPr>
          <w:rFonts w:hint="eastAsia" w:ascii="仿宋_GB2312" w:eastAsia="仿宋_GB2312"/>
          <w:color w:val="auto"/>
          <w:szCs w:val="24"/>
          <w:highlight w:val="none"/>
        </w:rPr>
        <w:t>8</w:t>
      </w:r>
      <w:r>
        <w:rPr>
          <w:rFonts w:ascii="仿宋_GB2312" w:eastAsia="仿宋_GB2312"/>
          <w:color w:val="auto"/>
          <w:szCs w:val="24"/>
          <w:highlight w:val="none"/>
        </w:rPr>
        <w:t xml:space="preserve">.7.2 </w:t>
      </w:r>
      <w:r>
        <w:rPr>
          <w:rFonts w:hint="eastAsia" w:ascii="仿宋_GB2312" w:eastAsia="仿宋_GB2312"/>
          <w:color w:val="auto"/>
          <w:szCs w:val="24"/>
          <w:highlight w:val="none"/>
        </w:rPr>
        <w:t>因承包人原因导致工期延误</w:t>
      </w:r>
      <w:bookmarkEnd w:id="747"/>
    </w:p>
    <w:p>
      <w:pPr>
        <w:ind w:firstLine="600"/>
        <w:rPr>
          <w:rFonts w:ascii="仿宋_GB2312" w:eastAsia="仿宋_GB2312"/>
          <w:color w:val="auto"/>
          <w:sz w:val="24"/>
          <w:highlight w:val="none"/>
        </w:rPr>
      </w:pPr>
      <w:r>
        <w:rPr>
          <w:rFonts w:hint="eastAsia" w:ascii="仿宋_GB2312" w:eastAsia="仿宋_GB2312"/>
          <w:color w:val="auto"/>
          <w:sz w:val="24"/>
          <w:highlight w:val="none"/>
        </w:rPr>
        <w:t>由于承包人的原因，未能按项目进度计划完成工作，承包人应采取措施加快进度，并承担加快进度所增加的费用。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55"/>
        <w:numPr>
          <w:ilvl w:val="0"/>
          <w:numId w:val="0"/>
        </w:numPr>
        <w:rPr>
          <w:rFonts w:ascii="仿宋_GB2312" w:eastAsia="仿宋_GB2312"/>
          <w:color w:val="auto"/>
          <w:szCs w:val="24"/>
          <w:highlight w:val="none"/>
        </w:rPr>
      </w:pPr>
      <w:bookmarkStart w:id="748" w:name="_Ref4770872"/>
      <w:r>
        <w:rPr>
          <w:rFonts w:hint="eastAsia" w:ascii="仿宋_GB2312" w:eastAsia="仿宋_GB2312"/>
          <w:color w:val="auto"/>
          <w:szCs w:val="24"/>
          <w:highlight w:val="none"/>
        </w:rPr>
        <w:t>8</w:t>
      </w:r>
      <w:r>
        <w:rPr>
          <w:rFonts w:ascii="仿宋_GB2312" w:eastAsia="仿宋_GB2312"/>
          <w:color w:val="auto"/>
          <w:szCs w:val="24"/>
          <w:highlight w:val="none"/>
        </w:rPr>
        <w:t xml:space="preserve">.7.3 </w:t>
      </w:r>
      <w:r>
        <w:rPr>
          <w:rFonts w:hint="eastAsia" w:ascii="仿宋_GB2312" w:eastAsia="仿宋_GB2312"/>
          <w:color w:val="auto"/>
          <w:szCs w:val="24"/>
          <w:highlight w:val="none"/>
        </w:rPr>
        <w:t>行政审批迟延</w:t>
      </w:r>
      <w:bookmarkEnd w:id="748"/>
      <w:r>
        <w:rPr>
          <w:rFonts w:hint="eastAsia" w:ascii="仿宋_GB2312" w:eastAsia="仿宋_GB2312"/>
          <w:color w:val="auto"/>
          <w:szCs w:val="24"/>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55"/>
        <w:numPr>
          <w:ilvl w:val="0"/>
          <w:numId w:val="0"/>
        </w:numPr>
        <w:rPr>
          <w:rFonts w:ascii="仿宋_GB2312" w:eastAsia="仿宋_GB2312"/>
          <w:color w:val="auto"/>
          <w:szCs w:val="24"/>
          <w:highlight w:val="none"/>
        </w:rPr>
      </w:pPr>
      <w:bookmarkStart w:id="749" w:name="_Ref4770933"/>
      <w:r>
        <w:rPr>
          <w:rFonts w:hint="eastAsia" w:ascii="仿宋_GB2312" w:eastAsia="仿宋_GB2312"/>
          <w:color w:val="auto"/>
          <w:szCs w:val="24"/>
          <w:highlight w:val="none"/>
        </w:rPr>
        <w:t>8</w:t>
      </w:r>
      <w:r>
        <w:rPr>
          <w:rFonts w:ascii="仿宋_GB2312" w:eastAsia="仿宋_GB2312"/>
          <w:color w:val="auto"/>
          <w:szCs w:val="24"/>
          <w:highlight w:val="none"/>
        </w:rPr>
        <w:t xml:space="preserve">.7.4 </w:t>
      </w:r>
      <w:r>
        <w:rPr>
          <w:rFonts w:hint="eastAsia" w:ascii="仿宋_GB2312" w:eastAsia="仿宋_GB2312"/>
          <w:color w:val="auto"/>
          <w:szCs w:val="24"/>
          <w:highlight w:val="none"/>
        </w:rPr>
        <w:t>异常恶劣的气候条件</w:t>
      </w:r>
      <w:bookmarkEnd w:id="749"/>
    </w:p>
    <w:p>
      <w:pPr>
        <w:ind w:firstLine="600"/>
        <w:rPr>
          <w:rFonts w:ascii="仿宋_GB2312" w:eastAsia="仿宋_GB2312"/>
          <w:color w:val="auto"/>
          <w:sz w:val="24"/>
          <w:highlight w:val="none"/>
        </w:rPr>
      </w:pPr>
      <w:r>
        <w:rPr>
          <w:rFonts w:hint="eastAsia" w:ascii="仿宋_GB2312" w:eastAsia="仿宋_GB2312"/>
          <w:color w:val="auto"/>
          <w:sz w:val="24"/>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承包人应采取克服异常恶劣的气候条件的合理措施继续施工，并及时通知工程师。工程师应当及时发出指示，指示构成变更的，按第</w:t>
      </w:r>
      <w:r>
        <w:rPr>
          <w:rFonts w:ascii="仿宋_GB2312" w:eastAsia="仿宋_GB2312"/>
          <w:color w:val="auto"/>
          <w:sz w:val="24"/>
          <w:highlight w:val="none"/>
        </w:rPr>
        <w:t>13条</w:t>
      </w:r>
      <w:r>
        <w:rPr>
          <w:rFonts w:hint="eastAsia" w:ascii="仿宋_GB2312" w:eastAsia="仿宋_GB2312"/>
          <w:color w:val="auto"/>
          <w:sz w:val="24"/>
          <w:highlight w:val="none"/>
        </w:rPr>
        <w:t>[变更与调整]约定办理。承包人因采取合理措施而延误的工期由发包人承担。</w:t>
      </w:r>
    </w:p>
    <w:p>
      <w:pPr>
        <w:pStyle w:val="54"/>
        <w:widowControl/>
        <w:numPr>
          <w:ilvl w:val="0"/>
          <w:numId w:val="0"/>
        </w:numPr>
        <w:rPr>
          <w:b w:val="0"/>
          <w:bCs/>
          <w:color w:val="auto"/>
          <w:highlight w:val="none"/>
        </w:rPr>
      </w:pPr>
      <w:bookmarkStart w:id="750" w:name="_Toc54862255"/>
      <w:bookmarkStart w:id="751" w:name="_Ref4781828"/>
      <w:r>
        <w:rPr>
          <w:rFonts w:hint="eastAsia"/>
          <w:b w:val="0"/>
          <w:bCs/>
          <w:color w:val="auto"/>
          <w:highlight w:val="none"/>
        </w:rPr>
        <w:t>8</w:t>
      </w:r>
      <w:r>
        <w:rPr>
          <w:b w:val="0"/>
          <w:bCs/>
          <w:color w:val="auto"/>
          <w:highlight w:val="none"/>
        </w:rPr>
        <w:t xml:space="preserve">.8 </w:t>
      </w:r>
      <w:r>
        <w:rPr>
          <w:rFonts w:hint="eastAsia"/>
          <w:b w:val="0"/>
          <w:bCs/>
          <w:color w:val="auto"/>
          <w:highlight w:val="none"/>
        </w:rPr>
        <w:t>工期提前</w:t>
      </w:r>
      <w:bookmarkEnd w:id="744"/>
      <w:bookmarkEnd w:id="745"/>
      <w:bookmarkEnd w:id="750"/>
      <w:bookmarkEnd w:id="751"/>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8</w:t>
      </w:r>
      <w:r>
        <w:rPr>
          <w:rFonts w:ascii="仿宋_GB2312" w:eastAsia="仿宋_GB2312"/>
          <w:color w:val="auto"/>
          <w:szCs w:val="24"/>
          <w:highlight w:val="none"/>
        </w:rPr>
        <w:t xml:space="preserve">.8.1 </w:t>
      </w:r>
      <w:r>
        <w:rPr>
          <w:rFonts w:hint="eastAsia" w:ascii="仿宋_GB2312" w:eastAsia="仿宋_GB2312"/>
          <w:color w:val="auto"/>
          <w:szCs w:val="24"/>
          <w:highlight w:val="none"/>
        </w:rPr>
        <w:t>发包人指示承包人提前竣工且被承包人接受的，应与承包人共同协商采取加快工程进度的措施和修订项目进度计划。发包人应承担承包人由此增加的费用，增加的费用按第</w:t>
      </w:r>
      <w:r>
        <w:rPr>
          <w:rFonts w:ascii="仿宋_GB2312" w:eastAsia="仿宋_GB2312"/>
          <w:color w:val="auto"/>
          <w:szCs w:val="24"/>
          <w:highlight w:val="none"/>
        </w:rPr>
        <w:t>13条</w:t>
      </w:r>
      <w:r>
        <w:rPr>
          <w:rFonts w:hint="eastAsia" w:ascii="仿宋_GB2312" w:eastAsia="仿宋_GB2312"/>
          <w:color w:val="auto"/>
          <w:szCs w:val="24"/>
          <w:highlight w:val="none"/>
        </w:rPr>
        <w:t>[</w:t>
      </w:r>
      <w:r>
        <w:rPr>
          <w:rFonts w:ascii="仿宋_GB2312" w:eastAsia="仿宋_GB2312"/>
          <w:color w:val="auto"/>
          <w:szCs w:val="24"/>
          <w:highlight w:val="none"/>
        </w:rPr>
        <w:t>变更与调整</w:t>
      </w:r>
      <w:r>
        <w:rPr>
          <w:rFonts w:hint="eastAsia" w:ascii="仿宋_GB2312" w:eastAsia="仿宋_GB2312"/>
          <w:color w:val="auto"/>
          <w:szCs w:val="24"/>
          <w:highlight w:val="none"/>
        </w:rPr>
        <w:t>]的约定执行；发包人不得以任何理由要求承包人超过合理限度压缩工期。承包人有权不接受提前竣工的指示，工期按照合同约定执行。</w:t>
      </w:r>
    </w:p>
    <w:p>
      <w:pPr>
        <w:pStyle w:val="55"/>
        <w:numPr>
          <w:ilvl w:val="0"/>
          <w:numId w:val="0"/>
        </w:numPr>
        <w:rPr>
          <w:rFonts w:ascii="仿宋_GB2312" w:eastAsia="仿宋_GB2312"/>
          <w:color w:val="auto"/>
          <w:szCs w:val="24"/>
          <w:highlight w:val="none"/>
        </w:rPr>
      </w:pPr>
      <w:bookmarkStart w:id="752" w:name="_Ref4429347"/>
      <w:r>
        <w:rPr>
          <w:rFonts w:hint="eastAsia" w:ascii="仿宋_GB2312" w:eastAsia="仿宋_GB2312"/>
          <w:color w:val="auto"/>
          <w:szCs w:val="24"/>
          <w:highlight w:val="none"/>
        </w:rPr>
        <w:t>8</w:t>
      </w:r>
      <w:r>
        <w:rPr>
          <w:rFonts w:ascii="仿宋_GB2312" w:eastAsia="仿宋_GB2312"/>
          <w:color w:val="auto"/>
          <w:szCs w:val="24"/>
          <w:highlight w:val="none"/>
        </w:rPr>
        <w:t xml:space="preserve">.8.2 </w:t>
      </w:r>
      <w:r>
        <w:rPr>
          <w:rFonts w:hint="eastAsia" w:ascii="仿宋_GB2312" w:eastAsia="仿宋_GB2312"/>
          <w:color w:val="auto"/>
          <w:szCs w:val="24"/>
          <w:highlight w:val="none"/>
        </w:rPr>
        <w:t>承包人提出提前竣工的建议且发包人接受的，应与发包人共同协商采取加快工程进度的措施和修订项目进度计划。发包人应承担承包人由此增加的费用，增加的费用按第</w:t>
      </w:r>
      <w:r>
        <w:rPr>
          <w:rFonts w:ascii="仿宋_GB2312" w:eastAsia="仿宋_GB2312"/>
          <w:color w:val="auto"/>
          <w:szCs w:val="24"/>
          <w:highlight w:val="none"/>
        </w:rPr>
        <w:t>13条</w:t>
      </w:r>
      <w:r>
        <w:rPr>
          <w:rFonts w:hint="eastAsia" w:ascii="仿宋_GB2312" w:eastAsia="仿宋_GB2312"/>
          <w:color w:val="auto"/>
          <w:szCs w:val="24"/>
          <w:highlight w:val="none"/>
        </w:rPr>
        <w:t>[</w:t>
      </w:r>
      <w:r>
        <w:rPr>
          <w:rFonts w:ascii="仿宋_GB2312" w:eastAsia="仿宋_GB2312"/>
          <w:color w:val="auto"/>
          <w:szCs w:val="24"/>
          <w:highlight w:val="none"/>
        </w:rPr>
        <w:t>变更与调整</w:t>
      </w:r>
      <w:r>
        <w:rPr>
          <w:rFonts w:hint="eastAsia" w:ascii="仿宋_GB2312" w:eastAsia="仿宋_GB2312"/>
          <w:color w:val="auto"/>
          <w:szCs w:val="24"/>
          <w:highlight w:val="none"/>
        </w:rPr>
        <w:t>]的约定执行，并向承包人支付专用合同条件约定的相应奖励金。</w:t>
      </w:r>
      <w:bookmarkEnd w:id="752"/>
    </w:p>
    <w:p>
      <w:pPr>
        <w:pStyle w:val="54"/>
        <w:widowControl/>
        <w:numPr>
          <w:ilvl w:val="0"/>
          <w:numId w:val="0"/>
        </w:numPr>
        <w:rPr>
          <w:b w:val="0"/>
          <w:bCs/>
          <w:color w:val="auto"/>
          <w:highlight w:val="none"/>
        </w:rPr>
      </w:pPr>
      <w:bookmarkStart w:id="753" w:name="_Ref4615040"/>
      <w:bookmarkStart w:id="754" w:name="_Ref4615031"/>
      <w:bookmarkStart w:id="755" w:name="_Toc54862256"/>
      <w:r>
        <w:rPr>
          <w:rFonts w:hint="eastAsia"/>
          <w:b w:val="0"/>
          <w:bCs/>
          <w:color w:val="auto"/>
          <w:highlight w:val="none"/>
        </w:rPr>
        <w:t>8</w:t>
      </w:r>
      <w:r>
        <w:rPr>
          <w:b w:val="0"/>
          <w:bCs/>
          <w:color w:val="auto"/>
          <w:highlight w:val="none"/>
        </w:rPr>
        <w:t xml:space="preserve">.9 </w:t>
      </w:r>
      <w:r>
        <w:rPr>
          <w:rFonts w:hint="eastAsia"/>
          <w:b w:val="0"/>
          <w:bCs/>
          <w:color w:val="auto"/>
          <w:highlight w:val="none"/>
        </w:rPr>
        <w:t>暂停工作</w:t>
      </w:r>
      <w:bookmarkEnd w:id="753"/>
      <w:bookmarkEnd w:id="754"/>
      <w:bookmarkEnd w:id="755"/>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756" w:name="_Ref4709151"/>
      <w:r>
        <w:rPr>
          <w:rFonts w:hint="eastAsia" w:ascii="仿宋_GB2312" w:eastAsia="仿宋_GB2312"/>
          <w:color w:val="auto"/>
          <w:szCs w:val="24"/>
          <w:highlight w:val="none"/>
        </w:rPr>
        <w:t>8</w:t>
      </w:r>
      <w:r>
        <w:rPr>
          <w:rFonts w:ascii="仿宋_GB2312" w:eastAsia="仿宋_GB2312"/>
          <w:color w:val="auto"/>
          <w:szCs w:val="24"/>
          <w:highlight w:val="none"/>
        </w:rPr>
        <w:t xml:space="preserve">.9.1 </w:t>
      </w:r>
      <w:r>
        <w:rPr>
          <w:rFonts w:hint="eastAsia" w:ascii="仿宋_GB2312" w:eastAsia="仿宋_GB2312"/>
          <w:color w:val="auto"/>
          <w:szCs w:val="24"/>
          <w:highlight w:val="none"/>
        </w:rPr>
        <w:t>由发包人暂停工作</w:t>
      </w:r>
      <w:bookmarkEnd w:id="756"/>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发包人认为必要时，可通过工程师向承包人发出经发包人签认的暂停工作通知，应列明暂停原因、暂停的日期及预计暂停的期限。承包人应按该通知暂停工作。</w:t>
      </w:r>
      <w:bookmarkStart w:id="757" w:name="_Ref4709233"/>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承包人因执行暂停工作通知而造成费用的增加和（或）工期延误由发包人承担，并有权要求发包人支付合理利润，但</w:t>
      </w:r>
      <w:bookmarkEnd w:id="757"/>
      <w:r>
        <w:rPr>
          <w:rFonts w:hint="eastAsia" w:ascii="仿宋_GB2312" w:eastAsia="仿宋_GB2312"/>
          <w:color w:val="auto"/>
          <w:sz w:val="24"/>
          <w:highlight w:val="none"/>
        </w:rPr>
        <w:t>由于承包人原因造成发包人暂停工作的除外。</w:t>
      </w:r>
    </w:p>
    <w:p>
      <w:pPr>
        <w:pStyle w:val="55"/>
        <w:numPr>
          <w:ilvl w:val="0"/>
          <w:numId w:val="0"/>
        </w:numPr>
        <w:rPr>
          <w:rFonts w:ascii="仿宋_GB2312" w:eastAsia="仿宋_GB2312"/>
          <w:color w:val="auto"/>
          <w:szCs w:val="24"/>
          <w:highlight w:val="none"/>
        </w:rPr>
      </w:pPr>
      <w:bookmarkStart w:id="758" w:name="_Ref18972173"/>
      <w:r>
        <w:rPr>
          <w:rFonts w:hint="eastAsia" w:ascii="仿宋_GB2312" w:eastAsia="仿宋_GB2312"/>
          <w:color w:val="auto"/>
          <w:szCs w:val="24"/>
          <w:highlight w:val="none"/>
        </w:rPr>
        <w:t>8</w:t>
      </w:r>
      <w:r>
        <w:rPr>
          <w:rFonts w:ascii="仿宋_GB2312" w:eastAsia="仿宋_GB2312"/>
          <w:color w:val="auto"/>
          <w:szCs w:val="24"/>
          <w:highlight w:val="none"/>
        </w:rPr>
        <w:t xml:space="preserve">.9.2 </w:t>
      </w:r>
      <w:r>
        <w:rPr>
          <w:rFonts w:hint="eastAsia" w:ascii="仿宋_GB2312" w:eastAsia="仿宋_GB2312"/>
          <w:color w:val="auto"/>
          <w:szCs w:val="24"/>
          <w:highlight w:val="none"/>
        </w:rPr>
        <w:t>由承包人暂停工作</w:t>
      </w:r>
      <w:bookmarkEnd w:id="758"/>
      <w:r>
        <w:rPr>
          <w:rFonts w:hint="eastAsia" w:ascii="仿宋_GB2312" w:eastAsia="仿宋_GB2312"/>
          <w:color w:val="auto"/>
          <w:szCs w:val="24"/>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因承包人原因所造成部分或全部工程的暂停，承包人应采取措施尽快复工并赶上进度，由此造成费用的增加或工期延误由承包人承担。因此造成逾期竣工的，承包人应按第</w:t>
      </w:r>
      <w:r>
        <w:rPr>
          <w:rFonts w:ascii="仿宋_GB2312" w:eastAsia="仿宋_GB2312"/>
          <w:color w:val="auto"/>
          <w:sz w:val="24"/>
          <w:highlight w:val="none"/>
        </w:rPr>
        <w:t>8.7.2</w:t>
      </w:r>
      <w:r>
        <w:rPr>
          <w:rFonts w:hint="eastAsia" w:ascii="仿宋_GB2312" w:eastAsia="仿宋_GB2312"/>
          <w:color w:val="auto"/>
          <w:sz w:val="24"/>
          <w:highlight w:val="none"/>
        </w:rPr>
        <w:t>项[</w:t>
      </w:r>
      <w:r>
        <w:rPr>
          <w:rFonts w:ascii="仿宋_GB2312" w:eastAsia="仿宋_GB2312"/>
          <w:color w:val="auto"/>
          <w:sz w:val="24"/>
          <w:highlight w:val="none"/>
        </w:rPr>
        <w:t>因承包人原因导致工期延误</w:t>
      </w:r>
      <w:r>
        <w:rPr>
          <w:rFonts w:hint="eastAsia" w:ascii="仿宋_GB2312" w:eastAsia="仿宋_GB2312"/>
          <w:color w:val="auto"/>
          <w:sz w:val="24"/>
          <w:highlight w:val="none"/>
        </w:rPr>
        <w:t>]承担逾期竣工违约责任。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ind w:firstLine="600"/>
        <w:rPr>
          <w:rFonts w:ascii="仿宋_GB2312" w:eastAsia="仿宋_GB2312"/>
          <w:color w:val="auto"/>
          <w:sz w:val="24"/>
          <w:highlight w:val="none"/>
        </w:rPr>
      </w:pPr>
      <w:bookmarkStart w:id="759" w:name="_Ref4709224"/>
      <w:r>
        <w:rPr>
          <w:rFonts w:hint="eastAsia" w:ascii="仿宋_GB2312" w:eastAsia="仿宋_GB2312"/>
          <w:color w:val="auto"/>
          <w:sz w:val="24"/>
          <w:highlight w:val="none"/>
        </w:rPr>
        <w:t>（1） 发包人拖延、拒绝批准付款申请和支付证书，或未能按合同约定支付价款，导致付款延误的；</w:t>
      </w:r>
      <w:bookmarkEnd w:id="759"/>
    </w:p>
    <w:p>
      <w:pPr>
        <w:ind w:firstLine="600"/>
        <w:rPr>
          <w:rFonts w:ascii="仿宋_GB2312" w:eastAsia="仿宋_GB2312"/>
          <w:color w:val="auto"/>
          <w:sz w:val="24"/>
          <w:highlight w:val="none"/>
        </w:rPr>
      </w:pPr>
      <w:r>
        <w:rPr>
          <w:rFonts w:hint="eastAsia" w:ascii="仿宋_GB2312" w:eastAsia="仿宋_GB2312"/>
          <w:color w:val="auto"/>
          <w:sz w:val="24"/>
          <w:highlight w:val="none"/>
        </w:rPr>
        <w:t>（2） 发包人未按约定履行合同其他义务导致承包人无法继续履行合同的，或者发包人明确表示暂停或实质上已暂停履行合同的。</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8</w:t>
      </w:r>
      <w:r>
        <w:rPr>
          <w:rFonts w:ascii="仿宋_GB2312" w:eastAsia="仿宋_GB2312"/>
          <w:color w:val="auto"/>
          <w:szCs w:val="24"/>
          <w:highlight w:val="none"/>
        </w:rPr>
        <w:t xml:space="preserve">.9.3 </w:t>
      </w:r>
      <w:r>
        <w:rPr>
          <w:rFonts w:hint="eastAsia" w:ascii="仿宋_GB2312" w:eastAsia="仿宋_GB2312"/>
          <w:color w:val="auto"/>
          <w:szCs w:val="24"/>
          <w:highlight w:val="none"/>
        </w:rPr>
        <w:t>除上述原因以外的暂停工作，双方应遵守第1</w:t>
      </w:r>
      <w:r>
        <w:rPr>
          <w:rFonts w:ascii="仿宋_GB2312" w:eastAsia="仿宋_GB2312"/>
          <w:color w:val="auto"/>
          <w:szCs w:val="24"/>
          <w:highlight w:val="none"/>
        </w:rPr>
        <w:t>7</w:t>
      </w:r>
      <w:r>
        <w:rPr>
          <w:rFonts w:hint="eastAsia" w:ascii="仿宋_GB2312" w:eastAsia="仿宋_GB2312"/>
          <w:color w:val="auto"/>
          <w:szCs w:val="24"/>
          <w:highlight w:val="none"/>
        </w:rPr>
        <w:t>条[不可抗力]的相关约定。</w:t>
      </w:r>
    </w:p>
    <w:p>
      <w:pPr>
        <w:pStyle w:val="55"/>
        <w:numPr>
          <w:ilvl w:val="0"/>
          <w:numId w:val="0"/>
        </w:numPr>
        <w:rPr>
          <w:rFonts w:ascii="仿宋_GB2312" w:eastAsia="仿宋_GB2312"/>
          <w:color w:val="auto"/>
          <w:szCs w:val="24"/>
          <w:highlight w:val="none"/>
        </w:rPr>
      </w:pPr>
      <w:bookmarkStart w:id="760" w:name="_Ref4709158"/>
      <w:r>
        <w:rPr>
          <w:rFonts w:hint="eastAsia" w:ascii="仿宋_GB2312" w:eastAsia="仿宋_GB2312"/>
          <w:color w:val="auto"/>
          <w:szCs w:val="24"/>
          <w:highlight w:val="none"/>
        </w:rPr>
        <w:t>8</w:t>
      </w:r>
      <w:r>
        <w:rPr>
          <w:rFonts w:ascii="仿宋_GB2312" w:eastAsia="仿宋_GB2312"/>
          <w:color w:val="auto"/>
          <w:szCs w:val="24"/>
          <w:highlight w:val="none"/>
        </w:rPr>
        <w:t xml:space="preserve">.9.4 </w:t>
      </w:r>
      <w:r>
        <w:rPr>
          <w:rFonts w:hint="eastAsia" w:ascii="仿宋_GB2312" w:eastAsia="仿宋_GB2312"/>
          <w:color w:val="auto"/>
          <w:szCs w:val="24"/>
          <w:highlight w:val="none"/>
        </w:rPr>
        <w:t>暂停工作期间的工程照管</w:t>
      </w:r>
      <w:bookmarkEnd w:id="760"/>
      <w:r>
        <w:rPr>
          <w:rFonts w:hint="eastAsia" w:ascii="仿宋_GB2312" w:eastAsia="仿宋_GB2312"/>
          <w:color w:val="auto"/>
          <w:szCs w:val="24"/>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不论由于何种原因引起暂停工作的，暂停工作期间，承包人应负责对工程、工程物资及文件等进行照管和保护，并提供安全保障，由此增加的费用按第</w:t>
      </w:r>
      <w:r>
        <w:rPr>
          <w:rFonts w:ascii="仿宋_GB2312" w:eastAsia="仿宋_GB2312"/>
          <w:color w:val="auto"/>
          <w:sz w:val="24"/>
          <w:highlight w:val="none"/>
        </w:rPr>
        <w:t>8.9.1</w:t>
      </w:r>
      <w:r>
        <w:rPr>
          <w:rFonts w:hint="eastAsia" w:ascii="仿宋_GB2312" w:eastAsia="仿宋_GB2312"/>
          <w:color w:val="auto"/>
          <w:sz w:val="24"/>
          <w:highlight w:val="none"/>
        </w:rPr>
        <w:t>项[由发包人暂停工作]和第</w:t>
      </w:r>
      <w:r>
        <w:rPr>
          <w:rFonts w:ascii="仿宋_GB2312" w:eastAsia="仿宋_GB2312"/>
          <w:color w:val="auto"/>
          <w:sz w:val="24"/>
          <w:highlight w:val="none"/>
        </w:rPr>
        <w:t>8.9.2</w:t>
      </w:r>
      <w:r>
        <w:rPr>
          <w:rFonts w:hint="eastAsia" w:ascii="仿宋_GB2312" w:eastAsia="仿宋_GB2312"/>
          <w:color w:val="auto"/>
          <w:sz w:val="24"/>
          <w:highlight w:val="none"/>
        </w:rPr>
        <w:t>项[由承包人暂停工作]的约定承担。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因承包人未能尽到照管、保护的责任造成损失的，使发包人的费用增加，（或）竣工日期延误的，由承包人按本合同约定承担责任。</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8</w:t>
      </w:r>
      <w:r>
        <w:rPr>
          <w:rFonts w:ascii="仿宋_GB2312" w:eastAsia="仿宋_GB2312"/>
          <w:color w:val="auto"/>
          <w:szCs w:val="24"/>
          <w:highlight w:val="none"/>
        </w:rPr>
        <w:t xml:space="preserve">.9.5 </w:t>
      </w:r>
      <w:r>
        <w:rPr>
          <w:rFonts w:hint="eastAsia" w:ascii="仿宋_GB2312" w:eastAsia="仿宋_GB2312"/>
          <w:color w:val="auto"/>
          <w:szCs w:val="24"/>
          <w:highlight w:val="none"/>
        </w:rPr>
        <w:t>拖长的暂停</w:t>
      </w:r>
    </w:p>
    <w:p>
      <w:pPr>
        <w:ind w:firstLine="600"/>
        <w:rPr>
          <w:rFonts w:ascii="仿宋_GB2312" w:eastAsia="仿宋_GB2312"/>
          <w:color w:val="auto"/>
          <w:sz w:val="24"/>
          <w:highlight w:val="none"/>
        </w:rPr>
      </w:pPr>
      <w:r>
        <w:rPr>
          <w:rFonts w:hint="eastAsia" w:ascii="仿宋_GB2312" w:eastAsia="仿宋_GB2312"/>
          <w:color w:val="auto"/>
          <w:sz w:val="24"/>
          <w:highlight w:val="none"/>
        </w:rPr>
        <w:t>根据第</w:t>
      </w:r>
      <w:r>
        <w:rPr>
          <w:rFonts w:ascii="仿宋_GB2312" w:eastAsia="仿宋_GB2312"/>
          <w:color w:val="auto"/>
          <w:sz w:val="24"/>
          <w:highlight w:val="none"/>
        </w:rPr>
        <w:t>8.9.1</w:t>
      </w:r>
      <w:r>
        <w:rPr>
          <w:rFonts w:hint="eastAsia" w:ascii="仿宋_GB2312" w:eastAsia="仿宋_GB2312"/>
          <w:color w:val="auto"/>
          <w:sz w:val="24"/>
          <w:highlight w:val="none"/>
        </w:rPr>
        <w:t>项[由发包人暂停工作]暂停工作持续超过56天的，承包人可向发包人发出要求复工的通知。如果发包人没有在收到书面通知后28天内准许已暂停工作的全部或部分继续工作，承包人有权根据第</w:t>
      </w:r>
      <w:r>
        <w:rPr>
          <w:rFonts w:ascii="仿宋_GB2312" w:eastAsia="仿宋_GB2312"/>
          <w:color w:val="auto"/>
          <w:sz w:val="24"/>
          <w:highlight w:val="none"/>
        </w:rPr>
        <w:t>13条</w:t>
      </w:r>
      <w:r>
        <w:rPr>
          <w:rFonts w:hint="eastAsia" w:ascii="仿宋_GB2312" w:eastAsia="仿宋_GB2312"/>
          <w:color w:val="auto"/>
          <w:sz w:val="24"/>
          <w:highlight w:val="none"/>
        </w:rPr>
        <w:t>[变更与调整]的约定，要求以变更方式调减受暂停影响的部分工程。发包人的暂停超过56天且暂停影响到整个工程的，承包人有权根据第</w:t>
      </w:r>
      <w:r>
        <w:rPr>
          <w:rFonts w:ascii="仿宋_GB2312" w:eastAsia="仿宋_GB2312"/>
          <w:color w:val="auto"/>
          <w:sz w:val="24"/>
          <w:highlight w:val="none"/>
        </w:rPr>
        <w:t>16.2</w:t>
      </w:r>
      <w:r>
        <w:rPr>
          <w:rFonts w:hint="eastAsia" w:ascii="仿宋_GB2312" w:eastAsia="仿宋_GB2312"/>
          <w:color w:val="auto"/>
          <w:sz w:val="24"/>
          <w:highlight w:val="none"/>
        </w:rPr>
        <w:t>款[</w:t>
      </w:r>
      <w:r>
        <w:rPr>
          <w:rFonts w:ascii="仿宋_GB2312" w:eastAsia="仿宋_GB2312"/>
          <w:color w:val="auto"/>
          <w:sz w:val="24"/>
          <w:highlight w:val="none"/>
        </w:rPr>
        <w:t>由承包人解除合同</w:t>
      </w:r>
      <w:r>
        <w:rPr>
          <w:rFonts w:hint="eastAsia" w:ascii="仿宋_GB2312" w:eastAsia="仿宋_GB2312"/>
          <w:color w:val="auto"/>
          <w:sz w:val="24"/>
          <w:highlight w:val="none"/>
        </w:rPr>
        <w:t>]的约定，发出解除合同的通知。</w:t>
      </w:r>
    </w:p>
    <w:p>
      <w:pPr>
        <w:pStyle w:val="54"/>
        <w:widowControl/>
        <w:numPr>
          <w:ilvl w:val="0"/>
          <w:numId w:val="0"/>
        </w:numPr>
        <w:rPr>
          <w:b w:val="0"/>
          <w:bCs/>
          <w:color w:val="auto"/>
          <w:highlight w:val="none"/>
        </w:rPr>
      </w:pPr>
      <w:bookmarkStart w:id="761" w:name="_Toc54862257"/>
      <w:r>
        <w:rPr>
          <w:rFonts w:hint="eastAsia"/>
          <w:b w:val="0"/>
          <w:bCs/>
          <w:color w:val="auto"/>
          <w:highlight w:val="none"/>
        </w:rPr>
        <w:t>8</w:t>
      </w:r>
      <w:r>
        <w:rPr>
          <w:b w:val="0"/>
          <w:bCs/>
          <w:color w:val="auto"/>
          <w:highlight w:val="none"/>
        </w:rPr>
        <w:t xml:space="preserve">.10 </w:t>
      </w:r>
      <w:r>
        <w:rPr>
          <w:rFonts w:hint="eastAsia"/>
          <w:b w:val="0"/>
          <w:bCs/>
          <w:color w:val="auto"/>
          <w:highlight w:val="none"/>
        </w:rPr>
        <w:t>复工</w:t>
      </w:r>
      <w:bookmarkEnd w:id="761"/>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8</w:t>
      </w:r>
      <w:r>
        <w:rPr>
          <w:rFonts w:ascii="仿宋_GB2312" w:eastAsia="仿宋_GB2312"/>
          <w:color w:val="auto"/>
          <w:szCs w:val="24"/>
          <w:highlight w:val="none"/>
        </w:rPr>
        <w:t xml:space="preserve">.10.1 </w:t>
      </w:r>
      <w:r>
        <w:rPr>
          <w:rFonts w:hint="eastAsia" w:ascii="仿宋_GB2312" w:eastAsia="仿宋_GB2312"/>
          <w:color w:val="auto"/>
          <w:szCs w:val="24"/>
          <w:highlight w:val="none"/>
        </w:rPr>
        <w:t>收到发包人的复工通知后，承包人应按通知时间复工；发包人通知的复工时间应当给予承包人必要的准备复工时间。</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8</w:t>
      </w:r>
      <w:r>
        <w:rPr>
          <w:rFonts w:ascii="仿宋_GB2312" w:eastAsia="仿宋_GB2312"/>
          <w:color w:val="auto"/>
          <w:szCs w:val="24"/>
          <w:highlight w:val="none"/>
        </w:rPr>
        <w:t xml:space="preserve">.10.2 </w:t>
      </w:r>
      <w:r>
        <w:rPr>
          <w:rFonts w:hint="eastAsia" w:ascii="仿宋_GB2312" w:eastAsia="仿宋_GB2312"/>
          <w:color w:val="auto"/>
          <w:szCs w:val="24"/>
          <w:highlight w:val="none"/>
        </w:rPr>
        <w:t>不论由于何种原因引起暂停工作，双方均可要求对方一同对受暂停影响的工程、工程设备和工程物资进行检查，承包人应将检查结果及需要恢复、修复的内容和估算通知发包人。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8</w:t>
      </w:r>
      <w:r>
        <w:rPr>
          <w:rFonts w:ascii="仿宋_GB2312" w:eastAsia="仿宋_GB2312"/>
          <w:color w:val="auto"/>
          <w:szCs w:val="24"/>
          <w:highlight w:val="none"/>
        </w:rPr>
        <w:t xml:space="preserve">.10.3 </w:t>
      </w:r>
      <w:r>
        <w:rPr>
          <w:rFonts w:hint="eastAsia" w:ascii="仿宋_GB2312" w:eastAsia="仿宋_GB2312"/>
          <w:color w:val="auto"/>
          <w:szCs w:val="24"/>
          <w:highlight w:val="none"/>
        </w:rPr>
        <w:t>除第</w:t>
      </w:r>
      <w:r>
        <w:rPr>
          <w:rFonts w:ascii="仿宋_GB2312" w:eastAsia="仿宋_GB2312"/>
          <w:color w:val="auto"/>
          <w:szCs w:val="24"/>
          <w:highlight w:val="none"/>
        </w:rPr>
        <w:t>17条</w:t>
      </w:r>
      <w:r>
        <w:rPr>
          <w:rFonts w:hint="eastAsia" w:ascii="仿宋_GB2312" w:eastAsia="仿宋_GB2312"/>
          <w:color w:val="auto"/>
          <w:szCs w:val="24"/>
          <w:highlight w:val="none"/>
        </w:rPr>
        <w:t>[不可抗力]另有约定外，发生的恢复、修复价款及工期延误的后果由责任方承担。</w:t>
      </w:r>
    </w:p>
    <w:p>
      <w:pPr>
        <w:pStyle w:val="42"/>
        <w:numPr>
          <w:ilvl w:val="0"/>
          <w:numId w:val="0"/>
        </w:numPr>
        <w:wordWrap/>
        <w:topLinePunct w:val="0"/>
        <w:rPr>
          <w:b w:val="0"/>
          <w:bCs/>
          <w:color w:val="auto"/>
          <w:sz w:val="24"/>
          <w:szCs w:val="24"/>
          <w:highlight w:val="none"/>
        </w:rPr>
      </w:pPr>
      <w:bookmarkStart w:id="762" w:name="_Ref4621029"/>
      <w:bookmarkStart w:id="763" w:name="_Toc54862258"/>
      <w:bookmarkStart w:id="764" w:name="_Ref4621041"/>
      <w:r>
        <w:rPr>
          <w:rFonts w:hint="eastAsia"/>
          <w:b w:val="0"/>
          <w:bCs/>
          <w:color w:val="auto"/>
          <w:sz w:val="24"/>
          <w:szCs w:val="24"/>
          <w:highlight w:val="none"/>
        </w:rPr>
        <w:t>第9条 竣工试验</w:t>
      </w:r>
      <w:bookmarkEnd w:id="690"/>
      <w:bookmarkEnd w:id="762"/>
      <w:bookmarkEnd w:id="763"/>
      <w:bookmarkEnd w:id="764"/>
      <w:r>
        <w:rPr>
          <w:rFonts w:hint="eastAsia"/>
          <w:b w:val="0"/>
          <w:bCs/>
          <w:color w:val="auto"/>
          <w:sz w:val="24"/>
          <w:szCs w:val="24"/>
          <w:highlight w:val="none"/>
        </w:rPr>
        <w:t xml:space="preserve"> </w:t>
      </w:r>
    </w:p>
    <w:p>
      <w:pPr>
        <w:pStyle w:val="54"/>
        <w:widowControl/>
        <w:numPr>
          <w:ilvl w:val="0"/>
          <w:numId w:val="0"/>
        </w:numPr>
        <w:rPr>
          <w:b w:val="0"/>
          <w:bCs/>
          <w:color w:val="auto"/>
          <w:highlight w:val="none"/>
        </w:rPr>
      </w:pPr>
      <w:bookmarkStart w:id="765" w:name="_Ref532586248"/>
      <w:bookmarkStart w:id="766" w:name="_Toc54862259"/>
      <w:bookmarkStart w:id="767" w:name="_Ref532586251"/>
      <w:r>
        <w:rPr>
          <w:rFonts w:hint="eastAsia"/>
          <w:b w:val="0"/>
          <w:bCs/>
          <w:color w:val="auto"/>
          <w:highlight w:val="none"/>
        </w:rPr>
        <w:t>9</w:t>
      </w:r>
      <w:r>
        <w:rPr>
          <w:b w:val="0"/>
          <w:bCs/>
          <w:color w:val="auto"/>
          <w:highlight w:val="none"/>
        </w:rPr>
        <w:t xml:space="preserve">.1 </w:t>
      </w:r>
      <w:r>
        <w:rPr>
          <w:rFonts w:hint="eastAsia"/>
          <w:b w:val="0"/>
          <w:bCs/>
          <w:color w:val="auto"/>
          <w:highlight w:val="none"/>
        </w:rPr>
        <w:t>竣工试验的义务</w:t>
      </w:r>
      <w:bookmarkEnd w:id="765"/>
      <w:bookmarkEnd w:id="766"/>
      <w:bookmarkEnd w:id="767"/>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.1.1 </w:t>
      </w:r>
      <w:r>
        <w:rPr>
          <w:rFonts w:hint="eastAsia" w:ascii="仿宋_GB2312" w:eastAsia="仿宋_GB2312"/>
          <w:color w:val="auto"/>
          <w:szCs w:val="24"/>
          <w:highlight w:val="none"/>
        </w:rPr>
        <w:t>承包人完成工程或区段工程进行竣工试验所需的作业，并根据第</w:t>
      </w:r>
      <w:r>
        <w:rPr>
          <w:rFonts w:ascii="仿宋_GB2312" w:eastAsia="仿宋_GB2312"/>
          <w:color w:val="auto"/>
          <w:szCs w:val="24"/>
          <w:highlight w:val="none"/>
        </w:rPr>
        <w:t>5.4</w:t>
      </w:r>
      <w:r>
        <w:rPr>
          <w:rFonts w:hint="eastAsia" w:ascii="仿宋_GB2312" w:eastAsia="仿宋_GB2312"/>
          <w:color w:val="auto"/>
          <w:szCs w:val="24"/>
          <w:highlight w:val="none"/>
        </w:rPr>
        <w:t>款[竣工文件]和第</w:t>
      </w:r>
      <w:r>
        <w:rPr>
          <w:rFonts w:ascii="仿宋_GB2312" w:eastAsia="仿宋_GB2312"/>
          <w:color w:val="auto"/>
          <w:szCs w:val="24"/>
          <w:highlight w:val="none"/>
        </w:rPr>
        <w:t>5.5</w:t>
      </w:r>
      <w:r>
        <w:rPr>
          <w:rFonts w:hint="eastAsia" w:ascii="仿宋_GB2312" w:eastAsia="仿宋_GB2312"/>
          <w:color w:val="auto"/>
          <w:szCs w:val="24"/>
          <w:highlight w:val="none"/>
        </w:rPr>
        <w:t>款[操作和维修手册]提交文件后，进行竣工试验。</w:t>
      </w:r>
      <w:bookmarkStart w:id="768" w:name="_Ref532586608"/>
    </w:p>
    <w:p>
      <w:pPr>
        <w:pStyle w:val="55"/>
        <w:numPr>
          <w:ilvl w:val="0"/>
          <w:numId w:val="0"/>
        </w:numPr>
        <w:rPr>
          <w:rFonts w:ascii="仿宋_GB2312" w:eastAsia="仿宋_GB2312"/>
          <w:color w:val="auto"/>
          <w:szCs w:val="24"/>
          <w:highlight w:val="none"/>
        </w:rPr>
      </w:pPr>
      <w:bookmarkStart w:id="769" w:name="_Ref11919920"/>
      <w:r>
        <w:rPr>
          <w:rFonts w:hint="eastAsia" w:ascii="仿宋_GB2312" w:eastAsia="仿宋_GB2312"/>
          <w:color w:val="auto"/>
          <w:szCs w:val="24"/>
          <w:highlight w:val="none"/>
        </w:rPr>
        <w:t>9</w:t>
      </w:r>
      <w:r>
        <w:rPr>
          <w:rFonts w:ascii="仿宋_GB2312" w:eastAsia="仿宋_GB2312"/>
          <w:color w:val="auto"/>
          <w:szCs w:val="24"/>
          <w:highlight w:val="none"/>
        </w:rPr>
        <w:t xml:space="preserve">.1.2 </w:t>
      </w:r>
      <w:r>
        <w:rPr>
          <w:rFonts w:hint="eastAsia" w:ascii="仿宋_GB2312" w:eastAsia="仿宋_GB2312"/>
          <w:color w:val="auto"/>
          <w:szCs w:val="24"/>
          <w:highlight w:val="none"/>
        </w:rPr>
        <w:t>承包人应在进行竣工试验之前，至少提前42天向工程师提交详细的竣工试验计划，该计划应载明竣工试验的内容、地点、拟开展时间和需要发包人提供的资源条件。</w:t>
      </w:r>
      <w:bookmarkEnd w:id="768"/>
      <w:r>
        <w:rPr>
          <w:rFonts w:hint="eastAsia" w:ascii="仿宋_GB2312" w:eastAsia="仿宋_GB2312"/>
          <w:color w:val="auto"/>
          <w:szCs w:val="24"/>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769"/>
    </w:p>
    <w:p>
      <w:pPr>
        <w:pStyle w:val="55"/>
        <w:numPr>
          <w:ilvl w:val="0"/>
          <w:numId w:val="0"/>
        </w:numPr>
        <w:rPr>
          <w:rFonts w:ascii="仿宋_GB2312" w:eastAsia="仿宋_GB2312"/>
          <w:color w:val="auto"/>
          <w:szCs w:val="24"/>
          <w:highlight w:val="none"/>
        </w:rPr>
      </w:pPr>
      <w:bookmarkStart w:id="770" w:name="_Ref532688147"/>
      <w:r>
        <w:rPr>
          <w:rFonts w:hint="eastAsia" w:ascii="仿宋_GB2312" w:eastAsia="仿宋_GB2312"/>
          <w:color w:val="auto"/>
          <w:szCs w:val="24"/>
          <w:highlight w:val="none"/>
        </w:rPr>
        <w:t>9</w:t>
      </w:r>
      <w:r>
        <w:rPr>
          <w:rFonts w:ascii="仿宋_GB2312" w:eastAsia="仿宋_GB2312"/>
          <w:color w:val="auto"/>
          <w:szCs w:val="24"/>
          <w:highlight w:val="none"/>
        </w:rPr>
        <w:t xml:space="preserve">.1.3 </w:t>
      </w:r>
      <w:r>
        <w:rPr>
          <w:rFonts w:hint="eastAsia" w:ascii="仿宋_GB2312" w:eastAsia="仿宋_GB2312"/>
          <w:color w:val="auto"/>
          <w:szCs w:val="24"/>
          <w:highlight w:val="none"/>
        </w:rPr>
        <w:t>承包人应根据经确认的竣工试验计划以及第</w:t>
      </w:r>
      <w:r>
        <w:rPr>
          <w:rFonts w:ascii="仿宋_GB2312" w:eastAsia="仿宋_GB2312"/>
          <w:color w:val="auto"/>
          <w:szCs w:val="24"/>
          <w:highlight w:val="none"/>
        </w:rPr>
        <w:t>6.5</w:t>
      </w:r>
      <w:r>
        <w:rPr>
          <w:rFonts w:hint="eastAsia" w:ascii="仿宋_GB2312" w:eastAsia="仿宋_GB2312"/>
          <w:color w:val="auto"/>
          <w:szCs w:val="24"/>
          <w:highlight w:val="none"/>
        </w:rPr>
        <w:t>款[</w:t>
      </w:r>
      <w:r>
        <w:rPr>
          <w:rFonts w:ascii="仿宋_GB2312" w:eastAsia="仿宋_GB2312"/>
          <w:color w:val="auto"/>
          <w:szCs w:val="24"/>
          <w:highlight w:val="none"/>
        </w:rPr>
        <w:t>由承包人试验</w:t>
      </w:r>
      <w:r>
        <w:rPr>
          <w:rFonts w:hint="eastAsia" w:ascii="仿宋_GB2312" w:eastAsia="仿宋_GB2312"/>
          <w:color w:val="auto"/>
          <w:szCs w:val="24"/>
          <w:highlight w:val="none"/>
        </w:rPr>
        <w:t>和</w:t>
      </w:r>
      <w:r>
        <w:rPr>
          <w:rFonts w:ascii="仿宋_GB2312" w:eastAsia="仿宋_GB2312"/>
          <w:color w:val="auto"/>
          <w:szCs w:val="24"/>
          <w:highlight w:val="none"/>
        </w:rPr>
        <w:t>检验</w:t>
      </w:r>
      <w:r>
        <w:rPr>
          <w:rFonts w:hint="eastAsia" w:ascii="仿宋_GB2312" w:eastAsia="仿宋_GB2312"/>
          <w:color w:val="auto"/>
          <w:szCs w:val="24"/>
          <w:highlight w:val="none"/>
        </w:rPr>
        <w:t>]进行竣工试验。除《发包人要求》中另有说明外，竣工试验应按以下顺序分阶段进行，即只有在工程或区段工程已通过上一阶段试验的情况下，才可进行下一阶段试验：</w:t>
      </w:r>
      <w:bookmarkEnd w:id="770"/>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承包人进行启动前试验，包括适当的检查和功能性试验，以证明工程或区段工程的每一部分均能够安全地承受下一阶段试验；</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承包人进行启动试验，以证明工程或区段工程能够在所有可利用的操作条件下安全运行，并按照专用合同条件和《发包人要求》中的规定操作；</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pPr>
        <w:ind w:firstLine="600"/>
        <w:rPr>
          <w:rFonts w:ascii="仿宋_GB2312" w:eastAsia="仿宋_GB2312"/>
          <w:color w:val="auto"/>
          <w:sz w:val="24"/>
          <w:highlight w:val="none"/>
        </w:rPr>
      </w:pPr>
      <w:r>
        <w:rPr>
          <w:rFonts w:hint="eastAsia" w:ascii="仿宋_GB2312" w:eastAsia="仿宋_GB2312"/>
          <w:color w:val="auto"/>
          <w:sz w:val="24"/>
          <w:highlight w:val="none"/>
        </w:rPr>
        <w:t>进行上述试验不应构成第</w:t>
      </w:r>
      <w:r>
        <w:rPr>
          <w:rFonts w:ascii="仿宋_GB2312" w:eastAsia="仿宋_GB2312"/>
          <w:color w:val="auto"/>
          <w:sz w:val="24"/>
          <w:highlight w:val="none"/>
        </w:rPr>
        <w:t>10条</w:t>
      </w:r>
      <w:r>
        <w:rPr>
          <w:rFonts w:hint="eastAsia" w:ascii="仿宋_GB2312" w:eastAsia="仿宋_GB2312"/>
          <w:color w:val="auto"/>
          <w:sz w:val="24"/>
          <w:highlight w:val="none"/>
        </w:rPr>
        <w:t>[验收和工程接收]规定的接收，但试验所产生的任何产品或其他收益均应归属于发包人。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.1.4 </w:t>
      </w:r>
      <w:r>
        <w:rPr>
          <w:rFonts w:hint="eastAsia" w:ascii="仿宋_GB2312" w:eastAsia="仿宋_GB2312"/>
          <w:color w:val="auto"/>
          <w:szCs w:val="24"/>
          <w:highlight w:val="none"/>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54"/>
        <w:widowControl/>
        <w:numPr>
          <w:ilvl w:val="0"/>
          <w:numId w:val="0"/>
        </w:numPr>
        <w:rPr>
          <w:b w:val="0"/>
          <w:bCs/>
          <w:color w:val="auto"/>
          <w:highlight w:val="none"/>
        </w:rPr>
      </w:pPr>
      <w:bookmarkStart w:id="771" w:name="_Toc54862260"/>
      <w:r>
        <w:rPr>
          <w:rFonts w:hint="eastAsia"/>
          <w:b w:val="0"/>
          <w:bCs/>
          <w:color w:val="auto"/>
          <w:highlight w:val="none"/>
        </w:rPr>
        <w:t>9</w:t>
      </w:r>
      <w:r>
        <w:rPr>
          <w:b w:val="0"/>
          <w:bCs/>
          <w:color w:val="auto"/>
          <w:highlight w:val="none"/>
        </w:rPr>
        <w:t xml:space="preserve">.2 </w:t>
      </w:r>
      <w:r>
        <w:rPr>
          <w:rFonts w:hint="eastAsia"/>
          <w:b w:val="0"/>
          <w:bCs/>
          <w:color w:val="auto"/>
          <w:highlight w:val="none"/>
        </w:rPr>
        <w:t>延误的试验</w:t>
      </w:r>
      <w:bookmarkEnd w:id="771"/>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.2.1 </w:t>
      </w:r>
      <w:r>
        <w:rPr>
          <w:rFonts w:hint="eastAsia" w:ascii="仿宋_GB2312" w:eastAsia="仿宋_GB2312"/>
          <w:color w:val="auto"/>
          <w:szCs w:val="24"/>
          <w:highlight w:val="none"/>
        </w:rPr>
        <w:t>如果承包人已根据第</w:t>
      </w:r>
      <w:r>
        <w:rPr>
          <w:rFonts w:ascii="仿宋_GB2312" w:eastAsia="仿宋_GB2312"/>
          <w:color w:val="auto"/>
          <w:szCs w:val="24"/>
          <w:highlight w:val="none"/>
        </w:rPr>
        <w:t>9.1</w:t>
      </w:r>
      <w:r>
        <w:rPr>
          <w:rFonts w:hint="eastAsia" w:ascii="仿宋_GB2312" w:eastAsia="仿宋_GB2312"/>
          <w:color w:val="auto"/>
          <w:szCs w:val="24"/>
          <w:highlight w:val="none"/>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.2.2 </w:t>
      </w:r>
      <w:r>
        <w:rPr>
          <w:rFonts w:hint="eastAsia" w:ascii="仿宋_GB2312" w:eastAsia="仿宋_GB2312"/>
          <w:color w:val="auto"/>
          <w:szCs w:val="24"/>
          <w:highlight w:val="none"/>
        </w:rPr>
        <w:t>承包人无正当理由延误进行竣工试验的，工程师可向其发出通知，要求其在收到通知后的21天内进行该项竣工试验。承包人应在该21天的期限内确定进行试验的日期，并至少提前7天通知工程师。</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.2.3 </w:t>
      </w:r>
      <w:r>
        <w:rPr>
          <w:rFonts w:hint="eastAsia" w:ascii="仿宋_GB2312" w:eastAsia="仿宋_GB2312"/>
          <w:color w:val="auto"/>
          <w:szCs w:val="24"/>
          <w:highlight w:val="none"/>
        </w:rPr>
        <w:t>如果承包人未在该期限内进行竣工试验，则发包人有权自行组织该项竣工试验，由此产生的合理费用由承包人承担。发包人应在试验完成后28天内向承包人发送试验结果。</w:t>
      </w:r>
    </w:p>
    <w:p>
      <w:pPr>
        <w:pStyle w:val="54"/>
        <w:widowControl/>
        <w:numPr>
          <w:ilvl w:val="0"/>
          <w:numId w:val="0"/>
        </w:numPr>
        <w:rPr>
          <w:b w:val="0"/>
          <w:bCs/>
          <w:color w:val="auto"/>
          <w:highlight w:val="none"/>
        </w:rPr>
      </w:pPr>
      <w:bookmarkStart w:id="772" w:name="_Toc54862261"/>
      <w:bookmarkStart w:id="773" w:name="_Ref532594592"/>
      <w:bookmarkStart w:id="774" w:name="_Ref532594588"/>
      <w:r>
        <w:rPr>
          <w:rFonts w:hint="eastAsia"/>
          <w:b w:val="0"/>
          <w:bCs/>
          <w:color w:val="auto"/>
          <w:highlight w:val="none"/>
        </w:rPr>
        <w:t>9</w:t>
      </w:r>
      <w:r>
        <w:rPr>
          <w:b w:val="0"/>
          <w:bCs/>
          <w:color w:val="auto"/>
          <w:highlight w:val="none"/>
        </w:rPr>
        <w:t xml:space="preserve">.3 </w:t>
      </w:r>
      <w:r>
        <w:rPr>
          <w:rFonts w:hint="eastAsia"/>
          <w:b w:val="0"/>
          <w:bCs/>
          <w:color w:val="auto"/>
          <w:highlight w:val="none"/>
        </w:rPr>
        <w:t>重新试验</w:t>
      </w:r>
      <w:bookmarkEnd w:id="772"/>
      <w:bookmarkEnd w:id="773"/>
      <w:bookmarkEnd w:id="774"/>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如果工程或区段工程未能通过竣工试验，则承包人应根据第</w:t>
      </w:r>
      <w:r>
        <w:rPr>
          <w:rFonts w:ascii="仿宋_GB2312" w:eastAsia="仿宋_GB2312"/>
          <w:color w:val="auto"/>
          <w:sz w:val="24"/>
          <w:highlight w:val="none"/>
        </w:rPr>
        <w:t>6.6</w:t>
      </w:r>
      <w:r>
        <w:rPr>
          <w:rFonts w:hint="eastAsia" w:ascii="仿宋_GB2312" w:eastAsia="仿宋_GB2312"/>
          <w:color w:val="auto"/>
          <w:sz w:val="24"/>
          <w:highlight w:val="none"/>
        </w:rPr>
        <w:t>款[缺陷和修补]修补缺陷。发包人或承包人可要求按相同的条件，重新进行未通过的试验以及相关工程或区段工程的竣工试验。该等重新进行的试验仍应适用本条对于竣工试验的规定。</w:t>
      </w:r>
    </w:p>
    <w:p>
      <w:pPr>
        <w:pStyle w:val="54"/>
        <w:widowControl/>
        <w:numPr>
          <w:ilvl w:val="0"/>
          <w:numId w:val="0"/>
        </w:numPr>
        <w:rPr>
          <w:b w:val="0"/>
          <w:bCs/>
          <w:color w:val="auto"/>
          <w:highlight w:val="none"/>
        </w:rPr>
      </w:pPr>
      <w:bookmarkStart w:id="775" w:name="_Ref532688221"/>
      <w:bookmarkStart w:id="776" w:name="_Ref532688226"/>
      <w:bookmarkStart w:id="777" w:name="_Toc54862262"/>
      <w:r>
        <w:rPr>
          <w:rFonts w:hint="eastAsia"/>
          <w:b w:val="0"/>
          <w:bCs/>
          <w:color w:val="auto"/>
          <w:highlight w:val="none"/>
        </w:rPr>
        <w:t>9</w:t>
      </w:r>
      <w:r>
        <w:rPr>
          <w:b w:val="0"/>
          <w:bCs/>
          <w:color w:val="auto"/>
          <w:highlight w:val="none"/>
        </w:rPr>
        <w:t xml:space="preserve">.4 </w:t>
      </w:r>
      <w:r>
        <w:rPr>
          <w:rFonts w:hint="eastAsia"/>
          <w:b w:val="0"/>
          <w:bCs/>
          <w:color w:val="auto"/>
          <w:highlight w:val="none"/>
        </w:rPr>
        <w:t>未能通过竣工试验</w:t>
      </w:r>
      <w:bookmarkEnd w:id="775"/>
      <w:bookmarkEnd w:id="776"/>
      <w:bookmarkEnd w:id="777"/>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.4.1 </w:t>
      </w:r>
      <w:r>
        <w:rPr>
          <w:rFonts w:hint="eastAsia" w:ascii="仿宋_GB2312" w:eastAsia="仿宋_GB2312"/>
          <w:color w:val="auto"/>
          <w:szCs w:val="24"/>
          <w:highlight w:val="none"/>
        </w:rPr>
        <w:t>因发包人原因导致竣工试验未能通过的，承包人进行竣工试验的费用由发包人承担，竣工日期相应顺延。</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9</w:t>
      </w:r>
      <w:r>
        <w:rPr>
          <w:rFonts w:ascii="仿宋_GB2312" w:eastAsia="仿宋_GB2312"/>
          <w:color w:val="auto"/>
          <w:szCs w:val="24"/>
          <w:highlight w:val="none"/>
        </w:rPr>
        <w:t xml:space="preserve">.4.2 </w:t>
      </w:r>
      <w:r>
        <w:rPr>
          <w:rFonts w:hint="eastAsia" w:ascii="仿宋_GB2312" w:eastAsia="仿宋_GB2312"/>
          <w:color w:val="auto"/>
          <w:szCs w:val="24"/>
          <w:highlight w:val="none"/>
        </w:rPr>
        <w:t>如果工程或区段工程未能通过根据第</w:t>
      </w:r>
      <w:r>
        <w:rPr>
          <w:rFonts w:ascii="仿宋_GB2312" w:eastAsia="仿宋_GB2312"/>
          <w:color w:val="auto"/>
          <w:szCs w:val="24"/>
          <w:highlight w:val="none"/>
        </w:rPr>
        <w:t>9.3</w:t>
      </w:r>
      <w:r>
        <w:rPr>
          <w:rFonts w:hint="eastAsia" w:ascii="仿宋_GB2312" w:eastAsia="仿宋_GB2312"/>
          <w:color w:val="auto"/>
          <w:szCs w:val="24"/>
          <w:highlight w:val="none"/>
        </w:rPr>
        <w:t>款[重新试验]重新进行的竣工试验的，则：</w:t>
      </w:r>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发包人有权要求承包人根据第</w:t>
      </w:r>
      <w:r>
        <w:rPr>
          <w:rFonts w:ascii="仿宋_GB2312" w:eastAsia="仿宋_GB2312"/>
          <w:color w:val="auto"/>
          <w:sz w:val="24"/>
          <w:highlight w:val="none"/>
        </w:rPr>
        <w:t>6.6</w:t>
      </w:r>
      <w:r>
        <w:rPr>
          <w:rFonts w:hint="eastAsia" w:ascii="仿宋_GB2312" w:eastAsia="仿宋_GB2312"/>
          <w:color w:val="auto"/>
          <w:sz w:val="24"/>
          <w:highlight w:val="none"/>
        </w:rPr>
        <w:t>款[缺陷和修补]继续进行修补和改正，并根据第</w:t>
      </w:r>
      <w:r>
        <w:rPr>
          <w:rFonts w:ascii="仿宋_GB2312" w:eastAsia="仿宋_GB2312"/>
          <w:color w:val="auto"/>
          <w:sz w:val="24"/>
          <w:highlight w:val="none"/>
        </w:rPr>
        <w:t>9.3</w:t>
      </w:r>
      <w:r>
        <w:rPr>
          <w:rFonts w:hint="eastAsia" w:ascii="仿宋_GB2312" w:eastAsia="仿宋_GB2312"/>
          <w:color w:val="auto"/>
          <w:sz w:val="24"/>
          <w:highlight w:val="none"/>
        </w:rPr>
        <w:t>款[重新试验]再次进行竣工试验；</w:t>
      </w:r>
    </w:p>
    <w:p>
      <w:pPr>
        <w:ind w:firstLine="600"/>
        <w:rPr>
          <w:rFonts w:ascii="仿宋_GB2312" w:eastAsia="仿宋_GB2312"/>
          <w:color w:val="auto"/>
          <w:sz w:val="24"/>
          <w:highlight w:val="none"/>
        </w:rPr>
      </w:pPr>
      <w:r>
        <w:rPr>
          <w:rFonts w:hint="eastAsia" w:ascii="仿宋_GB2312" w:eastAsia="仿宋_GB2312"/>
          <w:color w:val="auto"/>
          <w:sz w:val="24"/>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ind w:firstLine="600"/>
        <w:rPr>
          <w:rFonts w:ascii="仿宋_GB2312" w:eastAsia="仿宋_GB2312"/>
          <w:color w:val="auto"/>
          <w:sz w:val="24"/>
          <w:highlight w:val="none"/>
        </w:rPr>
      </w:pPr>
      <w:bookmarkStart w:id="778" w:name="_Ref4621461"/>
      <w:r>
        <w:rPr>
          <w:rFonts w:hint="eastAsia" w:ascii="仿宋_GB2312" w:eastAsia="仿宋_GB2312"/>
          <w:color w:val="auto"/>
          <w:sz w:val="24"/>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bookmarkEnd w:id="778"/>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ascii="仿宋_GB2312" w:eastAsia="仿宋_GB2312"/>
          <w:color w:val="auto"/>
          <w:sz w:val="24"/>
          <w:highlight w:val="none"/>
        </w:rPr>
        <w:t>16.1</w:t>
      </w:r>
      <w:r>
        <w:rPr>
          <w:rFonts w:hint="eastAsia" w:ascii="仿宋_GB2312" w:eastAsia="仿宋_GB2312"/>
          <w:color w:val="auto"/>
          <w:sz w:val="24"/>
          <w:highlight w:val="none"/>
        </w:rPr>
        <w:t>款[由发包人解除合同]的约定解除合同。</w:t>
      </w:r>
    </w:p>
    <w:p>
      <w:pPr>
        <w:pStyle w:val="42"/>
        <w:numPr>
          <w:ilvl w:val="0"/>
          <w:numId w:val="0"/>
        </w:numPr>
        <w:wordWrap/>
        <w:topLinePunct w:val="0"/>
        <w:rPr>
          <w:b w:val="0"/>
          <w:bCs/>
          <w:color w:val="auto"/>
          <w:sz w:val="24"/>
          <w:szCs w:val="24"/>
          <w:highlight w:val="none"/>
        </w:rPr>
      </w:pPr>
      <w:bookmarkStart w:id="779" w:name="_Ref4618338"/>
      <w:bookmarkStart w:id="780" w:name="_Ref4624043"/>
      <w:bookmarkStart w:id="781" w:name="_Ref4618348"/>
      <w:bookmarkStart w:id="782" w:name="_Toc54862263"/>
      <w:r>
        <w:rPr>
          <w:rFonts w:hint="eastAsia"/>
          <w:b w:val="0"/>
          <w:bCs/>
          <w:color w:val="auto"/>
          <w:sz w:val="24"/>
          <w:szCs w:val="24"/>
          <w:highlight w:val="none"/>
        </w:rPr>
        <w:t>第1</w:t>
      </w:r>
      <w:r>
        <w:rPr>
          <w:b w:val="0"/>
          <w:bCs/>
          <w:color w:val="auto"/>
          <w:sz w:val="24"/>
          <w:szCs w:val="24"/>
          <w:highlight w:val="none"/>
        </w:rPr>
        <w:t>0</w:t>
      </w:r>
      <w:r>
        <w:rPr>
          <w:rFonts w:hint="eastAsia"/>
          <w:b w:val="0"/>
          <w:bCs/>
          <w:color w:val="auto"/>
          <w:sz w:val="24"/>
          <w:szCs w:val="24"/>
          <w:highlight w:val="none"/>
        </w:rPr>
        <w:t>条 验收和工程接收</w:t>
      </w:r>
      <w:bookmarkEnd w:id="779"/>
      <w:bookmarkEnd w:id="780"/>
      <w:bookmarkEnd w:id="781"/>
      <w:bookmarkEnd w:id="782"/>
    </w:p>
    <w:p>
      <w:pPr>
        <w:pStyle w:val="54"/>
        <w:widowControl/>
        <w:numPr>
          <w:ilvl w:val="0"/>
          <w:numId w:val="0"/>
        </w:numPr>
        <w:rPr>
          <w:b w:val="0"/>
          <w:bCs/>
          <w:color w:val="auto"/>
          <w:highlight w:val="none"/>
        </w:rPr>
      </w:pPr>
      <w:bookmarkStart w:id="783" w:name="_Ref532359143"/>
      <w:bookmarkStart w:id="784" w:name="_Ref532300801"/>
      <w:bookmarkStart w:id="785" w:name="_Ref532301202"/>
      <w:bookmarkStart w:id="786" w:name="_Ref532359152"/>
      <w:bookmarkStart w:id="787" w:name="_Ref532301199"/>
      <w:bookmarkStart w:id="788" w:name="_Ref532300804"/>
      <w:bookmarkStart w:id="789" w:name="_Toc54862264"/>
      <w:r>
        <w:rPr>
          <w:rFonts w:hint="eastAsia"/>
          <w:b w:val="0"/>
          <w:bCs/>
          <w:color w:val="auto"/>
          <w:highlight w:val="none"/>
        </w:rPr>
        <w:t>1</w:t>
      </w:r>
      <w:r>
        <w:rPr>
          <w:b w:val="0"/>
          <w:bCs/>
          <w:color w:val="auto"/>
          <w:highlight w:val="none"/>
        </w:rPr>
        <w:t xml:space="preserve">0.1 </w:t>
      </w:r>
      <w:r>
        <w:rPr>
          <w:rFonts w:hint="eastAsia"/>
          <w:b w:val="0"/>
          <w:bCs/>
          <w:color w:val="auto"/>
          <w:highlight w:val="none"/>
        </w:rPr>
        <w:t>竣工验收</w:t>
      </w:r>
      <w:bookmarkEnd w:id="783"/>
      <w:bookmarkEnd w:id="784"/>
      <w:bookmarkEnd w:id="785"/>
      <w:bookmarkEnd w:id="786"/>
      <w:bookmarkEnd w:id="787"/>
      <w:bookmarkEnd w:id="788"/>
      <w:bookmarkEnd w:id="789"/>
    </w:p>
    <w:p>
      <w:pPr>
        <w:pStyle w:val="55"/>
        <w:numPr>
          <w:ilvl w:val="0"/>
          <w:numId w:val="0"/>
        </w:numPr>
        <w:rPr>
          <w:rFonts w:ascii="仿宋_GB2312" w:eastAsia="仿宋_GB2312"/>
          <w:color w:val="auto"/>
          <w:szCs w:val="24"/>
          <w:highlight w:val="none"/>
        </w:rPr>
      </w:pPr>
      <w:bookmarkStart w:id="790" w:name="_Ref532628356"/>
      <w:r>
        <w:rPr>
          <w:rFonts w:hint="eastAsia" w:ascii="仿宋_GB2312" w:eastAsia="仿宋_GB2312"/>
          <w:color w:val="auto"/>
          <w:szCs w:val="24"/>
          <w:highlight w:val="none"/>
        </w:rPr>
        <w:t>1</w:t>
      </w:r>
      <w:r>
        <w:rPr>
          <w:rFonts w:ascii="仿宋_GB2312" w:eastAsia="仿宋_GB2312"/>
          <w:color w:val="auto"/>
          <w:szCs w:val="24"/>
          <w:highlight w:val="none"/>
        </w:rPr>
        <w:t xml:space="preserve">0.1.1 </w:t>
      </w:r>
      <w:r>
        <w:rPr>
          <w:rFonts w:hint="eastAsia" w:ascii="仿宋_GB2312" w:eastAsia="仿宋_GB2312"/>
          <w:color w:val="auto"/>
          <w:szCs w:val="24"/>
          <w:highlight w:val="none"/>
        </w:rPr>
        <w:t>竣工验收条件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工程具备以下条件的，承包人可以申请竣工验收：</w:t>
      </w:r>
    </w:p>
    <w:p>
      <w:pPr>
        <w:ind w:firstLine="600"/>
        <w:rPr>
          <w:rFonts w:ascii="仿宋_GB2312" w:eastAsia="仿宋_GB2312"/>
          <w:color w:val="auto"/>
          <w:sz w:val="24"/>
          <w:highlight w:val="none"/>
        </w:rPr>
      </w:pPr>
      <w:r>
        <w:rPr>
          <w:rFonts w:hint="eastAsia" w:ascii="仿宋_GB2312" w:eastAsia="仿宋_GB2312"/>
          <w:color w:val="auto"/>
          <w:sz w:val="24"/>
          <w:highlight w:val="none"/>
        </w:rPr>
        <w:t>（1） 除因第</w:t>
      </w:r>
      <w:r>
        <w:rPr>
          <w:rFonts w:ascii="仿宋_GB2312" w:eastAsia="仿宋_GB2312"/>
          <w:color w:val="auto"/>
          <w:sz w:val="24"/>
          <w:highlight w:val="none"/>
        </w:rPr>
        <w:t>13条</w:t>
      </w:r>
      <w:r>
        <w:rPr>
          <w:rFonts w:hint="eastAsia" w:ascii="仿宋_GB2312" w:eastAsia="仿宋_GB2312"/>
          <w:color w:val="auto"/>
          <w:sz w:val="24"/>
          <w:highlight w:val="none"/>
        </w:rPr>
        <w:t>[变更与调整]导致的工程量删减和第</w:t>
      </w:r>
      <w:r>
        <w:rPr>
          <w:rFonts w:ascii="仿宋_GB2312" w:eastAsia="仿宋_GB2312"/>
          <w:color w:val="auto"/>
          <w:sz w:val="24"/>
          <w:highlight w:val="none"/>
        </w:rPr>
        <w:t>14.5.3</w:t>
      </w:r>
      <w:r>
        <w:rPr>
          <w:rFonts w:hint="eastAsia" w:ascii="仿宋_GB2312" w:eastAsia="仿宋_GB2312"/>
          <w:color w:val="auto"/>
          <w:sz w:val="24"/>
          <w:highlight w:val="none"/>
        </w:rPr>
        <w:t>项[扫尾工作清单]列入缺陷责任期内完成的扫尾工程和缺陷修补工作外，合同范围内的全部单位/区段工程以及有关工作，包括合同要求的试验和竣工试验均已完成，并符合合同要求；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（2） 已按合同约定编制了扫尾工作和缺陷修补工作清单以及相应实施计划；</w:t>
      </w:r>
    </w:p>
    <w:p>
      <w:pPr>
        <w:ind w:firstLine="600"/>
        <w:rPr>
          <w:rFonts w:ascii="仿宋_GB2312" w:eastAsia="仿宋_GB2312"/>
          <w:color w:val="auto"/>
          <w:sz w:val="24"/>
          <w:highlight w:val="none"/>
        </w:rPr>
      </w:pPr>
      <w:r>
        <w:rPr>
          <w:rFonts w:hint="eastAsia" w:ascii="仿宋_GB2312" w:eastAsia="仿宋_GB2312"/>
          <w:color w:val="auto"/>
          <w:sz w:val="24"/>
          <w:highlight w:val="none"/>
        </w:rPr>
        <w:t>（3） 已按合同约定的内容和份数备齐竣工资料；</w:t>
      </w:r>
    </w:p>
    <w:p>
      <w:pPr>
        <w:ind w:firstLine="600"/>
        <w:rPr>
          <w:rFonts w:ascii="仿宋_GB2312" w:eastAsia="仿宋_GB2312"/>
          <w:color w:val="auto"/>
          <w:sz w:val="24"/>
          <w:highlight w:val="none"/>
        </w:rPr>
      </w:pPr>
      <w:r>
        <w:rPr>
          <w:rFonts w:hint="eastAsia" w:ascii="仿宋_GB2312" w:eastAsia="仿宋_GB2312"/>
          <w:color w:val="auto"/>
          <w:sz w:val="24"/>
          <w:highlight w:val="none"/>
        </w:rPr>
        <w:t>（4） 合同约定要求在竣工验收前应完成的其他工作。</w:t>
      </w:r>
    </w:p>
    <w:bookmarkEnd w:id="790"/>
    <w:p>
      <w:pPr>
        <w:pStyle w:val="55"/>
        <w:numPr>
          <w:ilvl w:val="0"/>
          <w:numId w:val="0"/>
        </w:numPr>
        <w:rPr>
          <w:rFonts w:ascii="仿宋_GB2312" w:eastAsia="仿宋_GB2312"/>
          <w:color w:val="auto"/>
          <w:szCs w:val="24"/>
          <w:highlight w:val="none"/>
        </w:rPr>
      </w:pPr>
      <w:bookmarkStart w:id="791" w:name="_Ref4429424"/>
      <w:bookmarkStart w:id="792" w:name="_Hlk51506601"/>
      <w:r>
        <w:rPr>
          <w:rFonts w:hint="eastAsia" w:ascii="仿宋_GB2312" w:eastAsia="仿宋_GB2312"/>
          <w:color w:val="auto"/>
          <w:szCs w:val="24"/>
          <w:highlight w:val="none"/>
        </w:rPr>
        <w:t>1</w:t>
      </w:r>
      <w:r>
        <w:rPr>
          <w:rFonts w:ascii="仿宋_GB2312" w:eastAsia="仿宋_GB2312"/>
          <w:color w:val="auto"/>
          <w:szCs w:val="24"/>
          <w:highlight w:val="none"/>
        </w:rPr>
        <w:t xml:space="preserve">0.1.2 </w:t>
      </w:r>
      <w:r>
        <w:rPr>
          <w:rFonts w:hint="eastAsia" w:ascii="仿宋_GB2312" w:eastAsia="仿宋_GB2312"/>
          <w:color w:val="auto"/>
          <w:szCs w:val="24"/>
          <w:highlight w:val="none"/>
        </w:rPr>
        <w:t>竣工验收程序</w:t>
      </w:r>
      <w:bookmarkEnd w:id="791"/>
    </w:p>
    <w:bookmarkEnd w:id="792"/>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除专用合同条件另有约定外，承包人申请竣工验收的，应当按照以下程序进行：</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承包人向工程师报送竣工验收申请报告，工程师应在收到竣工验收申请报告后14天内完成审查并报送发包人。工程师审查后认为尚不具备竣工验收条件的，应在收到竣工验收申请报告后的</w:t>
      </w:r>
      <w:r>
        <w:rPr>
          <w:rFonts w:ascii="仿宋_GB2312" w:eastAsia="仿宋_GB2312"/>
          <w:color w:val="auto"/>
          <w:sz w:val="24"/>
          <w:highlight w:val="none"/>
        </w:rPr>
        <w:t>14</w:t>
      </w:r>
      <w:r>
        <w:rPr>
          <w:rFonts w:hint="eastAsia" w:ascii="仿宋_GB2312" w:eastAsia="仿宋_GB2312"/>
          <w:color w:val="auto"/>
          <w:sz w:val="24"/>
          <w:highlight w:val="none"/>
        </w:rPr>
        <w:t>天内通知承包人，指出在颁发接收证书前承包人还需进行的工作内容。承包人完成工程师通知的全部工作内容后，应再次提交竣工验收申请报告，直至工程师同意为止。</w:t>
      </w:r>
    </w:p>
    <w:p>
      <w:pPr>
        <w:ind w:firstLine="600"/>
        <w:rPr>
          <w:rFonts w:ascii="仿宋_GB2312" w:eastAsia="仿宋_GB2312"/>
          <w:color w:val="auto"/>
          <w:sz w:val="24"/>
          <w:highlight w:val="none"/>
        </w:rPr>
      </w:pPr>
      <w:r>
        <w:rPr>
          <w:rFonts w:hint="eastAsia" w:ascii="仿宋_GB2312" w:eastAsia="仿宋_GB2312"/>
          <w:color w:val="auto"/>
          <w:sz w:val="24"/>
          <w:highlight w:val="none"/>
        </w:rPr>
        <w:t>（2） 工程师同意承包人提交的竣工验收申请报告的，或工程师收到竣工验收申请报告后</w:t>
      </w:r>
      <w:r>
        <w:rPr>
          <w:rFonts w:ascii="仿宋_GB2312" w:eastAsia="仿宋_GB2312"/>
          <w:color w:val="auto"/>
          <w:sz w:val="24"/>
          <w:highlight w:val="none"/>
        </w:rPr>
        <w:t>14</w:t>
      </w:r>
      <w:r>
        <w:rPr>
          <w:rFonts w:hint="eastAsia" w:ascii="仿宋_GB2312" w:eastAsia="仿宋_GB2312"/>
          <w:color w:val="auto"/>
          <w:sz w:val="24"/>
          <w:highlight w:val="none"/>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ind w:firstLine="600"/>
        <w:rPr>
          <w:rFonts w:ascii="仿宋_GB2312" w:eastAsia="仿宋_GB2312"/>
          <w:color w:val="auto"/>
          <w:sz w:val="24"/>
          <w:highlight w:val="none"/>
        </w:rPr>
      </w:pPr>
      <w:r>
        <w:rPr>
          <w:rFonts w:hint="eastAsia" w:ascii="仿宋_GB2312" w:eastAsia="仿宋_GB2312"/>
          <w:color w:val="auto"/>
          <w:sz w:val="24"/>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600"/>
        <w:rPr>
          <w:rFonts w:ascii="仿宋_GB2312" w:eastAsia="仿宋_GB2312"/>
          <w:color w:val="auto"/>
          <w:sz w:val="24"/>
          <w:highlight w:val="none"/>
        </w:rPr>
      </w:pPr>
      <w:bookmarkStart w:id="793" w:name="_Hlk51506640"/>
      <w:r>
        <w:rPr>
          <w:rFonts w:hint="eastAsia" w:ascii="仿宋_GB2312" w:eastAsia="仿宋_GB2312"/>
          <w:color w:val="auto"/>
          <w:sz w:val="24"/>
          <w:highlight w:val="none"/>
        </w:rPr>
        <w:t>（4） 因发包人原因，未在工程师收到承包人竣工验收申请报告之日起</w:t>
      </w:r>
      <w:r>
        <w:rPr>
          <w:rFonts w:ascii="仿宋_GB2312" w:eastAsia="仿宋_GB2312"/>
          <w:color w:val="auto"/>
          <w:sz w:val="24"/>
          <w:highlight w:val="none"/>
        </w:rPr>
        <w:t>42</w:t>
      </w:r>
      <w:r>
        <w:rPr>
          <w:rFonts w:hint="eastAsia" w:ascii="仿宋_GB2312" w:eastAsia="仿宋_GB2312"/>
          <w:color w:val="auto"/>
          <w:sz w:val="24"/>
          <w:highlight w:val="none"/>
        </w:rPr>
        <w:t>天内完成竣工验收的，以承包人提交竣工验收申请报告之日</w:t>
      </w:r>
      <w:r>
        <w:rPr>
          <w:rFonts w:ascii="仿宋_GB2312" w:eastAsia="仿宋_GB2312"/>
          <w:color w:val="auto"/>
          <w:sz w:val="24"/>
          <w:highlight w:val="none"/>
        </w:rPr>
        <w:t>作为工程实际竣工日期</w:t>
      </w:r>
      <w:r>
        <w:rPr>
          <w:rFonts w:hint="eastAsia" w:ascii="仿宋_GB2312" w:eastAsia="仿宋_GB2312"/>
          <w:color w:val="auto"/>
          <w:sz w:val="24"/>
          <w:highlight w:val="none"/>
        </w:rPr>
        <w:t>。</w:t>
      </w:r>
    </w:p>
    <w:bookmarkEnd w:id="793"/>
    <w:p>
      <w:pPr>
        <w:ind w:firstLine="600"/>
        <w:rPr>
          <w:rFonts w:ascii="仿宋_GB2312" w:eastAsia="仿宋_GB2312"/>
          <w:color w:val="auto"/>
          <w:sz w:val="24"/>
          <w:highlight w:val="none"/>
        </w:rPr>
      </w:pPr>
      <w:r>
        <w:rPr>
          <w:rFonts w:hint="eastAsia" w:ascii="仿宋_GB2312" w:eastAsia="仿宋_GB2312"/>
          <w:color w:val="auto"/>
          <w:sz w:val="24"/>
          <w:highlight w:val="none"/>
        </w:rPr>
        <w:t>（5） 工程未经竣工验收，发包人擅自使用的，以转移占有工程之日为实际竣工日期。</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除专用合同条件另有约定外，发包人不按照本项和第</w:t>
      </w:r>
      <w:r>
        <w:rPr>
          <w:rFonts w:ascii="仿宋_GB2312" w:eastAsia="仿宋_GB2312"/>
          <w:color w:val="auto"/>
          <w:sz w:val="24"/>
          <w:highlight w:val="none"/>
        </w:rPr>
        <w:t>10.4</w:t>
      </w:r>
      <w:r>
        <w:rPr>
          <w:rFonts w:hint="eastAsia" w:ascii="仿宋_GB2312" w:eastAsia="仿宋_GB2312"/>
          <w:color w:val="auto"/>
          <w:sz w:val="24"/>
          <w:highlight w:val="none"/>
        </w:rPr>
        <w:t>款</w:t>
      </w:r>
      <w:r>
        <w:rPr>
          <w:rFonts w:ascii="仿宋_GB2312" w:eastAsia="仿宋_GB2312"/>
          <w:color w:val="auto"/>
          <w:sz w:val="24"/>
          <w:highlight w:val="none"/>
        </w:rPr>
        <w:t>[接收证书]</w:t>
      </w:r>
      <w:r>
        <w:rPr>
          <w:rFonts w:hint="eastAsia" w:ascii="仿宋_GB2312" w:eastAsia="仿宋_GB2312"/>
          <w:color w:val="auto"/>
          <w:sz w:val="24"/>
          <w:highlight w:val="none"/>
        </w:rPr>
        <w:t>约定组织竣工验收、颁发工程接收证书的，每逾期一天，应以签约合同价为基数，按照贷款市场报价利率（LPR）支付违约金。</w:t>
      </w:r>
    </w:p>
    <w:p>
      <w:pPr>
        <w:pStyle w:val="54"/>
        <w:widowControl/>
        <w:numPr>
          <w:ilvl w:val="0"/>
          <w:numId w:val="0"/>
        </w:numPr>
        <w:rPr>
          <w:b w:val="0"/>
          <w:bCs/>
          <w:color w:val="auto"/>
          <w:highlight w:val="none"/>
        </w:rPr>
      </w:pPr>
      <w:bookmarkStart w:id="794" w:name="_Ref532301213"/>
      <w:bookmarkStart w:id="795" w:name="_Toc54862265"/>
      <w:bookmarkStart w:id="796" w:name="_Ref532301210"/>
      <w:r>
        <w:rPr>
          <w:rFonts w:hint="eastAsia"/>
          <w:b w:val="0"/>
          <w:bCs/>
          <w:color w:val="auto"/>
          <w:highlight w:val="none"/>
        </w:rPr>
        <w:t>1</w:t>
      </w:r>
      <w:r>
        <w:rPr>
          <w:b w:val="0"/>
          <w:bCs/>
          <w:color w:val="auto"/>
          <w:highlight w:val="none"/>
        </w:rPr>
        <w:t xml:space="preserve">0.2 </w:t>
      </w:r>
      <w:r>
        <w:rPr>
          <w:rFonts w:hint="eastAsia"/>
          <w:b w:val="0"/>
          <w:bCs/>
          <w:color w:val="auto"/>
          <w:highlight w:val="none"/>
        </w:rPr>
        <w:t>单位/区段工程的验收</w:t>
      </w:r>
      <w:bookmarkEnd w:id="794"/>
      <w:bookmarkEnd w:id="795"/>
      <w:bookmarkEnd w:id="796"/>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0.2.1 </w:t>
      </w:r>
      <w:r>
        <w:rPr>
          <w:rFonts w:hint="eastAsia" w:ascii="仿宋_GB2312" w:eastAsia="仿宋_GB2312"/>
          <w:color w:val="auto"/>
          <w:szCs w:val="24"/>
          <w:highlight w:val="none"/>
        </w:rPr>
        <w:t>发包人根据项目进度计划安排，在全部工程竣工前需要使用已经竣工的单位/区段工程时，或承包人提出经发包人同意时，可进行单位/区段工程验收。验收的程序可参照第</w:t>
      </w:r>
      <w:r>
        <w:rPr>
          <w:rFonts w:ascii="仿宋_GB2312" w:eastAsia="仿宋_GB2312"/>
          <w:color w:val="auto"/>
          <w:szCs w:val="24"/>
          <w:highlight w:val="none"/>
        </w:rPr>
        <w:t>10.1</w:t>
      </w:r>
      <w:r>
        <w:rPr>
          <w:rFonts w:hint="eastAsia" w:ascii="仿宋_GB2312" w:eastAsia="仿宋_GB2312"/>
          <w:color w:val="auto"/>
          <w:szCs w:val="24"/>
          <w:highlight w:val="none"/>
        </w:rPr>
        <w:t>款[竣工验收]的约定进行。验收合格后，由工程师向承包人出具经发包人签认的单位/区段工程验收证书。单位/区段工程的验收成果和结论作为全部工程竣工验收申请报告的附件。</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0.2.2 </w:t>
      </w:r>
      <w:r>
        <w:rPr>
          <w:rFonts w:hint="eastAsia" w:ascii="仿宋_GB2312" w:eastAsia="仿宋_GB2312"/>
          <w:color w:val="auto"/>
          <w:szCs w:val="24"/>
          <w:highlight w:val="none"/>
        </w:rPr>
        <w:t>发包人在全部工程竣工前，使用已接收的单位/区段工程导致承包人费用增加的，发包人应承担由此增加的费用和（或）工期延误，并支付承包人合理利润。</w:t>
      </w:r>
    </w:p>
    <w:p>
      <w:pPr>
        <w:pStyle w:val="54"/>
        <w:widowControl/>
        <w:numPr>
          <w:ilvl w:val="0"/>
          <w:numId w:val="0"/>
        </w:numPr>
        <w:rPr>
          <w:b w:val="0"/>
          <w:bCs/>
          <w:color w:val="auto"/>
          <w:highlight w:val="none"/>
        </w:rPr>
      </w:pPr>
      <w:bookmarkStart w:id="797" w:name="_Toc54862266"/>
      <w:bookmarkStart w:id="798" w:name="_Ref4429473"/>
      <w:bookmarkStart w:id="799" w:name="_Ref532688354"/>
      <w:bookmarkStart w:id="800" w:name="_Ref532688351"/>
      <w:r>
        <w:rPr>
          <w:rFonts w:hint="eastAsia"/>
          <w:b w:val="0"/>
          <w:bCs/>
          <w:color w:val="auto"/>
          <w:highlight w:val="none"/>
        </w:rPr>
        <w:t>1</w:t>
      </w:r>
      <w:r>
        <w:rPr>
          <w:b w:val="0"/>
          <w:bCs/>
          <w:color w:val="auto"/>
          <w:highlight w:val="none"/>
        </w:rPr>
        <w:t xml:space="preserve">0.3 </w:t>
      </w:r>
      <w:r>
        <w:rPr>
          <w:rFonts w:hint="eastAsia"/>
          <w:b w:val="0"/>
          <w:bCs/>
          <w:color w:val="auto"/>
          <w:highlight w:val="none"/>
        </w:rPr>
        <w:t>工程的接收</w:t>
      </w:r>
      <w:bookmarkEnd w:id="797"/>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0.3.1 </w:t>
      </w:r>
      <w:r>
        <w:rPr>
          <w:rFonts w:hint="eastAsia" w:ascii="仿宋_GB2312" w:eastAsia="仿宋_GB2312"/>
          <w:color w:val="auto"/>
          <w:szCs w:val="24"/>
          <w:highlight w:val="none"/>
        </w:rPr>
        <w:t>根据工程项目的具体情况和特点，可按工程或单位/区段工程进行接收，并在专用合同条件约定接收的先后顺序、时间安排和其他要求。</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0.3.2 </w:t>
      </w:r>
      <w:r>
        <w:rPr>
          <w:rFonts w:hint="eastAsia" w:ascii="仿宋_GB2312" w:eastAsia="仿宋_GB2312"/>
          <w:color w:val="auto"/>
          <w:szCs w:val="24"/>
          <w:highlight w:val="none"/>
        </w:rPr>
        <w:t>除按本条约定已经提交的资料外，接收工程时承包人需提交竣工验收资料的类别、内容、份数和提交时间，在专用合同条件中约定。</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0.3.3 </w:t>
      </w:r>
      <w:r>
        <w:rPr>
          <w:rFonts w:hint="eastAsia" w:ascii="仿宋_GB2312" w:eastAsia="仿宋_GB2312"/>
          <w:color w:val="auto"/>
          <w:szCs w:val="24"/>
          <w:highlight w:val="none"/>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0.3.4 </w:t>
      </w:r>
      <w:r>
        <w:rPr>
          <w:rFonts w:hint="eastAsia" w:ascii="仿宋_GB2312" w:eastAsia="仿宋_GB2312"/>
          <w:color w:val="auto"/>
          <w:szCs w:val="24"/>
          <w:highlight w:val="none"/>
        </w:rPr>
        <w:t>承包人无正当理由不移交工程的，承包人应承担工程照管、成品保护、保管等与工程有关的各项费用，合同当事人可以在专用合同条件中另行约定承包人无正当理由不移交工程的违约责任。</w:t>
      </w:r>
    </w:p>
    <w:p>
      <w:pPr>
        <w:pStyle w:val="54"/>
        <w:widowControl/>
        <w:numPr>
          <w:ilvl w:val="0"/>
          <w:numId w:val="0"/>
        </w:numPr>
        <w:rPr>
          <w:b w:val="0"/>
          <w:bCs/>
          <w:color w:val="auto"/>
          <w:highlight w:val="none"/>
        </w:rPr>
      </w:pPr>
      <w:bookmarkStart w:id="801" w:name="_Toc54862267"/>
      <w:r>
        <w:rPr>
          <w:rFonts w:hint="eastAsia"/>
          <w:b w:val="0"/>
          <w:bCs/>
          <w:color w:val="auto"/>
          <w:highlight w:val="none"/>
        </w:rPr>
        <w:t>1</w:t>
      </w:r>
      <w:r>
        <w:rPr>
          <w:b w:val="0"/>
          <w:bCs/>
          <w:color w:val="auto"/>
          <w:highlight w:val="none"/>
        </w:rPr>
        <w:t xml:space="preserve">0.4 </w:t>
      </w:r>
      <w:r>
        <w:rPr>
          <w:rFonts w:hint="eastAsia"/>
          <w:b w:val="0"/>
          <w:bCs/>
          <w:color w:val="auto"/>
          <w:highlight w:val="none"/>
        </w:rPr>
        <w:t>接收证书</w:t>
      </w:r>
      <w:bookmarkEnd w:id="798"/>
      <w:bookmarkEnd w:id="801"/>
    </w:p>
    <w:p>
      <w:pPr>
        <w:pStyle w:val="55"/>
        <w:numPr>
          <w:ilvl w:val="0"/>
          <w:numId w:val="0"/>
        </w:numPr>
        <w:rPr>
          <w:rFonts w:ascii="仿宋_GB2312" w:eastAsia="仿宋_GB2312"/>
          <w:color w:val="auto"/>
          <w:szCs w:val="24"/>
          <w:highlight w:val="none"/>
        </w:rPr>
      </w:pPr>
      <w:bookmarkStart w:id="802" w:name="_Ref4429542"/>
      <w:r>
        <w:rPr>
          <w:rFonts w:hint="eastAsia" w:ascii="仿宋_GB2312" w:eastAsia="仿宋_GB2312"/>
          <w:color w:val="auto"/>
          <w:szCs w:val="24"/>
          <w:highlight w:val="none"/>
        </w:rPr>
        <w:t>1</w:t>
      </w:r>
      <w:r>
        <w:rPr>
          <w:rFonts w:ascii="仿宋_GB2312" w:eastAsia="仿宋_GB2312"/>
          <w:color w:val="auto"/>
          <w:szCs w:val="24"/>
          <w:highlight w:val="none"/>
        </w:rPr>
        <w:t xml:space="preserve">0.4.1 </w:t>
      </w:r>
      <w:r>
        <w:rPr>
          <w:rFonts w:hint="eastAsia" w:ascii="仿宋_GB2312" w:eastAsia="仿宋_GB2312"/>
          <w:color w:val="auto"/>
          <w:szCs w:val="24"/>
          <w:highlight w:val="none"/>
        </w:rPr>
        <w:t>除专用合同条件另有约定外，承包人应在竣工验收合格后向发包人提交第</w:t>
      </w:r>
      <w:r>
        <w:rPr>
          <w:rFonts w:ascii="仿宋_GB2312" w:eastAsia="仿宋_GB2312"/>
          <w:color w:val="auto"/>
          <w:szCs w:val="24"/>
          <w:highlight w:val="none"/>
        </w:rPr>
        <w:t>14.6</w:t>
      </w:r>
      <w:r>
        <w:rPr>
          <w:rFonts w:hint="eastAsia" w:ascii="仿宋_GB2312" w:eastAsia="仿宋_GB2312"/>
          <w:color w:val="auto"/>
          <w:szCs w:val="24"/>
          <w:highlight w:val="none"/>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802"/>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0.4.2 </w:t>
      </w:r>
      <w:r>
        <w:rPr>
          <w:rFonts w:hint="eastAsia" w:ascii="仿宋_GB2312" w:eastAsia="仿宋_GB2312"/>
          <w:color w:val="auto"/>
          <w:szCs w:val="24"/>
          <w:highlight w:val="none"/>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0.4.3 </w:t>
      </w:r>
      <w:r>
        <w:rPr>
          <w:rFonts w:hint="eastAsia" w:ascii="仿宋_GB2312" w:eastAsia="仿宋_GB2312"/>
          <w:color w:val="auto"/>
          <w:szCs w:val="24"/>
          <w:highlight w:val="none"/>
        </w:rPr>
        <w:t>竣工验收合格而发包人无正当理由逾期不颁发工程接收证书的，自验收合格后第15天起视为已颁发工程接收证书。</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0.4.4 </w:t>
      </w:r>
      <w:r>
        <w:rPr>
          <w:rFonts w:hint="eastAsia" w:ascii="仿宋_GB2312" w:eastAsia="仿宋_GB2312"/>
          <w:color w:val="auto"/>
          <w:szCs w:val="24"/>
          <w:highlight w:val="none"/>
        </w:rPr>
        <w:t>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0.4.5 </w:t>
      </w:r>
      <w:r>
        <w:rPr>
          <w:rFonts w:hint="eastAsia" w:ascii="仿宋_GB2312" w:eastAsia="仿宋_GB2312"/>
          <w:color w:val="auto"/>
          <w:szCs w:val="24"/>
          <w:highlight w:val="none"/>
        </w:rPr>
        <w:t>存在扫尾工作的，工程接收证书中应当将第</w:t>
      </w:r>
      <w:r>
        <w:rPr>
          <w:rFonts w:ascii="仿宋_GB2312" w:eastAsia="仿宋_GB2312"/>
          <w:color w:val="auto"/>
          <w:szCs w:val="24"/>
          <w:highlight w:val="none"/>
        </w:rPr>
        <w:t>14.5.3</w:t>
      </w:r>
      <w:r>
        <w:rPr>
          <w:rFonts w:hint="eastAsia" w:ascii="仿宋_GB2312" w:eastAsia="仿宋_GB2312"/>
          <w:color w:val="auto"/>
          <w:szCs w:val="24"/>
          <w:highlight w:val="none"/>
        </w:rPr>
        <w:t>项[扫尾工作清单]中约定的扫尾工作清单作为工程接收证书附件。</w:t>
      </w:r>
    </w:p>
    <w:bookmarkEnd w:id="799"/>
    <w:bookmarkEnd w:id="800"/>
    <w:p>
      <w:pPr>
        <w:pStyle w:val="54"/>
        <w:widowControl/>
        <w:numPr>
          <w:ilvl w:val="0"/>
          <w:numId w:val="0"/>
        </w:numPr>
        <w:rPr>
          <w:b w:val="0"/>
          <w:bCs/>
          <w:color w:val="auto"/>
          <w:highlight w:val="none"/>
        </w:rPr>
      </w:pPr>
      <w:bookmarkStart w:id="803" w:name="_Toc54862268"/>
      <w:bookmarkStart w:id="804" w:name="_Ref4429932"/>
      <w:bookmarkStart w:id="805" w:name="_Ref4429935"/>
      <w:r>
        <w:rPr>
          <w:rFonts w:hint="eastAsia"/>
          <w:b w:val="0"/>
          <w:bCs/>
          <w:color w:val="auto"/>
          <w:highlight w:val="none"/>
        </w:rPr>
        <w:t>1</w:t>
      </w:r>
      <w:r>
        <w:rPr>
          <w:b w:val="0"/>
          <w:bCs/>
          <w:color w:val="auto"/>
          <w:highlight w:val="none"/>
        </w:rPr>
        <w:t xml:space="preserve">0.5 </w:t>
      </w:r>
      <w:r>
        <w:rPr>
          <w:rFonts w:hint="eastAsia"/>
          <w:b w:val="0"/>
          <w:bCs/>
          <w:color w:val="auto"/>
          <w:highlight w:val="none"/>
        </w:rPr>
        <w:t>竣工退场</w:t>
      </w:r>
      <w:bookmarkEnd w:id="803"/>
      <w:bookmarkEnd w:id="804"/>
      <w:bookmarkEnd w:id="805"/>
    </w:p>
    <w:p>
      <w:pPr>
        <w:pStyle w:val="55"/>
        <w:numPr>
          <w:ilvl w:val="0"/>
          <w:numId w:val="0"/>
        </w:numPr>
        <w:rPr>
          <w:rFonts w:ascii="仿宋_GB2312" w:eastAsia="仿宋_GB2312"/>
          <w:color w:val="auto"/>
          <w:szCs w:val="24"/>
          <w:highlight w:val="none"/>
        </w:rPr>
      </w:pPr>
      <w:bookmarkStart w:id="806" w:name="_Ref4429943"/>
      <w:r>
        <w:rPr>
          <w:rFonts w:hint="eastAsia" w:ascii="仿宋_GB2312" w:eastAsia="仿宋_GB2312"/>
          <w:color w:val="auto"/>
          <w:szCs w:val="24"/>
          <w:highlight w:val="none"/>
        </w:rPr>
        <w:t>1</w:t>
      </w:r>
      <w:r>
        <w:rPr>
          <w:rFonts w:ascii="仿宋_GB2312" w:eastAsia="仿宋_GB2312"/>
          <w:color w:val="auto"/>
          <w:szCs w:val="24"/>
          <w:highlight w:val="none"/>
        </w:rPr>
        <w:t xml:space="preserve">0.5.1 </w:t>
      </w:r>
      <w:r>
        <w:rPr>
          <w:rFonts w:hint="eastAsia" w:ascii="仿宋_GB2312" w:eastAsia="仿宋_GB2312"/>
          <w:color w:val="auto"/>
          <w:szCs w:val="24"/>
          <w:highlight w:val="none"/>
        </w:rPr>
        <w:t>竣工退场</w:t>
      </w:r>
      <w:bookmarkEnd w:id="806"/>
    </w:p>
    <w:p>
      <w:pPr>
        <w:ind w:firstLine="600"/>
        <w:rPr>
          <w:rFonts w:ascii="仿宋_GB2312" w:eastAsia="仿宋_GB2312"/>
          <w:color w:val="auto"/>
          <w:sz w:val="24"/>
          <w:highlight w:val="none"/>
        </w:rPr>
      </w:pPr>
      <w:r>
        <w:rPr>
          <w:rFonts w:hint="eastAsia" w:ascii="仿宋_GB2312" w:eastAsia="仿宋_GB2312"/>
          <w:color w:val="auto"/>
          <w:sz w:val="24"/>
          <w:highlight w:val="none"/>
        </w:rPr>
        <w:t>颁发工程接收证书后，承包人应对施工现场进行清理，并撤离相关人员，使得施工现场处于以下状态，直至工程师检验合格为止：</w:t>
      </w:r>
    </w:p>
    <w:p>
      <w:pPr>
        <w:ind w:firstLine="600"/>
        <w:rPr>
          <w:rFonts w:ascii="仿宋_GB2312" w:eastAsia="仿宋_GB2312"/>
          <w:color w:val="auto"/>
          <w:sz w:val="24"/>
          <w:highlight w:val="none"/>
        </w:rPr>
      </w:pPr>
      <w:r>
        <w:rPr>
          <w:rFonts w:hint="eastAsia" w:ascii="仿宋_GB2312" w:eastAsia="仿宋_GB2312"/>
          <w:color w:val="auto"/>
          <w:sz w:val="24"/>
          <w:highlight w:val="none"/>
        </w:rPr>
        <w:t>（1） 施工现场内残留的垃圾已全部清除出场；</w:t>
      </w:r>
    </w:p>
    <w:p>
      <w:pPr>
        <w:ind w:firstLine="600"/>
        <w:rPr>
          <w:rFonts w:ascii="仿宋_GB2312" w:eastAsia="仿宋_GB2312"/>
          <w:color w:val="auto"/>
          <w:sz w:val="24"/>
          <w:highlight w:val="none"/>
        </w:rPr>
      </w:pPr>
      <w:r>
        <w:rPr>
          <w:rFonts w:hint="eastAsia" w:ascii="仿宋_GB2312" w:eastAsia="仿宋_GB2312"/>
          <w:color w:val="auto"/>
          <w:sz w:val="24"/>
          <w:highlight w:val="none"/>
        </w:rPr>
        <w:t>（2） 临时工程已拆除，场地已按合同约定进行清理、平整或复原；</w:t>
      </w:r>
    </w:p>
    <w:p>
      <w:pPr>
        <w:ind w:firstLine="600"/>
        <w:rPr>
          <w:rFonts w:ascii="仿宋_GB2312" w:eastAsia="仿宋_GB2312"/>
          <w:color w:val="auto"/>
          <w:sz w:val="24"/>
          <w:highlight w:val="none"/>
        </w:rPr>
      </w:pPr>
      <w:r>
        <w:rPr>
          <w:rFonts w:hint="eastAsia" w:ascii="仿宋_GB2312" w:eastAsia="仿宋_GB2312"/>
          <w:color w:val="auto"/>
          <w:sz w:val="24"/>
          <w:highlight w:val="none"/>
        </w:rPr>
        <w:t>（3） 按合同约定应撤离的人员、承包人提供的施工设备和剩余的材料，包括废弃的施工设备和材料，已按计划撤离施工现场；</w:t>
      </w:r>
    </w:p>
    <w:p>
      <w:pPr>
        <w:ind w:firstLine="600"/>
        <w:rPr>
          <w:rFonts w:ascii="仿宋_GB2312" w:eastAsia="仿宋_GB2312"/>
          <w:color w:val="auto"/>
          <w:sz w:val="24"/>
          <w:highlight w:val="none"/>
        </w:rPr>
      </w:pPr>
      <w:r>
        <w:rPr>
          <w:rFonts w:hint="eastAsia" w:ascii="仿宋_GB2312" w:eastAsia="仿宋_GB2312"/>
          <w:color w:val="auto"/>
          <w:sz w:val="24"/>
          <w:highlight w:val="none"/>
        </w:rPr>
        <w:t>（4） 施工现场周边及其附近道路、河道的施工堆积物，已全部清理；</w:t>
      </w:r>
    </w:p>
    <w:p>
      <w:pPr>
        <w:ind w:firstLine="600"/>
        <w:rPr>
          <w:rFonts w:ascii="仿宋_GB2312" w:eastAsia="仿宋_GB2312"/>
          <w:color w:val="auto"/>
          <w:sz w:val="24"/>
          <w:highlight w:val="none"/>
        </w:rPr>
      </w:pPr>
      <w:r>
        <w:rPr>
          <w:rFonts w:hint="eastAsia" w:ascii="仿宋_GB2312" w:eastAsia="仿宋_GB2312"/>
          <w:color w:val="auto"/>
          <w:sz w:val="24"/>
          <w:highlight w:val="none"/>
        </w:rPr>
        <w:t>（5） 施工现场其他竣工退场工作已全部完成。</w:t>
      </w:r>
    </w:p>
    <w:p>
      <w:pPr>
        <w:ind w:firstLine="600"/>
        <w:rPr>
          <w:rFonts w:ascii="仿宋_GB2312" w:eastAsia="仿宋_GB2312"/>
          <w:color w:val="auto"/>
          <w:sz w:val="24"/>
          <w:highlight w:val="none"/>
        </w:rPr>
      </w:pPr>
      <w:r>
        <w:rPr>
          <w:rFonts w:hint="eastAsia" w:ascii="仿宋_GB2312" w:eastAsia="仿宋_GB2312"/>
          <w:color w:val="auto"/>
          <w:sz w:val="24"/>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0.5.2 </w:t>
      </w:r>
      <w:r>
        <w:rPr>
          <w:rFonts w:hint="eastAsia" w:ascii="仿宋_GB2312" w:eastAsia="仿宋_GB2312"/>
          <w:color w:val="auto"/>
          <w:szCs w:val="24"/>
          <w:highlight w:val="none"/>
        </w:rPr>
        <w:t>地表还原</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承包人应按合同约定和工程师的要求恢复临时占地及清理场地，否则发包人有权委托其他人恢复或清理，所发生的费用由承包人承担。</w:t>
      </w:r>
    </w:p>
    <w:p>
      <w:pPr>
        <w:pStyle w:val="55"/>
        <w:numPr>
          <w:ilvl w:val="0"/>
          <w:numId w:val="0"/>
        </w:numPr>
        <w:rPr>
          <w:rFonts w:ascii="仿宋_GB2312" w:eastAsia="仿宋_GB2312"/>
          <w:color w:val="auto"/>
          <w:szCs w:val="24"/>
          <w:highlight w:val="none"/>
        </w:rPr>
      </w:pPr>
      <w:bookmarkStart w:id="807" w:name="_Ref20159437"/>
      <w:r>
        <w:rPr>
          <w:rFonts w:hint="eastAsia" w:ascii="仿宋_GB2312" w:eastAsia="仿宋_GB2312"/>
          <w:color w:val="auto"/>
          <w:szCs w:val="24"/>
          <w:highlight w:val="none"/>
        </w:rPr>
        <w:t>1</w:t>
      </w:r>
      <w:r>
        <w:rPr>
          <w:rFonts w:ascii="仿宋_GB2312" w:eastAsia="仿宋_GB2312"/>
          <w:color w:val="auto"/>
          <w:szCs w:val="24"/>
          <w:highlight w:val="none"/>
        </w:rPr>
        <w:t xml:space="preserve">0.5.3 </w:t>
      </w:r>
      <w:r>
        <w:rPr>
          <w:rFonts w:hint="eastAsia" w:ascii="仿宋_GB2312" w:eastAsia="仿宋_GB2312"/>
          <w:color w:val="auto"/>
          <w:szCs w:val="24"/>
          <w:highlight w:val="none"/>
        </w:rPr>
        <w:t>人员撤离</w:t>
      </w:r>
      <w:bookmarkEnd w:id="807"/>
    </w:p>
    <w:p>
      <w:pPr>
        <w:ind w:firstLine="600"/>
        <w:rPr>
          <w:rFonts w:ascii="仿宋_GB2312" w:eastAsia="仿宋_GB2312"/>
          <w:color w:val="auto"/>
          <w:sz w:val="24"/>
          <w:highlight w:val="none"/>
        </w:rPr>
      </w:pPr>
      <w:r>
        <w:rPr>
          <w:rFonts w:hint="eastAsia" w:ascii="仿宋_GB2312" w:eastAsia="仿宋_GB2312"/>
          <w:color w:val="auto"/>
          <w:sz w:val="24"/>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691"/>
    </w:p>
    <w:p>
      <w:pPr>
        <w:pStyle w:val="42"/>
        <w:numPr>
          <w:ilvl w:val="0"/>
          <w:numId w:val="0"/>
        </w:numPr>
        <w:wordWrap/>
        <w:topLinePunct w:val="0"/>
        <w:rPr>
          <w:b w:val="0"/>
          <w:bCs/>
          <w:color w:val="auto"/>
          <w:sz w:val="24"/>
          <w:szCs w:val="24"/>
          <w:highlight w:val="none"/>
        </w:rPr>
      </w:pPr>
      <w:bookmarkStart w:id="808" w:name="_Ref4796906"/>
      <w:bookmarkStart w:id="809" w:name="_Toc54862269"/>
      <w:bookmarkStart w:id="810" w:name="_Ref531955009"/>
      <w:bookmarkStart w:id="811" w:name="_Ref4796909"/>
      <w:r>
        <w:rPr>
          <w:rFonts w:hint="eastAsia"/>
          <w:b w:val="0"/>
          <w:bCs/>
          <w:color w:val="auto"/>
          <w:sz w:val="24"/>
          <w:szCs w:val="24"/>
          <w:highlight w:val="none"/>
        </w:rPr>
        <w:t>第1</w:t>
      </w:r>
      <w:r>
        <w:rPr>
          <w:b w:val="0"/>
          <w:bCs/>
          <w:color w:val="auto"/>
          <w:sz w:val="24"/>
          <w:szCs w:val="24"/>
          <w:highlight w:val="none"/>
        </w:rPr>
        <w:t>1</w:t>
      </w:r>
      <w:r>
        <w:rPr>
          <w:rFonts w:hint="eastAsia"/>
          <w:b w:val="0"/>
          <w:bCs/>
          <w:color w:val="auto"/>
          <w:sz w:val="24"/>
          <w:szCs w:val="24"/>
          <w:highlight w:val="none"/>
        </w:rPr>
        <w:t>条 缺陷责任与保修</w:t>
      </w:r>
      <w:bookmarkEnd w:id="808"/>
      <w:bookmarkEnd w:id="809"/>
      <w:bookmarkEnd w:id="810"/>
      <w:bookmarkEnd w:id="811"/>
      <w:r>
        <w:rPr>
          <w:rFonts w:hint="eastAsia"/>
          <w:b w:val="0"/>
          <w:bCs/>
          <w:color w:val="auto"/>
          <w:sz w:val="24"/>
          <w:szCs w:val="24"/>
          <w:highlight w:val="none"/>
        </w:rPr>
        <w:t xml:space="preserve"> </w:t>
      </w:r>
    </w:p>
    <w:p>
      <w:pPr>
        <w:pStyle w:val="54"/>
        <w:widowControl/>
        <w:numPr>
          <w:ilvl w:val="0"/>
          <w:numId w:val="0"/>
        </w:numPr>
        <w:rPr>
          <w:b w:val="0"/>
          <w:bCs/>
          <w:color w:val="auto"/>
          <w:highlight w:val="none"/>
        </w:rPr>
      </w:pPr>
      <w:bookmarkStart w:id="812" w:name="_Toc54862270"/>
      <w:bookmarkStart w:id="813" w:name="_Ref531955245"/>
      <w:bookmarkStart w:id="814" w:name="_Ref531955248"/>
      <w:bookmarkStart w:id="815" w:name="_Ref532362928"/>
      <w:bookmarkStart w:id="816" w:name="_Toc337558841"/>
      <w:bookmarkStart w:id="817" w:name="_Toc296346648"/>
      <w:bookmarkStart w:id="818" w:name="_Toc296503147"/>
      <w:r>
        <w:rPr>
          <w:rFonts w:hint="eastAsia"/>
          <w:b w:val="0"/>
          <w:bCs/>
          <w:color w:val="auto"/>
          <w:highlight w:val="none"/>
        </w:rPr>
        <w:t>1</w:t>
      </w:r>
      <w:r>
        <w:rPr>
          <w:b w:val="0"/>
          <w:bCs/>
          <w:color w:val="auto"/>
          <w:highlight w:val="none"/>
        </w:rPr>
        <w:t xml:space="preserve">1.1 </w:t>
      </w:r>
      <w:r>
        <w:rPr>
          <w:rFonts w:hint="eastAsia"/>
          <w:b w:val="0"/>
          <w:bCs/>
          <w:color w:val="auto"/>
          <w:highlight w:val="none"/>
        </w:rPr>
        <w:t>工程保修的原则</w:t>
      </w:r>
      <w:bookmarkEnd w:id="812"/>
    </w:p>
    <w:p>
      <w:pPr>
        <w:ind w:firstLine="600"/>
        <w:rPr>
          <w:rFonts w:ascii="仿宋_GB2312" w:eastAsia="仿宋_GB2312"/>
          <w:color w:val="auto"/>
          <w:sz w:val="24"/>
          <w:highlight w:val="none"/>
        </w:rPr>
      </w:pPr>
      <w:r>
        <w:rPr>
          <w:rFonts w:hint="eastAsia" w:ascii="仿宋_GB2312" w:eastAsia="仿宋_GB2312"/>
          <w:color w:val="auto"/>
          <w:sz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54"/>
        <w:widowControl/>
        <w:numPr>
          <w:ilvl w:val="0"/>
          <w:numId w:val="0"/>
        </w:numPr>
        <w:rPr>
          <w:b w:val="0"/>
          <w:bCs/>
          <w:color w:val="auto"/>
          <w:highlight w:val="none"/>
        </w:rPr>
      </w:pPr>
      <w:bookmarkStart w:id="819" w:name="_Ref4430062"/>
      <w:bookmarkStart w:id="820" w:name="_Toc54862271"/>
      <w:r>
        <w:rPr>
          <w:rFonts w:hint="eastAsia"/>
          <w:b w:val="0"/>
          <w:bCs/>
          <w:color w:val="auto"/>
          <w:highlight w:val="none"/>
        </w:rPr>
        <w:t>1</w:t>
      </w:r>
      <w:r>
        <w:rPr>
          <w:b w:val="0"/>
          <w:bCs/>
          <w:color w:val="auto"/>
          <w:highlight w:val="none"/>
        </w:rPr>
        <w:t xml:space="preserve">1.2 </w:t>
      </w:r>
      <w:r>
        <w:rPr>
          <w:rFonts w:hint="eastAsia"/>
          <w:b w:val="0"/>
          <w:bCs/>
          <w:color w:val="auto"/>
          <w:highlight w:val="none"/>
        </w:rPr>
        <w:t>缺陷责任</w:t>
      </w:r>
      <w:bookmarkEnd w:id="813"/>
      <w:bookmarkEnd w:id="814"/>
      <w:r>
        <w:rPr>
          <w:rFonts w:hint="eastAsia"/>
          <w:b w:val="0"/>
          <w:bCs/>
          <w:color w:val="auto"/>
          <w:highlight w:val="none"/>
        </w:rPr>
        <w:t>期</w:t>
      </w:r>
      <w:bookmarkEnd w:id="815"/>
      <w:bookmarkEnd w:id="819"/>
      <w:bookmarkEnd w:id="820"/>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缺陷责任期原则上从工程竣工验收合格之日起计算，合同当事人应在专用合同条件约定缺陷责任期的具体期限，但该期限最长不超过24个月。</w:t>
      </w:r>
    </w:p>
    <w:p>
      <w:pPr>
        <w:ind w:firstLine="600"/>
        <w:rPr>
          <w:rFonts w:ascii="仿宋_GB2312" w:eastAsia="仿宋_GB2312"/>
          <w:color w:val="auto"/>
          <w:sz w:val="24"/>
          <w:highlight w:val="none"/>
        </w:rPr>
      </w:pPr>
      <w:r>
        <w:rPr>
          <w:rFonts w:hint="eastAsia" w:ascii="仿宋_GB2312" w:eastAsia="仿宋_GB2312"/>
          <w:color w:val="auto"/>
          <w:sz w:val="24"/>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ind w:firstLine="600"/>
        <w:rPr>
          <w:rFonts w:ascii="仿宋_GB2312" w:eastAsia="仿宋_GB2312"/>
          <w:color w:val="auto"/>
          <w:sz w:val="24"/>
          <w:highlight w:val="none"/>
        </w:rPr>
      </w:pPr>
      <w:r>
        <w:rPr>
          <w:rFonts w:hint="eastAsia" w:ascii="仿宋_GB2312" w:eastAsia="仿宋_GB2312"/>
          <w:color w:val="auto"/>
          <w:sz w:val="24"/>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54"/>
        <w:widowControl/>
        <w:numPr>
          <w:ilvl w:val="0"/>
          <w:numId w:val="0"/>
        </w:numPr>
        <w:rPr>
          <w:b w:val="0"/>
          <w:bCs/>
          <w:color w:val="auto"/>
          <w:highlight w:val="none"/>
        </w:rPr>
      </w:pPr>
      <w:bookmarkStart w:id="821" w:name="_Ref532662486"/>
      <w:bookmarkStart w:id="822" w:name="_Ref532662491"/>
      <w:bookmarkStart w:id="823" w:name="_Toc54862272"/>
      <w:r>
        <w:rPr>
          <w:rFonts w:hint="eastAsia"/>
          <w:b w:val="0"/>
          <w:bCs/>
          <w:color w:val="auto"/>
          <w:highlight w:val="none"/>
        </w:rPr>
        <w:t>1</w:t>
      </w:r>
      <w:r>
        <w:rPr>
          <w:b w:val="0"/>
          <w:bCs/>
          <w:color w:val="auto"/>
          <w:highlight w:val="none"/>
        </w:rPr>
        <w:t xml:space="preserve">1.3 </w:t>
      </w:r>
      <w:r>
        <w:rPr>
          <w:rFonts w:hint="eastAsia"/>
          <w:b w:val="0"/>
          <w:bCs/>
          <w:color w:val="auto"/>
          <w:highlight w:val="none"/>
        </w:rPr>
        <w:t>缺陷调查</w:t>
      </w:r>
      <w:bookmarkEnd w:id="821"/>
      <w:bookmarkEnd w:id="822"/>
      <w:bookmarkEnd w:id="823"/>
    </w:p>
    <w:p>
      <w:pPr>
        <w:pStyle w:val="55"/>
        <w:numPr>
          <w:ilvl w:val="0"/>
          <w:numId w:val="0"/>
        </w:numPr>
        <w:rPr>
          <w:rFonts w:ascii="仿宋_GB2312" w:eastAsia="仿宋_GB2312"/>
          <w:b/>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1.3.1 </w:t>
      </w:r>
      <w:r>
        <w:rPr>
          <w:rFonts w:hint="eastAsia" w:ascii="仿宋_GB2312" w:eastAsia="仿宋_GB2312"/>
          <w:color w:val="auto"/>
          <w:szCs w:val="24"/>
          <w:highlight w:val="none"/>
        </w:rPr>
        <w:t>承包人缺陷调查</w:t>
      </w:r>
    </w:p>
    <w:p>
      <w:pPr>
        <w:ind w:firstLine="600"/>
        <w:rPr>
          <w:rFonts w:ascii="仿宋_GB2312" w:eastAsia="仿宋_GB2312"/>
          <w:color w:val="auto"/>
          <w:sz w:val="24"/>
          <w:highlight w:val="none"/>
        </w:rPr>
      </w:pPr>
      <w:r>
        <w:rPr>
          <w:rFonts w:hint="eastAsia" w:ascii="仿宋_GB2312" w:eastAsia="仿宋_GB2312"/>
          <w:color w:val="auto"/>
          <w:sz w:val="24"/>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ind w:firstLine="600"/>
        <w:rPr>
          <w:rFonts w:ascii="仿宋_GB2312" w:eastAsia="仿宋_GB2312"/>
          <w:color w:val="auto"/>
          <w:sz w:val="24"/>
          <w:highlight w:val="none"/>
        </w:rPr>
      </w:pPr>
      <w:r>
        <w:rPr>
          <w:rFonts w:hint="eastAsia" w:ascii="仿宋_GB2312" w:eastAsia="仿宋_GB2312"/>
          <w:color w:val="auto"/>
          <w:sz w:val="24"/>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1.3.2 </w:t>
      </w:r>
      <w:r>
        <w:rPr>
          <w:rFonts w:hint="eastAsia" w:ascii="仿宋_GB2312" w:eastAsia="仿宋_GB2312"/>
          <w:color w:val="auto"/>
          <w:szCs w:val="24"/>
          <w:highlight w:val="none"/>
        </w:rPr>
        <w:t>缺陷责任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1.3.3 </w:t>
      </w:r>
      <w:r>
        <w:rPr>
          <w:rFonts w:hint="eastAsia" w:ascii="仿宋_GB2312" w:eastAsia="仿宋_GB2312"/>
          <w:color w:val="auto"/>
          <w:szCs w:val="24"/>
          <w:highlight w:val="none"/>
        </w:rPr>
        <w:t>修复费用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发包人和承包人应共同查清缺陷或损坏的原因。经查明属承包人原因造成的，应由承包人承担修复的费用。经查验非承包人原因造成的，发包人应承担修复的费用，并支付承包人合理利润。</w:t>
      </w:r>
    </w:p>
    <w:p>
      <w:pPr>
        <w:pStyle w:val="55"/>
        <w:numPr>
          <w:ilvl w:val="0"/>
          <w:numId w:val="0"/>
        </w:numPr>
        <w:rPr>
          <w:rFonts w:ascii="仿宋_GB2312" w:eastAsia="仿宋_GB2312"/>
          <w:color w:val="auto"/>
          <w:szCs w:val="24"/>
          <w:highlight w:val="none"/>
        </w:rPr>
      </w:pPr>
      <w:bookmarkStart w:id="824" w:name="_Ref531955041"/>
      <w:r>
        <w:rPr>
          <w:rFonts w:hint="eastAsia" w:ascii="仿宋_GB2312" w:eastAsia="仿宋_GB2312"/>
          <w:color w:val="auto"/>
          <w:szCs w:val="24"/>
          <w:highlight w:val="none"/>
        </w:rPr>
        <w:t>1</w:t>
      </w:r>
      <w:r>
        <w:rPr>
          <w:rFonts w:ascii="仿宋_GB2312" w:eastAsia="仿宋_GB2312"/>
          <w:color w:val="auto"/>
          <w:szCs w:val="24"/>
          <w:highlight w:val="none"/>
        </w:rPr>
        <w:t xml:space="preserve">1.3.4 </w:t>
      </w:r>
      <w:r>
        <w:rPr>
          <w:rFonts w:hint="eastAsia" w:ascii="仿宋_GB2312" w:eastAsia="仿宋_GB2312"/>
          <w:color w:val="auto"/>
          <w:szCs w:val="24"/>
          <w:highlight w:val="none"/>
        </w:rPr>
        <w:t>修复通知</w:t>
      </w:r>
      <w:bookmarkEnd w:id="824"/>
    </w:p>
    <w:p>
      <w:pPr>
        <w:ind w:firstLine="600"/>
        <w:rPr>
          <w:rFonts w:ascii="仿宋_GB2312" w:eastAsia="仿宋_GB2312"/>
          <w:color w:val="auto"/>
          <w:sz w:val="24"/>
          <w:highlight w:val="none"/>
        </w:rPr>
      </w:pPr>
      <w:r>
        <w:rPr>
          <w:rFonts w:hint="eastAsia" w:ascii="仿宋_GB2312" w:eastAsia="仿宋_GB2312"/>
          <w:color w:val="auto"/>
          <w:sz w:val="24"/>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1.3.5 </w:t>
      </w:r>
      <w:r>
        <w:rPr>
          <w:rFonts w:hint="eastAsia" w:ascii="仿宋_GB2312" w:eastAsia="仿宋_GB2312"/>
          <w:color w:val="auto"/>
          <w:szCs w:val="24"/>
          <w:highlight w:val="none"/>
        </w:rPr>
        <w:t>在现场外修复</w:t>
      </w:r>
    </w:p>
    <w:p>
      <w:pPr>
        <w:ind w:firstLine="600"/>
        <w:rPr>
          <w:rFonts w:ascii="仿宋_GB2312" w:eastAsia="仿宋_GB2312"/>
          <w:color w:val="auto"/>
          <w:sz w:val="24"/>
          <w:highlight w:val="none"/>
        </w:rPr>
      </w:pPr>
      <w:r>
        <w:rPr>
          <w:rFonts w:hint="eastAsia" w:ascii="仿宋_GB2312" w:eastAsia="仿宋_GB2312"/>
          <w:color w:val="auto"/>
          <w:sz w:val="24"/>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55"/>
        <w:numPr>
          <w:ilvl w:val="0"/>
          <w:numId w:val="0"/>
        </w:numPr>
        <w:rPr>
          <w:rFonts w:ascii="仿宋_GB2312" w:eastAsia="仿宋_GB2312"/>
          <w:color w:val="auto"/>
          <w:szCs w:val="24"/>
          <w:highlight w:val="none"/>
        </w:rPr>
      </w:pPr>
      <w:bookmarkStart w:id="825" w:name="_Ref4534291"/>
      <w:bookmarkStart w:id="826" w:name="_Hlk51506786"/>
      <w:r>
        <w:rPr>
          <w:rFonts w:hint="eastAsia" w:ascii="仿宋_GB2312" w:eastAsia="仿宋_GB2312"/>
          <w:color w:val="auto"/>
          <w:szCs w:val="24"/>
          <w:highlight w:val="none"/>
        </w:rPr>
        <w:t>1</w:t>
      </w:r>
      <w:r>
        <w:rPr>
          <w:rFonts w:ascii="仿宋_GB2312" w:eastAsia="仿宋_GB2312"/>
          <w:color w:val="auto"/>
          <w:szCs w:val="24"/>
          <w:highlight w:val="none"/>
        </w:rPr>
        <w:t xml:space="preserve">1.3.6 </w:t>
      </w:r>
      <w:r>
        <w:rPr>
          <w:rFonts w:hint="eastAsia" w:ascii="仿宋_GB2312" w:eastAsia="仿宋_GB2312"/>
          <w:color w:val="auto"/>
          <w:szCs w:val="24"/>
          <w:highlight w:val="none"/>
        </w:rPr>
        <w:t>未能修复</w:t>
      </w:r>
      <w:bookmarkEnd w:id="825"/>
    </w:p>
    <w:bookmarkEnd w:id="826"/>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如果工程或工程设备的缺陷或损害使发包人实质上失去了工程的整体功能，发包人有权向承包人追回已支付的工程款项，并要求其赔偿发包人相应损失。</w:t>
      </w:r>
    </w:p>
    <w:bookmarkEnd w:id="816"/>
    <w:bookmarkEnd w:id="817"/>
    <w:bookmarkEnd w:id="818"/>
    <w:p>
      <w:pPr>
        <w:pStyle w:val="54"/>
        <w:widowControl/>
        <w:numPr>
          <w:ilvl w:val="0"/>
          <w:numId w:val="0"/>
        </w:numPr>
        <w:rPr>
          <w:b w:val="0"/>
          <w:bCs/>
          <w:color w:val="auto"/>
          <w:highlight w:val="none"/>
        </w:rPr>
      </w:pPr>
      <w:bookmarkStart w:id="827" w:name="_Ref532662554"/>
      <w:bookmarkStart w:id="828" w:name="_Ref532662552"/>
      <w:bookmarkStart w:id="829" w:name="_Toc54862273"/>
      <w:r>
        <w:rPr>
          <w:rFonts w:hint="eastAsia"/>
          <w:b w:val="0"/>
          <w:bCs/>
          <w:color w:val="auto"/>
          <w:highlight w:val="none"/>
        </w:rPr>
        <w:t>1</w:t>
      </w:r>
      <w:r>
        <w:rPr>
          <w:b w:val="0"/>
          <w:bCs/>
          <w:color w:val="auto"/>
          <w:highlight w:val="none"/>
        </w:rPr>
        <w:t xml:space="preserve">1.4 </w:t>
      </w:r>
      <w:r>
        <w:rPr>
          <w:rFonts w:hint="eastAsia"/>
          <w:b w:val="0"/>
          <w:bCs/>
          <w:color w:val="auto"/>
          <w:highlight w:val="none"/>
        </w:rPr>
        <w:t>缺陷修复后的进一步试验</w:t>
      </w:r>
      <w:bookmarkEnd w:id="827"/>
      <w:bookmarkEnd w:id="828"/>
      <w:bookmarkEnd w:id="829"/>
    </w:p>
    <w:p>
      <w:pPr>
        <w:ind w:firstLine="600"/>
        <w:rPr>
          <w:rFonts w:ascii="仿宋_GB2312" w:eastAsia="仿宋_GB2312"/>
          <w:color w:val="auto"/>
          <w:sz w:val="24"/>
          <w:highlight w:val="none"/>
        </w:rPr>
      </w:pPr>
      <w:r>
        <w:rPr>
          <w:rFonts w:hint="eastAsia" w:ascii="仿宋_GB2312" w:eastAsia="仿宋_GB2312"/>
          <w:color w:val="auto"/>
          <w:sz w:val="24"/>
          <w:highlight w:val="none"/>
        </w:rPr>
        <w:t>任何一项缺陷修补后的7天内，承包人应向发包人发出通知，告知已修补的情况。如根据第</w:t>
      </w:r>
      <w:r>
        <w:rPr>
          <w:rFonts w:ascii="仿宋_GB2312" w:eastAsia="仿宋_GB2312"/>
          <w:color w:val="auto"/>
          <w:sz w:val="24"/>
          <w:highlight w:val="none"/>
        </w:rPr>
        <w:t>9条</w:t>
      </w:r>
      <w:r>
        <w:rPr>
          <w:rFonts w:hint="eastAsia" w:ascii="仿宋_GB2312" w:eastAsia="仿宋_GB2312"/>
          <w:color w:val="auto"/>
          <w:sz w:val="24"/>
          <w:highlight w:val="none"/>
        </w:rPr>
        <w:t>[竣工试验]或第</w:t>
      </w:r>
      <w:r>
        <w:rPr>
          <w:rFonts w:ascii="仿宋_GB2312" w:eastAsia="仿宋_GB2312"/>
          <w:color w:val="auto"/>
          <w:sz w:val="24"/>
          <w:highlight w:val="none"/>
        </w:rPr>
        <w:t>12条</w:t>
      </w:r>
      <w:r>
        <w:rPr>
          <w:rFonts w:hint="eastAsia" w:ascii="仿宋_GB2312" w:eastAsia="仿宋_GB2312"/>
          <w:color w:val="auto"/>
          <w:sz w:val="24"/>
          <w:highlight w:val="none"/>
        </w:rPr>
        <w:t>[</w:t>
      </w:r>
      <w:r>
        <w:rPr>
          <w:rFonts w:ascii="仿宋_GB2312" w:eastAsia="仿宋_GB2312"/>
          <w:color w:val="auto"/>
          <w:sz w:val="24"/>
          <w:highlight w:val="none"/>
        </w:rPr>
        <w:t>竣工后试验</w:t>
      </w:r>
      <w:r>
        <w:rPr>
          <w:rFonts w:hint="eastAsia" w:ascii="仿宋_GB2312" w:eastAsia="仿宋_GB2312"/>
          <w:color w:val="auto"/>
          <w:sz w:val="24"/>
          <w:highlight w:val="none"/>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所有的重复试验应按照适用于先前试验的条款进行，但应由责任方承担修补工作的成本和重新试验的风险和费用。</w:t>
      </w:r>
    </w:p>
    <w:p>
      <w:pPr>
        <w:pStyle w:val="54"/>
        <w:widowControl/>
        <w:numPr>
          <w:ilvl w:val="0"/>
          <w:numId w:val="0"/>
        </w:numPr>
        <w:rPr>
          <w:b w:val="0"/>
          <w:bCs/>
          <w:color w:val="auto"/>
          <w:highlight w:val="none"/>
        </w:rPr>
      </w:pPr>
      <w:bookmarkStart w:id="830" w:name="_Toc54862274"/>
      <w:r>
        <w:rPr>
          <w:rFonts w:hint="eastAsia"/>
          <w:b w:val="0"/>
          <w:bCs/>
          <w:color w:val="auto"/>
          <w:highlight w:val="none"/>
        </w:rPr>
        <w:t>1</w:t>
      </w:r>
      <w:r>
        <w:rPr>
          <w:b w:val="0"/>
          <w:bCs/>
          <w:color w:val="auto"/>
          <w:highlight w:val="none"/>
        </w:rPr>
        <w:t xml:space="preserve">1.5 </w:t>
      </w:r>
      <w:r>
        <w:rPr>
          <w:rFonts w:hint="eastAsia"/>
          <w:b w:val="0"/>
          <w:bCs/>
          <w:color w:val="auto"/>
          <w:highlight w:val="none"/>
        </w:rPr>
        <w:t>承包人出入权</w:t>
      </w:r>
      <w:bookmarkEnd w:id="830"/>
    </w:p>
    <w:p>
      <w:pPr>
        <w:ind w:firstLine="600"/>
        <w:rPr>
          <w:rFonts w:ascii="仿宋_GB2312" w:eastAsia="仿宋_GB2312"/>
          <w:color w:val="auto"/>
          <w:sz w:val="24"/>
          <w:highlight w:val="none"/>
        </w:rPr>
      </w:pPr>
      <w:r>
        <w:rPr>
          <w:rFonts w:hint="eastAsia" w:ascii="仿宋_GB2312" w:eastAsia="仿宋_GB2312"/>
          <w:color w:val="auto"/>
          <w:sz w:val="24"/>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54"/>
        <w:widowControl/>
        <w:numPr>
          <w:ilvl w:val="0"/>
          <w:numId w:val="0"/>
        </w:numPr>
        <w:rPr>
          <w:b w:val="0"/>
          <w:bCs/>
          <w:color w:val="auto"/>
          <w:highlight w:val="none"/>
        </w:rPr>
      </w:pPr>
      <w:bookmarkStart w:id="831" w:name="_Ref4430229"/>
      <w:bookmarkStart w:id="832" w:name="_Ref4430223"/>
      <w:bookmarkStart w:id="833" w:name="_Toc54862275"/>
      <w:r>
        <w:rPr>
          <w:rFonts w:hint="eastAsia"/>
          <w:b w:val="0"/>
          <w:bCs/>
          <w:color w:val="auto"/>
          <w:highlight w:val="none"/>
        </w:rPr>
        <w:t>1</w:t>
      </w:r>
      <w:r>
        <w:rPr>
          <w:b w:val="0"/>
          <w:bCs/>
          <w:color w:val="auto"/>
          <w:highlight w:val="none"/>
        </w:rPr>
        <w:t xml:space="preserve">1.6 </w:t>
      </w:r>
      <w:r>
        <w:rPr>
          <w:rFonts w:hint="eastAsia"/>
          <w:b w:val="0"/>
          <w:bCs/>
          <w:color w:val="auto"/>
          <w:highlight w:val="none"/>
        </w:rPr>
        <w:t>缺陷责任期终止证书</w:t>
      </w:r>
      <w:bookmarkEnd w:id="831"/>
      <w:bookmarkEnd w:id="832"/>
      <w:bookmarkEnd w:id="833"/>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w:t>
      </w:r>
      <w:bookmarkStart w:id="834" w:name="_Hlk4686672"/>
      <w:r>
        <w:rPr>
          <w:rFonts w:hint="eastAsia" w:ascii="仿宋_GB2312" w:eastAsia="仿宋_GB2312"/>
          <w:color w:val="auto"/>
          <w:sz w:val="24"/>
          <w:highlight w:val="none"/>
        </w:rPr>
        <w:t>承包人应于缺陷责任期届满前7天内向发包人发出缺陷责任期即将届满通知，发包人应在收到通知后</w:t>
      </w:r>
      <w:r>
        <w:rPr>
          <w:rFonts w:ascii="仿宋_GB2312" w:eastAsia="仿宋_GB2312"/>
          <w:color w:val="auto"/>
          <w:sz w:val="24"/>
          <w:highlight w:val="none"/>
        </w:rPr>
        <w:t>7</w:t>
      </w:r>
      <w:r>
        <w:rPr>
          <w:rFonts w:hint="eastAsia" w:ascii="仿宋_GB2312" w:eastAsia="仿宋_GB2312"/>
          <w:color w:val="auto"/>
          <w:sz w:val="24"/>
          <w:highlight w:val="none"/>
        </w:rPr>
        <w:t>天内核实承包人是否履行缺陷修复义务，承包人未能履行缺陷修复义务的，发包人有权扣除相应金额的维修费用。发包人应在缺陷责任期届满之日，向承包人颁发缺陷责任期终止证书，并按第</w:t>
      </w:r>
      <w:r>
        <w:rPr>
          <w:rFonts w:ascii="仿宋_GB2312" w:eastAsia="仿宋_GB2312"/>
          <w:color w:val="auto"/>
          <w:sz w:val="24"/>
          <w:highlight w:val="none"/>
        </w:rPr>
        <w:t>14.6.3</w:t>
      </w:r>
      <w:r>
        <w:rPr>
          <w:rFonts w:hint="eastAsia" w:ascii="仿宋_GB2312" w:eastAsia="仿宋_GB2312"/>
          <w:color w:val="auto"/>
          <w:sz w:val="24"/>
          <w:highlight w:val="none"/>
        </w:rPr>
        <w:t>项[质量保证金的返还]返还质量保证金。</w:t>
      </w:r>
      <w:bookmarkEnd w:id="834"/>
    </w:p>
    <w:p>
      <w:pPr>
        <w:ind w:firstLine="600"/>
        <w:rPr>
          <w:rFonts w:ascii="仿宋_GB2312" w:eastAsia="仿宋_GB2312"/>
          <w:color w:val="auto"/>
          <w:sz w:val="24"/>
          <w:highlight w:val="none"/>
        </w:rPr>
      </w:pPr>
      <w:r>
        <w:rPr>
          <w:rFonts w:hint="eastAsia" w:ascii="仿宋_GB2312" w:eastAsia="仿宋_GB2312"/>
          <w:color w:val="auto"/>
          <w:sz w:val="24"/>
          <w:highlight w:val="none"/>
        </w:rPr>
        <w:t>如根据第</w:t>
      </w:r>
      <w:r>
        <w:rPr>
          <w:rFonts w:ascii="仿宋_GB2312" w:eastAsia="仿宋_GB2312"/>
          <w:color w:val="auto"/>
          <w:sz w:val="24"/>
          <w:highlight w:val="none"/>
        </w:rPr>
        <w:t>10.5.3</w:t>
      </w:r>
      <w:r>
        <w:rPr>
          <w:rFonts w:hint="eastAsia" w:ascii="仿宋_GB2312" w:eastAsia="仿宋_GB2312"/>
          <w:color w:val="auto"/>
          <w:sz w:val="24"/>
          <w:highlight w:val="none"/>
        </w:rPr>
        <w:t>项[人员撤离]承包人在施工现场还留有人员、施工设备和临时工程的，承包人应当在收到缺陷责任期终止证书后28天内，将上述人员、施工设备和临时工程撤离施工现场。</w:t>
      </w:r>
    </w:p>
    <w:p>
      <w:pPr>
        <w:pStyle w:val="54"/>
        <w:widowControl/>
        <w:numPr>
          <w:ilvl w:val="0"/>
          <w:numId w:val="0"/>
        </w:numPr>
        <w:rPr>
          <w:b w:val="0"/>
          <w:bCs/>
          <w:color w:val="auto"/>
          <w:highlight w:val="none"/>
        </w:rPr>
      </w:pPr>
      <w:bookmarkStart w:id="835" w:name="_Toc54862276"/>
      <w:bookmarkStart w:id="836" w:name="_Ref4430272"/>
      <w:r>
        <w:rPr>
          <w:rFonts w:hint="eastAsia"/>
          <w:b w:val="0"/>
          <w:bCs/>
          <w:color w:val="auto"/>
          <w:highlight w:val="none"/>
        </w:rPr>
        <w:t>1</w:t>
      </w:r>
      <w:r>
        <w:rPr>
          <w:b w:val="0"/>
          <w:bCs/>
          <w:color w:val="auto"/>
          <w:highlight w:val="none"/>
        </w:rPr>
        <w:t xml:space="preserve">1.7 </w:t>
      </w:r>
      <w:r>
        <w:rPr>
          <w:rFonts w:hint="eastAsia"/>
          <w:b w:val="0"/>
          <w:bCs/>
          <w:color w:val="auto"/>
          <w:highlight w:val="none"/>
        </w:rPr>
        <w:t>保修责任</w:t>
      </w:r>
      <w:bookmarkEnd w:id="835"/>
      <w:bookmarkEnd w:id="836"/>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因承包人原因导致的质量缺陷责任，由合同当事人根据有关法律规定，在专用合同条件和工程质量保修书中约定工程质量保修范围、期限和责任。</w:t>
      </w:r>
      <w:bookmarkEnd w:id="683"/>
      <w:bookmarkStart w:id="837" w:name="_Ref531957860"/>
      <w:bookmarkStart w:id="838" w:name="_Ref531958289"/>
    </w:p>
    <w:bookmarkEnd w:id="837"/>
    <w:p>
      <w:pPr>
        <w:pStyle w:val="42"/>
        <w:numPr>
          <w:ilvl w:val="0"/>
          <w:numId w:val="0"/>
        </w:numPr>
        <w:wordWrap/>
        <w:topLinePunct w:val="0"/>
        <w:rPr>
          <w:b w:val="0"/>
          <w:bCs/>
          <w:color w:val="auto"/>
          <w:sz w:val="24"/>
          <w:szCs w:val="24"/>
          <w:highlight w:val="none"/>
        </w:rPr>
      </w:pPr>
      <w:bookmarkStart w:id="839" w:name="_Toc54862277"/>
      <w:bookmarkStart w:id="840" w:name="_Ref4621065"/>
      <w:bookmarkStart w:id="841" w:name="_Ref4621057"/>
      <w:bookmarkStart w:id="842" w:name="_Ref4796955"/>
      <w:bookmarkStart w:id="843" w:name="_Ref4796958"/>
      <w:r>
        <w:rPr>
          <w:rFonts w:hint="eastAsia"/>
          <w:b w:val="0"/>
          <w:bCs/>
          <w:color w:val="auto"/>
          <w:sz w:val="24"/>
          <w:szCs w:val="24"/>
          <w:highlight w:val="none"/>
        </w:rPr>
        <w:t>第1</w:t>
      </w:r>
      <w:r>
        <w:rPr>
          <w:b w:val="0"/>
          <w:bCs/>
          <w:color w:val="auto"/>
          <w:sz w:val="24"/>
          <w:szCs w:val="24"/>
          <w:highlight w:val="none"/>
        </w:rPr>
        <w:t>2</w:t>
      </w:r>
      <w:r>
        <w:rPr>
          <w:rFonts w:hint="eastAsia"/>
          <w:b w:val="0"/>
          <w:bCs/>
          <w:color w:val="auto"/>
          <w:sz w:val="24"/>
          <w:szCs w:val="24"/>
          <w:highlight w:val="none"/>
        </w:rPr>
        <w:t>条 竣工后试验</w:t>
      </w:r>
      <w:bookmarkEnd w:id="839"/>
      <w:bookmarkEnd w:id="840"/>
      <w:bookmarkEnd w:id="841"/>
    </w:p>
    <w:p>
      <w:pPr>
        <w:ind w:firstLine="600"/>
        <w:rPr>
          <w:rFonts w:ascii="仿宋_GB2312" w:eastAsia="仿宋_GB2312"/>
          <w:color w:val="auto"/>
          <w:sz w:val="24"/>
          <w:highlight w:val="none"/>
        </w:rPr>
      </w:pPr>
      <w:r>
        <w:rPr>
          <w:rFonts w:hint="eastAsia" w:ascii="仿宋_GB2312" w:eastAsia="仿宋_GB2312"/>
          <w:color w:val="auto"/>
          <w:sz w:val="24"/>
          <w:highlight w:val="none"/>
        </w:rPr>
        <w:t>本合同工程包含竣工后试验的，遵守本条约定。</w:t>
      </w:r>
    </w:p>
    <w:p>
      <w:pPr>
        <w:pStyle w:val="54"/>
        <w:widowControl/>
        <w:numPr>
          <w:ilvl w:val="0"/>
          <w:numId w:val="0"/>
        </w:numPr>
        <w:rPr>
          <w:b w:val="0"/>
          <w:bCs/>
          <w:color w:val="auto"/>
          <w:highlight w:val="none"/>
        </w:rPr>
      </w:pPr>
      <w:bookmarkStart w:id="844" w:name="_Ref531954604"/>
      <w:bookmarkStart w:id="845" w:name="_Ref531954601"/>
      <w:bookmarkStart w:id="846" w:name="_Toc54862278"/>
      <w:bookmarkStart w:id="847" w:name="_Ref531954694"/>
      <w:bookmarkStart w:id="848" w:name="_Hlk522259976"/>
      <w:r>
        <w:rPr>
          <w:rFonts w:hint="eastAsia"/>
          <w:b w:val="0"/>
          <w:bCs/>
          <w:color w:val="auto"/>
          <w:highlight w:val="none"/>
        </w:rPr>
        <w:t>1</w:t>
      </w:r>
      <w:r>
        <w:rPr>
          <w:b w:val="0"/>
          <w:bCs/>
          <w:color w:val="auto"/>
          <w:highlight w:val="none"/>
        </w:rPr>
        <w:t xml:space="preserve">2.1 </w:t>
      </w:r>
      <w:r>
        <w:rPr>
          <w:rFonts w:hint="eastAsia"/>
          <w:b w:val="0"/>
          <w:bCs/>
          <w:color w:val="auto"/>
          <w:highlight w:val="none"/>
        </w:rPr>
        <w:t>竣工后试验</w:t>
      </w:r>
      <w:bookmarkEnd w:id="844"/>
      <w:bookmarkEnd w:id="845"/>
      <w:r>
        <w:rPr>
          <w:rFonts w:hint="eastAsia"/>
          <w:b w:val="0"/>
          <w:bCs/>
          <w:color w:val="auto"/>
          <w:highlight w:val="none"/>
        </w:rPr>
        <w:t>的程序</w:t>
      </w:r>
      <w:bookmarkEnd w:id="846"/>
      <w:bookmarkEnd w:id="847"/>
    </w:p>
    <w:p>
      <w:pPr>
        <w:pStyle w:val="55"/>
        <w:numPr>
          <w:ilvl w:val="0"/>
          <w:numId w:val="0"/>
        </w:numPr>
        <w:rPr>
          <w:rFonts w:ascii="仿宋_GB2312" w:eastAsia="仿宋_GB2312"/>
          <w:color w:val="auto"/>
          <w:szCs w:val="24"/>
          <w:highlight w:val="none"/>
        </w:rPr>
      </w:pPr>
      <w:bookmarkStart w:id="849" w:name="_Ref11920184"/>
      <w:r>
        <w:rPr>
          <w:rFonts w:hint="eastAsia" w:ascii="仿宋_GB2312" w:eastAsia="仿宋_GB2312"/>
          <w:color w:val="auto"/>
          <w:szCs w:val="24"/>
          <w:highlight w:val="none"/>
        </w:rPr>
        <w:t>1</w:t>
      </w:r>
      <w:r>
        <w:rPr>
          <w:rFonts w:ascii="仿宋_GB2312" w:eastAsia="仿宋_GB2312"/>
          <w:color w:val="auto"/>
          <w:szCs w:val="24"/>
          <w:highlight w:val="none"/>
        </w:rPr>
        <w:t xml:space="preserve">2.1.1 </w:t>
      </w:r>
      <w:r>
        <w:rPr>
          <w:rFonts w:hint="eastAsia" w:ascii="仿宋_GB2312" w:eastAsia="仿宋_GB2312"/>
          <w:color w:val="auto"/>
          <w:szCs w:val="24"/>
          <w:highlight w:val="none"/>
        </w:rPr>
        <w:t>工程或区段工程被发包人接收后，在合理可行的情况下应根据合同约定尽早进行竣工后试验。</w:t>
      </w:r>
      <w:bookmarkEnd w:id="849"/>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2.1.2 </w:t>
      </w:r>
      <w:r>
        <w:rPr>
          <w:rFonts w:hint="eastAsia" w:ascii="仿宋_GB2312" w:eastAsia="仿宋_GB2312"/>
          <w:color w:val="auto"/>
          <w:szCs w:val="24"/>
          <w:highlight w:val="none"/>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55"/>
        <w:numPr>
          <w:ilvl w:val="0"/>
          <w:numId w:val="0"/>
        </w:numPr>
        <w:rPr>
          <w:rFonts w:ascii="仿宋_GB2312" w:eastAsia="仿宋_GB2312"/>
          <w:color w:val="auto"/>
          <w:szCs w:val="24"/>
          <w:highlight w:val="none"/>
        </w:rPr>
      </w:pPr>
      <w:bookmarkStart w:id="850" w:name="_Ref11920162"/>
      <w:r>
        <w:rPr>
          <w:rFonts w:hint="eastAsia" w:ascii="仿宋_GB2312" w:eastAsia="仿宋_GB2312"/>
          <w:color w:val="auto"/>
          <w:szCs w:val="24"/>
          <w:highlight w:val="none"/>
        </w:rPr>
        <w:t>1</w:t>
      </w:r>
      <w:r>
        <w:rPr>
          <w:rFonts w:ascii="仿宋_GB2312" w:eastAsia="仿宋_GB2312"/>
          <w:color w:val="auto"/>
          <w:szCs w:val="24"/>
          <w:highlight w:val="none"/>
        </w:rPr>
        <w:t xml:space="preserve">2.1.3 </w:t>
      </w:r>
      <w:r>
        <w:rPr>
          <w:rFonts w:hint="eastAsia" w:ascii="仿宋_GB2312" w:eastAsia="仿宋_GB2312"/>
          <w:color w:val="auto"/>
          <w:szCs w:val="24"/>
          <w:highlight w:val="none"/>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850"/>
    </w:p>
    <w:p>
      <w:pPr>
        <w:pStyle w:val="55"/>
        <w:numPr>
          <w:ilvl w:val="0"/>
          <w:numId w:val="0"/>
        </w:numPr>
        <w:rPr>
          <w:rFonts w:ascii="仿宋_GB2312" w:eastAsia="仿宋_GB2312"/>
          <w:color w:val="auto"/>
          <w:szCs w:val="24"/>
          <w:highlight w:val="none"/>
        </w:rPr>
      </w:pPr>
      <w:bookmarkStart w:id="851" w:name="_Ref11920146"/>
      <w:r>
        <w:rPr>
          <w:rFonts w:hint="eastAsia" w:ascii="仿宋_GB2312" w:eastAsia="仿宋_GB2312"/>
          <w:color w:val="auto"/>
          <w:szCs w:val="24"/>
          <w:highlight w:val="none"/>
        </w:rPr>
        <w:t>1</w:t>
      </w:r>
      <w:r>
        <w:rPr>
          <w:rFonts w:ascii="仿宋_GB2312" w:eastAsia="仿宋_GB2312"/>
          <w:color w:val="auto"/>
          <w:szCs w:val="24"/>
          <w:highlight w:val="none"/>
        </w:rPr>
        <w:t xml:space="preserve">2.1.4 </w:t>
      </w:r>
      <w:r>
        <w:rPr>
          <w:rFonts w:hint="eastAsia" w:ascii="仿宋_GB2312" w:eastAsia="仿宋_GB2312"/>
          <w:color w:val="auto"/>
          <w:szCs w:val="24"/>
          <w:highlight w:val="none"/>
        </w:rPr>
        <w:t>发包人应根据《发包人要求》、承包人按照第</w:t>
      </w:r>
      <w:r>
        <w:rPr>
          <w:rFonts w:ascii="仿宋_GB2312" w:eastAsia="仿宋_GB2312"/>
          <w:color w:val="auto"/>
          <w:szCs w:val="24"/>
          <w:highlight w:val="none"/>
        </w:rPr>
        <w:t>5.5</w:t>
      </w:r>
      <w:r>
        <w:rPr>
          <w:rFonts w:hint="eastAsia" w:ascii="仿宋_GB2312" w:eastAsia="仿宋_GB2312"/>
          <w:color w:val="auto"/>
          <w:szCs w:val="24"/>
          <w:highlight w:val="none"/>
        </w:rPr>
        <w:t>款</w:t>
      </w:r>
      <w:bookmarkStart w:id="852" w:name="_Hlk18943978"/>
      <w:r>
        <w:rPr>
          <w:rFonts w:hint="eastAsia" w:ascii="仿宋_GB2312" w:eastAsia="仿宋_GB2312"/>
          <w:color w:val="auto"/>
          <w:szCs w:val="24"/>
          <w:highlight w:val="none"/>
        </w:rPr>
        <w:t>[</w:t>
      </w:r>
      <w:r>
        <w:rPr>
          <w:rFonts w:ascii="仿宋_GB2312" w:eastAsia="仿宋_GB2312"/>
          <w:color w:val="auto"/>
          <w:szCs w:val="24"/>
          <w:highlight w:val="none"/>
        </w:rPr>
        <w:t>操作和维修手册</w:t>
      </w:r>
      <w:r>
        <w:rPr>
          <w:rFonts w:hint="eastAsia" w:ascii="仿宋_GB2312" w:eastAsia="仿宋_GB2312"/>
          <w:color w:val="auto"/>
          <w:szCs w:val="24"/>
          <w:highlight w:val="none"/>
        </w:rPr>
        <w:t>]</w:t>
      </w:r>
      <w:bookmarkEnd w:id="852"/>
      <w:r>
        <w:rPr>
          <w:rFonts w:hint="eastAsia" w:ascii="仿宋_GB2312" w:eastAsia="仿宋_GB2312"/>
          <w:color w:val="auto"/>
          <w:szCs w:val="24"/>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851"/>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2.1.5 </w:t>
      </w:r>
      <w:r>
        <w:rPr>
          <w:rFonts w:hint="eastAsia" w:ascii="仿宋_GB2312" w:eastAsia="仿宋_GB2312"/>
          <w:color w:val="auto"/>
          <w:szCs w:val="24"/>
          <w:highlight w:val="none"/>
        </w:rPr>
        <w:t>竣工后试验的结果应由双方进行整理和评价，并应适当考虑发包人对工程或其任何部分的使用，对工程或区段工程的性能、特性和试验结果产生的影响。</w:t>
      </w:r>
    </w:p>
    <w:p>
      <w:pPr>
        <w:pStyle w:val="54"/>
        <w:widowControl/>
        <w:numPr>
          <w:ilvl w:val="0"/>
          <w:numId w:val="0"/>
        </w:numPr>
        <w:rPr>
          <w:b w:val="0"/>
          <w:bCs/>
          <w:color w:val="auto"/>
          <w:highlight w:val="none"/>
        </w:rPr>
      </w:pPr>
      <w:bookmarkStart w:id="853" w:name="_Ref531954785"/>
      <w:bookmarkStart w:id="854" w:name="_Ref531954781"/>
      <w:bookmarkStart w:id="855" w:name="_Toc54862279"/>
      <w:r>
        <w:rPr>
          <w:rFonts w:hint="eastAsia"/>
          <w:b w:val="0"/>
          <w:bCs/>
          <w:color w:val="auto"/>
          <w:highlight w:val="none"/>
        </w:rPr>
        <w:t>1</w:t>
      </w:r>
      <w:r>
        <w:rPr>
          <w:b w:val="0"/>
          <w:bCs/>
          <w:color w:val="auto"/>
          <w:highlight w:val="none"/>
        </w:rPr>
        <w:t xml:space="preserve">2.2 </w:t>
      </w:r>
      <w:r>
        <w:rPr>
          <w:rFonts w:hint="eastAsia"/>
          <w:b w:val="0"/>
          <w:bCs/>
          <w:color w:val="auto"/>
          <w:highlight w:val="none"/>
        </w:rPr>
        <w:t>延误的试验</w:t>
      </w:r>
      <w:bookmarkEnd w:id="853"/>
      <w:bookmarkEnd w:id="854"/>
      <w:bookmarkEnd w:id="855"/>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2.2.1 </w:t>
      </w:r>
      <w:r>
        <w:rPr>
          <w:rFonts w:hint="eastAsia" w:ascii="仿宋_GB2312" w:eastAsia="仿宋_GB2312"/>
          <w:color w:val="auto"/>
          <w:szCs w:val="24"/>
          <w:highlight w:val="none"/>
        </w:rPr>
        <w:t>如果竣工后试验因发包人原因被延误的，发包人应承担承包人由此增加的费用并支付承包人合理利润。</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2.2.2 </w:t>
      </w:r>
      <w:r>
        <w:rPr>
          <w:rFonts w:hint="eastAsia" w:ascii="仿宋_GB2312" w:eastAsia="仿宋_GB2312"/>
          <w:color w:val="auto"/>
          <w:szCs w:val="24"/>
          <w:highlight w:val="none"/>
        </w:rPr>
        <w:t>如果因承包人以外的原因，导致竣工后试验未能在缺陷责任期或双方另行同意的其他期限内完成，则相关工程或区段工程应视为已通过该竣工后试验。</w:t>
      </w:r>
    </w:p>
    <w:p>
      <w:pPr>
        <w:pStyle w:val="54"/>
        <w:widowControl/>
        <w:numPr>
          <w:ilvl w:val="0"/>
          <w:numId w:val="0"/>
        </w:numPr>
        <w:rPr>
          <w:b w:val="0"/>
          <w:bCs/>
          <w:color w:val="auto"/>
          <w:highlight w:val="none"/>
        </w:rPr>
      </w:pPr>
      <w:bookmarkStart w:id="856" w:name="_Toc54862280"/>
      <w:r>
        <w:rPr>
          <w:rFonts w:hint="eastAsia"/>
          <w:b w:val="0"/>
          <w:bCs/>
          <w:color w:val="auto"/>
          <w:highlight w:val="none"/>
        </w:rPr>
        <w:t>1</w:t>
      </w:r>
      <w:r>
        <w:rPr>
          <w:b w:val="0"/>
          <w:bCs/>
          <w:color w:val="auto"/>
          <w:highlight w:val="none"/>
        </w:rPr>
        <w:t xml:space="preserve">2.3 </w:t>
      </w:r>
      <w:r>
        <w:rPr>
          <w:rFonts w:hint="eastAsia"/>
          <w:b w:val="0"/>
          <w:bCs/>
          <w:color w:val="auto"/>
          <w:highlight w:val="none"/>
        </w:rPr>
        <w:t>重新试验</w:t>
      </w:r>
      <w:bookmarkEnd w:id="856"/>
    </w:p>
    <w:p>
      <w:pPr>
        <w:ind w:firstLine="600"/>
        <w:rPr>
          <w:rFonts w:ascii="仿宋_GB2312" w:eastAsia="仿宋_GB2312"/>
          <w:color w:val="auto"/>
          <w:sz w:val="24"/>
          <w:highlight w:val="none"/>
        </w:rPr>
      </w:pPr>
      <w:r>
        <w:rPr>
          <w:rFonts w:hint="eastAsia" w:ascii="仿宋_GB2312" w:eastAsia="仿宋_GB2312"/>
          <w:color w:val="auto"/>
          <w:sz w:val="24"/>
          <w:highlight w:val="none"/>
        </w:rPr>
        <w:t>如工程或区段工程未能通过竣工后试验，则承包人应根据第</w:t>
      </w:r>
      <w:r>
        <w:rPr>
          <w:rFonts w:ascii="仿宋_GB2312" w:eastAsia="仿宋_GB2312"/>
          <w:color w:val="auto"/>
          <w:sz w:val="24"/>
          <w:highlight w:val="none"/>
        </w:rPr>
        <w:t>11.3</w:t>
      </w:r>
      <w:r>
        <w:rPr>
          <w:rFonts w:hint="eastAsia" w:ascii="仿宋_GB2312" w:eastAsia="仿宋_GB2312"/>
          <w:color w:val="auto"/>
          <w:sz w:val="24"/>
          <w:highlight w:val="none"/>
        </w:rPr>
        <w:t>款[缺陷调查]的规定修补缺陷，以达到合同约定的要求；并按照第</w:t>
      </w:r>
      <w:r>
        <w:rPr>
          <w:rFonts w:ascii="仿宋_GB2312" w:eastAsia="仿宋_GB2312"/>
          <w:color w:val="auto"/>
          <w:sz w:val="24"/>
          <w:highlight w:val="none"/>
        </w:rPr>
        <w:t>11.4</w:t>
      </w:r>
      <w:r>
        <w:rPr>
          <w:rFonts w:hint="eastAsia" w:ascii="仿宋_GB2312" w:eastAsia="仿宋_GB2312"/>
          <w:color w:val="auto"/>
          <w:sz w:val="24"/>
          <w:highlight w:val="none"/>
        </w:rPr>
        <w:t>款[缺陷修复后的进一步试验]重新进行竣工后试验以及承担风险和费用。如未通过试验和重新试验是承包人原因造成的，则承包人还应承担发包人因此增加的费用。</w:t>
      </w:r>
    </w:p>
    <w:bookmarkEnd w:id="848"/>
    <w:p>
      <w:pPr>
        <w:pStyle w:val="54"/>
        <w:widowControl/>
        <w:numPr>
          <w:ilvl w:val="0"/>
          <w:numId w:val="0"/>
        </w:numPr>
        <w:rPr>
          <w:b w:val="0"/>
          <w:bCs/>
          <w:color w:val="auto"/>
          <w:highlight w:val="none"/>
        </w:rPr>
      </w:pPr>
      <w:bookmarkStart w:id="857" w:name="_Toc54862281"/>
      <w:bookmarkStart w:id="858" w:name="_Ref531954819"/>
      <w:bookmarkStart w:id="859" w:name="_Ref531954811"/>
      <w:r>
        <w:rPr>
          <w:rFonts w:hint="eastAsia"/>
          <w:b w:val="0"/>
          <w:bCs/>
          <w:color w:val="auto"/>
          <w:highlight w:val="none"/>
        </w:rPr>
        <w:t>1</w:t>
      </w:r>
      <w:r>
        <w:rPr>
          <w:b w:val="0"/>
          <w:bCs/>
          <w:color w:val="auto"/>
          <w:highlight w:val="none"/>
        </w:rPr>
        <w:t xml:space="preserve">2.4 </w:t>
      </w:r>
      <w:r>
        <w:rPr>
          <w:rFonts w:hint="eastAsia"/>
          <w:b w:val="0"/>
          <w:bCs/>
          <w:color w:val="auto"/>
          <w:highlight w:val="none"/>
        </w:rPr>
        <w:t>未能通过竣工后试验</w:t>
      </w:r>
      <w:bookmarkEnd w:id="857"/>
      <w:bookmarkEnd w:id="858"/>
      <w:bookmarkEnd w:id="859"/>
    </w:p>
    <w:p>
      <w:pPr>
        <w:pStyle w:val="55"/>
        <w:numPr>
          <w:ilvl w:val="0"/>
          <w:numId w:val="0"/>
        </w:numPr>
        <w:rPr>
          <w:rFonts w:ascii="仿宋_GB2312" w:eastAsia="仿宋_GB2312"/>
          <w:color w:val="auto"/>
          <w:szCs w:val="24"/>
          <w:highlight w:val="none"/>
        </w:rPr>
      </w:pPr>
      <w:bookmarkStart w:id="860" w:name="_Ref531954829"/>
      <w:r>
        <w:rPr>
          <w:rFonts w:hint="eastAsia" w:ascii="仿宋_GB2312" w:eastAsia="仿宋_GB2312"/>
          <w:color w:val="auto"/>
          <w:szCs w:val="24"/>
          <w:highlight w:val="none"/>
        </w:rPr>
        <w:t>1</w:t>
      </w:r>
      <w:r>
        <w:rPr>
          <w:rFonts w:ascii="仿宋_GB2312" w:eastAsia="仿宋_GB2312"/>
          <w:color w:val="auto"/>
          <w:szCs w:val="24"/>
          <w:highlight w:val="none"/>
        </w:rPr>
        <w:t xml:space="preserve">2.4.1 </w:t>
      </w:r>
      <w:r>
        <w:rPr>
          <w:rFonts w:hint="eastAsia" w:ascii="仿宋_GB2312" w:eastAsia="仿宋_GB2312"/>
          <w:color w:val="auto"/>
          <w:szCs w:val="24"/>
          <w:highlight w:val="none"/>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860"/>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2.4.2 </w:t>
      </w:r>
      <w:r>
        <w:rPr>
          <w:rFonts w:hint="eastAsia" w:ascii="仿宋_GB2312" w:eastAsia="仿宋_GB2312"/>
          <w:color w:val="auto"/>
          <w:szCs w:val="24"/>
          <w:highlight w:val="none"/>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2.4.3 </w:t>
      </w:r>
      <w:r>
        <w:rPr>
          <w:rFonts w:hint="eastAsia" w:ascii="仿宋_GB2312" w:eastAsia="仿宋_GB2312"/>
          <w:color w:val="auto"/>
          <w:szCs w:val="24"/>
          <w:highlight w:val="none"/>
        </w:rPr>
        <w:t>发包人无故拖延给予承包人进行调查、调整或修补所需的进入工程或区段工程的许可，并造成承包人费用增加的，应承担由此增加的费用并支付承包人合理利润。</w:t>
      </w:r>
    </w:p>
    <w:p>
      <w:pPr>
        <w:pStyle w:val="42"/>
        <w:numPr>
          <w:ilvl w:val="0"/>
          <w:numId w:val="0"/>
        </w:numPr>
        <w:wordWrap/>
        <w:topLinePunct w:val="0"/>
        <w:rPr>
          <w:b w:val="0"/>
          <w:bCs/>
          <w:color w:val="auto"/>
          <w:sz w:val="24"/>
          <w:szCs w:val="24"/>
          <w:highlight w:val="none"/>
        </w:rPr>
      </w:pPr>
      <w:bookmarkStart w:id="861" w:name="_Ref4415801"/>
      <w:bookmarkStart w:id="862" w:name="_Toc54862282"/>
      <w:r>
        <w:rPr>
          <w:rFonts w:hint="eastAsia"/>
          <w:b w:val="0"/>
          <w:bCs/>
          <w:color w:val="auto"/>
          <w:sz w:val="24"/>
          <w:szCs w:val="24"/>
          <w:highlight w:val="none"/>
        </w:rPr>
        <w:t>第1</w:t>
      </w:r>
      <w:r>
        <w:rPr>
          <w:b w:val="0"/>
          <w:bCs/>
          <w:color w:val="auto"/>
          <w:sz w:val="24"/>
          <w:szCs w:val="24"/>
          <w:highlight w:val="none"/>
        </w:rPr>
        <w:t>3</w:t>
      </w:r>
      <w:r>
        <w:rPr>
          <w:rFonts w:hint="eastAsia"/>
          <w:b w:val="0"/>
          <w:bCs/>
          <w:color w:val="auto"/>
          <w:sz w:val="24"/>
          <w:szCs w:val="24"/>
          <w:highlight w:val="none"/>
        </w:rPr>
        <w:t>条 变更与调整</w:t>
      </w:r>
      <w:bookmarkEnd w:id="861"/>
      <w:bookmarkEnd w:id="862"/>
    </w:p>
    <w:p>
      <w:pPr>
        <w:pStyle w:val="54"/>
        <w:widowControl/>
        <w:numPr>
          <w:ilvl w:val="0"/>
          <w:numId w:val="0"/>
        </w:numPr>
        <w:rPr>
          <w:b w:val="0"/>
          <w:bCs/>
          <w:color w:val="auto"/>
          <w:highlight w:val="none"/>
        </w:rPr>
      </w:pPr>
      <w:bookmarkStart w:id="863" w:name="_Ref532670395"/>
      <w:bookmarkStart w:id="864" w:name="_Toc54862283"/>
      <w:bookmarkStart w:id="865" w:name="_Ref532677087"/>
      <w:bookmarkStart w:id="866" w:name="_Ref532677084"/>
      <w:bookmarkStart w:id="867" w:name="_Ref532668569"/>
      <w:bookmarkStart w:id="868" w:name="_Ref532668573"/>
      <w:bookmarkStart w:id="869" w:name="_Ref532670393"/>
      <w:r>
        <w:rPr>
          <w:rFonts w:hint="eastAsia"/>
          <w:b w:val="0"/>
          <w:bCs/>
          <w:color w:val="auto"/>
          <w:highlight w:val="none"/>
        </w:rPr>
        <w:t>1</w:t>
      </w:r>
      <w:r>
        <w:rPr>
          <w:b w:val="0"/>
          <w:bCs/>
          <w:color w:val="auto"/>
          <w:highlight w:val="none"/>
        </w:rPr>
        <w:t xml:space="preserve">3.1 </w:t>
      </w:r>
      <w:r>
        <w:rPr>
          <w:rFonts w:hint="eastAsia"/>
          <w:b w:val="0"/>
          <w:bCs/>
          <w:color w:val="auto"/>
          <w:highlight w:val="none"/>
        </w:rPr>
        <w:t>发包人变更权</w:t>
      </w:r>
      <w:bookmarkEnd w:id="863"/>
      <w:bookmarkEnd w:id="864"/>
      <w:bookmarkEnd w:id="865"/>
      <w:bookmarkEnd w:id="866"/>
      <w:bookmarkEnd w:id="867"/>
      <w:bookmarkEnd w:id="868"/>
      <w:bookmarkEnd w:id="869"/>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870" w:name="_Ref4534979"/>
      <w:r>
        <w:rPr>
          <w:rFonts w:hint="eastAsia" w:ascii="仿宋_GB2312" w:eastAsia="仿宋_GB2312"/>
          <w:color w:val="auto"/>
          <w:szCs w:val="24"/>
          <w:highlight w:val="none"/>
        </w:rPr>
        <w:t>1</w:t>
      </w:r>
      <w:r>
        <w:rPr>
          <w:rFonts w:ascii="仿宋_GB2312" w:eastAsia="仿宋_GB2312"/>
          <w:color w:val="auto"/>
          <w:szCs w:val="24"/>
          <w:highlight w:val="none"/>
        </w:rPr>
        <w:t xml:space="preserve">3.1.1 </w:t>
      </w:r>
      <w:r>
        <w:rPr>
          <w:rFonts w:hint="eastAsia" w:ascii="仿宋_GB2312" w:eastAsia="仿宋_GB2312"/>
          <w:color w:val="auto"/>
          <w:szCs w:val="24"/>
          <w:highlight w:val="none"/>
        </w:rPr>
        <w:t>变更指示应经发包人同意，并由工程师发出经发包人签认的变更指示。除第</w:t>
      </w:r>
      <w:r>
        <w:rPr>
          <w:rFonts w:ascii="仿宋_GB2312" w:eastAsia="仿宋_GB2312"/>
          <w:color w:val="auto"/>
          <w:szCs w:val="24"/>
          <w:highlight w:val="none"/>
        </w:rPr>
        <w:t>11.3.6</w:t>
      </w:r>
      <w:r>
        <w:rPr>
          <w:rFonts w:hint="eastAsia" w:ascii="仿宋_GB2312" w:eastAsia="仿宋_GB2312"/>
          <w:color w:val="auto"/>
          <w:szCs w:val="24"/>
          <w:highlight w:val="none"/>
        </w:rPr>
        <w:t>项[未能修复]约定的情况外，变更不应包括准备将任何工作删减并交由他人或发包人自行实施的情况。承包人收到变更指示后，方可实施变更。未经许可，承包人不得擅自对工程的任何部分进行变更。</w:t>
      </w:r>
      <w:bookmarkEnd w:id="870"/>
      <w:r>
        <w:rPr>
          <w:rFonts w:hint="eastAsia" w:ascii="仿宋_GB2312" w:eastAsia="仿宋_GB2312"/>
          <w:color w:val="auto"/>
          <w:szCs w:val="24"/>
          <w:highlight w:val="none"/>
        </w:rPr>
        <w:t>发包人与承包人对某项指示或批准是否构成变更产生争议的，按第</w:t>
      </w:r>
      <w:r>
        <w:rPr>
          <w:rFonts w:ascii="仿宋_GB2312" w:eastAsia="仿宋_GB2312"/>
          <w:color w:val="auto"/>
          <w:szCs w:val="24"/>
          <w:highlight w:val="none"/>
        </w:rPr>
        <w:t>20条</w:t>
      </w:r>
      <w:r>
        <w:rPr>
          <w:rFonts w:hint="eastAsia" w:ascii="仿宋_GB2312" w:eastAsia="仿宋_GB2312"/>
          <w:color w:val="auto"/>
          <w:szCs w:val="24"/>
          <w:highlight w:val="none"/>
        </w:rPr>
        <w:t>[争议解决]处理。</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3.1.2 </w:t>
      </w:r>
      <w:r>
        <w:rPr>
          <w:rFonts w:hint="eastAsia" w:ascii="仿宋_GB2312" w:eastAsia="仿宋_GB2312"/>
          <w:color w:val="auto"/>
          <w:szCs w:val="24"/>
          <w:highlight w:val="none"/>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ascii="仿宋_GB2312" w:eastAsia="仿宋_GB2312"/>
          <w:color w:val="auto"/>
          <w:szCs w:val="24"/>
          <w:highlight w:val="none"/>
        </w:rPr>
        <w:t>7.5</w:t>
      </w:r>
      <w:r>
        <w:rPr>
          <w:rFonts w:hint="eastAsia" w:ascii="仿宋_GB2312" w:eastAsia="仿宋_GB2312"/>
          <w:color w:val="auto"/>
          <w:szCs w:val="24"/>
          <w:highlight w:val="none"/>
        </w:rPr>
        <w:t>款[现场劳动用工]、第7</w:t>
      </w:r>
      <w:r>
        <w:rPr>
          <w:rFonts w:ascii="仿宋_GB2312" w:eastAsia="仿宋_GB2312"/>
          <w:color w:val="auto"/>
          <w:szCs w:val="24"/>
          <w:highlight w:val="none"/>
        </w:rPr>
        <w:t>.6</w:t>
      </w:r>
      <w:r>
        <w:rPr>
          <w:rFonts w:hint="eastAsia" w:ascii="仿宋_GB2312" w:eastAsia="仿宋_GB2312"/>
          <w:color w:val="auto"/>
          <w:szCs w:val="24"/>
          <w:highlight w:val="none"/>
        </w:rPr>
        <w:t>款[安全文明施工</w:t>
      </w:r>
      <w:r>
        <w:rPr>
          <w:rFonts w:ascii="仿宋_GB2312" w:eastAsia="仿宋_GB2312"/>
          <w:color w:val="auto"/>
          <w:szCs w:val="24"/>
          <w:highlight w:val="none"/>
        </w:rPr>
        <w:t>]</w:t>
      </w:r>
      <w:r>
        <w:rPr>
          <w:rFonts w:hint="eastAsia" w:ascii="仿宋_GB2312" w:eastAsia="仿宋_GB2312"/>
          <w:color w:val="auto"/>
          <w:szCs w:val="24"/>
          <w:highlight w:val="none"/>
        </w:rPr>
        <w:t>、第</w:t>
      </w:r>
      <w:r>
        <w:rPr>
          <w:rFonts w:ascii="仿宋_GB2312" w:eastAsia="仿宋_GB2312"/>
          <w:color w:val="auto"/>
          <w:szCs w:val="24"/>
          <w:highlight w:val="none"/>
        </w:rPr>
        <w:t>7.7</w:t>
      </w:r>
      <w:r>
        <w:rPr>
          <w:rFonts w:hint="eastAsia" w:ascii="仿宋_GB2312" w:eastAsia="仿宋_GB2312"/>
          <w:color w:val="auto"/>
          <w:szCs w:val="24"/>
          <w:highlight w:val="none"/>
        </w:rPr>
        <w:t>款[</w:t>
      </w:r>
      <w:r>
        <w:rPr>
          <w:rFonts w:ascii="仿宋_GB2312" w:eastAsia="仿宋_GB2312"/>
          <w:color w:val="auto"/>
          <w:szCs w:val="24"/>
          <w:highlight w:val="none"/>
        </w:rPr>
        <w:t>职业健康]</w:t>
      </w:r>
      <w:r>
        <w:rPr>
          <w:rFonts w:hint="eastAsia" w:ascii="仿宋_GB2312" w:eastAsia="仿宋_GB2312"/>
          <w:color w:val="auto"/>
          <w:szCs w:val="24"/>
          <w:highlight w:val="none"/>
        </w:rPr>
        <w:t>或第</w:t>
      </w:r>
      <w:r>
        <w:rPr>
          <w:rFonts w:ascii="仿宋_GB2312" w:eastAsia="仿宋_GB2312"/>
          <w:color w:val="auto"/>
          <w:szCs w:val="24"/>
          <w:highlight w:val="none"/>
        </w:rPr>
        <w:t>7.8</w:t>
      </w:r>
      <w:r>
        <w:rPr>
          <w:rFonts w:hint="eastAsia" w:ascii="仿宋_GB2312" w:eastAsia="仿宋_GB2312"/>
          <w:color w:val="auto"/>
          <w:szCs w:val="24"/>
          <w:highlight w:val="none"/>
        </w:rPr>
        <w:t>款[环境保护</w:t>
      </w:r>
      <w:r>
        <w:rPr>
          <w:rFonts w:ascii="仿宋_GB2312" w:eastAsia="仿宋_GB2312"/>
          <w:color w:val="auto"/>
          <w:szCs w:val="24"/>
          <w:highlight w:val="none"/>
        </w:rPr>
        <w:t>]</w:t>
      </w:r>
      <w:r>
        <w:rPr>
          <w:rFonts w:hint="eastAsia" w:ascii="仿宋_GB2312" w:eastAsia="仿宋_GB2312"/>
          <w:color w:val="auto"/>
          <w:szCs w:val="24"/>
          <w:highlight w:val="none"/>
        </w:rPr>
        <w:t>内容；将造成工期延误；与第</w:t>
      </w:r>
      <w:r>
        <w:rPr>
          <w:rFonts w:ascii="仿宋_GB2312" w:eastAsia="仿宋_GB2312"/>
          <w:color w:val="auto"/>
          <w:szCs w:val="24"/>
          <w:highlight w:val="none"/>
        </w:rPr>
        <w:t>4.1</w:t>
      </w:r>
      <w:r>
        <w:rPr>
          <w:rFonts w:hint="eastAsia" w:ascii="仿宋_GB2312" w:eastAsia="仿宋_GB2312"/>
          <w:color w:val="auto"/>
          <w:szCs w:val="24"/>
          <w:highlight w:val="none"/>
        </w:rPr>
        <w:t>款[</w:t>
      </w:r>
      <w:r>
        <w:rPr>
          <w:rFonts w:ascii="仿宋_GB2312" w:eastAsia="仿宋_GB2312"/>
          <w:color w:val="auto"/>
          <w:szCs w:val="24"/>
          <w:highlight w:val="none"/>
        </w:rPr>
        <w:t>承包人的一般义务]</w:t>
      </w:r>
      <w:r>
        <w:rPr>
          <w:rFonts w:hint="eastAsia" w:ascii="仿宋_GB2312" w:eastAsia="仿宋_GB2312"/>
          <w:color w:val="auto"/>
          <w:szCs w:val="24"/>
          <w:highlight w:val="none"/>
        </w:rPr>
        <w:t>相冲突等无法执行的理由。工程师接到承包人的通知后，应作出经发包人签认的取消、确认或改变原指示的书面回复。</w:t>
      </w:r>
    </w:p>
    <w:p>
      <w:pPr>
        <w:pStyle w:val="54"/>
        <w:widowControl/>
        <w:numPr>
          <w:ilvl w:val="0"/>
          <w:numId w:val="0"/>
        </w:numPr>
        <w:rPr>
          <w:b w:val="0"/>
          <w:bCs/>
          <w:color w:val="auto"/>
          <w:highlight w:val="none"/>
        </w:rPr>
      </w:pPr>
      <w:bookmarkStart w:id="871" w:name="_Ref531955590"/>
      <w:bookmarkStart w:id="872" w:name="_Ref531955587"/>
      <w:bookmarkStart w:id="873" w:name="_Ref4623207"/>
      <w:bookmarkStart w:id="874" w:name="_Toc54862284"/>
      <w:r>
        <w:rPr>
          <w:rFonts w:hint="eastAsia"/>
          <w:b w:val="0"/>
          <w:bCs/>
          <w:color w:val="auto"/>
          <w:highlight w:val="none"/>
        </w:rPr>
        <w:t>1</w:t>
      </w:r>
      <w:r>
        <w:rPr>
          <w:b w:val="0"/>
          <w:bCs/>
          <w:color w:val="auto"/>
          <w:highlight w:val="none"/>
        </w:rPr>
        <w:t xml:space="preserve">3.2 </w:t>
      </w:r>
      <w:r>
        <w:rPr>
          <w:rFonts w:hint="eastAsia"/>
          <w:b w:val="0"/>
          <w:bCs/>
          <w:color w:val="auto"/>
          <w:highlight w:val="none"/>
        </w:rPr>
        <w:t>承</w:t>
      </w:r>
      <w:bookmarkEnd w:id="871"/>
      <w:bookmarkEnd w:id="872"/>
      <w:r>
        <w:rPr>
          <w:rFonts w:hint="eastAsia"/>
          <w:b w:val="0"/>
          <w:bCs/>
          <w:color w:val="auto"/>
          <w:highlight w:val="none"/>
        </w:rPr>
        <w:t>包人的合理化建议</w:t>
      </w:r>
      <w:bookmarkEnd w:id="873"/>
      <w:bookmarkEnd w:id="874"/>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3.2.1 </w:t>
      </w:r>
      <w:r>
        <w:rPr>
          <w:rFonts w:hint="eastAsia" w:ascii="仿宋_GB2312" w:eastAsia="仿宋_GB2312"/>
          <w:color w:val="auto"/>
          <w:szCs w:val="24"/>
          <w:highlight w:val="none"/>
        </w:rPr>
        <w:t>承包人提出合理化建议的，应向工程师提交合理化建议说明，说明建议的内容、理由以及实施该建议对合同价格和工期的影响。</w:t>
      </w:r>
    </w:p>
    <w:p>
      <w:pPr>
        <w:pStyle w:val="55"/>
        <w:numPr>
          <w:ilvl w:val="0"/>
          <w:numId w:val="0"/>
        </w:numPr>
        <w:rPr>
          <w:rFonts w:ascii="仿宋_GB2312" w:eastAsia="仿宋_GB2312"/>
          <w:color w:val="auto"/>
          <w:szCs w:val="24"/>
          <w:highlight w:val="none"/>
        </w:rPr>
      </w:pPr>
      <w:bookmarkStart w:id="875" w:name="_Ref4681686"/>
      <w:r>
        <w:rPr>
          <w:rFonts w:hint="eastAsia" w:ascii="仿宋_GB2312" w:eastAsia="仿宋_GB2312"/>
          <w:color w:val="auto"/>
          <w:szCs w:val="24"/>
          <w:highlight w:val="none"/>
        </w:rPr>
        <w:t>1</w:t>
      </w:r>
      <w:r>
        <w:rPr>
          <w:rFonts w:ascii="仿宋_GB2312" w:eastAsia="仿宋_GB2312"/>
          <w:color w:val="auto"/>
          <w:szCs w:val="24"/>
          <w:highlight w:val="none"/>
        </w:rPr>
        <w:t xml:space="preserve">3.2.2 </w:t>
      </w:r>
      <w:r>
        <w:rPr>
          <w:rFonts w:hint="eastAsia" w:ascii="仿宋_GB2312" w:eastAsia="仿宋_GB2312"/>
          <w:color w:val="auto"/>
          <w:szCs w:val="24"/>
          <w:highlight w:val="none"/>
        </w:rPr>
        <w:t>除专用合同条件另有约定外，</w:t>
      </w:r>
      <w:bookmarkStart w:id="876" w:name="_Hlk4682273"/>
      <w:r>
        <w:rPr>
          <w:rFonts w:hint="eastAsia" w:ascii="仿宋_GB2312" w:eastAsia="仿宋_GB2312"/>
          <w:color w:val="auto"/>
          <w:szCs w:val="24"/>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rFonts w:ascii="仿宋_GB2312" w:eastAsia="仿宋_GB2312"/>
          <w:color w:val="auto"/>
          <w:szCs w:val="24"/>
          <w:highlight w:val="none"/>
        </w:rPr>
        <w:t>13.3.3</w:t>
      </w:r>
      <w:r>
        <w:rPr>
          <w:rFonts w:hint="eastAsia" w:ascii="仿宋_GB2312" w:eastAsia="仿宋_GB2312"/>
          <w:color w:val="auto"/>
          <w:szCs w:val="24"/>
          <w:highlight w:val="none"/>
        </w:rPr>
        <w:t>项[</w:t>
      </w:r>
      <w:r>
        <w:rPr>
          <w:rFonts w:ascii="仿宋_GB2312" w:eastAsia="仿宋_GB2312"/>
          <w:color w:val="auto"/>
          <w:szCs w:val="24"/>
          <w:highlight w:val="none"/>
        </w:rPr>
        <w:t>变更估价</w:t>
      </w:r>
      <w:r>
        <w:rPr>
          <w:rFonts w:hint="eastAsia" w:ascii="仿宋_GB2312" w:eastAsia="仿宋_GB2312"/>
          <w:color w:val="auto"/>
          <w:szCs w:val="24"/>
          <w:highlight w:val="none"/>
        </w:rPr>
        <w:t>]约定执行。发包人不同意变更的，工程师应书面通知承包人</w:t>
      </w:r>
      <w:bookmarkEnd w:id="875"/>
      <w:r>
        <w:rPr>
          <w:rFonts w:hint="eastAsia" w:ascii="仿宋_GB2312" w:eastAsia="仿宋_GB2312"/>
          <w:color w:val="auto"/>
          <w:szCs w:val="24"/>
          <w:highlight w:val="none"/>
        </w:rPr>
        <w:t>。</w:t>
      </w:r>
    </w:p>
    <w:p>
      <w:pPr>
        <w:pStyle w:val="55"/>
        <w:numPr>
          <w:ilvl w:val="0"/>
          <w:numId w:val="0"/>
        </w:numPr>
        <w:rPr>
          <w:rFonts w:ascii="仿宋_GB2312" w:eastAsia="仿宋_GB2312"/>
          <w:color w:val="auto"/>
          <w:szCs w:val="24"/>
          <w:highlight w:val="none"/>
        </w:rPr>
      </w:pPr>
      <w:r>
        <w:rPr>
          <w:rFonts w:ascii="仿宋_GB2312" w:eastAsia="仿宋_GB2312"/>
          <w:color w:val="auto"/>
          <w:szCs w:val="24"/>
          <w:highlight w:val="none"/>
        </w:rPr>
        <w:t xml:space="preserve">13.2.3 </w:t>
      </w:r>
      <w:r>
        <w:rPr>
          <w:rFonts w:hint="eastAsia" w:ascii="仿宋_GB2312" w:eastAsia="仿宋_GB2312"/>
          <w:color w:val="auto"/>
          <w:szCs w:val="24"/>
          <w:highlight w:val="none"/>
        </w:rPr>
        <w:t>合理化建议降低了合同价格、缩短了工期或者提高了工程经济效益的，双方可以按照专用合同条件的约定进行利益分享。</w:t>
      </w:r>
    </w:p>
    <w:bookmarkEnd w:id="876"/>
    <w:p>
      <w:pPr>
        <w:pStyle w:val="54"/>
        <w:widowControl/>
        <w:numPr>
          <w:ilvl w:val="0"/>
          <w:numId w:val="0"/>
        </w:numPr>
        <w:rPr>
          <w:b w:val="0"/>
          <w:bCs/>
          <w:color w:val="auto"/>
          <w:highlight w:val="none"/>
        </w:rPr>
      </w:pPr>
      <w:bookmarkStart w:id="877" w:name="_Ref532673538"/>
      <w:bookmarkStart w:id="878" w:name="_Ref532671480"/>
      <w:bookmarkStart w:id="879" w:name="_Ref532669305"/>
      <w:bookmarkStart w:id="880" w:name="_Ref532671484"/>
      <w:bookmarkStart w:id="881" w:name="_Ref532669302"/>
      <w:bookmarkStart w:id="882" w:name="_Ref532673541"/>
      <w:bookmarkStart w:id="883" w:name="_Toc54862285"/>
      <w:r>
        <w:rPr>
          <w:rFonts w:hint="eastAsia"/>
          <w:b w:val="0"/>
          <w:bCs/>
          <w:color w:val="auto"/>
          <w:highlight w:val="none"/>
        </w:rPr>
        <w:t>1</w:t>
      </w:r>
      <w:r>
        <w:rPr>
          <w:b w:val="0"/>
          <w:bCs/>
          <w:color w:val="auto"/>
          <w:highlight w:val="none"/>
        </w:rPr>
        <w:t xml:space="preserve">3.3 </w:t>
      </w:r>
      <w:r>
        <w:rPr>
          <w:rFonts w:hint="eastAsia"/>
          <w:b w:val="0"/>
          <w:bCs/>
          <w:color w:val="auto"/>
          <w:highlight w:val="none"/>
        </w:rPr>
        <w:t>变更程序</w:t>
      </w:r>
      <w:bookmarkEnd w:id="877"/>
      <w:bookmarkEnd w:id="878"/>
      <w:bookmarkEnd w:id="879"/>
      <w:bookmarkEnd w:id="880"/>
      <w:bookmarkEnd w:id="881"/>
      <w:bookmarkEnd w:id="882"/>
      <w:bookmarkEnd w:id="883"/>
    </w:p>
    <w:p>
      <w:pPr>
        <w:pStyle w:val="55"/>
        <w:numPr>
          <w:ilvl w:val="0"/>
          <w:numId w:val="0"/>
        </w:numPr>
        <w:rPr>
          <w:rFonts w:ascii="仿宋_GB2312" w:eastAsia="仿宋_GB2312"/>
          <w:color w:val="auto"/>
          <w:szCs w:val="24"/>
          <w:highlight w:val="none"/>
        </w:rPr>
      </w:pPr>
      <w:bookmarkStart w:id="884" w:name="_Ref4534600"/>
      <w:r>
        <w:rPr>
          <w:rFonts w:hint="eastAsia" w:ascii="仿宋_GB2312" w:eastAsia="仿宋_GB2312"/>
          <w:color w:val="auto"/>
          <w:szCs w:val="24"/>
          <w:highlight w:val="none"/>
        </w:rPr>
        <w:t>1</w:t>
      </w:r>
      <w:r>
        <w:rPr>
          <w:rFonts w:ascii="仿宋_GB2312" w:eastAsia="仿宋_GB2312"/>
          <w:color w:val="auto"/>
          <w:szCs w:val="24"/>
          <w:highlight w:val="none"/>
        </w:rPr>
        <w:t xml:space="preserve">3.3.1 </w:t>
      </w:r>
      <w:r>
        <w:rPr>
          <w:rFonts w:hint="eastAsia" w:ascii="仿宋_GB2312" w:eastAsia="仿宋_GB2312"/>
          <w:color w:val="auto"/>
          <w:szCs w:val="24"/>
          <w:highlight w:val="none"/>
        </w:rPr>
        <w:t>发包人提出变更</w:t>
      </w:r>
      <w:bookmarkEnd w:id="884"/>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发包人提出变更的，应通过工程师向承包人发出书面形式的变更指示，变更指示应说明计划变更的工程范围和变更的内容。</w:t>
      </w:r>
    </w:p>
    <w:p>
      <w:pPr>
        <w:pStyle w:val="55"/>
        <w:numPr>
          <w:ilvl w:val="0"/>
          <w:numId w:val="0"/>
        </w:numPr>
        <w:rPr>
          <w:rFonts w:ascii="仿宋_GB2312" w:eastAsia="仿宋_GB2312"/>
          <w:color w:val="auto"/>
          <w:szCs w:val="24"/>
          <w:highlight w:val="none"/>
        </w:rPr>
      </w:pPr>
      <w:bookmarkStart w:id="885" w:name="_Ref4534617"/>
      <w:r>
        <w:rPr>
          <w:rFonts w:hint="eastAsia" w:ascii="仿宋_GB2312" w:eastAsia="仿宋_GB2312"/>
          <w:color w:val="auto"/>
          <w:szCs w:val="24"/>
          <w:highlight w:val="none"/>
        </w:rPr>
        <w:t>1</w:t>
      </w:r>
      <w:r>
        <w:rPr>
          <w:rFonts w:ascii="仿宋_GB2312" w:eastAsia="仿宋_GB2312"/>
          <w:color w:val="auto"/>
          <w:szCs w:val="24"/>
          <w:highlight w:val="none"/>
        </w:rPr>
        <w:t xml:space="preserve">3.3.2 </w:t>
      </w:r>
      <w:r>
        <w:rPr>
          <w:rFonts w:hint="eastAsia" w:ascii="仿宋_GB2312" w:eastAsia="仿宋_GB2312"/>
          <w:color w:val="auto"/>
          <w:szCs w:val="24"/>
          <w:highlight w:val="none"/>
        </w:rPr>
        <w:t>变更执行</w:t>
      </w:r>
      <w:bookmarkEnd w:id="885"/>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ascii="仿宋_GB2312" w:eastAsia="仿宋_GB2312"/>
          <w:color w:val="auto"/>
          <w:sz w:val="24"/>
          <w:highlight w:val="none"/>
        </w:rPr>
        <w:t>13.3.3</w:t>
      </w:r>
      <w:r>
        <w:rPr>
          <w:rFonts w:hint="eastAsia" w:ascii="仿宋_GB2312" w:eastAsia="仿宋_GB2312"/>
          <w:color w:val="auto"/>
          <w:sz w:val="24"/>
          <w:highlight w:val="none"/>
        </w:rPr>
        <w:t>项[变更估价]约定确定变更估价。</w:t>
      </w:r>
    </w:p>
    <w:p>
      <w:pPr>
        <w:pStyle w:val="55"/>
        <w:numPr>
          <w:ilvl w:val="0"/>
          <w:numId w:val="0"/>
        </w:numPr>
        <w:rPr>
          <w:rFonts w:ascii="仿宋_GB2312" w:eastAsia="仿宋_GB2312"/>
          <w:color w:val="auto"/>
          <w:szCs w:val="24"/>
          <w:highlight w:val="none"/>
        </w:rPr>
      </w:pPr>
      <w:bookmarkStart w:id="886" w:name="_Ref3835481"/>
      <w:r>
        <w:rPr>
          <w:rFonts w:hint="eastAsia" w:ascii="仿宋_GB2312" w:eastAsia="仿宋_GB2312"/>
          <w:color w:val="auto"/>
          <w:szCs w:val="24"/>
          <w:highlight w:val="none"/>
        </w:rPr>
        <w:t>1</w:t>
      </w:r>
      <w:r>
        <w:rPr>
          <w:rFonts w:ascii="仿宋_GB2312" w:eastAsia="仿宋_GB2312"/>
          <w:color w:val="auto"/>
          <w:szCs w:val="24"/>
          <w:highlight w:val="none"/>
        </w:rPr>
        <w:t xml:space="preserve">3.3.3 </w:t>
      </w:r>
      <w:r>
        <w:rPr>
          <w:rFonts w:hint="eastAsia" w:ascii="仿宋_GB2312" w:eastAsia="仿宋_GB2312"/>
          <w:color w:val="auto"/>
          <w:szCs w:val="24"/>
          <w:highlight w:val="none"/>
        </w:rPr>
        <w:t>变更估价</w:t>
      </w:r>
      <w:bookmarkEnd w:id="886"/>
    </w:p>
    <w:p>
      <w:pPr>
        <w:pStyle w:val="56"/>
        <w:widowControl/>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3.3.3.1 </w:t>
      </w:r>
      <w:r>
        <w:rPr>
          <w:rFonts w:hint="eastAsia" w:ascii="仿宋_GB2312" w:eastAsia="仿宋_GB2312"/>
          <w:color w:val="auto"/>
          <w:szCs w:val="24"/>
          <w:highlight w:val="none"/>
        </w:rPr>
        <w:t>变更估价原则</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除专用合同条件另有约定外，变更估价按照本款约定处理：</w:t>
      </w:r>
    </w:p>
    <w:p>
      <w:pPr>
        <w:ind w:firstLine="600"/>
        <w:rPr>
          <w:rFonts w:ascii="仿宋_GB2312" w:eastAsia="仿宋_GB2312"/>
          <w:color w:val="auto"/>
          <w:sz w:val="24"/>
          <w:highlight w:val="none"/>
        </w:rPr>
      </w:pPr>
      <w:r>
        <w:rPr>
          <w:rFonts w:hint="eastAsia" w:ascii="仿宋_GB2312" w:eastAsia="仿宋_GB2312"/>
          <w:color w:val="auto"/>
          <w:sz w:val="24"/>
          <w:highlight w:val="none"/>
        </w:rPr>
        <w:t>（1） 合同中未包含价格清单，合同价格应按照所执行的变更工程的成本加利润调整；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（2） 合同中包含价格清单，合同价格按照如下规则调整：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1） 价格清单中有适用于变更工程项目的，应采用该项目的费率和价格；</w:t>
      </w:r>
    </w:p>
    <w:p>
      <w:pPr>
        <w:ind w:firstLine="600"/>
        <w:rPr>
          <w:rFonts w:ascii="仿宋_GB2312" w:eastAsia="仿宋_GB2312"/>
          <w:color w:val="auto"/>
          <w:sz w:val="24"/>
          <w:highlight w:val="none"/>
        </w:rPr>
      </w:pPr>
      <w:r>
        <w:rPr>
          <w:rFonts w:hint="eastAsia" w:ascii="仿宋_GB2312" w:eastAsia="仿宋_GB2312"/>
          <w:color w:val="auto"/>
          <w:sz w:val="24"/>
          <w:highlight w:val="none"/>
        </w:rPr>
        <w:t>2） 价格清单中没有适用但有类似于变更工程项目的，可在合理范围内参照类似项目的费率或价格；</w:t>
      </w:r>
    </w:p>
    <w:p>
      <w:pPr>
        <w:ind w:firstLine="600"/>
        <w:rPr>
          <w:rFonts w:ascii="仿宋_GB2312" w:eastAsia="仿宋_GB2312"/>
          <w:color w:val="auto"/>
          <w:sz w:val="24"/>
          <w:highlight w:val="none"/>
        </w:rPr>
      </w:pPr>
      <w:r>
        <w:rPr>
          <w:rFonts w:hint="eastAsia" w:ascii="仿宋_GB2312" w:eastAsia="仿宋_GB2312"/>
          <w:color w:val="auto"/>
          <w:sz w:val="24"/>
          <w:highlight w:val="none"/>
        </w:rPr>
        <w:t>3） 价格清单中没有适用也没有类似于变更工程项目的，该工程项目应按成本加利润原则调整适用新的费率或价格。</w:t>
      </w:r>
    </w:p>
    <w:p>
      <w:pPr>
        <w:pStyle w:val="56"/>
        <w:widowControl/>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3.3.</w:t>
      </w:r>
      <w:r>
        <w:rPr>
          <w:rFonts w:hint="eastAsia" w:ascii="仿宋_GB2312" w:eastAsia="仿宋_GB2312"/>
          <w:color w:val="auto"/>
          <w:szCs w:val="24"/>
          <w:highlight w:val="none"/>
        </w:rPr>
        <w:t>3</w:t>
      </w:r>
      <w:r>
        <w:rPr>
          <w:rFonts w:ascii="仿宋_GB2312" w:eastAsia="仿宋_GB2312"/>
          <w:color w:val="auto"/>
          <w:szCs w:val="24"/>
          <w:highlight w:val="none"/>
        </w:rPr>
        <w:t xml:space="preserve">.2 </w:t>
      </w:r>
      <w:r>
        <w:rPr>
          <w:rFonts w:hint="eastAsia" w:ascii="仿宋_GB2312" w:eastAsia="仿宋_GB2312"/>
          <w:color w:val="auto"/>
          <w:szCs w:val="24"/>
          <w:highlight w:val="none"/>
        </w:rPr>
        <w:t>变更估价程序</w:t>
      </w:r>
    </w:p>
    <w:p>
      <w:pPr>
        <w:ind w:firstLine="600"/>
        <w:rPr>
          <w:rFonts w:ascii="仿宋_GB2312" w:eastAsia="仿宋_GB2312"/>
          <w:color w:val="auto"/>
          <w:sz w:val="24"/>
          <w:highlight w:val="none"/>
        </w:rPr>
      </w:pPr>
      <w:bookmarkStart w:id="887" w:name="_Ref531955605"/>
      <w:bookmarkStart w:id="888" w:name="_Ref531955607"/>
      <w:bookmarkStart w:id="889" w:name="_Toc296503150"/>
      <w:bookmarkStart w:id="890" w:name="_Toc337558844"/>
      <w:bookmarkStart w:id="891" w:name="_Toc296346651"/>
      <w:r>
        <w:rPr>
          <w:rFonts w:hint="eastAsia" w:ascii="仿宋_GB2312" w:eastAsia="仿宋_GB2312"/>
          <w:color w:val="auto"/>
          <w:sz w:val="24"/>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因变更引起的价格调整应计入最近一期的进度款中支付。</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3.3.4 </w:t>
      </w:r>
      <w:r>
        <w:rPr>
          <w:rFonts w:hint="eastAsia" w:ascii="仿宋_GB2312" w:eastAsia="仿宋_GB2312"/>
          <w:color w:val="auto"/>
          <w:szCs w:val="24"/>
          <w:highlight w:val="none"/>
        </w:rPr>
        <w:t>变更引起的工期调整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因变更引起工期变化的，合同当事人均可要求调整合同工期，由合同当事人按照第</w:t>
      </w:r>
      <w:r>
        <w:rPr>
          <w:rFonts w:ascii="仿宋_GB2312" w:eastAsia="仿宋_GB2312"/>
          <w:color w:val="auto"/>
          <w:sz w:val="24"/>
          <w:highlight w:val="none"/>
        </w:rPr>
        <w:t>3.6</w:t>
      </w:r>
      <w:r>
        <w:rPr>
          <w:rFonts w:hint="eastAsia" w:ascii="仿宋_GB2312" w:eastAsia="仿宋_GB2312"/>
          <w:color w:val="auto"/>
          <w:sz w:val="24"/>
          <w:highlight w:val="none"/>
        </w:rPr>
        <w:t>款[商定或确定]并参考工程所在地的工期定额标准确定增减工期天数。</w:t>
      </w:r>
    </w:p>
    <w:p>
      <w:pPr>
        <w:pStyle w:val="54"/>
        <w:widowControl/>
        <w:numPr>
          <w:ilvl w:val="0"/>
          <w:numId w:val="0"/>
        </w:numPr>
        <w:rPr>
          <w:b w:val="0"/>
          <w:bCs/>
          <w:color w:val="auto"/>
          <w:highlight w:val="none"/>
        </w:rPr>
      </w:pPr>
      <w:bookmarkStart w:id="892" w:name="_Toc54862286"/>
      <w:bookmarkStart w:id="893" w:name="_Ref4431237"/>
      <w:r>
        <w:rPr>
          <w:rFonts w:hint="eastAsia"/>
          <w:b w:val="0"/>
          <w:bCs/>
          <w:color w:val="auto"/>
          <w:highlight w:val="none"/>
        </w:rPr>
        <w:t>1</w:t>
      </w:r>
      <w:r>
        <w:rPr>
          <w:b w:val="0"/>
          <w:bCs/>
          <w:color w:val="auto"/>
          <w:highlight w:val="none"/>
        </w:rPr>
        <w:t xml:space="preserve">3.4 </w:t>
      </w:r>
      <w:r>
        <w:rPr>
          <w:rFonts w:hint="eastAsia"/>
          <w:b w:val="0"/>
          <w:bCs/>
          <w:color w:val="auto"/>
          <w:highlight w:val="none"/>
        </w:rPr>
        <w:t>暂估价</w:t>
      </w:r>
      <w:bookmarkEnd w:id="892"/>
      <w:bookmarkEnd w:id="893"/>
    </w:p>
    <w:p>
      <w:pPr>
        <w:pStyle w:val="55"/>
        <w:numPr>
          <w:ilvl w:val="0"/>
          <w:numId w:val="0"/>
        </w:numPr>
        <w:rPr>
          <w:rFonts w:ascii="仿宋_GB2312" w:eastAsia="仿宋_GB2312"/>
          <w:color w:val="auto"/>
          <w:szCs w:val="24"/>
          <w:highlight w:val="none"/>
        </w:rPr>
      </w:pPr>
      <w:bookmarkStart w:id="894" w:name="_Ref4616729"/>
      <w:r>
        <w:rPr>
          <w:rFonts w:hint="eastAsia" w:ascii="仿宋_GB2312" w:eastAsia="仿宋_GB2312"/>
          <w:color w:val="auto"/>
          <w:szCs w:val="24"/>
          <w:highlight w:val="none"/>
        </w:rPr>
        <w:t>1</w:t>
      </w:r>
      <w:r>
        <w:rPr>
          <w:rFonts w:ascii="仿宋_GB2312" w:eastAsia="仿宋_GB2312"/>
          <w:color w:val="auto"/>
          <w:szCs w:val="24"/>
          <w:highlight w:val="none"/>
        </w:rPr>
        <w:t xml:space="preserve">3.4.1 </w:t>
      </w:r>
      <w:r>
        <w:rPr>
          <w:rFonts w:hint="eastAsia" w:ascii="仿宋_GB2312" w:eastAsia="仿宋_GB2312"/>
          <w:color w:val="auto"/>
          <w:szCs w:val="24"/>
          <w:highlight w:val="none"/>
        </w:rPr>
        <w:t>依法必须招标的暂估价项目</w:t>
      </w:r>
      <w:bookmarkEnd w:id="894"/>
    </w:p>
    <w:p>
      <w:pPr>
        <w:ind w:firstLine="600"/>
        <w:rPr>
          <w:rFonts w:ascii="仿宋_GB2312" w:eastAsia="仿宋_GB2312"/>
          <w:color w:val="auto"/>
          <w:sz w:val="24"/>
          <w:highlight w:val="none"/>
        </w:rPr>
      </w:pPr>
      <w:r>
        <w:rPr>
          <w:rFonts w:hint="eastAsia" w:ascii="仿宋_GB2312" w:eastAsia="仿宋_GB2312"/>
          <w:color w:val="auto"/>
          <w:sz w:val="24"/>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57"/>
        <w:numPr>
          <w:ilvl w:val="0"/>
          <w:numId w:val="0"/>
        </w:numPr>
        <w:ind w:firstLine="480" w:firstLineChars="200"/>
        <w:rPr>
          <w:rFonts w:ascii="仿宋_GB2312" w:eastAsia="仿宋_GB2312"/>
          <w:color w:val="auto"/>
          <w:szCs w:val="24"/>
          <w:highlight w:val="none"/>
        </w:rPr>
      </w:pPr>
      <w:r>
        <w:rPr>
          <w:rFonts w:hint="eastAsia" w:ascii="仿宋_GB2312" w:eastAsia="仿宋_GB2312"/>
          <w:color w:val="auto"/>
          <w:szCs w:val="24"/>
          <w:highlight w:val="none"/>
        </w:rPr>
        <w:t>专用合同条件约定由发包人和承包人共同作为招标人的，与组织招标工作有关的费用在专用合同条件中约定。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具体的招标程序以及发包人和承包人权利义务关系可在专用合同条件中约定。暂估价项目的中标金额与价格清单中所列暂估价的金额差以及相应的税金等其他费用应列入合同价格。</w:t>
      </w:r>
    </w:p>
    <w:p>
      <w:pPr>
        <w:pStyle w:val="55"/>
        <w:numPr>
          <w:ilvl w:val="0"/>
          <w:numId w:val="0"/>
        </w:numPr>
        <w:rPr>
          <w:rFonts w:ascii="仿宋_GB2312" w:eastAsia="仿宋_GB2312"/>
          <w:color w:val="auto"/>
          <w:szCs w:val="24"/>
          <w:highlight w:val="none"/>
        </w:rPr>
      </w:pPr>
      <w:bookmarkStart w:id="895" w:name="_Ref4682312"/>
      <w:r>
        <w:rPr>
          <w:rFonts w:hint="eastAsia" w:ascii="仿宋_GB2312" w:eastAsia="仿宋_GB2312"/>
          <w:color w:val="auto"/>
          <w:szCs w:val="24"/>
          <w:highlight w:val="none"/>
        </w:rPr>
        <w:t>1</w:t>
      </w:r>
      <w:r>
        <w:rPr>
          <w:rFonts w:ascii="仿宋_GB2312" w:eastAsia="仿宋_GB2312"/>
          <w:color w:val="auto"/>
          <w:szCs w:val="24"/>
          <w:highlight w:val="none"/>
        </w:rPr>
        <w:t xml:space="preserve">3.4.2 </w:t>
      </w:r>
      <w:r>
        <w:rPr>
          <w:rFonts w:hint="eastAsia" w:ascii="仿宋_GB2312" w:eastAsia="仿宋_GB2312"/>
          <w:color w:val="auto"/>
          <w:szCs w:val="24"/>
          <w:highlight w:val="none"/>
        </w:rPr>
        <w:t>不属于依法必须招标的暂估价项目</w:t>
      </w:r>
      <w:bookmarkEnd w:id="895"/>
    </w:p>
    <w:p>
      <w:pPr>
        <w:ind w:firstLine="600"/>
        <w:rPr>
          <w:rFonts w:ascii="仿宋_GB2312" w:eastAsia="仿宋_GB2312"/>
          <w:color w:val="auto"/>
          <w:sz w:val="24"/>
          <w:highlight w:val="none"/>
        </w:rPr>
      </w:pPr>
      <w:r>
        <w:rPr>
          <w:rFonts w:hint="eastAsia" w:ascii="仿宋_GB2312" w:eastAsia="仿宋_GB2312"/>
          <w:color w:val="auto"/>
          <w:sz w:val="24"/>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4"/>
        <w:widowControl/>
        <w:numPr>
          <w:ilvl w:val="0"/>
          <w:numId w:val="0"/>
        </w:numPr>
        <w:rPr>
          <w:b w:val="0"/>
          <w:bCs/>
          <w:color w:val="auto"/>
          <w:highlight w:val="none"/>
        </w:rPr>
      </w:pPr>
      <w:bookmarkStart w:id="896" w:name="_Ref4431250"/>
      <w:bookmarkStart w:id="897" w:name="_Toc54862287"/>
      <w:r>
        <w:rPr>
          <w:rFonts w:hint="eastAsia"/>
          <w:b w:val="0"/>
          <w:bCs/>
          <w:color w:val="auto"/>
          <w:highlight w:val="none"/>
        </w:rPr>
        <w:t>1</w:t>
      </w:r>
      <w:r>
        <w:rPr>
          <w:b w:val="0"/>
          <w:bCs/>
          <w:color w:val="auto"/>
          <w:highlight w:val="none"/>
        </w:rPr>
        <w:t xml:space="preserve">3.5 </w:t>
      </w:r>
      <w:r>
        <w:rPr>
          <w:rFonts w:hint="eastAsia"/>
          <w:b w:val="0"/>
          <w:bCs/>
          <w:color w:val="auto"/>
          <w:highlight w:val="none"/>
        </w:rPr>
        <w:t>暂列金额</w:t>
      </w:r>
      <w:bookmarkEnd w:id="896"/>
      <w:bookmarkEnd w:id="897"/>
      <w:r>
        <w:rPr>
          <w:rFonts w:hint="eastAsia"/>
          <w:b w:val="0"/>
          <w:bCs/>
          <w:color w:val="auto"/>
          <w:highlight w:val="none"/>
        </w:rPr>
        <w:t xml:space="preserve"> </w:t>
      </w:r>
      <w:bookmarkEnd w:id="887"/>
      <w:bookmarkEnd w:id="888"/>
    </w:p>
    <w:bookmarkEnd w:id="889"/>
    <w:bookmarkEnd w:id="890"/>
    <w:bookmarkEnd w:id="891"/>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对于每笔暂列金额，发包人可以指示用于下列支付：</w:t>
      </w:r>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发包人根据第</w:t>
      </w:r>
      <w:r>
        <w:rPr>
          <w:rFonts w:ascii="仿宋_GB2312" w:eastAsia="仿宋_GB2312"/>
          <w:color w:val="auto"/>
          <w:sz w:val="24"/>
          <w:highlight w:val="none"/>
        </w:rPr>
        <w:t>13.1</w:t>
      </w:r>
      <w:r>
        <w:rPr>
          <w:rFonts w:hint="eastAsia" w:ascii="仿宋_GB2312" w:eastAsia="仿宋_GB2312"/>
          <w:color w:val="auto"/>
          <w:sz w:val="24"/>
          <w:highlight w:val="none"/>
        </w:rPr>
        <w:t>款[发包人变更权]指示变更，决定对合同价格和付款计划表（如有）进行调整的、由承包人实施的工作（包括要提供的工程设备、材料和服务）；</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ind w:firstLine="600"/>
        <w:rPr>
          <w:rFonts w:ascii="仿宋_GB2312" w:eastAsia="仿宋_GB2312"/>
          <w:color w:val="auto"/>
          <w:sz w:val="24"/>
          <w:highlight w:val="none"/>
        </w:rPr>
      </w:pPr>
      <w:r>
        <w:rPr>
          <w:rFonts w:hint="eastAsia" w:ascii="仿宋_GB2312" w:eastAsia="仿宋_GB2312"/>
          <w:color w:val="auto"/>
          <w:sz w:val="24"/>
          <w:highlight w:val="none"/>
        </w:rPr>
        <w:t>每份包含暂列金额的文件还应包括用以证明暂列金额的所有有效的发票、凭证和账户或收据。</w:t>
      </w:r>
    </w:p>
    <w:p>
      <w:pPr>
        <w:pStyle w:val="54"/>
        <w:widowControl/>
        <w:numPr>
          <w:ilvl w:val="0"/>
          <w:numId w:val="0"/>
        </w:numPr>
        <w:rPr>
          <w:b w:val="0"/>
          <w:bCs/>
          <w:color w:val="auto"/>
          <w:highlight w:val="none"/>
        </w:rPr>
      </w:pPr>
      <w:bookmarkStart w:id="898" w:name="_Toc54862288"/>
      <w:bookmarkStart w:id="899" w:name="_Toc296346653"/>
      <w:bookmarkStart w:id="900" w:name="_Toc296503152"/>
      <w:bookmarkStart w:id="901" w:name="_Ref4431438"/>
      <w:bookmarkStart w:id="902" w:name="_Toc337558845"/>
      <w:r>
        <w:rPr>
          <w:rFonts w:hint="eastAsia"/>
          <w:b w:val="0"/>
          <w:bCs/>
          <w:color w:val="auto"/>
          <w:highlight w:val="none"/>
        </w:rPr>
        <w:t>1</w:t>
      </w:r>
      <w:r>
        <w:rPr>
          <w:b w:val="0"/>
          <w:bCs/>
          <w:color w:val="auto"/>
          <w:highlight w:val="none"/>
        </w:rPr>
        <w:t xml:space="preserve">3.6 </w:t>
      </w:r>
      <w:r>
        <w:rPr>
          <w:rFonts w:hint="eastAsia"/>
          <w:b w:val="0"/>
          <w:bCs/>
          <w:color w:val="auto"/>
          <w:highlight w:val="none"/>
        </w:rPr>
        <w:t>计日工</w:t>
      </w:r>
      <w:bookmarkEnd w:id="898"/>
      <w:bookmarkEnd w:id="899"/>
      <w:bookmarkEnd w:id="900"/>
      <w:bookmarkEnd w:id="901"/>
      <w:bookmarkEnd w:id="902"/>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3.6.1 </w:t>
      </w:r>
      <w:r>
        <w:rPr>
          <w:rFonts w:hint="eastAsia" w:ascii="仿宋_GB2312" w:eastAsia="仿宋_GB2312"/>
          <w:color w:val="auto"/>
          <w:szCs w:val="24"/>
          <w:highlight w:val="none"/>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rFonts w:ascii="仿宋_GB2312" w:eastAsia="仿宋_GB2312"/>
          <w:color w:val="auto"/>
          <w:szCs w:val="24"/>
          <w:highlight w:val="none"/>
        </w:rPr>
        <w:t>3.6</w:t>
      </w:r>
      <w:r>
        <w:rPr>
          <w:rFonts w:hint="eastAsia" w:ascii="仿宋_GB2312" w:eastAsia="仿宋_GB2312"/>
          <w:color w:val="auto"/>
          <w:szCs w:val="24"/>
          <w:highlight w:val="none"/>
        </w:rPr>
        <w:t>款[商定或确定]确定计日工的单价。</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3.6.2 </w:t>
      </w:r>
      <w:r>
        <w:rPr>
          <w:rFonts w:hint="eastAsia" w:ascii="仿宋_GB2312" w:eastAsia="仿宋_GB2312"/>
          <w:color w:val="auto"/>
          <w:szCs w:val="24"/>
          <w:highlight w:val="none"/>
        </w:rPr>
        <w:t>采用计日工计价的任何一项工作，承包人应在该项工作实施过程中，每天提交以下报表和有关凭证报送工程师审查：</w:t>
      </w:r>
    </w:p>
    <w:p>
      <w:pPr>
        <w:ind w:firstLine="600"/>
        <w:rPr>
          <w:rFonts w:ascii="仿宋_GB2312" w:eastAsia="仿宋_GB2312"/>
          <w:color w:val="auto"/>
          <w:sz w:val="24"/>
          <w:highlight w:val="none"/>
        </w:rPr>
      </w:pPr>
      <w:r>
        <w:rPr>
          <w:rFonts w:hint="eastAsia" w:ascii="仿宋_GB2312" w:eastAsia="仿宋_GB2312"/>
          <w:color w:val="auto"/>
          <w:sz w:val="24"/>
          <w:highlight w:val="none"/>
        </w:rPr>
        <w:t>（1） 工作名称、内容和数量；</w:t>
      </w:r>
    </w:p>
    <w:p>
      <w:pPr>
        <w:ind w:firstLine="600"/>
        <w:rPr>
          <w:rFonts w:ascii="仿宋_GB2312" w:eastAsia="仿宋_GB2312"/>
          <w:color w:val="auto"/>
          <w:sz w:val="24"/>
          <w:highlight w:val="none"/>
        </w:rPr>
      </w:pPr>
      <w:r>
        <w:rPr>
          <w:rFonts w:hint="eastAsia" w:ascii="仿宋_GB2312" w:eastAsia="仿宋_GB2312"/>
          <w:color w:val="auto"/>
          <w:sz w:val="24"/>
          <w:highlight w:val="none"/>
        </w:rPr>
        <w:t>（2） 投入该工作的所有人员的姓名、专业、工种、级别和耗用工时；</w:t>
      </w:r>
    </w:p>
    <w:p>
      <w:pPr>
        <w:ind w:firstLine="600"/>
        <w:rPr>
          <w:rFonts w:ascii="仿宋_GB2312" w:eastAsia="仿宋_GB2312"/>
          <w:color w:val="auto"/>
          <w:sz w:val="24"/>
          <w:highlight w:val="none"/>
        </w:rPr>
      </w:pPr>
      <w:r>
        <w:rPr>
          <w:rFonts w:hint="eastAsia" w:ascii="仿宋_GB2312" w:eastAsia="仿宋_GB2312"/>
          <w:color w:val="auto"/>
          <w:sz w:val="24"/>
          <w:highlight w:val="none"/>
        </w:rPr>
        <w:t>（3） 投入该工作的材料类别和数量；</w:t>
      </w:r>
    </w:p>
    <w:p>
      <w:pPr>
        <w:ind w:firstLine="600"/>
        <w:rPr>
          <w:rFonts w:ascii="仿宋_GB2312" w:eastAsia="仿宋_GB2312"/>
          <w:color w:val="auto"/>
          <w:sz w:val="24"/>
          <w:highlight w:val="none"/>
        </w:rPr>
      </w:pPr>
      <w:r>
        <w:rPr>
          <w:rFonts w:hint="eastAsia" w:ascii="仿宋_GB2312" w:eastAsia="仿宋_GB2312"/>
          <w:color w:val="auto"/>
          <w:sz w:val="24"/>
          <w:highlight w:val="none"/>
        </w:rPr>
        <w:t>（4） 投入该工作的施工设备型号、台数和耗用台时；</w:t>
      </w:r>
    </w:p>
    <w:p>
      <w:pPr>
        <w:ind w:firstLine="600"/>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5</w:t>
      </w:r>
      <w:r>
        <w:rPr>
          <w:rFonts w:hint="eastAsia" w:ascii="仿宋_GB2312" w:eastAsia="仿宋_GB2312"/>
          <w:color w:val="auto"/>
          <w:sz w:val="24"/>
          <w:highlight w:val="none"/>
        </w:rPr>
        <w:t>） 其他有关资料和凭证。</w:t>
      </w:r>
    </w:p>
    <w:p>
      <w:pPr>
        <w:ind w:firstLine="600"/>
        <w:rPr>
          <w:rFonts w:ascii="仿宋_GB2312" w:eastAsia="仿宋_GB2312"/>
          <w:color w:val="auto"/>
          <w:sz w:val="24"/>
          <w:highlight w:val="none"/>
        </w:rPr>
      </w:pPr>
      <w:r>
        <w:rPr>
          <w:rFonts w:hint="eastAsia" w:ascii="仿宋_GB2312" w:eastAsia="仿宋_GB2312"/>
          <w:color w:val="auto"/>
          <w:sz w:val="24"/>
          <w:highlight w:val="none"/>
        </w:rPr>
        <w:t>计日工由承包人汇总后，列入最近一期进度付款申请单，由工程师审查并经发包人批准后列入进度付款。</w:t>
      </w:r>
    </w:p>
    <w:p>
      <w:pPr>
        <w:pStyle w:val="54"/>
        <w:widowControl/>
        <w:numPr>
          <w:ilvl w:val="0"/>
          <w:numId w:val="0"/>
        </w:numPr>
        <w:rPr>
          <w:b w:val="0"/>
          <w:bCs/>
          <w:color w:val="auto"/>
          <w:highlight w:val="none"/>
        </w:rPr>
      </w:pPr>
      <w:bookmarkStart w:id="903" w:name="_Ref4617331"/>
      <w:bookmarkStart w:id="904" w:name="_Ref4617318"/>
      <w:bookmarkStart w:id="905" w:name="_Toc54862289"/>
      <w:r>
        <w:rPr>
          <w:rFonts w:hint="eastAsia"/>
          <w:b w:val="0"/>
          <w:bCs/>
          <w:color w:val="auto"/>
          <w:highlight w:val="none"/>
        </w:rPr>
        <w:t>1</w:t>
      </w:r>
      <w:r>
        <w:rPr>
          <w:b w:val="0"/>
          <w:bCs/>
          <w:color w:val="auto"/>
          <w:highlight w:val="none"/>
        </w:rPr>
        <w:t xml:space="preserve">3.7 </w:t>
      </w:r>
      <w:r>
        <w:rPr>
          <w:rFonts w:hint="eastAsia"/>
          <w:b w:val="0"/>
          <w:bCs/>
          <w:color w:val="auto"/>
          <w:highlight w:val="none"/>
        </w:rPr>
        <w:t>法律变化引起的调整</w:t>
      </w:r>
      <w:bookmarkEnd w:id="903"/>
      <w:bookmarkEnd w:id="904"/>
      <w:bookmarkEnd w:id="905"/>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3.7.1 </w:t>
      </w:r>
      <w:r>
        <w:rPr>
          <w:rFonts w:hint="eastAsia" w:ascii="仿宋_GB2312" w:eastAsia="仿宋_GB2312"/>
          <w:color w:val="auto"/>
          <w:szCs w:val="24"/>
          <w:highlight w:val="none"/>
        </w:rPr>
        <w:t>基准日期后，法律变化导致承包人在合同履行过程中所需要的费用发生除第13.</w:t>
      </w:r>
      <w:r>
        <w:rPr>
          <w:rFonts w:ascii="仿宋_GB2312" w:eastAsia="仿宋_GB2312"/>
          <w:color w:val="auto"/>
          <w:szCs w:val="24"/>
          <w:highlight w:val="none"/>
        </w:rPr>
        <w:t>8</w:t>
      </w:r>
      <w:r>
        <w:rPr>
          <w:rFonts w:hint="eastAsia" w:ascii="仿宋_GB2312" w:eastAsia="仿宋_GB2312"/>
          <w:color w:val="auto"/>
          <w:szCs w:val="24"/>
          <w:highlight w:val="none"/>
        </w:rPr>
        <w:t>款[市场价格波动引起的调整]约定以外的增加时，由发包人承担由此增加的费用；减少时，应从合同价格中予以扣减。基准日期后，因法律变化造成工期延误时，工期应予以顺延。</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3.7.2 </w:t>
      </w:r>
      <w:r>
        <w:rPr>
          <w:rFonts w:hint="eastAsia" w:ascii="仿宋_GB2312" w:eastAsia="仿宋_GB2312"/>
          <w:color w:val="auto"/>
          <w:szCs w:val="24"/>
          <w:highlight w:val="none"/>
        </w:rPr>
        <w:t>因法律变化引起的合同价格和工期调整，合同当事人无法达成一致的，由工程师按第</w:t>
      </w:r>
      <w:r>
        <w:rPr>
          <w:rFonts w:ascii="仿宋_GB2312" w:eastAsia="仿宋_GB2312"/>
          <w:color w:val="auto"/>
          <w:szCs w:val="24"/>
          <w:highlight w:val="none"/>
        </w:rPr>
        <w:t>3.6</w:t>
      </w:r>
      <w:r>
        <w:rPr>
          <w:rFonts w:hint="eastAsia" w:ascii="仿宋_GB2312" w:eastAsia="仿宋_GB2312"/>
          <w:color w:val="auto"/>
          <w:szCs w:val="24"/>
          <w:highlight w:val="none"/>
        </w:rPr>
        <w:t>款[商定或确定]的约定处理。</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3.7.3 </w:t>
      </w:r>
      <w:r>
        <w:rPr>
          <w:rFonts w:hint="eastAsia" w:ascii="仿宋_GB2312" w:eastAsia="仿宋_GB2312"/>
          <w:color w:val="auto"/>
          <w:szCs w:val="24"/>
          <w:highlight w:val="none"/>
        </w:rPr>
        <w:t>因承包人原因造成工期延误，在工期延误期间出现法律变化的，由此增加的费用和（或）延误的工期由承包人承担。</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3.7.4 </w:t>
      </w:r>
      <w:r>
        <w:rPr>
          <w:rFonts w:hint="eastAsia" w:ascii="仿宋_GB2312" w:eastAsia="仿宋_GB2312"/>
          <w:color w:val="auto"/>
          <w:szCs w:val="24"/>
          <w:highlight w:val="none"/>
        </w:rPr>
        <w:t>因法律变化而需要对工程的实施进行任何调整的，承包人应迅速通知发包人，或者发包人应迅速通知承包人，并附上详细的辅助资料。发包人接到通知后，应根据第</w:t>
      </w:r>
      <w:r>
        <w:rPr>
          <w:rFonts w:ascii="仿宋_GB2312" w:eastAsia="仿宋_GB2312"/>
          <w:color w:val="auto"/>
          <w:szCs w:val="24"/>
          <w:highlight w:val="none"/>
        </w:rPr>
        <w:t>13.3</w:t>
      </w:r>
      <w:r>
        <w:rPr>
          <w:rFonts w:hint="eastAsia" w:ascii="仿宋_GB2312" w:eastAsia="仿宋_GB2312"/>
          <w:color w:val="auto"/>
          <w:szCs w:val="24"/>
          <w:highlight w:val="none"/>
        </w:rPr>
        <w:t>款[</w:t>
      </w:r>
      <w:r>
        <w:rPr>
          <w:rFonts w:ascii="仿宋_GB2312" w:eastAsia="仿宋_GB2312"/>
          <w:color w:val="auto"/>
          <w:szCs w:val="24"/>
          <w:highlight w:val="none"/>
        </w:rPr>
        <w:t>变更程序</w:t>
      </w:r>
      <w:r>
        <w:rPr>
          <w:rFonts w:hint="eastAsia" w:ascii="仿宋_GB2312" w:eastAsia="仿宋_GB2312"/>
          <w:color w:val="auto"/>
          <w:szCs w:val="24"/>
          <w:highlight w:val="none"/>
        </w:rPr>
        <w:t>]发出变更指示。</w:t>
      </w:r>
    </w:p>
    <w:p>
      <w:pPr>
        <w:pStyle w:val="54"/>
        <w:widowControl/>
        <w:numPr>
          <w:ilvl w:val="0"/>
          <w:numId w:val="0"/>
        </w:numPr>
        <w:rPr>
          <w:b w:val="0"/>
          <w:bCs/>
          <w:color w:val="auto"/>
          <w:highlight w:val="none"/>
        </w:rPr>
      </w:pPr>
      <w:bookmarkStart w:id="906" w:name="_Ref531955627"/>
      <w:bookmarkStart w:id="907" w:name="_Ref531955630"/>
      <w:bookmarkStart w:id="908" w:name="_Toc54862290"/>
      <w:bookmarkStart w:id="909" w:name="_Ref18977613"/>
      <w:r>
        <w:rPr>
          <w:rFonts w:hint="eastAsia"/>
          <w:b w:val="0"/>
          <w:bCs/>
          <w:color w:val="auto"/>
          <w:highlight w:val="none"/>
        </w:rPr>
        <w:t>1</w:t>
      </w:r>
      <w:r>
        <w:rPr>
          <w:b w:val="0"/>
          <w:bCs/>
          <w:color w:val="auto"/>
          <w:highlight w:val="none"/>
        </w:rPr>
        <w:t xml:space="preserve">3.8 </w:t>
      </w:r>
      <w:r>
        <w:rPr>
          <w:rFonts w:hint="eastAsia"/>
          <w:b w:val="0"/>
          <w:bCs/>
          <w:color w:val="auto"/>
          <w:highlight w:val="none"/>
        </w:rPr>
        <w:t>市场价格波动引起的调整</w:t>
      </w:r>
      <w:bookmarkEnd w:id="906"/>
      <w:bookmarkEnd w:id="907"/>
      <w:bookmarkEnd w:id="908"/>
      <w:bookmarkEnd w:id="909"/>
    </w:p>
    <w:p>
      <w:pPr>
        <w:pStyle w:val="55"/>
        <w:numPr>
          <w:ilvl w:val="0"/>
          <w:numId w:val="0"/>
        </w:numPr>
        <w:rPr>
          <w:rFonts w:ascii="仿宋_GB2312" w:eastAsia="仿宋_GB2312"/>
          <w:color w:val="auto"/>
          <w:szCs w:val="24"/>
          <w:highlight w:val="none"/>
        </w:rPr>
      </w:pPr>
      <w:bookmarkStart w:id="910" w:name="_Ref4709841"/>
      <w:r>
        <w:rPr>
          <w:rFonts w:hint="eastAsia" w:ascii="仿宋_GB2312" w:eastAsia="仿宋_GB2312"/>
          <w:color w:val="auto"/>
          <w:szCs w:val="24"/>
          <w:highlight w:val="none"/>
        </w:rPr>
        <w:t>1</w:t>
      </w:r>
      <w:r>
        <w:rPr>
          <w:rFonts w:ascii="仿宋_GB2312" w:eastAsia="仿宋_GB2312"/>
          <w:color w:val="auto"/>
          <w:szCs w:val="24"/>
          <w:highlight w:val="none"/>
        </w:rPr>
        <w:t xml:space="preserve">3.8.1 </w:t>
      </w:r>
      <w:r>
        <w:rPr>
          <w:rFonts w:hint="eastAsia" w:ascii="仿宋_GB2312" w:eastAsia="仿宋_GB2312"/>
          <w:color w:val="auto"/>
          <w:szCs w:val="24"/>
          <w:highlight w:val="none"/>
        </w:rPr>
        <w:t>主要工程材料、设备、人工价格与招标时基期价相比，波动幅度超过合同约定幅度的，双方按照合同约定的价格调整方式调整。</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3.8.2 </w:t>
      </w:r>
      <w:r>
        <w:rPr>
          <w:rFonts w:hint="eastAsia" w:ascii="仿宋_GB2312" w:eastAsia="仿宋_GB2312"/>
          <w:color w:val="auto"/>
          <w:szCs w:val="24"/>
          <w:highlight w:val="none"/>
        </w:rPr>
        <w:t>发包人与承包人在专用合同条件中约定采用《价格指数权重表》的，适用本项约定。</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3.8.2.1 </w:t>
      </w:r>
      <w:r>
        <w:rPr>
          <w:rFonts w:hint="eastAsia" w:ascii="仿宋_GB2312" w:eastAsia="仿宋_GB2312"/>
          <w:color w:val="auto"/>
          <w:szCs w:val="24"/>
          <w:highlight w:val="none"/>
        </w:rPr>
        <w:t>双方当事人可以将部分主要工程材料、工程设备、人工价格及其他双方认为应当根据市场价格调整的费用列入附件</w:t>
      </w:r>
      <w:r>
        <w:rPr>
          <w:rFonts w:ascii="仿宋_GB2312" w:eastAsia="仿宋_GB2312"/>
          <w:color w:val="auto"/>
          <w:szCs w:val="24"/>
          <w:highlight w:val="none"/>
        </w:rPr>
        <w:t>6</w:t>
      </w:r>
      <w:r>
        <w:rPr>
          <w:rFonts w:hint="eastAsia" w:ascii="仿宋_GB2312" w:eastAsia="仿宋_GB2312"/>
          <w:color w:val="auto"/>
          <w:szCs w:val="24"/>
          <w:highlight w:val="none"/>
        </w:rPr>
        <w:t>[</w:t>
      </w:r>
      <w:r>
        <w:rPr>
          <w:rFonts w:ascii="仿宋_GB2312" w:eastAsia="仿宋_GB2312"/>
          <w:color w:val="auto"/>
          <w:szCs w:val="24"/>
          <w:highlight w:val="none"/>
        </w:rPr>
        <w:t>价格指数权重表</w:t>
      </w:r>
      <w:r>
        <w:rPr>
          <w:rFonts w:hint="eastAsia" w:ascii="仿宋_GB2312" w:eastAsia="仿宋_GB2312"/>
          <w:color w:val="auto"/>
          <w:szCs w:val="24"/>
          <w:highlight w:val="none"/>
        </w:rPr>
        <w:t>]</w:t>
      </w:r>
      <w:r>
        <w:rPr>
          <w:rFonts w:ascii="仿宋_GB2312" w:eastAsia="仿宋_GB2312"/>
          <w:color w:val="auto"/>
          <w:szCs w:val="24"/>
          <w:highlight w:val="none"/>
        </w:rPr>
        <w:t>，并根据以下公式计算差额并调整合同价格：</w:t>
      </w:r>
    </w:p>
    <w:bookmarkEnd w:id="910"/>
    <w:p>
      <w:pPr>
        <w:ind w:firstLine="600"/>
        <w:rPr>
          <w:rFonts w:hint="eastAsia" w:ascii="仿宋_GB2312" w:eastAsia="仿宋_GB2312"/>
          <w:color w:val="auto"/>
          <w:sz w:val="24"/>
          <w:highlight w:val="none"/>
        </w:rPr>
      </w:pPr>
      <w:bookmarkStart w:id="911" w:name="_Ref4616996"/>
      <w:r>
        <w:rPr>
          <w:rFonts w:hint="eastAsia" w:ascii="仿宋_GB2312" w:eastAsia="仿宋_GB2312"/>
          <w:color w:val="auto"/>
          <w:sz w:val="24"/>
          <w:highlight w:val="none"/>
        </w:rPr>
        <w:t>（1） 价格调整公式</w:t>
      </w:r>
      <w:bookmarkEnd w:id="911"/>
    </w:p>
    <w:p>
      <w:pPr>
        <w:rPr>
          <w:rFonts w:hint="eastAsia" w:ascii="仿宋_GB2312" w:eastAsia="仿宋_GB2312"/>
          <w:color w:val="auto"/>
          <w:sz w:val="24"/>
          <w:highlight w:val="none"/>
        </w:rPr>
      </w:pPr>
      <w:r>
        <w:rPr>
          <w:color w:val="auto"/>
          <w:sz w:val="24"/>
          <w:highlight w:val="none"/>
        </w:rPr>
        <w:drawing>
          <wp:inline distT="0" distB="0" distL="114300" distR="114300">
            <wp:extent cx="4777740" cy="678815"/>
            <wp:effectExtent l="0" t="0" r="762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stretch>
                      <a:fillRect/>
                    </a:stretch>
                  </pic:blipFill>
                  <pic:spPr>
                    <a:xfrm>
                      <a:off x="0" y="0"/>
                      <a:ext cx="4777740" cy="678815"/>
                    </a:xfrm>
                    <a:prstGeom prst="rect">
                      <a:avLst/>
                    </a:prstGeom>
                    <a:noFill/>
                    <a:ln>
                      <a:noFill/>
                    </a:ln>
                  </pic:spPr>
                </pic:pic>
              </a:graphicData>
            </a:graphic>
          </wp:inline>
        </w:drawing>
      </w:r>
    </w:p>
    <w:p>
      <w:pPr>
        <w:ind w:firstLine="600"/>
        <w:rPr>
          <w:rFonts w:ascii="仿宋_GB2312" w:eastAsia="仿宋_GB2312"/>
          <w:color w:val="auto"/>
          <w:sz w:val="24"/>
          <w:highlight w:val="none"/>
        </w:rPr>
      </w:pPr>
      <w:r>
        <w:rPr>
          <w:rFonts w:hint="eastAsia" w:ascii="仿宋_GB2312" w:eastAsia="仿宋_GB2312"/>
          <w:color w:val="auto"/>
          <w:sz w:val="24"/>
          <w:highlight w:val="none"/>
        </w:rPr>
        <w:t>公式中：△P---需调整的价格差额；</w:t>
      </w:r>
    </w:p>
    <w:p>
      <w:pPr>
        <w:ind w:firstLine="600"/>
        <w:rPr>
          <w:rFonts w:ascii="仿宋_GB2312" w:eastAsia="仿宋_GB2312"/>
          <w:color w:val="auto"/>
          <w:sz w:val="24"/>
          <w:highlight w:val="none"/>
        </w:rPr>
      </w:pPr>
      <w:r>
        <w:rPr>
          <w:rFonts w:hint="eastAsia" w:ascii="仿宋_GB2312" w:eastAsia="仿宋_GB2312"/>
          <w:color w:val="auto"/>
          <w:sz w:val="24"/>
          <w:highlight w:val="none"/>
        </w:rPr>
        <w:t>P</w:t>
      </w:r>
      <w:r>
        <w:rPr>
          <w:rFonts w:hint="eastAsia" w:ascii="仿宋_GB2312" w:eastAsia="仿宋_GB2312"/>
          <w:color w:val="auto"/>
          <w:sz w:val="24"/>
          <w:highlight w:val="none"/>
          <w:vertAlign w:val="subscript"/>
        </w:rPr>
        <w:t>O</w:t>
      </w:r>
      <w:r>
        <w:rPr>
          <w:rFonts w:hint="eastAsia" w:ascii="仿宋_GB2312" w:eastAsia="仿宋_GB2312"/>
          <w:color w:val="auto"/>
          <w:sz w:val="24"/>
          <w:highlight w:val="none"/>
        </w:rPr>
        <w:t>---付款证书中承包人应得到的已完成工作量的金额。此项金额应不包括价格调整、不计质量保证金的预留和支付、预付款的支付和扣回。第13条[变更与</w:t>
      </w:r>
      <w:r>
        <w:rPr>
          <w:rFonts w:ascii="仿宋_GB2312" w:eastAsia="仿宋_GB2312"/>
          <w:color w:val="auto"/>
          <w:sz w:val="24"/>
          <w:highlight w:val="none"/>
        </w:rPr>
        <w:t>调整</w:t>
      </w:r>
      <w:r>
        <w:rPr>
          <w:rFonts w:hint="eastAsia" w:ascii="仿宋_GB2312" w:eastAsia="仿宋_GB2312"/>
          <w:color w:val="auto"/>
          <w:sz w:val="24"/>
          <w:highlight w:val="none"/>
        </w:rPr>
        <w:t>]约定的变更及其他金额已按当期价格计价的，也不计在内；</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A ---定值权重（即不调部分的权重）； </w:t>
      </w:r>
    </w:p>
    <w:p>
      <w:pPr>
        <w:ind w:firstLine="600"/>
        <w:rPr>
          <w:rFonts w:ascii="仿宋_GB2312" w:eastAsia="仿宋_GB2312"/>
          <w:color w:val="auto"/>
          <w:sz w:val="24"/>
          <w:highlight w:val="none"/>
        </w:rPr>
      </w:pPr>
      <w:bookmarkStart w:id="912" w:name="_Hlk24103184"/>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1</w:t>
      </w:r>
      <w:bookmarkEnd w:id="912"/>
      <w:r>
        <w:rPr>
          <w:rFonts w:hint="eastAsia" w:ascii="仿宋_GB2312" w:eastAsia="仿宋_GB2312"/>
          <w:color w:val="auto"/>
          <w:sz w:val="24"/>
          <w:highlight w:val="none"/>
        </w:rPr>
        <w:t>；</w:t>
      </w:r>
      <w:bookmarkStart w:id="913" w:name="_Hlk24103205"/>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2</w:t>
      </w:r>
      <w:bookmarkEnd w:id="913"/>
      <w:r>
        <w:rPr>
          <w:rFonts w:hint="eastAsia" w:ascii="仿宋_GB2312" w:eastAsia="仿宋_GB2312"/>
          <w:color w:val="auto"/>
          <w:sz w:val="24"/>
          <w:highlight w:val="none"/>
        </w:rPr>
        <w:t>；</w:t>
      </w:r>
      <w:bookmarkStart w:id="914" w:name="_Hlk24103220"/>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3</w:t>
      </w:r>
      <w:bookmarkEnd w:id="914"/>
      <w:r>
        <w:rPr>
          <w:rFonts w:hint="eastAsia" w:ascii="仿宋_GB2312" w:eastAsia="仿宋_GB2312"/>
          <w:color w:val="auto"/>
          <w:sz w:val="24"/>
          <w:highlight w:val="none"/>
        </w:rPr>
        <w:t>；……</w:t>
      </w:r>
      <w:bookmarkStart w:id="915" w:name="_Hlk24103245"/>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n</w:t>
      </w:r>
      <w:bookmarkEnd w:id="915"/>
      <w:r>
        <w:rPr>
          <w:rFonts w:hint="eastAsia" w:ascii="仿宋_GB2312" w:eastAsia="仿宋_GB2312"/>
          <w:color w:val="auto"/>
          <w:sz w:val="24"/>
          <w:highlight w:val="none"/>
        </w:rPr>
        <w:t>---各可调因子的变值权重（即可调部分的权重）为各可调因子在投标函投标总报价中所占的比例，且A+B</w:t>
      </w:r>
      <w:r>
        <w:rPr>
          <w:rFonts w:hint="eastAsia" w:ascii="仿宋_GB2312" w:eastAsia="仿宋_GB2312"/>
          <w:color w:val="auto"/>
          <w:sz w:val="24"/>
          <w:highlight w:val="none"/>
          <w:vertAlign w:val="subscript"/>
        </w:rPr>
        <w:t>1</w:t>
      </w:r>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2</w:t>
      </w:r>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3</w:t>
      </w:r>
      <w:r>
        <w:rPr>
          <w:rFonts w:hint="eastAsia" w:ascii="仿宋_GB2312" w:eastAsia="仿宋_GB2312"/>
          <w:color w:val="auto"/>
          <w:sz w:val="24"/>
          <w:highlight w:val="none"/>
        </w:rPr>
        <w:t>+……+B</w:t>
      </w:r>
      <w:r>
        <w:rPr>
          <w:rFonts w:hint="eastAsia" w:ascii="仿宋_GB2312" w:eastAsia="仿宋_GB2312"/>
          <w:color w:val="auto"/>
          <w:sz w:val="24"/>
          <w:highlight w:val="none"/>
          <w:vertAlign w:val="subscript"/>
        </w:rPr>
        <w:t>n</w:t>
      </w:r>
      <w:r>
        <w:rPr>
          <w:rFonts w:hint="eastAsia" w:ascii="仿宋_GB2312" w:eastAsia="仿宋_GB2312"/>
          <w:color w:val="auto"/>
          <w:sz w:val="24"/>
          <w:highlight w:val="none"/>
        </w:rPr>
        <w:t>=1；</w:t>
      </w:r>
    </w:p>
    <w:p>
      <w:pPr>
        <w:ind w:firstLine="600"/>
        <w:rPr>
          <w:rFonts w:ascii="仿宋_GB2312" w:eastAsia="仿宋_GB2312"/>
          <w:color w:val="auto"/>
          <w:sz w:val="24"/>
          <w:highlight w:val="none"/>
        </w:rPr>
      </w:pP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t1</w:t>
      </w: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t2</w:t>
      </w: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t3</w:t>
      </w: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tn</w:t>
      </w:r>
      <w:r>
        <w:rPr>
          <w:rFonts w:hint="eastAsia" w:ascii="仿宋_GB2312" w:eastAsia="仿宋_GB2312"/>
          <w:color w:val="auto"/>
          <w:sz w:val="24"/>
          <w:highlight w:val="none"/>
        </w:rPr>
        <w:t>---各可调因子的当期价格指数，指付款证书相关周期最后一天的前42天的各可调因子的价格指数；</w:t>
      </w:r>
    </w:p>
    <w:p>
      <w:pPr>
        <w:ind w:firstLine="600"/>
        <w:rPr>
          <w:rFonts w:ascii="仿宋_GB2312" w:eastAsia="仿宋_GB2312"/>
          <w:color w:val="auto"/>
          <w:sz w:val="24"/>
          <w:highlight w:val="none"/>
        </w:rPr>
      </w:pP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01</w:t>
      </w: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02</w:t>
      </w: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03</w:t>
      </w:r>
      <w:r>
        <w:rPr>
          <w:rFonts w:hint="eastAsia" w:ascii="仿宋_GB2312" w:eastAsia="仿宋_GB2312"/>
          <w:color w:val="auto"/>
          <w:sz w:val="24"/>
          <w:highlight w:val="none"/>
        </w:rPr>
        <w:t>；……F</w:t>
      </w:r>
      <w:r>
        <w:rPr>
          <w:rFonts w:hint="eastAsia" w:ascii="仿宋_GB2312" w:eastAsia="仿宋_GB2312"/>
          <w:color w:val="auto"/>
          <w:sz w:val="24"/>
          <w:highlight w:val="none"/>
          <w:vertAlign w:val="subscript"/>
        </w:rPr>
        <w:t>0n</w:t>
      </w:r>
      <w:r>
        <w:rPr>
          <w:rFonts w:hint="eastAsia" w:ascii="仿宋_GB2312" w:eastAsia="仿宋_GB2312"/>
          <w:color w:val="auto"/>
          <w:sz w:val="24"/>
          <w:highlight w:val="none"/>
        </w:rPr>
        <w:t>---各可调因子的基本价格指数，指基准日期的各可调因子的价格指数。</w:t>
      </w:r>
    </w:p>
    <w:p>
      <w:pPr>
        <w:ind w:firstLine="600"/>
        <w:rPr>
          <w:rFonts w:ascii="仿宋_GB2312" w:eastAsia="仿宋_GB2312"/>
          <w:color w:val="auto"/>
          <w:sz w:val="24"/>
          <w:highlight w:val="none"/>
        </w:rPr>
      </w:pPr>
      <w:r>
        <w:rPr>
          <w:rFonts w:hint="eastAsia" w:ascii="仿宋_GB2312" w:eastAsia="仿宋_GB2312"/>
          <w:color w:val="auto"/>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ind w:firstLine="600"/>
        <w:rPr>
          <w:rFonts w:ascii="仿宋_GB2312" w:eastAsia="仿宋_GB2312"/>
          <w:color w:val="auto"/>
          <w:sz w:val="24"/>
          <w:highlight w:val="none"/>
        </w:rPr>
      </w:pPr>
      <w:r>
        <w:rPr>
          <w:rFonts w:hint="eastAsia" w:ascii="仿宋_GB2312" w:eastAsia="仿宋_GB2312"/>
          <w:color w:val="auto"/>
          <w:sz w:val="24"/>
          <w:highlight w:val="none"/>
        </w:rPr>
        <w:t>（2） 暂时确定调整差额</w:t>
      </w:r>
    </w:p>
    <w:p>
      <w:pPr>
        <w:ind w:firstLine="600"/>
        <w:rPr>
          <w:rFonts w:ascii="仿宋_GB2312" w:eastAsia="仿宋_GB2312"/>
          <w:color w:val="auto"/>
          <w:sz w:val="24"/>
          <w:highlight w:val="none"/>
        </w:rPr>
      </w:pPr>
      <w:r>
        <w:rPr>
          <w:rFonts w:hint="eastAsia" w:ascii="仿宋_GB2312" w:eastAsia="仿宋_GB2312"/>
          <w:color w:val="auto"/>
          <w:sz w:val="24"/>
          <w:highlight w:val="none"/>
        </w:rPr>
        <w:t>在计算调整差额时得不到当期价格指数的，可暂用上一次价格指数计算，并在以后的付款中再按实际价格指数进行调整。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（3） 权重的调整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按第</w:t>
      </w:r>
      <w:r>
        <w:rPr>
          <w:rFonts w:ascii="仿宋_GB2312" w:eastAsia="仿宋_GB2312"/>
          <w:color w:val="auto"/>
          <w:sz w:val="24"/>
          <w:highlight w:val="none"/>
        </w:rPr>
        <w:t>13.1</w:t>
      </w:r>
      <w:r>
        <w:rPr>
          <w:rFonts w:hint="eastAsia" w:ascii="仿宋_GB2312" w:eastAsia="仿宋_GB2312"/>
          <w:color w:val="auto"/>
          <w:sz w:val="24"/>
          <w:highlight w:val="none"/>
        </w:rPr>
        <w:t>款[发包人变更权]约定的变更导致原定合同中的权重不合理的，由工程师与承包人和发包人协商后进行调整。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（4） 承包人原因工期延误后的价格调整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ind w:firstLine="600"/>
        <w:rPr>
          <w:rFonts w:ascii="仿宋_GB2312" w:eastAsia="仿宋_GB2312"/>
          <w:color w:val="auto"/>
          <w:sz w:val="24"/>
          <w:highlight w:val="none"/>
        </w:rPr>
      </w:pPr>
      <w:r>
        <w:rPr>
          <w:rFonts w:hint="eastAsia" w:ascii="仿宋_GB2312" w:eastAsia="仿宋_GB2312"/>
          <w:color w:val="auto"/>
          <w:sz w:val="24"/>
          <w:highlight w:val="none"/>
        </w:rPr>
        <w:t>（5） 发包人引起的工期延误后的价格调整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56"/>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3.8.2.2 </w:t>
      </w:r>
      <w:r>
        <w:rPr>
          <w:rFonts w:hint="eastAsia" w:ascii="仿宋_GB2312" w:eastAsia="仿宋_GB2312"/>
          <w:color w:val="auto"/>
          <w:szCs w:val="24"/>
          <w:highlight w:val="none"/>
        </w:rPr>
        <w:t>未列入</w:t>
      </w:r>
      <w:bookmarkStart w:id="916" w:name="_Hlk24494865"/>
      <w:r>
        <w:rPr>
          <w:rFonts w:hint="eastAsia" w:ascii="仿宋_GB2312" w:eastAsia="仿宋_GB2312"/>
          <w:color w:val="auto"/>
          <w:szCs w:val="24"/>
          <w:highlight w:val="none"/>
        </w:rPr>
        <w:t>《价格指数权重表》</w:t>
      </w:r>
      <w:bookmarkEnd w:id="916"/>
      <w:r>
        <w:rPr>
          <w:rFonts w:hint="eastAsia" w:ascii="仿宋_GB2312" w:eastAsia="仿宋_GB2312"/>
          <w:color w:val="auto"/>
          <w:szCs w:val="24"/>
          <w:highlight w:val="none"/>
        </w:rPr>
        <w:t>的费用不因市场变化而调整。</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3.8.3 </w:t>
      </w:r>
      <w:r>
        <w:rPr>
          <w:rFonts w:hint="eastAsia" w:ascii="仿宋_GB2312" w:eastAsia="仿宋_GB2312"/>
          <w:color w:val="auto"/>
          <w:szCs w:val="24"/>
          <w:highlight w:val="none"/>
        </w:rPr>
        <w:t>双方约定采用其他方式调整合同价款的，以专用合同条件约定为准。</w:t>
      </w:r>
    </w:p>
    <w:p>
      <w:pPr>
        <w:pStyle w:val="42"/>
        <w:numPr>
          <w:ilvl w:val="0"/>
          <w:numId w:val="0"/>
        </w:numPr>
        <w:wordWrap/>
        <w:topLinePunct w:val="0"/>
        <w:rPr>
          <w:b w:val="0"/>
          <w:bCs/>
          <w:color w:val="auto"/>
          <w:sz w:val="24"/>
          <w:szCs w:val="24"/>
          <w:highlight w:val="none"/>
        </w:rPr>
      </w:pPr>
      <w:bookmarkStart w:id="917" w:name="_Ref531955885"/>
      <w:bookmarkStart w:id="918" w:name="_Ref531955880"/>
      <w:bookmarkStart w:id="919" w:name="_Toc54862291"/>
      <w:r>
        <w:rPr>
          <w:rFonts w:hint="eastAsia"/>
          <w:b w:val="0"/>
          <w:bCs/>
          <w:color w:val="auto"/>
          <w:sz w:val="24"/>
          <w:szCs w:val="24"/>
          <w:highlight w:val="none"/>
        </w:rPr>
        <w:t>第1</w:t>
      </w:r>
      <w:r>
        <w:rPr>
          <w:b w:val="0"/>
          <w:bCs/>
          <w:color w:val="auto"/>
          <w:sz w:val="24"/>
          <w:szCs w:val="24"/>
          <w:highlight w:val="none"/>
        </w:rPr>
        <w:t>4</w:t>
      </w:r>
      <w:r>
        <w:rPr>
          <w:rFonts w:hint="eastAsia"/>
          <w:b w:val="0"/>
          <w:bCs/>
          <w:color w:val="auto"/>
          <w:sz w:val="24"/>
          <w:szCs w:val="24"/>
          <w:highlight w:val="none"/>
        </w:rPr>
        <w:t>条 合同价格与支付</w:t>
      </w:r>
      <w:bookmarkEnd w:id="917"/>
      <w:bookmarkEnd w:id="918"/>
      <w:bookmarkEnd w:id="919"/>
    </w:p>
    <w:p>
      <w:pPr>
        <w:pStyle w:val="54"/>
        <w:widowControl/>
        <w:numPr>
          <w:ilvl w:val="0"/>
          <w:numId w:val="0"/>
        </w:numPr>
        <w:rPr>
          <w:b w:val="0"/>
          <w:bCs/>
          <w:color w:val="auto"/>
          <w:highlight w:val="none"/>
        </w:rPr>
      </w:pPr>
      <w:bookmarkStart w:id="920" w:name="_Ref4431531"/>
      <w:bookmarkStart w:id="921" w:name="_Ref4431521"/>
      <w:bookmarkStart w:id="922" w:name="_Toc54862292"/>
      <w:r>
        <w:rPr>
          <w:rFonts w:hint="eastAsia"/>
          <w:b w:val="0"/>
          <w:bCs/>
          <w:color w:val="auto"/>
          <w:highlight w:val="none"/>
        </w:rPr>
        <w:t>1</w:t>
      </w:r>
      <w:r>
        <w:rPr>
          <w:b w:val="0"/>
          <w:bCs/>
          <w:color w:val="auto"/>
          <w:highlight w:val="none"/>
        </w:rPr>
        <w:t xml:space="preserve">4.1 </w:t>
      </w:r>
      <w:r>
        <w:rPr>
          <w:rFonts w:hint="eastAsia"/>
          <w:b w:val="0"/>
          <w:bCs/>
          <w:color w:val="auto"/>
          <w:highlight w:val="none"/>
        </w:rPr>
        <w:t>合同价格形式</w:t>
      </w:r>
      <w:bookmarkEnd w:id="920"/>
      <w:bookmarkEnd w:id="921"/>
      <w:bookmarkEnd w:id="922"/>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4.1.1 </w:t>
      </w:r>
      <w:r>
        <w:rPr>
          <w:rFonts w:hint="eastAsia" w:ascii="仿宋_GB2312" w:eastAsia="仿宋_GB2312"/>
          <w:color w:val="auto"/>
          <w:szCs w:val="24"/>
          <w:highlight w:val="none"/>
        </w:rPr>
        <w:t>除专用合同条件中另有约定外，本合同为总价合同，除根据第</w:t>
      </w:r>
      <w:r>
        <w:rPr>
          <w:rFonts w:ascii="仿宋_GB2312" w:eastAsia="仿宋_GB2312"/>
          <w:color w:val="auto"/>
          <w:szCs w:val="24"/>
          <w:highlight w:val="none"/>
        </w:rPr>
        <w:t>13条</w:t>
      </w:r>
      <w:r>
        <w:rPr>
          <w:rFonts w:hint="eastAsia" w:ascii="仿宋_GB2312" w:eastAsia="仿宋_GB2312"/>
          <w:color w:val="auto"/>
          <w:szCs w:val="24"/>
          <w:highlight w:val="none"/>
        </w:rPr>
        <w:t>[</w:t>
      </w:r>
      <w:r>
        <w:rPr>
          <w:rFonts w:ascii="仿宋_GB2312" w:eastAsia="仿宋_GB2312"/>
          <w:color w:val="auto"/>
          <w:szCs w:val="24"/>
          <w:highlight w:val="none"/>
        </w:rPr>
        <w:t>变更与调整]</w:t>
      </w:r>
      <w:r>
        <w:rPr>
          <w:rFonts w:hint="eastAsia" w:ascii="仿宋_GB2312" w:eastAsia="仿宋_GB2312"/>
          <w:color w:val="auto"/>
          <w:szCs w:val="24"/>
          <w:highlight w:val="none"/>
        </w:rPr>
        <w:t>，以及合同中其它相关增减金额的约定进行调整外，合同价格不做调整。</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4.1.2 </w:t>
      </w:r>
      <w:r>
        <w:rPr>
          <w:rFonts w:hint="eastAsia" w:ascii="仿宋_GB2312" w:eastAsia="仿宋_GB2312"/>
          <w:color w:val="auto"/>
          <w:szCs w:val="24"/>
          <w:highlight w:val="none"/>
        </w:rPr>
        <w:t>除专用合同条件另有约定外：</w:t>
      </w:r>
    </w:p>
    <w:p>
      <w:pPr>
        <w:ind w:firstLine="600"/>
        <w:rPr>
          <w:rFonts w:ascii="仿宋_GB2312" w:eastAsia="仿宋_GB2312"/>
          <w:color w:val="auto"/>
          <w:sz w:val="24"/>
          <w:highlight w:val="none"/>
        </w:rPr>
      </w:pPr>
      <w:r>
        <w:rPr>
          <w:rFonts w:hint="eastAsia" w:ascii="仿宋_GB2312" w:eastAsia="仿宋_GB2312"/>
          <w:color w:val="auto"/>
          <w:sz w:val="24"/>
          <w:highlight w:val="none"/>
        </w:rPr>
        <w:t>（1） 工程款的支付应以合同协议书约定的签约合同价格为基础，按照合同约定进行调整；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承包人应支付根据法律规定或合同约定应由其支付的各项税费，除第</w:t>
      </w:r>
      <w:r>
        <w:rPr>
          <w:rFonts w:ascii="仿宋_GB2312" w:eastAsia="仿宋_GB2312"/>
          <w:color w:val="auto"/>
          <w:sz w:val="24"/>
          <w:highlight w:val="none"/>
        </w:rPr>
        <w:t>13.7</w:t>
      </w:r>
      <w:r>
        <w:rPr>
          <w:rFonts w:hint="eastAsia" w:ascii="仿宋_GB2312" w:eastAsia="仿宋_GB2312"/>
          <w:color w:val="auto"/>
          <w:sz w:val="24"/>
          <w:highlight w:val="none"/>
        </w:rPr>
        <w:t>款[</w:t>
      </w:r>
      <w:r>
        <w:rPr>
          <w:rFonts w:ascii="仿宋_GB2312" w:eastAsia="仿宋_GB2312"/>
          <w:color w:val="auto"/>
          <w:sz w:val="24"/>
          <w:highlight w:val="none"/>
        </w:rPr>
        <w:t>法律变化引起的调整]</w:t>
      </w:r>
      <w:r>
        <w:rPr>
          <w:rFonts w:hint="eastAsia" w:ascii="仿宋_GB2312" w:eastAsia="仿宋_GB2312"/>
          <w:color w:val="auto"/>
          <w:sz w:val="24"/>
          <w:highlight w:val="none"/>
        </w:rPr>
        <w:t>约定外，合同价格不应因任何这些税费进行调整；</w:t>
      </w:r>
    </w:p>
    <w:p>
      <w:pPr>
        <w:ind w:firstLine="600"/>
        <w:rPr>
          <w:rFonts w:ascii="仿宋_GB2312" w:eastAsia="仿宋_GB2312"/>
          <w:color w:val="auto"/>
          <w:sz w:val="24"/>
          <w:highlight w:val="none"/>
        </w:rPr>
      </w:pPr>
      <w:r>
        <w:rPr>
          <w:rFonts w:hint="eastAsia" w:ascii="仿宋_GB2312" w:eastAsia="仿宋_GB2312"/>
          <w:color w:val="auto"/>
          <w:sz w:val="24"/>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4.1.3 </w:t>
      </w:r>
      <w:r>
        <w:rPr>
          <w:rFonts w:hint="eastAsia" w:ascii="仿宋_GB2312" w:eastAsia="仿宋_GB2312"/>
          <w:color w:val="auto"/>
          <w:szCs w:val="24"/>
          <w:highlight w:val="none"/>
        </w:rPr>
        <w:t>合同约定工程的某部分按照实际完成的工程量进行支付的，应按照专用合同条件的约定进行计量和估价，并据此调整合同价格。</w:t>
      </w:r>
    </w:p>
    <w:p>
      <w:pPr>
        <w:pStyle w:val="54"/>
        <w:widowControl/>
        <w:numPr>
          <w:ilvl w:val="0"/>
          <w:numId w:val="0"/>
        </w:numPr>
        <w:rPr>
          <w:b w:val="0"/>
          <w:bCs/>
          <w:color w:val="auto"/>
          <w:highlight w:val="none"/>
        </w:rPr>
      </w:pPr>
      <w:bookmarkStart w:id="923" w:name="_Ref531956881"/>
      <w:bookmarkStart w:id="924" w:name="_Ref531956884"/>
      <w:bookmarkStart w:id="925" w:name="_Toc54862293"/>
      <w:r>
        <w:rPr>
          <w:rFonts w:hint="eastAsia"/>
          <w:b w:val="0"/>
          <w:bCs/>
          <w:color w:val="auto"/>
          <w:highlight w:val="none"/>
        </w:rPr>
        <w:t>1</w:t>
      </w:r>
      <w:r>
        <w:rPr>
          <w:b w:val="0"/>
          <w:bCs/>
          <w:color w:val="auto"/>
          <w:highlight w:val="none"/>
        </w:rPr>
        <w:t xml:space="preserve">4.2 </w:t>
      </w:r>
      <w:r>
        <w:rPr>
          <w:rFonts w:hint="eastAsia"/>
          <w:b w:val="0"/>
          <w:bCs/>
          <w:color w:val="auto"/>
          <w:highlight w:val="none"/>
        </w:rPr>
        <w:t>预付款</w:t>
      </w:r>
      <w:bookmarkEnd w:id="923"/>
      <w:bookmarkEnd w:id="924"/>
      <w:bookmarkEnd w:id="925"/>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4.2.1 </w:t>
      </w:r>
      <w:r>
        <w:rPr>
          <w:rFonts w:hint="eastAsia" w:ascii="仿宋_GB2312" w:eastAsia="仿宋_GB2312"/>
          <w:color w:val="auto"/>
          <w:szCs w:val="24"/>
          <w:highlight w:val="none"/>
        </w:rPr>
        <w:t>预付款支付</w:t>
      </w:r>
    </w:p>
    <w:p>
      <w:pPr>
        <w:ind w:firstLine="600"/>
        <w:rPr>
          <w:rFonts w:ascii="仿宋_GB2312" w:eastAsia="仿宋_GB2312"/>
          <w:color w:val="auto"/>
          <w:sz w:val="24"/>
          <w:highlight w:val="none"/>
        </w:rPr>
      </w:pPr>
      <w:r>
        <w:rPr>
          <w:rFonts w:hint="eastAsia" w:ascii="仿宋_GB2312" w:eastAsia="仿宋_GB2312"/>
          <w:color w:val="auto"/>
          <w:sz w:val="24"/>
          <w:highlight w:val="none"/>
        </w:rPr>
        <w:t>预付款的额度和支付按照专用合同条件约定执行。预付款应当专用于承包人为合同工程的设计和工程实施购置材料、工程设备、施工设备、修建临时设施以及组织施工队伍进场等合同工作。</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除专用合同条件另有约定外，预付款在进度付款中同比例扣回。在颁发工程接收证书前，提前解除合同的，尚未扣完的预付款应与合同价款一并结算。</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发包人逾期支付预付款超过7天的，承包人有权向发包人发出要求预付的催告通知，发包人收到通知后7天内仍未支付的，承包人有权暂停施工，并按第15.1.1项[发包人违约的情形]执行。</w:t>
      </w:r>
    </w:p>
    <w:p>
      <w:pPr>
        <w:pStyle w:val="55"/>
        <w:numPr>
          <w:ilvl w:val="0"/>
          <w:numId w:val="0"/>
        </w:numPr>
        <w:rPr>
          <w:rFonts w:ascii="仿宋_GB2312" w:eastAsia="仿宋_GB2312"/>
          <w:color w:val="auto"/>
          <w:szCs w:val="24"/>
          <w:highlight w:val="none"/>
        </w:rPr>
      </w:pPr>
      <w:bookmarkStart w:id="926" w:name="_Ref531956907"/>
      <w:bookmarkStart w:id="927" w:name="_Ref4797624"/>
      <w:bookmarkStart w:id="928" w:name="_Hlk54429963"/>
      <w:r>
        <w:rPr>
          <w:rFonts w:hint="eastAsia" w:ascii="仿宋_GB2312" w:eastAsia="仿宋_GB2312"/>
          <w:color w:val="auto"/>
          <w:szCs w:val="24"/>
          <w:highlight w:val="none"/>
        </w:rPr>
        <w:t>1</w:t>
      </w:r>
      <w:r>
        <w:rPr>
          <w:rFonts w:ascii="仿宋_GB2312" w:eastAsia="仿宋_GB2312"/>
          <w:color w:val="auto"/>
          <w:szCs w:val="24"/>
          <w:highlight w:val="none"/>
        </w:rPr>
        <w:t xml:space="preserve">4.2.2 </w:t>
      </w:r>
      <w:r>
        <w:rPr>
          <w:rFonts w:hint="eastAsia" w:ascii="仿宋_GB2312" w:eastAsia="仿宋_GB2312"/>
          <w:color w:val="auto"/>
          <w:szCs w:val="24"/>
          <w:highlight w:val="none"/>
        </w:rPr>
        <w:t>预付款</w:t>
      </w:r>
      <w:bookmarkEnd w:id="926"/>
      <w:r>
        <w:rPr>
          <w:rFonts w:hint="eastAsia" w:ascii="仿宋_GB2312" w:eastAsia="仿宋_GB2312"/>
          <w:color w:val="auto"/>
          <w:szCs w:val="24"/>
          <w:highlight w:val="none"/>
        </w:rPr>
        <w:t>担保</w:t>
      </w:r>
      <w:bookmarkEnd w:id="927"/>
    </w:p>
    <w:bookmarkEnd w:id="928"/>
    <w:p>
      <w:pPr>
        <w:ind w:firstLine="600"/>
        <w:rPr>
          <w:rFonts w:ascii="仿宋_GB2312" w:eastAsia="仿宋_GB2312"/>
          <w:color w:val="auto"/>
          <w:sz w:val="24"/>
          <w:highlight w:val="none"/>
        </w:rPr>
      </w:pPr>
      <w:r>
        <w:rPr>
          <w:rFonts w:hint="eastAsia" w:ascii="仿宋_GB2312" w:eastAsia="仿宋_GB2312"/>
          <w:color w:val="auto"/>
          <w:sz w:val="24"/>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发包人在工程款中逐期扣回预付款后，预付款担保额度应相应减少，但剩余的预付款担保金额不得低于未被扣回的预付款金额。</w:t>
      </w:r>
    </w:p>
    <w:p>
      <w:pPr>
        <w:pStyle w:val="54"/>
        <w:widowControl/>
        <w:numPr>
          <w:ilvl w:val="0"/>
          <w:numId w:val="0"/>
        </w:numPr>
        <w:rPr>
          <w:b w:val="0"/>
          <w:bCs/>
          <w:color w:val="auto"/>
          <w:highlight w:val="none"/>
        </w:rPr>
      </w:pPr>
      <w:bookmarkStart w:id="929" w:name="_Toc4784195"/>
      <w:bookmarkEnd w:id="929"/>
      <w:bookmarkStart w:id="930" w:name="_Toc4784194"/>
      <w:bookmarkEnd w:id="930"/>
      <w:bookmarkStart w:id="931" w:name="_Toc4784193"/>
      <w:bookmarkEnd w:id="931"/>
      <w:bookmarkStart w:id="932" w:name="_Ref4623398"/>
      <w:bookmarkStart w:id="933" w:name="_Toc54862294"/>
      <w:bookmarkStart w:id="934" w:name="_Ref531956967"/>
      <w:bookmarkStart w:id="935" w:name="_Ref531956963"/>
      <w:r>
        <w:rPr>
          <w:rFonts w:hint="eastAsia"/>
          <w:b w:val="0"/>
          <w:bCs/>
          <w:color w:val="auto"/>
          <w:highlight w:val="none"/>
        </w:rPr>
        <w:t>1</w:t>
      </w:r>
      <w:r>
        <w:rPr>
          <w:b w:val="0"/>
          <w:bCs/>
          <w:color w:val="auto"/>
          <w:highlight w:val="none"/>
        </w:rPr>
        <w:t xml:space="preserve">4.3 </w:t>
      </w:r>
      <w:r>
        <w:rPr>
          <w:rFonts w:hint="eastAsia"/>
          <w:b w:val="0"/>
          <w:bCs/>
          <w:color w:val="auto"/>
          <w:highlight w:val="none"/>
        </w:rPr>
        <w:t>工程进度款</w:t>
      </w:r>
      <w:bookmarkEnd w:id="932"/>
      <w:bookmarkEnd w:id="933"/>
      <w:bookmarkEnd w:id="934"/>
      <w:bookmarkEnd w:id="935"/>
    </w:p>
    <w:p>
      <w:pPr>
        <w:pStyle w:val="55"/>
        <w:numPr>
          <w:ilvl w:val="0"/>
          <w:numId w:val="0"/>
        </w:numPr>
        <w:rPr>
          <w:rFonts w:ascii="仿宋_GB2312" w:eastAsia="仿宋_GB2312"/>
          <w:color w:val="auto"/>
          <w:szCs w:val="24"/>
          <w:highlight w:val="none"/>
        </w:rPr>
      </w:pPr>
      <w:bookmarkStart w:id="936" w:name="_Ref532679934"/>
      <w:bookmarkStart w:id="937" w:name="_Ref531956987"/>
      <w:r>
        <w:rPr>
          <w:rFonts w:hint="eastAsia" w:ascii="仿宋_GB2312" w:eastAsia="仿宋_GB2312"/>
          <w:color w:val="auto"/>
          <w:szCs w:val="24"/>
          <w:highlight w:val="none"/>
        </w:rPr>
        <w:t>1</w:t>
      </w:r>
      <w:r>
        <w:rPr>
          <w:rFonts w:ascii="仿宋_GB2312" w:eastAsia="仿宋_GB2312"/>
          <w:color w:val="auto"/>
          <w:szCs w:val="24"/>
          <w:highlight w:val="none"/>
        </w:rPr>
        <w:t xml:space="preserve">4.3.1 </w:t>
      </w:r>
      <w:r>
        <w:rPr>
          <w:rFonts w:hint="eastAsia" w:ascii="仿宋_GB2312" w:eastAsia="仿宋_GB2312"/>
          <w:color w:val="auto"/>
          <w:szCs w:val="24"/>
          <w:highlight w:val="none"/>
        </w:rPr>
        <w:t>工程进度付款申请</w:t>
      </w:r>
      <w:bookmarkEnd w:id="936"/>
      <w:bookmarkEnd w:id="937"/>
    </w:p>
    <w:p>
      <w:pPr>
        <w:ind w:firstLine="600"/>
        <w:rPr>
          <w:rFonts w:ascii="仿宋_GB2312" w:eastAsia="仿宋_GB2312"/>
          <w:color w:val="auto"/>
          <w:sz w:val="24"/>
          <w:highlight w:val="none"/>
        </w:rPr>
      </w:pPr>
      <w:r>
        <w:rPr>
          <w:rFonts w:hint="eastAsia" w:ascii="仿宋_GB2312" w:eastAsia="仿宋_GB2312"/>
          <w:color w:val="auto"/>
          <w:sz w:val="24"/>
          <w:highlight w:val="none"/>
        </w:rPr>
        <w:t>（1）人工费的申请</w:t>
      </w:r>
    </w:p>
    <w:p>
      <w:pPr>
        <w:ind w:firstLine="600"/>
        <w:rPr>
          <w:rFonts w:ascii="仿宋_GB2312" w:eastAsia="仿宋_GB2312"/>
          <w:color w:val="auto"/>
          <w:sz w:val="24"/>
          <w:highlight w:val="none"/>
        </w:rPr>
      </w:pPr>
      <w:r>
        <w:rPr>
          <w:rFonts w:ascii="仿宋_GB2312" w:eastAsia="仿宋_GB2312"/>
          <w:color w:val="auto"/>
          <w:sz w:val="24"/>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（2）除专用合同条件另有约定外，承包人应在每月月末向工程师提交进度付款申请单，该进度付款申请单应包括下列内容：</w:t>
      </w:r>
    </w:p>
    <w:p>
      <w:pPr>
        <w:ind w:firstLine="600"/>
        <w:rPr>
          <w:rFonts w:ascii="仿宋_GB2312" w:eastAsia="仿宋_GB2312"/>
          <w:color w:val="auto"/>
          <w:sz w:val="24"/>
          <w:highlight w:val="none"/>
        </w:rPr>
      </w:pPr>
      <w:bookmarkStart w:id="938" w:name="_Ref24496054"/>
      <w:r>
        <w:rPr>
          <w:rFonts w:hint="eastAsia" w:ascii="仿宋_GB2312" w:eastAsia="仿宋_GB2312"/>
          <w:color w:val="auto"/>
          <w:sz w:val="24"/>
          <w:highlight w:val="none"/>
        </w:rPr>
        <w:t>1） 截至本次付款周期内已完成工作对应的金额；</w:t>
      </w:r>
      <w:bookmarkEnd w:id="938"/>
    </w:p>
    <w:p>
      <w:pPr>
        <w:ind w:firstLine="600"/>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 扣除依据本款第（</w:t>
      </w:r>
      <w:r>
        <w:rPr>
          <w:rFonts w:ascii="仿宋_GB2312" w:eastAsia="仿宋_GB2312"/>
          <w:color w:val="auto"/>
          <w:sz w:val="24"/>
          <w:highlight w:val="none"/>
        </w:rPr>
        <w:t>1）</w:t>
      </w:r>
      <w:r>
        <w:rPr>
          <w:rFonts w:hint="eastAsia" w:ascii="仿宋_GB2312" w:eastAsia="仿宋_GB2312"/>
          <w:color w:val="auto"/>
          <w:sz w:val="24"/>
          <w:highlight w:val="none"/>
        </w:rPr>
        <w:t>目</w:t>
      </w:r>
      <w:r>
        <w:rPr>
          <w:rFonts w:ascii="仿宋_GB2312" w:eastAsia="仿宋_GB2312"/>
          <w:color w:val="auto"/>
          <w:sz w:val="24"/>
          <w:highlight w:val="none"/>
        </w:rPr>
        <w:t>约定中已扣除的人工费金额</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3） 根据第</w:t>
      </w:r>
      <w:r>
        <w:rPr>
          <w:rFonts w:ascii="仿宋_GB2312" w:eastAsia="仿宋_GB2312"/>
          <w:color w:val="auto"/>
          <w:sz w:val="24"/>
          <w:highlight w:val="none"/>
        </w:rPr>
        <w:t>13条</w:t>
      </w:r>
      <w:r>
        <w:rPr>
          <w:rFonts w:hint="eastAsia" w:ascii="仿宋_GB2312" w:eastAsia="仿宋_GB2312"/>
          <w:color w:val="auto"/>
          <w:sz w:val="24"/>
          <w:highlight w:val="none"/>
        </w:rPr>
        <w:t>[变更与调整]应增加和扣减的变更金额；</w:t>
      </w:r>
    </w:p>
    <w:p>
      <w:pPr>
        <w:ind w:firstLine="600"/>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 根据第</w:t>
      </w:r>
      <w:r>
        <w:rPr>
          <w:rFonts w:ascii="仿宋_GB2312" w:eastAsia="仿宋_GB2312"/>
          <w:color w:val="auto"/>
          <w:sz w:val="24"/>
          <w:highlight w:val="none"/>
        </w:rPr>
        <w:t>14.2</w:t>
      </w:r>
      <w:r>
        <w:rPr>
          <w:rFonts w:hint="eastAsia" w:ascii="仿宋_GB2312" w:eastAsia="仿宋_GB2312"/>
          <w:color w:val="auto"/>
          <w:sz w:val="24"/>
          <w:highlight w:val="none"/>
        </w:rPr>
        <w:t>款[预付款]约定应支付的预付款和扣减的返还预付款；</w:t>
      </w:r>
    </w:p>
    <w:p>
      <w:pPr>
        <w:ind w:firstLine="600"/>
        <w:rPr>
          <w:rFonts w:ascii="仿宋_GB2312" w:eastAsia="仿宋_GB2312"/>
          <w:color w:val="auto"/>
          <w:sz w:val="24"/>
          <w:highlight w:val="none"/>
        </w:rPr>
      </w:pPr>
      <w:r>
        <w:rPr>
          <w:rFonts w:ascii="仿宋_GB2312" w:eastAsia="仿宋_GB2312"/>
          <w:color w:val="auto"/>
          <w:sz w:val="24"/>
          <w:highlight w:val="none"/>
        </w:rPr>
        <w:t>5</w:t>
      </w:r>
      <w:r>
        <w:rPr>
          <w:rFonts w:hint="eastAsia" w:ascii="仿宋_GB2312" w:eastAsia="仿宋_GB2312"/>
          <w:color w:val="auto"/>
          <w:sz w:val="24"/>
          <w:highlight w:val="none"/>
        </w:rPr>
        <w:t>） 根据第</w:t>
      </w:r>
      <w:r>
        <w:rPr>
          <w:rFonts w:ascii="仿宋_GB2312" w:eastAsia="仿宋_GB2312"/>
          <w:color w:val="auto"/>
          <w:sz w:val="24"/>
          <w:highlight w:val="none"/>
        </w:rPr>
        <w:t>14.6.2</w:t>
      </w:r>
      <w:r>
        <w:rPr>
          <w:rFonts w:hint="eastAsia" w:ascii="仿宋_GB2312" w:eastAsia="仿宋_GB2312"/>
          <w:color w:val="auto"/>
          <w:sz w:val="24"/>
          <w:highlight w:val="none"/>
        </w:rPr>
        <w:t>项[质量保证金的预留]约定应预留的质量保证金金额；</w:t>
      </w:r>
    </w:p>
    <w:p>
      <w:pPr>
        <w:ind w:firstLine="600"/>
        <w:rPr>
          <w:rFonts w:ascii="仿宋_GB2312" w:eastAsia="仿宋_GB2312"/>
          <w:color w:val="auto"/>
          <w:sz w:val="24"/>
          <w:highlight w:val="none"/>
        </w:rPr>
      </w:pPr>
      <w:r>
        <w:rPr>
          <w:rFonts w:ascii="仿宋_GB2312" w:eastAsia="仿宋_GB2312"/>
          <w:color w:val="auto"/>
          <w:sz w:val="24"/>
          <w:highlight w:val="none"/>
        </w:rPr>
        <w:t>6</w:t>
      </w:r>
      <w:r>
        <w:rPr>
          <w:rFonts w:hint="eastAsia" w:ascii="仿宋_GB2312" w:eastAsia="仿宋_GB2312"/>
          <w:color w:val="auto"/>
          <w:sz w:val="24"/>
          <w:highlight w:val="none"/>
        </w:rPr>
        <w:t>） 根据第</w:t>
      </w:r>
      <w:r>
        <w:rPr>
          <w:rFonts w:ascii="仿宋_GB2312" w:eastAsia="仿宋_GB2312"/>
          <w:color w:val="auto"/>
          <w:sz w:val="24"/>
          <w:highlight w:val="none"/>
        </w:rPr>
        <w:t>19条</w:t>
      </w:r>
      <w:r>
        <w:rPr>
          <w:rFonts w:hint="eastAsia" w:ascii="仿宋_GB2312" w:eastAsia="仿宋_GB2312"/>
          <w:color w:val="auto"/>
          <w:sz w:val="24"/>
          <w:highlight w:val="none"/>
        </w:rPr>
        <w:t>[索赔]应增加和扣减的索赔金额；</w:t>
      </w:r>
    </w:p>
    <w:p>
      <w:pPr>
        <w:ind w:firstLine="600"/>
        <w:rPr>
          <w:rFonts w:ascii="仿宋_GB2312" w:eastAsia="仿宋_GB2312"/>
          <w:color w:val="auto"/>
          <w:sz w:val="24"/>
          <w:highlight w:val="none"/>
        </w:rPr>
      </w:pPr>
      <w:r>
        <w:rPr>
          <w:rFonts w:ascii="仿宋_GB2312" w:eastAsia="仿宋_GB2312"/>
          <w:color w:val="auto"/>
          <w:sz w:val="24"/>
          <w:highlight w:val="none"/>
        </w:rPr>
        <w:t>7</w:t>
      </w:r>
      <w:r>
        <w:rPr>
          <w:rFonts w:hint="eastAsia" w:ascii="仿宋_GB2312" w:eastAsia="仿宋_GB2312"/>
          <w:color w:val="auto"/>
          <w:sz w:val="24"/>
          <w:highlight w:val="none"/>
        </w:rPr>
        <w:t>） 对已签发的进度款支付证书中出现错误的修正，应在本次进度付款中支付或扣除的金额；</w:t>
      </w:r>
    </w:p>
    <w:p>
      <w:pPr>
        <w:ind w:firstLine="600"/>
        <w:rPr>
          <w:rFonts w:ascii="仿宋_GB2312" w:eastAsia="仿宋_GB2312"/>
          <w:color w:val="auto"/>
          <w:sz w:val="24"/>
          <w:highlight w:val="none"/>
        </w:rPr>
      </w:pPr>
      <w:r>
        <w:rPr>
          <w:rFonts w:hint="eastAsia" w:ascii="仿宋_GB2312" w:eastAsia="仿宋_GB2312"/>
          <w:color w:val="auto"/>
          <w:sz w:val="24"/>
          <w:highlight w:val="none"/>
        </w:rPr>
        <w:t>8） 根据合同约定应增加和扣减的其他金额。</w:t>
      </w:r>
    </w:p>
    <w:p>
      <w:pPr>
        <w:pStyle w:val="55"/>
        <w:numPr>
          <w:ilvl w:val="0"/>
          <w:numId w:val="0"/>
        </w:numPr>
        <w:rPr>
          <w:rFonts w:ascii="仿宋_GB2312" w:eastAsia="仿宋_GB2312"/>
          <w:color w:val="auto"/>
          <w:szCs w:val="24"/>
          <w:highlight w:val="none"/>
        </w:rPr>
      </w:pPr>
      <w:bookmarkStart w:id="939" w:name="_Ref531957608"/>
      <w:r>
        <w:rPr>
          <w:rFonts w:hint="eastAsia" w:ascii="仿宋_GB2312" w:eastAsia="仿宋_GB2312"/>
          <w:color w:val="auto"/>
          <w:szCs w:val="24"/>
          <w:highlight w:val="none"/>
        </w:rPr>
        <w:t>1</w:t>
      </w:r>
      <w:r>
        <w:rPr>
          <w:rFonts w:ascii="仿宋_GB2312" w:eastAsia="仿宋_GB2312"/>
          <w:color w:val="auto"/>
          <w:szCs w:val="24"/>
          <w:highlight w:val="none"/>
        </w:rPr>
        <w:t xml:space="preserve">4.3.2 </w:t>
      </w:r>
      <w:r>
        <w:rPr>
          <w:rFonts w:hint="eastAsia" w:ascii="仿宋_GB2312" w:eastAsia="仿宋_GB2312"/>
          <w:color w:val="auto"/>
          <w:szCs w:val="24"/>
          <w:highlight w:val="none"/>
        </w:rPr>
        <w:t>进度付款审核和支付</w:t>
      </w:r>
      <w:bookmarkEnd w:id="939"/>
    </w:p>
    <w:p>
      <w:pPr>
        <w:pStyle w:val="57"/>
        <w:numPr>
          <w:ilvl w:val="0"/>
          <w:numId w:val="0"/>
        </w:numPr>
        <w:ind w:firstLine="480" w:firstLineChars="200"/>
        <w:rPr>
          <w:rFonts w:ascii="仿宋_GB2312" w:eastAsia="仿宋_GB2312"/>
          <w:color w:val="auto"/>
          <w:szCs w:val="24"/>
          <w:highlight w:val="none"/>
        </w:rPr>
      </w:pPr>
      <w:r>
        <w:rPr>
          <w:rFonts w:hint="eastAsia" w:ascii="仿宋_GB2312" w:eastAsia="仿宋_GB2312"/>
          <w:color w:val="auto"/>
          <w:szCs w:val="24"/>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rPr>
          <w:rFonts w:ascii="仿宋_GB2312" w:eastAsia="仿宋_GB2312"/>
          <w:color w:val="auto"/>
          <w:sz w:val="24"/>
          <w:highlight w:val="none"/>
        </w:rPr>
        <w:t>20条</w:t>
      </w:r>
      <w:r>
        <w:rPr>
          <w:rFonts w:hint="eastAsia" w:ascii="仿宋_GB2312" w:eastAsia="仿宋_GB2312"/>
          <w:color w:val="auto"/>
          <w:sz w:val="24"/>
          <w:highlight w:val="none"/>
        </w:rPr>
        <w:t>[争议解决]的约定处理。</w:t>
      </w:r>
    </w:p>
    <w:p>
      <w:pPr>
        <w:pStyle w:val="57"/>
        <w:numPr>
          <w:ilvl w:val="0"/>
          <w:numId w:val="0"/>
        </w:numPr>
        <w:ind w:firstLine="480" w:firstLineChars="200"/>
        <w:rPr>
          <w:rFonts w:ascii="仿宋_GB2312" w:eastAsia="仿宋_GB2312"/>
          <w:color w:val="auto"/>
          <w:szCs w:val="24"/>
          <w:highlight w:val="none"/>
        </w:rPr>
      </w:pPr>
      <w:r>
        <w:rPr>
          <w:rFonts w:hint="eastAsia" w:ascii="仿宋_GB2312" w:eastAsia="仿宋_GB2312"/>
          <w:color w:val="auto"/>
          <w:szCs w:val="24"/>
          <w:highlight w:val="none"/>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57"/>
        <w:numPr>
          <w:ilvl w:val="0"/>
          <w:numId w:val="0"/>
        </w:numPr>
        <w:ind w:firstLine="480" w:firstLineChars="200"/>
        <w:rPr>
          <w:rFonts w:ascii="仿宋_GB2312" w:eastAsia="仿宋_GB2312"/>
          <w:color w:val="auto"/>
          <w:szCs w:val="24"/>
          <w:highlight w:val="none"/>
        </w:rPr>
      </w:pPr>
      <w:r>
        <w:rPr>
          <w:rFonts w:hint="eastAsia" w:ascii="仿宋_GB2312" w:eastAsia="仿宋_GB2312"/>
          <w:color w:val="auto"/>
          <w:szCs w:val="24"/>
          <w:highlight w:val="none"/>
        </w:rPr>
        <w:t>发包人签发进度款支付证书，不表明发包人已同意、批准或接受了承包人完成的相应部分的工作。</w:t>
      </w:r>
    </w:p>
    <w:p>
      <w:pPr>
        <w:pStyle w:val="55"/>
        <w:numPr>
          <w:ilvl w:val="0"/>
          <w:numId w:val="0"/>
        </w:numPr>
        <w:rPr>
          <w:rFonts w:ascii="仿宋_GB2312" w:eastAsia="仿宋_GB2312"/>
          <w:color w:val="auto"/>
          <w:szCs w:val="24"/>
          <w:highlight w:val="none"/>
        </w:rPr>
      </w:pPr>
      <w:bookmarkStart w:id="940" w:name="_Ref531957023"/>
      <w:r>
        <w:rPr>
          <w:rFonts w:hint="eastAsia" w:ascii="仿宋_GB2312" w:eastAsia="仿宋_GB2312"/>
          <w:color w:val="auto"/>
          <w:szCs w:val="24"/>
          <w:highlight w:val="none"/>
        </w:rPr>
        <w:t>1</w:t>
      </w:r>
      <w:r>
        <w:rPr>
          <w:rFonts w:ascii="仿宋_GB2312" w:eastAsia="仿宋_GB2312"/>
          <w:color w:val="auto"/>
          <w:szCs w:val="24"/>
          <w:highlight w:val="none"/>
        </w:rPr>
        <w:t xml:space="preserve">4.3.3 </w:t>
      </w:r>
      <w:r>
        <w:rPr>
          <w:rFonts w:hint="eastAsia" w:ascii="仿宋_GB2312" w:eastAsia="仿宋_GB2312"/>
          <w:color w:val="auto"/>
          <w:szCs w:val="24"/>
          <w:highlight w:val="none"/>
        </w:rPr>
        <w:t>进度付款的修正</w:t>
      </w:r>
      <w:bookmarkEnd w:id="940"/>
    </w:p>
    <w:p>
      <w:pPr>
        <w:ind w:firstLine="600"/>
        <w:rPr>
          <w:rFonts w:ascii="仿宋_GB2312" w:eastAsia="仿宋_GB2312"/>
          <w:color w:val="auto"/>
          <w:sz w:val="24"/>
          <w:highlight w:val="none"/>
        </w:rPr>
      </w:pPr>
      <w:r>
        <w:rPr>
          <w:rFonts w:hint="eastAsia" w:ascii="仿宋_GB2312" w:eastAsia="仿宋_GB2312"/>
          <w:color w:val="auto"/>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54"/>
        <w:widowControl/>
        <w:numPr>
          <w:ilvl w:val="0"/>
          <w:numId w:val="0"/>
        </w:numPr>
        <w:rPr>
          <w:b w:val="0"/>
          <w:bCs/>
          <w:color w:val="auto"/>
          <w:highlight w:val="none"/>
        </w:rPr>
      </w:pPr>
      <w:bookmarkStart w:id="941" w:name="_Ref4538578"/>
      <w:bookmarkStart w:id="942" w:name="_Toc54862295"/>
      <w:bookmarkStart w:id="943" w:name="_Ref536647822"/>
      <w:bookmarkStart w:id="944" w:name="_Ref536647814"/>
      <w:r>
        <w:rPr>
          <w:rFonts w:hint="eastAsia"/>
          <w:b w:val="0"/>
          <w:bCs/>
          <w:color w:val="auto"/>
          <w:highlight w:val="none"/>
        </w:rPr>
        <w:t>1</w:t>
      </w:r>
      <w:r>
        <w:rPr>
          <w:b w:val="0"/>
          <w:bCs/>
          <w:color w:val="auto"/>
          <w:highlight w:val="none"/>
        </w:rPr>
        <w:t xml:space="preserve">4.4 </w:t>
      </w:r>
      <w:r>
        <w:rPr>
          <w:rFonts w:hint="eastAsia"/>
          <w:b w:val="0"/>
          <w:bCs/>
          <w:color w:val="auto"/>
          <w:highlight w:val="none"/>
        </w:rPr>
        <w:t>付款计划表</w:t>
      </w:r>
      <w:bookmarkEnd w:id="941"/>
      <w:bookmarkEnd w:id="942"/>
    </w:p>
    <w:p>
      <w:pPr>
        <w:pStyle w:val="55"/>
        <w:numPr>
          <w:ilvl w:val="0"/>
          <w:numId w:val="0"/>
        </w:numPr>
        <w:rPr>
          <w:rFonts w:ascii="仿宋_GB2312" w:eastAsia="仿宋_GB2312"/>
          <w:color w:val="auto"/>
          <w:szCs w:val="24"/>
          <w:highlight w:val="none"/>
        </w:rPr>
      </w:pPr>
      <w:bookmarkStart w:id="945" w:name="_Ref4570974"/>
      <w:r>
        <w:rPr>
          <w:rFonts w:hint="eastAsia" w:ascii="仿宋_GB2312" w:eastAsia="仿宋_GB2312"/>
          <w:color w:val="auto"/>
          <w:szCs w:val="24"/>
          <w:highlight w:val="none"/>
        </w:rPr>
        <w:t>1</w:t>
      </w:r>
      <w:r>
        <w:rPr>
          <w:rFonts w:ascii="仿宋_GB2312" w:eastAsia="仿宋_GB2312"/>
          <w:color w:val="auto"/>
          <w:szCs w:val="24"/>
          <w:highlight w:val="none"/>
        </w:rPr>
        <w:t xml:space="preserve">4.4.1 </w:t>
      </w:r>
      <w:r>
        <w:rPr>
          <w:rFonts w:hint="eastAsia" w:ascii="仿宋_GB2312" w:eastAsia="仿宋_GB2312"/>
          <w:color w:val="auto"/>
          <w:szCs w:val="24"/>
          <w:highlight w:val="none"/>
        </w:rPr>
        <w:t>付款计划表的编制要求</w:t>
      </w:r>
      <w:bookmarkEnd w:id="945"/>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除专用合同条件另有约定外，付款计划表按如下要求编制：</w:t>
      </w:r>
    </w:p>
    <w:p>
      <w:pPr>
        <w:ind w:firstLine="600"/>
        <w:rPr>
          <w:rFonts w:ascii="仿宋_GB2312" w:eastAsia="仿宋_GB2312"/>
          <w:color w:val="auto"/>
          <w:sz w:val="24"/>
          <w:highlight w:val="none"/>
        </w:rPr>
      </w:pPr>
      <w:r>
        <w:rPr>
          <w:rFonts w:hint="eastAsia" w:ascii="仿宋_GB2312" w:eastAsia="仿宋_GB2312"/>
          <w:color w:val="auto"/>
          <w:sz w:val="24"/>
          <w:highlight w:val="none"/>
        </w:rPr>
        <w:t>（1） 付款计划表中所列的每期付款金额，应为第</w:t>
      </w:r>
      <w:r>
        <w:rPr>
          <w:rFonts w:ascii="仿宋_GB2312" w:eastAsia="仿宋_GB2312"/>
          <w:color w:val="auto"/>
          <w:sz w:val="24"/>
          <w:highlight w:val="none"/>
        </w:rPr>
        <w:t>14.3.1</w:t>
      </w:r>
      <w:r>
        <w:rPr>
          <w:rFonts w:hint="eastAsia" w:ascii="仿宋_GB2312" w:eastAsia="仿宋_GB2312"/>
          <w:color w:val="auto"/>
          <w:sz w:val="24"/>
          <w:highlight w:val="none"/>
        </w:rPr>
        <w:t>项[工程进度付款申请]每期进度款的估算金额；</w:t>
      </w:r>
    </w:p>
    <w:p>
      <w:pPr>
        <w:ind w:firstLine="600"/>
        <w:rPr>
          <w:rFonts w:ascii="仿宋_GB2312" w:eastAsia="仿宋_GB2312"/>
          <w:color w:val="auto"/>
          <w:sz w:val="24"/>
          <w:highlight w:val="none"/>
        </w:rPr>
      </w:pPr>
      <w:r>
        <w:rPr>
          <w:rFonts w:hint="eastAsia" w:ascii="仿宋_GB2312" w:eastAsia="仿宋_GB2312"/>
          <w:color w:val="auto"/>
          <w:sz w:val="24"/>
          <w:highlight w:val="none"/>
        </w:rPr>
        <w:t>（2） 实际进度与项目进度计划不一致的，合同当事人可按照第</w:t>
      </w:r>
      <w:r>
        <w:rPr>
          <w:rFonts w:ascii="仿宋_GB2312" w:eastAsia="仿宋_GB2312"/>
          <w:color w:val="auto"/>
          <w:sz w:val="24"/>
          <w:highlight w:val="none"/>
        </w:rPr>
        <w:t>3.6</w:t>
      </w:r>
      <w:r>
        <w:rPr>
          <w:rFonts w:hint="eastAsia" w:ascii="仿宋_GB2312" w:eastAsia="仿宋_GB2312"/>
          <w:color w:val="auto"/>
          <w:sz w:val="24"/>
          <w:highlight w:val="none"/>
        </w:rPr>
        <w:t>款[</w:t>
      </w:r>
      <w:r>
        <w:rPr>
          <w:rFonts w:ascii="仿宋_GB2312" w:eastAsia="仿宋_GB2312"/>
          <w:color w:val="auto"/>
          <w:sz w:val="24"/>
          <w:highlight w:val="none"/>
        </w:rPr>
        <w:t>商定或确定</w:t>
      </w:r>
      <w:r>
        <w:rPr>
          <w:rFonts w:hint="eastAsia" w:ascii="仿宋_GB2312" w:eastAsia="仿宋_GB2312"/>
          <w:color w:val="auto"/>
          <w:sz w:val="24"/>
          <w:highlight w:val="none"/>
        </w:rPr>
        <w:t>]修改付款计划表；</w:t>
      </w:r>
    </w:p>
    <w:p>
      <w:pPr>
        <w:ind w:firstLine="600"/>
        <w:rPr>
          <w:rFonts w:ascii="仿宋_GB2312" w:eastAsia="仿宋_GB2312"/>
          <w:color w:val="auto"/>
          <w:sz w:val="24"/>
          <w:highlight w:val="none"/>
        </w:rPr>
      </w:pPr>
      <w:r>
        <w:rPr>
          <w:rFonts w:hint="eastAsia" w:ascii="仿宋_GB2312" w:eastAsia="仿宋_GB2312"/>
          <w:color w:val="auto"/>
          <w:sz w:val="24"/>
          <w:highlight w:val="none"/>
        </w:rPr>
        <w:t>（3） 不采用付款计划表的，承包人应向工程师提交按季度编制的支付估算付款计划表，用于支付参考。</w:t>
      </w:r>
    </w:p>
    <w:p>
      <w:pPr>
        <w:pStyle w:val="55"/>
        <w:numPr>
          <w:ilvl w:val="0"/>
          <w:numId w:val="0"/>
        </w:numPr>
        <w:rPr>
          <w:rFonts w:ascii="仿宋_GB2312" w:eastAsia="仿宋_GB2312"/>
          <w:color w:val="auto"/>
          <w:szCs w:val="24"/>
          <w:highlight w:val="none"/>
        </w:rPr>
      </w:pPr>
      <w:bookmarkStart w:id="946" w:name="_Ref4571011"/>
      <w:r>
        <w:rPr>
          <w:rFonts w:hint="eastAsia" w:ascii="仿宋_GB2312" w:eastAsia="仿宋_GB2312"/>
          <w:color w:val="auto"/>
          <w:szCs w:val="24"/>
          <w:highlight w:val="none"/>
        </w:rPr>
        <w:t>1</w:t>
      </w:r>
      <w:r>
        <w:rPr>
          <w:rFonts w:ascii="仿宋_GB2312" w:eastAsia="仿宋_GB2312"/>
          <w:color w:val="auto"/>
          <w:szCs w:val="24"/>
          <w:highlight w:val="none"/>
        </w:rPr>
        <w:t xml:space="preserve">4.4.2 </w:t>
      </w:r>
      <w:r>
        <w:rPr>
          <w:rFonts w:hint="eastAsia" w:ascii="仿宋_GB2312" w:eastAsia="仿宋_GB2312"/>
          <w:color w:val="auto"/>
          <w:szCs w:val="24"/>
          <w:highlight w:val="none"/>
        </w:rPr>
        <w:t>付款计划表的编制与审批</w:t>
      </w:r>
      <w:bookmarkEnd w:id="946"/>
    </w:p>
    <w:p>
      <w:pPr>
        <w:ind w:firstLine="600"/>
        <w:rPr>
          <w:rFonts w:ascii="仿宋_GB2312" w:eastAsia="仿宋_GB2312"/>
          <w:color w:val="auto"/>
          <w:sz w:val="24"/>
          <w:highlight w:val="none"/>
        </w:rPr>
      </w:pPr>
      <w:r>
        <w:rPr>
          <w:rFonts w:hint="eastAsia" w:ascii="仿宋_GB2312" w:eastAsia="仿宋_GB2312"/>
          <w:color w:val="auto"/>
          <w:sz w:val="24"/>
          <w:highlight w:val="none"/>
        </w:rPr>
        <w:t>（1） 除专用合同条件另有约定外，承包人应根据第</w:t>
      </w:r>
      <w:r>
        <w:rPr>
          <w:rFonts w:ascii="仿宋_GB2312" w:eastAsia="仿宋_GB2312"/>
          <w:color w:val="auto"/>
          <w:sz w:val="24"/>
          <w:highlight w:val="none"/>
        </w:rPr>
        <w:t>8.4</w:t>
      </w:r>
      <w:r>
        <w:rPr>
          <w:rFonts w:hint="eastAsia" w:ascii="仿宋_GB2312" w:eastAsia="仿宋_GB2312"/>
          <w:color w:val="auto"/>
          <w:sz w:val="24"/>
          <w:highlight w:val="none"/>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ind w:firstLine="600"/>
        <w:rPr>
          <w:rFonts w:ascii="仿宋_GB2312" w:eastAsia="仿宋_GB2312"/>
          <w:color w:val="auto"/>
          <w:sz w:val="24"/>
          <w:highlight w:val="none"/>
        </w:rPr>
      </w:pPr>
      <w:r>
        <w:rPr>
          <w:rFonts w:hint="eastAsia" w:ascii="仿宋_GB2312" w:eastAsia="仿宋_GB2312"/>
          <w:color w:val="auto"/>
          <w:sz w:val="24"/>
          <w:highlight w:val="none"/>
        </w:rPr>
        <w:t>（2） 工程师应在收到付款计划表后7天内完成审核并报送发包人。发包人应在收到经工程师审核的付款计划表后7天内完成审批，经发包人批准的付款计划表为有约束力的付款计划表。</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发包人逾期未完成付款计划表审批的，也未及时要求承包人进行修正和提供补充资料的，则承包人提交的付款计划表视为已经获得发包人批准。</w:t>
      </w:r>
    </w:p>
    <w:p>
      <w:pPr>
        <w:pStyle w:val="54"/>
        <w:widowControl/>
        <w:numPr>
          <w:ilvl w:val="0"/>
          <w:numId w:val="0"/>
        </w:numPr>
        <w:rPr>
          <w:b w:val="0"/>
          <w:bCs/>
          <w:color w:val="auto"/>
          <w:highlight w:val="none"/>
        </w:rPr>
      </w:pPr>
      <w:bookmarkStart w:id="947" w:name="_Toc54862296"/>
      <w:bookmarkStart w:id="948" w:name="_Ref4538634"/>
      <w:r>
        <w:rPr>
          <w:rFonts w:hint="eastAsia"/>
          <w:b w:val="0"/>
          <w:bCs/>
          <w:color w:val="auto"/>
          <w:highlight w:val="none"/>
        </w:rPr>
        <w:t>1</w:t>
      </w:r>
      <w:r>
        <w:rPr>
          <w:b w:val="0"/>
          <w:bCs/>
          <w:color w:val="auto"/>
          <w:highlight w:val="none"/>
        </w:rPr>
        <w:t xml:space="preserve">4.5 </w:t>
      </w:r>
      <w:r>
        <w:rPr>
          <w:rFonts w:hint="eastAsia"/>
          <w:b w:val="0"/>
          <w:bCs/>
          <w:color w:val="auto"/>
          <w:highlight w:val="none"/>
        </w:rPr>
        <w:t>竣工结算</w:t>
      </w:r>
      <w:bookmarkEnd w:id="947"/>
      <w:bookmarkEnd w:id="948"/>
    </w:p>
    <w:p>
      <w:pPr>
        <w:pStyle w:val="55"/>
        <w:numPr>
          <w:ilvl w:val="0"/>
          <w:numId w:val="0"/>
        </w:numPr>
        <w:rPr>
          <w:rFonts w:ascii="仿宋_GB2312" w:eastAsia="仿宋_GB2312"/>
          <w:color w:val="auto"/>
          <w:szCs w:val="24"/>
          <w:highlight w:val="none"/>
        </w:rPr>
      </w:pPr>
      <w:bookmarkStart w:id="949" w:name="_Ref4571361"/>
      <w:r>
        <w:rPr>
          <w:rFonts w:hint="eastAsia" w:ascii="仿宋_GB2312" w:eastAsia="仿宋_GB2312"/>
          <w:color w:val="auto"/>
          <w:szCs w:val="24"/>
          <w:highlight w:val="none"/>
        </w:rPr>
        <w:t>1</w:t>
      </w:r>
      <w:r>
        <w:rPr>
          <w:rFonts w:ascii="仿宋_GB2312" w:eastAsia="仿宋_GB2312"/>
          <w:color w:val="auto"/>
          <w:szCs w:val="24"/>
          <w:highlight w:val="none"/>
        </w:rPr>
        <w:t xml:space="preserve">4.5.1 </w:t>
      </w:r>
      <w:r>
        <w:rPr>
          <w:rFonts w:hint="eastAsia" w:ascii="仿宋_GB2312" w:eastAsia="仿宋_GB2312"/>
          <w:color w:val="auto"/>
          <w:szCs w:val="24"/>
          <w:highlight w:val="none"/>
        </w:rPr>
        <w:t>竣工结算申请</w:t>
      </w:r>
      <w:bookmarkEnd w:id="949"/>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除专用合同条件另有约定外，竣工结算申请单应包括以下内容：</w:t>
      </w:r>
    </w:p>
    <w:p>
      <w:pPr>
        <w:ind w:firstLine="600"/>
        <w:rPr>
          <w:rFonts w:ascii="仿宋_GB2312" w:eastAsia="仿宋_GB2312"/>
          <w:color w:val="auto"/>
          <w:sz w:val="24"/>
          <w:highlight w:val="none"/>
        </w:rPr>
      </w:pPr>
      <w:r>
        <w:rPr>
          <w:rFonts w:hint="eastAsia" w:ascii="仿宋_GB2312" w:eastAsia="仿宋_GB2312"/>
          <w:color w:val="auto"/>
          <w:sz w:val="24"/>
          <w:highlight w:val="none"/>
        </w:rPr>
        <w:t>（1） 竣工结算合同价格；</w:t>
      </w:r>
    </w:p>
    <w:p>
      <w:pPr>
        <w:ind w:firstLine="600"/>
        <w:rPr>
          <w:rFonts w:ascii="仿宋_GB2312" w:eastAsia="仿宋_GB2312"/>
          <w:color w:val="auto"/>
          <w:sz w:val="24"/>
          <w:highlight w:val="none"/>
        </w:rPr>
      </w:pPr>
      <w:r>
        <w:rPr>
          <w:rFonts w:hint="eastAsia" w:ascii="仿宋_GB2312" w:eastAsia="仿宋_GB2312"/>
          <w:color w:val="auto"/>
          <w:sz w:val="24"/>
          <w:highlight w:val="none"/>
        </w:rPr>
        <w:t>（2） 发包人已支付承包人的款项；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（3） 采用第</w:t>
      </w:r>
      <w:r>
        <w:rPr>
          <w:rFonts w:ascii="仿宋_GB2312" w:eastAsia="仿宋_GB2312"/>
          <w:color w:val="auto"/>
          <w:sz w:val="24"/>
          <w:highlight w:val="none"/>
        </w:rPr>
        <w:t>14.6.1</w:t>
      </w:r>
      <w:r>
        <w:rPr>
          <w:rFonts w:hint="eastAsia" w:ascii="仿宋_GB2312" w:eastAsia="仿宋_GB2312"/>
          <w:color w:val="auto"/>
          <w:sz w:val="24"/>
          <w:highlight w:val="none"/>
        </w:rPr>
        <w:t>项[承包人提供质量保证金的方式]第（2）种方式提供质量保证金的，应当列明应预留的质量保证金金额；采用第</w:t>
      </w:r>
      <w:r>
        <w:rPr>
          <w:rFonts w:ascii="仿宋_GB2312" w:eastAsia="仿宋_GB2312"/>
          <w:color w:val="auto"/>
          <w:sz w:val="24"/>
          <w:highlight w:val="none"/>
        </w:rPr>
        <w:t>14.6.1</w:t>
      </w:r>
      <w:r>
        <w:rPr>
          <w:rFonts w:hint="eastAsia" w:ascii="仿宋_GB2312" w:eastAsia="仿宋_GB2312"/>
          <w:color w:val="auto"/>
          <w:sz w:val="24"/>
          <w:highlight w:val="none"/>
        </w:rPr>
        <w:t>项[承包人提供质量保证金的方式]中其他方式提供质量保证金的，应当按第</w:t>
      </w:r>
      <w:r>
        <w:rPr>
          <w:rFonts w:ascii="仿宋_GB2312" w:eastAsia="仿宋_GB2312"/>
          <w:color w:val="auto"/>
          <w:sz w:val="24"/>
          <w:highlight w:val="none"/>
        </w:rPr>
        <w:t>14.6</w:t>
      </w:r>
      <w:r>
        <w:rPr>
          <w:rFonts w:hint="eastAsia" w:ascii="仿宋_GB2312" w:eastAsia="仿宋_GB2312"/>
          <w:color w:val="auto"/>
          <w:sz w:val="24"/>
          <w:highlight w:val="none"/>
        </w:rPr>
        <w:t>款[质量保证金]提供相关文件作为附件；</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（4） 发包人应支付承包人的合同价款。</w:t>
      </w:r>
    </w:p>
    <w:p>
      <w:pPr>
        <w:pStyle w:val="19"/>
        <w:ind w:firstLine="720" w:firstLineChars="300"/>
        <w:rPr>
          <w:rFonts w:hint="eastAsia" w:eastAsia="仿宋_GB2312"/>
          <w:color w:val="auto"/>
          <w:highlight w:val="none"/>
        </w:rPr>
      </w:pPr>
      <w:r>
        <w:rPr>
          <w:rFonts w:hint="eastAsia" w:ascii="仿宋_GB2312" w:eastAsia="仿宋_GB2312"/>
          <w:color w:val="auto"/>
          <w:sz w:val="24"/>
          <w:highlight w:val="none"/>
        </w:rPr>
        <w:t>（5）结算方式：</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5.1设计费用按固定价方式结算，除招标人要求增加设计内容以外，结算时不予调整。</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5.2建安工程费按以下方式进行结算。</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5.2.1计价办法按湘建价【2020】56号文，定额按湘建价【2020】56号文中市政、园林等消耗量标准及相关解释文件。</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5.2.2施工过程中如有新的法律法规及主管部门的政策性文件对人工、机械、材料各种税费产生变化的按相关法律法规和文件执行。</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5.2.3结算材料价格按施工同期《岳阳工程造价》发布的预算价为准，施工期间土建及市政工程材料实际采购价高于同期《岳阳工程造价》发布预算价3%(3%以内不调整)、装修及安装工程材料实际采购价高于同期《岳阳工程造价》发布预算价5%(5%以内不调整)时，经发包人核实，结算时按实际采购价调整(3%以内不调整)、装修及安装工程5%(5%以内不调整)，经发包人核实，结算时按实际采购价调整。</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5.2.4本项目工程量以实际发生工程量结算。</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5.2.5本项目最终结算价以岳阳市财评中心审定的金额为准。</w:t>
      </w:r>
    </w:p>
    <w:p>
      <w:pPr>
        <w:ind w:firstLine="600"/>
        <w:rPr>
          <w:color w:val="auto"/>
          <w:highlight w:val="none"/>
        </w:rPr>
      </w:pPr>
      <w:r>
        <w:rPr>
          <w:rFonts w:hint="eastAsia" w:ascii="仿宋_GB2312" w:eastAsia="仿宋_GB2312"/>
          <w:color w:val="auto"/>
          <w:sz w:val="24"/>
          <w:highlight w:val="none"/>
        </w:rPr>
        <w:t>5.2.6项目实施过程中为严控投资，承包人除严格遵循招标文件、发包人和监理人现场指定外，涉及到变更的按相关规定，报市级监管部门和市政府相关部门审批后方可实施。</w:t>
      </w:r>
    </w:p>
    <w:p>
      <w:pPr>
        <w:pStyle w:val="55"/>
        <w:numPr>
          <w:ilvl w:val="0"/>
          <w:numId w:val="0"/>
        </w:numPr>
        <w:rPr>
          <w:rFonts w:ascii="仿宋_GB2312" w:eastAsia="仿宋_GB2312"/>
          <w:color w:val="auto"/>
          <w:szCs w:val="24"/>
          <w:highlight w:val="none"/>
        </w:rPr>
      </w:pPr>
      <w:bookmarkStart w:id="950" w:name="_Ref4571384"/>
      <w:r>
        <w:rPr>
          <w:rFonts w:hint="eastAsia" w:ascii="仿宋_GB2312" w:eastAsia="仿宋_GB2312"/>
          <w:color w:val="auto"/>
          <w:szCs w:val="24"/>
          <w:highlight w:val="none"/>
        </w:rPr>
        <w:t>1</w:t>
      </w:r>
      <w:r>
        <w:rPr>
          <w:rFonts w:ascii="仿宋_GB2312" w:eastAsia="仿宋_GB2312"/>
          <w:color w:val="auto"/>
          <w:szCs w:val="24"/>
          <w:highlight w:val="none"/>
        </w:rPr>
        <w:t xml:space="preserve">4.5.2 </w:t>
      </w:r>
      <w:r>
        <w:rPr>
          <w:rFonts w:hint="eastAsia" w:ascii="仿宋_GB2312" w:eastAsia="仿宋_GB2312"/>
          <w:color w:val="auto"/>
          <w:szCs w:val="24"/>
          <w:highlight w:val="none"/>
        </w:rPr>
        <w:t>竣工结算审核</w:t>
      </w:r>
      <w:bookmarkEnd w:id="950"/>
    </w:p>
    <w:p>
      <w:pPr>
        <w:ind w:firstLine="600"/>
        <w:rPr>
          <w:rFonts w:ascii="仿宋_GB2312" w:eastAsia="仿宋_GB2312"/>
          <w:color w:val="auto"/>
          <w:sz w:val="24"/>
          <w:highlight w:val="none"/>
        </w:rPr>
      </w:pPr>
      <w:r>
        <w:rPr>
          <w:rFonts w:hint="eastAsia" w:ascii="仿宋_GB2312" w:eastAsia="仿宋_GB2312"/>
          <w:color w:val="auto"/>
          <w:sz w:val="24"/>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ind w:firstLine="600"/>
        <w:rPr>
          <w:rFonts w:ascii="仿宋_GB2312" w:eastAsia="仿宋_GB2312"/>
          <w:color w:val="auto"/>
          <w:sz w:val="24"/>
          <w:highlight w:val="none"/>
        </w:rPr>
      </w:pPr>
      <w:bookmarkStart w:id="951" w:name="_Ref4618006"/>
      <w:r>
        <w:rPr>
          <w:rFonts w:hint="eastAsia" w:ascii="仿宋_GB2312" w:eastAsia="仿宋_GB2312"/>
          <w:color w:val="auto"/>
          <w:sz w:val="24"/>
          <w:highlight w:val="none"/>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951"/>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承包人对发包人签认的竣工付款证书有异议的，对于有异议部分应在收到发包人签认的竣工付款证书后7天内提出异议，并由合同当事人按照专用合同条件约定的方式和程序进行复核，或按照第</w:t>
      </w:r>
      <w:r>
        <w:rPr>
          <w:rFonts w:ascii="仿宋_GB2312" w:eastAsia="仿宋_GB2312"/>
          <w:color w:val="auto"/>
          <w:sz w:val="24"/>
          <w:highlight w:val="none"/>
        </w:rPr>
        <w:t>20条</w:t>
      </w:r>
      <w:r>
        <w:rPr>
          <w:rFonts w:hint="eastAsia" w:ascii="仿宋_GB2312" w:eastAsia="仿宋_GB2312"/>
          <w:color w:val="auto"/>
          <w:sz w:val="24"/>
          <w:highlight w:val="none"/>
        </w:rPr>
        <w:t>[争议解决]约定处理。对于无异议部分，发包人应签发临时竣工付款证书，并按本款第（2）项完成付款。承包人逾期未提出异议的，视为认可发包人的审批结果。</w:t>
      </w:r>
    </w:p>
    <w:p>
      <w:pPr>
        <w:pStyle w:val="55"/>
        <w:numPr>
          <w:ilvl w:val="0"/>
          <w:numId w:val="0"/>
        </w:numPr>
        <w:rPr>
          <w:rFonts w:ascii="仿宋_GB2312" w:eastAsia="仿宋_GB2312"/>
          <w:color w:val="auto"/>
          <w:szCs w:val="24"/>
          <w:highlight w:val="none"/>
        </w:rPr>
      </w:pPr>
      <w:bookmarkStart w:id="952" w:name="_Ref15484305"/>
      <w:r>
        <w:rPr>
          <w:rFonts w:hint="eastAsia" w:ascii="仿宋_GB2312" w:eastAsia="仿宋_GB2312"/>
          <w:color w:val="auto"/>
          <w:szCs w:val="24"/>
          <w:highlight w:val="none"/>
        </w:rPr>
        <w:t>1</w:t>
      </w:r>
      <w:r>
        <w:rPr>
          <w:rFonts w:ascii="仿宋_GB2312" w:eastAsia="仿宋_GB2312"/>
          <w:color w:val="auto"/>
          <w:szCs w:val="24"/>
          <w:highlight w:val="none"/>
        </w:rPr>
        <w:t xml:space="preserve">4.5.3 </w:t>
      </w:r>
      <w:r>
        <w:rPr>
          <w:rFonts w:hint="eastAsia" w:ascii="仿宋_GB2312" w:eastAsia="仿宋_GB2312"/>
          <w:color w:val="auto"/>
          <w:szCs w:val="24"/>
          <w:highlight w:val="none"/>
        </w:rPr>
        <w:t>扫尾工作清单</w:t>
      </w:r>
      <w:bookmarkEnd w:id="952"/>
    </w:p>
    <w:p>
      <w:pPr>
        <w:ind w:firstLine="600"/>
        <w:rPr>
          <w:rFonts w:ascii="仿宋_GB2312" w:eastAsia="仿宋_GB2312"/>
          <w:color w:val="auto"/>
          <w:sz w:val="24"/>
          <w:highlight w:val="none"/>
        </w:rPr>
      </w:pPr>
      <w:r>
        <w:rPr>
          <w:rFonts w:hint="eastAsia" w:ascii="仿宋_GB2312" w:eastAsia="仿宋_GB2312"/>
          <w:color w:val="auto"/>
          <w:sz w:val="24"/>
          <w:highlight w:val="none"/>
        </w:rPr>
        <w:t>经双方协商，部分工作在工程竣工验收后进行的，承包人应当编制扫尾工作清单，扫尾工作清单中应当列明承包人应当完成的扫尾工作的内容及完成时间。</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承包人完成扫尾工作清单中的内容应取得的费用包含在第</w:t>
      </w:r>
      <w:r>
        <w:rPr>
          <w:rFonts w:ascii="仿宋_GB2312" w:eastAsia="仿宋_GB2312"/>
          <w:color w:val="auto"/>
          <w:sz w:val="24"/>
          <w:highlight w:val="none"/>
        </w:rPr>
        <w:t>14.5.1</w:t>
      </w:r>
      <w:r>
        <w:rPr>
          <w:rFonts w:hint="eastAsia" w:ascii="仿宋_GB2312" w:eastAsia="仿宋_GB2312"/>
          <w:color w:val="auto"/>
          <w:sz w:val="24"/>
          <w:highlight w:val="none"/>
        </w:rPr>
        <w:t>项[</w:t>
      </w:r>
      <w:r>
        <w:rPr>
          <w:rFonts w:ascii="仿宋_GB2312" w:eastAsia="仿宋_GB2312"/>
          <w:color w:val="auto"/>
          <w:sz w:val="24"/>
          <w:highlight w:val="none"/>
        </w:rPr>
        <w:t>竣工结算申请</w:t>
      </w:r>
      <w:r>
        <w:rPr>
          <w:rFonts w:hint="eastAsia" w:ascii="仿宋_GB2312" w:eastAsia="仿宋_GB2312"/>
          <w:color w:val="auto"/>
          <w:sz w:val="24"/>
          <w:highlight w:val="none"/>
        </w:rPr>
        <w:t>]及第</w:t>
      </w:r>
      <w:r>
        <w:rPr>
          <w:rFonts w:ascii="仿宋_GB2312" w:eastAsia="仿宋_GB2312"/>
          <w:color w:val="auto"/>
          <w:sz w:val="24"/>
          <w:highlight w:val="none"/>
        </w:rPr>
        <w:t>14.5.2</w:t>
      </w:r>
      <w:r>
        <w:rPr>
          <w:rFonts w:hint="eastAsia" w:ascii="仿宋_GB2312" w:eastAsia="仿宋_GB2312"/>
          <w:color w:val="auto"/>
          <w:sz w:val="24"/>
          <w:highlight w:val="none"/>
        </w:rPr>
        <w:t>项[竣工结算审核]中一并结算。</w:t>
      </w:r>
    </w:p>
    <w:p>
      <w:pPr>
        <w:ind w:firstLine="600"/>
        <w:rPr>
          <w:rFonts w:ascii="仿宋_GB2312" w:eastAsia="仿宋_GB2312"/>
          <w:color w:val="auto"/>
          <w:sz w:val="24"/>
          <w:highlight w:val="none"/>
        </w:rPr>
      </w:pPr>
      <w:r>
        <w:rPr>
          <w:rFonts w:hint="eastAsia" w:ascii="仿宋_GB2312" w:eastAsia="仿宋_GB2312"/>
          <w:color w:val="auto"/>
          <w:sz w:val="24"/>
          <w:highlight w:val="none"/>
        </w:rPr>
        <w:t>扫尾工作的缺陷责任期按第</w:t>
      </w:r>
      <w:r>
        <w:rPr>
          <w:rFonts w:ascii="仿宋_GB2312" w:eastAsia="仿宋_GB2312"/>
          <w:color w:val="auto"/>
          <w:sz w:val="24"/>
          <w:highlight w:val="none"/>
        </w:rPr>
        <w:t>11条</w:t>
      </w:r>
      <w:r>
        <w:rPr>
          <w:rFonts w:hint="eastAsia" w:ascii="仿宋_GB2312" w:eastAsia="仿宋_GB2312"/>
          <w:color w:val="auto"/>
          <w:sz w:val="24"/>
          <w:highlight w:val="none"/>
        </w:rPr>
        <w:t>[缺陷责任与</w:t>
      </w:r>
      <w:r>
        <w:rPr>
          <w:rFonts w:ascii="仿宋_GB2312" w:eastAsia="仿宋_GB2312"/>
          <w:color w:val="auto"/>
          <w:sz w:val="24"/>
          <w:highlight w:val="none"/>
        </w:rPr>
        <w:t>保</w:t>
      </w:r>
      <w:r>
        <w:rPr>
          <w:rFonts w:hint="eastAsia" w:ascii="仿宋_GB2312" w:eastAsia="仿宋_GB2312"/>
          <w:color w:val="auto"/>
          <w:sz w:val="24"/>
          <w:highlight w:val="none"/>
        </w:rPr>
        <w:t>修]处理。承包人未能按照扫尾工作清单约定的完成时间完成扫尾工作的，视为承包人原因导致的工程质量缺陷按照第</w:t>
      </w:r>
      <w:r>
        <w:rPr>
          <w:rFonts w:ascii="仿宋_GB2312" w:eastAsia="仿宋_GB2312"/>
          <w:color w:val="auto"/>
          <w:sz w:val="24"/>
          <w:highlight w:val="none"/>
        </w:rPr>
        <w:t>11.3</w:t>
      </w:r>
      <w:r>
        <w:rPr>
          <w:rFonts w:hint="eastAsia" w:ascii="仿宋_GB2312" w:eastAsia="仿宋_GB2312"/>
          <w:color w:val="auto"/>
          <w:sz w:val="24"/>
          <w:highlight w:val="none"/>
        </w:rPr>
        <w:t>款[缺陷调查]处理。</w:t>
      </w:r>
    </w:p>
    <w:p>
      <w:pPr>
        <w:pStyle w:val="54"/>
        <w:widowControl/>
        <w:numPr>
          <w:ilvl w:val="0"/>
          <w:numId w:val="0"/>
        </w:numPr>
        <w:rPr>
          <w:b w:val="0"/>
          <w:bCs/>
          <w:color w:val="auto"/>
          <w:highlight w:val="none"/>
        </w:rPr>
      </w:pPr>
      <w:bookmarkStart w:id="953" w:name="_Ref15395020"/>
      <w:bookmarkStart w:id="954" w:name="_Ref4571127"/>
      <w:bookmarkStart w:id="955" w:name="_Ref4571100"/>
      <w:bookmarkStart w:id="956" w:name="_Ref4582115"/>
      <w:bookmarkStart w:id="957" w:name="_Toc54862297"/>
      <w:bookmarkStart w:id="958" w:name="_Ref4617592"/>
      <w:bookmarkStart w:id="959" w:name="_Ref4617582"/>
      <w:bookmarkStart w:id="960" w:name="_Hlk15394931"/>
      <w:r>
        <w:rPr>
          <w:rFonts w:hint="eastAsia"/>
          <w:b w:val="0"/>
          <w:bCs/>
          <w:color w:val="auto"/>
          <w:highlight w:val="none"/>
        </w:rPr>
        <w:t>1</w:t>
      </w:r>
      <w:r>
        <w:rPr>
          <w:b w:val="0"/>
          <w:bCs/>
          <w:color w:val="auto"/>
          <w:highlight w:val="none"/>
        </w:rPr>
        <w:t xml:space="preserve">4.6 </w:t>
      </w:r>
      <w:r>
        <w:rPr>
          <w:rFonts w:hint="eastAsia"/>
          <w:b w:val="0"/>
          <w:bCs/>
          <w:color w:val="auto"/>
          <w:highlight w:val="none"/>
        </w:rPr>
        <w:t>质量保证金</w:t>
      </w:r>
      <w:bookmarkEnd w:id="943"/>
      <w:bookmarkEnd w:id="944"/>
      <w:bookmarkEnd w:id="953"/>
      <w:bookmarkEnd w:id="954"/>
      <w:bookmarkEnd w:id="955"/>
      <w:bookmarkEnd w:id="956"/>
      <w:bookmarkEnd w:id="957"/>
      <w:bookmarkEnd w:id="958"/>
      <w:bookmarkEnd w:id="959"/>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经合同当事人协商一致提供质量保证金的，应在专用合同条件中予以明确。在工程项目竣工前，承包人已经提供履约担保的，发包人不得同时要求承包人提供质量保证金。</w:t>
      </w:r>
    </w:p>
    <w:bookmarkEnd w:id="960"/>
    <w:p>
      <w:pPr>
        <w:pStyle w:val="55"/>
        <w:numPr>
          <w:ilvl w:val="0"/>
          <w:numId w:val="0"/>
        </w:numPr>
        <w:rPr>
          <w:rFonts w:ascii="仿宋_GB2312" w:eastAsia="仿宋_GB2312"/>
          <w:color w:val="auto"/>
          <w:szCs w:val="24"/>
          <w:highlight w:val="none"/>
        </w:rPr>
      </w:pPr>
      <w:bookmarkStart w:id="961" w:name="_Ref531955069"/>
      <w:bookmarkStart w:id="962" w:name="_Ref531957153"/>
      <w:r>
        <w:rPr>
          <w:rFonts w:hint="eastAsia" w:ascii="仿宋_GB2312" w:eastAsia="仿宋_GB2312"/>
          <w:color w:val="auto"/>
          <w:szCs w:val="24"/>
          <w:highlight w:val="none"/>
        </w:rPr>
        <w:t>1</w:t>
      </w:r>
      <w:r>
        <w:rPr>
          <w:rFonts w:ascii="仿宋_GB2312" w:eastAsia="仿宋_GB2312"/>
          <w:color w:val="auto"/>
          <w:szCs w:val="24"/>
          <w:highlight w:val="none"/>
        </w:rPr>
        <w:t xml:space="preserve">4.6.1 </w:t>
      </w:r>
      <w:r>
        <w:rPr>
          <w:rFonts w:hint="eastAsia" w:ascii="仿宋_GB2312" w:eastAsia="仿宋_GB2312"/>
          <w:color w:val="auto"/>
          <w:szCs w:val="24"/>
          <w:highlight w:val="none"/>
        </w:rPr>
        <w:t>承包人提供质量保证金的方式</w:t>
      </w:r>
      <w:bookmarkEnd w:id="961"/>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承包人提供质量保证金有以下三种方式：</w:t>
      </w:r>
    </w:p>
    <w:p>
      <w:pPr>
        <w:ind w:firstLine="600"/>
        <w:rPr>
          <w:rFonts w:ascii="仿宋_GB2312" w:eastAsia="仿宋_GB2312"/>
          <w:color w:val="auto"/>
          <w:sz w:val="24"/>
          <w:highlight w:val="none"/>
        </w:rPr>
      </w:pPr>
      <w:bookmarkStart w:id="963" w:name="_Ref531955096"/>
      <w:r>
        <w:rPr>
          <w:rFonts w:hint="eastAsia" w:ascii="仿宋_GB2312" w:eastAsia="仿宋_GB2312"/>
          <w:color w:val="auto"/>
          <w:sz w:val="24"/>
          <w:highlight w:val="none"/>
        </w:rPr>
        <w:t>（1） 提交工程质量保证担保；</w:t>
      </w:r>
      <w:bookmarkEnd w:id="963"/>
    </w:p>
    <w:p>
      <w:pPr>
        <w:ind w:firstLine="600"/>
        <w:rPr>
          <w:rFonts w:ascii="仿宋_GB2312" w:eastAsia="仿宋_GB2312"/>
          <w:color w:val="auto"/>
          <w:sz w:val="24"/>
          <w:highlight w:val="none"/>
        </w:rPr>
      </w:pPr>
      <w:bookmarkStart w:id="964" w:name="_Ref531955107"/>
      <w:r>
        <w:rPr>
          <w:rFonts w:hint="eastAsia" w:ascii="仿宋_GB2312" w:eastAsia="仿宋_GB2312"/>
          <w:color w:val="auto"/>
          <w:sz w:val="24"/>
          <w:highlight w:val="none"/>
        </w:rPr>
        <w:t>（2） 预留相应比例的工程款；</w:t>
      </w:r>
      <w:bookmarkEnd w:id="964"/>
    </w:p>
    <w:p>
      <w:pPr>
        <w:ind w:firstLine="600"/>
        <w:rPr>
          <w:rFonts w:ascii="仿宋_GB2312" w:eastAsia="仿宋_GB2312"/>
          <w:color w:val="auto"/>
          <w:sz w:val="24"/>
          <w:highlight w:val="none"/>
        </w:rPr>
      </w:pPr>
      <w:bookmarkStart w:id="965" w:name="_Ref531955117"/>
      <w:r>
        <w:rPr>
          <w:rFonts w:hint="eastAsia" w:ascii="仿宋_GB2312" w:eastAsia="仿宋_GB2312"/>
          <w:color w:val="auto"/>
          <w:sz w:val="24"/>
          <w:highlight w:val="none"/>
        </w:rPr>
        <w:t>（3） 双方约定的其他方式。</w:t>
      </w:r>
      <w:bookmarkEnd w:id="965"/>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55"/>
        <w:numPr>
          <w:ilvl w:val="0"/>
          <w:numId w:val="0"/>
        </w:numPr>
        <w:rPr>
          <w:rFonts w:ascii="仿宋_GB2312" w:eastAsia="仿宋_GB2312"/>
          <w:color w:val="auto"/>
          <w:szCs w:val="24"/>
          <w:highlight w:val="none"/>
        </w:rPr>
      </w:pPr>
      <w:bookmarkStart w:id="966" w:name="_Ref15419738"/>
      <w:bookmarkStart w:id="967" w:name="_Ref18931667"/>
      <w:r>
        <w:rPr>
          <w:rFonts w:hint="eastAsia" w:ascii="仿宋_GB2312" w:eastAsia="仿宋_GB2312"/>
          <w:color w:val="auto"/>
          <w:szCs w:val="24"/>
          <w:highlight w:val="none"/>
        </w:rPr>
        <w:t>1</w:t>
      </w:r>
      <w:r>
        <w:rPr>
          <w:rFonts w:ascii="仿宋_GB2312" w:eastAsia="仿宋_GB2312"/>
          <w:color w:val="auto"/>
          <w:szCs w:val="24"/>
          <w:highlight w:val="none"/>
        </w:rPr>
        <w:t xml:space="preserve">4.6.2 </w:t>
      </w:r>
      <w:r>
        <w:rPr>
          <w:rFonts w:hint="eastAsia" w:ascii="仿宋_GB2312" w:eastAsia="仿宋_GB2312"/>
          <w:color w:val="auto"/>
          <w:szCs w:val="24"/>
          <w:highlight w:val="none"/>
        </w:rPr>
        <w:t>质量保证金的预留</w:t>
      </w:r>
      <w:bookmarkEnd w:id="966"/>
      <w:bookmarkEnd w:id="967"/>
    </w:p>
    <w:p>
      <w:pPr>
        <w:ind w:firstLine="600"/>
        <w:rPr>
          <w:rFonts w:ascii="仿宋_GB2312" w:eastAsia="仿宋_GB2312"/>
          <w:color w:val="auto"/>
          <w:sz w:val="24"/>
          <w:highlight w:val="none"/>
        </w:rPr>
      </w:pPr>
      <w:r>
        <w:rPr>
          <w:rFonts w:hint="eastAsia" w:ascii="仿宋_GB2312" w:eastAsia="仿宋_GB2312"/>
          <w:color w:val="auto"/>
          <w:sz w:val="24"/>
          <w:highlight w:val="none"/>
        </w:rPr>
        <w:t>双方约定采用预留相应比例的工程款方式提供质量保证金的，质量保证金的预留有以下三种方式：</w:t>
      </w:r>
    </w:p>
    <w:p>
      <w:pPr>
        <w:ind w:firstLine="600"/>
        <w:rPr>
          <w:rFonts w:ascii="仿宋_GB2312" w:eastAsia="仿宋_GB2312"/>
          <w:color w:val="auto"/>
          <w:sz w:val="24"/>
          <w:highlight w:val="none"/>
        </w:rPr>
      </w:pPr>
      <w:bookmarkStart w:id="968" w:name="_Hlk18840714"/>
      <w:bookmarkStart w:id="969" w:name="_Ref531955143"/>
      <w:r>
        <w:rPr>
          <w:rFonts w:hint="eastAsia" w:ascii="仿宋_GB2312" w:eastAsia="仿宋_GB2312"/>
          <w:color w:val="auto"/>
          <w:sz w:val="24"/>
          <w:highlight w:val="none"/>
        </w:rPr>
        <w:t>（1） 按专用合同条件的约定在支付工程进度款时逐次预留，直至预留的质量保证金总额达到专用合同条件约定的金额或比例为止</w:t>
      </w:r>
      <w:bookmarkEnd w:id="968"/>
      <w:r>
        <w:rPr>
          <w:rFonts w:hint="eastAsia" w:ascii="仿宋_GB2312" w:eastAsia="仿宋_GB2312"/>
          <w:color w:val="auto"/>
          <w:sz w:val="24"/>
          <w:highlight w:val="none"/>
        </w:rPr>
        <w:t>。在此情形下，质量保证金的计算基数不包括预付款的支付、扣回以及价格调整的金额；</w:t>
      </w:r>
      <w:bookmarkEnd w:id="969"/>
    </w:p>
    <w:p>
      <w:pPr>
        <w:ind w:firstLine="600"/>
        <w:rPr>
          <w:rFonts w:ascii="仿宋_GB2312" w:eastAsia="仿宋_GB2312"/>
          <w:color w:val="auto"/>
          <w:sz w:val="24"/>
          <w:highlight w:val="none"/>
        </w:rPr>
      </w:pPr>
      <w:bookmarkStart w:id="970" w:name="_Ref531955151"/>
      <w:r>
        <w:rPr>
          <w:rFonts w:hint="eastAsia" w:ascii="仿宋_GB2312" w:eastAsia="仿宋_GB2312"/>
          <w:color w:val="auto"/>
          <w:sz w:val="24"/>
          <w:highlight w:val="none"/>
        </w:rPr>
        <w:t>（2） 工程竣工结算时一次性预留质量保证金；</w:t>
      </w:r>
      <w:bookmarkEnd w:id="970"/>
    </w:p>
    <w:p>
      <w:pPr>
        <w:ind w:firstLine="600"/>
        <w:rPr>
          <w:rFonts w:ascii="仿宋_GB2312" w:eastAsia="仿宋_GB2312"/>
          <w:color w:val="auto"/>
          <w:sz w:val="24"/>
          <w:highlight w:val="none"/>
        </w:rPr>
      </w:pPr>
      <w:bookmarkStart w:id="971" w:name="_Ref531955161"/>
      <w:r>
        <w:rPr>
          <w:rFonts w:hint="eastAsia" w:ascii="仿宋_GB2312" w:eastAsia="仿宋_GB2312"/>
          <w:color w:val="auto"/>
          <w:sz w:val="24"/>
          <w:highlight w:val="none"/>
        </w:rPr>
        <w:t>（3） 双方约定的其他预留方式。</w:t>
      </w:r>
      <w:bookmarkEnd w:id="971"/>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55"/>
        <w:numPr>
          <w:ilvl w:val="0"/>
          <w:numId w:val="0"/>
        </w:numPr>
        <w:rPr>
          <w:rFonts w:ascii="仿宋_GB2312" w:eastAsia="仿宋_GB2312"/>
          <w:color w:val="auto"/>
          <w:szCs w:val="24"/>
          <w:highlight w:val="none"/>
        </w:rPr>
      </w:pPr>
      <w:bookmarkStart w:id="972" w:name="_Ref532690096"/>
      <w:bookmarkStart w:id="973" w:name="_Ref4571243"/>
      <w:r>
        <w:rPr>
          <w:rFonts w:hint="eastAsia" w:ascii="仿宋_GB2312" w:eastAsia="仿宋_GB2312"/>
          <w:color w:val="auto"/>
          <w:szCs w:val="24"/>
          <w:highlight w:val="none"/>
        </w:rPr>
        <w:t>1</w:t>
      </w:r>
      <w:r>
        <w:rPr>
          <w:rFonts w:ascii="仿宋_GB2312" w:eastAsia="仿宋_GB2312"/>
          <w:color w:val="auto"/>
          <w:szCs w:val="24"/>
          <w:highlight w:val="none"/>
        </w:rPr>
        <w:t xml:space="preserve">4.6.3 </w:t>
      </w:r>
      <w:r>
        <w:rPr>
          <w:rFonts w:hint="eastAsia" w:ascii="仿宋_GB2312" w:eastAsia="仿宋_GB2312"/>
          <w:color w:val="auto"/>
          <w:szCs w:val="24"/>
          <w:highlight w:val="none"/>
        </w:rPr>
        <w:t>质量保证金的</w:t>
      </w:r>
      <w:bookmarkEnd w:id="972"/>
      <w:r>
        <w:rPr>
          <w:rFonts w:hint="eastAsia" w:ascii="仿宋_GB2312" w:eastAsia="仿宋_GB2312"/>
          <w:color w:val="auto"/>
          <w:szCs w:val="24"/>
          <w:highlight w:val="none"/>
        </w:rPr>
        <w:t>返还</w:t>
      </w:r>
      <w:bookmarkEnd w:id="973"/>
    </w:p>
    <w:p>
      <w:pPr>
        <w:ind w:firstLine="600"/>
        <w:rPr>
          <w:rFonts w:ascii="仿宋_GB2312" w:eastAsia="仿宋_GB2312"/>
          <w:color w:val="auto"/>
          <w:sz w:val="24"/>
          <w:highlight w:val="none"/>
        </w:rPr>
      </w:pPr>
      <w:r>
        <w:rPr>
          <w:rFonts w:hint="eastAsia" w:ascii="仿宋_GB2312" w:eastAsia="仿宋_GB2312"/>
          <w:color w:val="auto"/>
          <w:sz w:val="24"/>
          <w:highlight w:val="none"/>
        </w:rPr>
        <w:t>缺陷责任期内，承包人认真履行合同约定的责任，缺陷责任期满，发包人根据第</w:t>
      </w:r>
      <w:r>
        <w:rPr>
          <w:rFonts w:ascii="仿宋_GB2312" w:eastAsia="仿宋_GB2312"/>
          <w:color w:val="auto"/>
          <w:sz w:val="24"/>
          <w:highlight w:val="none"/>
        </w:rPr>
        <w:t>11.6</w:t>
      </w:r>
      <w:r>
        <w:rPr>
          <w:rFonts w:hint="eastAsia" w:ascii="仿宋_GB2312" w:eastAsia="仿宋_GB2312"/>
          <w:color w:val="auto"/>
          <w:sz w:val="24"/>
          <w:highlight w:val="none"/>
        </w:rPr>
        <w:t>款[缺陷责任期终止证书]向承包人颁发缺陷责任期终止证书后，承包人可向发包人申请返还质量保证金。</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发包人在接到承包人返还质量保证金申请后，应于</w:t>
      </w:r>
      <w:r>
        <w:rPr>
          <w:rFonts w:ascii="仿宋_GB2312" w:eastAsia="仿宋_GB2312"/>
          <w:color w:val="auto"/>
          <w:sz w:val="24"/>
          <w:highlight w:val="none"/>
        </w:rPr>
        <w:t>7</w:t>
      </w:r>
      <w:r>
        <w:rPr>
          <w:rFonts w:hint="eastAsia" w:ascii="仿宋_GB2312" w:eastAsia="仿宋_GB2312"/>
          <w:color w:val="auto"/>
          <w:sz w:val="24"/>
          <w:highlight w:val="none"/>
        </w:rPr>
        <w:t>天内将质量保证金返还承包人，逾期未返还的，应承担违约责任。发包人在接到承包人返还质量保证金申请后</w:t>
      </w:r>
      <w:r>
        <w:rPr>
          <w:rFonts w:ascii="仿宋_GB2312" w:eastAsia="仿宋_GB2312"/>
          <w:color w:val="auto"/>
          <w:sz w:val="24"/>
          <w:highlight w:val="none"/>
        </w:rPr>
        <w:t>7</w:t>
      </w:r>
      <w:r>
        <w:rPr>
          <w:rFonts w:hint="eastAsia" w:ascii="仿宋_GB2312" w:eastAsia="仿宋_GB2312"/>
          <w:color w:val="auto"/>
          <w:sz w:val="24"/>
          <w:highlight w:val="none"/>
        </w:rPr>
        <w:t>天内不予答复，视同认可承包人的返还质量保证金申请。</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发包人和承包人对质量保证金预留、返还以及工程维修质量、费用有争议的，按本合同第</w:t>
      </w:r>
      <w:r>
        <w:rPr>
          <w:rFonts w:ascii="仿宋_GB2312" w:eastAsia="仿宋_GB2312"/>
          <w:color w:val="auto"/>
          <w:sz w:val="24"/>
          <w:highlight w:val="none"/>
        </w:rPr>
        <w:t>20条</w:t>
      </w:r>
      <w:r>
        <w:rPr>
          <w:rFonts w:hint="eastAsia" w:ascii="仿宋_GB2312" w:eastAsia="仿宋_GB2312"/>
          <w:color w:val="auto"/>
          <w:sz w:val="24"/>
          <w:highlight w:val="none"/>
        </w:rPr>
        <w:t>[争议解决]约定的争议和纠纷解决程序处理。</w:t>
      </w:r>
    </w:p>
    <w:bookmarkEnd w:id="962"/>
    <w:p>
      <w:pPr>
        <w:pStyle w:val="54"/>
        <w:widowControl/>
        <w:numPr>
          <w:ilvl w:val="0"/>
          <w:numId w:val="0"/>
        </w:numPr>
        <w:rPr>
          <w:b w:val="0"/>
          <w:bCs/>
          <w:color w:val="auto"/>
          <w:highlight w:val="none"/>
        </w:rPr>
      </w:pPr>
      <w:bookmarkStart w:id="974" w:name="_Ref531957339"/>
      <w:bookmarkStart w:id="975" w:name="_Toc54862298"/>
      <w:bookmarkStart w:id="976" w:name="_Ref531957341"/>
      <w:r>
        <w:rPr>
          <w:rFonts w:hint="eastAsia"/>
          <w:b w:val="0"/>
          <w:bCs/>
          <w:color w:val="auto"/>
          <w:highlight w:val="none"/>
        </w:rPr>
        <w:t>1</w:t>
      </w:r>
      <w:r>
        <w:rPr>
          <w:b w:val="0"/>
          <w:bCs/>
          <w:color w:val="auto"/>
          <w:highlight w:val="none"/>
        </w:rPr>
        <w:t xml:space="preserve">4.7 </w:t>
      </w:r>
      <w:r>
        <w:rPr>
          <w:rFonts w:hint="eastAsia"/>
          <w:b w:val="0"/>
          <w:bCs/>
          <w:color w:val="auto"/>
          <w:highlight w:val="none"/>
        </w:rPr>
        <w:t>最终结清</w:t>
      </w:r>
      <w:bookmarkEnd w:id="974"/>
      <w:bookmarkEnd w:id="975"/>
      <w:bookmarkEnd w:id="976"/>
      <w:r>
        <w:rPr>
          <w:rFonts w:hint="eastAsia"/>
          <w:b w:val="0"/>
          <w:bCs/>
          <w:color w:val="auto"/>
          <w:highlight w:val="none"/>
        </w:rPr>
        <w:t xml:space="preserve"> </w:t>
      </w:r>
    </w:p>
    <w:p>
      <w:pPr>
        <w:pStyle w:val="55"/>
        <w:numPr>
          <w:ilvl w:val="0"/>
          <w:numId w:val="0"/>
        </w:numPr>
        <w:rPr>
          <w:rFonts w:ascii="仿宋_GB2312" w:eastAsia="仿宋_GB2312"/>
          <w:color w:val="auto"/>
          <w:szCs w:val="24"/>
          <w:highlight w:val="none"/>
        </w:rPr>
      </w:pPr>
      <w:bookmarkStart w:id="977" w:name="_Ref531957350"/>
      <w:r>
        <w:rPr>
          <w:rFonts w:hint="eastAsia" w:ascii="仿宋_GB2312" w:eastAsia="仿宋_GB2312"/>
          <w:color w:val="auto"/>
          <w:szCs w:val="24"/>
          <w:highlight w:val="none"/>
        </w:rPr>
        <w:t>1</w:t>
      </w:r>
      <w:r>
        <w:rPr>
          <w:rFonts w:ascii="仿宋_GB2312" w:eastAsia="仿宋_GB2312"/>
          <w:color w:val="auto"/>
          <w:szCs w:val="24"/>
          <w:highlight w:val="none"/>
        </w:rPr>
        <w:t xml:space="preserve">4.7.1 </w:t>
      </w:r>
      <w:r>
        <w:rPr>
          <w:rFonts w:hint="eastAsia" w:ascii="仿宋_GB2312" w:eastAsia="仿宋_GB2312"/>
          <w:color w:val="auto"/>
          <w:szCs w:val="24"/>
          <w:highlight w:val="none"/>
        </w:rPr>
        <w:t>最终结清申请</w:t>
      </w:r>
      <w:bookmarkEnd w:id="977"/>
      <w:r>
        <w:rPr>
          <w:rFonts w:hint="eastAsia" w:ascii="仿宋_GB2312" w:eastAsia="仿宋_GB2312"/>
          <w:color w:val="auto"/>
          <w:szCs w:val="24"/>
          <w:highlight w:val="none"/>
        </w:rPr>
        <w:t>单</w:t>
      </w:r>
    </w:p>
    <w:p>
      <w:pPr>
        <w:ind w:firstLine="600"/>
        <w:rPr>
          <w:rFonts w:ascii="仿宋_GB2312" w:eastAsia="仿宋_GB2312"/>
          <w:color w:val="auto"/>
          <w:sz w:val="24"/>
          <w:highlight w:val="none"/>
        </w:rPr>
      </w:pPr>
      <w:r>
        <w:rPr>
          <w:rFonts w:hint="eastAsia" w:ascii="仿宋_GB2312" w:eastAsia="仿宋_GB2312"/>
          <w:color w:val="auto"/>
          <w:sz w:val="24"/>
          <w:highlight w:val="none"/>
        </w:rPr>
        <w:t>（1） 除专用合同条件另有约定外，承包人应在缺陷责任期终止证书颁发后7天内，按专用合同条件约定的份数向发包人提交最终结清申请单，并提供相关证明材料。</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除专用合同条件另有约定外，最终结清申请单应列明质量保证金、应扣除的质量保证金、缺陷责任期内发生的增减费用。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（2） 发包人对最终结清申请单内容有异议的，有权要求承包人进行修正和提供补充资料，承包人应向发包人提交修正后的最终结清申请单。</w:t>
      </w:r>
    </w:p>
    <w:p>
      <w:pPr>
        <w:pStyle w:val="55"/>
        <w:numPr>
          <w:ilvl w:val="0"/>
          <w:numId w:val="0"/>
        </w:numPr>
        <w:rPr>
          <w:rFonts w:ascii="仿宋_GB2312" w:eastAsia="仿宋_GB2312"/>
          <w:color w:val="auto"/>
          <w:szCs w:val="24"/>
          <w:highlight w:val="none"/>
        </w:rPr>
      </w:pPr>
      <w:bookmarkStart w:id="978" w:name="_Ref531957369"/>
      <w:bookmarkStart w:id="979" w:name="_Ref4624099"/>
      <w:r>
        <w:rPr>
          <w:rFonts w:hint="eastAsia" w:ascii="仿宋_GB2312" w:eastAsia="仿宋_GB2312"/>
          <w:color w:val="auto"/>
          <w:szCs w:val="24"/>
          <w:highlight w:val="none"/>
        </w:rPr>
        <w:t>1</w:t>
      </w:r>
      <w:r>
        <w:rPr>
          <w:rFonts w:ascii="仿宋_GB2312" w:eastAsia="仿宋_GB2312"/>
          <w:color w:val="auto"/>
          <w:szCs w:val="24"/>
          <w:highlight w:val="none"/>
        </w:rPr>
        <w:t xml:space="preserve">4.7.2 </w:t>
      </w:r>
      <w:r>
        <w:rPr>
          <w:rFonts w:hint="eastAsia" w:ascii="仿宋_GB2312" w:eastAsia="仿宋_GB2312"/>
          <w:color w:val="auto"/>
          <w:szCs w:val="24"/>
          <w:highlight w:val="none"/>
        </w:rPr>
        <w:t>最终结清证书</w:t>
      </w:r>
      <w:bookmarkEnd w:id="978"/>
      <w:r>
        <w:rPr>
          <w:rFonts w:hint="eastAsia" w:ascii="仿宋_GB2312" w:eastAsia="仿宋_GB2312"/>
          <w:color w:val="auto"/>
          <w:szCs w:val="24"/>
          <w:highlight w:val="none"/>
        </w:rPr>
        <w:t>和支付</w:t>
      </w:r>
      <w:bookmarkEnd w:id="979"/>
    </w:p>
    <w:p>
      <w:pPr>
        <w:ind w:firstLine="600"/>
        <w:rPr>
          <w:rFonts w:ascii="仿宋_GB2312" w:eastAsia="仿宋_GB2312"/>
          <w:color w:val="auto"/>
          <w:sz w:val="24"/>
          <w:highlight w:val="none"/>
        </w:rPr>
      </w:pPr>
      <w:r>
        <w:rPr>
          <w:rFonts w:hint="eastAsia" w:ascii="仿宋_GB2312" w:eastAsia="仿宋_GB2312"/>
          <w:color w:val="auto"/>
          <w:sz w:val="24"/>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ind w:firstLine="600"/>
        <w:rPr>
          <w:rFonts w:ascii="仿宋_GB2312" w:eastAsia="仿宋_GB2312"/>
          <w:color w:val="auto"/>
          <w:sz w:val="24"/>
          <w:highlight w:val="none"/>
        </w:rPr>
      </w:pPr>
      <w:r>
        <w:rPr>
          <w:rFonts w:hint="eastAsia" w:ascii="仿宋_GB2312" w:eastAsia="仿宋_GB2312"/>
          <w:color w:val="auto"/>
          <w:sz w:val="24"/>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承包人对发包人颁发的最终结清证书有异议的，按第</w:t>
      </w:r>
      <w:r>
        <w:rPr>
          <w:rFonts w:ascii="仿宋_GB2312" w:eastAsia="仿宋_GB2312"/>
          <w:color w:val="auto"/>
          <w:sz w:val="24"/>
          <w:highlight w:val="none"/>
        </w:rPr>
        <w:t>20条</w:t>
      </w:r>
      <w:r>
        <w:rPr>
          <w:rFonts w:hint="eastAsia" w:ascii="仿宋_GB2312" w:eastAsia="仿宋_GB2312"/>
          <w:color w:val="auto"/>
          <w:sz w:val="24"/>
          <w:highlight w:val="none"/>
        </w:rPr>
        <w:t>[争议解决]的约定办理。</w:t>
      </w:r>
    </w:p>
    <w:p>
      <w:pPr>
        <w:pStyle w:val="42"/>
        <w:numPr>
          <w:ilvl w:val="0"/>
          <w:numId w:val="0"/>
        </w:numPr>
        <w:wordWrap/>
        <w:topLinePunct w:val="0"/>
        <w:rPr>
          <w:b w:val="0"/>
          <w:bCs/>
          <w:color w:val="auto"/>
          <w:sz w:val="24"/>
          <w:szCs w:val="24"/>
          <w:highlight w:val="none"/>
        </w:rPr>
      </w:pPr>
      <w:bookmarkStart w:id="980" w:name="_Ref11920396"/>
      <w:bookmarkStart w:id="981" w:name="_Ref11874957"/>
      <w:bookmarkStart w:id="982" w:name="_Ref11920407"/>
      <w:bookmarkStart w:id="983" w:name="_Toc54862299"/>
      <w:r>
        <w:rPr>
          <w:rFonts w:hint="eastAsia"/>
          <w:b w:val="0"/>
          <w:bCs/>
          <w:color w:val="auto"/>
          <w:sz w:val="24"/>
          <w:szCs w:val="24"/>
          <w:highlight w:val="none"/>
        </w:rPr>
        <w:t>第1</w:t>
      </w:r>
      <w:r>
        <w:rPr>
          <w:b w:val="0"/>
          <w:bCs/>
          <w:color w:val="auto"/>
          <w:sz w:val="24"/>
          <w:szCs w:val="24"/>
          <w:highlight w:val="none"/>
        </w:rPr>
        <w:t>5</w:t>
      </w:r>
      <w:r>
        <w:rPr>
          <w:rFonts w:hint="eastAsia"/>
          <w:b w:val="0"/>
          <w:bCs/>
          <w:color w:val="auto"/>
          <w:sz w:val="24"/>
          <w:szCs w:val="24"/>
          <w:highlight w:val="none"/>
        </w:rPr>
        <w:t>条 违约</w:t>
      </w:r>
      <w:bookmarkEnd w:id="838"/>
      <w:bookmarkEnd w:id="842"/>
      <w:bookmarkEnd w:id="843"/>
      <w:bookmarkEnd w:id="980"/>
      <w:bookmarkEnd w:id="981"/>
      <w:bookmarkEnd w:id="982"/>
      <w:bookmarkEnd w:id="983"/>
    </w:p>
    <w:p>
      <w:pPr>
        <w:pStyle w:val="54"/>
        <w:widowControl/>
        <w:numPr>
          <w:ilvl w:val="0"/>
          <w:numId w:val="0"/>
        </w:numPr>
        <w:rPr>
          <w:b w:val="0"/>
          <w:bCs/>
          <w:color w:val="auto"/>
          <w:highlight w:val="none"/>
        </w:rPr>
      </w:pPr>
      <w:bookmarkStart w:id="984" w:name="_Ref4534384"/>
      <w:bookmarkStart w:id="985" w:name="_Ref4534411"/>
      <w:bookmarkStart w:id="986" w:name="_Ref4534399"/>
      <w:bookmarkStart w:id="987" w:name="_Ref4534376"/>
      <w:bookmarkStart w:id="988" w:name="_Toc54862300"/>
      <w:r>
        <w:rPr>
          <w:rFonts w:hint="eastAsia"/>
          <w:b w:val="0"/>
          <w:bCs/>
          <w:color w:val="auto"/>
          <w:highlight w:val="none"/>
        </w:rPr>
        <w:t>1</w:t>
      </w:r>
      <w:r>
        <w:rPr>
          <w:b w:val="0"/>
          <w:bCs/>
          <w:color w:val="auto"/>
          <w:highlight w:val="none"/>
        </w:rPr>
        <w:t xml:space="preserve">5.1 </w:t>
      </w:r>
      <w:r>
        <w:rPr>
          <w:rFonts w:hint="eastAsia"/>
          <w:b w:val="0"/>
          <w:bCs/>
          <w:color w:val="auto"/>
          <w:highlight w:val="none"/>
        </w:rPr>
        <w:t>发包人违约</w:t>
      </w:r>
      <w:bookmarkEnd w:id="984"/>
      <w:bookmarkEnd w:id="985"/>
      <w:bookmarkEnd w:id="986"/>
      <w:bookmarkEnd w:id="987"/>
      <w:bookmarkEnd w:id="988"/>
    </w:p>
    <w:p>
      <w:pPr>
        <w:pStyle w:val="55"/>
        <w:numPr>
          <w:ilvl w:val="0"/>
          <w:numId w:val="0"/>
        </w:numPr>
        <w:rPr>
          <w:rFonts w:ascii="仿宋_GB2312" w:eastAsia="仿宋_GB2312"/>
          <w:color w:val="auto"/>
          <w:szCs w:val="24"/>
          <w:highlight w:val="none"/>
        </w:rPr>
      </w:pPr>
      <w:bookmarkStart w:id="989" w:name="_Ref3841087"/>
      <w:r>
        <w:rPr>
          <w:rFonts w:hint="eastAsia" w:ascii="仿宋_GB2312" w:eastAsia="仿宋_GB2312"/>
          <w:color w:val="auto"/>
          <w:szCs w:val="24"/>
          <w:highlight w:val="none"/>
        </w:rPr>
        <w:t>1</w:t>
      </w:r>
      <w:r>
        <w:rPr>
          <w:rFonts w:ascii="仿宋_GB2312" w:eastAsia="仿宋_GB2312"/>
          <w:color w:val="auto"/>
          <w:szCs w:val="24"/>
          <w:highlight w:val="none"/>
        </w:rPr>
        <w:t xml:space="preserve">5.1.1 </w:t>
      </w:r>
      <w:r>
        <w:rPr>
          <w:rFonts w:hint="eastAsia" w:ascii="仿宋_GB2312" w:eastAsia="仿宋_GB2312"/>
          <w:color w:val="auto"/>
          <w:szCs w:val="24"/>
          <w:highlight w:val="none"/>
        </w:rPr>
        <w:t>发包人违约的情形</w:t>
      </w:r>
      <w:bookmarkEnd w:id="989"/>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除专用合同条件另有约定外，在合同履行过程中发生的下列情形，属于发包人违约：</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（1） 因发包人原因导致开始工作日期延误的； </w:t>
      </w:r>
    </w:p>
    <w:p>
      <w:pPr>
        <w:ind w:firstLine="600"/>
        <w:rPr>
          <w:rFonts w:ascii="仿宋_GB2312" w:eastAsia="仿宋_GB2312"/>
          <w:color w:val="auto"/>
          <w:sz w:val="24"/>
          <w:highlight w:val="none"/>
        </w:rPr>
      </w:pPr>
      <w:r>
        <w:rPr>
          <w:rFonts w:hint="eastAsia" w:ascii="仿宋_GB2312" w:eastAsia="仿宋_GB2312"/>
          <w:color w:val="auto"/>
          <w:sz w:val="24"/>
          <w:highlight w:val="none"/>
        </w:rPr>
        <w:t>（2） 因发包人原因未能按合同约定支付合同价款的；</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发包人违反第</w:t>
      </w:r>
      <w:r>
        <w:rPr>
          <w:rFonts w:ascii="仿宋_GB2312" w:eastAsia="仿宋_GB2312"/>
          <w:color w:val="auto"/>
          <w:sz w:val="24"/>
          <w:highlight w:val="none"/>
        </w:rPr>
        <w:t>13.1.1</w:t>
      </w:r>
      <w:r>
        <w:rPr>
          <w:rFonts w:hint="eastAsia" w:ascii="仿宋_GB2312" w:eastAsia="仿宋_GB2312"/>
          <w:color w:val="auto"/>
          <w:sz w:val="24"/>
          <w:highlight w:val="none"/>
        </w:rPr>
        <w:t>项约定，自行实施被取消的工作或转由他人实施的；</w:t>
      </w:r>
    </w:p>
    <w:p>
      <w:pPr>
        <w:ind w:firstLine="600"/>
        <w:rPr>
          <w:rFonts w:ascii="仿宋_GB2312" w:eastAsia="仿宋_GB2312"/>
          <w:color w:val="auto"/>
          <w:sz w:val="24"/>
          <w:highlight w:val="none"/>
        </w:rPr>
      </w:pPr>
      <w:r>
        <w:rPr>
          <w:rFonts w:hint="eastAsia" w:ascii="仿宋_GB2312" w:eastAsia="仿宋_GB2312"/>
          <w:color w:val="auto"/>
          <w:sz w:val="24"/>
          <w:highlight w:val="none"/>
        </w:rPr>
        <w:t>（4） 因发包人违反合同约定造成工程暂停施工的；</w:t>
      </w:r>
    </w:p>
    <w:p>
      <w:pPr>
        <w:ind w:firstLine="600"/>
        <w:rPr>
          <w:rFonts w:ascii="仿宋_GB2312" w:eastAsia="仿宋_GB2312"/>
          <w:color w:val="auto"/>
          <w:sz w:val="24"/>
          <w:highlight w:val="none"/>
        </w:rPr>
      </w:pPr>
      <w:r>
        <w:rPr>
          <w:rFonts w:hint="eastAsia" w:ascii="仿宋_GB2312" w:eastAsia="仿宋_GB2312"/>
          <w:color w:val="auto"/>
          <w:sz w:val="24"/>
          <w:highlight w:val="none"/>
        </w:rPr>
        <w:t>（5） 工程师无正当理由没有在约定期限内发出复工指示，导致承包人无法复工的；</w:t>
      </w:r>
    </w:p>
    <w:p>
      <w:pPr>
        <w:ind w:firstLine="600"/>
        <w:rPr>
          <w:rFonts w:ascii="仿宋_GB2312" w:eastAsia="仿宋_GB2312"/>
          <w:color w:val="auto"/>
          <w:sz w:val="24"/>
          <w:highlight w:val="none"/>
        </w:rPr>
      </w:pPr>
      <w:r>
        <w:rPr>
          <w:rFonts w:hint="eastAsia" w:ascii="仿宋_GB2312" w:eastAsia="仿宋_GB2312"/>
          <w:color w:val="auto"/>
          <w:sz w:val="24"/>
          <w:highlight w:val="none"/>
        </w:rPr>
        <w:t>（6） 发包人明确表示或者以其行为表明不履行合同主要义务的；</w:t>
      </w:r>
    </w:p>
    <w:p>
      <w:pPr>
        <w:ind w:firstLine="600"/>
        <w:rPr>
          <w:rFonts w:ascii="仿宋_GB2312" w:eastAsia="仿宋_GB2312"/>
          <w:color w:val="auto"/>
          <w:sz w:val="24"/>
          <w:highlight w:val="none"/>
        </w:rPr>
      </w:pPr>
      <w:r>
        <w:rPr>
          <w:rFonts w:hint="eastAsia" w:ascii="仿宋_GB2312" w:eastAsia="仿宋_GB2312"/>
          <w:color w:val="auto"/>
          <w:sz w:val="24"/>
          <w:highlight w:val="none"/>
        </w:rPr>
        <w:t>（7） 发包人未能按照合同约定履行其他义务的。</w:t>
      </w:r>
    </w:p>
    <w:p>
      <w:pPr>
        <w:pStyle w:val="55"/>
        <w:numPr>
          <w:ilvl w:val="0"/>
          <w:numId w:val="0"/>
        </w:numPr>
        <w:rPr>
          <w:rFonts w:ascii="仿宋_GB2312" w:eastAsia="仿宋_GB2312"/>
          <w:color w:val="auto"/>
          <w:szCs w:val="24"/>
          <w:highlight w:val="none"/>
        </w:rPr>
      </w:pPr>
      <w:bookmarkStart w:id="990" w:name="_Ref4535692"/>
      <w:r>
        <w:rPr>
          <w:rFonts w:hint="eastAsia" w:ascii="仿宋_GB2312" w:eastAsia="仿宋_GB2312"/>
          <w:color w:val="auto"/>
          <w:szCs w:val="24"/>
          <w:highlight w:val="none"/>
        </w:rPr>
        <w:t>1</w:t>
      </w:r>
      <w:r>
        <w:rPr>
          <w:rFonts w:ascii="仿宋_GB2312" w:eastAsia="仿宋_GB2312"/>
          <w:color w:val="auto"/>
          <w:szCs w:val="24"/>
          <w:highlight w:val="none"/>
        </w:rPr>
        <w:t xml:space="preserve">5.1.2 </w:t>
      </w:r>
      <w:r>
        <w:rPr>
          <w:rFonts w:hint="eastAsia" w:ascii="仿宋_GB2312" w:eastAsia="仿宋_GB2312"/>
          <w:color w:val="auto"/>
          <w:szCs w:val="24"/>
          <w:highlight w:val="none"/>
        </w:rPr>
        <w:t>通知改正</w:t>
      </w:r>
      <w:bookmarkEnd w:id="990"/>
    </w:p>
    <w:p>
      <w:pPr>
        <w:ind w:firstLine="600"/>
        <w:rPr>
          <w:rFonts w:ascii="仿宋_GB2312" w:eastAsia="仿宋_GB2312"/>
          <w:color w:val="auto"/>
          <w:sz w:val="24"/>
          <w:highlight w:val="none"/>
        </w:rPr>
      </w:pPr>
      <w:bookmarkStart w:id="991" w:name="_Hlk16248297"/>
      <w:r>
        <w:rPr>
          <w:rFonts w:hint="eastAsia" w:ascii="仿宋_GB2312" w:eastAsia="仿宋_GB2312"/>
          <w:color w:val="auto"/>
          <w:sz w:val="24"/>
          <w:highlight w:val="none"/>
        </w:rPr>
        <w:t>发包人发生除第</w:t>
      </w:r>
      <w:r>
        <w:rPr>
          <w:rFonts w:ascii="仿宋_GB2312" w:eastAsia="仿宋_GB2312"/>
          <w:color w:val="auto"/>
          <w:sz w:val="24"/>
          <w:highlight w:val="none"/>
        </w:rPr>
        <w:t>15.1.1</w:t>
      </w:r>
      <w:r>
        <w:rPr>
          <w:rFonts w:hint="eastAsia" w:ascii="仿宋_GB2312" w:eastAsia="仿宋_GB2312"/>
          <w:color w:val="auto"/>
          <w:sz w:val="24"/>
          <w:highlight w:val="none"/>
        </w:rPr>
        <w:t>项第(</w:t>
      </w:r>
      <w:r>
        <w:rPr>
          <w:rFonts w:ascii="仿宋_GB2312" w:eastAsia="仿宋_GB2312"/>
          <w:color w:val="auto"/>
          <w:sz w:val="24"/>
          <w:highlight w:val="none"/>
        </w:rPr>
        <w:t>6</w:t>
      </w:r>
      <w:r>
        <w:rPr>
          <w:rFonts w:hint="eastAsia" w:ascii="仿宋_GB2312" w:eastAsia="仿宋_GB2312"/>
          <w:color w:val="auto"/>
          <w:sz w:val="24"/>
          <w:highlight w:val="none"/>
        </w:rPr>
        <w:t>)目以外的违约情况时，承包人可向发包人发出通知，要求发包人采取有效措施纠正违约行为。发包人收到承包人通知后28天内仍不纠正违约行为的，承包人有权暂停相应部位工程实施，并通知工程师。</w:t>
      </w:r>
      <w:bookmarkEnd w:id="991"/>
    </w:p>
    <w:p>
      <w:pPr>
        <w:pStyle w:val="55"/>
        <w:numPr>
          <w:ilvl w:val="0"/>
          <w:numId w:val="0"/>
        </w:numPr>
        <w:rPr>
          <w:rFonts w:ascii="仿宋_GB2312" w:eastAsia="仿宋_GB2312"/>
          <w:color w:val="auto"/>
          <w:szCs w:val="24"/>
          <w:highlight w:val="none"/>
        </w:rPr>
      </w:pPr>
      <w:bookmarkStart w:id="992" w:name="_Ref3841132"/>
      <w:r>
        <w:rPr>
          <w:rFonts w:hint="eastAsia" w:ascii="仿宋_GB2312" w:eastAsia="仿宋_GB2312"/>
          <w:color w:val="auto"/>
          <w:szCs w:val="24"/>
          <w:highlight w:val="none"/>
        </w:rPr>
        <w:t>1</w:t>
      </w:r>
      <w:r>
        <w:rPr>
          <w:rFonts w:ascii="仿宋_GB2312" w:eastAsia="仿宋_GB2312"/>
          <w:color w:val="auto"/>
          <w:szCs w:val="24"/>
          <w:highlight w:val="none"/>
        </w:rPr>
        <w:t xml:space="preserve">5.1.3 </w:t>
      </w:r>
      <w:r>
        <w:rPr>
          <w:rFonts w:hint="eastAsia" w:ascii="仿宋_GB2312" w:eastAsia="仿宋_GB2312"/>
          <w:color w:val="auto"/>
          <w:szCs w:val="24"/>
          <w:highlight w:val="none"/>
        </w:rPr>
        <w:t>发包人违约的责任</w:t>
      </w:r>
      <w:bookmarkEnd w:id="992"/>
    </w:p>
    <w:p>
      <w:pPr>
        <w:ind w:firstLine="600"/>
        <w:rPr>
          <w:rFonts w:ascii="仿宋_GB2312" w:eastAsia="仿宋_GB2312"/>
          <w:color w:val="auto"/>
          <w:sz w:val="24"/>
          <w:highlight w:val="none"/>
        </w:rPr>
      </w:pPr>
      <w:bookmarkStart w:id="993" w:name="_Hlk16247984"/>
      <w:r>
        <w:rPr>
          <w:rFonts w:hint="eastAsia" w:ascii="仿宋_GB2312" w:eastAsia="仿宋_GB2312"/>
          <w:color w:val="auto"/>
          <w:sz w:val="24"/>
          <w:highlight w:val="none"/>
        </w:rPr>
        <w:t>发包人应承担因其违约给承包人增加的费用和（或）延误的工期，并支付承包人合理的利润。此外，合同当事人可在专用合同条件中另行约定发包人违约责任的承担方式和计算方法。</w:t>
      </w:r>
      <w:bookmarkEnd w:id="993"/>
    </w:p>
    <w:p>
      <w:pPr>
        <w:pStyle w:val="54"/>
        <w:widowControl/>
        <w:numPr>
          <w:ilvl w:val="0"/>
          <w:numId w:val="0"/>
        </w:numPr>
        <w:rPr>
          <w:b w:val="0"/>
          <w:bCs/>
          <w:color w:val="auto"/>
          <w:highlight w:val="none"/>
        </w:rPr>
      </w:pPr>
      <w:bookmarkStart w:id="994" w:name="_Ref11958660"/>
      <w:bookmarkStart w:id="995" w:name="_Toc54862301"/>
      <w:bookmarkStart w:id="996" w:name="_Ref11958663"/>
      <w:r>
        <w:rPr>
          <w:rFonts w:hint="eastAsia"/>
          <w:b w:val="0"/>
          <w:bCs/>
          <w:color w:val="auto"/>
          <w:highlight w:val="none"/>
        </w:rPr>
        <w:t>1</w:t>
      </w:r>
      <w:r>
        <w:rPr>
          <w:b w:val="0"/>
          <w:bCs/>
          <w:color w:val="auto"/>
          <w:highlight w:val="none"/>
        </w:rPr>
        <w:t xml:space="preserve">5.2 </w:t>
      </w:r>
      <w:r>
        <w:rPr>
          <w:rFonts w:hint="eastAsia"/>
          <w:b w:val="0"/>
          <w:bCs/>
          <w:color w:val="auto"/>
          <w:highlight w:val="none"/>
        </w:rPr>
        <w:t>承包人违约</w:t>
      </w:r>
      <w:bookmarkEnd w:id="994"/>
      <w:bookmarkEnd w:id="995"/>
      <w:bookmarkEnd w:id="996"/>
    </w:p>
    <w:p>
      <w:pPr>
        <w:pStyle w:val="55"/>
        <w:numPr>
          <w:ilvl w:val="0"/>
          <w:numId w:val="0"/>
        </w:numPr>
        <w:rPr>
          <w:rFonts w:ascii="仿宋_GB2312" w:eastAsia="仿宋_GB2312"/>
          <w:color w:val="auto"/>
          <w:szCs w:val="24"/>
          <w:highlight w:val="none"/>
        </w:rPr>
      </w:pPr>
      <w:bookmarkStart w:id="997" w:name="_Ref3841153"/>
      <w:r>
        <w:rPr>
          <w:rFonts w:hint="eastAsia" w:ascii="仿宋_GB2312" w:eastAsia="仿宋_GB2312"/>
          <w:color w:val="auto"/>
          <w:szCs w:val="24"/>
          <w:highlight w:val="none"/>
        </w:rPr>
        <w:t>1</w:t>
      </w:r>
      <w:r>
        <w:rPr>
          <w:rFonts w:ascii="仿宋_GB2312" w:eastAsia="仿宋_GB2312"/>
          <w:color w:val="auto"/>
          <w:szCs w:val="24"/>
          <w:highlight w:val="none"/>
        </w:rPr>
        <w:t xml:space="preserve">5.2.1 </w:t>
      </w:r>
      <w:r>
        <w:rPr>
          <w:rFonts w:hint="eastAsia" w:ascii="仿宋_GB2312" w:eastAsia="仿宋_GB2312"/>
          <w:color w:val="auto"/>
          <w:szCs w:val="24"/>
          <w:highlight w:val="none"/>
        </w:rPr>
        <w:t>承包人违约的情形</w:t>
      </w:r>
      <w:bookmarkEnd w:id="997"/>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除专用合同条件另有约定外，在履行合同过程中发生的下列情况之一的，属于承包人违约：</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承包人的原因导致的承包人文件、实施和竣工的工程不符合法律法规、工程质量验收标准以及合同约定；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承包人违反合同约定进行转包或违法分包的；</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承包人违反约定采购和使用不合格材料或工程设备；</w:t>
      </w:r>
    </w:p>
    <w:p>
      <w:pPr>
        <w:ind w:firstLine="600"/>
        <w:rPr>
          <w:rFonts w:ascii="仿宋_GB2312" w:eastAsia="仿宋_GB2312"/>
          <w:color w:val="auto"/>
          <w:sz w:val="24"/>
          <w:highlight w:val="none"/>
        </w:rPr>
      </w:pPr>
      <w:r>
        <w:rPr>
          <w:rFonts w:hint="eastAsia" w:ascii="仿宋_GB2312" w:eastAsia="仿宋_GB2312"/>
          <w:color w:val="auto"/>
          <w:sz w:val="24"/>
          <w:highlight w:val="none"/>
        </w:rPr>
        <w:t>（4） 因承包人原因导致工程质量不符合合同要求的；</w:t>
      </w:r>
    </w:p>
    <w:p>
      <w:pPr>
        <w:ind w:firstLine="600"/>
        <w:rPr>
          <w:rFonts w:ascii="仿宋_GB2312" w:eastAsia="仿宋_GB2312"/>
          <w:color w:val="auto"/>
          <w:sz w:val="24"/>
          <w:highlight w:val="none"/>
        </w:rPr>
      </w:pPr>
      <w:r>
        <w:rPr>
          <w:rFonts w:hint="eastAsia" w:ascii="仿宋_GB2312" w:eastAsia="仿宋_GB2312"/>
          <w:color w:val="auto"/>
          <w:sz w:val="24"/>
          <w:highlight w:val="none"/>
        </w:rPr>
        <w:t>（5） 承包人未经工程师批准，擅自将已按合同约定进入施工现场的施工设备、临时设施或材料撤离施工现场；</w:t>
      </w:r>
    </w:p>
    <w:p>
      <w:pPr>
        <w:ind w:firstLine="600"/>
        <w:rPr>
          <w:rFonts w:ascii="仿宋_GB2312" w:eastAsia="仿宋_GB2312"/>
          <w:color w:val="auto"/>
          <w:sz w:val="24"/>
          <w:highlight w:val="none"/>
        </w:rPr>
      </w:pPr>
      <w:r>
        <w:rPr>
          <w:rFonts w:hint="eastAsia" w:ascii="仿宋_GB2312" w:eastAsia="仿宋_GB2312"/>
          <w:color w:val="auto"/>
          <w:sz w:val="24"/>
          <w:highlight w:val="none"/>
        </w:rPr>
        <w:t>（6） 承包人未能按项目进度计划及时完成合同约定的工作，造成工期延误；</w:t>
      </w:r>
    </w:p>
    <w:p>
      <w:pPr>
        <w:ind w:firstLine="600"/>
        <w:rPr>
          <w:rFonts w:ascii="仿宋_GB2312" w:eastAsia="仿宋_GB2312"/>
          <w:color w:val="auto"/>
          <w:sz w:val="24"/>
          <w:highlight w:val="none"/>
        </w:rPr>
      </w:pPr>
      <w:r>
        <w:rPr>
          <w:rFonts w:hint="eastAsia" w:ascii="仿宋_GB2312" w:eastAsia="仿宋_GB2312"/>
          <w:color w:val="auto"/>
          <w:sz w:val="24"/>
          <w:highlight w:val="none"/>
        </w:rPr>
        <w:t>（7） 由于承包人原因未能通过竣工试验或竣工后试验的；</w:t>
      </w:r>
    </w:p>
    <w:p>
      <w:pPr>
        <w:ind w:firstLine="600"/>
        <w:rPr>
          <w:rFonts w:ascii="仿宋_GB2312" w:eastAsia="仿宋_GB2312"/>
          <w:color w:val="auto"/>
          <w:sz w:val="24"/>
          <w:highlight w:val="none"/>
        </w:rPr>
      </w:pPr>
      <w:r>
        <w:rPr>
          <w:rFonts w:hint="eastAsia" w:ascii="仿宋_GB2312" w:eastAsia="仿宋_GB2312"/>
          <w:color w:val="auto"/>
          <w:sz w:val="24"/>
          <w:highlight w:val="none"/>
        </w:rPr>
        <w:t>（8） 承包人在缺陷责任期及保修期内，未能在合理期限对工程缺陷进行修复，或拒绝按发包人指示进行修复的；</w:t>
      </w:r>
    </w:p>
    <w:p>
      <w:pPr>
        <w:ind w:firstLine="600"/>
        <w:rPr>
          <w:rFonts w:ascii="仿宋_GB2312" w:eastAsia="仿宋_GB2312"/>
          <w:color w:val="auto"/>
          <w:sz w:val="24"/>
          <w:highlight w:val="none"/>
        </w:rPr>
      </w:pPr>
      <w:r>
        <w:rPr>
          <w:rFonts w:hint="eastAsia" w:ascii="仿宋_GB2312" w:eastAsia="仿宋_GB2312"/>
          <w:color w:val="auto"/>
          <w:sz w:val="24"/>
          <w:highlight w:val="none"/>
        </w:rPr>
        <w:t>（9） 承包人明确表示或者以其行为表明不履行合同主要义务的；</w:t>
      </w:r>
    </w:p>
    <w:p>
      <w:pPr>
        <w:ind w:firstLine="600"/>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0</w:t>
      </w:r>
      <w:r>
        <w:rPr>
          <w:rFonts w:hint="eastAsia" w:ascii="仿宋_GB2312" w:eastAsia="仿宋_GB2312"/>
          <w:color w:val="auto"/>
          <w:sz w:val="24"/>
          <w:highlight w:val="none"/>
        </w:rPr>
        <w:t>） 承包人未能按照合同约定履行其他义务的。</w:t>
      </w:r>
    </w:p>
    <w:p>
      <w:pPr>
        <w:pStyle w:val="55"/>
        <w:numPr>
          <w:ilvl w:val="0"/>
          <w:numId w:val="0"/>
        </w:numPr>
        <w:rPr>
          <w:rFonts w:ascii="仿宋_GB2312" w:eastAsia="仿宋_GB2312"/>
          <w:color w:val="auto"/>
          <w:szCs w:val="24"/>
          <w:highlight w:val="none"/>
        </w:rPr>
      </w:pPr>
      <w:bookmarkStart w:id="998" w:name="_Ref531958512"/>
      <w:r>
        <w:rPr>
          <w:rFonts w:hint="eastAsia" w:ascii="仿宋_GB2312" w:eastAsia="仿宋_GB2312"/>
          <w:color w:val="auto"/>
          <w:szCs w:val="24"/>
          <w:highlight w:val="none"/>
        </w:rPr>
        <w:t>1</w:t>
      </w:r>
      <w:r>
        <w:rPr>
          <w:rFonts w:ascii="仿宋_GB2312" w:eastAsia="仿宋_GB2312"/>
          <w:color w:val="auto"/>
          <w:szCs w:val="24"/>
          <w:highlight w:val="none"/>
        </w:rPr>
        <w:t xml:space="preserve">5.2.2 </w:t>
      </w:r>
      <w:r>
        <w:rPr>
          <w:rFonts w:hint="eastAsia" w:ascii="仿宋_GB2312" w:eastAsia="仿宋_GB2312"/>
          <w:color w:val="auto"/>
          <w:szCs w:val="24"/>
          <w:highlight w:val="none"/>
        </w:rPr>
        <w:t>通知改正</w:t>
      </w:r>
      <w:bookmarkEnd w:id="998"/>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承包人发生除第</w:t>
      </w:r>
      <w:r>
        <w:rPr>
          <w:rFonts w:ascii="仿宋_GB2312" w:eastAsia="仿宋_GB2312"/>
          <w:color w:val="auto"/>
          <w:sz w:val="24"/>
          <w:highlight w:val="none"/>
        </w:rPr>
        <w:t>15.2.1</w:t>
      </w:r>
      <w:r>
        <w:rPr>
          <w:rFonts w:hint="eastAsia" w:ascii="仿宋_GB2312" w:eastAsia="仿宋_GB2312"/>
          <w:color w:val="auto"/>
          <w:sz w:val="24"/>
          <w:highlight w:val="none"/>
        </w:rPr>
        <w:t>项第(7)目、第(9)目约定以外的其他违约情况时，工程师可在专用合同条件约定的合理期限内向承包人发出整改通知，要求其在指定的期限内改正。</w:t>
      </w:r>
    </w:p>
    <w:p>
      <w:pPr>
        <w:pStyle w:val="55"/>
        <w:numPr>
          <w:ilvl w:val="0"/>
          <w:numId w:val="0"/>
        </w:numPr>
        <w:rPr>
          <w:rFonts w:ascii="仿宋_GB2312" w:eastAsia="仿宋_GB2312"/>
          <w:color w:val="auto"/>
          <w:szCs w:val="24"/>
          <w:highlight w:val="none"/>
        </w:rPr>
      </w:pPr>
      <w:bookmarkStart w:id="999" w:name="_Ref3841166"/>
      <w:r>
        <w:rPr>
          <w:rFonts w:hint="eastAsia" w:ascii="仿宋_GB2312" w:eastAsia="仿宋_GB2312"/>
          <w:color w:val="auto"/>
          <w:szCs w:val="24"/>
          <w:highlight w:val="none"/>
        </w:rPr>
        <w:t>1</w:t>
      </w:r>
      <w:r>
        <w:rPr>
          <w:rFonts w:ascii="仿宋_GB2312" w:eastAsia="仿宋_GB2312"/>
          <w:color w:val="auto"/>
          <w:szCs w:val="24"/>
          <w:highlight w:val="none"/>
        </w:rPr>
        <w:t xml:space="preserve">5.2.3 </w:t>
      </w:r>
      <w:r>
        <w:rPr>
          <w:rFonts w:hint="eastAsia" w:ascii="仿宋_GB2312" w:eastAsia="仿宋_GB2312"/>
          <w:color w:val="auto"/>
          <w:szCs w:val="24"/>
          <w:highlight w:val="none"/>
        </w:rPr>
        <w:t>承包人违约的责任</w:t>
      </w:r>
      <w:bookmarkEnd w:id="999"/>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承包人应承担因其违约行为而增加的费用和（或）延误的工期。此外，合同当事人可在专用合同条件中另行约定承包人违约责任的承担方式和计算方法。</w:t>
      </w:r>
    </w:p>
    <w:p>
      <w:pPr>
        <w:pStyle w:val="54"/>
        <w:widowControl/>
        <w:numPr>
          <w:ilvl w:val="0"/>
          <w:numId w:val="0"/>
        </w:numPr>
        <w:rPr>
          <w:b w:val="0"/>
          <w:bCs/>
          <w:color w:val="auto"/>
          <w:highlight w:val="none"/>
        </w:rPr>
      </w:pPr>
      <w:bookmarkStart w:id="1000" w:name="_Toc54862302"/>
      <w:r>
        <w:rPr>
          <w:rFonts w:hint="eastAsia"/>
          <w:b w:val="0"/>
          <w:bCs/>
          <w:color w:val="auto"/>
          <w:highlight w:val="none"/>
        </w:rPr>
        <w:t>1</w:t>
      </w:r>
      <w:r>
        <w:rPr>
          <w:b w:val="0"/>
          <w:bCs/>
          <w:color w:val="auto"/>
          <w:highlight w:val="none"/>
        </w:rPr>
        <w:t xml:space="preserve">5.3 </w:t>
      </w:r>
      <w:r>
        <w:rPr>
          <w:rFonts w:hint="eastAsia"/>
          <w:b w:val="0"/>
          <w:bCs/>
          <w:color w:val="auto"/>
          <w:highlight w:val="none"/>
        </w:rPr>
        <w:t>第三人造成的违约</w:t>
      </w:r>
      <w:bookmarkEnd w:id="1000"/>
    </w:p>
    <w:p>
      <w:pPr>
        <w:ind w:firstLine="600"/>
        <w:rPr>
          <w:rFonts w:ascii="仿宋_GB2312" w:eastAsia="仿宋_GB2312"/>
          <w:color w:val="auto"/>
          <w:sz w:val="24"/>
          <w:highlight w:val="none"/>
        </w:rPr>
      </w:pPr>
      <w:r>
        <w:rPr>
          <w:rFonts w:hint="eastAsia" w:ascii="仿宋_GB2312" w:eastAsia="仿宋_GB2312"/>
          <w:color w:val="auto"/>
          <w:sz w:val="24"/>
          <w:highlight w:val="none"/>
        </w:rPr>
        <w:t>在履行合同过程中，一方当事人因第三人的原因造成违约的，应当向对方当事人承担违约责任。一方当事人和第三人之间的纠纷，依照法律规定或者按照约定解决。</w:t>
      </w:r>
    </w:p>
    <w:p>
      <w:pPr>
        <w:pStyle w:val="42"/>
        <w:numPr>
          <w:ilvl w:val="0"/>
          <w:numId w:val="0"/>
        </w:numPr>
        <w:wordWrap/>
        <w:topLinePunct w:val="0"/>
        <w:rPr>
          <w:b w:val="0"/>
          <w:bCs/>
          <w:color w:val="auto"/>
          <w:sz w:val="24"/>
          <w:szCs w:val="24"/>
          <w:highlight w:val="none"/>
        </w:rPr>
      </w:pPr>
      <w:bookmarkStart w:id="1001" w:name="_Ref4510572"/>
      <w:bookmarkStart w:id="1002" w:name="_Toc54862303"/>
      <w:bookmarkStart w:id="1003" w:name="_Ref3840457"/>
      <w:bookmarkStart w:id="1004" w:name="_Ref532142069"/>
      <w:r>
        <w:rPr>
          <w:rFonts w:hint="eastAsia"/>
          <w:b w:val="0"/>
          <w:bCs/>
          <w:color w:val="auto"/>
          <w:sz w:val="24"/>
          <w:szCs w:val="24"/>
          <w:highlight w:val="none"/>
        </w:rPr>
        <w:t>第1</w:t>
      </w:r>
      <w:r>
        <w:rPr>
          <w:b w:val="0"/>
          <w:bCs/>
          <w:color w:val="auto"/>
          <w:sz w:val="24"/>
          <w:szCs w:val="24"/>
          <w:highlight w:val="none"/>
        </w:rPr>
        <w:t>6</w:t>
      </w:r>
      <w:r>
        <w:rPr>
          <w:rFonts w:hint="eastAsia"/>
          <w:b w:val="0"/>
          <w:bCs/>
          <w:color w:val="auto"/>
          <w:sz w:val="24"/>
          <w:szCs w:val="24"/>
          <w:highlight w:val="none"/>
        </w:rPr>
        <w:t>条 合同解除</w:t>
      </w:r>
      <w:bookmarkEnd w:id="1001"/>
      <w:bookmarkEnd w:id="1002"/>
    </w:p>
    <w:p>
      <w:pPr>
        <w:pStyle w:val="54"/>
        <w:widowControl/>
        <w:numPr>
          <w:ilvl w:val="0"/>
          <w:numId w:val="0"/>
        </w:numPr>
        <w:rPr>
          <w:b w:val="0"/>
          <w:bCs/>
          <w:color w:val="auto"/>
          <w:highlight w:val="none"/>
        </w:rPr>
      </w:pPr>
      <w:bookmarkStart w:id="1005" w:name="_Toc54862304"/>
      <w:bookmarkStart w:id="1006" w:name="_Ref531958502"/>
      <w:bookmarkStart w:id="1007" w:name="_Ref531958499"/>
      <w:r>
        <w:rPr>
          <w:rFonts w:hint="eastAsia"/>
          <w:b w:val="0"/>
          <w:bCs/>
          <w:color w:val="auto"/>
          <w:highlight w:val="none"/>
        </w:rPr>
        <w:t>1</w:t>
      </w:r>
      <w:r>
        <w:rPr>
          <w:b w:val="0"/>
          <w:bCs/>
          <w:color w:val="auto"/>
          <w:highlight w:val="none"/>
        </w:rPr>
        <w:t xml:space="preserve">6.1 </w:t>
      </w:r>
      <w:r>
        <w:rPr>
          <w:rFonts w:hint="eastAsia"/>
          <w:b w:val="0"/>
          <w:bCs/>
          <w:color w:val="auto"/>
          <w:highlight w:val="none"/>
        </w:rPr>
        <w:t>由发包人解除合同</w:t>
      </w:r>
      <w:bookmarkEnd w:id="1005"/>
      <w:bookmarkEnd w:id="1006"/>
      <w:bookmarkEnd w:id="1007"/>
    </w:p>
    <w:p>
      <w:pPr>
        <w:pStyle w:val="55"/>
        <w:numPr>
          <w:ilvl w:val="0"/>
          <w:numId w:val="0"/>
        </w:numPr>
        <w:rPr>
          <w:rFonts w:ascii="仿宋_GB2312" w:eastAsia="仿宋_GB2312"/>
          <w:color w:val="auto"/>
          <w:szCs w:val="24"/>
          <w:highlight w:val="none"/>
        </w:rPr>
      </w:pPr>
      <w:bookmarkStart w:id="1008" w:name="_Ref4535422"/>
      <w:r>
        <w:rPr>
          <w:rFonts w:hint="eastAsia" w:ascii="仿宋_GB2312" w:eastAsia="仿宋_GB2312"/>
          <w:color w:val="auto"/>
          <w:szCs w:val="24"/>
          <w:highlight w:val="none"/>
        </w:rPr>
        <w:t>1</w:t>
      </w:r>
      <w:r>
        <w:rPr>
          <w:rFonts w:ascii="仿宋_GB2312" w:eastAsia="仿宋_GB2312"/>
          <w:color w:val="auto"/>
          <w:szCs w:val="24"/>
          <w:highlight w:val="none"/>
        </w:rPr>
        <w:t xml:space="preserve">6.1.1 </w:t>
      </w:r>
      <w:r>
        <w:rPr>
          <w:rFonts w:hint="eastAsia" w:ascii="仿宋_GB2312" w:eastAsia="仿宋_GB2312"/>
          <w:color w:val="auto"/>
          <w:szCs w:val="24"/>
          <w:highlight w:val="none"/>
        </w:rPr>
        <w:t>因承包人违约解除合同</w:t>
      </w:r>
      <w:bookmarkEnd w:id="1008"/>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除专用合同条件另有约定外，发包人有权基于下列原因，以书面形式通知承包人解除合同，解除通知中应注明是根据第</w:t>
      </w:r>
      <w:r>
        <w:rPr>
          <w:rFonts w:ascii="仿宋_GB2312" w:eastAsia="仿宋_GB2312"/>
          <w:color w:val="auto"/>
          <w:sz w:val="24"/>
          <w:highlight w:val="none"/>
        </w:rPr>
        <w:t>16.1.1</w:t>
      </w:r>
      <w:r>
        <w:rPr>
          <w:rFonts w:hint="eastAsia" w:ascii="仿宋_GB2312" w:eastAsia="仿宋_GB2312"/>
          <w:color w:val="auto"/>
          <w:sz w:val="24"/>
          <w:highlight w:val="none"/>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ascii="仿宋_GB2312" w:eastAsia="仿宋_GB2312"/>
          <w:color w:val="auto"/>
          <w:sz w:val="24"/>
          <w:highlight w:val="none"/>
        </w:rPr>
        <w:t>5</w:t>
      </w:r>
      <w:r>
        <w:rPr>
          <w:rFonts w:hint="eastAsia" w:ascii="仿宋_GB2312" w:eastAsia="仿宋_GB2312"/>
          <w:color w:val="auto"/>
          <w:sz w:val="24"/>
          <w:highlight w:val="none"/>
        </w:rPr>
        <w:t>)目的情况下，发包人无须提前告知承包人其解除合同意向，可直接发出正式解除合同通知立即解除合同：</w:t>
      </w:r>
    </w:p>
    <w:p>
      <w:pPr>
        <w:ind w:firstLine="600"/>
        <w:rPr>
          <w:rFonts w:ascii="仿宋_GB2312" w:eastAsia="仿宋_GB2312"/>
          <w:color w:val="auto"/>
          <w:sz w:val="24"/>
          <w:highlight w:val="none"/>
        </w:rPr>
      </w:pPr>
      <w:bookmarkStart w:id="1009" w:name="_Ref531958536"/>
      <w:r>
        <w:rPr>
          <w:rFonts w:hint="eastAsia" w:ascii="仿宋_GB2312" w:eastAsia="仿宋_GB2312"/>
          <w:color w:val="auto"/>
          <w:sz w:val="24"/>
          <w:highlight w:val="none"/>
        </w:rPr>
        <w:t>（1） 承包人未能遵守第</w:t>
      </w:r>
      <w:r>
        <w:rPr>
          <w:rFonts w:ascii="仿宋_GB2312" w:eastAsia="仿宋_GB2312"/>
          <w:color w:val="auto"/>
          <w:sz w:val="24"/>
          <w:highlight w:val="none"/>
        </w:rPr>
        <w:t>4.2</w:t>
      </w:r>
      <w:r>
        <w:rPr>
          <w:rFonts w:hint="eastAsia" w:ascii="仿宋_GB2312" w:eastAsia="仿宋_GB2312"/>
          <w:color w:val="auto"/>
          <w:sz w:val="24"/>
          <w:highlight w:val="none"/>
        </w:rPr>
        <w:t>款</w:t>
      </w:r>
      <w:bookmarkStart w:id="1010" w:name="_Hlk18839947"/>
      <w:r>
        <w:rPr>
          <w:rFonts w:hint="eastAsia" w:ascii="仿宋_GB2312" w:eastAsia="仿宋_GB2312"/>
          <w:color w:val="auto"/>
          <w:sz w:val="24"/>
          <w:highlight w:val="none"/>
        </w:rPr>
        <w:t>[履约担保]</w:t>
      </w:r>
      <w:bookmarkEnd w:id="1010"/>
      <w:r>
        <w:rPr>
          <w:rFonts w:hint="eastAsia" w:ascii="仿宋_GB2312" w:eastAsia="仿宋_GB2312"/>
          <w:color w:val="auto"/>
          <w:sz w:val="24"/>
          <w:highlight w:val="none"/>
        </w:rPr>
        <w:t>的约定；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承包人未能遵守第</w:t>
      </w:r>
      <w:r>
        <w:rPr>
          <w:rFonts w:ascii="仿宋_GB2312" w:eastAsia="仿宋_GB2312"/>
          <w:color w:val="auto"/>
          <w:sz w:val="24"/>
          <w:highlight w:val="none"/>
        </w:rPr>
        <w:t>4.5</w:t>
      </w:r>
      <w:r>
        <w:rPr>
          <w:rFonts w:hint="eastAsia" w:ascii="仿宋_GB2312" w:eastAsia="仿宋_GB2312"/>
          <w:color w:val="auto"/>
          <w:sz w:val="24"/>
          <w:highlight w:val="none"/>
        </w:rPr>
        <w:t>款[分包]有关分包和转包的约定；</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承包人实际进度明显落后于进度计划，并且未按发包人的指令采取措施并修正进度计划；</w:t>
      </w:r>
    </w:p>
    <w:p>
      <w:pPr>
        <w:ind w:firstLine="600"/>
        <w:rPr>
          <w:rFonts w:ascii="仿宋_GB2312" w:eastAsia="仿宋_GB2312"/>
          <w:color w:val="auto"/>
          <w:sz w:val="24"/>
          <w:highlight w:val="none"/>
        </w:rPr>
      </w:pPr>
      <w:r>
        <w:rPr>
          <w:rFonts w:hint="eastAsia" w:ascii="仿宋_GB2312" w:eastAsia="仿宋_GB2312"/>
          <w:color w:val="auto"/>
          <w:sz w:val="24"/>
          <w:highlight w:val="none"/>
        </w:rPr>
        <w:t>（4） 工程质量有严重缺陷，承包人无正当理由使修复开始日期拖延达28天以上；</w:t>
      </w:r>
    </w:p>
    <w:p>
      <w:pPr>
        <w:ind w:firstLine="600"/>
        <w:rPr>
          <w:rFonts w:ascii="仿宋_GB2312" w:eastAsia="仿宋_GB2312"/>
          <w:color w:val="auto"/>
          <w:sz w:val="24"/>
          <w:highlight w:val="none"/>
        </w:rPr>
      </w:pPr>
      <w:r>
        <w:rPr>
          <w:rFonts w:hint="eastAsia" w:ascii="仿宋_GB2312" w:eastAsia="仿宋_GB2312"/>
          <w:color w:val="auto"/>
          <w:sz w:val="24"/>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ind w:firstLine="600"/>
        <w:rPr>
          <w:rFonts w:ascii="仿宋_GB2312" w:eastAsia="仿宋_GB2312"/>
          <w:color w:val="auto"/>
          <w:sz w:val="24"/>
          <w:highlight w:val="none"/>
        </w:rPr>
      </w:pPr>
      <w:r>
        <w:rPr>
          <w:rFonts w:hint="eastAsia" w:ascii="仿宋_GB2312" w:eastAsia="仿宋_GB2312"/>
          <w:color w:val="auto"/>
          <w:sz w:val="24"/>
          <w:highlight w:val="none"/>
        </w:rPr>
        <w:t>（6） 承包人明确表示或以自己的行为表明不履行合同、或经发包人以书面形式通知其履约后仍未能依约履行合同、或以不适当的方式履行合同；</w:t>
      </w:r>
    </w:p>
    <w:p>
      <w:pPr>
        <w:ind w:firstLine="600"/>
        <w:rPr>
          <w:rFonts w:ascii="仿宋_GB2312" w:eastAsia="仿宋_GB2312"/>
          <w:color w:val="auto"/>
          <w:sz w:val="24"/>
          <w:highlight w:val="none"/>
        </w:rPr>
      </w:pPr>
      <w:r>
        <w:rPr>
          <w:rFonts w:hint="eastAsia" w:ascii="仿宋_GB2312" w:eastAsia="仿宋_GB2312"/>
          <w:color w:val="auto"/>
          <w:sz w:val="24"/>
          <w:highlight w:val="none"/>
        </w:rPr>
        <w:t>（7） 未能通过的竣工试验、未能通过的竣工后试验，使工程的任何部分和（或）整个工程丧失了主要使用功能、生产功能；</w:t>
      </w:r>
    </w:p>
    <w:p>
      <w:pPr>
        <w:ind w:firstLine="600"/>
        <w:rPr>
          <w:rFonts w:ascii="仿宋_GB2312" w:eastAsia="仿宋_GB2312"/>
          <w:color w:val="auto"/>
          <w:sz w:val="24"/>
          <w:highlight w:val="none"/>
        </w:rPr>
      </w:pPr>
      <w:r>
        <w:rPr>
          <w:rFonts w:hint="eastAsia" w:ascii="仿宋_GB2312" w:eastAsia="仿宋_GB2312"/>
          <w:color w:val="auto"/>
          <w:sz w:val="24"/>
          <w:highlight w:val="none"/>
        </w:rPr>
        <w:t>（8） 因承包人的原因暂停工作超过56天且暂停影响到整个工程，或因承包人的原因暂停工作超过182天；</w:t>
      </w:r>
    </w:p>
    <w:p>
      <w:pPr>
        <w:ind w:firstLine="600"/>
        <w:rPr>
          <w:rFonts w:ascii="仿宋_GB2312" w:eastAsia="仿宋_GB2312"/>
          <w:color w:val="auto"/>
          <w:sz w:val="24"/>
          <w:highlight w:val="none"/>
        </w:rPr>
      </w:pPr>
      <w:r>
        <w:rPr>
          <w:rFonts w:hint="eastAsia" w:ascii="仿宋_GB2312" w:eastAsia="仿宋_GB2312"/>
          <w:color w:val="auto"/>
          <w:sz w:val="24"/>
          <w:highlight w:val="none"/>
        </w:rPr>
        <w:t>（9） 承包人未能遵守第</w:t>
      </w:r>
      <w:r>
        <w:rPr>
          <w:rFonts w:ascii="仿宋_GB2312" w:eastAsia="仿宋_GB2312"/>
          <w:color w:val="auto"/>
          <w:sz w:val="24"/>
          <w:highlight w:val="none"/>
        </w:rPr>
        <w:t>8.2</w:t>
      </w:r>
      <w:r>
        <w:rPr>
          <w:rFonts w:hint="eastAsia" w:ascii="仿宋_GB2312" w:eastAsia="仿宋_GB2312"/>
          <w:color w:val="auto"/>
          <w:sz w:val="24"/>
          <w:highlight w:val="none"/>
        </w:rPr>
        <w:t>款[竣工日期]规定，延误超过1</w:t>
      </w:r>
      <w:r>
        <w:rPr>
          <w:rFonts w:ascii="仿宋_GB2312" w:eastAsia="仿宋_GB2312"/>
          <w:color w:val="auto"/>
          <w:sz w:val="24"/>
          <w:highlight w:val="none"/>
        </w:rPr>
        <w:t>82</w:t>
      </w:r>
      <w:r>
        <w:rPr>
          <w:rFonts w:hint="eastAsia" w:ascii="仿宋_GB2312" w:eastAsia="仿宋_GB2312"/>
          <w:color w:val="auto"/>
          <w:sz w:val="24"/>
          <w:highlight w:val="none"/>
        </w:rPr>
        <w:t>天；</w:t>
      </w:r>
    </w:p>
    <w:p>
      <w:pPr>
        <w:ind w:firstLine="600"/>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0</w:t>
      </w:r>
      <w:r>
        <w:rPr>
          <w:rFonts w:hint="eastAsia" w:ascii="仿宋_GB2312" w:eastAsia="仿宋_GB2312"/>
          <w:color w:val="auto"/>
          <w:sz w:val="24"/>
          <w:highlight w:val="none"/>
        </w:rPr>
        <w:t>） 工程师根据第</w:t>
      </w:r>
      <w:r>
        <w:rPr>
          <w:rFonts w:ascii="仿宋_GB2312" w:eastAsia="仿宋_GB2312"/>
          <w:color w:val="auto"/>
          <w:sz w:val="24"/>
          <w:highlight w:val="none"/>
        </w:rPr>
        <w:t>15.2.2</w:t>
      </w:r>
      <w:r>
        <w:rPr>
          <w:rFonts w:hint="eastAsia" w:ascii="仿宋_GB2312" w:eastAsia="仿宋_GB2312"/>
          <w:color w:val="auto"/>
          <w:sz w:val="24"/>
          <w:highlight w:val="none"/>
        </w:rPr>
        <w:t>项[通知改正]发出整改通知后，承包人在指定的合理期限内仍不纠正违约行为并致使合同目的不能实现的。</w:t>
      </w:r>
    </w:p>
    <w:bookmarkEnd w:id="1009"/>
    <w:p>
      <w:pPr>
        <w:pStyle w:val="55"/>
        <w:numPr>
          <w:ilvl w:val="0"/>
          <w:numId w:val="0"/>
        </w:numPr>
        <w:rPr>
          <w:rFonts w:ascii="仿宋_GB2312" w:eastAsia="仿宋_GB2312"/>
          <w:color w:val="auto"/>
          <w:szCs w:val="24"/>
          <w:highlight w:val="none"/>
        </w:rPr>
      </w:pPr>
      <w:bookmarkStart w:id="1011" w:name="_Ref3841839"/>
      <w:bookmarkStart w:id="1012" w:name="_Ref4624315"/>
      <w:r>
        <w:rPr>
          <w:rFonts w:hint="eastAsia" w:ascii="仿宋_GB2312" w:eastAsia="仿宋_GB2312"/>
          <w:color w:val="auto"/>
          <w:szCs w:val="24"/>
          <w:highlight w:val="none"/>
        </w:rPr>
        <w:t>1</w:t>
      </w:r>
      <w:r>
        <w:rPr>
          <w:rFonts w:ascii="仿宋_GB2312" w:eastAsia="仿宋_GB2312"/>
          <w:color w:val="auto"/>
          <w:szCs w:val="24"/>
          <w:highlight w:val="none"/>
        </w:rPr>
        <w:t xml:space="preserve">6.1.2 </w:t>
      </w:r>
      <w:r>
        <w:rPr>
          <w:rFonts w:hint="eastAsia" w:ascii="仿宋_GB2312" w:eastAsia="仿宋_GB2312"/>
          <w:color w:val="auto"/>
          <w:szCs w:val="24"/>
          <w:highlight w:val="none"/>
        </w:rPr>
        <w:t>因承包人违约解除合同后</w:t>
      </w:r>
      <w:bookmarkEnd w:id="1011"/>
      <w:r>
        <w:rPr>
          <w:rFonts w:hint="eastAsia" w:ascii="仿宋_GB2312" w:eastAsia="仿宋_GB2312"/>
          <w:color w:val="auto"/>
          <w:szCs w:val="24"/>
          <w:highlight w:val="none"/>
        </w:rPr>
        <w:t>承包人的义务</w:t>
      </w:r>
      <w:bookmarkEnd w:id="1012"/>
    </w:p>
    <w:p>
      <w:pPr>
        <w:ind w:firstLine="600"/>
        <w:rPr>
          <w:rFonts w:ascii="仿宋_GB2312" w:eastAsia="仿宋_GB2312"/>
          <w:color w:val="auto"/>
          <w:sz w:val="24"/>
          <w:highlight w:val="none"/>
        </w:rPr>
      </w:pPr>
      <w:r>
        <w:rPr>
          <w:rFonts w:hint="eastAsia" w:ascii="仿宋_GB2312" w:eastAsia="仿宋_GB2312"/>
          <w:color w:val="auto"/>
          <w:sz w:val="24"/>
          <w:highlight w:val="none"/>
        </w:rPr>
        <w:t>合同解除后，承包人应按以下约定执行：</w:t>
      </w:r>
    </w:p>
    <w:p>
      <w:pPr>
        <w:ind w:firstLine="600"/>
        <w:rPr>
          <w:rFonts w:ascii="仿宋_GB2312" w:eastAsia="仿宋_GB2312"/>
          <w:color w:val="auto"/>
          <w:sz w:val="24"/>
          <w:highlight w:val="none"/>
        </w:rPr>
      </w:pPr>
      <w:r>
        <w:rPr>
          <w:rFonts w:hint="eastAsia" w:ascii="仿宋_GB2312" w:eastAsia="仿宋_GB2312"/>
          <w:color w:val="auto"/>
          <w:sz w:val="24"/>
          <w:highlight w:val="none"/>
        </w:rPr>
        <w:t>（1） 除了为保护生命、财产或工程安全、清理和必须执行的工作外，停止执行所有被通知解除的工作，并将相关人员撤离现场；</w:t>
      </w:r>
    </w:p>
    <w:p>
      <w:pPr>
        <w:ind w:firstLine="600"/>
        <w:rPr>
          <w:rFonts w:ascii="仿宋_GB2312" w:eastAsia="仿宋_GB2312"/>
          <w:color w:val="auto"/>
          <w:sz w:val="24"/>
          <w:highlight w:val="none"/>
        </w:rPr>
      </w:pPr>
      <w:r>
        <w:rPr>
          <w:rFonts w:hint="eastAsia" w:ascii="仿宋_GB2312" w:eastAsia="仿宋_GB2312"/>
          <w:color w:val="auto"/>
          <w:sz w:val="24"/>
          <w:highlight w:val="none"/>
        </w:rPr>
        <w:t>（2） 经发包人批准，承包人应将与被解除合同相关的和正在执行的分包合同及相关的责任和义务转让至发包人和（或）发包人指定方的名下，包括永久性工程及工程物资，以及相关工作；</w:t>
      </w:r>
    </w:p>
    <w:p>
      <w:pPr>
        <w:ind w:firstLine="600"/>
        <w:rPr>
          <w:rFonts w:ascii="仿宋_GB2312" w:eastAsia="仿宋_GB2312"/>
          <w:color w:val="auto"/>
          <w:sz w:val="24"/>
          <w:highlight w:val="none"/>
        </w:rPr>
      </w:pPr>
      <w:r>
        <w:rPr>
          <w:rFonts w:hint="eastAsia" w:ascii="仿宋_GB2312" w:eastAsia="仿宋_GB2312"/>
          <w:color w:val="auto"/>
          <w:sz w:val="24"/>
          <w:highlight w:val="none"/>
        </w:rPr>
        <w:t>（3） 移交已完成的永久性工程及负责已运抵现场的工程物资。在移交前，妥善做好己完工程和已运抵现场的工程物资的保管、维护和保养；</w:t>
      </w:r>
    </w:p>
    <w:p>
      <w:pPr>
        <w:ind w:firstLine="600"/>
        <w:rPr>
          <w:rFonts w:ascii="仿宋_GB2312" w:eastAsia="仿宋_GB2312"/>
          <w:color w:val="auto"/>
          <w:sz w:val="24"/>
          <w:highlight w:val="none"/>
        </w:rPr>
      </w:pPr>
      <w:r>
        <w:rPr>
          <w:rFonts w:hint="eastAsia" w:ascii="仿宋_GB2312" w:eastAsia="仿宋_GB2312"/>
          <w:color w:val="auto"/>
          <w:sz w:val="24"/>
          <w:highlight w:val="none"/>
        </w:rPr>
        <w:t>（4） 将发包人提供的所有信息及承包人为本工程编制的设计文件、技术资料及其它文件移交给发包人。在承包人留有的资料文件中，销毁与发包人提供的所有信息相关的数据及资料的备份；</w:t>
      </w:r>
    </w:p>
    <w:p>
      <w:pPr>
        <w:ind w:firstLine="600"/>
        <w:rPr>
          <w:rFonts w:ascii="仿宋_GB2312" w:eastAsia="仿宋_GB2312"/>
          <w:color w:val="auto"/>
          <w:sz w:val="24"/>
          <w:highlight w:val="none"/>
        </w:rPr>
      </w:pPr>
      <w:r>
        <w:rPr>
          <w:rFonts w:hint="eastAsia" w:ascii="仿宋_GB2312" w:eastAsia="仿宋_GB2312"/>
          <w:color w:val="auto"/>
          <w:sz w:val="24"/>
          <w:highlight w:val="none"/>
        </w:rPr>
        <w:t>（5） 移交相应实施阶段已经付款的并已完成的和尚待完成的设计文件、图纸、资料、操作维修手册、施工组织设计、质检资料、竣工资料等；</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6.1.3 </w:t>
      </w:r>
      <w:r>
        <w:rPr>
          <w:rFonts w:hint="eastAsia" w:ascii="仿宋_GB2312" w:eastAsia="仿宋_GB2312"/>
          <w:color w:val="auto"/>
          <w:szCs w:val="24"/>
          <w:highlight w:val="none"/>
        </w:rPr>
        <w:t>因承包人违约解除合同后的估价、付款和结算</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因承包人原因导致合同解除的，则合同当事人应在合同解除后28天内完成估价、付款和清算，并按以下约定执行：</w:t>
      </w:r>
    </w:p>
    <w:p>
      <w:pPr>
        <w:ind w:firstLine="600"/>
        <w:rPr>
          <w:rFonts w:ascii="仿宋_GB2312" w:eastAsia="仿宋_GB2312"/>
          <w:color w:val="auto"/>
          <w:sz w:val="24"/>
          <w:highlight w:val="none"/>
        </w:rPr>
      </w:pPr>
      <w:r>
        <w:rPr>
          <w:rFonts w:hint="eastAsia" w:ascii="仿宋_GB2312" w:eastAsia="仿宋_GB2312"/>
          <w:color w:val="auto"/>
          <w:sz w:val="24"/>
          <w:highlight w:val="none"/>
        </w:rPr>
        <w:t>（1） 合同解除后，按第</w:t>
      </w:r>
      <w:r>
        <w:rPr>
          <w:rFonts w:ascii="仿宋_GB2312" w:eastAsia="仿宋_GB2312"/>
          <w:color w:val="auto"/>
          <w:sz w:val="24"/>
          <w:highlight w:val="none"/>
        </w:rPr>
        <w:t>3.6</w:t>
      </w:r>
      <w:r>
        <w:rPr>
          <w:rFonts w:hint="eastAsia" w:ascii="仿宋_GB2312" w:eastAsia="仿宋_GB2312"/>
          <w:color w:val="auto"/>
          <w:sz w:val="24"/>
          <w:highlight w:val="none"/>
        </w:rPr>
        <w:t>款[商定或确定]商定或确定承包人实际完成工作对应的合同价款，以及承包人已提供的材料、工程设备、施工设备和临时工程等的价值；</w:t>
      </w:r>
    </w:p>
    <w:p>
      <w:pPr>
        <w:ind w:firstLine="600"/>
        <w:rPr>
          <w:rFonts w:ascii="仿宋_GB2312" w:eastAsia="仿宋_GB2312"/>
          <w:color w:val="auto"/>
          <w:sz w:val="24"/>
          <w:highlight w:val="none"/>
        </w:rPr>
      </w:pPr>
      <w:r>
        <w:rPr>
          <w:rFonts w:hint="eastAsia" w:ascii="仿宋_GB2312" w:eastAsia="仿宋_GB2312"/>
          <w:color w:val="auto"/>
          <w:sz w:val="24"/>
          <w:highlight w:val="none"/>
        </w:rPr>
        <w:t>（2） 合同解除后，承包人应支付的违约金；</w:t>
      </w:r>
    </w:p>
    <w:p>
      <w:pPr>
        <w:ind w:firstLine="600"/>
        <w:rPr>
          <w:rFonts w:ascii="仿宋_GB2312" w:eastAsia="仿宋_GB2312"/>
          <w:color w:val="auto"/>
          <w:sz w:val="24"/>
          <w:highlight w:val="none"/>
        </w:rPr>
      </w:pPr>
      <w:r>
        <w:rPr>
          <w:rFonts w:hint="eastAsia" w:ascii="仿宋_GB2312" w:eastAsia="仿宋_GB2312"/>
          <w:color w:val="auto"/>
          <w:sz w:val="24"/>
          <w:highlight w:val="none"/>
        </w:rPr>
        <w:t>（3） 合同解除后，因解除合同给发包人造成的损失；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（4） 合同解除后，承包人应按照发包人的指示完成现场的清理和撤离；</w:t>
      </w:r>
    </w:p>
    <w:p>
      <w:pPr>
        <w:ind w:firstLine="600"/>
        <w:rPr>
          <w:rFonts w:ascii="仿宋_GB2312" w:eastAsia="仿宋_GB2312"/>
          <w:color w:val="auto"/>
          <w:sz w:val="24"/>
          <w:highlight w:val="none"/>
        </w:rPr>
      </w:pPr>
      <w:r>
        <w:rPr>
          <w:rFonts w:hint="eastAsia" w:ascii="仿宋_GB2312" w:eastAsia="仿宋_GB2312"/>
          <w:color w:val="auto"/>
          <w:sz w:val="24"/>
          <w:highlight w:val="none"/>
        </w:rPr>
        <w:t>（5） 发包人和承包人应在合同解除后进行清算，出具最终结清付款证书，结清全部款项。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因承包人违约解除合同的，发包人有权暂停对承包人的付款，查清各项付款和已扣款项，发包人和承包人未能就合同解除后的清算和款项支付达成一致的，按照第</w:t>
      </w:r>
      <w:r>
        <w:rPr>
          <w:rFonts w:ascii="仿宋_GB2312" w:eastAsia="仿宋_GB2312"/>
          <w:color w:val="auto"/>
          <w:sz w:val="24"/>
          <w:highlight w:val="none"/>
        </w:rPr>
        <w:t>20条[争议解决]的约定处理</w:t>
      </w:r>
      <w:r>
        <w:rPr>
          <w:rFonts w:hint="eastAsia" w:ascii="仿宋_GB2312" w:eastAsia="仿宋_GB2312"/>
          <w:color w:val="auto"/>
          <w:sz w:val="24"/>
          <w:highlight w:val="none"/>
        </w:rPr>
        <w:t>。</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6.1.4 </w:t>
      </w:r>
      <w:r>
        <w:rPr>
          <w:rFonts w:hint="eastAsia" w:ascii="仿宋_GB2312" w:eastAsia="仿宋_GB2312"/>
          <w:color w:val="auto"/>
          <w:szCs w:val="24"/>
          <w:highlight w:val="none"/>
        </w:rPr>
        <w:t>因承包人违约解除合同的合同权益转让</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54"/>
        <w:widowControl/>
        <w:numPr>
          <w:ilvl w:val="0"/>
          <w:numId w:val="0"/>
        </w:numPr>
        <w:rPr>
          <w:b w:val="0"/>
          <w:bCs/>
          <w:color w:val="auto"/>
          <w:highlight w:val="none"/>
        </w:rPr>
      </w:pPr>
      <w:bookmarkStart w:id="1013" w:name="_Toc54862305"/>
      <w:bookmarkStart w:id="1014" w:name="_Ref531958554"/>
      <w:bookmarkStart w:id="1015" w:name="_Ref531958549"/>
      <w:r>
        <w:rPr>
          <w:rFonts w:hint="eastAsia"/>
          <w:b w:val="0"/>
          <w:bCs/>
          <w:color w:val="auto"/>
          <w:highlight w:val="none"/>
        </w:rPr>
        <w:t>1</w:t>
      </w:r>
      <w:r>
        <w:rPr>
          <w:b w:val="0"/>
          <w:bCs/>
          <w:color w:val="auto"/>
          <w:highlight w:val="none"/>
        </w:rPr>
        <w:t xml:space="preserve">6.2 </w:t>
      </w:r>
      <w:r>
        <w:rPr>
          <w:rFonts w:hint="eastAsia"/>
          <w:b w:val="0"/>
          <w:bCs/>
          <w:color w:val="auto"/>
          <w:highlight w:val="none"/>
        </w:rPr>
        <w:t>由承包人解除合同</w:t>
      </w:r>
      <w:bookmarkEnd w:id="1013"/>
      <w:bookmarkEnd w:id="1014"/>
      <w:bookmarkEnd w:id="1015"/>
    </w:p>
    <w:p>
      <w:pPr>
        <w:pStyle w:val="55"/>
        <w:numPr>
          <w:ilvl w:val="0"/>
          <w:numId w:val="0"/>
        </w:numPr>
        <w:rPr>
          <w:rFonts w:ascii="仿宋_GB2312" w:eastAsia="仿宋_GB2312"/>
          <w:color w:val="auto"/>
          <w:szCs w:val="24"/>
          <w:highlight w:val="none"/>
        </w:rPr>
      </w:pPr>
      <w:bookmarkStart w:id="1016" w:name="_Ref3841758"/>
      <w:r>
        <w:rPr>
          <w:rFonts w:hint="eastAsia" w:ascii="仿宋_GB2312" w:eastAsia="仿宋_GB2312"/>
          <w:color w:val="auto"/>
          <w:szCs w:val="24"/>
          <w:highlight w:val="none"/>
        </w:rPr>
        <w:t>1</w:t>
      </w:r>
      <w:r>
        <w:rPr>
          <w:rFonts w:ascii="仿宋_GB2312" w:eastAsia="仿宋_GB2312"/>
          <w:color w:val="auto"/>
          <w:szCs w:val="24"/>
          <w:highlight w:val="none"/>
        </w:rPr>
        <w:t xml:space="preserve">6.2.1 </w:t>
      </w:r>
      <w:r>
        <w:rPr>
          <w:rFonts w:hint="eastAsia" w:ascii="仿宋_GB2312" w:eastAsia="仿宋_GB2312"/>
          <w:color w:val="auto"/>
          <w:szCs w:val="24"/>
          <w:highlight w:val="none"/>
        </w:rPr>
        <w:t>因发包人违约解除合同</w:t>
      </w:r>
      <w:bookmarkEnd w:id="1016"/>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除专用合同条件另有约定外，承包人有权基于下列原因，以书面形式通知发包人解除合同，解除通知中应注明是根据第</w:t>
      </w:r>
      <w:r>
        <w:rPr>
          <w:rFonts w:ascii="仿宋_GB2312" w:eastAsia="仿宋_GB2312"/>
          <w:color w:val="auto"/>
          <w:sz w:val="24"/>
          <w:highlight w:val="none"/>
        </w:rPr>
        <w:t>16.2.1</w:t>
      </w:r>
      <w:r>
        <w:rPr>
          <w:rFonts w:hint="eastAsia" w:ascii="仿宋_GB2312" w:eastAsia="仿宋_GB2312"/>
          <w:color w:val="auto"/>
          <w:sz w:val="24"/>
          <w:highlight w:val="none"/>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承包人就发包人未能遵守第2.</w:t>
      </w:r>
      <w:r>
        <w:rPr>
          <w:rFonts w:ascii="仿宋_GB2312" w:eastAsia="仿宋_GB2312"/>
          <w:color w:val="auto"/>
          <w:sz w:val="24"/>
          <w:highlight w:val="none"/>
        </w:rPr>
        <w:t>5.2</w:t>
      </w:r>
      <w:r>
        <w:rPr>
          <w:rFonts w:hint="eastAsia" w:ascii="仿宋_GB2312" w:eastAsia="仿宋_GB2312"/>
          <w:color w:val="auto"/>
          <w:sz w:val="24"/>
          <w:highlight w:val="none"/>
        </w:rPr>
        <w:t>项关于发包人的资金安排发出通知后42天内，仍未收到合理的证明；</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（2） 在第14条规定的付款时间到期后42天内，承包人仍未收到应付款项； </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发包人实质上未能根据合同约定履行其义务，构成根本性违约；</w:t>
      </w:r>
    </w:p>
    <w:p>
      <w:pPr>
        <w:ind w:firstLine="600"/>
        <w:rPr>
          <w:rFonts w:ascii="仿宋_GB2312" w:eastAsia="仿宋_GB2312"/>
          <w:color w:val="auto"/>
          <w:sz w:val="24"/>
          <w:highlight w:val="none"/>
        </w:rPr>
      </w:pPr>
      <w:r>
        <w:rPr>
          <w:rFonts w:hint="eastAsia" w:ascii="仿宋_GB2312" w:eastAsia="仿宋_GB2312"/>
          <w:color w:val="auto"/>
          <w:sz w:val="24"/>
          <w:highlight w:val="none"/>
        </w:rPr>
        <w:t>（4） 发承包双方订立本合同协议书后的84天内，承包人未收到根据第</w:t>
      </w:r>
      <w:r>
        <w:rPr>
          <w:rFonts w:ascii="仿宋_GB2312" w:eastAsia="仿宋_GB2312"/>
          <w:color w:val="auto"/>
          <w:sz w:val="24"/>
          <w:highlight w:val="none"/>
        </w:rPr>
        <w:t>8.1</w:t>
      </w:r>
      <w:r>
        <w:rPr>
          <w:rFonts w:hint="eastAsia" w:ascii="仿宋_GB2312" w:eastAsia="仿宋_GB2312"/>
          <w:color w:val="auto"/>
          <w:sz w:val="24"/>
          <w:highlight w:val="none"/>
        </w:rPr>
        <w:t>款[开始工作]的开始工作通知；</w:t>
      </w:r>
    </w:p>
    <w:p>
      <w:pPr>
        <w:ind w:firstLine="600"/>
        <w:rPr>
          <w:rFonts w:ascii="仿宋_GB2312" w:eastAsia="仿宋_GB2312"/>
          <w:color w:val="auto"/>
          <w:sz w:val="24"/>
          <w:highlight w:val="none"/>
        </w:rPr>
      </w:pPr>
      <w:r>
        <w:rPr>
          <w:rFonts w:hint="eastAsia" w:ascii="仿宋_GB2312" w:eastAsia="仿宋_GB2312"/>
          <w:color w:val="auto"/>
          <w:sz w:val="24"/>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ind w:firstLine="600"/>
        <w:rPr>
          <w:rFonts w:ascii="仿宋_GB2312" w:eastAsia="仿宋_GB2312"/>
          <w:color w:val="auto"/>
          <w:sz w:val="24"/>
          <w:highlight w:val="none"/>
        </w:rPr>
      </w:pPr>
      <w:r>
        <w:rPr>
          <w:rFonts w:hint="eastAsia" w:ascii="仿宋_GB2312" w:eastAsia="仿宋_GB2312"/>
          <w:color w:val="auto"/>
          <w:sz w:val="24"/>
          <w:highlight w:val="none"/>
        </w:rPr>
        <w:t>（6） 发包人未能遵守第</w:t>
      </w:r>
      <w:r>
        <w:rPr>
          <w:rFonts w:ascii="仿宋_GB2312" w:eastAsia="仿宋_GB2312"/>
          <w:color w:val="auto"/>
          <w:sz w:val="24"/>
          <w:highlight w:val="none"/>
        </w:rPr>
        <w:t>2.5.3</w:t>
      </w:r>
      <w:r>
        <w:rPr>
          <w:rFonts w:hint="eastAsia" w:ascii="仿宋_GB2312" w:eastAsia="仿宋_GB2312"/>
          <w:color w:val="auto"/>
          <w:sz w:val="24"/>
          <w:highlight w:val="none"/>
        </w:rPr>
        <w:t>项的约定提交支付担保；</w:t>
      </w:r>
    </w:p>
    <w:p>
      <w:pPr>
        <w:ind w:firstLine="600"/>
        <w:rPr>
          <w:rFonts w:ascii="仿宋_GB2312" w:eastAsia="仿宋_GB2312"/>
          <w:color w:val="auto"/>
          <w:sz w:val="24"/>
          <w:highlight w:val="none"/>
        </w:rPr>
      </w:pPr>
      <w:r>
        <w:rPr>
          <w:rFonts w:hint="eastAsia" w:ascii="仿宋_GB2312" w:eastAsia="仿宋_GB2312"/>
          <w:color w:val="auto"/>
          <w:sz w:val="24"/>
          <w:highlight w:val="none"/>
        </w:rPr>
        <w:t>（7） 发包人未能执行第</w:t>
      </w:r>
      <w:r>
        <w:rPr>
          <w:rFonts w:ascii="仿宋_GB2312" w:eastAsia="仿宋_GB2312"/>
          <w:color w:val="auto"/>
          <w:sz w:val="24"/>
          <w:highlight w:val="none"/>
        </w:rPr>
        <w:t>15.1.2</w:t>
      </w:r>
      <w:r>
        <w:rPr>
          <w:rFonts w:hint="eastAsia" w:ascii="仿宋_GB2312" w:eastAsia="仿宋_GB2312"/>
          <w:color w:val="auto"/>
          <w:sz w:val="24"/>
          <w:highlight w:val="none"/>
        </w:rPr>
        <w:t>项[通知改正]的约定，致使合同目的不能实现的；</w:t>
      </w:r>
    </w:p>
    <w:p>
      <w:pPr>
        <w:ind w:firstLine="600"/>
        <w:rPr>
          <w:rFonts w:ascii="仿宋_GB2312" w:eastAsia="仿宋_GB2312"/>
          <w:color w:val="auto"/>
          <w:sz w:val="24"/>
          <w:highlight w:val="none"/>
        </w:rPr>
      </w:pPr>
      <w:r>
        <w:rPr>
          <w:rFonts w:hint="eastAsia" w:ascii="仿宋_GB2312" w:eastAsia="仿宋_GB2312"/>
          <w:color w:val="auto"/>
          <w:sz w:val="24"/>
          <w:highlight w:val="none"/>
        </w:rPr>
        <w:t>（8） 因发包人的原因暂停工作超过56天且暂停影响到整个工程，或因发包人的原因暂停工作超过182天的；</w:t>
      </w:r>
    </w:p>
    <w:p>
      <w:pPr>
        <w:ind w:firstLine="600"/>
        <w:rPr>
          <w:rFonts w:ascii="仿宋_GB2312" w:eastAsia="仿宋_GB2312"/>
          <w:color w:val="auto"/>
          <w:sz w:val="24"/>
          <w:highlight w:val="none"/>
        </w:rPr>
      </w:pPr>
      <w:r>
        <w:rPr>
          <w:rFonts w:hint="eastAsia" w:ascii="仿宋_GB2312" w:eastAsia="仿宋_GB2312"/>
          <w:color w:val="auto"/>
          <w:sz w:val="24"/>
          <w:highlight w:val="none"/>
        </w:rPr>
        <w:t>（9） 因发包人原因造成开始工作日期迟于承包人收到中标通知书（或在无中标通知书的情况下，订立本合同之日）后第</w:t>
      </w:r>
      <w:r>
        <w:rPr>
          <w:rFonts w:ascii="仿宋_GB2312" w:eastAsia="仿宋_GB2312"/>
          <w:color w:val="auto"/>
          <w:sz w:val="24"/>
          <w:highlight w:val="none"/>
        </w:rPr>
        <w:t>84</w:t>
      </w:r>
      <w:r>
        <w:rPr>
          <w:rFonts w:hint="eastAsia" w:ascii="仿宋_GB2312" w:eastAsia="仿宋_GB2312"/>
          <w:color w:val="auto"/>
          <w:sz w:val="24"/>
          <w:highlight w:val="none"/>
        </w:rPr>
        <w:t>天的。</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55"/>
        <w:numPr>
          <w:ilvl w:val="0"/>
          <w:numId w:val="0"/>
        </w:numPr>
        <w:rPr>
          <w:rFonts w:ascii="仿宋_GB2312" w:eastAsia="仿宋_GB2312"/>
          <w:color w:val="auto"/>
          <w:szCs w:val="24"/>
          <w:highlight w:val="none"/>
        </w:rPr>
      </w:pPr>
      <w:bookmarkStart w:id="1017" w:name="_Ref3842018"/>
      <w:bookmarkStart w:id="1018" w:name="_Ref4624336"/>
      <w:r>
        <w:rPr>
          <w:rFonts w:hint="eastAsia" w:ascii="仿宋_GB2312" w:eastAsia="仿宋_GB2312"/>
          <w:color w:val="auto"/>
          <w:szCs w:val="24"/>
          <w:highlight w:val="none"/>
        </w:rPr>
        <w:t>1</w:t>
      </w:r>
      <w:r>
        <w:rPr>
          <w:rFonts w:ascii="仿宋_GB2312" w:eastAsia="仿宋_GB2312"/>
          <w:color w:val="auto"/>
          <w:szCs w:val="24"/>
          <w:highlight w:val="none"/>
        </w:rPr>
        <w:t xml:space="preserve">6.2.2 </w:t>
      </w:r>
      <w:r>
        <w:rPr>
          <w:rFonts w:hint="eastAsia" w:ascii="仿宋_GB2312" w:eastAsia="仿宋_GB2312"/>
          <w:color w:val="auto"/>
          <w:szCs w:val="24"/>
          <w:highlight w:val="none"/>
        </w:rPr>
        <w:t>因发包人违约解除合同后</w:t>
      </w:r>
      <w:bookmarkEnd w:id="1017"/>
      <w:r>
        <w:rPr>
          <w:rFonts w:hint="eastAsia" w:ascii="仿宋_GB2312" w:eastAsia="仿宋_GB2312"/>
          <w:color w:val="auto"/>
          <w:szCs w:val="24"/>
          <w:highlight w:val="none"/>
        </w:rPr>
        <w:t>承包人的义务</w:t>
      </w:r>
      <w:bookmarkEnd w:id="1018"/>
    </w:p>
    <w:p>
      <w:pPr>
        <w:pStyle w:val="57"/>
        <w:numPr>
          <w:ilvl w:val="0"/>
          <w:numId w:val="0"/>
        </w:numPr>
        <w:ind w:left="400" w:firstLine="425"/>
        <w:rPr>
          <w:rFonts w:ascii="仿宋_GB2312" w:eastAsia="仿宋_GB2312"/>
          <w:color w:val="auto"/>
          <w:szCs w:val="24"/>
          <w:highlight w:val="none"/>
        </w:rPr>
      </w:pPr>
      <w:r>
        <w:rPr>
          <w:rFonts w:hint="eastAsia" w:ascii="仿宋_GB2312" w:eastAsia="仿宋_GB2312"/>
          <w:color w:val="auto"/>
          <w:szCs w:val="24"/>
          <w:highlight w:val="none"/>
        </w:rPr>
        <w:t>合同解除后，承包人应按以下约定执行：</w:t>
      </w:r>
    </w:p>
    <w:p>
      <w:pPr>
        <w:ind w:firstLine="600"/>
        <w:rPr>
          <w:rFonts w:ascii="仿宋_GB2312" w:eastAsia="仿宋_GB2312"/>
          <w:color w:val="auto"/>
          <w:sz w:val="24"/>
          <w:highlight w:val="none"/>
        </w:rPr>
      </w:pPr>
      <w:r>
        <w:rPr>
          <w:rFonts w:hint="eastAsia" w:ascii="仿宋_GB2312" w:eastAsia="仿宋_GB2312"/>
          <w:color w:val="auto"/>
          <w:sz w:val="24"/>
          <w:highlight w:val="none"/>
        </w:rPr>
        <w:t>（1） 除为保护生命、财产、工程安全的工作外，停止所有进一步的工作；承包人因执行该保护工作而产生费用的，由发包人承担；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（2） 向发包人移交承包人已获得支付的承包人文件、生产设备、材料和其他工作；</w:t>
      </w:r>
    </w:p>
    <w:p>
      <w:pPr>
        <w:ind w:firstLine="600"/>
        <w:rPr>
          <w:rFonts w:ascii="仿宋_GB2312" w:eastAsia="仿宋_GB2312"/>
          <w:color w:val="auto"/>
          <w:sz w:val="24"/>
          <w:highlight w:val="none"/>
        </w:rPr>
      </w:pPr>
      <w:r>
        <w:rPr>
          <w:rFonts w:hint="eastAsia" w:ascii="仿宋_GB2312" w:eastAsia="仿宋_GB2312"/>
          <w:color w:val="auto"/>
          <w:sz w:val="24"/>
          <w:highlight w:val="none"/>
        </w:rPr>
        <w:t>（3） 从现场运走除为了安全需要以外的所有属于承包人的其他货物，并撤离现场。</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6.2.3 </w:t>
      </w:r>
      <w:r>
        <w:rPr>
          <w:rFonts w:hint="eastAsia" w:ascii="仿宋_GB2312" w:eastAsia="仿宋_GB2312"/>
          <w:color w:val="auto"/>
          <w:szCs w:val="24"/>
          <w:highlight w:val="none"/>
        </w:rPr>
        <w:t>因发包人违约解除合同后的付款</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承包人按照本款约定解除合同的，发包人应在解除合同后28天内支付下列款项，并退还履约担保：</w:t>
      </w:r>
    </w:p>
    <w:p>
      <w:pPr>
        <w:ind w:firstLine="600"/>
        <w:rPr>
          <w:rFonts w:ascii="仿宋_GB2312" w:eastAsia="仿宋_GB2312"/>
          <w:color w:val="auto"/>
          <w:sz w:val="24"/>
          <w:highlight w:val="none"/>
        </w:rPr>
      </w:pPr>
      <w:r>
        <w:rPr>
          <w:rFonts w:hint="eastAsia" w:ascii="仿宋_GB2312" w:eastAsia="仿宋_GB2312"/>
          <w:color w:val="auto"/>
          <w:sz w:val="24"/>
          <w:highlight w:val="none"/>
        </w:rPr>
        <w:t>（1） 合同解除前所完成工作的价款；</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承包人为工程施工订购并已付款的材料、工程设备和其他物品的价款；发包人付款后，该材料、工程设备和其他物品归发包人所有；</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承包人为完成工程所发生的，而发包人未支付的金额；</w:t>
      </w:r>
    </w:p>
    <w:p>
      <w:pPr>
        <w:ind w:firstLine="600"/>
        <w:rPr>
          <w:rFonts w:ascii="仿宋_GB2312" w:eastAsia="仿宋_GB2312"/>
          <w:color w:val="auto"/>
          <w:sz w:val="24"/>
          <w:highlight w:val="none"/>
        </w:rPr>
      </w:pPr>
      <w:r>
        <w:rPr>
          <w:rFonts w:hint="eastAsia" w:ascii="仿宋_GB2312" w:eastAsia="仿宋_GB2312"/>
          <w:color w:val="auto"/>
          <w:sz w:val="24"/>
          <w:highlight w:val="none"/>
        </w:rPr>
        <w:t>（4） 承包人撤离施工现场以及遣散承包人人员的款项；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（5） 按照合同约定在合同解除前应支付的违约金；</w:t>
      </w:r>
    </w:p>
    <w:p>
      <w:pPr>
        <w:ind w:firstLine="600"/>
        <w:rPr>
          <w:rFonts w:ascii="仿宋_GB2312" w:eastAsia="仿宋_GB2312"/>
          <w:color w:val="auto"/>
          <w:sz w:val="24"/>
          <w:highlight w:val="none"/>
        </w:rPr>
      </w:pPr>
      <w:r>
        <w:rPr>
          <w:rFonts w:hint="eastAsia" w:ascii="仿宋_GB2312" w:eastAsia="仿宋_GB2312"/>
          <w:color w:val="auto"/>
          <w:sz w:val="24"/>
          <w:highlight w:val="none"/>
        </w:rPr>
        <w:t>（6） 按照合同约定应当支付给承包人的其他款项；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（7） 按照合同约定应返还的质量保证金；</w:t>
      </w:r>
    </w:p>
    <w:p>
      <w:pPr>
        <w:ind w:firstLine="600"/>
        <w:rPr>
          <w:rFonts w:ascii="仿宋_GB2312" w:eastAsia="仿宋_GB2312"/>
          <w:color w:val="auto"/>
          <w:sz w:val="24"/>
          <w:highlight w:val="none"/>
        </w:rPr>
      </w:pPr>
      <w:r>
        <w:rPr>
          <w:rFonts w:hint="eastAsia" w:ascii="仿宋_GB2312" w:eastAsia="仿宋_GB2312"/>
          <w:color w:val="auto"/>
          <w:sz w:val="24"/>
          <w:highlight w:val="none"/>
        </w:rPr>
        <w:t>（8） 因解除合同给承包人造成的损失。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承包人应妥善做好已完工程和与工程有关的已购材料、工程设备的保护和移交工作，并将施工设备和人员撤出施工现场，发包人应为承包人撤出提供必要条件。</w:t>
      </w:r>
    </w:p>
    <w:p>
      <w:pPr>
        <w:pStyle w:val="54"/>
        <w:widowControl/>
        <w:numPr>
          <w:ilvl w:val="0"/>
          <w:numId w:val="0"/>
        </w:numPr>
        <w:rPr>
          <w:b w:val="0"/>
          <w:bCs/>
          <w:color w:val="auto"/>
          <w:highlight w:val="none"/>
        </w:rPr>
      </w:pPr>
      <w:bookmarkStart w:id="1019" w:name="_Ref3841966"/>
      <w:bookmarkStart w:id="1020" w:name="_Toc54862306"/>
      <w:r>
        <w:rPr>
          <w:rFonts w:hint="eastAsia"/>
          <w:b w:val="0"/>
          <w:bCs/>
          <w:color w:val="auto"/>
          <w:highlight w:val="none"/>
        </w:rPr>
        <w:t>1</w:t>
      </w:r>
      <w:r>
        <w:rPr>
          <w:b w:val="0"/>
          <w:bCs/>
          <w:color w:val="auto"/>
          <w:highlight w:val="none"/>
        </w:rPr>
        <w:t xml:space="preserve">6.3 </w:t>
      </w:r>
      <w:r>
        <w:rPr>
          <w:rFonts w:hint="eastAsia"/>
          <w:b w:val="0"/>
          <w:bCs/>
          <w:color w:val="auto"/>
          <w:highlight w:val="none"/>
        </w:rPr>
        <w:t>合同解除后的事项</w:t>
      </w:r>
      <w:bookmarkEnd w:id="1019"/>
      <w:bookmarkEnd w:id="1020"/>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6.3.1 </w:t>
      </w:r>
      <w:r>
        <w:rPr>
          <w:rFonts w:hint="eastAsia" w:ascii="仿宋_GB2312" w:eastAsia="仿宋_GB2312"/>
          <w:color w:val="auto"/>
          <w:szCs w:val="24"/>
          <w:highlight w:val="none"/>
        </w:rPr>
        <w:t>结算约定依然有效</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合同解除后，由发包人或由承包人解除合同的结算及结算后的付款约定仍然有效，直至解除合同的结算工作结清。</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6.3.2 </w:t>
      </w:r>
      <w:r>
        <w:rPr>
          <w:rFonts w:hint="eastAsia" w:ascii="仿宋_GB2312" w:eastAsia="仿宋_GB2312"/>
          <w:color w:val="auto"/>
          <w:szCs w:val="24"/>
          <w:highlight w:val="none"/>
        </w:rPr>
        <w:t>解除合同的争议</w:t>
      </w:r>
    </w:p>
    <w:p>
      <w:pPr>
        <w:ind w:firstLine="600"/>
        <w:rPr>
          <w:rFonts w:ascii="仿宋_GB2312" w:eastAsia="仿宋_GB2312"/>
          <w:color w:val="auto"/>
          <w:sz w:val="24"/>
          <w:highlight w:val="none"/>
        </w:rPr>
      </w:pPr>
      <w:bookmarkStart w:id="1021" w:name="_Hlk18988355"/>
      <w:r>
        <w:rPr>
          <w:rFonts w:hint="eastAsia" w:ascii="仿宋_GB2312" w:eastAsia="仿宋_GB2312"/>
          <w:color w:val="auto"/>
          <w:sz w:val="24"/>
          <w:highlight w:val="none"/>
        </w:rPr>
        <w:t>双方对解除合同或解除合同后的结算有争议的，按照第</w:t>
      </w:r>
      <w:r>
        <w:rPr>
          <w:rFonts w:ascii="仿宋_GB2312" w:eastAsia="仿宋_GB2312"/>
          <w:color w:val="auto"/>
          <w:sz w:val="24"/>
          <w:highlight w:val="none"/>
        </w:rPr>
        <w:t>20条</w:t>
      </w:r>
      <w:r>
        <w:rPr>
          <w:rFonts w:hint="eastAsia" w:ascii="仿宋_GB2312" w:eastAsia="仿宋_GB2312"/>
          <w:color w:val="auto"/>
          <w:sz w:val="24"/>
          <w:highlight w:val="none"/>
        </w:rPr>
        <w:t>[</w:t>
      </w:r>
      <w:r>
        <w:rPr>
          <w:rFonts w:ascii="仿宋_GB2312" w:eastAsia="仿宋_GB2312"/>
          <w:color w:val="auto"/>
          <w:sz w:val="24"/>
          <w:highlight w:val="none"/>
        </w:rPr>
        <w:t>争议解决</w:t>
      </w:r>
      <w:r>
        <w:rPr>
          <w:rFonts w:hint="eastAsia" w:ascii="仿宋_GB2312" w:eastAsia="仿宋_GB2312"/>
          <w:color w:val="auto"/>
          <w:sz w:val="24"/>
          <w:highlight w:val="none"/>
        </w:rPr>
        <w:t>]的约定处理。</w:t>
      </w:r>
      <w:bookmarkEnd w:id="1021"/>
    </w:p>
    <w:p>
      <w:pPr>
        <w:pStyle w:val="42"/>
        <w:numPr>
          <w:ilvl w:val="0"/>
          <w:numId w:val="0"/>
        </w:numPr>
        <w:wordWrap/>
        <w:topLinePunct w:val="0"/>
        <w:rPr>
          <w:b w:val="0"/>
          <w:bCs/>
          <w:color w:val="auto"/>
          <w:sz w:val="24"/>
          <w:szCs w:val="24"/>
          <w:highlight w:val="none"/>
        </w:rPr>
      </w:pPr>
      <w:bookmarkStart w:id="1022" w:name="_Toc54862307"/>
      <w:bookmarkStart w:id="1023" w:name="_Ref3840974"/>
      <w:bookmarkStart w:id="1024" w:name="_Ref3840605"/>
      <w:r>
        <w:rPr>
          <w:rFonts w:hint="eastAsia"/>
          <w:b w:val="0"/>
          <w:bCs/>
          <w:color w:val="auto"/>
          <w:sz w:val="24"/>
          <w:szCs w:val="24"/>
          <w:highlight w:val="none"/>
        </w:rPr>
        <w:t>第1</w:t>
      </w:r>
      <w:r>
        <w:rPr>
          <w:b w:val="0"/>
          <w:bCs/>
          <w:color w:val="auto"/>
          <w:sz w:val="24"/>
          <w:szCs w:val="24"/>
          <w:highlight w:val="none"/>
        </w:rPr>
        <w:t>7</w:t>
      </w:r>
      <w:r>
        <w:rPr>
          <w:rFonts w:hint="eastAsia"/>
          <w:b w:val="0"/>
          <w:bCs/>
          <w:color w:val="auto"/>
          <w:sz w:val="24"/>
          <w:szCs w:val="24"/>
          <w:highlight w:val="none"/>
        </w:rPr>
        <w:t>条 不可抗力</w:t>
      </w:r>
      <w:bookmarkEnd w:id="1022"/>
      <w:bookmarkEnd w:id="1023"/>
    </w:p>
    <w:p>
      <w:pPr>
        <w:pStyle w:val="54"/>
        <w:widowControl/>
        <w:numPr>
          <w:ilvl w:val="0"/>
          <w:numId w:val="0"/>
        </w:numPr>
        <w:rPr>
          <w:b w:val="0"/>
          <w:bCs/>
          <w:color w:val="auto"/>
          <w:highlight w:val="none"/>
        </w:rPr>
      </w:pPr>
      <w:bookmarkStart w:id="1025" w:name="_Ref531958158"/>
      <w:bookmarkStart w:id="1026" w:name="_Ref531958161"/>
      <w:bookmarkStart w:id="1027" w:name="_Toc54862308"/>
      <w:r>
        <w:rPr>
          <w:rFonts w:hint="eastAsia"/>
          <w:b w:val="0"/>
          <w:bCs/>
          <w:color w:val="auto"/>
          <w:highlight w:val="none"/>
        </w:rPr>
        <w:t>1</w:t>
      </w:r>
      <w:r>
        <w:rPr>
          <w:b w:val="0"/>
          <w:bCs/>
          <w:color w:val="auto"/>
          <w:highlight w:val="none"/>
        </w:rPr>
        <w:t xml:space="preserve">7.1 </w:t>
      </w:r>
      <w:r>
        <w:rPr>
          <w:rFonts w:hint="eastAsia"/>
          <w:b w:val="0"/>
          <w:bCs/>
          <w:color w:val="auto"/>
          <w:highlight w:val="none"/>
        </w:rPr>
        <w:t>不可抗力的</w:t>
      </w:r>
      <w:bookmarkEnd w:id="1025"/>
      <w:bookmarkEnd w:id="1026"/>
      <w:r>
        <w:rPr>
          <w:rFonts w:hint="eastAsia"/>
          <w:b w:val="0"/>
          <w:bCs/>
          <w:color w:val="auto"/>
          <w:highlight w:val="none"/>
        </w:rPr>
        <w:t>定义</w:t>
      </w:r>
      <w:bookmarkEnd w:id="1027"/>
    </w:p>
    <w:p>
      <w:pPr>
        <w:ind w:firstLine="600"/>
        <w:rPr>
          <w:rFonts w:ascii="仿宋_GB2312" w:eastAsia="仿宋_GB2312"/>
          <w:color w:val="auto"/>
          <w:sz w:val="24"/>
          <w:highlight w:val="none"/>
        </w:rPr>
      </w:pPr>
      <w:r>
        <w:rPr>
          <w:rFonts w:hint="eastAsia" w:ascii="仿宋_GB2312" w:eastAsia="仿宋_GB2312"/>
          <w:color w:val="auto"/>
          <w:sz w:val="24"/>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54"/>
        <w:widowControl/>
        <w:numPr>
          <w:ilvl w:val="0"/>
          <w:numId w:val="0"/>
        </w:numPr>
        <w:rPr>
          <w:b w:val="0"/>
          <w:bCs/>
          <w:color w:val="auto"/>
          <w:highlight w:val="none"/>
        </w:rPr>
      </w:pPr>
      <w:bookmarkStart w:id="1028" w:name="_Toc54862309"/>
      <w:r>
        <w:rPr>
          <w:rFonts w:hint="eastAsia"/>
          <w:b w:val="0"/>
          <w:bCs/>
          <w:color w:val="auto"/>
          <w:highlight w:val="none"/>
        </w:rPr>
        <w:t>1</w:t>
      </w:r>
      <w:r>
        <w:rPr>
          <w:b w:val="0"/>
          <w:bCs/>
          <w:color w:val="auto"/>
          <w:highlight w:val="none"/>
        </w:rPr>
        <w:t xml:space="preserve">7.2 </w:t>
      </w:r>
      <w:r>
        <w:rPr>
          <w:rFonts w:hint="eastAsia"/>
          <w:b w:val="0"/>
          <w:bCs/>
          <w:color w:val="auto"/>
          <w:highlight w:val="none"/>
        </w:rPr>
        <w:t>不可抗力的通知</w:t>
      </w:r>
      <w:bookmarkEnd w:id="1028"/>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合同一方当事人觉察或发现不可抗力事件发生，使其履行合同义务受到阻碍时，有义务立即通知合同另一方当事人和工程师，书面说明不可抗力和受阻碍的详细情况，并提供必要的证明。</w:t>
      </w:r>
    </w:p>
    <w:p>
      <w:pPr>
        <w:ind w:firstLine="600"/>
        <w:rPr>
          <w:rFonts w:ascii="仿宋_GB2312" w:eastAsia="仿宋_GB2312"/>
          <w:color w:val="auto"/>
          <w:sz w:val="24"/>
          <w:highlight w:val="none"/>
        </w:rPr>
      </w:pPr>
      <w:r>
        <w:rPr>
          <w:rFonts w:hint="eastAsia" w:ascii="仿宋_GB2312" w:eastAsia="仿宋_GB2312"/>
          <w:color w:val="auto"/>
          <w:sz w:val="24"/>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pPr>
        <w:pStyle w:val="54"/>
        <w:widowControl/>
        <w:numPr>
          <w:ilvl w:val="0"/>
          <w:numId w:val="0"/>
        </w:numPr>
        <w:rPr>
          <w:b w:val="0"/>
          <w:bCs/>
          <w:color w:val="auto"/>
          <w:highlight w:val="none"/>
        </w:rPr>
      </w:pPr>
      <w:bookmarkStart w:id="1029" w:name="_Toc54862310"/>
      <w:r>
        <w:rPr>
          <w:rFonts w:hint="eastAsia"/>
          <w:b w:val="0"/>
          <w:bCs/>
          <w:color w:val="auto"/>
          <w:highlight w:val="none"/>
        </w:rPr>
        <w:t>1</w:t>
      </w:r>
      <w:r>
        <w:rPr>
          <w:b w:val="0"/>
          <w:bCs/>
          <w:color w:val="auto"/>
          <w:highlight w:val="none"/>
        </w:rPr>
        <w:t xml:space="preserve">7.3 </w:t>
      </w:r>
      <w:r>
        <w:rPr>
          <w:rFonts w:hint="eastAsia"/>
          <w:b w:val="0"/>
          <w:bCs/>
          <w:color w:val="auto"/>
          <w:highlight w:val="none"/>
        </w:rPr>
        <w:t>将损失减至最小的义务</w:t>
      </w:r>
      <w:bookmarkEnd w:id="1029"/>
    </w:p>
    <w:p>
      <w:pPr>
        <w:ind w:firstLine="600"/>
        <w:rPr>
          <w:rFonts w:ascii="仿宋_GB2312" w:eastAsia="仿宋_GB2312"/>
          <w:color w:val="auto"/>
          <w:sz w:val="24"/>
          <w:highlight w:val="none"/>
        </w:rPr>
      </w:pPr>
      <w:r>
        <w:rPr>
          <w:rFonts w:hint="eastAsia" w:ascii="仿宋_GB2312" w:eastAsia="仿宋_GB2312"/>
          <w:color w:val="auto"/>
          <w:sz w:val="24"/>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54"/>
        <w:widowControl/>
        <w:numPr>
          <w:ilvl w:val="0"/>
          <w:numId w:val="0"/>
        </w:numPr>
        <w:rPr>
          <w:b w:val="0"/>
          <w:bCs/>
          <w:color w:val="auto"/>
          <w:highlight w:val="none"/>
        </w:rPr>
      </w:pPr>
      <w:bookmarkStart w:id="1030" w:name="_Ref531958172"/>
      <w:bookmarkStart w:id="1031" w:name="_Ref531958170"/>
      <w:bookmarkStart w:id="1032" w:name="_Toc54862311"/>
      <w:bookmarkStart w:id="1033" w:name="_Ref3840916"/>
      <w:r>
        <w:rPr>
          <w:rFonts w:hint="eastAsia"/>
          <w:b w:val="0"/>
          <w:bCs/>
          <w:color w:val="auto"/>
          <w:highlight w:val="none"/>
        </w:rPr>
        <w:t>1</w:t>
      </w:r>
      <w:r>
        <w:rPr>
          <w:b w:val="0"/>
          <w:bCs/>
          <w:color w:val="auto"/>
          <w:highlight w:val="none"/>
        </w:rPr>
        <w:t xml:space="preserve">7.4 </w:t>
      </w:r>
      <w:r>
        <w:rPr>
          <w:rFonts w:hint="eastAsia"/>
          <w:b w:val="0"/>
          <w:bCs/>
          <w:color w:val="auto"/>
          <w:highlight w:val="none"/>
        </w:rPr>
        <w:t>不可抗力后果</w:t>
      </w:r>
      <w:bookmarkEnd w:id="1030"/>
      <w:bookmarkEnd w:id="1031"/>
      <w:r>
        <w:rPr>
          <w:rFonts w:hint="eastAsia"/>
          <w:b w:val="0"/>
          <w:bCs/>
          <w:color w:val="auto"/>
          <w:highlight w:val="none"/>
        </w:rPr>
        <w:t>的承担</w:t>
      </w:r>
      <w:bookmarkEnd w:id="1032"/>
      <w:bookmarkEnd w:id="1033"/>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不可抗力导致的人员伤亡、财产损失、费用增加和（或）工期延误等后果，由合同当事人按以下原则承担：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（1） 永久工程，包括已运至施工现场的材料和工程设备的损害，以及因工程损害造成的第三人人员伤亡和财产损失由发包人承担；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承包人提供的施工设备的损坏由承包人承担；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发包人和承包人各自承担其人员伤亡及其他财产损失；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（4） 因不可抗力影响承包人履行合同约定的义务，已经引起或将引起工期延误的，应当顺延工期，由此导致承包人停工的费用损失由发包人和承包人合理分担，</w:t>
      </w:r>
      <w:bookmarkStart w:id="1034" w:name="_Hlk51507024"/>
      <w:r>
        <w:rPr>
          <w:rFonts w:hint="eastAsia" w:ascii="仿宋_GB2312" w:eastAsia="仿宋_GB2312"/>
          <w:color w:val="auto"/>
          <w:sz w:val="24"/>
          <w:highlight w:val="none"/>
        </w:rPr>
        <w:t>停工期间必须支付的现场必要的工人工资</w:t>
      </w:r>
      <w:bookmarkEnd w:id="1034"/>
      <w:r>
        <w:rPr>
          <w:rFonts w:hint="eastAsia" w:ascii="仿宋_GB2312" w:eastAsia="仿宋_GB2312"/>
          <w:color w:val="auto"/>
          <w:sz w:val="24"/>
          <w:highlight w:val="none"/>
        </w:rPr>
        <w:t>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（5） 因不可抗力引起或将引起工期延误，发包人指示赶工的，由此增加的赶工费用由发包人承担；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（6） 承包人在停工期间按照工程师或发包人要求照管、清理和修复工程的费用由发包人承担。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不可抗力引起的后果及造成的损失由合同当事人按照法律规定及合同约定各自承担。不可抗力发生前已完成的工程应当按照合同约定进行支付。</w:t>
      </w:r>
    </w:p>
    <w:p>
      <w:pPr>
        <w:pStyle w:val="54"/>
        <w:widowControl/>
        <w:numPr>
          <w:ilvl w:val="0"/>
          <w:numId w:val="0"/>
        </w:numPr>
        <w:rPr>
          <w:b w:val="0"/>
          <w:bCs/>
          <w:color w:val="auto"/>
          <w:highlight w:val="none"/>
        </w:rPr>
      </w:pPr>
      <w:bookmarkStart w:id="1035" w:name="_Toc54862312"/>
      <w:r>
        <w:rPr>
          <w:rFonts w:hint="eastAsia"/>
          <w:b w:val="0"/>
          <w:bCs/>
          <w:color w:val="auto"/>
          <w:highlight w:val="none"/>
        </w:rPr>
        <w:t>1</w:t>
      </w:r>
      <w:r>
        <w:rPr>
          <w:b w:val="0"/>
          <w:bCs/>
          <w:color w:val="auto"/>
          <w:highlight w:val="none"/>
        </w:rPr>
        <w:t xml:space="preserve">7.5 </w:t>
      </w:r>
      <w:r>
        <w:rPr>
          <w:rFonts w:hint="eastAsia"/>
          <w:b w:val="0"/>
          <w:bCs/>
          <w:color w:val="auto"/>
          <w:highlight w:val="none"/>
        </w:rPr>
        <w:t>不可抗力影响分包人</w:t>
      </w:r>
      <w:bookmarkEnd w:id="1035"/>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分包人根据分包合同的约定，有权获得更多或者更广的不可抗力而免除某些义务时，承包人不得以分包合同中不可抗力约定向发包人抗辩免除其义务。</w:t>
      </w:r>
    </w:p>
    <w:p>
      <w:pPr>
        <w:pStyle w:val="54"/>
        <w:widowControl/>
        <w:numPr>
          <w:ilvl w:val="0"/>
          <w:numId w:val="0"/>
        </w:numPr>
        <w:rPr>
          <w:b w:val="0"/>
          <w:bCs/>
          <w:color w:val="auto"/>
          <w:highlight w:val="none"/>
        </w:rPr>
      </w:pPr>
      <w:bookmarkStart w:id="1036" w:name="_Ref531958184"/>
      <w:bookmarkStart w:id="1037" w:name="_Ref531958181"/>
      <w:bookmarkStart w:id="1038" w:name="_Ref3840892"/>
      <w:bookmarkStart w:id="1039" w:name="_Toc54862313"/>
      <w:bookmarkStart w:id="1040" w:name="_Ref4538024"/>
      <w:r>
        <w:rPr>
          <w:rFonts w:hint="eastAsia"/>
          <w:b w:val="0"/>
          <w:bCs/>
          <w:color w:val="auto"/>
          <w:highlight w:val="none"/>
        </w:rPr>
        <w:t>1</w:t>
      </w:r>
      <w:r>
        <w:rPr>
          <w:b w:val="0"/>
          <w:bCs/>
          <w:color w:val="auto"/>
          <w:highlight w:val="none"/>
        </w:rPr>
        <w:t xml:space="preserve">7.6 </w:t>
      </w:r>
      <w:r>
        <w:rPr>
          <w:rFonts w:hint="eastAsia"/>
          <w:b w:val="0"/>
          <w:bCs/>
          <w:color w:val="auto"/>
          <w:highlight w:val="none"/>
        </w:rPr>
        <w:t>因不可抗力解除</w:t>
      </w:r>
      <w:bookmarkEnd w:id="1036"/>
      <w:bookmarkEnd w:id="1037"/>
      <w:r>
        <w:rPr>
          <w:rFonts w:hint="eastAsia"/>
          <w:b w:val="0"/>
          <w:bCs/>
          <w:color w:val="auto"/>
          <w:highlight w:val="none"/>
        </w:rPr>
        <w:t>合同</w:t>
      </w:r>
      <w:bookmarkEnd w:id="1038"/>
      <w:bookmarkEnd w:id="1039"/>
      <w:bookmarkEnd w:id="1040"/>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因单次不可抗力导致合同无法履行连续超过84天或累计超过140天的，发包人和承包人均有权解除合同。合同解除后，承包人应按照第</w:t>
      </w:r>
      <w:r>
        <w:rPr>
          <w:rFonts w:ascii="仿宋_GB2312" w:eastAsia="仿宋_GB2312"/>
          <w:color w:val="auto"/>
          <w:sz w:val="24"/>
          <w:highlight w:val="none"/>
        </w:rPr>
        <w:t>10.5</w:t>
      </w:r>
      <w:r>
        <w:rPr>
          <w:rFonts w:hint="eastAsia" w:ascii="仿宋_GB2312" w:eastAsia="仿宋_GB2312"/>
          <w:color w:val="auto"/>
          <w:sz w:val="24"/>
          <w:highlight w:val="none"/>
        </w:rPr>
        <w:t>款[竣工退场]的规定进行。由双方当事人按照第</w:t>
      </w:r>
      <w:r>
        <w:rPr>
          <w:rFonts w:ascii="仿宋_GB2312" w:eastAsia="仿宋_GB2312"/>
          <w:color w:val="auto"/>
          <w:sz w:val="24"/>
          <w:highlight w:val="none"/>
        </w:rPr>
        <w:t>3.6</w:t>
      </w:r>
      <w:r>
        <w:rPr>
          <w:rFonts w:hint="eastAsia" w:ascii="仿宋_GB2312" w:eastAsia="仿宋_GB2312"/>
          <w:color w:val="auto"/>
          <w:sz w:val="24"/>
          <w:highlight w:val="none"/>
        </w:rPr>
        <w:t>款[商定或确定]商定或确定发包人应支付的款项，该款项包括：</w:t>
      </w:r>
    </w:p>
    <w:p>
      <w:pPr>
        <w:ind w:firstLine="600"/>
        <w:rPr>
          <w:rFonts w:ascii="仿宋_GB2312" w:eastAsia="仿宋_GB2312"/>
          <w:color w:val="auto"/>
          <w:sz w:val="24"/>
          <w:highlight w:val="none"/>
        </w:rPr>
      </w:pPr>
      <w:r>
        <w:rPr>
          <w:rFonts w:hint="eastAsia" w:ascii="仿宋_GB2312" w:eastAsia="仿宋_GB2312"/>
          <w:color w:val="auto"/>
          <w:sz w:val="24"/>
          <w:highlight w:val="none"/>
        </w:rPr>
        <w:t>（1） 合同解除前承包人已完成工作的价款；</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发包人指示承包人退货或解除订货合同而产生的费用，或因不能退货或解除合同而产生的损失；</w:t>
      </w:r>
    </w:p>
    <w:p>
      <w:pPr>
        <w:ind w:firstLine="600"/>
        <w:rPr>
          <w:rFonts w:ascii="仿宋_GB2312" w:eastAsia="仿宋_GB2312"/>
          <w:color w:val="auto"/>
          <w:sz w:val="24"/>
          <w:highlight w:val="none"/>
        </w:rPr>
      </w:pPr>
      <w:r>
        <w:rPr>
          <w:rFonts w:hint="eastAsia" w:ascii="仿宋_GB2312" w:eastAsia="仿宋_GB2312"/>
          <w:color w:val="auto"/>
          <w:sz w:val="24"/>
          <w:highlight w:val="none"/>
        </w:rPr>
        <w:t>（4） 承包人撤离施工现场以及遣散承包人人员的费用；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（5） 按照合同约定在合同解除前应支付给承包人的其他款项；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（6） 扣减承包人按照合同约定应向发包人支付的款项；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（7） 双方商定或确定的其他款项。</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除专用合同条件另有约定外，合同解除后，发包人应当在商定或确定上述款项后28天内完成上述款项的支付。</w:t>
      </w:r>
    </w:p>
    <w:p>
      <w:pPr>
        <w:pStyle w:val="42"/>
        <w:numPr>
          <w:ilvl w:val="0"/>
          <w:numId w:val="0"/>
        </w:numPr>
        <w:wordWrap/>
        <w:topLinePunct w:val="0"/>
        <w:rPr>
          <w:b w:val="0"/>
          <w:bCs/>
          <w:color w:val="auto"/>
          <w:sz w:val="24"/>
          <w:szCs w:val="24"/>
          <w:highlight w:val="none"/>
        </w:rPr>
      </w:pPr>
      <w:bookmarkStart w:id="1041" w:name="_Toc54862314"/>
      <w:bookmarkStart w:id="1042" w:name="_Ref11848264"/>
      <w:bookmarkStart w:id="1043" w:name="_Ref11848274"/>
      <w:r>
        <w:rPr>
          <w:rFonts w:hint="eastAsia"/>
          <w:b w:val="0"/>
          <w:bCs/>
          <w:color w:val="auto"/>
          <w:sz w:val="24"/>
          <w:szCs w:val="24"/>
          <w:highlight w:val="none"/>
        </w:rPr>
        <w:t>第1</w:t>
      </w:r>
      <w:r>
        <w:rPr>
          <w:b w:val="0"/>
          <w:bCs/>
          <w:color w:val="auto"/>
          <w:sz w:val="24"/>
          <w:szCs w:val="24"/>
          <w:highlight w:val="none"/>
        </w:rPr>
        <w:t>8</w:t>
      </w:r>
      <w:r>
        <w:rPr>
          <w:rFonts w:hint="eastAsia"/>
          <w:b w:val="0"/>
          <w:bCs/>
          <w:color w:val="auto"/>
          <w:sz w:val="24"/>
          <w:szCs w:val="24"/>
          <w:highlight w:val="none"/>
        </w:rPr>
        <w:t>条 保险</w:t>
      </w:r>
      <w:bookmarkEnd w:id="1024"/>
      <w:bookmarkEnd w:id="1041"/>
      <w:bookmarkEnd w:id="1042"/>
      <w:bookmarkEnd w:id="1043"/>
      <w:r>
        <w:rPr>
          <w:rFonts w:hint="eastAsia"/>
          <w:b w:val="0"/>
          <w:bCs/>
          <w:color w:val="auto"/>
          <w:sz w:val="24"/>
          <w:szCs w:val="24"/>
          <w:highlight w:val="none"/>
        </w:rPr>
        <w:t xml:space="preserve"> </w:t>
      </w:r>
    </w:p>
    <w:p>
      <w:pPr>
        <w:pStyle w:val="54"/>
        <w:widowControl/>
        <w:numPr>
          <w:ilvl w:val="0"/>
          <w:numId w:val="0"/>
        </w:numPr>
        <w:rPr>
          <w:b w:val="0"/>
          <w:bCs/>
          <w:color w:val="auto"/>
          <w:highlight w:val="none"/>
        </w:rPr>
      </w:pPr>
      <w:bookmarkStart w:id="1044" w:name="_Ref3840730"/>
      <w:bookmarkStart w:id="1045" w:name="_Ref3840734"/>
      <w:bookmarkStart w:id="1046" w:name="_Toc54862315"/>
      <w:bookmarkStart w:id="1047" w:name="_Ref531957914"/>
      <w:bookmarkStart w:id="1048" w:name="_Ref531957911"/>
      <w:bookmarkStart w:id="1049" w:name="_Toc351203616"/>
      <w:r>
        <w:rPr>
          <w:rFonts w:hint="eastAsia"/>
          <w:b w:val="0"/>
          <w:bCs/>
          <w:color w:val="auto"/>
          <w:highlight w:val="none"/>
        </w:rPr>
        <w:t>1</w:t>
      </w:r>
      <w:r>
        <w:rPr>
          <w:b w:val="0"/>
          <w:bCs/>
          <w:color w:val="auto"/>
          <w:highlight w:val="none"/>
        </w:rPr>
        <w:t xml:space="preserve">8.1 </w:t>
      </w:r>
      <w:r>
        <w:rPr>
          <w:rFonts w:hint="eastAsia"/>
          <w:b w:val="0"/>
          <w:bCs/>
          <w:color w:val="auto"/>
          <w:highlight w:val="none"/>
        </w:rPr>
        <w:t>设计和工程保险</w:t>
      </w:r>
      <w:bookmarkEnd w:id="1044"/>
      <w:bookmarkEnd w:id="1045"/>
      <w:bookmarkEnd w:id="1046"/>
    </w:p>
    <w:bookmarkEnd w:id="1047"/>
    <w:bookmarkEnd w:id="1048"/>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8.1.1 </w:t>
      </w:r>
      <w:r>
        <w:rPr>
          <w:rFonts w:hint="eastAsia" w:ascii="仿宋_GB2312" w:eastAsia="仿宋_GB2312"/>
          <w:color w:val="auto"/>
          <w:szCs w:val="24"/>
          <w:highlight w:val="none"/>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8.1.2 </w:t>
      </w:r>
      <w:r>
        <w:rPr>
          <w:rFonts w:hint="eastAsia" w:ascii="仿宋_GB2312" w:eastAsia="仿宋_GB2312"/>
          <w:color w:val="auto"/>
          <w:szCs w:val="24"/>
          <w:highlight w:val="none"/>
        </w:rPr>
        <w:t>双方应按照专用合同条件的约定投保第三者责任险，并在缺陷责任期终止证书颁发前维持其持续有效。第三者责任险最低投保额应在专用合同条件内约定。</w:t>
      </w:r>
    </w:p>
    <w:p>
      <w:pPr>
        <w:pStyle w:val="54"/>
        <w:widowControl/>
        <w:numPr>
          <w:ilvl w:val="0"/>
          <w:numId w:val="0"/>
        </w:numPr>
        <w:rPr>
          <w:b w:val="0"/>
          <w:bCs/>
          <w:color w:val="auto"/>
          <w:highlight w:val="none"/>
        </w:rPr>
      </w:pPr>
      <w:bookmarkStart w:id="1050" w:name="_Ref3840683"/>
      <w:bookmarkStart w:id="1051" w:name="_Toc54862316"/>
      <w:r>
        <w:rPr>
          <w:rFonts w:hint="eastAsia"/>
          <w:b w:val="0"/>
          <w:bCs/>
          <w:color w:val="auto"/>
          <w:highlight w:val="none"/>
        </w:rPr>
        <w:t>1</w:t>
      </w:r>
      <w:r>
        <w:rPr>
          <w:b w:val="0"/>
          <w:bCs/>
          <w:color w:val="auto"/>
          <w:highlight w:val="none"/>
        </w:rPr>
        <w:t xml:space="preserve">8.2 </w:t>
      </w:r>
      <w:r>
        <w:rPr>
          <w:rFonts w:hint="eastAsia"/>
          <w:b w:val="0"/>
          <w:bCs/>
          <w:color w:val="auto"/>
          <w:highlight w:val="none"/>
        </w:rPr>
        <w:t>工伤和意外伤害保险</w:t>
      </w:r>
      <w:bookmarkEnd w:id="1050"/>
      <w:bookmarkEnd w:id="1051"/>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8.2.1 </w:t>
      </w:r>
      <w:r>
        <w:rPr>
          <w:rFonts w:hint="eastAsia" w:ascii="仿宋_GB2312" w:eastAsia="仿宋_GB2312"/>
          <w:color w:val="auto"/>
          <w:szCs w:val="24"/>
          <w:highlight w:val="none"/>
        </w:rPr>
        <w:t>发包人应依照法律规定为其在施工现场的雇用人员办理工伤保险，缴纳工伤保险费；并要求工程师及由发包人为履行合同聘请的第三方在施工现场的雇用人员依法办理工伤保险。</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8.2.2 </w:t>
      </w:r>
      <w:r>
        <w:rPr>
          <w:rFonts w:hint="eastAsia" w:ascii="仿宋_GB2312" w:eastAsia="仿宋_GB2312"/>
          <w:color w:val="auto"/>
          <w:szCs w:val="24"/>
          <w:highlight w:val="none"/>
        </w:rPr>
        <w:t>承包人应依照法律规定为其履行合同雇用的全部人员办理工伤保险，缴纳工伤保险费，并要求分包人及由承包人为履行合同聘请的第三方雇用的全部人员依法办理工伤保险。</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8.2.3 </w:t>
      </w:r>
      <w:r>
        <w:rPr>
          <w:rFonts w:hint="eastAsia" w:ascii="仿宋_GB2312" w:eastAsia="仿宋_GB2312"/>
          <w:color w:val="auto"/>
          <w:szCs w:val="24"/>
          <w:highlight w:val="none"/>
        </w:rPr>
        <w:t>发包人和承包人可以为其施工现场的全部人员办理意外伤害保险并支付保险费，包括其员工及为履行合同聘请的第三方的人员，具体事项由合同当事人在专用合同条件约定。</w:t>
      </w:r>
    </w:p>
    <w:p>
      <w:pPr>
        <w:pStyle w:val="54"/>
        <w:widowControl/>
        <w:numPr>
          <w:ilvl w:val="0"/>
          <w:numId w:val="0"/>
        </w:numPr>
        <w:rPr>
          <w:b w:val="0"/>
          <w:bCs/>
          <w:color w:val="auto"/>
          <w:highlight w:val="none"/>
        </w:rPr>
      </w:pPr>
      <w:bookmarkStart w:id="1052" w:name="_Toc54862317"/>
      <w:bookmarkStart w:id="1053" w:name="_Ref3840782"/>
      <w:r>
        <w:rPr>
          <w:rFonts w:hint="eastAsia"/>
          <w:b w:val="0"/>
          <w:bCs/>
          <w:color w:val="auto"/>
          <w:highlight w:val="none"/>
        </w:rPr>
        <w:t>1</w:t>
      </w:r>
      <w:r>
        <w:rPr>
          <w:b w:val="0"/>
          <w:bCs/>
          <w:color w:val="auto"/>
          <w:highlight w:val="none"/>
        </w:rPr>
        <w:t xml:space="preserve">8.3 </w:t>
      </w:r>
      <w:r>
        <w:rPr>
          <w:rFonts w:hint="eastAsia"/>
          <w:b w:val="0"/>
          <w:bCs/>
          <w:color w:val="auto"/>
          <w:highlight w:val="none"/>
        </w:rPr>
        <w:t>货物保险</w:t>
      </w:r>
      <w:bookmarkEnd w:id="1052"/>
      <w:bookmarkEnd w:id="1053"/>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w:t>
      </w:r>
      <w:r>
        <w:rPr>
          <w:rFonts w:hint="eastAsia" w:ascii="仿宋_GB2312" w:eastAsia="仿宋_GB2312"/>
          <w:iCs/>
          <w:color w:val="auto"/>
          <w:sz w:val="24"/>
          <w:highlight w:val="none"/>
        </w:rPr>
        <w:t>按照</w:t>
      </w:r>
      <w:r>
        <w:rPr>
          <w:rFonts w:hint="eastAsia" w:ascii="仿宋_GB2312" w:eastAsia="仿宋_GB2312"/>
          <w:color w:val="auto"/>
          <w:sz w:val="24"/>
          <w:highlight w:val="none"/>
        </w:rPr>
        <w:t>专用合同条件的约定为</w:t>
      </w:r>
      <w:r>
        <w:rPr>
          <w:rFonts w:hint="eastAsia" w:ascii="仿宋_GB2312" w:eastAsia="仿宋_GB2312"/>
          <w:iCs/>
          <w:color w:val="auto"/>
          <w:sz w:val="24"/>
          <w:highlight w:val="none"/>
        </w:rPr>
        <w:t>运抵现场的</w:t>
      </w:r>
      <w:r>
        <w:rPr>
          <w:rFonts w:hint="eastAsia" w:ascii="仿宋_GB2312" w:eastAsia="仿宋_GB2312"/>
          <w:color w:val="auto"/>
          <w:sz w:val="24"/>
          <w:highlight w:val="none"/>
        </w:rPr>
        <w:t>施工设备、材料、工程设备和临时工程等办理财产保险，保险期限自上述货物运抵现场至其不再为工程所需要为止。</w:t>
      </w:r>
    </w:p>
    <w:p>
      <w:pPr>
        <w:pStyle w:val="54"/>
        <w:widowControl/>
        <w:numPr>
          <w:ilvl w:val="0"/>
          <w:numId w:val="0"/>
        </w:numPr>
        <w:rPr>
          <w:b w:val="0"/>
          <w:bCs/>
          <w:color w:val="auto"/>
          <w:highlight w:val="none"/>
        </w:rPr>
      </w:pPr>
      <w:bookmarkStart w:id="1054" w:name="_Toc54862318"/>
      <w:bookmarkStart w:id="1055" w:name="_Ref4692238"/>
      <w:bookmarkStart w:id="1056" w:name="_Ref4692231"/>
      <w:r>
        <w:rPr>
          <w:rFonts w:hint="eastAsia"/>
          <w:b w:val="0"/>
          <w:bCs/>
          <w:color w:val="auto"/>
          <w:highlight w:val="none"/>
        </w:rPr>
        <w:t>1</w:t>
      </w:r>
      <w:r>
        <w:rPr>
          <w:b w:val="0"/>
          <w:bCs/>
          <w:color w:val="auto"/>
          <w:highlight w:val="none"/>
        </w:rPr>
        <w:t xml:space="preserve">8.4 </w:t>
      </w:r>
      <w:r>
        <w:rPr>
          <w:rFonts w:hint="eastAsia"/>
          <w:b w:val="0"/>
          <w:bCs/>
          <w:color w:val="auto"/>
          <w:highlight w:val="none"/>
        </w:rPr>
        <w:t>其他保险</w:t>
      </w:r>
      <w:bookmarkEnd w:id="1054"/>
      <w:bookmarkEnd w:id="1055"/>
      <w:bookmarkEnd w:id="1056"/>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049"/>
      <w:r>
        <w:rPr>
          <w:rFonts w:hint="eastAsia" w:ascii="仿宋_GB2312" w:eastAsia="仿宋_GB2312"/>
          <w:color w:val="auto"/>
          <w:sz w:val="24"/>
          <w:highlight w:val="none"/>
        </w:rPr>
        <w:t>保费用包含在合同价格中，但在合同执行过程中，新颁布适用的法律法规规定由承包人投保的强制保险，应根据本合同</w:t>
      </w:r>
      <w:bookmarkStart w:id="1057" w:name="_Toc351203617"/>
      <w:bookmarkStart w:id="1058" w:name="_Toc296503126"/>
      <w:bookmarkStart w:id="1059" w:name="_Toc296346627"/>
      <w:bookmarkStart w:id="1060" w:name="_Toc337558832"/>
      <w:r>
        <w:rPr>
          <w:rFonts w:hint="eastAsia" w:ascii="仿宋_GB2312" w:eastAsia="仿宋_GB2312"/>
          <w:color w:val="auto"/>
          <w:sz w:val="24"/>
          <w:highlight w:val="none"/>
        </w:rPr>
        <w:t>第</w:t>
      </w:r>
      <w:r>
        <w:rPr>
          <w:rFonts w:ascii="仿宋_GB2312" w:eastAsia="仿宋_GB2312"/>
          <w:color w:val="auto"/>
          <w:sz w:val="24"/>
          <w:highlight w:val="none"/>
        </w:rPr>
        <w:t>13条</w:t>
      </w:r>
      <w:r>
        <w:rPr>
          <w:rFonts w:hint="eastAsia" w:ascii="仿宋_GB2312" w:eastAsia="仿宋_GB2312"/>
          <w:color w:val="auto"/>
          <w:sz w:val="24"/>
          <w:highlight w:val="none"/>
        </w:rPr>
        <w:t>[</w:t>
      </w:r>
      <w:r>
        <w:rPr>
          <w:rFonts w:ascii="仿宋_GB2312" w:eastAsia="仿宋_GB2312"/>
          <w:color w:val="auto"/>
          <w:sz w:val="24"/>
          <w:highlight w:val="none"/>
        </w:rPr>
        <w:t>变更与调整</w:t>
      </w:r>
      <w:r>
        <w:rPr>
          <w:rFonts w:hint="eastAsia" w:ascii="仿宋_GB2312" w:eastAsia="仿宋_GB2312"/>
          <w:color w:val="auto"/>
          <w:sz w:val="24"/>
          <w:highlight w:val="none"/>
        </w:rPr>
        <w:t>]的约定增加合同价款。</w:t>
      </w:r>
    </w:p>
    <w:p>
      <w:pPr>
        <w:pStyle w:val="54"/>
        <w:widowControl/>
        <w:numPr>
          <w:ilvl w:val="0"/>
          <w:numId w:val="0"/>
        </w:numPr>
        <w:rPr>
          <w:b w:val="0"/>
          <w:bCs/>
          <w:color w:val="auto"/>
          <w:highlight w:val="none"/>
        </w:rPr>
      </w:pPr>
      <w:bookmarkStart w:id="1061" w:name="_Toc54862319"/>
      <w:bookmarkStart w:id="1062" w:name="_Ref3840659"/>
      <w:r>
        <w:rPr>
          <w:rFonts w:hint="eastAsia"/>
          <w:b w:val="0"/>
          <w:bCs/>
          <w:color w:val="auto"/>
          <w:highlight w:val="none"/>
        </w:rPr>
        <w:t>1</w:t>
      </w:r>
      <w:r>
        <w:rPr>
          <w:b w:val="0"/>
          <w:bCs/>
          <w:color w:val="auto"/>
          <w:highlight w:val="none"/>
        </w:rPr>
        <w:t xml:space="preserve">8.5 </w:t>
      </w:r>
      <w:r>
        <w:rPr>
          <w:rFonts w:hint="eastAsia"/>
          <w:b w:val="0"/>
          <w:bCs/>
          <w:color w:val="auto"/>
          <w:highlight w:val="none"/>
        </w:rPr>
        <w:t>对各项保险的一般要求</w:t>
      </w:r>
      <w:bookmarkEnd w:id="1061"/>
      <w:bookmarkEnd w:id="1062"/>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8.5.1 </w:t>
      </w:r>
      <w:r>
        <w:rPr>
          <w:rFonts w:hint="eastAsia" w:ascii="仿宋_GB2312" w:eastAsia="仿宋_GB2312"/>
          <w:color w:val="auto"/>
          <w:szCs w:val="24"/>
          <w:highlight w:val="none"/>
        </w:rPr>
        <w:t>持续保险</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合同当事人应与保险人保持联系，使保险人能够随时了</w:t>
      </w:r>
      <w:bookmarkEnd w:id="1057"/>
      <w:r>
        <w:rPr>
          <w:rFonts w:hint="eastAsia" w:ascii="仿宋_GB2312" w:eastAsia="仿宋_GB2312"/>
          <w:color w:val="auto"/>
          <w:sz w:val="24"/>
          <w:highlight w:val="none"/>
        </w:rPr>
        <w:t>解</w:t>
      </w:r>
      <w:bookmarkEnd w:id="1058"/>
      <w:bookmarkEnd w:id="1059"/>
      <w:bookmarkEnd w:id="1060"/>
      <w:r>
        <w:rPr>
          <w:rFonts w:hint="eastAsia" w:ascii="仿宋_GB2312" w:eastAsia="仿宋_GB2312"/>
          <w:color w:val="auto"/>
          <w:sz w:val="24"/>
          <w:highlight w:val="none"/>
        </w:rPr>
        <w:t>工程实施中的变动，并确保按保险合同条款要求持续保险。</w:t>
      </w:r>
    </w:p>
    <w:p>
      <w:pPr>
        <w:pStyle w:val="55"/>
        <w:numPr>
          <w:ilvl w:val="0"/>
          <w:numId w:val="0"/>
        </w:numPr>
        <w:rPr>
          <w:rFonts w:ascii="仿宋_GB2312" w:eastAsia="仿宋_GB2312"/>
          <w:color w:val="auto"/>
          <w:szCs w:val="24"/>
          <w:highlight w:val="none"/>
        </w:rPr>
      </w:pPr>
      <w:bookmarkStart w:id="1063" w:name="_Ref4777650"/>
      <w:r>
        <w:rPr>
          <w:rFonts w:hint="eastAsia" w:ascii="仿宋_GB2312" w:eastAsia="仿宋_GB2312"/>
          <w:color w:val="auto"/>
          <w:szCs w:val="24"/>
          <w:highlight w:val="none"/>
        </w:rPr>
        <w:t>1</w:t>
      </w:r>
      <w:r>
        <w:rPr>
          <w:rFonts w:ascii="仿宋_GB2312" w:eastAsia="仿宋_GB2312"/>
          <w:color w:val="auto"/>
          <w:szCs w:val="24"/>
          <w:highlight w:val="none"/>
        </w:rPr>
        <w:t xml:space="preserve">8.5.2 </w:t>
      </w:r>
      <w:r>
        <w:rPr>
          <w:rFonts w:hint="eastAsia" w:ascii="仿宋_GB2312" w:eastAsia="仿宋_GB2312"/>
          <w:color w:val="auto"/>
          <w:szCs w:val="24"/>
          <w:highlight w:val="none"/>
        </w:rPr>
        <w:t>保险凭证</w:t>
      </w:r>
      <w:bookmarkEnd w:id="1063"/>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合同当事人应及时向另一方当事人提交其已投保的各项保险的凭证和保险单复印件，保险单必须与专用合同条件约定的条件保持一致。</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1</w:t>
      </w:r>
      <w:r>
        <w:rPr>
          <w:rFonts w:ascii="仿宋_GB2312" w:eastAsia="仿宋_GB2312"/>
          <w:color w:val="auto"/>
          <w:szCs w:val="24"/>
          <w:highlight w:val="none"/>
        </w:rPr>
        <w:t xml:space="preserve">8.5.3 </w:t>
      </w:r>
      <w:r>
        <w:rPr>
          <w:rFonts w:hint="eastAsia" w:ascii="仿宋_GB2312" w:eastAsia="仿宋_GB2312"/>
          <w:color w:val="auto"/>
          <w:szCs w:val="24"/>
          <w:highlight w:val="none"/>
        </w:rPr>
        <w:t>未按约定投保的补救</w:t>
      </w:r>
    </w:p>
    <w:p>
      <w:pPr>
        <w:ind w:firstLine="600"/>
        <w:rPr>
          <w:rFonts w:ascii="仿宋_GB2312" w:eastAsia="仿宋_GB2312"/>
          <w:color w:val="auto"/>
          <w:sz w:val="24"/>
          <w:highlight w:val="none"/>
        </w:rPr>
      </w:pPr>
      <w:r>
        <w:rPr>
          <w:rFonts w:hint="eastAsia" w:ascii="仿宋_GB2312" w:eastAsia="仿宋_GB2312"/>
          <w:color w:val="auto"/>
          <w:sz w:val="24"/>
          <w:highlight w:val="none"/>
        </w:rPr>
        <w:t>负有投保义务的一方当事人未按合同约定办理保险，或未能使保险持续有效的，则另一方当事人可代为办理，所需费用由负有投保义务的一方当事人承担。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负有投保</w:t>
      </w:r>
      <w:bookmarkStart w:id="1064" w:name="_Toc351203619"/>
      <w:bookmarkStart w:id="1065" w:name="_Toc337558834"/>
      <w:r>
        <w:rPr>
          <w:rFonts w:hint="eastAsia" w:ascii="仿宋_GB2312" w:eastAsia="仿宋_GB2312"/>
          <w:color w:val="auto"/>
          <w:sz w:val="24"/>
          <w:highlight w:val="none"/>
        </w:rPr>
        <w:t>义务的一方当事人未</w:t>
      </w:r>
      <w:bookmarkEnd w:id="1064"/>
      <w:r>
        <w:rPr>
          <w:rFonts w:hint="eastAsia" w:ascii="仿宋_GB2312" w:eastAsia="仿宋_GB2312"/>
          <w:color w:val="auto"/>
          <w:sz w:val="24"/>
          <w:highlight w:val="none"/>
        </w:rPr>
        <w:t>按</w:t>
      </w:r>
      <w:bookmarkEnd w:id="1065"/>
      <w:r>
        <w:rPr>
          <w:rFonts w:hint="eastAsia" w:ascii="仿宋_GB2312" w:eastAsia="仿宋_GB2312"/>
          <w:color w:val="auto"/>
          <w:sz w:val="24"/>
          <w:highlight w:val="none"/>
        </w:rPr>
        <w:t>合同约定办理某项保险，导致受益人未能得到足额赔偿的，由负有投保义务的一方当事人负责按照原应从该项保险得到的保险金数额进行补足。</w:t>
      </w:r>
    </w:p>
    <w:p>
      <w:pPr>
        <w:pStyle w:val="55"/>
        <w:numPr>
          <w:ilvl w:val="0"/>
          <w:numId w:val="0"/>
        </w:numPr>
        <w:rPr>
          <w:rFonts w:ascii="仿宋_GB2312" w:eastAsia="仿宋_GB2312"/>
          <w:color w:val="auto"/>
          <w:szCs w:val="24"/>
          <w:highlight w:val="none"/>
        </w:rPr>
      </w:pPr>
      <w:bookmarkStart w:id="1066" w:name="_Ref4692685"/>
      <w:r>
        <w:rPr>
          <w:rFonts w:hint="eastAsia" w:ascii="仿宋_GB2312" w:eastAsia="仿宋_GB2312"/>
          <w:color w:val="auto"/>
          <w:szCs w:val="24"/>
          <w:highlight w:val="none"/>
        </w:rPr>
        <w:t>1</w:t>
      </w:r>
      <w:r>
        <w:rPr>
          <w:rFonts w:ascii="仿宋_GB2312" w:eastAsia="仿宋_GB2312"/>
          <w:color w:val="auto"/>
          <w:szCs w:val="24"/>
          <w:highlight w:val="none"/>
        </w:rPr>
        <w:t xml:space="preserve">8.5.4 </w:t>
      </w:r>
      <w:r>
        <w:rPr>
          <w:rFonts w:hint="eastAsia" w:ascii="仿宋_GB2312" w:eastAsia="仿宋_GB2312"/>
          <w:color w:val="auto"/>
          <w:szCs w:val="24"/>
          <w:highlight w:val="none"/>
        </w:rPr>
        <w:t>通知义务</w:t>
      </w:r>
      <w:bookmarkEnd w:id="1066"/>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除专用合同条件另有约定外，任何一方当事人变更除工伤保险之外的保险合同时，应事先征得另一方当事人同意，并通知工程师。</w:t>
      </w:r>
    </w:p>
    <w:p>
      <w:pPr>
        <w:ind w:firstLine="600"/>
        <w:rPr>
          <w:rFonts w:ascii="仿宋_GB2312" w:eastAsia="仿宋_GB2312"/>
          <w:color w:val="auto"/>
          <w:sz w:val="24"/>
          <w:highlight w:val="none"/>
        </w:rPr>
      </w:pPr>
      <w:r>
        <w:rPr>
          <w:rFonts w:hint="eastAsia" w:ascii="仿宋_GB2312" w:eastAsia="仿宋_GB2312"/>
          <w:color w:val="auto"/>
          <w:sz w:val="24"/>
          <w:highlight w:val="none"/>
        </w:rPr>
        <w:t>保险事故发生时，投保人应按照保险合同规定的条件和期限及时向保险人报告。发包人和承包人应当在知道保险事故发生后及时通知对方。</w:t>
      </w:r>
    </w:p>
    <w:p>
      <w:pPr>
        <w:ind w:firstLine="600"/>
        <w:rPr>
          <w:rFonts w:ascii="仿宋_GB2312" w:eastAsia="仿宋_GB2312"/>
          <w:color w:val="auto"/>
          <w:sz w:val="24"/>
          <w:highlight w:val="none"/>
        </w:rPr>
      </w:pPr>
      <w:r>
        <w:rPr>
          <w:rFonts w:hint="eastAsia" w:ascii="仿宋_GB2312" w:eastAsia="仿宋_GB2312"/>
          <w:color w:val="auto"/>
          <w:sz w:val="24"/>
          <w:highlight w:val="none"/>
        </w:rPr>
        <w:t>双方按本条规定投保不减少双方在合同下的其他义务。</w:t>
      </w:r>
    </w:p>
    <w:p>
      <w:pPr>
        <w:pStyle w:val="42"/>
        <w:numPr>
          <w:ilvl w:val="0"/>
          <w:numId w:val="0"/>
        </w:numPr>
        <w:wordWrap/>
        <w:topLinePunct w:val="0"/>
        <w:rPr>
          <w:b w:val="0"/>
          <w:bCs/>
          <w:color w:val="auto"/>
          <w:sz w:val="24"/>
          <w:szCs w:val="24"/>
          <w:highlight w:val="none"/>
        </w:rPr>
      </w:pPr>
      <w:bookmarkStart w:id="1067" w:name="_Toc54862320"/>
      <w:bookmarkStart w:id="1068" w:name="_Ref11874997"/>
      <w:r>
        <w:rPr>
          <w:rFonts w:hint="eastAsia"/>
          <w:b w:val="0"/>
          <w:bCs/>
          <w:color w:val="auto"/>
          <w:sz w:val="24"/>
          <w:szCs w:val="24"/>
          <w:highlight w:val="none"/>
        </w:rPr>
        <w:t>第1</w:t>
      </w:r>
      <w:r>
        <w:rPr>
          <w:b w:val="0"/>
          <w:bCs/>
          <w:color w:val="auto"/>
          <w:sz w:val="24"/>
          <w:szCs w:val="24"/>
          <w:highlight w:val="none"/>
        </w:rPr>
        <w:t>9</w:t>
      </w:r>
      <w:r>
        <w:rPr>
          <w:rFonts w:hint="eastAsia"/>
          <w:b w:val="0"/>
          <w:bCs/>
          <w:color w:val="auto"/>
          <w:sz w:val="24"/>
          <w:szCs w:val="24"/>
          <w:highlight w:val="none"/>
        </w:rPr>
        <w:t>条 索赔</w:t>
      </w:r>
      <w:bookmarkEnd w:id="1003"/>
      <w:bookmarkEnd w:id="1004"/>
      <w:bookmarkEnd w:id="1067"/>
      <w:bookmarkEnd w:id="1068"/>
      <w:r>
        <w:rPr>
          <w:rFonts w:hint="eastAsia"/>
          <w:b w:val="0"/>
          <w:bCs/>
          <w:color w:val="auto"/>
          <w:sz w:val="24"/>
          <w:szCs w:val="24"/>
          <w:highlight w:val="none"/>
        </w:rPr>
        <w:t xml:space="preserve"> </w:t>
      </w:r>
    </w:p>
    <w:p>
      <w:pPr>
        <w:pStyle w:val="54"/>
        <w:widowControl/>
        <w:numPr>
          <w:ilvl w:val="0"/>
          <w:numId w:val="0"/>
        </w:numPr>
        <w:rPr>
          <w:b w:val="0"/>
          <w:bCs/>
          <w:color w:val="auto"/>
          <w:highlight w:val="none"/>
        </w:rPr>
      </w:pPr>
      <w:bookmarkStart w:id="1069" w:name="_Ref4798173"/>
      <w:bookmarkStart w:id="1070" w:name="_Ref4798164"/>
      <w:bookmarkStart w:id="1071" w:name="_Toc54862321"/>
      <w:r>
        <w:rPr>
          <w:rFonts w:hint="eastAsia"/>
          <w:b w:val="0"/>
          <w:bCs/>
          <w:color w:val="auto"/>
          <w:highlight w:val="none"/>
        </w:rPr>
        <w:t>1</w:t>
      </w:r>
      <w:r>
        <w:rPr>
          <w:b w:val="0"/>
          <w:bCs/>
          <w:color w:val="auto"/>
          <w:highlight w:val="none"/>
        </w:rPr>
        <w:t xml:space="preserve">9.1 </w:t>
      </w:r>
      <w:r>
        <w:rPr>
          <w:rFonts w:hint="eastAsia"/>
          <w:b w:val="0"/>
          <w:bCs/>
          <w:color w:val="auto"/>
          <w:highlight w:val="none"/>
        </w:rPr>
        <w:t>索赔</w:t>
      </w:r>
      <w:bookmarkEnd w:id="1069"/>
      <w:bookmarkEnd w:id="1070"/>
      <w:r>
        <w:rPr>
          <w:rFonts w:hint="eastAsia"/>
          <w:b w:val="0"/>
          <w:bCs/>
          <w:color w:val="auto"/>
          <w:highlight w:val="none"/>
        </w:rPr>
        <w:t>的提出</w:t>
      </w:r>
      <w:bookmarkEnd w:id="1071"/>
    </w:p>
    <w:p>
      <w:pPr>
        <w:ind w:firstLine="600"/>
        <w:rPr>
          <w:rFonts w:ascii="仿宋_GB2312" w:eastAsia="仿宋_GB2312"/>
          <w:color w:val="auto"/>
          <w:sz w:val="24"/>
          <w:highlight w:val="none"/>
        </w:rPr>
      </w:pPr>
      <w:r>
        <w:rPr>
          <w:rFonts w:hint="eastAsia" w:ascii="仿宋_GB2312" w:eastAsia="仿宋_GB2312"/>
          <w:color w:val="auto"/>
          <w:sz w:val="24"/>
          <w:highlight w:val="none"/>
        </w:rPr>
        <w:t>根据合同约定，任意一方认为有权得到追加/减少付款、延长缺陷责任期和（或）延长工期的，应按以下程序向对方提出索赔：</w:t>
      </w:r>
    </w:p>
    <w:p>
      <w:pPr>
        <w:ind w:firstLine="600"/>
        <w:rPr>
          <w:rFonts w:ascii="仿宋_GB2312" w:eastAsia="仿宋_GB2312"/>
          <w:color w:val="auto"/>
          <w:sz w:val="24"/>
          <w:highlight w:val="none"/>
        </w:rPr>
      </w:pPr>
      <w:r>
        <w:rPr>
          <w:rFonts w:hint="eastAsia" w:ascii="仿宋_GB2312" w:eastAsia="仿宋_GB2312"/>
          <w:color w:val="auto"/>
          <w:sz w:val="24"/>
          <w:highlight w:val="none"/>
        </w:rPr>
        <w:t>（1） 索赔方应在知道或应当知道索赔事件发生后28天内，向对方递交索赔意向通知书，并说明发生索赔事件的事由；索赔方未在前述28天内发出索赔意向通知书的，丧失要求追加</w:t>
      </w:r>
      <w:r>
        <w:rPr>
          <w:rFonts w:ascii="仿宋_GB2312" w:eastAsia="仿宋_GB2312"/>
          <w:color w:val="auto"/>
          <w:sz w:val="24"/>
          <w:highlight w:val="none"/>
        </w:rPr>
        <w:t>/减少付款、延长缺陷责任期和（或）延长工期</w:t>
      </w:r>
      <w:r>
        <w:rPr>
          <w:rFonts w:hint="eastAsia" w:ascii="仿宋_GB2312" w:eastAsia="仿宋_GB2312"/>
          <w:color w:val="auto"/>
          <w:sz w:val="24"/>
          <w:highlight w:val="none"/>
        </w:rPr>
        <w:t>的权利；</w:t>
      </w:r>
    </w:p>
    <w:p>
      <w:pPr>
        <w:ind w:firstLine="600"/>
        <w:rPr>
          <w:rFonts w:ascii="仿宋_GB2312" w:eastAsia="仿宋_GB2312"/>
          <w:color w:val="auto"/>
          <w:sz w:val="24"/>
          <w:highlight w:val="none"/>
        </w:rPr>
      </w:pPr>
      <w:r>
        <w:rPr>
          <w:rFonts w:hint="eastAsia" w:ascii="仿宋_GB2312" w:eastAsia="仿宋_GB2312"/>
          <w:color w:val="auto"/>
          <w:sz w:val="24"/>
          <w:highlight w:val="none"/>
        </w:rPr>
        <w:t>（2） 索赔方应在发出索赔意向通知书后28天内，向对方正式递交索赔报告；索赔报告应详细说明索赔理由以及要求追加的付款金额、延长缺陷责任期和（或）延长的工期，并附必要的记录和证明材料；</w:t>
      </w:r>
    </w:p>
    <w:p>
      <w:pPr>
        <w:ind w:firstLine="600"/>
        <w:rPr>
          <w:rFonts w:ascii="仿宋_GB2312" w:eastAsia="仿宋_GB2312"/>
          <w:color w:val="auto"/>
          <w:sz w:val="24"/>
          <w:highlight w:val="none"/>
        </w:rPr>
      </w:pPr>
      <w:r>
        <w:rPr>
          <w:rFonts w:hint="eastAsia" w:ascii="仿宋_GB2312" w:eastAsia="仿宋_GB2312"/>
          <w:color w:val="auto"/>
          <w:sz w:val="24"/>
          <w:highlight w:val="none"/>
        </w:rPr>
        <w:t>（3） 索赔事件具有持续影响的，索赔方应每月递交延续索赔通知，说明持续影响的实际情况和记录，列出累计的追加付款金额、延长缺陷责任期和（或）工期延长天数；</w:t>
      </w:r>
    </w:p>
    <w:p>
      <w:pPr>
        <w:ind w:firstLine="600"/>
        <w:rPr>
          <w:rFonts w:ascii="仿宋_GB2312" w:eastAsia="仿宋_GB2312"/>
          <w:color w:val="auto"/>
          <w:sz w:val="24"/>
          <w:highlight w:val="none"/>
        </w:rPr>
      </w:pPr>
      <w:bookmarkStart w:id="1072" w:name="_Ref4796178"/>
      <w:r>
        <w:rPr>
          <w:rFonts w:hint="eastAsia" w:ascii="仿宋_GB2312" w:eastAsia="仿宋_GB2312"/>
          <w:color w:val="auto"/>
          <w:sz w:val="24"/>
          <w:highlight w:val="none"/>
        </w:rPr>
        <w:t>（4） 在索赔事件影响结束后28天内，索赔方应向对方递交最终索赔报告，说明最终要求索赔的追加付款金额、延长缺陷责任期和（或）延长的工期，并附必要的记录和证明材料。</w:t>
      </w:r>
      <w:bookmarkEnd w:id="1072"/>
    </w:p>
    <w:p>
      <w:pPr>
        <w:ind w:firstLine="600"/>
        <w:rPr>
          <w:rFonts w:ascii="仿宋_GB2312" w:eastAsia="仿宋_GB2312"/>
          <w:color w:val="auto"/>
          <w:sz w:val="24"/>
          <w:highlight w:val="none"/>
        </w:rPr>
      </w:pPr>
      <w:r>
        <w:rPr>
          <w:rFonts w:hint="eastAsia" w:ascii="仿宋_GB2312" w:eastAsia="仿宋_GB2312"/>
          <w:color w:val="auto"/>
          <w:sz w:val="24"/>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54"/>
        <w:widowControl/>
        <w:numPr>
          <w:ilvl w:val="0"/>
          <w:numId w:val="0"/>
        </w:numPr>
        <w:rPr>
          <w:b w:val="0"/>
          <w:bCs/>
          <w:color w:val="auto"/>
          <w:highlight w:val="none"/>
        </w:rPr>
      </w:pPr>
      <w:bookmarkStart w:id="1073" w:name="_Ref4796254"/>
      <w:bookmarkStart w:id="1074" w:name="_Toc54862322"/>
      <w:bookmarkStart w:id="1075" w:name="_Ref4796262"/>
      <w:r>
        <w:rPr>
          <w:rFonts w:hint="eastAsia"/>
          <w:b w:val="0"/>
          <w:bCs/>
          <w:color w:val="auto"/>
          <w:highlight w:val="none"/>
        </w:rPr>
        <w:t>1</w:t>
      </w:r>
      <w:r>
        <w:rPr>
          <w:b w:val="0"/>
          <w:bCs/>
          <w:color w:val="auto"/>
          <w:highlight w:val="none"/>
        </w:rPr>
        <w:t>9.2 承包人索赔</w:t>
      </w:r>
      <w:r>
        <w:rPr>
          <w:rFonts w:hint="eastAsia"/>
          <w:b w:val="0"/>
          <w:bCs/>
          <w:color w:val="auto"/>
          <w:highlight w:val="none"/>
        </w:rPr>
        <w:t>的处理程序</w:t>
      </w:r>
      <w:bookmarkEnd w:id="1073"/>
      <w:bookmarkEnd w:id="1074"/>
      <w:bookmarkEnd w:id="1075"/>
    </w:p>
    <w:p>
      <w:pPr>
        <w:ind w:firstLine="600"/>
        <w:rPr>
          <w:rFonts w:ascii="仿宋_GB2312" w:eastAsia="仿宋_GB2312"/>
          <w:color w:val="auto"/>
          <w:sz w:val="24"/>
          <w:highlight w:val="none"/>
        </w:rPr>
      </w:pPr>
      <w:r>
        <w:rPr>
          <w:rFonts w:hint="eastAsia" w:ascii="仿宋_GB2312" w:eastAsia="仿宋_GB2312"/>
          <w:color w:val="auto"/>
          <w:sz w:val="24"/>
          <w:highlight w:val="none"/>
        </w:rPr>
        <w:t>（1） 工程师收到承包人提交的索赔报告后，应及时审查索赔报告的内容、查验承包人的记录和证明材料，必要时工程师可要求承包人提交全部原始记录副本。</w:t>
      </w:r>
    </w:p>
    <w:p>
      <w:pPr>
        <w:ind w:firstLine="600"/>
        <w:rPr>
          <w:rFonts w:ascii="仿宋_GB2312" w:eastAsia="仿宋_GB2312"/>
          <w:color w:val="auto"/>
          <w:sz w:val="24"/>
          <w:highlight w:val="none"/>
        </w:rPr>
      </w:pPr>
      <w:r>
        <w:rPr>
          <w:rFonts w:hint="eastAsia" w:ascii="仿宋_GB2312" w:eastAsia="仿宋_GB2312"/>
          <w:color w:val="auto"/>
          <w:sz w:val="24"/>
          <w:highlight w:val="none"/>
        </w:rPr>
        <w:t>（2） 工程师应按第</w:t>
      </w:r>
      <w:r>
        <w:rPr>
          <w:rFonts w:ascii="仿宋_GB2312" w:eastAsia="仿宋_GB2312"/>
          <w:color w:val="auto"/>
          <w:sz w:val="24"/>
          <w:highlight w:val="none"/>
        </w:rPr>
        <w:t>3.6</w:t>
      </w:r>
      <w:r>
        <w:rPr>
          <w:rFonts w:hint="eastAsia" w:ascii="仿宋_GB2312" w:eastAsia="仿宋_GB2312"/>
          <w:color w:val="auto"/>
          <w:sz w:val="24"/>
          <w:highlight w:val="none"/>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ind w:firstLine="600"/>
        <w:rPr>
          <w:rFonts w:ascii="仿宋_GB2312" w:eastAsia="仿宋_GB2312"/>
          <w:color w:val="auto"/>
          <w:sz w:val="24"/>
          <w:highlight w:val="none"/>
        </w:rPr>
      </w:pPr>
      <w:r>
        <w:rPr>
          <w:rFonts w:hint="eastAsia" w:ascii="仿宋_GB2312" w:eastAsia="仿宋_GB2312"/>
          <w:color w:val="auto"/>
          <w:sz w:val="24"/>
          <w:highlight w:val="none"/>
        </w:rPr>
        <w:t>（3） 承包人接受索赔处理结果的，发包人应在作出索赔处理结果答复后28天内完成支付。承包人不接受索赔处理结果的，按照第</w:t>
      </w:r>
      <w:r>
        <w:rPr>
          <w:rFonts w:ascii="仿宋_GB2312" w:eastAsia="仿宋_GB2312"/>
          <w:color w:val="auto"/>
          <w:sz w:val="24"/>
          <w:highlight w:val="none"/>
        </w:rPr>
        <w:t>20条</w:t>
      </w:r>
      <w:r>
        <w:rPr>
          <w:rFonts w:hint="eastAsia" w:ascii="仿宋_GB2312" w:eastAsia="仿宋_GB2312"/>
          <w:color w:val="auto"/>
          <w:sz w:val="24"/>
          <w:highlight w:val="none"/>
        </w:rPr>
        <w:t>[争议解决]约定处理。</w:t>
      </w:r>
    </w:p>
    <w:p>
      <w:pPr>
        <w:pStyle w:val="54"/>
        <w:widowControl/>
        <w:numPr>
          <w:ilvl w:val="0"/>
          <w:numId w:val="0"/>
        </w:numPr>
        <w:rPr>
          <w:b w:val="0"/>
          <w:bCs/>
          <w:color w:val="auto"/>
          <w:highlight w:val="none"/>
        </w:rPr>
      </w:pPr>
      <w:bookmarkStart w:id="1076" w:name="_Toc54862323"/>
      <w:r>
        <w:rPr>
          <w:rFonts w:hint="eastAsia"/>
          <w:b w:val="0"/>
          <w:bCs/>
          <w:color w:val="auto"/>
          <w:highlight w:val="none"/>
        </w:rPr>
        <w:t>1</w:t>
      </w:r>
      <w:r>
        <w:rPr>
          <w:b w:val="0"/>
          <w:bCs/>
          <w:color w:val="auto"/>
          <w:highlight w:val="none"/>
        </w:rPr>
        <w:t xml:space="preserve">9.3 </w:t>
      </w:r>
      <w:r>
        <w:rPr>
          <w:rFonts w:hint="eastAsia"/>
          <w:b w:val="0"/>
          <w:bCs/>
          <w:color w:val="auto"/>
          <w:highlight w:val="none"/>
        </w:rPr>
        <w:t>发包人索赔的处理程序</w:t>
      </w:r>
      <w:bookmarkEnd w:id="1076"/>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承包人收到发包人提交的索赔报告后，应及时审查索赔报告的内容、查验发包人证明材料；</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pPr>
        <w:ind w:firstLine="600"/>
        <w:rPr>
          <w:rFonts w:ascii="仿宋_GB2312" w:eastAsia="仿宋_GB2312"/>
          <w:color w:val="auto"/>
          <w:sz w:val="24"/>
          <w:highlight w:val="none"/>
        </w:rPr>
      </w:pPr>
      <w:r>
        <w:rPr>
          <w:rFonts w:hint="eastAsia" w:ascii="仿宋_GB2312" w:eastAsia="仿宋_GB2312"/>
          <w:color w:val="auto"/>
          <w:sz w:val="24"/>
          <w:highlight w:val="none"/>
        </w:rPr>
        <w:t>（3） 发包人接受索赔处理结果的，发包人可从应支付给承包人的合同价款中扣除赔付的金额或延长缺陷责任期；发包人不接受索赔处理结果的，按第</w:t>
      </w:r>
      <w:r>
        <w:rPr>
          <w:rFonts w:ascii="仿宋_GB2312" w:eastAsia="仿宋_GB2312"/>
          <w:color w:val="auto"/>
          <w:sz w:val="24"/>
          <w:highlight w:val="none"/>
        </w:rPr>
        <w:t>20条</w:t>
      </w:r>
      <w:r>
        <w:rPr>
          <w:rFonts w:hint="eastAsia" w:ascii="仿宋_GB2312" w:eastAsia="仿宋_GB2312"/>
          <w:color w:val="auto"/>
          <w:sz w:val="24"/>
          <w:highlight w:val="none"/>
        </w:rPr>
        <w:t>[争议解决]约定处理。</w:t>
      </w:r>
    </w:p>
    <w:p>
      <w:pPr>
        <w:pStyle w:val="54"/>
        <w:widowControl/>
        <w:numPr>
          <w:ilvl w:val="0"/>
          <w:numId w:val="0"/>
        </w:numPr>
        <w:rPr>
          <w:b w:val="0"/>
          <w:bCs/>
          <w:color w:val="auto"/>
          <w:highlight w:val="none"/>
        </w:rPr>
      </w:pPr>
      <w:bookmarkStart w:id="1077" w:name="_Toc54862324"/>
      <w:r>
        <w:rPr>
          <w:rFonts w:hint="eastAsia"/>
          <w:b w:val="0"/>
          <w:bCs/>
          <w:color w:val="auto"/>
          <w:highlight w:val="none"/>
        </w:rPr>
        <w:t>1</w:t>
      </w:r>
      <w:r>
        <w:rPr>
          <w:b w:val="0"/>
          <w:bCs/>
          <w:color w:val="auto"/>
          <w:highlight w:val="none"/>
        </w:rPr>
        <w:t xml:space="preserve">9.4 </w:t>
      </w:r>
      <w:r>
        <w:rPr>
          <w:rFonts w:hint="eastAsia"/>
          <w:b w:val="0"/>
          <w:bCs/>
          <w:color w:val="auto"/>
          <w:highlight w:val="none"/>
        </w:rPr>
        <w:t>提出索赔的期限</w:t>
      </w:r>
      <w:bookmarkEnd w:id="1077"/>
    </w:p>
    <w:p>
      <w:pPr>
        <w:ind w:firstLine="600"/>
        <w:rPr>
          <w:rFonts w:ascii="仿宋_GB2312" w:eastAsia="仿宋_GB2312"/>
          <w:color w:val="auto"/>
          <w:sz w:val="24"/>
          <w:highlight w:val="none"/>
        </w:rPr>
      </w:pPr>
      <w:r>
        <w:rPr>
          <w:rFonts w:hint="eastAsia" w:ascii="仿宋_GB2312" w:eastAsia="仿宋_GB2312"/>
          <w:color w:val="auto"/>
          <w:sz w:val="24"/>
          <w:highlight w:val="none"/>
        </w:rPr>
        <w:t>（1） 承包人按第</w:t>
      </w:r>
      <w:r>
        <w:rPr>
          <w:rFonts w:ascii="仿宋_GB2312" w:eastAsia="仿宋_GB2312"/>
          <w:color w:val="auto"/>
          <w:sz w:val="24"/>
          <w:highlight w:val="none"/>
        </w:rPr>
        <w:t>14.5</w:t>
      </w:r>
      <w:r>
        <w:rPr>
          <w:rFonts w:hint="eastAsia" w:ascii="仿宋_GB2312" w:eastAsia="仿宋_GB2312"/>
          <w:color w:val="auto"/>
          <w:sz w:val="24"/>
          <w:highlight w:val="none"/>
        </w:rPr>
        <w:t>款[竣工结算</w:t>
      </w:r>
      <w:bookmarkStart w:id="1078" w:name="_Ref3826634"/>
      <w:bookmarkStart w:id="1079" w:name="_Ref3826629"/>
      <w:r>
        <w:rPr>
          <w:rFonts w:hint="eastAsia" w:ascii="仿宋_GB2312" w:eastAsia="仿宋_GB2312"/>
          <w:color w:val="auto"/>
          <w:sz w:val="24"/>
          <w:highlight w:val="none"/>
        </w:rPr>
        <w:t>]约定接收竣工付款证书后，应被认为已无权再提出在合同工程接收证书颁发前所发生的任何索赔。</w:t>
      </w:r>
    </w:p>
    <w:p>
      <w:pPr>
        <w:ind w:firstLine="600"/>
        <w:rPr>
          <w:rFonts w:ascii="仿宋_GB2312" w:eastAsia="仿宋_GB2312"/>
          <w:color w:val="auto"/>
          <w:sz w:val="24"/>
          <w:highlight w:val="none"/>
        </w:rPr>
      </w:pPr>
      <w:r>
        <w:rPr>
          <w:rFonts w:hint="eastAsia" w:ascii="仿宋_GB2312" w:eastAsia="仿宋_GB2312"/>
          <w:color w:val="auto"/>
          <w:sz w:val="24"/>
          <w:highlight w:val="none"/>
        </w:rPr>
        <w:t>（2） 承包人按第</w:t>
      </w:r>
      <w:r>
        <w:rPr>
          <w:rFonts w:ascii="仿宋_GB2312" w:eastAsia="仿宋_GB2312"/>
          <w:color w:val="auto"/>
          <w:sz w:val="24"/>
          <w:highlight w:val="none"/>
        </w:rPr>
        <w:t>14.7</w:t>
      </w:r>
      <w:r>
        <w:rPr>
          <w:rFonts w:hint="eastAsia" w:ascii="仿宋_GB2312" w:eastAsia="仿宋_GB2312"/>
          <w:color w:val="auto"/>
          <w:sz w:val="24"/>
          <w:highlight w:val="none"/>
        </w:rPr>
        <w:t>款[</w:t>
      </w:r>
      <w:r>
        <w:rPr>
          <w:rFonts w:ascii="仿宋_GB2312" w:eastAsia="仿宋_GB2312"/>
          <w:color w:val="auto"/>
          <w:sz w:val="24"/>
          <w:highlight w:val="none"/>
        </w:rPr>
        <w:t>最终结清</w:t>
      </w:r>
      <w:r>
        <w:rPr>
          <w:rFonts w:hint="eastAsia" w:ascii="仿宋_GB2312" w:eastAsia="仿宋_GB2312"/>
          <w:color w:val="auto"/>
          <w:sz w:val="24"/>
          <w:highlight w:val="none"/>
        </w:rPr>
        <w:t>]提交的最终结清申请单中，只限于提出工程接收证书颁发后发生的索赔。提出索赔的期限均自接受最终结清证书时终止。</w:t>
      </w:r>
      <w:bookmarkEnd w:id="1078"/>
      <w:bookmarkEnd w:id="1079"/>
    </w:p>
    <w:p>
      <w:pPr>
        <w:pStyle w:val="42"/>
        <w:numPr>
          <w:ilvl w:val="0"/>
          <w:numId w:val="0"/>
        </w:numPr>
        <w:wordWrap/>
        <w:topLinePunct w:val="0"/>
        <w:rPr>
          <w:b w:val="0"/>
          <w:bCs/>
          <w:color w:val="auto"/>
          <w:sz w:val="24"/>
          <w:szCs w:val="24"/>
          <w:highlight w:val="none"/>
        </w:rPr>
      </w:pPr>
      <w:bookmarkStart w:id="1080" w:name="_Toc54862325"/>
      <w:bookmarkStart w:id="1081" w:name="_Ref532142075"/>
      <w:bookmarkStart w:id="1082" w:name="_Ref532197861"/>
      <w:r>
        <w:rPr>
          <w:rFonts w:hint="eastAsia"/>
          <w:b w:val="0"/>
          <w:bCs/>
          <w:color w:val="auto"/>
          <w:sz w:val="24"/>
          <w:szCs w:val="24"/>
          <w:highlight w:val="none"/>
        </w:rPr>
        <w:t>第2</w:t>
      </w:r>
      <w:r>
        <w:rPr>
          <w:b w:val="0"/>
          <w:bCs/>
          <w:color w:val="auto"/>
          <w:sz w:val="24"/>
          <w:szCs w:val="24"/>
          <w:highlight w:val="none"/>
        </w:rPr>
        <w:t>0</w:t>
      </w:r>
      <w:r>
        <w:rPr>
          <w:rFonts w:hint="eastAsia"/>
          <w:b w:val="0"/>
          <w:bCs/>
          <w:color w:val="auto"/>
          <w:sz w:val="24"/>
          <w:szCs w:val="24"/>
          <w:highlight w:val="none"/>
        </w:rPr>
        <w:t>条 争议解决</w:t>
      </w:r>
      <w:bookmarkEnd w:id="1080"/>
      <w:bookmarkEnd w:id="1081"/>
      <w:bookmarkEnd w:id="1082"/>
      <w:r>
        <w:rPr>
          <w:rFonts w:hint="eastAsia"/>
          <w:b w:val="0"/>
          <w:bCs/>
          <w:color w:val="auto"/>
          <w:sz w:val="24"/>
          <w:szCs w:val="24"/>
          <w:highlight w:val="none"/>
        </w:rPr>
        <w:t xml:space="preserve"> </w:t>
      </w:r>
    </w:p>
    <w:p>
      <w:pPr>
        <w:pStyle w:val="54"/>
        <w:widowControl/>
        <w:numPr>
          <w:ilvl w:val="0"/>
          <w:numId w:val="0"/>
        </w:numPr>
        <w:rPr>
          <w:b w:val="0"/>
          <w:bCs/>
          <w:color w:val="auto"/>
          <w:highlight w:val="none"/>
        </w:rPr>
      </w:pPr>
      <w:bookmarkStart w:id="1083" w:name="_Ref415507198"/>
      <w:bookmarkStart w:id="1084" w:name="_Toc54862326"/>
      <w:r>
        <w:rPr>
          <w:rFonts w:hint="eastAsia"/>
          <w:b w:val="0"/>
          <w:bCs/>
          <w:color w:val="auto"/>
          <w:highlight w:val="none"/>
        </w:rPr>
        <w:t>2</w:t>
      </w:r>
      <w:r>
        <w:rPr>
          <w:b w:val="0"/>
          <w:bCs/>
          <w:color w:val="auto"/>
          <w:highlight w:val="none"/>
        </w:rPr>
        <w:t xml:space="preserve">0.1 </w:t>
      </w:r>
      <w:r>
        <w:rPr>
          <w:rFonts w:hint="eastAsia"/>
          <w:b w:val="0"/>
          <w:bCs/>
          <w:color w:val="auto"/>
          <w:highlight w:val="none"/>
        </w:rPr>
        <w:t>和解</w:t>
      </w:r>
      <w:bookmarkEnd w:id="1083"/>
      <w:bookmarkEnd w:id="1084"/>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合同当事人可以就争议自行和解，自行和解达成协议的经双方签字并盖章后作为合同补充文件，双方均应遵照执行。</w:t>
      </w:r>
    </w:p>
    <w:p>
      <w:pPr>
        <w:pStyle w:val="54"/>
        <w:widowControl/>
        <w:numPr>
          <w:ilvl w:val="0"/>
          <w:numId w:val="0"/>
        </w:numPr>
        <w:rPr>
          <w:b w:val="0"/>
          <w:bCs/>
          <w:color w:val="auto"/>
          <w:highlight w:val="none"/>
        </w:rPr>
      </w:pPr>
      <w:bookmarkStart w:id="1085" w:name="_Toc54862327"/>
      <w:r>
        <w:rPr>
          <w:rFonts w:hint="eastAsia"/>
          <w:b w:val="0"/>
          <w:bCs/>
          <w:color w:val="auto"/>
          <w:highlight w:val="none"/>
        </w:rPr>
        <w:t>2</w:t>
      </w:r>
      <w:r>
        <w:rPr>
          <w:b w:val="0"/>
          <w:bCs/>
          <w:color w:val="auto"/>
          <w:highlight w:val="none"/>
        </w:rPr>
        <w:t xml:space="preserve">0.2 </w:t>
      </w:r>
      <w:r>
        <w:rPr>
          <w:rFonts w:hint="eastAsia"/>
          <w:b w:val="0"/>
          <w:bCs/>
          <w:color w:val="auto"/>
          <w:highlight w:val="none"/>
        </w:rPr>
        <w:t>调解</w:t>
      </w:r>
      <w:bookmarkEnd w:id="1085"/>
      <w:r>
        <w:rPr>
          <w:rFonts w:hint="eastAsia"/>
          <w:b w:val="0"/>
          <w:bCs/>
          <w:color w:val="auto"/>
          <w:highlight w:val="non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合同当事人可以就争议请求建设行政主管部门、行业协会或其他第三方进行调解，调解达成协议的，经双方签字盖章后作为合同补充文件，双方均应遵照执行。</w:t>
      </w:r>
    </w:p>
    <w:p>
      <w:pPr>
        <w:pStyle w:val="54"/>
        <w:widowControl/>
        <w:numPr>
          <w:ilvl w:val="0"/>
          <w:numId w:val="0"/>
        </w:numPr>
        <w:rPr>
          <w:b w:val="0"/>
          <w:bCs/>
          <w:color w:val="auto"/>
          <w:highlight w:val="none"/>
        </w:rPr>
      </w:pPr>
      <w:bookmarkStart w:id="1086" w:name="_Ref532221527"/>
      <w:bookmarkStart w:id="1087" w:name="_Toc54862328"/>
      <w:bookmarkStart w:id="1088" w:name="_Ref532221532"/>
      <w:r>
        <w:rPr>
          <w:rFonts w:hint="eastAsia"/>
          <w:b w:val="0"/>
          <w:bCs/>
          <w:color w:val="auto"/>
          <w:highlight w:val="none"/>
        </w:rPr>
        <w:t>2</w:t>
      </w:r>
      <w:r>
        <w:rPr>
          <w:b w:val="0"/>
          <w:bCs/>
          <w:color w:val="auto"/>
          <w:highlight w:val="none"/>
        </w:rPr>
        <w:t xml:space="preserve">0.3 </w:t>
      </w:r>
      <w:r>
        <w:rPr>
          <w:rFonts w:hint="eastAsia"/>
          <w:b w:val="0"/>
          <w:bCs/>
          <w:color w:val="auto"/>
          <w:highlight w:val="none"/>
        </w:rPr>
        <w:t>争议评审</w:t>
      </w:r>
      <w:bookmarkEnd w:id="1086"/>
      <w:bookmarkEnd w:id="1087"/>
      <w:bookmarkEnd w:id="1088"/>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合同当事人在专用合同条件中约定采取争议评审方式及评审规则解决争议的，按下列约定执行：</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2</w:t>
      </w:r>
      <w:r>
        <w:rPr>
          <w:rFonts w:ascii="仿宋_GB2312" w:eastAsia="仿宋_GB2312"/>
          <w:color w:val="auto"/>
          <w:szCs w:val="24"/>
          <w:highlight w:val="none"/>
        </w:rPr>
        <w:t xml:space="preserve">0.3.1 </w:t>
      </w:r>
      <w:r>
        <w:rPr>
          <w:rFonts w:hint="eastAsia" w:ascii="仿宋_GB2312" w:eastAsia="仿宋_GB2312"/>
          <w:color w:val="auto"/>
          <w:szCs w:val="24"/>
          <w:highlight w:val="none"/>
        </w:rPr>
        <w:t>争议评审小组的确定</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ind w:firstLine="600"/>
        <w:rPr>
          <w:rFonts w:ascii="仿宋_GB2312" w:eastAsia="仿宋_GB2312"/>
          <w:color w:val="auto"/>
          <w:sz w:val="24"/>
          <w:highlight w:val="none"/>
        </w:rPr>
      </w:pPr>
      <w:r>
        <w:rPr>
          <w:rFonts w:hint="eastAsia" w:ascii="仿宋_GB2312" w:eastAsia="仿宋_GB2312"/>
          <w:color w:val="auto"/>
          <w:sz w:val="24"/>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ind w:firstLine="600"/>
        <w:rPr>
          <w:rFonts w:ascii="仿宋_GB2312" w:eastAsia="仿宋_GB2312"/>
          <w:color w:val="auto"/>
          <w:sz w:val="24"/>
          <w:highlight w:val="none"/>
        </w:rPr>
      </w:pPr>
      <w:r>
        <w:rPr>
          <w:rFonts w:hint="eastAsia" w:ascii="仿宋_GB2312" w:eastAsia="仿宋_GB2312"/>
          <w:color w:val="auto"/>
          <w:sz w:val="24"/>
          <w:highlight w:val="none"/>
        </w:rPr>
        <w:t>除专用合同条件另有约定外，争议评审员报酬由发包人和承包人各承担一半。</w:t>
      </w:r>
    </w:p>
    <w:p>
      <w:pPr>
        <w:pStyle w:val="55"/>
        <w:numPr>
          <w:ilvl w:val="0"/>
          <w:numId w:val="0"/>
        </w:numPr>
        <w:rPr>
          <w:rFonts w:ascii="仿宋_GB2312" w:eastAsia="仿宋_GB2312"/>
          <w:color w:val="auto"/>
          <w:szCs w:val="24"/>
          <w:highlight w:val="none"/>
        </w:rPr>
      </w:pPr>
      <w:bookmarkStart w:id="1089" w:name="_Ref532287270"/>
      <w:r>
        <w:rPr>
          <w:rFonts w:hint="eastAsia" w:ascii="仿宋_GB2312" w:eastAsia="仿宋_GB2312"/>
          <w:color w:val="auto"/>
          <w:szCs w:val="24"/>
          <w:highlight w:val="none"/>
        </w:rPr>
        <w:t>2</w:t>
      </w:r>
      <w:r>
        <w:rPr>
          <w:rFonts w:ascii="仿宋_GB2312" w:eastAsia="仿宋_GB2312"/>
          <w:color w:val="auto"/>
          <w:szCs w:val="24"/>
          <w:highlight w:val="none"/>
        </w:rPr>
        <w:t xml:space="preserve">0.3.2 </w:t>
      </w:r>
      <w:r>
        <w:rPr>
          <w:rFonts w:hint="eastAsia" w:ascii="仿宋_GB2312" w:eastAsia="仿宋_GB2312"/>
          <w:color w:val="auto"/>
          <w:szCs w:val="24"/>
          <w:highlight w:val="none"/>
        </w:rPr>
        <w:t>争议的避免</w:t>
      </w:r>
      <w:bookmarkEnd w:id="1089"/>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合同当事人协商一致，可以共同书面请求争议评审小组，就合同履行过程中可能出现争议的情况提供协助或进行非正式讨论，争议评审小组应给出公正的意见或建议。</w:t>
      </w:r>
    </w:p>
    <w:p>
      <w:pPr>
        <w:ind w:firstLine="600"/>
        <w:rPr>
          <w:rFonts w:ascii="仿宋_GB2312" w:eastAsia="仿宋_GB2312"/>
          <w:color w:val="auto"/>
          <w:sz w:val="24"/>
          <w:highlight w:val="none"/>
        </w:rPr>
      </w:pPr>
      <w:r>
        <w:rPr>
          <w:rFonts w:hint="eastAsia" w:ascii="仿宋_GB2312" w:eastAsia="仿宋_GB2312"/>
          <w:color w:val="auto"/>
          <w:sz w:val="24"/>
          <w:highlight w:val="none"/>
        </w:rPr>
        <w:t>此类协助或非正式讨论可在任何会议、施工现场视察或其他场合进行，并且除专用合同条件另有约定外，发包人和承包人均应出席。</w:t>
      </w:r>
    </w:p>
    <w:p>
      <w:pPr>
        <w:ind w:firstLine="600"/>
        <w:rPr>
          <w:rFonts w:ascii="仿宋_GB2312" w:eastAsia="仿宋_GB2312"/>
          <w:color w:val="auto"/>
          <w:sz w:val="24"/>
          <w:highlight w:val="none"/>
        </w:rPr>
      </w:pPr>
      <w:r>
        <w:rPr>
          <w:rFonts w:hint="eastAsia" w:ascii="仿宋_GB2312" w:eastAsia="仿宋_GB2312"/>
          <w:color w:val="auto"/>
          <w:sz w:val="24"/>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55"/>
        <w:numPr>
          <w:ilvl w:val="0"/>
          <w:numId w:val="0"/>
        </w:numPr>
        <w:rPr>
          <w:rFonts w:ascii="仿宋_GB2312" w:eastAsia="仿宋_GB2312"/>
          <w:color w:val="auto"/>
          <w:szCs w:val="24"/>
          <w:highlight w:val="none"/>
        </w:rPr>
      </w:pPr>
      <w:bookmarkStart w:id="1090" w:name="_Ref4695594"/>
      <w:r>
        <w:rPr>
          <w:rFonts w:hint="eastAsia" w:ascii="仿宋_GB2312" w:eastAsia="仿宋_GB2312"/>
          <w:color w:val="auto"/>
          <w:szCs w:val="24"/>
          <w:highlight w:val="none"/>
        </w:rPr>
        <w:t>2</w:t>
      </w:r>
      <w:r>
        <w:rPr>
          <w:rFonts w:ascii="仿宋_GB2312" w:eastAsia="仿宋_GB2312"/>
          <w:color w:val="auto"/>
          <w:szCs w:val="24"/>
          <w:highlight w:val="none"/>
        </w:rPr>
        <w:t xml:space="preserve">0.3.3 </w:t>
      </w:r>
      <w:r>
        <w:rPr>
          <w:rFonts w:hint="eastAsia" w:ascii="仿宋_GB2312" w:eastAsia="仿宋_GB2312"/>
          <w:color w:val="auto"/>
          <w:szCs w:val="24"/>
          <w:highlight w:val="none"/>
        </w:rPr>
        <w:t>争议评审小组的决定</w:t>
      </w:r>
      <w:bookmarkEnd w:id="1090"/>
    </w:p>
    <w:p>
      <w:pPr>
        <w:ind w:firstLine="600"/>
        <w:rPr>
          <w:rFonts w:ascii="仿宋_GB2312" w:eastAsia="仿宋_GB2312"/>
          <w:color w:val="auto"/>
          <w:sz w:val="24"/>
          <w:highlight w:val="none"/>
        </w:rPr>
      </w:pPr>
      <w:r>
        <w:rPr>
          <w:rFonts w:hint="eastAsia" w:ascii="仿宋_GB2312" w:eastAsia="仿宋_GB2312"/>
          <w:color w:val="auto"/>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55"/>
        <w:numPr>
          <w:ilvl w:val="0"/>
          <w:numId w:val="0"/>
        </w:numPr>
        <w:rPr>
          <w:rFonts w:ascii="仿宋_GB2312" w:eastAsia="仿宋_GB2312"/>
          <w:color w:val="auto"/>
          <w:szCs w:val="24"/>
          <w:highlight w:val="none"/>
        </w:rPr>
      </w:pPr>
      <w:r>
        <w:rPr>
          <w:rFonts w:hint="eastAsia" w:ascii="仿宋_GB2312" w:eastAsia="仿宋_GB2312"/>
          <w:color w:val="auto"/>
          <w:szCs w:val="24"/>
          <w:highlight w:val="none"/>
        </w:rPr>
        <w:t>2</w:t>
      </w:r>
      <w:r>
        <w:rPr>
          <w:rFonts w:ascii="仿宋_GB2312" w:eastAsia="仿宋_GB2312"/>
          <w:color w:val="auto"/>
          <w:szCs w:val="24"/>
          <w:highlight w:val="none"/>
        </w:rPr>
        <w:t xml:space="preserve">0.3.4 </w:t>
      </w:r>
      <w:r>
        <w:rPr>
          <w:rFonts w:hint="eastAsia" w:ascii="仿宋_GB2312" w:eastAsia="仿宋_GB2312"/>
          <w:color w:val="auto"/>
          <w:szCs w:val="24"/>
          <w:highlight w:val="none"/>
        </w:rPr>
        <w:t>争议评审小组决定的效力</w:t>
      </w:r>
    </w:p>
    <w:p>
      <w:pPr>
        <w:ind w:firstLine="600"/>
        <w:rPr>
          <w:rFonts w:ascii="仿宋_GB2312" w:eastAsia="仿宋_GB2312"/>
          <w:color w:val="auto"/>
          <w:sz w:val="24"/>
          <w:highlight w:val="none"/>
        </w:rPr>
      </w:pPr>
      <w:r>
        <w:rPr>
          <w:rFonts w:hint="eastAsia" w:ascii="仿宋_GB2312" w:eastAsia="仿宋_GB2312"/>
          <w:color w:val="auto"/>
          <w:sz w:val="24"/>
          <w:highlight w:val="none"/>
        </w:rPr>
        <w:t>争议评审小组作出的书面决定经合同当事人签字确认后，对双方具有约束力，双方应遵照执行。</w:t>
      </w:r>
    </w:p>
    <w:p>
      <w:pPr>
        <w:ind w:firstLine="600"/>
        <w:rPr>
          <w:rFonts w:ascii="仿宋_GB2312" w:eastAsia="仿宋_GB2312"/>
          <w:color w:val="auto"/>
          <w:sz w:val="24"/>
          <w:highlight w:val="none"/>
        </w:rPr>
      </w:pPr>
      <w:r>
        <w:rPr>
          <w:rFonts w:hint="eastAsia" w:ascii="仿宋_GB2312" w:eastAsia="仿宋_GB2312"/>
          <w:color w:val="auto"/>
          <w:sz w:val="24"/>
          <w:highlight w:val="none"/>
        </w:rPr>
        <w:t>任何一方当事人不接受争议评审小组决定或不履行争议评审小组决定的，双方可选择采用其他争议解决方式。</w:t>
      </w:r>
    </w:p>
    <w:p>
      <w:pPr>
        <w:ind w:firstLine="600"/>
        <w:rPr>
          <w:rFonts w:ascii="仿宋_GB2312" w:eastAsia="仿宋_GB2312"/>
          <w:color w:val="auto"/>
          <w:sz w:val="24"/>
          <w:highlight w:val="none"/>
        </w:rPr>
      </w:pPr>
      <w:r>
        <w:rPr>
          <w:rFonts w:hint="eastAsia" w:ascii="仿宋_GB2312" w:eastAsia="仿宋_GB2312"/>
          <w:color w:val="auto"/>
          <w:sz w:val="24"/>
          <w:highlight w:val="none"/>
        </w:rPr>
        <w:t>任何一方当事人不接受争议评审小组的决定，并不影响暂时执行争议评审小组的决定，直到在后续的采用其他争议解决方式中对争议评审小组的决定进行了改变。</w:t>
      </w:r>
    </w:p>
    <w:p>
      <w:pPr>
        <w:pStyle w:val="54"/>
        <w:widowControl/>
        <w:numPr>
          <w:ilvl w:val="0"/>
          <w:numId w:val="0"/>
        </w:numPr>
        <w:rPr>
          <w:b w:val="0"/>
          <w:bCs/>
          <w:color w:val="auto"/>
          <w:highlight w:val="none"/>
        </w:rPr>
      </w:pPr>
      <w:bookmarkStart w:id="1091" w:name="_Toc54862329"/>
      <w:bookmarkStart w:id="1092" w:name="_Ref532221752"/>
      <w:bookmarkStart w:id="1093" w:name="_Ref532221748"/>
      <w:r>
        <w:rPr>
          <w:rFonts w:hint="eastAsia"/>
          <w:b w:val="0"/>
          <w:bCs/>
          <w:color w:val="auto"/>
          <w:highlight w:val="none"/>
        </w:rPr>
        <w:t>2</w:t>
      </w:r>
      <w:r>
        <w:rPr>
          <w:b w:val="0"/>
          <w:bCs/>
          <w:color w:val="auto"/>
          <w:highlight w:val="none"/>
        </w:rPr>
        <w:t xml:space="preserve">0.4 </w:t>
      </w:r>
      <w:r>
        <w:rPr>
          <w:rFonts w:hint="eastAsia"/>
          <w:b w:val="0"/>
          <w:bCs/>
          <w:color w:val="auto"/>
          <w:highlight w:val="none"/>
        </w:rPr>
        <w:t>仲裁或诉讼</w:t>
      </w:r>
      <w:bookmarkEnd w:id="1091"/>
      <w:bookmarkEnd w:id="1092"/>
      <w:bookmarkEnd w:id="1093"/>
    </w:p>
    <w:p>
      <w:pPr>
        <w:ind w:firstLine="600"/>
        <w:rPr>
          <w:rFonts w:ascii="仿宋_GB2312" w:eastAsia="仿宋_GB2312"/>
          <w:color w:val="auto"/>
          <w:sz w:val="24"/>
          <w:highlight w:val="none"/>
        </w:rPr>
      </w:pPr>
      <w:r>
        <w:rPr>
          <w:rFonts w:hint="eastAsia" w:ascii="仿宋_GB2312" w:eastAsia="仿宋_GB2312"/>
          <w:color w:val="auto"/>
          <w:sz w:val="24"/>
          <w:highlight w:val="none"/>
        </w:rPr>
        <w:t>因合同及合同有关事项产生的争议，合同当事人可以在专用合同条件中约定以下一种方式解决争议：</w:t>
      </w:r>
    </w:p>
    <w:p>
      <w:pPr>
        <w:pStyle w:val="57"/>
        <w:numPr>
          <w:ilvl w:val="0"/>
          <w:numId w:val="0"/>
        </w:numPr>
        <w:ind w:left="841"/>
        <w:rPr>
          <w:rFonts w:ascii="仿宋_GB2312" w:eastAsia="仿宋_GB2312"/>
          <w:color w:val="auto"/>
          <w:szCs w:val="24"/>
          <w:highlight w:val="none"/>
        </w:rPr>
      </w:pPr>
      <w:r>
        <w:rPr>
          <w:rFonts w:hint="eastAsia" w:ascii="仿宋_GB2312" w:eastAsia="仿宋_GB2312"/>
          <w:color w:val="auto"/>
          <w:szCs w:val="24"/>
          <w:highlight w:val="none"/>
        </w:rPr>
        <w:t>（1） 向约定的仲裁委员会申请仲裁；</w:t>
      </w:r>
    </w:p>
    <w:p>
      <w:pPr>
        <w:pStyle w:val="57"/>
        <w:numPr>
          <w:ilvl w:val="0"/>
          <w:numId w:val="0"/>
        </w:numPr>
        <w:ind w:left="841"/>
        <w:rPr>
          <w:rFonts w:ascii="仿宋_GB2312" w:eastAsia="仿宋_GB2312"/>
          <w:color w:val="auto"/>
          <w:szCs w:val="24"/>
          <w:highlight w:val="none"/>
        </w:rPr>
      </w:pPr>
      <w:r>
        <w:rPr>
          <w:rFonts w:hint="eastAsia" w:ascii="仿宋_GB2312" w:eastAsia="仿宋_GB2312"/>
          <w:color w:val="auto"/>
          <w:szCs w:val="24"/>
          <w:highlight w:val="none"/>
        </w:rPr>
        <w:t>（2） 向有管辖权的人民法院起诉。</w:t>
      </w:r>
    </w:p>
    <w:p>
      <w:pPr>
        <w:pStyle w:val="54"/>
        <w:widowControl/>
        <w:numPr>
          <w:ilvl w:val="0"/>
          <w:numId w:val="0"/>
        </w:numPr>
        <w:rPr>
          <w:b w:val="0"/>
          <w:bCs/>
          <w:color w:val="auto"/>
          <w:highlight w:val="none"/>
        </w:rPr>
      </w:pPr>
      <w:bookmarkStart w:id="1094" w:name="_Toc54862330"/>
      <w:r>
        <w:rPr>
          <w:rFonts w:hint="eastAsia"/>
          <w:b w:val="0"/>
          <w:bCs/>
          <w:color w:val="auto"/>
          <w:highlight w:val="none"/>
        </w:rPr>
        <w:t>2</w:t>
      </w:r>
      <w:r>
        <w:rPr>
          <w:b w:val="0"/>
          <w:bCs/>
          <w:color w:val="auto"/>
          <w:highlight w:val="none"/>
        </w:rPr>
        <w:t xml:space="preserve">0.5 </w:t>
      </w:r>
      <w:r>
        <w:rPr>
          <w:rFonts w:hint="eastAsia"/>
          <w:b w:val="0"/>
          <w:bCs/>
          <w:color w:val="auto"/>
          <w:highlight w:val="none"/>
        </w:rPr>
        <w:t>争议解决条款效力</w:t>
      </w:r>
      <w:bookmarkEnd w:id="1094"/>
    </w:p>
    <w:p>
      <w:pPr>
        <w:ind w:firstLine="600"/>
        <w:rPr>
          <w:rFonts w:ascii="仿宋_GB2312" w:eastAsia="仿宋_GB2312"/>
          <w:color w:val="auto"/>
          <w:sz w:val="24"/>
          <w:highlight w:val="none"/>
        </w:rPr>
      </w:pPr>
      <w:r>
        <w:rPr>
          <w:rFonts w:hint="eastAsia" w:ascii="仿宋_GB2312" w:eastAsia="仿宋_GB2312"/>
          <w:color w:val="auto"/>
          <w:sz w:val="24"/>
          <w:highlight w:val="none"/>
        </w:rPr>
        <w:t>合同有关争议解决的条款独立存在，合同的不生效、无效、被撤销或者终止的，不影响合同中有关争议解决条款的效力。</w:t>
      </w:r>
    </w:p>
    <w:p>
      <w:pPr>
        <w:rPr>
          <w:color w:val="auto"/>
          <w:highlight w:val="none"/>
        </w:rPr>
      </w:pPr>
    </w:p>
    <w:p>
      <w:pPr>
        <w:pStyle w:val="38"/>
        <w:keepNext w:val="0"/>
        <w:adjustRightInd w:val="0"/>
        <w:snapToGrid w:val="0"/>
        <w:spacing w:before="0" w:after="50" w:line="360" w:lineRule="auto"/>
        <w:jc w:val="center"/>
        <w:outlineLvl w:val="9"/>
        <w:rPr>
          <w:rFonts w:hint="eastAsia" w:ascii="华文中宋" w:hAnsi="华文中宋" w:eastAsia="华文中宋"/>
          <w:color w:val="auto"/>
          <w:sz w:val="44"/>
          <w:szCs w:val="52"/>
          <w:highlight w:val="none"/>
          <w:lang w:eastAsia="zh-CN"/>
        </w:rPr>
      </w:pPr>
      <w:bookmarkStart w:id="1095" w:name="_Toc54862331"/>
    </w:p>
    <w:p>
      <w:pPr>
        <w:pStyle w:val="38"/>
        <w:keepNext w:val="0"/>
        <w:adjustRightInd w:val="0"/>
        <w:snapToGrid w:val="0"/>
        <w:spacing w:before="0" w:after="50" w:line="360" w:lineRule="auto"/>
        <w:jc w:val="center"/>
        <w:rPr>
          <w:rFonts w:ascii="华文中宋" w:hAnsi="华文中宋" w:eastAsia="华文中宋"/>
          <w:color w:val="auto"/>
          <w:sz w:val="44"/>
          <w:szCs w:val="52"/>
          <w:highlight w:val="none"/>
          <w:lang w:eastAsia="zh-CN"/>
        </w:rPr>
      </w:pPr>
      <w:bookmarkStart w:id="1096" w:name="_Toc2549"/>
      <w:bookmarkStart w:id="1097" w:name="_Toc1943"/>
      <w:r>
        <w:rPr>
          <w:rFonts w:hint="eastAsia" w:ascii="华文中宋" w:hAnsi="华文中宋" w:eastAsia="华文中宋"/>
          <w:color w:val="auto"/>
          <w:sz w:val="44"/>
          <w:szCs w:val="52"/>
          <w:highlight w:val="none"/>
          <w:lang w:eastAsia="zh-CN"/>
        </w:rPr>
        <w:t>第三部分</w:t>
      </w:r>
      <w:r>
        <w:rPr>
          <w:rFonts w:ascii="华文中宋" w:hAnsi="华文中宋" w:eastAsia="华文中宋"/>
          <w:color w:val="auto"/>
          <w:sz w:val="44"/>
          <w:szCs w:val="52"/>
          <w:highlight w:val="none"/>
          <w:lang w:eastAsia="zh-CN"/>
        </w:rPr>
        <w:t xml:space="preserve"> </w:t>
      </w:r>
      <w:r>
        <w:rPr>
          <w:rFonts w:hint="eastAsia" w:ascii="华文中宋" w:hAnsi="华文中宋" w:eastAsia="华文中宋"/>
          <w:color w:val="auto"/>
          <w:sz w:val="44"/>
          <w:szCs w:val="52"/>
          <w:highlight w:val="none"/>
          <w:lang w:eastAsia="zh-CN"/>
        </w:rPr>
        <w:t>专用合同条件</w:t>
      </w:r>
      <w:bookmarkEnd w:id="1095"/>
      <w:bookmarkEnd w:id="1096"/>
      <w:bookmarkEnd w:id="1097"/>
    </w:p>
    <w:p>
      <w:pPr>
        <w:pStyle w:val="41"/>
        <w:jc w:val="center"/>
        <w:rPr>
          <w:rFonts w:ascii="黑体" w:hAnsi="黑体" w:eastAsia="黑体"/>
          <w:b w:val="0"/>
          <w:bCs/>
          <w:color w:val="auto"/>
          <w:sz w:val="32"/>
          <w:szCs w:val="21"/>
          <w:highlight w:val="none"/>
        </w:rPr>
      </w:pPr>
      <w:bookmarkStart w:id="1098" w:name="_Toc54862332"/>
      <w:r>
        <w:rPr>
          <w:rFonts w:hint="eastAsia" w:ascii="黑体" w:hAnsi="黑体" w:eastAsia="黑体"/>
          <w:b w:val="0"/>
          <w:bCs/>
          <w:color w:val="auto"/>
          <w:sz w:val="32"/>
          <w:szCs w:val="21"/>
          <w:highlight w:val="none"/>
        </w:rPr>
        <w:t>第</w:t>
      </w:r>
      <w:r>
        <w:rPr>
          <w:rFonts w:ascii="黑体" w:hAnsi="黑体" w:eastAsia="黑体"/>
          <w:b w:val="0"/>
          <w:bCs/>
          <w:color w:val="auto"/>
          <w:sz w:val="32"/>
          <w:szCs w:val="21"/>
          <w:highlight w:val="none"/>
        </w:rPr>
        <w:t>1条</w:t>
      </w:r>
      <w:r>
        <w:rPr>
          <w:rFonts w:hint="eastAsia" w:ascii="黑体" w:hAnsi="黑体" w:eastAsia="黑体"/>
          <w:b w:val="0"/>
          <w:bCs/>
          <w:color w:val="auto"/>
          <w:sz w:val="32"/>
          <w:szCs w:val="21"/>
          <w:highlight w:val="none"/>
        </w:rPr>
        <w:t xml:space="preserve"> 一般约定</w:t>
      </w:r>
      <w:bookmarkEnd w:id="1098"/>
    </w:p>
    <w:p>
      <w:pPr>
        <w:ind w:firstLine="600"/>
        <w:rPr>
          <w:rFonts w:ascii="黑体" w:hAnsi="黑体" w:eastAsia="黑体"/>
          <w:color w:val="auto"/>
          <w:sz w:val="24"/>
          <w:highlight w:val="none"/>
        </w:rPr>
      </w:pPr>
      <w:r>
        <w:rPr>
          <w:rFonts w:ascii="黑体" w:hAnsi="黑体" w:eastAsia="黑体"/>
          <w:color w:val="auto"/>
          <w:sz w:val="24"/>
          <w:highlight w:val="none"/>
        </w:rPr>
        <w:t xml:space="preserve">1.1 </w:t>
      </w:r>
      <w:r>
        <w:rPr>
          <w:rFonts w:hint="eastAsia" w:ascii="黑体" w:hAnsi="黑体" w:eastAsia="黑体"/>
          <w:color w:val="auto"/>
          <w:sz w:val="24"/>
          <w:highlight w:val="none"/>
        </w:rPr>
        <w:t>词语定义和解释</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1.1.1 </w:t>
      </w:r>
      <w:r>
        <w:rPr>
          <w:rFonts w:hint="eastAsia" w:ascii="仿宋_GB2312" w:eastAsia="仿宋_GB2312"/>
          <w:color w:val="auto"/>
          <w:sz w:val="24"/>
          <w:highlight w:val="none"/>
        </w:rPr>
        <w:t>合同</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1.1.1.10 </w:t>
      </w:r>
      <w:r>
        <w:rPr>
          <w:rFonts w:hint="eastAsia" w:ascii="仿宋_GB2312" w:eastAsia="仿宋_GB2312"/>
          <w:color w:val="auto"/>
          <w:sz w:val="24"/>
          <w:highlight w:val="none"/>
        </w:rPr>
        <w:t>其他合同文件：</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1.1.3 </w:t>
      </w:r>
      <w:r>
        <w:rPr>
          <w:rFonts w:hint="eastAsia" w:ascii="仿宋_GB2312" w:eastAsia="仿宋_GB2312"/>
          <w:color w:val="auto"/>
          <w:sz w:val="24"/>
          <w:highlight w:val="none"/>
        </w:rPr>
        <w:t>工程和设备</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1.1.3.5 </w:t>
      </w:r>
      <w:r>
        <w:rPr>
          <w:rFonts w:hint="eastAsia" w:ascii="仿宋_GB2312" w:eastAsia="仿宋_GB2312"/>
          <w:color w:val="auto"/>
          <w:sz w:val="24"/>
          <w:highlight w:val="none"/>
        </w:rPr>
        <w:t>单位/区段工程的范围：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1.1.3.9 </w:t>
      </w:r>
      <w:r>
        <w:rPr>
          <w:rFonts w:hint="eastAsia" w:ascii="仿宋_GB2312" w:eastAsia="仿宋_GB2312"/>
          <w:color w:val="auto"/>
          <w:sz w:val="24"/>
          <w:highlight w:val="none"/>
        </w:rPr>
        <w:t>作为施工场所组成部分的其他场所包括：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1.1.3.10 </w:t>
      </w:r>
      <w:r>
        <w:rPr>
          <w:rFonts w:hint="eastAsia" w:ascii="仿宋_GB2312" w:eastAsia="仿宋_GB2312"/>
          <w:color w:val="auto"/>
          <w:sz w:val="24"/>
          <w:highlight w:val="none"/>
        </w:rPr>
        <w:t>永久占地包括：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1.1.3.11 </w:t>
      </w:r>
      <w:r>
        <w:rPr>
          <w:rFonts w:hint="eastAsia" w:ascii="仿宋_GB2312" w:eastAsia="仿宋_GB2312"/>
          <w:color w:val="auto"/>
          <w:sz w:val="24"/>
          <w:highlight w:val="none"/>
        </w:rPr>
        <w:t>临时占地包括：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1.2 </w:t>
      </w:r>
      <w:r>
        <w:rPr>
          <w:rFonts w:hint="eastAsia" w:ascii="黑体" w:hAnsi="黑体" w:eastAsia="黑体"/>
          <w:color w:val="auto"/>
          <w:sz w:val="24"/>
          <w:highlight w:val="none"/>
        </w:rPr>
        <w:t>语言文字</w:t>
      </w:r>
    </w:p>
    <w:p>
      <w:pPr>
        <w:ind w:firstLine="600"/>
        <w:rPr>
          <w:rFonts w:ascii="仿宋_GB2312" w:eastAsia="仿宋_GB2312"/>
          <w:color w:val="auto"/>
          <w:sz w:val="24"/>
          <w:highlight w:val="none"/>
        </w:rPr>
      </w:pPr>
      <w:r>
        <w:rPr>
          <w:rFonts w:hint="eastAsia" w:ascii="仿宋_GB2312" w:eastAsia="仿宋_GB2312"/>
          <w:color w:val="auto"/>
          <w:sz w:val="24"/>
          <w:highlight w:val="none"/>
        </w:rPr>
        <w:t>本合同除使用汉语外，还使用</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语言。</w:t>
      </w:r>
    </w:p>
    <w:p>
      <w:pPr>
        <w:ind w:firstLine="600"/>
        <w:rPr>
          <w:rFonts w:ascii="黑体" w:hAnsi="黑体" w:eastAsia="黑体"/>
          <w:color w:val="auto"/>
          <w:sz w:val="24"/>
          <w:highlight w:val="none"/>
        </w:rPr>
      </w:pPr>
      <w:r>
        <w:rPr>
          <w:rFonts w:ascii="黑体" w:hAnsi="黑体" w:eastAsia="黑体"/>
          <w:color w:val="auto"/>
          <w:sz w:val="24"/>
          <w:highlight w:val="none"/>
        </w:rPr>
        <w:t xml:space="preserve">1.3 </w:t>
      </w:r>
      <w:r>
        <w:rPr>
          <w:rFonts w:hint="eastAsia" w:ascii="黑体" w:hAnsi="黑体" w:eastAsia="黑体"/>
          <w:color w:val="auto"/>
          <w:sz w:val="24"/>
          <w:highlight w:val="none"/>
        </w:rPr>
        <w:t>法律</w:t>
      </w:r>
    </w:p>
    <w:p>
      <w:pPr>
        <w:ind w:firstLine="600"/>
        <w:rPr>
          <w:rFonts w:ascii="仿宋_GB2312" w:eastAsia="仿宋_GB2312"/>
          <w:color w:val="auto"/>
          <w:sz w:val="24"/>
          <w:highlight w:val="none"/>
        </w:rPr>
      </w:pPr>
      <w:r>
        <w:rPr>
          <w:rFonts w:hint="eastAsia" w:ascii="仿宋_GB2312" w:eastAsia="仿宋_GB2312"/>
          <w:color w:val="auto"/>
          <w:sz w:val="24"/>
          <w:highlight w:val="none"/>
        </w:rPr>
        <w:t>适用于合同的其他规范性文件：</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1.4 </w:t>
      </w:r>
      <w:r>
        <w:rPr>
          <w:rFonts w:hint="eastAsia" w:ascii="黑体" w:hAnsi="黑体" w:eastAsia="黑体"/>
          <w:color w:val="auto"/>
          <w:sz w:val="24"/>
          <w:highlight w:val="none"/>
        </w:rPr>
        <w:t>标准和规范</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1.4.1 </w:t>
      </w:r>
      <w:r>
        <w:rPr>
          <w:rFonts w:hint="eastAsia" w:ascii="仿宋_GB2312" w:eastAsia="仿宋_GB2312"/>
          <w:color w:val="auto"/>
          <w:sz w:val="24"/>
          <w:highlight w:val="none"/>
        </w:rPr>
        <w:t>适用于本合同的标准、规范（名称）包括：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1.4.2 </w:t>
      </w:r>
      <w:r>
        <w:rPr>
          <w:rFonts w:hint="eastAsia" w:ascii="仿宋_GB2312" w:eastAsia="仿宋_GB2312"/>
          <w:color w:val="auto"/>
          <w:sz w:val="24"/>
          <w:highlight w:val="none"/>
        </w:rPr>
        <w:t>发包人提供的国外标准、规范的名称：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；发包人提供的国外标准、规范的份数：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；发包人提供的国外标准、规范的时间：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1.4.3 </w:t>
      </w:r>
      <w:r>
        <w:rPr>
          <w:rFonts w:hint="eastAsia" w:ascii="仿宋_GB2312" w:eastAsia="仿宋_GB2312"/>
          <w:color w:val="auto"/>
          <w:sz w:val="24"/>
          <w:highlight w:val="none"/>
        </w:rPr>
        <w:t>没有成文规范、标准规定的约定：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1.4.4 </w:t>
      </w:r>
      <w:r>
        <w:rPr>
          <w:rFonts w:hint="eastAsia" w:ascii="仿宋_GB2312" w:eastAsia="仿宋_GB2312"/>
          <w:color w:val="auto"/>
          <w:sz w:val="24"/>
          <w:highlight w:val="none"/>
        </w:rPr>
        <w:t>发包人对于工程的技术标准、功能要求：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1.5 </w:t>
      </w:r>
      <w:r>
        <w:rPr>
          <w:rFonts w:hint="eastAsia" w:ascii="黑体" w:hAnsi="黑体" w:eastAsia="黑体"/>
          <w:color w:val="auto"/>
          <w:sz w:val="24"/>
          <w:highlight w:val="none"/>
        </w:rPr>
        <w:t>合同文件的优先顺序</w:t>
      </w:r>
    </w:p>
    <w:p>
      <w:pPr>
        <w:ind w:firstLine="600"/>
        <w:rPr>
          <w:rFonts w:ascii="仿宋_GB2312" w:eastAsia="仿宋_GB2312"/>
          <w:color w:val="auto"/>
          <w:sz w:val="24"/>
          <w:highlight w:val="none"/>
        </w:rPr>
      </w:pPr>
      <w:r>
        <w:rPr>
          <w:rFonts w:hint="eastAsia" w:ascii="仿宋_GB2312" w:eastAsia="仿宋_GB2312"/>
          <w:color w:val="auto"/>
          <w:sz w:val="24"/>
          <w:highlight w:val="none"/>
        </w:rPr>
        <w:t>合同文件组成及优先顺序为：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1.6 </w:t>
      </w:r>
      <w:r>
        <w:rPr>
          <w:rFonts w:hint="eastAsia" w:ascii="黑体" w:hAnsi="黑体" w:eastAsia="黑体"/>
          <w:color w:val="auto"/>
          <w:sz w:val="24"/>
          <w:highlight w:val="none"/>
        </w:rPr>
        <w:t>文件的提供和照管</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1.6.1 </w:t>
      </w:r>
      <w:r>
        <w:rPr>
          <w:rFonts w:hint="eastAsia" w:ascii="仿宋_GB2312" w:eastAsia="仿宋_GB2312"/>
          <w:color w:val="auto"/>
          <w:sz w:val="24"/>
          <w:highlight w:val="none"/>
        </w:rPr>
        <w:t>发包人文件的提供</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发包人文件的提供期限、名称、数量和形式：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1.6.2 </w:t>
      </w:r>
      <w:r>
        <w:rPr>
          <w:rFonts w:hint="eastAsia" w:ascii="仿宋_GB2312" w:eastAsia="仿宋_GB2312"/>
          <w:color w:val="auto"/>
          <w:sz w:val="24"/>
          <w:highlight w:val="none"/>
        </w:rPr>
        <w:t>承包人文件的提供</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承包人文件的内容、提供期限、名称、数量和形式：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1.6.4 </w:t>
      </w:r>
      <w:r>
        <w:rPr>
          <w:rFonts w:hint="eastAsia" w:ascii="仿宋_GB2312" w:eastAsia="仿宋_GB2312"/>
          <w:color w:val="auto"/>
          <w:sz w:val="24"/>
          <w:highlight w:val="none"/>
        </w:rPr>
        <w:t>文件的照管</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关于现场文件准备的约定：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黑体" w:hAnsi="黑体" w:eastAsia="黑体"/>
          <w:color w:val="auto"/>
          <w:sz w:val="24"/>
          <w:highlight w:val="none"/>
        </w:rPr>
      </w:pPr>
      <w:r>
        <w:rPr>
          <w:rFonts w:ascii="黑体" w:hAnsi="黑体" w:eastAsia="黑体"/>
          <w:color w:val="auto"/>
          <w:sz w:val="24"/>
          <w:highlight w:val="none"/>
        </w:rPr>
        <w:t xml:space="preserve">1.7 </w:t>
      </w:r>
      <w:r>
        <w:rPr>
          <w:rFonts w:hint="eastAsia" w:ascii="黑体" w:hAnsi="黑体" w:eastAsia="黑体"/>
          <w:color w:val="auto"/>
          <w:sz w:val="24"/>
          <w:highlight w:val="none"/>
        </w:rPr>
        <w:t>联络</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1.7.2 </w:t>
      </w:r>
      <w:r>
        <w:rPr>
          <w:rFonts w:hint="eastAsia" w:ascii="仿宋_GB2312" w:eastAsia="仿宋_GB2312"/>
          <w:color w:val="auto"/>
          <w:sz w:val="24"/>
          <w:highlight w:val="none"/>
        </w:rPr>
        <w:t>发包人指定的送达方式（包括电子传输方式）：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发包人的送达地址：</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 xml:space="preserve">承包人指定的送达方式（包括电子传输方式）：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承包人的送达地址：</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1.10 </w:t>
      </w:r>
      <w:r>
        <w:rPr>
          <w:rFonts w:hint="eastAsia" w:ascii="黑体" w:hAnsi="黑体" w:eastAsia="黑体"/>
          <w:color w:val="auto"/>
          <w:sz w:val="24"/>
          <w:highlight w:val="none"/>
        </w:rPr>
        <w:t>知识产权</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1.10.1 </w:t>
      </w:r>
      <w:r>
        <w:rPr>
          <w:rFonts w:hint="eastAsia" w:ascii="仿宋_GB2312" w:eastAsia="仿宋_GB2312"/>
          <w:color w:val="auto"/>
          <w:sz w:val="24"/>
          <w:highlight w:val="none"/>
        </w:rPr>
        <w:t>由发包人（或以发包人名义）编制的《发包人要求》和其他文件的著作权归属：</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1.10.2 </w:t>
      </w:r>
      <w:r>
        <w:rPr>
          <w:rFonts w:hint="eastAsia" w:ascii="仿宋_GB2312" w:eastAsia="仿宋_GB2312"/>
          <w:color w:val="auto"/>
          <w:sz w:val="24"/>
          <w:highlight w:val="none"/>
        </w:rPr>
        <w:t>由承包人（或以承包人名义）为实施工程所编制的文件、承包人完成的设计工作成果和建造完成的建筑物的知识产权归属：</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1.10.4 </w:t>
      </w:r>
      <w:r>
        <w:rPr>
          <w:rFonts w:hint="eastAsia" w:ascii="仿宋_GB2312" w:eastAsia="仿宋_GB2312"/>
          <w:color w:val="auto"/>
          <w:sz w:val="24"/>
          <w:highlight w:val="none"/>
        </w:rPr>
        <w:t>承包人在投标文件中采用的专利、专有技术、技术秘密的使用费的承担方式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1.11 </w:t>
      </w:r>
      <w:r>
        <w:rPr>
          <w:rFonts w:hint="eastAsia" w:ascii="黑体" w:hAnsi="黑体" w:eastAsia="黑体"/>
          <w:color w:val="auto"/>
          <w:sz w:val="24"/>
          <w:highlight w:val="none"/>
        </w:rPr>
        <w:t>保密</w:t>
      </w:r>
    </w:p>
    <w:p>
      <w:pPr>
        <w:ind w:firstLine="600"/>
        <w:rPr>
          <w:rFonts w:ascii="仿宋_GB2312" w:eastAsia="仿宋_GB2312"/>
          <w:color w:val="auto"/>
          <w:sz w:val="24"/>
          <w:highlight w:val="none"/>
        </w:rPr>
      </w:pPr>
      <w:r>
        <w:rPr>
          <w:rFonts w:hint="eastAsia" w:ascii="仿宋_GB2312" w:eastAsia="仿宋_GB2312"/>
          <w:color w:val="auto"/>
          <w:sz w:val="24"/>
          <w:highlight w:val="none"/>
        </w:rPr>
        <w:t>双方订立的商业保密协议（名称）：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，作为本合同附件。</w:t>
      </w:r>
    </w:p>
    <w:p>
      <w:pPr>
        <w:ind w:firstLine="600"/>
        <w:rPr>
          <w:rFonts w:ascii="仿宋_GB2312" w:eastAsia="仿宋_GB2312"/>
          <w:color w:val="auto"/>
          <w:sz w:val="24"/>
          <w:highlight w:val="none"/>
        </w:rPr>
      </w:pPr>
      <w:r>
        <w:rPr>
          <w:rFonts w:hint="eastAsia" w:ascii="仿宋_GB2312" w:eastAsia="仿宋_GB2312"/>
          <w:color w:val="auto"/>
          <w:sz w:val="24"/>
          <w:highlight w:val="none"/>
        </w:rPr>
        <w:t>双方订立的技术保密协议（名称）：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，作为本合同附件。</w:t>
      </w:r>
    </w:p>
    <w:p>
      <w:pPr>
        <w:ind w:firstLine="600"/>
        <w:rPr>
          <w:rFonts w:ascii="黑体" w:hAnsi="黑体" w:eastAsia="黑体"/>
          <w:color w:val="auto"/>
          <w:sz w:val="24"/>
          <w:highlight w:val="none"/>
        </w:rPr>
      </w:pPr>
      <w:r>
        <w:rPr>
          <w:rFonts w:ascii="黑体" w:hAnsi="黑体" w:eastAsia="黑体"/>
          <w:color w:val="auto"/>
          <w:sz w:val="24"/>
          <w:highlight w:val="none"/>
        </w:rPr>
        <w:t xml:space="preserve">1.13 </w:t>
      </w:r>
      <w:r>
        <w:rPr>
          <w:rFonts w:hint="eastAsia" w:ascii="黑体" w:hAnsi="黑体" w:eastAsia="黑体"/>
          <w:color w:val="auto"/>
          <w:sz w:val="24"/>
          <w:highlight w:val="none"/>
        </w:rPr>
        <w:t>责任限制</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承包人对发包人赔偿责任的最高限额为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1.14 </w:t>
      </w:r>
      <w:r>
        <w:rPr>
          <w:rFonts w:hint="eastAsia" w:ascii="黑体" w:hAnsi="黑体" w:eastAsia="黑体"/>
          <w:color w:val="auto"/>
          <w:sz w:val="24"/>
          <w:highlight w:val="none"/>
        </w:rPr>
        <w:t>建筑信息模型技术的应用</w:t>
      </w:r>
    </w:p>
    <w:p>
      <w:pPr>
        <w:ind w:firstLine="600"/>
        <w:rPr>
          <w:rFonts w:ascii="仿宋_GB2312" w:eastAsia="仿宋_GB2312"/>
          <w:color w:val="auto"/>
          <w:sz w:val="24"/>
          <w:highlight w:val="none"/>
        </w:rPr>
      </w:pPr>
      <w:r>
        <w:rPr>
          <w:rFonts w:hint="eastAsia" w:ascii="仿宋_GB2312" w:eastAsia="仿宋_GB2312"/>
          <w:color w:val="auto"/>
          <w:sz w:val="24"/>
          <w:highlight w:val="none"/>
        </w:rPr>
        <w:t>关于建筑信息模型技术的开发、使用、存储、传输、交付及费用约定如下：</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rPr>
          <w:rFonts w:ascii="黑体" w:hAnsi="黑体" w:eastAsia="黑体"/>
          <w:b w:val="0"/>
          <w:bCs/>
          <w:color w:val="auto"/>
          <w:sz w:val="24"/>
          <w:szCs w:val="24"/>
          <w:highlight w:val="none"/>
        </w:rPr>
      </w:pPr>
      <w:bookmarkStart w:id="1099" w:name="_Toc54862333"/>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2条</w:t>
      </w:r>
      <w:r>
        <w:rPr>
          <w:rFonts w:hint="eastAsia" w:ascii="黑体" w:hAnsi="黑体" w:eastAsia="黑体"/>
          <w:b w:val="0"/>
          <w:bCs/>
          <w:color w:val="auto"/>
          <w:sz w:val="24"/>
          <w:szCs w:val="24"/>
          <w:highlight w:val="none"/>
        </w:rPr>
        <w:t xml:space="preserve"> 发包人</w:t>
      </w:r>
      <w:bookmarkEnd w:id="1099"/>
    </w:p>
    <w:p>
      <w:pPr>
        <w:ind w:firstLine="600"/>
        <w:rPr>
          <w:rFonts w:ascii="黑体" w:hAnsi="黑体" w:eastAsia="黑体"/>
          <w:color w:val="auto"/>
          <w:sz w:val="24"/>
          <w:highlight w:val="none"/>
        </w:rPr>
      </w:pPr>
      <w:r>
        <w:rPr>
          <w:rFonts w:ascii="黑体" w:hAnsi="黑体" w:eastAsia="黑体"/>
          <w:color w:val="auto"/>
          <w:sz w:val="24"/>
          <w:highlight w:val="none"/>
        </w:rPr>
        <w:t xml:space="preserve">2.2 </w:t>
      </w:r>
      <w:r>
        <w:rPr>
          <w:rFonts w:hint="eastAsia" w:ascii="黑体" w:hAnsi="黑体" w:eastAsia="黑体"/>
          <w:color w:val="auto"/>
          <w:sz w:val="24"/>
          <w:highlight w:val="none"/>
        </w:rPr>
        <w:t>提供施工现场和工作条件</w:t>
      </w:r>
    </w:p>
    <w:p>
      <w:pPr>
        <w:ind w:firstLine="600"/>
        <w:rPr>
          <w:rFonts w:ascii="仿宋_GB2312" w:eastAsia="仿宋_GB2312"/>
          <w:color w:val="auto"/>
          <w:sz w:val="24"/>
          <w:highlight w:val="none"/>
        </w:rPr>
      </w:pPr>
      <w:r>
        <w:rPr>
          <w:rFonts w:ascii="仿宋_GB2312" w:eastAsia="仿宋_GB2312"/>
          <w:color w:val="auto"/>
          <w:sz w:val="24"/>
          <w:highlight w:val="none"/>
        </w:rPr>
        <w:t xml:space="preserve">2.2.1 </w:t>
      </w:r>
      <w:r>
        <w:rPr>
          <w:rFonts w:hint="eastAsia" w:ascii="仿宋_GB2312" w:eastAsia="仿宋_GB2312"/>
          <w:color w:val="auto"/>
          <w:sz w:val="24"/>
          <w:highlight w:val="none"/>
        </w:rPr>
        <w:t>提供施工现场</w:t>
      </w:r>
    </w:p>
    <w:p>
      <w:pPr>
        <w:ind w:firstLine="600"/>
        <w:rPr>
          <w:rFonts w:ascii="仿宋_GB2312" w:eastAsia="仿宋_GB2312"/>
          <w:color w:val="auto"/>
          <w:sz w:val="24"/>
          <w:highlight w:val="none"/>
        </w:rPr>
      </w:pPr>
      <w:r>
        <w:rPr>
          <w:rFonts w:hint="eastAsia" w:ascii="仿宋_GB2312" w:eastAsia="仿宋_GB2312"/>
          <w:color w:val="auto"/>
          <w:sz w:val="24"/>
          <w:highlight w:val="none"/>
        </w:rPr>
        <w:t>关于发包人提供施工现场的范围和期限：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2.2.2 </w:t>
      </w:r>
      <w:r>
        <w:rPr>
          <w:rFonts w:hint="eastAsia" w:ascii="仿宋_GB2312" w:eastAsia="仿宋_GB2312"/>
          <w:color w:val="auto"/>
          <w:sz w:val="24"/>
          <w:highlight w:val="none"/>
        </w:rPr>
        <w:t>提供工作条件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关于发包人应负责提供的工作条件包括：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2.3 </w:t>
      </w:r>
      <w:r>
        <w:rPr>
          <w:rFonts w:hint="eastAsia" w:ascii="黑体" w:hAnsi="黑体" w:eastAsia="黑体"/>
          <w:color w:val="auto"/>
          <w:sz w:val="24"/>
          <w:highlight w:val="none"/>
        </w:rPr>
        <w:t>提供基础资料</w:t>
      </w:r>
    </w:p>
    <w:p>
      <w:pPr>
        <w:ind w:firstLine="600"/>
        <w:rPr>
          <w:rFonts w:ascii="仿宋_GB2312" w:eastAsia="仿宋_GB2312"/>
          <w:color w:val="auto"/>
          <w:sz w:val="24"/>
          <w:highlight w:val="none"/>
        </w:rPr>
      </w:pPr>
      <w:r>
        <w:rPr>
          <w:rFonts w:hint="eastAsia" w:ascii="仿宋_GB2312" w:eastAsia="仿宋_GB2312"/>
          <w:color w:val="auto"/>
          <w:sz w:val="24"/>
          <w:highlight w:val="none"/>
        </w:rPr>
        <w:t>关于发包人应提供的基础资料的范围和期限：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2.5 </w:t>
      </w:r>
      <w:r>
        <w:rPr>
          <w:rFonts w:hint="eastAsia" w:ascii="黑体" w:hAnsi="黑体" w:eastAsia="黑体"/>
          <w:color w:val="auto"/>
          <w:sz w:val="24"/>
          <w:highlight w:val="none"/>
        </w:rPr>
        <w:t>支付合同价款</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2.5.2 </w:t>
      </w:r>
      <w:r>
        <w:rPr>
          <w:rFonts w:hint="eastAsia" w:ascii="仿宋_GB2312" w:eastAsia="仿宋_GB2312"/>
          <w:color w:val="auto"/>
          <w:sz w:val="24"/>
          <w:highlight w:val="none"/>
        </w:rPr>
        <w:t>发包人提供资金来源证明及资金安排的期限要求：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2.5.3 </w:t>
      </w:r>
      <w:r>
        <w:rPr>
          <w:rFonts w:hint="eastAsia" w:ascii="仿宋_GB2312" w:eastAsia="仿宋_GB2312"/>
          <w:color w:val="auto"/>
          <w:sz w:val="24"/>
          <w:highlight w:val="none"/>
        </w:rPr>
        <w:t>发包人提供支付担保的形式、期限、金额（或比例）：</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2.7 </w:t>
      </w:r>
      <w:r>
        <w:rPr>
          <w:rFonts w:hint="eastAsia" w:ascii="黑体" w:hAnsi="黑体" w:eastAsia="黑体"/>
          <w:color w:val="auto"/>
          <w:sz w:val="24"/>
          <w:highlight w:val="none"/>
        </w:rPr>
        <w:t>其他义务</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发包人应履行的其他义务：</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numPr>
          <w:ilvl w:val="0"/>
          <w:numId w:val="11"/>
        </w:numPr>
        <w:rPr>
          <w:rFonts w:hint="eastAsia" w:ascii="黑体" w:hAnsi="黑体" w:eastAsia="黑体"/>
          <w:b w:val="0"/>
          <w:bCs/>
          <w:color w:val="auto"/>
          <w:sz w:val="24"/>
          <w:szCs w:val="24"/>
          <w:highlight w:val="none"/>
        </w:rPr>
      </w:pPr>
      <w:bookmarkStart w:id="1100" w:name="_Toc54862334"/>
      <w:r>
        <w:rPr>
          <w:rFonts w:hint="eastAsia" w:ascii="黑体" w:hAnsi="黑体" w:eastAsia="黑体"/>
          <w:b w:val="0"/>
          <w:bCs/>
          <w:color w:val="auto"/>
          <w:sz w:val="24"/>
          <w:szCs w:val="24"/>
          <w:highlight w:val="none"/>
        </w:rPr>
        <w:t>发包人的管理</w:t>
      </w:r>
      <w:bookmarkEnd w:id="1100"/>
    </w:p>
    <w:p>
      <w:pPr>
        <w:pStyle w:val="41"/>
        <w:rPr>
          <w:rFonts w:ascii="黑体" w:hAnsi="黑体" w:eastAsia="黑体"/>
          <w:color w:val="auto"/>
          <w:sz w:val="24"/>
          <w:highlight w:val="none"/>
        </w:rPr>
      </w:pPr>
      <w:r>
        <w:rPr>
          <w:rFonts w:ascii="黑体" w:hAnsi="黑体" w:eastAsia="黑体"/>
          <w:color w:val="auto"/>
          <w:sz w:val="24"/>
          <w:highlight w:val="none"/>
        </w:rPr>
        <w:t xml:space="preserve">3.1 </w:t>
      </w:r>
      <w:r>
        <w:rPr>
          <w:rFonts w:hint="eastAsia" w:ascii="黑体" w:hAnsi="黑体" w:eastAsia="黑体"/>
          <w:color w:val="auto"/>
          <w:sz w:val="24"/>
          <w:highlight w:val="none"/>
        </w:rPr>
        <w:t>发包人代表</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发包人代表的姓名：</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发包人代表的身份证号：</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发包人代表的职务：</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发包人代表的联系电话：</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发包人代表的电子邮箱：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发包人代表的通信地址：</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发包人对发包人代表的授权范围如下：</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发包人代表的职责：</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40"/>
        <w:rPr>
          <w:rFonts w:ascii="黑体" w:hAnsi="黑体" w:eastAsia="黑体"/>
          <w:color w:val="auto"/>
          <w:sz w:val="24"/>
          <w:highlight w:val="none"/>
        </w:rPr>
      </w:pPr>
      <w:r>
        <w:rPr>
          <w:rFonts w:ascii="黑体" w:hAnsi="黑体" w:eastAsia="黑体"/>
          <w:color w:val="auto"/>
          <w:sz w:val="24"/>
          <w:highlight w:val="none"/>
        </w:rPr>
        <w:t xml:space="preserve">3.2 </w:t>
      </w:r>
      <w:r>
        <w:rPr>
          <w:rFonts w:hint="eastAsia" w:ascii="黑体" w:hAnsi="黑体" w:eastAsia="黑体"/>
          <w:color w:val="auto"/>
          <w:sz w:val="24"/>
          <w:highlight w:val="none"/>
        </w:rPr>
        <w:t>发包人人员</w:t>
      </w:r>
    </w:p>
    <w:p>
      <w:pPr>
        <w:ind w:firstLine="600"/>
        <w:rPr>
          <w:rFonts w:ascii="仿宋_GB2312" w:eastAsia="仿宋_GB2312"/>
          <w:color w:val="auto"/>
          <w:sz w:val="24"/>
          <w:highlight w:val="none"/>
        </w:rPr>
      </w:pPr>
      <w:r>
        <w:rPr>
          <w:rFonts w:ascii="仿宋_GB2312" w:eastAsia="仿宋_GB2312"/>
          <w:color w:val="auto"/>
          <w:sz w:val="24"/>
          <w:highlight w:val="none"/>
        </w:rPr>
        <w:t>发包人人员姓名：</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发包人人员职务：</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发包人人员职责：</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40"/>
        <w:rPr>
          <w:rFonts w:ascii="黑体" w:hAnsi="黑体" w:eastAsia="黑体"/>
          <w:color w:val="auto"/>
          <w:sz w:val="24"/>
          <w:highlight w:val="none"/>
        </w:rPr>
      </w:pPr>
      <w:r>
        <w:rPr>
          <w:rFonts w:ascii="黑体" w:hAnsi="黑体" w:eastAsia="黑体"/>
          <w:color w:val="auto"/>
          <w:sz w:val="24"/>
          <w:highlight w:val="none"/>
        </w:rPr>
        <w:t xml:space="preserve">3.3 </w:t>
      </w:r>
      <w:r>
        <w:rPr>
          <w:rFonts w:hint="eastAsia" w:ascii="黑体" w:hAnsi="黑体" w:eastAsia="黑体"/>
          <w:color w:val="auto"/>
          <w:sz w:val="24"/>
          <w:highlight w:val="none"/>
        </w:rPr>
        <w:t>工程师</w:t>
      </w:r>
    </w:p>
    <w:p>
      <w:pPr>
        <w:ind w:firstLine="60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 xml:space="preserve">.3.1 </w:t>
      </w:r>
      <w:r>
        <w:rPr>
          <w:rFonts w:hint="eastAsia" w:ascii="仿宋_GB2312" w:eastAsia="仿宋_GB2312"/>
          <w:color w:val="auto"/>
          <w:sz w:val="24"/>
          <w:highlight w:val="none"/>
        </w:rPr>
        <w:t>工程师名称</w:t>
      </w:r>
      <w:r>
        <w:rPr>
          <w:rFonts w:ascii="仿宋_GB2312" w:eastAsia="仿宋_GB2312"/>
          <w:color w:val="auto"/>
          <w:sz w:val="24"/>
          <w:highlight w:val="none"/>
        </w:rPr>
        <w:t>：</w:t>
      </w:r>
      <w:r>
        <w:rPr>
          <w:rFonts w:ascii="仿宋_GB2312" w:eastAsia="仿宋_GB2312"/>
          <w:color w:val="auto"/>
          <w:sz w:val="24"/>
          <w:highlight w:val="none"/>
          <w:u w:val="single"/>
        </w:rPr>
        <w:t xml:space="preserve">                          </w:t>
      </w:r>
      <w:r>
        <w:rPr>
          <w:rFonts w:ascii="仿宋_GB2312" w:eastAsia="仿宋_GB2312"/>
          <w:color w:val="auto"/>
          <w:sz w:val="24"/>
          <w:highlight w:val="none"/>
        </w:rPr>
        <w:t>；</w:t>
      </w:r>
      <w:r>
        <w:rPr>
          <w:rFonts w:hint="eastAsia" w:ascii="仿宋_GB2312" w:eastAsia="仿宋_GB2312"/>
          <w:color w:val="auto"/>
          <w:sz w:val="24"/>
          <w:highlight w:val="none"/>
        </w:rPr>
        <w:t>工程师监督管理</w:t>
      </w:r>
      <w:r>
        <w:rPr>
          <w:rFonts w:ascii="仿宋_GB2312" w:eastAsia="仿宋_GB2312"/>
          <w:color w:val="auto"/>
          <w:sz w:val="24"/>
          <w:highlight w:val="none"/>
        </w:rPr>
        <w:t>范围</w:t>
      </w:r>
      <w:r>
        <w:rPr>
          <w:rFonts w:hint="eastAsia" w:ascii="仿宋_GB2312" w:eastAsia="仿宋_GB2312"/>
          <w:color w:val="auto"/>
          <w:sz w:val="24"/>
          <w:highlight w:val="none"/>
        </w:rPr>
        <w:t>、内容</w:t>
      </w:r>
      <w:r>
        <w:rPr>
          <w:rFonts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；工程师</w:t>
      </w:r>
      <w:r>
        <w:rPr>
          <w:rFonts w:ascii="仿宋_GB2312" w:eastAsia="仿宋_GB2312"/>
          <w:color w:val="auto"/>
          <w:sz w:val="24"/>
          <w:highlight w:val="none"/>
        </w:rPr>
        <w:t>权限：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40"/>
        <w:rPr>
          <w:rFonts w:ascii="黑体" w:hAnsi="黑体" w:eastAsia="黑体"/>
          <w:color w:val="auto"/>
          <w:sz w:val="24"/>
          <w:highlight w:val="none"/>
        </w:rPr>
      </w:pPr>
      <w:r>
        <w:rPr>
          <w:rFonts w:ascii="黑体" w:hAnsi="黑体" w:eastAsia="黑体"/>
          <w:color w:val="auto"/>
          <w:sz w:val="24"/>
          <w:highlight w:val="none"/>
        </w:rPr>
        <w:t xml:space="preserve">3.6 </w:t>
      </w:r>
      <w:r>
        <w:rPr>
          <w:rFonts w:hint="eastAsia" w:ascii="黑体" w:hAnsi="黑体" w:eastAsia="黑体"/>
          <w:color w:val="auto"/>
          <w:sz w:val="24"/>
          <w:highlight w:val="none"/>
        </w:rPr>
        <w:t>商定或确定</w:t>
      </w:r>
    </w:p>
    <w:p>
      <w:pPr>
        <w:ind w:firstLine="60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.6.2 关于</w:t>
      </w:r>
      <w:r>
        <w:rPr>
          <w:rFonts w:hint="eastAsia" w:ascii="仿宋_GB2312" w:eastAsia="仿宋_GB2312"/>
          <w:color w:val="auto"/>
          <w:sz w:val="24"/>
          <w:highlight w:val="none"/>
        </w:rPr>
        <w:t>商定</w:t>
      </w:r>
      <w:r>
        <w:rPr>
          <w:rFonts w:ascii="仿宋_GB2312" w:eastAsia="仿宋_GB2312"/>
          <w:color w:val="auto"/>
          <w:sz w:val="24"/>
          <w:highlight w:val="none"/>
        </w:rPr>
        <w:t>时间限制的具体约定：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3.6.3 关于</w:t>
      </w:r>
      <w:r>
        <w:rPr>
          <w:rFonts w:hint="eastAsia" w:ascii="仿宋_GB2312" w:eastAsia="仿宋_GB2312"/>
          <w:color w:val="auto"/>
          <w:sz w:val="24"/>
          <w:highlight w:val="none"/>
        </w:rPr>
        <w:t>商定或确定</w:t>
      </w:r>
      <w:r>
        <w:rPr>
          <w:rFonts w:ascii="仿宋_GB2312" w:eastAsia="仿宋_GB2312"/>
          <w:color w:val="auto"/>
          <w:sz w:val="24"/>
          <w:highlight w:val="none"/>
        </w:rPr>
        <w:t>效力的具体约定：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ascii="仿宋_GB2312" w:eastAsia="仿宋_GB2312"/>
          <w:color w:val="auto"/>
          <w:sz w:val="24"/>
          <w:highlight w:val="none"/>
        </w:rPr>
        <w:t>关于对</w:t>
      </w:r>
      <w:r>
        <w:rPr>
          <w:rFonts w:hint="eastAsia" w:ascii="仿宋_GB2312" w:eastAsia="仿宋_GB2312"/>
          <w:color w:val="auto"/>
          <w:sz w:val="24"/>
          <w:highlight w:val="none"/>
        </w:rPr>
        <w:t>工程师的确定提出异议</w:t>
      </w:r>
      <w:r>
        <w:rPr>
          <w:rFonts w:ascii="仿宋_GB2312" w:eastAsia="仿宋_GB2312"/>
          <w:color w:val="auto"/>
          <w:sz w:val="24"/>
          <w:highlight w:val="none"/>
        </w:rPr>
        <w:t>的具体约定：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40"/>
        <w:rPr>
          <w:rFonts w:ascii="黑体" w:hAnsi="黑体" w:eastAsia="黑体"/>
          <w:color w:val="auto"/>
          <w:sz w:val="24"/>
          <w:highlight w:val="none"/>
        </w:rPr>
      </w:pPr>
      <w:r>
        <w:rPr>
          <w:rFonts w:ascii="黑体" w:hAnsi="黑体" w:eastAsia="黑体"/>
          <w:color w:val="auto"/>
          <w:sz w:val="24"/>
          <w:highlight w:val="none"/>
        </w:rPr>
        <w:t xml:space="preserve">3.7 </w:t>
      </w:r>
      <w:r>
        <w:rPr>
          <w:rFonts w:hint="eastAsia" w:ascii="黑体" w:hAnsi="黑体" w:eastAsia="黑体"/>
          <w:color w:val="auto"/>
          <w:sz w:val="24"/>
          <w:highlight w:val="none"/>
        </w:rPr>
        <w:t>会议</w:t>
      </w:r>
    </w:p>
    <w:p>
      <w:pPr>
        <w:ind w:firstLine="60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.7.1 关于召开会议</w:t>
      </w:r>
      <w:r>
        <w:rPr>
          <w:rFonts w:hint="eastAsia" w:ascii="仿宋_GB2312" w:eastAsia="仿宋_GB2312"/>
          <w:color w:val="auto"/>
          <w:sz w:val="24"/>
          <w:highlight w:val="none"/>
        </w:rPr>
        <w:t>的具体约定：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 xml:space="preserve">.7.2 </w:t>
      </w:r>
      <w:r>
        <w:rPr>
          <w:rFonts w:hint="eastAsia" w:ascii="仿宋_GB2312" w:eastAsia="仿宋_GB2312"/>
          <w:color w:val="auto"/>
          <w:sz w:val="24"/>
          <w:highlight w:val="none"/>
        </w:rPr>
        <w:t>关于保存和提供会议纪要</w:t>
      </w:r>
      <w:r>
        <w:rPr>
          <w:rFonts w:ascii="仿宋_GB2312" w:eastAsia="仿宋_GB2312"/>
          <w:color w:val="auto"/>
          <w:sz w:val="24"/>
          <w:highlight w:val="none"/>
        </w:rPr>
        <w:t>的具体约定：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rPr>
          <w:rFonts w:ascii="黑体" w:hAnsi="黑体" w:eastAsia="黑体"/>
          <w:b w:val="0"/>
          <w:bCs/>
          <w:color w:val="auto"/>
          <w:sz w:val="24"/>
          <w:szCs w:val="24"/>
          <w:highlight w:val="none"/>
        </w:rPr>
      </w:pPr>
      <w:bookmarkStart w:id="1101" w:name="_Toc54862335"/>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4条</w:t>
      </w:r>
      <w:r>
        <w:rPr>
          <w:rFonts w:hint="eastAsia" w:ascii="黑体" w:hAnsi="黑体" w:eastAsia="黑体"/>
          <w:b w:val="0"/>
          <w:bCs/>
          <w:color w:val="auto"/>
          <w:sz w:val="24"/>
          <w:szCs w:val="24"/>
          <w:highlight w:val="none"/>
        </w:rPr>
        <w:t xml:space="preserve"> 承包人</w:t>
      </w:r>
      <w:bookmarkEnd w:id="1101"/>
    </w:p>
    <w:p>
      <w:pPr>
        <w:ind w:firstLine="600"/>
        <w:rPr>
          <w:rFonts w:ascii="黑体" w:hAnsi="黑体" w:eastAsia="黑体"/>
          <w:color w:val="auto"/>
          <w:sz w:val="24"/>
          <w:highlight w:val="none"/>
        </w:rPr>
      </w:pPr>
      <w:r>
        <w:rPr>
          <w:rFonts w:ascii="黑体" w:hAnsi="黑体" w:eastAsia="黑体"/>
          <w:color w:val="auto"/>
          <w:sz w:val="24"/>
          <w:highlight w:val="none"/>
        </w:rPr>
        <w:t xml:space="preserve">4.1 </w:t>
      </w:r>
      <w:r>
        <w:rPr>
          <w:rFonts w:hint="eastAsia" w:ascii="黑体" w:hAnsi="黑体" w:eastAsia="黑体"/>
          <w:color w:val="auto"/>
          <w:sz w:val="24"/>
          <w:highlight w:val="none"/>
        </w:rPr>
        <w:t>承包人的一般义务</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承包人应履行的其他义务：</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4.2 </w:t>
      </w:r>
      <w:r>
        <w:rPr>
          <w:rFonts w:hint="eastAsia" w:ascii="黑体" w:hAnsi="黑体" w:eastAsia="黑体"/>
          <w:color w:val="auto"/>
          <w:sz w:val="24"/>
          <w:highlight w:val="none"/>
        </w:rPr>
        <w:t>履约担保</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承包人是否提供履约担保：</w:t>
      </w:r>
      <w:r>
        <w:rPr>
          <w:rFonts w:ascii="仿宋_GB2312" w:eastAsia="仿宋_GB2312"/>
          <w:color w:val="auto"/>
          <w:sz w:val="24"/>
          <w:highlight w:val="none"/>
          <w:u w:val="single"/>
        </w:rPr>
        <w:t xml:space="preserve"> </w:t>
      </w:r>
      <w:r>
        <w:rPr>
          <w:rFonts w:hint="eastAsia" w:ascii="仿宋_GB2312" w:eastAsia="仿宋_GB2312"/>
          <w:b/>
          <w:bCs/>
          <w:color w:val="auto"/>
          <w:sz w:val="24"/>
          <w:highlight w:val="none"/>
          <w:u w:val="single"/>
        </w:rPr>
        <w:t>是</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履约担保的方式、金额及期限:</w:t>
      </w:r>
      <w:r>
        <w:rPr>
          <w:rFonts w:ascii="仿宋_GB2312" w:eastAsia="仿宋_GB2312"/>
          <w:color w:val="auto"/>
          <w:sz w:val="24"/>
          <w:highlight w:val="none"/>
          <w:u w:val="single"/>
        </w:rPr>
        <w:t xml:space="preserve">  </w:t>
      </w:r>
      <w:r>
        <w:rPr>
          <w:rFonts w:hint="eastAsia" w:ascii="仿宋_GB2312" w:eastAsia="仿宋_GB2312"/>
          <w:b/>
          <w:bCs/>
          <w:color w:val="auto"/>
          <w:sz w:val="24"/>
          <w:highlight w:val="none"/>
          <w:u w:val="single"/>
        </w:rPr>
        <w:t>按合同金额的</w:t>
      </w:r>
      <w:r>
        <w:rPr>
          <w:rFonts w:hint="eastAsia" w:ascii="仿宋_GB2312" w:eastAsia="仿宋_GB2312"/>
          <w:b/>
          <w:bCs/>
          <w:color w:val="auto"/>
          <w:sz w:val="24"/>
          <w:highlight w:val="none"/>
          <w:u w:val="single"/>
          <w:lang w:val="en-US" w:eastAsia="zh-CN"/>
        </w:rPr>
        <w:t>8</w:t>
      </w:r>
      <w:r>
        <w:rPr>
          <w:rFonts w:hint="eastAsia" w:ascii="仿宋_GB2312" w:eastAsia="仿宋_GB2312"/>
          <w:b/>
          <w:bCs/>
          <w:color w:val="auto"/>
          <w:sz w:val="24"/>
          <w:highlight w:val="none"/>
          <w:u w:val="single"/>
        </w:rPr>
        <w:t>%提供履约保证金或履约保函，履约时限约定至项目竣工验收后，在合同签订前3天交付发包人</w:t>
      </w:r>
      <w:r>
        <w:rPr>
          <w:rFonts w:ascii="仿宋_GB2312" w:eastAsia="仿宋_GB2312"/>
          <w:b/>
          <w:bCs/>
          <w:color w:val="auto"/>
          <w:sz w:val="24"/>
          <w:highlight w:val="none"/>
          <w:u w:val="single"/>
        </w:rPr>
        <w:t xml:space="preserve"> </w:t>
      </w:r>
      <w:r>
        <w:rPr>
          <w:rFonts w:hint="eastAsia" w:ascii="仿宋_GB2312" w:eastAsia="仿宋_GB2312"/>
          <w:b/>
          <w:bCs/>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4.3 </w:t>
      </w:r>
      <w:r>
        <w:rPr>
          <w:rFonts w:hint="eastAsia" w:ascii="黑体" w:hAnsi="黑体" w:eastAsia="黑体"/>
          <w:color w:val="auto"/>
          <w:sz w:val="24"/>
          <w:highlight w:val="none"/>
        </w:rPr>
        <w:t>工程总承包项目经理</w:t>
      </w:r>
    </w:p>
    <w:p>
      <w:pPr>
        <w:ind w:firstLine="600"/>
        <w:rPr>
          <w:rFonts w:ascii="仿宋_GB2312" w:eastAsia="仿宋_GB2312"/>
          <w:color w:val="auto"/>
          <w:sz w:val="24"/>
          <w:highlight w:val="none"/>
        </w:rPr>
      </w:pPr>
      <w:r>
        <w:rPr>
          <w:rFonts w:ascii="仿宋_GB2312" w:eastAsia="仿宋_GB2312"/>
          <w:color w:val="auto"/>
          <w:sz w:val="24"/>
          <w:highlight w:val="none"/>
        </w:rPr>
        <w:t xml:space="preserve">4.3.1 </w:t>
      </w:r>
      <w:r>
        <w:rPr>
          <w:rFonts w:hint="eastAsia" w:ascii="仿宋_GB2312" w:eastAsia="仿宋_GB2312"/>
          <w:color w:val="auto"/>
          <w:sz w:val="24"/>
          <w:highlight w:val="none"/>
        </w:rPr>
        <w:t>工程总承包项目经理姓名：</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执业资格或职称类型：</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执业资格证或职称证号码：</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联系电话：</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电子邮箱：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通信地址：</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承包人未提交劳动合同，以及没有为工程总承包项目经理缴纳社会保险证明的违约责任：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4.3.2 </w:t>
      </w:r>
      <w:r>
        <w:rPr>
          <w:rFonts w:hint="eastAsia" w:ascii="仿宋_GB2312" w:eastAsia="仿宋_GB2312"/>
          <w:color w:val="auto"/>
          <w:sz w:val="24"/>
          <w:highlight w:val="none"/>
        </w:rPr>
        <w:t>工程总承包项目经理每月在现场的时间要求：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工程总承包项目经理未经批准擅自离开施工现场的违约责任：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4.3.3 </w:t>
      </w:r>
      <w:r>
        <w:rPr>
          <w:rFonts w:hint="eastAsia" w:ascii="仿宋_GB2312" w:eastAsia="仿宋_GB2312"/>
          <w:color w:val="auto"/>
          <w:sz w:val="24"/>
          <w:highlight w:val="none"/>
        </w:rPr>
        <w:t>承包人对工程总承包项目经理的授权范围: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4.3.4 </w:t>
      </w:r>
      <w:r>
        <w:rPr>
          <w:rFonts w:hint="eastAsia" w:ascii="仿宋_GB2312" w:eastAsia="仿宋_GB2312"/>
          <w:color w:val="auto"/>
          <w:sz w:val="24"/>
          <w:highlight w:val="none"/>
        </w:rPr>
        <w:t>承包人</w:t>
      </w:r>
      <w:r>
        <w:rPr>
          <w:rFonts w:ascii="仿宋_GB2312" w:eastAsia="仿宋_GB2312"/>
          <w:color w:val="auto"/>
          <w:sz w:val="24"/>
          <w:highlight w:val="none"/>
        </w:rPr>
        <w:t>擅自更换工程总承包项目经理的违约</w:t>
      </w:r>
      <w:r>
        <w:rPr>
          <w:rFonts w:hint="eastAsia" w:ascii="仿宋_GB2312" w:eastAsia="仿宋_GB2312"/>
          <w:color w:val="auto"/>
          <w:sz w:val="24"/>
          <w:highlight w:val="none"/>
        </w:rPr>
        <w:t>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4.3.5 承包人无正当理由拒绝更换工程总承包项目经理的违约责任</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黑体" w:hAnsi="黑体" w:eastAsia="黑体"/>
          <w:color w:val="auto"/>
          <w:sz w:val="24"/>
          <w:highlight w:val="none"/>
        </w:rPr>
      </w:pPr>
      <w:r>
        <w:rPr>
          <w:rFonts w:ascii="黑体" w:hAnsi="黑体" w:eastAsia="黑体"/>
          <w:color w:val="auto"/>
          <w:sz w:val="24"/>
          <w:highlight w:val="none"/>
        </w:rPr>
        <w:t xml:space="preserve">4.4 </w:t>
      </w:r>
      <w:r>
        <w:rPr>
          <w:rFonts w:hint="eastAsia" w:ascii="黑体" w:hAnsi="黑体" w:eastAsia="黑体"/>
          <w:color w:val="auto"/>
          <w:sz w:val="24"/>
          <w:highlight w:val="none"/>
        </w:rPr>
        <w:t>承包人人员</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4.4.1 </w:t>
      </w:r>
      <w:r>
        <w:rPr>
          <w:rFonts w:hint="eastAsia" w:ascii="仿宋_GB2312" w:eastAsia="仿宋_GB2312"/>
          <w:color w:val="auto"/>
          <w:sz w:val="24"/>
          <w:highlight w:val="none"/>
        </w:rPr>
        <w:t>人员安排</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承包人</w:t>
      </w:r>
      <w:r>
        <w:rPr>
          <w:rFonts w:hint="eastAsia" w:ascii="仿宋_GB2312" w:eastAsia="仿宋_GB2312"/>
          <w:color w:val="auto"/>
          <w:sz w:val="24"/>
          <w:highlight w:val="none"/>
        </w:rPr>
        <w:t>提交</w:t>
      </w:r>
      <w:r>
        <w:rPr>
          <w:rFonts w:ascii="仿宋_GB2312" w:eastAsia="仿宋_GB2312"/>
          <w:color w:val="auto"/>
          <w:sz w:val="24"/>
          <w:highlight w:val="none"/>
        </w:rPr>
        <w:t>项目管理机构及施工现场人员安排的报告</w:t>
      </w:r>
      <w:r>
        <w:rPr>
          <w:rFonts w:hint="eastAsia" w:ascii="仿宋_GB2312" w:eastAsia="仿宋_GB2312"/>
          <w:color w:val="auto"/>
          <w:sz w:val="24"/>
          <w:highlight w:val="none"/>
        </w:rPr>
        <w:t>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承包人提交关键人员信息及注册执业资格等证明其具备担任关键人员能力的相关文件的期限：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4.4.2 </w:t>
      </w:r>
      <w:r>
        <w:rPr>
          <w:rFonts w:hint="eastAsia" w:ascii="仿宋_GB2312" w:eastAsia="仿宋_GB2312"/>
          <w:color w:val="auto"/>
          <w:sz w:val="24"/>
          <w:highlight w:val="none"/>
        </w:rPr>
        <w:t>关键人员更换</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承包人擅自更换</w:t>
      </w:r>
      <w:r>
        <w:rPr>
          <w:rFonts w:hint="eastAsia" w:ascii="仿宋_GB2312" w:eastAsia="仿宋_GB2312"/>
          <w:color w:val="auto"/>
          <w:sz w:val="24"/>
          <w:highlight w:val="none"/>
        </w:rPr>
        <w:t>关键人员</w:t>
      </w:r>
      <w:r>
        <w:rPr>
          <w:rFonts w:ascii="仿宋_GB2312" w:eastAsia="仿宋_GB2312"/>
          <w:color w:val="auto"/>
          <w:sz w:val="24"/>
          <w:highlight w:val="none"/>
        </w:rPr>
        <w:t>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承包人无正当理由拒绝撤换</w:t>
      </w:r>
      <w:r>
        <w:rPr>
          <w:rFonts w:hint="eastAsia" w:ascii="仿宋_GB2312" w:eastAsia="仿宋_GB2312"/>
          <w:color w:val="auto"/>
          <w:sz w:val="24"/>
          <w:highlight w:val="none"/>
        </w:rPr>
        <w:t>关键人员</w:t>
      </w:r>
      <w:r>
        <w:rPr>
          <w:rFonts w:ascii="仿宋_GB2312" w:eastAsia="仿宋_GB2312"/>
          <w:color w:val="auto"/>
          <w:sz w:val="24"/>
          <w:highlight w:val="none"/>
        </w:rPr>
        <w:t>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 xml:space="preserve">4.4.3 </w:t>
      </w:r>
      <w:r>
        <w:rPr>
          <w:rFonts w:hint="eastAsia" w:ascii="仿宋_GB2312" w:eastAsia="仿宋_GB2312"/>
          <w:color w:val="auto"/>
          <w:sz w:val="24"/>
          <w:highlight w:val="none"/>
        </w:rPr>
        <w:t>现场管理关键人员在岗要求</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ascii="仿宋_GB2312" w:eastAsia="仿宋_GB2312"/>
          <w:color w:val="auto"/>
          <w:sz w:val="24"/>
          <w:highlight w:val="none"/>
        </w:rPr>
        <w:t>承包人</w:t>
      </w:r>
      <w:r>
        <w:rPr>
          <w:rFonts w:hint="eastAsia" w:ascii="仿宋_GB2312" w:eastAsia="仿宋_GB2312"/>
          <w:color w:val="auto"/>
          <w:sz w:val="24"/>
          <w:highlight w:val="none"/>
        </w:rPr>
        <w:t>现场管理关键</w:t>
      </w:r>
      <w:r>
        <w:rPr>
          <w:rFonts w:ascii="仿宋_GB2312" w:eastAsia="仿宋_GB2312"/>
          <w:color w:val="auto"/>
          <w:sz w:val="24"/>
          <w:highlight w:val="none"/>
        </w:rPr>
        <w:t>人员离开施工现场的批准要求</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承包人现场管理关键人员擅自离开施工现场的违约责任：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4.5 </w:t>
      </w:r>
      <w:r>
        <w:rPr>
          <w:rFonts w:hint="eastAsia" w:ascii="黑体" w:hAnsi="黑体" w:eastAsia="黑体"/>
          <w:color w:val="auto"/>
          <w:sz w:val="24"/>
          <w:highlight w:val="none"/>
        </w:rPr>
        <w:t>分包</w:t>
      </w:r>
    </w:p>
    <w:p>
      <w:pPr>
        <w:ind w:firstLine="600"/>
        <w:rPr>
          <w:rFonts w:ascii="仿宋_GB2312" w:eastAsia="仿宋_GB2312"/>
          <w:color w:val="auto"/>
          <w:sz w:val="24"/>
          <w:highlight w:val="none"/>
        </w:rPr>
      </w:pPr>
      <w:r>
        <w:rPr>
          <w:rFonts w:ascii="仿宋_GB2312" w:eastAsia="仿宋_GB2312"/>
          <w:color w:val="auto"/>
          <w:sz w:val="24"/>
          <w:highlight w:val="none"/>
        </w:rPr>
        <w:t xml:space="preserve">4.5.1 </w:t>
      </w:r>
      <w:r>
        <w:rPr>
          <w:rFonts w:hint="eastAsia" w:ascii="仿宋_GB2312" w:eastAsia="仿宋_GB2312"/>
          <w:color w:val="auto"/>
          <w:sz w:val="24"/>
          <w:highlight w:val="none"/>
        </w:rPr>
        <w:t>一般约定</w:t>
      </w:r>
    </w:p>
    <w:p>
      <w:pPr>
        <w:ind w:firstLine="600"/>
        <w:rPr>
          <w:rFonts w:ascii="仿宋_GB2312" w:eastAsia="仿宋_GB2312"/>
          <w:color w:val="auto"/>
          <w:sz w:val="24"/>
          <w:highlight w:val="none"/>
        </w:rPr>
      </w:pPr>
      <w:r>
        <w:rPr>
          <w:rFonts w:ascii="仿宋_GB2312" w:eastAsia="仿宋_GB2312"/>
          <w:color w:val="auto"/>
          <w:sz w:val="24"/>
          <w:highlight w:val="none"/>
        </w:rPr>
        <w:t>禁止分包的工程包括：</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4.5.2 </w:t>
      </w:r>
      <w:r>
        <w:rPr>
          <w:rFonts w:hint="eastAsia" w:ascii="仿宋_GB2312" w:eastAsia="仿宋_GB2312"/>
          <w:color w:val="auto"/>
          <w:sz w:val="24"/>
          <w:highlight w:val="none"/>
        </w:rPr>
        <w:t>分包的确定</w:t>
      </w:r>
    </w:p>
    <w:p>
      <w:pPr>
        <w:ind w:firstLine="600"/>
        <w:rPr>
          <w:rFonts w:ascii="仿宋_GB2312" w:eastAsia="仿宋_GB2312"/>
          <w:color w:val="auto"/>
          <w:sz w:val="24"/>
          <w:highlight w:val="none"/>
        </w:rPr>
      </w:pPr>
      <w:r>
        <w:rPr>
          <w:rFonts w:ascii="仿宋_GB2312" w:eastAsia="仿宋_GB2312"/>
          <w:color w:val="auto"/>
          <w:sz w:val="24"/>
          <w:highlight w:val="none"/>
        </w:rPr>
        <w:t>允许分包的工程包括：</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其他关于分包的约定：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wordWrap/>
        <w:topLinePunct w:val="0"/>
        <w:ind w:firstLine="600"/>
        <w:rPr>
          <w:rFonts w:hint="eastAsia" w:ascii="仿宋_GB2312" w:eastAsia="仿宋_GB2312"/>
          <w:b/>
          <w:color w:val="auto"/>
          <w:sz w:val="24"/>
          <w:szCs w:val="24"/>
          <w:highlight w:val="none"/>
          <w:u w:val="single"/>
        </w:rPr>
      </w:pPr>
      <w:r>
        <w:rPr>
          <w:rFonts w:hint="eastAsia" w:ascii="仿宋_GB2312" w:eastAsia="仿宋_GB2312"/>
          <w:b/>
          <w:color w:val="auto"/>
          <w:sz w:val="24"/>
          <w:szCs w:val="24"/>
          <w:highlight w:val="none"/>
          <w:u w:val="single"/>
        </w:rPr>
        <w:t>绿化、交安</w:t>
      </w:r>
      <w:r>
        <w:rPr>
          <w:rFonts w:hint="eastAsia" w:ascii="仿宋_GB2312" w:eastAsia="仿宋_GB2312"/>
          <w:b/>
          <w:color w:val="auto"/>
          <w:sz w:val="24"/>
          <w:szCs w:val="24"/>
          <w:highlight w:val="none"/>
          <w:u w:val="single"/>
          <w:lang w:eastAsia="zh-CN"/>
        </w:rPr>
        <w:t>、</w:t>
      </w:r>
      <w:r>
        <w:rPr>
          <w:rFonts w:hint="eastAsia" w:ascii="仿宋_GB2312" w:eastAsia="仿宋_GB2312"/>
          <w:b/>
          <w:color w:val="auto"/>
          <w:sz w:val="24"/>
          <w:szCs w:val="24"/>
          <w:highlight w:val="none"/>
          <w:u w:val="single"/>
          <w:lang w:val="en-US" w:eastAsia="zh-CN"/>
        </w:rPr>
        <w:t>智能化</w:t>
      </w:r>
      <w:r>
        <w:rPr>
          <w:rFonts w:hint="eastAsia" w:ascii="仿宋_GB2312" w:eastAsia="仿宋_GB2312"/>
          <w:b/>
          <w:color w:val="auto"/>
          <w:sz w:val="24"/>
          <w:szCs w:val="24"/>
          <w:highlight w:val="none"/>
          <w:u w:val="single"/>
        </w:rPr>
        <w:t>工程等与</w:t>
      </w:r>
      <w:r>
        <w:rPr>
          <w:rFonts w:hint="eastAsia" w:ascii="仿宋_GB2312" w:eastAsia="仿宋_GB2312"/>
          <w:b/>
          <w:color w:val="auto"/>
          <w:sz w:val="24"/>
          <w:szCs w:val="24"/>
          <w:highlight w:val="none"/>
          <w:u w:val="single"/>
          <w:lang w:val="en-US" w:eastAsia="zh-CN"/>
        </w:rPr>
        <w:t>发包人</w:t>
      </w:r>
      <w:r>
        <w:rPr>
          <w:rFonts w:hint="eastAsia" w:ascii="仿宋_GB2312" w:eastAsia="仿宋_GB2312"/>
          <w:b/>
          <w:color w:val="auto"/>
          <w:sz w:val="24"/>
          <w:szCs w:val="24"/>
          <w:highlight w:val="none"/>
          <w:u w:val="single"/>
        </w:rPr>
        <w:t>子公司经营范围相关联的部分，同等市场条件下优先考虑</w:t>
      </w:r>
      <w:r>
        <w:rPr>
          <w:rFonts w:hint="eastAsia" w:ascii="仿宋_GB2312" w:eastAsia="仿宋_GB2312"/>
          <w:b/>
          <w:color w:val="auto"/>
          <w:sz w:val="24"/>
          <w:szCs w:val="24"/>
          <w:highlight w:val="none"/>
          <w:u w:val="single"/>
          <w:lang w:val="en-US" w:eastAsia="zh-CN"/>
        </w:rPr>
        <w:t>发包人</w:t>
      </w:r>
      <w:r>
        <w:rPr>
          <w:rFonts w:hint="eastAsia" w:ascii="仿宋_GB2312" w:eastAsia="仿宋_GB2312"/>
          <w:b/>
          <w:color w:val="auto"/>
          <w:sz w:val="24"/>
          <w:szCs w:val="24"/>
          <w:highlight w:val="none"/>
          <w:u w:val="single"/>
        </w:rPr>
        <w:t>子公司。</w:t>
      </w:r>
    </w:p>
    <w:p>
      <w:pPr>
        <w:pStyle w:val="2"/>
        <w:keepNext w:val="0"/>
        <w:keepLines w:val="0"/>
        <w:pageBreakBefore w:val="0"/>
        <w:widowControl w:val="0"/>
        <w:kinsoku/>
        <w:wordWrap/>
        <w:overflowPunct/>
        <w:topLinePunct w:val="0"/>
        <w:autoSpaceDE/>
        <w:autoSpaceDN/>
        <w:bidi w:val="0"/>
        <w:adjustRightInd/>
        <w:snapToGrid/>
        <w:ind w:firstLine="601" w:firstLineChars="0"/>
        <w:textAlignment w:val="auto"/>
        <w:rPr>
          <w:rFonts w:hint="default" w:ascii="仿宋_GB2312" w:hAnsi="Calibri" w:eastAsia="仿宋_GB2312" w:cs="Times New Roman"/>
          <w:b/>
          <w:color w:val="auto"/>
          <w:kern w:val="2"/>
          <w:sz w:val="24"/>
          <w:szCs w:val="24"/>
          <w:highlight w:val="none"/>
          <w:u w:val="single"/>
          <w:lang w:val="en-US" w:eastAsia="zh-CN" w:bidi="ar-SA"/>
        </w:rPr>
      </w:pPr>
      <w:r>
        <w:rPr>
          <w:rFonts w:hint="eastAsia" w:ascii="仿宋_GB2312" w:hAnsi="Calibri" w:eastAsia="仿宋_GB2312" w:cs="Times New Roman"/>
          <w:b/>
          <w:color w:val="auto"/>
          <w:kern w:val="2"/>
          <w:sz w:val="24"/>
          <w:szCs w:val="24"/>
          <w:highlight w:val="none"/>
          <w:u w:val="single"/>
          <w:lang w:val="en-US" w:eastAsia="zh-CN" w:bidi="ar-SA"/>
        </w:rPr>
        <w:t>外部市政用水接驳、电力引入、外置空调主机系统按发包人要求统一规划实施。</w:t>
      </w:r>
    </w:p>
    <w:p>
      <w:pPr>
        <w:ind w:firstLine="600"/>
        <w:rPr>
          <w:rFonts w:ascii="仿宋_GB2312" w:eastAsia="仿宋_GB2312"/>
          <w:color w:val="auto"/>
          <w:sz w:val="24"/>
          <w:highlight w:val="none"/>
        </w:rPr>
      </w:pPr>
      <w:r>
        <w:rPr>
          <w:rFonts w:ascii="仿宋_GB2312" w:eastAsia="仿宋_GB2312"/>
          <w:color w:val="auto"/>
          <w:sz w:val="24"/>
          <w:highlight w:val="none"/>
        </w:rPr>
        <w:t xml:space="preserve">4.5.5 </w:t>
      </w:r>
      <w:r>
        <w:rPr>
          <w:rFonts w:hint="eastAsia" w:ascii="仿宋_GB2312" w:eastAsia="仿宋_GB2312"/>
          <w:color w:val="auto"/>
          <w:sz w:val="24"/>
          <w:highlight w:val="none"/>
        </w:rPr>
        <w:t>分包合同价款支付</w:t>
      </w:r>
    </w:p>
    <w:p>
      <w:pPr>
        <w:ind w:firstLine="600"/>
        <w:rPr>
          <w:rFonts w:ascii="仿宋_GB2312" w:eastAsia="仿宋_GB2312"/>
          <w:color w:val="auto"/>
          <w:sz w:val="24"/>
          <w:highlight w:val="none"/>
        </w:rPr>
      </w:pPr>
      <w:r>
        <w:rPr>
          <w:rFonts w:hint="eastAsia" w:ascii="仿宋_GB2312" w:eastAsia="仿宋_GB2312"/>
          <w:color w:val="auto"/>
          <w:sz w:val="24"/>
          <w:highlight w:val="none"/>
        </w:rPr>
        <w:t>关于分包合同价款支付的约定：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4.6 </w:t>
      </w:r>
      <w:r>
        <w:rPr>
          <w:rFonts w:hint="eastAsia" w:ascii="黑体" w:hAnsi="黑体" w:eastAsia="黑体"/>
          <w:color w:val="auto"/>
          <w:sz w:val="24"/>
          <w:highlight w:val="none"/>
        </w:rPr>
        <w:t>联合体</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4</w:t>
      </w:r>
      <w:r>
        <w:rPr>
          <w:rFonts w:ascii="仿宋_GB2312" w:eastAsia="仿宋_GB2312"/>
          <w:color w:val="auto"/>
          <w:sz w:val="24"/>
          <w:highlight w:val="none"/>
        </w:rPr>
        <w:t xml:space="preserve">.6.2 </w:t>
      </w:r>
      <w:r>
        <w:rPr>
          <w:rFonts w:hint="eastAsia" w:ascii="仿宋_GB2312" w:eastAsia="仿宋_GB2312"/>
          <w:color w:val="auto"/>
          <w:sz w:val="24"/>
          <w:highlight w:val="none"/>
        </w:rPr>
        <w:t>联合体各成员的分工、费用收取、发票开具等事项：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黑体" w:hAnsi="黑体" w:eastAsia="黑体"/>
          <w:color w:val="auto"/>
          <w:sz w:val="24"/>
          <w:highlight w:val="none"/>
        </w:rPr>
      </w:pPr>
      <w:r>
        <w:rPr>
          <w:rFonts w:ascii="黑体" w:hAnsi="黑体" w:eastAsia="黑体"/>
          <w:color w:val="auto"/>
          <w:sz w:val="24"/>
          <w:highlight w:val="none"/>
        </w:rPr>
        <w:t xml:space="preserve">4.7 </w:t>
      </w:r>
      <w:r>
        <w:rPr>
          <w:rFonts w:hint="eastAsia" w:ascii="黑体" w:hAnsi="黑体" w:eastAsia="黑体"/>
          <w:color w:val="auto"/>
          <w:sz w:val="24"/>
          <w:highlight w:val="none"/>
        </w:rPr>
        <w:t>承包人现场查勘</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4</w:t>
      </w:r>
      <w:r>
        <w:rPr>
          <w:rFonts w:ascii="仿宋_GB2312" w:eastAsia="仿宋_GB2312"/>
          <w:color w:val="auto"/>
          <w:sz w:val="24"/>
          <w:highlight w:val="none"/>
        </w:rPr>
        <w:t xml:space="preserve">.7.1 </w:t>
      </w:r>
      <w:r>
        <w:rPr>
          <w:rFonts w:hint="eastAsia" w:ascii="仿宋_GB2312" w:eastAsia="仿宋_GB2312"/>
          <w:color w:val="auto"/>
          <w:sz w:val="24"/>
          <w:highlight w:val="none"/>
        </w:rPr>
        <w:t>双方当事人对现场查勘的责任承担的约定：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4.8 </w:t>
      </w:r>
      <w:r>
        <w:rPr>
          <w:rFonts w:hint="eastAsia" w:ascii="黑体" w:hAnsi="黑体" w:eastAsia="黑体"/>
          <w:color w:val="auto"/>
          <w:sz w:val="24"/>
          <w:highlight w:val="none"/>
        </w:rPr>
        <w:t>不可预见的困难</w:t>
      </w:r>
    </w:p>
    <w:p>
      <w:pPr>
        <w:ind w:firstLine="600"/>
        <w:rPr>
          <w:rFonts w:ascii="仿宋_GB2312" w:eastAsia="仿宋_GB2312"/>
          <w:color w:val="auto"/>
          <w:sz w:val="24"/>
          <w:highlight w:val="none"/>
        </w:rPr>
      </w:pPr>
      <w:r>
        <w:rPr>
          <w:rFonts w:hint="eastAsia" w:ascii="仿宋_GB2312" w:eastAsia="仿宋_GB2312"/>
          <w:color w:val="auto"/>
          <w:sz w:val="24"/>
          <w:highlight w:val="none"/>
        </w:rPr>
        <w:t>不可预见的困难包括：</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pStyle w:val="41"/>
        <w:rPr>
          <w:rFonts w:ascii="黑体" w:hAnsi="黑体" w:eastAsia="黑体"/>
          <w:b w:val="0"/>
          <w:bCs/>
          <w:color w:val="auto"/>
          <w:sz w:val="24"/>
          <w:szCs w:val="24"/>
          <w:highlight w:val="none"/>
        </w:rPr>
      </w:pPr>
      <w:bookmarkStart w:id="1102" w:name="_Toc54862336"/>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5条</w:t>
      </w:r>
      <w:r>
        <w:rPr>
          <w:rFonts w:hint="eastAsia" w:ascii="黑体" w:hAnsi="黑体" w:eastAsia="黑体"/>
          <w:b w:val="0"/>
          <w:bCs/>
          <w:color w:val="auto"/>
          <w:sz w:val="24"/>
          <w:szCs w:val="24"/>
          <w:highlight w:val="none"/>
        </w:rPr>
        <w:t xml:space="preserve"> 设计</w:t>
      </w:r>
      <w:bookmarkEnd w:id="1102"/>
    </w:p>
    <w:p>
      <w:pPr>
        <w:ind w:firstLine="600"/>
        <w:rPr>
          <w:rFonts w:ascii="黑体" w:hAnsi="黑体" w:eastAsia="黑体"/>
          <w:color w:val="auto"/>
          <w:sz w:val="24"/>
          <w:highlight w:val="none"/>
        </w:rPr>
      </w:pPr>
      <w:r>
        <w:rPr>
          <w:rFonts w:ascii="黑体" w:hAnsi="黑体" w:eastAsia="黑体"/>
          <w:color w:val="auto"/>
          <w:sz w:val="24"/>
          <w:highlight w:val="none"/>
        </w:rPr>
        <w:t xml:space="preserve">5.2 </w:t>
      </w:r>
      <w:r>
        <w:rPr>
          <w:rFonts w:hint="eastAsia" w:ascii="黑体" w:hAnsi="黑体" w:eastAsia="黑体"/>
          <w:color w:val="auto"/>
          <w:sz w:val="24"/>
          <w:highlight w:val="none"/>
        </w:rPr>
        <w:t>承包人文件审查</w:t>
      </w:r>
    </w:p>
    <w:p>
      <w:pPr>
        <w:ind w:firstLine="600"/>
        <w:rPr>
          <w:rFonts w:ascii="仿宋_GB2312" w:eastAsia="仿宋_GB2312"/>
          <w:color w:val="auto"/>
          <w:sz w:val="24"/>
          <w:highlight w:val="none"/>
        </w:rPr>
      </w:pPr>
      <w:r>
        <w:rPr>
          <w:rFonts w:hint="eastAsia" w:ascii="仿宋_GB2312" w:eastAsia="仿宋_GB2312"/>
          <w:color w:val="auto"/>
          <w:sz w:val="24"/>
          <w:highlight w:val="none"/>
        </w:rPr>
        <w:t>5</w:t>
      </w:r>
      <w:r>
        <w:rPr>
          <w:rFonts w:ascii="仿宋_GB2312" w:eastAsia="仿宋_GB2312"/>
          <w:color w:val="auto"/>
          <w:sz w:val="24"/>
          <w:highlight w:val="none"/>
        </w:rPr>
        <w:t xml:space="preserve">.2.1 </w:t>
      </w:r>
      <w:r>
        <w:rPr>
          <w:rFonts w:hint="eastAsia" w:ascii="仿宋_GB2312" w:eastAsia="仿宋_GB2312"/>
          <w:color w:val="auto"/>
          <w:sz w:val="24"/>
          <w:highlight w:val="none"/>
        </w:rPr>
        <w:t>承包人文件审查的期限：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5.2.2 </w:t>
      </w:r>
      <w:r>
        <w:rPr>
          <w:rFonts w:hint="eastAsia" w:ascii="仿宋_GB2312" w:eastAsia="仿宋_GB2312"/>
          <w:color w:val="auto"/>
          <w:sz w:val="24"/>
          <w:highlight w:val="none"/>
        </w:rPr>
        <w:t>审查会议的审查形式和时间安排为：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，审查会议的相关费用由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5</w:t>
      </w:r>
      <w:r>
        <w:rPr>
          <w:rFonts w:ascii="仿宋_GB2312" w:eastAsia="仿宋_GB2312"/>
          <w:color w:val="auto"/>
          <w:sz w:val="24"/>
          <w:highlight w:val="none"/>
        </w:rPr>
        <w:t xml:space="preserve">.2.3 </w:t>
      </w:r>
      <w:r>
        <w:rPr>
          <w:rFonts w:hint="eastAsia" w:ascii="仿宋_GB2312" w:eastAsia="仿宋_GB2312"/>
          <w:color w:val="auto"/>
          <w:sz w:val="24"/>
          <w:highlight w:val="none"/>
        </w:rPr>
        <w:t>关于第三方审查单位的约定：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5.3 </w:t>
      </w:r>
      <w:r>
        <w:rPr>
          <w:rFonts w:hint="eastAsia" w:ascii="黑体" w:hAnsi="黑体" w:eastAsia="黑体"/>
          <w:color w:val="auto"/>
          <w:sz w:val="24"/>
          <w:highlight w:val="none"/>
        </w:rPr>
        <w:t>培训</w:t>
      </w:r>
    </w:p>
    <w:p>
      <w:pPr>
        <w:ind w:firstLine="600"/>
        <w:rPr>
          <w:rFonts w:ascii="仿宋_GB2312" w:eastAsia="仿宋_GB2312"/>
          <w:color w:val="auto"/>
          <w:sz w:val="24"/>
          <w:highlight w:val="none"/>
        </w:rPr>
      </w:pPr>
      <w:r>
        <w:rPr>
          <w:rFonts w:hint="eastAsia" w:ascii="仿宋_GB2312" w:eastAsia="仿宋_GB2312"/>
          <w:color w:val="auto"/>
          <w:sz w:val="24"/>
          <w:highlight w:val="none"/>
        </w:rPr>
        <w:t>培训的时长为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，承包人应为培训提供的人员、设施和其它必要条件为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5.4 </w:t>
      </w:r>
      <w:r>
        <w:rPr>
          <w:rFonts w:hint="eastAsia" w:ascii="黑体" w:hAnsi="黑体" w:eastAsia="黑体"/>
          <w:color w:val="auto"/>
          <w:sz w:val="24"/>
          <w:highlight w:val="none"/>
        </w:rPr>
        <w:t>竣工文件</w:t>
      </w:r>
    </w:p>
    <w:p>
      <w:pPr>
        <w:ind w:firstLine="600"/>
        <w:rPr>
          <w:rFonts w:ascii="仿宋_GB2312" w:eastAsia="仿宋_GB2312"/>
          <w:color w:val="auto"/>
          <w:sz w:val="24"/>
          <w:highlight w:val="none"/>
        </w:rPr>
      </w:pPr>
      <w:r>
        <w:rPr>
          <w:rFonts w:ascii="仿宋_GB2312" w:eastAsia="仿宋_GB2312"/>
          <w:color w:val="auto"/>
          <w:sz w:val="24"/>
          <w:highlight w:val="none"/>
        </w:rPr>
        <w:t xml:space="preserve">5.4.1 </w:t>
      </w:r>
      <w:r>
        <w:rPr>
          <w:rFonts w:hint="eastAsia" w:ascii="仿宋_GB2312" w:eastAsia="仿宋_GB2312"/>
          <w:color w:val="auto"/>
          <w:sz w:val="24"/>
          <w:highlight w:val="none"/>
        </w:rPr>
        <w:t>竣工文件的形式、提供的份数、技术标准以及其它相关要求：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5</w:t>
      </w:r>
      <w:r>
        <w:rPr>
          <w:rFonts w:ascii="仿宋_GB2312" w:eastAsia="仿宋_GB2312"/>
          <w:color w:val="auto"/>
          <w:sz w:val="24"/>
          <w:highlight w:val="none"/>
        </w:rPr>
        <w:t xml:space="preserve">.4.3 </w:t>
      </w:r>
      <w:r>
        <w:rPr>
          <w:rFonts w:hint="eastAsia" w:ascii="仿宋_GB2312" w:eastAsia="仿宋_GB2312"/>
          <w:color w:val="auto"/>
          <w:sz w:val="24"/>
          <w:highlight w:val="none"/>
        </w:rPr>
        <w:t>关于竣工文件的其他约定：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5.5 </w:t>
      </w:r>
      <w:r>
        <w:rPr>
          <w:rFonts w:hint="eastAsia" w:ascii="黑体" w:hAnsi="黑体" w:eastAsia="黑体"/>
          <w:color w:val="auto"/>
          <w:sz w:val="24"/>
          <w:highlight w:val="none"/>
        </w:rPr>
        <w:t>操作和维修手册</w:t>
      </w:r>
    </w:p>
    <w:p>
      <w:pPr>
        <w:ind w:firstLine="600"/>
        <w:rPr>
          <w:rFonts w:ascii="仿宋_GB2312" w:eastAsia="仿宋_GB2312"/>
          <w:color w:val="auto"/>
          <w:sz w:val="24"/>
          <w:highlight w:val="none"/>
        </w:rPr>
      </w:pPr>
      <w:r>
        <w:rPr>
          <w:rFonts w:ascii="仿宋_GB2312" w:eastAsia="仿宋_GB2312"/>
          <w:color w:val="auto"/>
          <w:sz w:val="24"/>
          <w:highlight w:val="none"/>
        </w:rPr>
        <w:t xml:space="preserve">5.5.3 </w:t>
      </w:r>
      <w:r>
        <w:rPr>
          <w:rFonts w:hint="eastAsia" w:ascii="仿宋_GB2312" w:eastAsia="仿宋_GB2312"/>
          <w:color w:val="auto"/>
          <w:sz w:val="24"/>
          <w:highlight w:val="none"/>
        </w:rPr>
        <w:t>对最终操作和维修手册的约定：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rPr>
          <w:rFonts w:ascii="黑体" w:hAnsi="黑体" w:eastAsia="黑体"/>
          <w:b w:val="0"/>
          <w:bCs/>
          <w:color w:val="auto"/>
          <w:sz w:val="24"/>
          <w:szCs w:val="24"/>
          <w:highlight w:val="none"/>
        </w:rPr>
      </w:pPr>
      <w:bookmarkStart w:id="1103" w:name="_Toc54862337"/>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6条</w:t>
      </w:r>
      <w:r>
        <w:rPr>
          <w:rFonts w:hint="eastAsia" w:ascii="黑体" w:hAnsi="黑体" w:eastAsia="黑体"/>
          <w:b w:val="0"/>
          <w:bCs/>
          <w:color w:val="auto"/>
          <w:sz w:val="24"/>
          <w:szCs w:val="24"/>
          <w:highlight w:val="none"/>
        </w:rPr>
        <w:t xml:space="preserve"> 材料、工程设备</w:t>
      </w:r>
      <w:bookmarkEnd w:id="1103"/>
    </w:p>
    <w:p>
      <w:pPr>
        <w:ind w:firstLine="600"/>
        <w:rPr>
          <w:rFonts w:ascii="黑体" w:hAnsi="黑体" w:eastAsia="黑体"/>
          <w:color w:val="auto"/>
          <w:sz w:val="24"/>
          <w:highlight w:val="none"/>
        </w:rPr>
      </w:pPr>
      <w:r>
        <w:rPr>
          <w:rFonts w:ascii="黑体" w:hAnsi="黑体" w:eastAsia="黑体"/>
          <w:color w:val="auto"/>
          <w:sz w:val="24"/>
          <w:highlight w:val="none"/>
        </w:rPr>
        <w:t xml:space="preserve">6.1 </w:t>
      </w:r>
      <w:r>
        <w:rPr>
          <w:rFonts w:hint="eastAsia" w:ascii="黑体" w:hAnsi="黑体" w:eastAsia="黑体"/>
          <w:color w:val="auto"/>
          <w:sz w:val="24"/>
          <w:highlight w:val="none"/>
        </w:rPr>
        <w:t>实施方法</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双方当事人约定的实施方法、设备、设施和材料：</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6.2 </w:t>
      </w:r>
      <w:r>
        <w:rPr>
          <w:rFonts w:hint="eastAsia" w:ascii="黑体" w:hAnsi="黑体" w:eastAsia="黑体"/>
          <w:color w:val="auto"/>
          <w:sz w:val="24"/>
          <w:highlight w:val="none"/>
        </w:rPr>
        <w:t>材料和工程设备</w:t>
      </w:r>
    </w:p>
    <w:p>
      <w:pPr>
        <w:ind w:firstLine="600"/>
        <w:rPr>
          <w:rFonts w:ascii="仿宋_GB2312" w:eastAsia="仿宋_GB2312"/>
          <w:color w:val="auto"/>
          <w:sz w:val="24"/>
          <w:highlight w:val="none"/>
        </w:rPr>
      </w:pPr>
      <w:r>
        <w:rPr>
          <w:rFonts w:ascii="仿宋_GB2312" w:eastAsia="仿宋_GB2312"/>
          <w:color w:val="auto"/>
          <w:sz w:val="24"/>
          <w:highlight w:val="none"/>
        </w:rPr>
        <w:t xml:space="preserve">6.2.1 </w:t>
      </w:r>
      <w:r>
        <w:rPr>
          <w:rFonts w:hint="eastAsia" w:ascii="仿宋_GB2312" w:eastAsia="仿宋_GB2312"/>
          <w:color w:val="auto"/>
          <w:sz w:val="24"/>
          <w:highlight w:val="none"/>
        </w:rPr>
        <w:t>发包人提供的材料和工程设备</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发包人提供的材料和工程设备验收后，由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负责接收、运输和保管。</w:t>
      </w:r>
    </w:p>
    <w:p>
      <w:pPr>
        <w:pStyle w:val="19"/>
        <w:rPr>
          <w:rFonts w:hint="default" w:eastAsia="仿宋_GB2312"/>
          <w:color w:val="auto"/>
          <w:sz w:val="24"/>
          <w:szCs w:val="24"/>
          <w:highlight w:val="none"/>
          <w:lang w:val="en-US" w:eastAsia="zh-CN"/>
        </w:rPr>
      </w:pPr>
      <w:r>
        <w:rPr>
          <w:rFonts w:hint="eastAsia" w:ascii="仿宋_GB2312" w:eastAsia="仿宋_GB2312"/>
          <w:color w:val="auto"/>
          <w:sz w:val="24"/>
          <w:highlight w:val="none"/>
          <w:lang w:val="en-US" w:eastAsia="zh-CN"/>
        </w:rPr>
        <w:t xml:space="preserve">   </w:t>
      </w:r>
      <w:r>
        <w:rPr>
          <w:rFonts w:hint="eastAsia" w:ascii="仿宋_GB2312" w:eastAsia="仿宋_GB2312"/>
          <w:b/>
          <w:bCs/>
          <w:color w:val="auto"/>
          <w:sz w:val="24"/>
          <w:szCs w:val="24"/>
          <w:highlight w:val="none"/>
        </w:rPr>
        <w:t>补充：在本项目工程需求量排名前三的主材，且影响质量安全的主材，实行甲控</w:t>
      </w: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rPr>
        <w:t>沥青</w:t>
      </w:r>
      <w:r>
        <w:rPr>
          <w:rFonts w:hint="eastAsia" w:ascii="仿宋_GB2312" w:eastAsia="仿宋_GB2312"/>
          <w:b/>
          <w:bCs/>
          <w:color w:val="auto"/>
          <w:sz w:val="24"/>
          <w:szCs w:val="24"/>
          <w:highlight w:val="none"/>
          <w:lang w:val="en-US" w:eastAsia="zh-CN"/>
        </w:rPr>
        <w:t>混凝土</w:t>
      </w:r>
      <w:r>
        <w:rPr>
          <w:rFonts w:hint="eastAsia" w:ascii="仿宋_GB2312" w:eastAsia="仿宋_GB2312"/>
          <w:b/>
          <w:bCs/>
          <w:color w:val="auto"/>
          <w:sz w:val="24"/>
          <w:szCs w:val="24"/>
          <w:highlight w:val="none"/>
        </w:rPr>
        <w:t>、钢材、砂石等与</w:t>
      </w:r>
      <w:r>
        <w:rPr>
          <w:rFonts w:hint="eastAsia" w:ascii="仿宋_GB2312" w:eastAsia="仿宋_GB2312"/>
          <w:b/>
          <w:color w:val="auto"/>
          <w:sz w:val="24"/>
          <w:szCs w:val="24"/>
          <w:highlight w:val="none"/>
          <w:u w:val="none"/>
          <w:lang w:val="en-US" w:eastAsia="zh-CN"/>
        </w:rPr>
        <w:t>发包人</w:t>
      </w:r>
      <w:r>
        <w:rPr>
          <w:rFonts w:hint="eastAsia" w:ascii="仿宋_GB2312" w:eastAsia="仿宋_GB2312"/>
          <w:b/>
          <w:bCs/>
          <w:color w:val="auto"/>
          <w:sz w:val="24"/>
          <w:szCs w:val="24"/>
          <w:highlight w:val="none"/>
        </w:rPr>
        <w:t>子公司经营范围相关联的材料，同等条件下优先考虑</w:t>
      </w:r>
      <w:r>
        <w:rPr>
          <w:rFonts w:hint="eastAsia" w:ascii="仿宋_GB2312" w:eastAsia="仿宋_GB2312"/>
          <w:b/>
          <w:color w:val="auto"/>
          <w:sz w:val="24"/>
          <w:szCs w:val="24"/>
          <w:highlight w:val="none"/>
          <w:u w:val="none"/>
          <w:lang w:val="en-US" w:eastAsia="zh-CN"/>
        </w:rPr>
        <w:t>发包人</w:t>
      </w:r>
      <w:r>
        <w:rPr>
          <w:rFonts w:hint="eastAsia" w:ascii="仿宋_GB2312" w:eastAsia="仿宋_GB2312"/>
          <w:b/>
          <w:bCs/>
          <w:color w:val="auto"/>
          <w:sz w:val="24"/>
          <w:szCs w:val="24"/>
          <w:highlight w:val="none"/>
        </w:rPr>
        <w:t>子公司。</w:t>
      </w:r>
    </w:p>
    <w:p>
      <w:pPr>
        <w:ind w:firstLine="600"/>
        <w:rPr>
          <w:rFonts w:ascii="仿宋_GB2312" w:eastAsia="仿宋_GB2312"/>
          <w:color w:val="auto"/>
          <w:sz w:val="24"/>
          <w:highlight w:val="none"/>
        </w:rPr>
      </w:pPr>
      <w:r>
        <w:rPr>
          <w:rFonts w:ascii="仿宋_GB2312" w:eastAsia="仿宋_GB2312"/>
          <w:color w:val="auto"/>
          <w:sz w:val="24"/>
          <w:highlight w:val="none"/>
        </w:rPr>
        <w:t xml:space="preserve">6.2.2 </w:t>
      </w:r>
      <w:r>
        <w:rPr>
          <w:rFonts w:hint="eastAsia" w:ascii="仿宋_GB2312" w:eastAsia="仿宋_GB2312"/>
          <w:color w:val="auto"/>
          <w:sz w:val="24"/>
          <w:highlight w:val="none"/>
        </w:rPr>
        <w:t>承包人提供的材料和工程设备</w:t>
      </w:r>
    </w:p>
    <w:p>
      <w:pPr>
        <w:ind w:firstLine="600"/>
        <w:rPr>
          <w:rFonts w:ascii="仿宋_GB2312" w:eastAsia="仿宋_GB2312"/>
          <w:color w:val="auto"/>
          <w:sz w:val="24"/>
          <w:highlight w:val="none"/>
        </w:rPr>
      </w:pPr>
      <w:r>
        <w:rPr>
          <w:rFonts w:hint="eastAsia" w:ascii="仿宋_GB2312" w:eastAsia="仿宋_GB2312"/>
          <w:color w:val="auto"/>
          <w:sz w:val="24"/>
          <w:highlight w:val="none"/>
        </w:rPr>
        <w:t>材料和工程设备的类别、估算数量：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竣工后试验的生产性材料的类别或（和）清单：</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6.2.3 </w:t>
      </w:r>
      <w:r>
        <w:rPr>
          <w:rFonts w:hint="eastAsia" w:ascii="仿宋_GB2312" w:eastAsia="仿宋_GB2312"/>
          <w:color w:val="auto"/>
          <w:sz w:val="24"/>
          <w:highlight w:val="none"/>
        </w:rPr>
        <w:t>材料和工程设备的保管</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发包人供应的材料和工程设备的保管费用由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承担。</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承包人提交保管、维护方案的时间：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发包人提供的库房、堆场、设施和设备：</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6.3 </w:t>
      </w:r>
      <w:r>
        <w:rPr>
          <w:rFonts w:hint="eastAsia" w:ascii="黑体" w:hAnsi="黑体" w:eastAsia="黑体"/>
          <w:color w:val="auto"/>
          <w:sz w:val="24"/>
          <w:highlight w:val="none"/>
        </w:rPr>
        <w:t>样品</w:t>
      </w:r>
    </w:p>
    <w:p>
      <w:pPr>
        <w:ind w:firstLine="600"/>
        <w:rPr>
          <w:rFonts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 xml:space="preserve">.3.1 </w:t>
      </w:r>
      <w:r>
        <w:rPr>
          <w:rFonts w:hint="eastAsia" w:ascii="仿宋_GB2312" w:eastAsia="仿宋_GB2312"/>
          <w:color w:val="auto"/>
          <w:sz w:val="24"/>
          <w:highlight w:val="none"/>
        </w:rPr>
        <w:t>样品的报送与封存</w:t>
      </w:r>
    </w:p>
    <w:p>
      <w:pPr>
        <w:ind w:firstLine="600"/>
        <w:rPr>
          <w:rFonts w:ascii="仿宋_GB2312" w:eastAsia="仿宋_GB2312"/>
          <w:color w:val="auto"/>
          <w:sz w:val="24"/>
          <w:highlight w:val="none"/>
        </w:rPr>
      </w:pPr>
      <w:r>
        <w:rPr>
          <w:rFonts w:ascii="仿宋_GB2312" w:eastAsia="仿宋_GB2312"/>
          <w:color w:val="auto"/>
          <w:sz w:val="24"/>
          <w:highlight w:val="none"/>
        </w:rPr>
        <w:t>需要承包人报送样品的材料或工程设备</w:t>
      </w:r>
      <w:r>
        <w:rPr>
          <w:rFonts w:hint="eastAsia" w:ascii="仿宋_GB2312" w:eastAsia="仿宋_GB2312"/>
          <w:color w:val="auto"/>
          <w:sz w:val="24"/>
          <w:highlight w:val="none"/>
        </w:rPr>
        <w:t>，样品种类、名称、规格、数量：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6.4 </w:t>
      </w:r>
      <w:r>
        <w:rPr>
          <w:rFonts w:hint="eastAsia" w:ascii="黑体" w:hAnsi="黑体" w:eastAsia="黑体"/>
          <w:color w:val="auto"/>
          <w:sz w:val="24"/>
          <w:highlight w:val="none"/>
        </w:rPr>
        <w:t>质量检查</w:t>
      </w:r>
    </w:p>
    <w:p>
      <w:pPr>
        <w:ind w:firstLine="600"/>
        <w:rPr>
          <w:rFonts w:ascii="仿宋_GB2312" w:eastAsia="仿宋_GB2312"/>
          <w:color w:val="auto"/>
          <w:sz w:val="24"/>
          <w:highlight w:val="none"/>
        </w:rPr>
      </w:pPr>
      <w:r>
        <w:rPr>
          <w:rFonts w:ascii="仿宋_GB2312" w:eastAsia="仿宋_GB2312"/>
          <w:color w:val="auto"/>
          <w:sz w:val="24"/>
          <w:highlight w:val="none"/>
        </w:rPr>
        <w:t xml:space="preserve">6.4.1 </w:t>
      </w:r>
      <w:r>
        <w:rPr>
          <w:rFonts w:hint="eastAsia" w:ascii="仿宋_GB2312" w:eastAsia="仿宋_GB2312"/>
          <w:color w:val="auto"/>
          <w:sz w:val="24"/>
          <w:highlight w:val="none"/>
        </w:rPr>
        <w:t>工程质量要求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工程质量的特殊标准或要求：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6.4.2 </w:t>
      </w:r>
      <w:r>
        <w:rPr>
          <w:rFonts w:hint="eastAsia" w:ascii="仿宋_GB2312" w:eastAsia="仿宋_GB2312"/>
          <w:color w:val="auto"/>
          <w:sz w:val="24"/>
          <w:highlight w:val="none"/>
        </w:rPr>
        <w:t>质量检查</w:t>
      </w:r>
    </w:p>
    <w:p>
      <w:pPr>
        <w:ind w:firstLine="600"/>
        <w:rPr>
          <w:rFonts w:ascii="仿宋_GB2312" w:eastAsia="仿宋_GB2312"/>
          <w:color w:val="auto"/>
          <w:sz w:val="24"/>
          <w:highlight w:val="none"/>
        </w:rPr>
      </w:pPr>
      <w:r>
        <w:rPr>
          <w:rFonts w:hint="eastAsia" w:ascii="仿宋_GB2312" w:eastAsia="仿宋_GB2312"/>
          <w:color w:val="auto"/>
          <w:sz w:val="24"/>
          <w:highlight w:val="none"/>
        </w:rPr>
        <w:t>除通用合同条件已列明的质量检查的地点外，发包人有权进行质量检查的其他地点：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ascii="仿宋_GB2312" w:eastAsia="仿宋_GB2312"/>
          <w:color w:val="auto"/>
          <w:sz w:val="24"/>
          <w:highlight w:val="none"/>
        </w:rPr>
        <w:t xml:space="preserve">6.4.3 </w:t>
      </w:r>
      <w:r>
        <w:rPr>
          <w:rFonts w:hint="eastAsia" w:ascii="仿宋_GB2312" w:eastAsia="仿宋_GB2312"/>
          <w:color w:val="auto"/>
          <w:sz w:val="24"/>
          <w:highlight w:val="none"/>
        </w:rPr>
        <w:t>隐蔽工程检查</w:t>
      </w:r>
    </w:p>
    <w:p>
      <w:pPr>
        <w:ind w:firstLine="600"/>
        <w:rPr>
          <w:rFonts w:ascii="仿宋_GB2312" w:eastAsia="仿宋_GB2312"/>
          <w:color w:val="auto"/>
          <w:sz w:val="24"/>
          <w:highlight w:val="none"/>
        </w:rPr>
      </w:pPr>
      <w:r>
        <w:rPr>
          <w:rFonts w:hint="eastAsia" w:ascii="仿宋_GB2312" w:eastAsia="仿宋_GB2312"/>
          <w:color w:val="auto"/>
          <w:sz w:val="24"/>
          <w:highlight w:val="none"/>
        </w:rPr>
        <w:t>关于隐蔽工程和中间验收的特别约定：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ascii="黑体" w:hAnsi="黑体" w:eastAsia="黑体"/>
          <w:color w:val="auto"/>
          <w:sz w:val="24"/>
          <w:highlight w:val="none"/>
        </w:rPr>
        <w:t xml:space="preserve">6.5 </w:t>
      </w:r>
      <w:r>
        <w:rPr>
          <w:rFonts w:hint="eastAsia" w:ascii="黑体" w:hAnsi="黑体" w:eastAsia="黑体"/>
          <w:color w:val="auto"/>
          <w:sz w:val="24"/>
          <w:highlight w:val="none"/>
        </w:rPr>
        <w:t>由承包人试验和检验</w:t>
      </w:r>
    </w:p>
    <w:p>
      <w:pPr>
        <w:ind w:firstLine="600"/>
        <w:rPr>
          <w:rFonts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 xml:space="preserve">.5.1 </w:t>
      </w:r>
      <w:r>
        <w:rPr>
          <w:rFonts w:hint="eastAsia" w:ascii="仿宋_GB2312" w:eastAsia="仿宋_GB2312"/>
          <w:color w:val="auto"/>
          <w:sz w:val="24"/>
          <w:highlight w:val="none"/>
        </w:rPr>
        <w:t>试验设备与试验人员</w:t>
      </w:r>
    </w:p>
    <w:p>
      <w:pPr>
        <w:ind w:firstLine="600"/>
        <w:rPr>
          <w:rFonts w:ascii="仿宋_GB2312" w:eastAsia="仿宋_GB2312"/>
          <w:color w:val="auto"/>
          <w:sz w:val="24"/>
          <w:highlight w:val="none"/>
        </w:rPr>
      </w:pPr>
      <w:r>
        <w:rPr>
          <w:rFonts w:hint="eastAsia" w:ascii="仿宋_GB2312" w:eastAsia="仿宋_GB2312"/>
          <w:color w:val="auto"/>
          <w:sz w:val="24"/>
          <w:highlight w:val="none"/>
        </w:rPr>
        <w:t>试验的内容、时间和地点：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widowControl w:val="0"/>
        <w:kinsoku/>
        <w:wordWrap w:val="0"/>
        <w:overflowPunct/>
        <w:topLinePunct w:val="0"/>
        <w:autoSpaceDE/>
        <w:autoSpaceDN/>
        <w:bidi w:val="0"/>
        <w:adjustRightInd/>
        <w:snapToGrid/>
        <w:ind w:firstLine="601"/>
        <w:textAlignment w:val="auto"/>
        <w:rPr>
          <w:rFonts w:ascii="仿宋_GB2312" w:eastAsia="仿宋_GB2312"/>
          <w:color w:val="auto"/>
          <w:sz w:val="24"/>
          <w:highlight w:val="none"/>
        </w:rPr>
      </w:pPr>
      <w:r>
        <w:rPr>
          <w:rFonts w:hint="eastAsia" w:ascii="仿宋_GB2312" w:eastAsia="仿宋_GB2312"/>
          <w:color w:val="auto"/>
          <w:sz w:val="24"/>
          <w:highlight w:val="none"/>
        </w:rPr>
        <w:t>试验所需要的试验设备、取样装置、试验场所和试验条件：</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u w:val="single"/>
        </w:rPr>
      </w:pPr>
      <w:r>
        <w:rPr>
          <w:rFonts w:hint="eastAsia" w:ascii="仿宋_GB2312" w:eastAsia="仿宋_GB2312"/>
          <w:color w:val="auto"/>
          <w:sz w:val="24"/>
          <w:highlight w:val="none"/>
        </w:rPr>
        <w:t>试验和检验费用的计价原则：</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rPr>
          <w:rFonts w:ascii="黑体" w:hAnsi="黑体" w:eastAsia="黑体"/>
          <w:color w:val="auto"/>
          <w:sz w:val="24"/>
          <w:szCs w:val="24"/>
          <w:highlight w:val="none"/>
        </w:rPr>
      </w:pPr>
      <w:bookmarkStart w:id="1104" w:name="_Toc54862338"/>
      <w:r>
        <w:rPr>
          <w:rFonts w:hint="eastAsia" w:ascii="黑体" w:hAnsi="黑体" w:eastAsia="黑体"/>
          <w:color w:val="auto"/>
          <w:sz w:val="24"/>
          <w:szCs w:val="24"/>
          <w:highlight w:val="none"/>
        </w:rPr>
        <w:t>第</w:t>
      </w:r>
      <w:r>
        <w:rPr>
          <w:rFonts w:ascii="黑体" w:hAnsi="黑体" w:eastAsia="黑体"/>
          <w:color w:val="auto"/>
          <w:sz w:val="24"/>
          <w:szCs w:val="24"/>
          <w:highlight w:val="none"/>
        </w:rPr>
        <w:t>7条</w:t>
      </w:r>
      <w:r>
        <w:rPr>
          <w:rFonts w:hint="eastAsia" w:ascii="黑体" w:hAnsi="黑体" w:eastAsia="黑体"/>
          <w:color w:val="auto"/>
          <w:sz w:val="24"/>
          <w:szCs w:val="24"/>
          <w:highlight w:val="none"/>
        </w:rPr>
        <w:t xml:space="preserve"> 施工</w:t>
      </w:r>
      <w:bookmarkEnd w:id="1104"/>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7.1 </w:t>
      </w:r>
      <w:r>
        <w:rPr>
          <w:rFonts w:hint="eastAsia" w:ascii="黑体" w:hAnsi="黑体" w:eastAsia="黑体"/>
          <w:color w:val="auto"/>
          <w:sz w:val="24"/>
          <w:highlight w:val="none"/>
        </w:rPr>
        <w:t>交通运输</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7.1.1 </w:t>
      </w:r>
      <w:r>
        <w:rPr>
          <w:rFonts w:hint="eastAsia" w:ascii="仿宋_GB2312" w:eastAsia="仿宋_GB2312"/>
          <w:color w:val="auto"/>
          <w:sz w:val="24"/>
          <w:highlight w:val="none"/>
        </w:rPr>
        <w:t>出入现场的权利</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关于出入现场的权利的约定：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7.1.2 </w:t>
      </w:r>
      <w:r>
        <w:rPr>
          <w:rFonts w:hint="eastAsia" w:ascii="仿宋_GB2312" w:eastAsia="仿宋_GB2312"/>
          <w:color w:val="auto"/>
          <w:sz w:val="24"/>
          <w:highlight w:val="none"/>
        </w:rPr>
        <w:t>场外交通</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关于场外交通的特别约定：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7.1.3 </w:t>
      </w:r>
      <w:r>
        <w:rPr>
          <w:rFonts w:hint="eastAsia" w:ascii="仿宋_GB2312" w:eastAsia="仿宋_GB2312"/>
          <w:color w:val="auto"/>
          <w:sz w:val="24"/>
          <w:highlight w:val="none"/>
        </w:rPr>
        <w:t>场内交通</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关于场内交通的特别约定：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关于场内交通与场外交通边界的约定：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7.1.4 </w:t>
      </w:r>
      <w:r>
        <w:rPr>
          <w:rFonts w:hint="eastAsia" w:ascii="仿宋_GB2312" w:eastAsia="仿宋_GB2312"/>
          <w:color w:val="auto"/>
          <w:sz w:val="24"/>
          <w:highlight w:val="none"/>
        </w:rPr>
        <w:t>超大件和超重件的运输</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运输超大件或超重件所需的道路和桥梁临时加固改造费用和其他有关费用由</w:t>
      </w:r>
      <w:r>
        <w:rPr>
          <w:rFonts w:ascii="仿宋_GB2312" w:eastAsia="仿宋_GB2312"/>
          <w:color w:val="auto"/>
          <w:sz w:val="24"/>
          <w:highlight w:val="none"/>
          <w:u w:val="single"/>
        </w:rPr>
        <w:t xml:space="preserve">            </w:t>
      </w:r>
      <w:r>
        <w:rPr>
          <w:rFonts w:ascii="仿宋_GB2312" w:eastAsia="仿宋_GB2312"/>
          <w:color w:val="auto"/>
          <w:sz w:val="24"/>
          <w:highlight w:val="none"/>
        </w:rPr>
        <w:t>承担。</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7.2 </w:t>
      </w:r>
      <w:r>
        <w:rPr>
          <w:rFonts w:hint="eastAsia" w:ascii="黑体" w:hAnsi="黑体" w:eastAsia="黑体"/>
          <w:color w:val="auto"/>
          <w:sz w:val="24"/>
          <w:highlight w:val="none"/>
        </w:rPr>
        <w:t>施工设备和临时设施</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7.2.1 </w:t>
      </w:r>
      <w:r>
        <w:rPr>
          <w:rFonts w:hint="eastAsia" w:ascii="仿宋_GB2312" w:eastAsia="仿宋_GB2312"/>
          <w:color w:val="auto"/>
          <w:sz w:val="24"/>
          <w:highlight w:val="none"/>
        </w:rPr>
        <w:t>承包人提供的施工设备和临时设施</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临时设施的费用和临时占地手续和费用承担的特别约定：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7.2.2 </w:t>
      </w:r>
      <w:r>
        <w:rPr>
          <w:rFonts w:hint="eastAsia" w:ascii="仿宋_GB2312" w:eastAsia="仿宋_GB2312"/>
          <w:color w:val="auto"/>
          <w:sz w:val="24"/>
          <w:highlight w:val="none"/>
        </w:rPr>
        <w:t>发包人提供的施工设备和临时设施</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发包人提供的施工设备或临时设施范围：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7.3 </w:t>
      </w:r>
      <w:r>
        <w:rPr>
          <w:rFonts w:hint="eastAsia" w:ascii="黑体" w:hAnsi="黑体" w:eastAsia="黑体"/>
          <w:color w:val="auto"/>
          <w:sz w:val="24"/>
          <w:highlight w:val="none"/>
        </w:rPr>
        <w:t>现场合作</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关于现场合作费用的特别约定：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7.4 </w:t>
      </w:r>
      <w:r>
        <w:rPr>
          <w:rFonts w:hint="eastAsia" w:ascii="黑体" w:hAnsi="黑体" w:eastAsia="黑体"/>
          <w:color w:val="auto"/>
          <w:sz w:val="24"/>
          <w:highlight w:val="none"/>
        </w:rPr>
        <w:t>测量放线</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7</w:t>
      </w:r>
      <w:r>
        <w:rPr>
          <w:rFonts w:ascii="仿宋_GB2312" w:eastAsia="仿宋_GB2312"/>
          <w:color w:val="auto"/>
          <w:sz w:val="24"/>
          <w:highlight w:val="none"/>
        </w:rPr>
        <w:t xml:space="preserve">.4.1 </w:t>
      </w:r>
      <w:r>
        <w:rPr>
          <w:rFonts w:hint="eastAsia" w:ascii="仿宋_GB2312" w:eastAsia="仿宋_GB2312"/>
          <w:color w:val="auto"/>
          <w:sz w:val="24"/>
          <w:highlight w:val="none"/>
        </w:rPr>
        <w:t>关于测量放线的特别约定的技术规范：</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。施工控制网资料的告知期限：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7.5 </w:t>
      </w:r>
      <w:r>
        <w:rPr>
          <w:rFonts w:hint="eastAsia" w:ascii="黑体" w:hAnsi="黑体" w:eastAsia="黑体"/>
          <w:color w:val="auto"/>
          <w:sz w:val="24"/>
          <w:highlight w:val="none"/>
        </w:rPr>
        <w:t>现场劳动用工</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7</w:t>
      </w:r>
      <w:r>
        <w:rPr>
          <w:rFonts w:ascii="仿宋_GB2312" w:eastAsia="仿宋_GB2312"/>
          <w:color w:val="auto"/>
          <w:sz w:val="24"/>
          <w:highlight w:val="none"/>
        </w:rPr>
        <w:t xml:space="preserve">.5.2 </w:t>
      </w:r>
      <w:r>
        <w:rPr>
          <w:rFonts w:hint="eastAsia" w:ascii="仿宋_GB2312" w:eastAsia="仿宋_GB2312"/>
          <w:color w:val="auto"/>
          <w:sz w:val="24"/>
          <w:highlight w:val="none"/>
        </w:rPr>
        <w:t>合同当事人对建筑工人工资清偿事宜和违约责任的约定：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7.6 </w:t>
      </w:r>
      <w:r>
        <w:rPr>
          <w:rFonts w:hint="eastAsia" w:ascii="黑体" w:hAnsi="黑体" w:eastAsia="黑体"/>
          <w:color w:val="auto"/>
          <w:sz w:val="24"/>
          <w:highlight w:val="none"/>
        </w:rPr>
        <w:t>安全文明施工</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7.6.1 </w:t>
      </w:r>
      <w:r>
        <w:rPr>
          <w:rFonts w:hint="eastAsia" w:ascii="仿宋_GB2312" w:eastAsia="仿宋_GB2312"/>
          <w:color w:val="auto"/>
          <w:sz w:val="24"/>
          <w:highlight w:val="none"/>
        </w:rPr>
        <w:t>安全生产要求</w:t>
      </w:r>
    </w:p>
    <w:p>
      <w:pPr>
        <w:keepNext w:val="0"/>
        <w:keepLines w:val="0"/>
        <w:pageBreakBefore w:val="0"/>
        <w:kinsoku/>
        <w:wordWrap w:val="0"/>
        <w:overflowPunct/>
        <w:topLinePunct w:val="0"/>
        <w:autoSpaceDE/>
        <w:autoSpaceDN/>
        <w:bidi w:val="0"/>
        <w:ind w:left="124" w:leftChars="59"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合同当事人对安全施工的要求：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7.6.3 </w:t>
      </w:r>
      <w:r>
        <w:rPr>
          <w:rFonts w:hint="eastAsia" w:ascii="仿宋_GB2312" w:eastAsia="仿宋_GB2312"/>
          <w:color w:val="auto"/>
          <w:sz w:val="24"/>
          <w:highlight w:val="none"/>
        </w:rPr>
        <w:t>文明施工</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合同当事人对文明施工的要求：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7.9 </w:t>
      </w:r>
      <w:r>
        <w:rPr>
          <w:rFonts w:hint="eastAsia" w:ascii="黑体" w:hAnsi="黑体" w:eastAsia="黑体"/>
          <w:color w:val="auto"/>
          <w:sz w:val="24"/>
          <w:highlight w:val="none"/>
        </w:rPr>
        <w:t>临时性公用设施</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关于临时性公用设施的特别约定：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7.10 </w:t>
      </w:r>
      <w:r>
        <w:rPr>
          <w:rFonts w:hint="eastAsia" w:ascii="黑体" w:hAnsi="黑体" w:eastAsia="黑体"/>
          <w:color w:val="auto"/>
          <w:sz w:val="24"/>
          <w:highlight w:val="none"/>
        </w:rPr>
        <w:t>现场安保</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承包人现场安保义务的特别约定：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05" w:name="_Toc54862339"/>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8条</w:t>
      </w:r>
      <w:r>
        <w:rPr>
          <w:rFonts w:hint="eastAsia" w:ascii="黑体" w:hAnsi="黑体" w:eastAsia="黑体"/>
          <w:b w:val="0"/>
          <w:bCs/>
          <w:color w:val="auto"/>
          <w:sz w:val="24"/>
          <w:szCs w:val="24"/>
          <w:highlight w:val="none"/>
        </w:rPr>
        <w:t xml:space="preserve"> 工期和进度</w:t>
      </w:r>
      <w:bookmarkEnd w:id="1105"/>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8.1 </w:t>
      </w:r>
      <w:r>
        <w:rPr>
          <w:rFonts w:hint="eastAsia" w:ascii="黑体" w:hAnsi="黑体" w:eastAsia="黑体"/>
          <w:color w:val="auto"/>
          <w:sz w:val="24"/>
          <w:highlight w:val="none"/>
        </w:rPr>
        <w:t>开始工作</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8.1.1 </w:t>
      </w:r>
      <w:r>
        <w:rPr>
          <w:rFonts w:hint="eastAsia" w:ascii="仿宋_GB2312" w:eastAsia="仿宋_GB2312"/>
          <w:color w:val="auto"/>
          <w:sz w:val="24"/>
          <w:highlight w:val="none"/>
        </w:rPr>
        <w:t>开始准备工作：</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8.1.2 </w:t>
      </w:r>
      <w:r>
        <w:rPr>
          <w:rFonts w:hint="eastAsia" w:ascii="仿宋_GB2312" w:eastAsia="仿宋_GB2312"/>
          <w:color w:val="auto"/>
          <w:sz w:val="24"/>
          <w:highlight w:val="none"/>
        </w:rPr>
        <w:t>发包人可在计划开始工作之日起</w:t>
      </w:r>
      <w:r>
        <w:rPr>
          <w:rFonts w:ascii="仿宋_GB2312" w:eastAsia="仿宋_GB2312"/>
          <w:color w:val="auto"/>
          <w:sz w:val="24"/>
          <w:highlight w:val="none"/>
        </w:rPr>
        <w:t>84</w:t>
      </w:r>
      <w:r>
        <w:rPr>
          <w:rFonts w:hint="eastAsia" w:ascii="仿宋_GB2312" w:eastAsia="仿宋_GB2312"/>
          <w:color w:val="auto"/>
          <w:sz w:val="24"/>
          <w:highlight w:val="none"/>
        </w:rPr>
        <w:t>日后发出开始工作通知的特殊情形：</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8.2 </w:t>
      </w:r>
      <w:r>
        <w:rPr>
          <w:rFonts w:hint="eastAsia" w:ascii="黑体" w:hAnsi="黑体" w:eastAsia="黑体"/>
          <w:color w:val="auto"/>
          <w:sz w:val="24"/>
          <w:highlight w:val="none"/>
        </w:rPr>
        <w:t>竣工日期</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竣工日期的约定：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8.3 </w:t>
      </w:r>
      <w:r>
        <w:rPr>
          <w:rFonts w:hint="eastAsia" w:ascii="黑体" w:hAnsi="黑体" w:eastAsia="黑体"/>
          <w:color w:val="auto"/>
          <w:sz w:val="24"/>
          <w:highlight w:val="none"/>
        </w:rPr>
        <w:t>项目实施计划</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8.3.1 </w:t>
      </w:r>
      <w:r>
        <w:rPr>
          <w:rFonts w:hint="eastAsia" w:ascii="仿宋_GB2312" w:eastAsia="仿宋_GB2312"/>
          <w:color w:val="auto"/>
          <w:sz w:val="24"/>
          <w:highlight w:val="none"/>
        </w:rPr>
        <w:t>项目实施计划的内容</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项目实施计划的内容：</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8.3.2 </w:t>
      </w:r>
      <w:r>
        <w:rPr>
          <w:rFonts w:hint="eastAsia" w:ascii="仿宋_GB2312" w:eastAsia="仿宋_GB2312"/>
          <w:color w:val="auto"/>
          <w:sz w:val="24"/>
          <w:highlight w:val="none"/>
        </w:rPr>
        <w:t>项目实施计划的提交和修改</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项目实施计划的提交及修改期限：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8.4 </w:t>
      </w:r>
      <w:r>
        <w:rPr>
          <w:rFonts w:hint="eastAsia" w:ascii="黑体" w:hAnsi="黑体" w:eastAsia="黑体"/>
          <w:color w:val="auto"/>
          <w:sz w:val="24"/>
          <w:highlight w:val="none"/>
        </w:rPr>
        <w:t>项目进度计划</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8.4.1 </w:t>
      </w:r>
      <w:r>
        <w:rPr>
          <w:rFonts w:hint="eastAsia" w:ascii="仿宋_GB2312" w:eastAsia="仿宋_GB2312"/>
          <w:color w:val="auto"/>
          <w:sz w:val="24"/>
          <w:highlight w:val="none"/>
        </w:rPr>
        <w:t>工程师在收到进度计划后确认或提出修改意见的期限：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8.4.2 </w:t>
      </w:r>
      <w:r>
        <w:rPr>
          <w:rFonts w:hint="eastAsia" w:ascii="仿宋_GB2312" w:eastAsia="仿宋_GB2312"/>
          <w:color w:val="auto"/>
          <w:sz w:val="24"/>
          <w:highlight w:val="none"/>
        </w:rPr>
        <w:t>进度计划的具体要求：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关键路径及关键路径变化的确定原则：</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承包人提交项目进度计划的份数和时间：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8.4.3 </w:t>
      </w:r>
      <w:r>
        <w:rPr>
          <w:rFonts w:hint="eastAsia" w:ascii="仿宋_GB2312" w:eastAsia="仿宋_GB2312"/>
          <w:color w:val="auto"/>
          <w:sz w:val="24"/>
          <w:highlight w:val="none"/>
        </w:rPr>
        <w:t>进度计划的修订</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承包人提交修订</w:t>
      </w:r>
      <w:r>
        <w:rPr>
          <w:rFonts w:ascii="仿宋_GB2312" w:eastAsia="仿宋_GB2312"/>
          <w:color w:val="auto"/>
          <w:sz w:val="24"/>
          <w:highlight w:val="none"/>
        </w:rPr>
        <w:t>项目进度计划</w:t>
      </w:r>
      <w:r>
        <w:rPr>
          <w:rFonts w:hint="eastAsia" w:ascii="仿宋_GB2312" w:eastAsia="仿宋_GB2312"/>
          <w:color w:val="auto"/>
          <w:sz w:val="24"/>
          <w:highlight w:val="none"/>
        </w:rPr>
        <w:t>申请报告的期限：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发包人批复修订</w:t>
      </w:r>
      <w:r>
        <w:rPr>
          <w:rFonts w:ascii="仿宋_GB2312" w:eastAsia="仿宋_GB2312"/>
          <w:color w:val="auto"/>
          <w:sz w:val="24"/>
          <w:highlight w:val="none"/>
        </w:rPr>
        <w:t>项目进度计划</w:t>
      </w:r>
      <w:r>
        <w:rPr>
          <w:rFonts w:hint="eastAsia" w:ascii="仿宋_GB2312" w:eastAsia="仿宋_GB2312"/>
          <w:color w:val="auto"/>
          <w:sz w:val="24"/>
          <w:highlight w:val="none"/>
        </w:rPr>
        <w:t>申请报告的期限：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承包人答复发包人提出修订合同计划的期限：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8.5 </w:t>
      </w:r>
      <w:r>
        <w:rPr>
          <w:rFonts w:hint="eastAsia" w:ascii="黑体" w:hAnsi="黑体" w:eastAsia="黑体"/>
          <w:color w:val="auto"/>
          <w:sz w:val="24"/>
          <w:highlight w:val="none"/>
        </w:rPr>
        <w:t>进度报告</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进度报告的具体要求：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8.7 </w:t>
      </w:r>
      <w:r>
        <w:rPr>
          <w:rFonts w:hint="eastAsia" w:ascii="黑体" w:hAnsi="黑体" w:eastAsia="黑体"/>
          <w:color w:val="auto"/>
          <w:sz w:val="24"/>
          <w:highlight w:val="none"/>
        </w:rPr>
        <w:t>工期延误</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8.7.2 </w:t>
      </w:r>
      <w:r>
        <w:rPr>
          <w:rFonts w:hint="eastAsia" w:ascii="仿宋_GB2312" w:eastAsia="仿宋_GB2312"/>
          <w:color w:val="auto"/>
          <w:sz w:val="24"/>
          <w:highlight w:val="none"/>
        </w:rPr>
        <w:t>因承包人原因导致工期延误</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因承包人原因使竣工日期延误，每延误1日的误期赔偿金额为合同协议书的合同价格的</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%或人民币金额为：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、累计最高赔偿金额为合同协议书的合同价格的：</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%或人民币金额为：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8.7.3 </w:t>
      </w:r>
      <w:r>
        <w:rPr>
          <w:rFonts w:hint="eastAsia" w:ascii="仿宋_GB2312" w:eastAsia="仿宋_GB2312"/>
          <w:color w:val="auto"/>
          <w:sz w:val="24"/>
          <w:highlight w:val="none"/>
        </w:rPr>
        <w:t>行政审批迟延</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行政审批报送的职责分工：</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8.7.4 </w:t>
      </w:r>
      <w:r>
        <w:rPr>
          <w:rFonts w:hint="eastAsia" w:ascii="仿宋_GB2312" w:eastAsia="仿宋_GB2312"/>
          <w:color w:val="auto"/>
          <w:sz w:val="24"/>
          <w:highlight w:val="none"/>
        </w:rPr>
        <w:t>异常恶劣的气候条件</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双方约定视为异常恶劣的气候条件的情形：</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8.8 </w:t>
      </w:r>
      <w:r>
        <w:rPr>
          <w:rFonts w:hint="eastAsia" w:ascii="黑体" w:hAnsi="黑体" w:eastAsia="黑体"/>
          <w:color w:val="auto"/>
          <w:sz w:val="24"/>
          <w:highlight w:val="none"/>
        </w:rPr>
        <w:t>工期提前</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8.8.2 </w:t>
      </w:r>
      <w:r>
        <w:rPr>
          <w:rFonts w:hint="eastAsia" w:ascii="仿宋_GB2312" w:eastAsia="仿宋_GB2312"/>
          <w:color w:val="auto"/>
          <w:sz w:val="24"/>
          <w:highlight w:val="none"/>
        </w:rPr>
        <w:t>承包人提前竣工的奖励：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06" w:name="_Toc54862340"/>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9条</w:t>
      </w:r>
      <w:r>
        <w:rPr>
          <w:rFonts w:hint="eastAsia" w:ascii="黑体" w:hAnsi="黑体" w:eastAsia="黑体"/>
          <w:b w:val="0"/>
          <w:bCs/>
          <w:color w:val="auto"/>
          <w:sz w:val="24"/>
          <w:szCs w:val="24"/>
          <w:highlight w:val="none"/>
        </w:rPr>
        <w:t xml:space="preserve"> 竣工试验</w:t>
      </w:r>
      <w:bookmarkEnd w:id="1106"/>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9.1 </w:t>
      </w:r>
      <w:r>
        <w:rPr>
          <w:rFonts w:hint="eastAsia" w:ascii="黑体" w:hAnsi="黑体" w:eastAsia="黑体"/>
          <w:color w:val="auto"/>
          <w:sz w:val="24"/>
          <w:highlight w:val="none"/>
        </w:rPr>
        <w:t>竣工试验的义务</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9.1.3 </w:t>
      </w:r>
      <w:r>
        <w:rPr>
          <w:rFonts w:hint="eastAsia" w:ascii="仿宋_GB2312" w:eastAsia="仿宋_GB2312"/>
          <w:color w:val="auto"/>
          <w:sz w:val="24"/>
          <w:highlight w:val="none"/>
        </w:rPr>
        <w:t>竣工试验的阶段、内容和顺序：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竣工试验的操作要求：</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07" w:name="_Toc4784273"/>
      <w:bookmarkEnd w:id="1107"/>
      <w:bookmarkStart w:id="1108" w:name="_Toc4784272"/>
      <w:bookmarkEnd w:id="1108"/>
      <w:bookmarkStart w:id="1109" w:name="_Toc54862341"/>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10条</w:t>
      </w:r>
      <w:r>
        <w:rPr>
          <w:rFonts w:hint="eastAsia" w:ascii="黑体" w:hAnsi="黑体" w:eastAsia="黑体"/>
          <w:b w:val="0"/>
          <w:bCs/>
          <w:color w:val="auto"/>
          <w:sz w:val="24"/>
          <w:szCs w:val="24"/>
          <w:highlight w:val="none"/>
        </w:rPr>
        <w:t xml:space="preserve"> 验收和工程接收</w:t>
      </w:r>
      <w:bookmarkEnd w:id="1109"/>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10.1 </w:t>
      </w:r>
      <w:r>
        <w:rPr>
          <w:rFonts w:hint="eastAsia" w:ascii="黑体" w:hAnsi="黑体" w:eastAsia="黑体"/>
          <w:color w:val="auto"/>
          <w:sz w:val="24"/>
          <w:highlight w:val="none"/>
        </w:rPr>
        <w:t>竣工验收</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10.1.2 </w:t>
      </w:r>
      <w:r>
        <w:rPr>
          <w:rFonts w:hint="eastAsia" w:ascii="仿宋_GB2312" w:eastAsia="仿宋_GB2312"/>
          <w:color w:val="auto"/>
          <w:sz w:val="24"/>
          <w:highlight w:val="none"/>
        </w:rPr>
        <w:t>关于竣工验收程序的约定：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bookmarkStart w:id="1110" w:name="_Hlk46406260"/>
      <w:r>
        <w:rPr>
          <w:rFonts w:hint="eastAsia" w:ascii="仿宋_GB2312" w:eastAsia="仿宋_GB2312"/>
          <w:color w:val="auto"/>
          <w:sz w:val="24"/>
          <w:highlight w:val="none"/>
        </w:rPr>
        <w:t>发包人不按照合同约定组织竣工验收、颁发工程接受证书的违约金的计算方式：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bookmarkEnd w:id="1110"/>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10.3</w:t>
      </w:r>
      <w:r>
        <w:rPr>
          <w:rFonts w:ascii="黑体" w:hAnsi="黑体" w:eastAsia="黑体"/>
          <w:color w:val="auto"/>
          <w:sz w:val="24"/>
          <w:highlight w:val="none"/>
        </w:rPr>
        <w:tab/>
      </w:r>
      <w:r>
        <w:rPr>
          <w:rFonts w:ascii="黑体" w:hAnsi="黑体" w:eastAsia="黑体"/>
          <w:color w:val="auto"/>
          <w:sz w:val="24"/>
          <w:highlight w:val="none"/>
        </w:rPr>
        <w:t xml:space="preserve"> 工程的接收</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10.3.1</w:t>
      </w:r>
      <w:r>
        <w:rPr>
          <w:rFonts w:hint="eastAsia" w:ascii="仿宋_GB2312" w:eastAsia="仿宋_GB2312"/>
          <w:color w:val="auto"/>
          <w:sz w:val="24"/>
          <w:highlight w:val="none"/>
        </w:rPr>
        <w:t>工程接收的先后顺序、时间安排和其他要求：</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10.3.2 </w:t>
      </w:r>
      <w:r>
        <w:rPr>
          <w:rFonts w:hint="eastAsia" w:ascii="仿宋_GB2312" w:eastAsia="仿宋_GB2312"/>
          <w:color w:val="auto"/>
          <w:sz w:val="24"/>
          <w:highlight w:val="none"/>
        </w:rPr>
        <w:t>接受工程时承包人需提交竣工验收资料的类别、内容、份数和提交时间：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10.3.3 </w:t>
      </w:r>
      <w:r>
        <w:rPr>
          <w:rFonts w:hint="eastAsia" w:ascii="仿宋_GB2312" w:eastAsia="仿宋_GB2312"/>
          <w:color w:val="auto"/>
          <w:sz w:val="24"/>
          <w:highlight w:val="none"/>
        </w:rPr>
        <w:t>发包人逾期接收工程的违约责任：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10.3.4 </w:t>
      </w:r>
      <w:r>
        <w:rPr>
          <w:rFonts w:hint="eastAsia" w:ascii="仿宋_GB2312" w:eastAsia="仿宋_GB2312"/>
          <w:color w:val="auto"/>
          <w:sz w:val="24"/>
          <w:highlight w:val="none"/>
        </w:rPr>
        <w:t>承包人无正当理由不移交工程的违约责任：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10.4 </w:t>
      </w:r>
      <w:r>
        <w:rPr>
          <w:rFonts w:hint="eastAsia" w:ascii="黑体" w:hAnsi="黑体" w:eastAsia="黑体"/>
          <w:color w:val="auto"/>
          <w:sz w:val="24"/>
          <w:highlight w:val="none"/>
        </w:rPr>
        <w:t>接收证书</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10.4.1 </w:t>
      </w:r>
      <w:r>
        <w:rPr>
          <w:rFonts w:hint="eastAsia" w:ascii="仿宋_GB2312" w:eastAsia="仿宋_GB2312"/>
          <w:color w:val="auto"/>
          <w:sz w:val="24"/>
          <w:highlight w:val="none"/>
        </w:rPr>
        <w:t>工程接收证书颁发时间：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10.5 </w:t>
      </w:r>
      <w:r>
        <w:rPr>
          <w:rFonts w:hint="eastAsia" w:ascii="黑体" w:hAnsi="黑体" w:eastAsia="黑体"/>
          <w:color w:val="auto"/>
          <w:sz w:val="24"/>
          <w:highlight w:val="none"/>
        </w:rPr>
        <w:t>竣工退场</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10.5.1 </w:t>
      </w:r>
      <w:r>
        <w:rPr>
          <w:rFonts w:hint="eastAsia" w:ascii="仿宋_GB2312" w:eastAsia="仿宋_GB2312"/>
          <w:color w:val="auto"/>
          <w:sz w:val="24"/>
          <w:highlight w:val="none"/>
        </w:rPr>
        <w:t>竣工退场的相关约定：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10.5.3</w:t>
      </w:r>
      <w:r>
        <w:rPr>
          <w:rFonts w:hint="eastAsia" w:ascii="仿宋_GB2312" w:eastAsia="仿宋_GB2312"/>
          <w:color w:val="auto"/>
          <w:sz w:val="24"/>
          <w:highlight w:val="none"/>
        </w:rPr>
        <w:t>人员撤离</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工程师同意需在缺陷责任期内继续工作和使用的人员、施工设备和临时工程的内容：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1" w:name="_Toc54862342"/>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11条</w:t>
      </w:r>
      <w:r>
        <w:rPr>
          <w:rFonts w:hint="eastAsia" w:ascii="黑体" w:hAnsi="黑体" w:eastAsia="黑体"/>
          <w:b w:val="0"/>
          <w:bCs/>
          <w:color w:val="auto"/>
          <w:sz w:val="24"/>
          <w:szCs w:val="24"/>
          <w:highlight w:val="none"/>
        </w:rPr>
        <w:t xml:space="preserve"> 缺陷责任与保修</w:t>
      </w:r>
      <w:bookmarkEnd w:id="1111"/>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11.2 </w:t>
      </w:r>
      <w:r>
        <w:rPr>
          <w:rFonts w:hint="eastAsia" w:ascii="黑体" w:hAnsi="黑体" w:eastAsia="黑体"/>
          <w:color w:val="auto"/>
          <w:sz w:val="24"/>
          <w:highlight w:val="none"/>
        </w:rPr>
        <w:t>缺陷责任期</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缺陷责任期的</w:t>
      </w:r>
      <w:r>
        <w:rPr>
          <w:rFonts w:hint="eastAsia" w:ascii="仿宋_GB2312" w:eastAsia="仿宋_GB2312"/>
          <w:color w:val="auto"/>
          <w:sz w:val="24"/>
          <w:highlight w:val="none"/>
        </w:rPr>
        <w:t>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11.3 </w:t>
      </w:r>
      <w:r>
        <w:rPr>
          <w:rFonts w:hint="eastAsia" w:ascii="黑体" w:hAnsi="黑体" w:eastAsia="黑体"/>
          <w:color w:val="auto"/>
          <w:sz w:val="24"/>
          <w:highlight w:val="none"/>
        </w:rPr>
        <w:t>缺陷调查</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11.3.4 </w:t>
      </w:r>
      <w:r>
        <w:rPr>
          <w:rFonts w:hint="eastAsia" w:ascii="仿宋_GB2312" w:eastAsia="仿宋_GB2312"/>
          <w:color w:val="auto"/>
          <w:sz w:val="24"/>
          <w:highlight w:val="none"/>
        </w:rPr>
        <w:t>修复通知</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承包人收到保修通知并到达工程现场的合理时间：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11.6 </w:t>
      </w:r>
      <w:r>
        <w:rPr>
          <w:rFonts w:hint="eastAsia" w:ascii="黑体" w:hAnsi="黑体" w:eastAsia="黑体"/>
          <w:color w:val="auto"/>
          <w:sz w:val="24"/>
          <w:highlight w:val="none"/>
        </w:rPr>
        <w:t>缺陷责任期终止证书</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承包人应于缺陷责任期届满后</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天内向发包人发出缺陷责任期届满通知，发包人应在收到缺陷责任期满通知后</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天内核实承包人是否履行缺陷修复义务，承包人未能履行缺陷修复义务的，发包人有权扣除相应金额的维修费用。发包人应在收到缺陷责任期届满通知后</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天内，向承包人颁发缺陷责任期终止证书。</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11.7 </w:t>
      </w:r>
      <w:r>
        <w:rPr>
          <w:rFonts w:hint="eastAsia" w:ascii="黑体" w:hAnsi="黑体" w:eastAsia="黑体"/>
          <w:color w:val="auto"/>
          <w:sz w:val="24"/>
          <w:highlight w:val="none"/>
        </w:rPr>
        <w:t>保修责任</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工程质量保修范围、期限和责任</w:t>
      </w:r>
      <w:r>
        <w:rPr>
          <w:rFonts w:ascii="仿宋_GB2312" w:eastAsia="仿宋_GB2312"/>
          <w:color w:val="auto"/>
          <w:sz w:val="24"/>
          <w:highlight w:val="none"/>
        </w:rPr>
        <w:t>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2" w:name="_Toc54862343"/>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12条</w:t>
      </w:r>
      <w:r>
        <w:rPr>
          <w:rFonts w:hint="eastAsia" w:ascii="黑体" w:hAnsi="黑体" w:eastAsia="黑体"/>
          <w:b w:val="0"/>
          <w:bCs/>
          <w:color w:val="auto"/>
          <w:sz w:val="24"/>
          <w:szCs w:val="24"/>
          <w:highlight w:val="none"/>
        </w:rPr>
        <w:t xml:space="preserve"> 竣工后试验</w:t>
      </w:r>
      <w:bookmarkEnd w:id="1112"/>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本合同工程是否包含竣工后试验：</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12.1 </w:t>
      </w:r>
      <w:r>
        <w:rPr>
          <w:rFonts w:hint="eastAsia" w:ascii="黑体" w:hAnsi="黑体" w:eastAsia="黑体"/>
          <w:color w:val="auto"/>
          <w:sz w:val="24"/>
          <w:highlight w:val="none"/>
        </w:rPr>
        <w:t>竣工后试验的程序</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12.1.2 </w:t>
      </w:r>
      <w:r>
        <w:rPr>
          <w:rFonts w:hint="eastAsia" w:ascii="仿宋_GB2312" w:eastAsia="仿宋_GB2312"/>
          <w:color w:val="auto"/>
          <w:sz w:val="24"/>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3" w:name="_Toc54862344"/>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13条</w:t>
      </w:r>
      <w:r>
        <w:rPr>
          <w:rFonts w:hint="eastAsia" w:ascii="黑体" w:hAnsi="黑体" w:eastAsia="黑体"/>
          <w:b w:val="0"/>
          <w:bCs/>
          <w:color w:val="auto"/>
          <w:sz w:val="24"/>
          <w:szCs w:val="24"/>
          <w:highlight w:val="none"/>
        </w:rPr>
        <w:t xml:space="preserve"> 变更与调整</w:t>
      </w:r>
      <w:bookmarkEnd w:id="1113"/>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13.2 </w:t>
      </w:r>
      <w:r>
        <w:rPr>
          <w:rFonts w:hint="eastAsia" w:ascii="黑体" w:hAnsi="黑体" w:eastAsia="黑体"/>
          <w:color w:val="auto"/>
          <w:sz w:val="24"/>
          <w:highlight w:val="none"/>
        </w:rPr>
        <w:t>承包人的合理化建议</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13.2.2 </w:t>
      </w:r>
      <w:r>
        <w:rPr>
          <w:rFonts w:hint="eastAsia" w:ascii="仿宋_GB2312" w:eastAsia="仿宋_GB2312"/>
          <w:color w:val="auto"/>
          <w:sz w:val="24"/>
          <w:highlight w:val="none"/>
        </w:rPr>
        <w:t>工程师应在收到承包人提交的合理化建议后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日内审查完毕并报送发包人，发现其中存在技术上的缺陷，应通知承包人修改。发包人应在收到工程师报送的合理化建议后</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日内审批完毕。合理化建议经发包人批准的，工程师应及时发出变更指示，由此引起的合同价格调整按照</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执行。发包人不同意变更的，工程师应书面通知承包人</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13.2.3 承包人提出的</w:t>
      </w:r>
      <w:r>
        <w:rPr>
          <w:rFonts w:hint="eastAsia" w:ascii="仿宋_GB2312" w:eastAsia="仿宋_GB2312"/>
          <w:color w:val="auto"/>
          <w:sz w:val="24"/>
          <w:highlight w:val="none"/>
        </w:rPr>
        <w:t>合理化变更</w:t>
      </w:r>
      <w:r>
        <w:rPr>
          <w:rFonts w:ascii="仿宋_GB2312" w:eastAsia="仿宋_GB2312"/>
          <w:color w:val="auto"/>
          <w:sz w:val="24"/>
          <w:highlight w:val="none"/>
        </w:rPr>
        <w:t>建议的</w:t>
      </w:r>
      <w:r>
        <w:rPr>
          <w:rFonts w:hint="eastAsia" w:ascii="仿宋_GB2312" w:eastAsia="仿宋_GB2312"/>
          <w:color w:val="auto"/>
          <w:sz w:val="24"/>
          <w:highlight w:val="none"/>
        </w:rPr>
        <w:t>利益分享约定</w:t>
      </w:r>
      <w:r>
        <w:rPr>
          <w:rFonts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13.3 </w:t>
      </w:r>
      <w:r>
        <w:rPr>
          <w:rFonts w:hint="eastAsia" w:ascii="黑体" w:hAnsi="黑体" w:eastAsia="黑体"/>
          <w:color w:val="auto"/>
          <w:sz w:val="24"/>
          <w:highlight w:val="none"/>
        </w:rPr>
        <w:t>变更程序</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13.3.3 变更估价</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13.3.3.1 变更估价原则</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关于变更估价原则的约定：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13.4 </w:t>
      </w:r>
      <w:r>
        <w:rPr>
          <w:rFonts w:hint="eastAsia" w:ascii="黑体" w:hAnsi="黑体" w:eastAsia="黑体"/>
          <w:color w:val="auto"/>
          <w:sz w:val="24"/>
          <w:highlight w:val="none"/>
        </w:rPr>
        <w:t>暂估价</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13.4.1 </w:t>
      </w:r>
      <w:r>
        <w:rPr>
          <w:rFonts w:hint="eastAsia" w:ascii="仿宋_GB2312" w:eastAsia="仿宋_GB2312"/>
          <w:color w:val="auto"/>
          <w:sz w:val="24"/>
          <w:highlight w:val="none"/>
        </w:rPr>
        <w:t>依法必须招标的暂估价项目</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承包人可以参与投标的暂估价项目范围：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承包人不得参与投标的暂估价项目范围：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招投标程序及其他约定：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13.4.2 </w:t>
      </w:r>
      <w:r>
        <w:rPr>
          <w:rFonts w:hint="eastAsia" w:ascii="仿宋_GB2312" w:eastAsia="仿宋_GB2312"/>
          <w:color w:val="auto"/>
          <w:sz w:val="24"/>
          <w:highlight w:val="none"/>
        </w:rPr>
        <w:t>不属于依法必须招标的暂估价项目</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不属于依法必须招标的暂估价项目的协商及估价的约定：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13.5 </w:t>
      </w:r>
      <w:r>
        <w:rPr>
          <w:rFonts w:hint="eastAsia" w:ascii="黑体" w:hAnsi="黑体" w:eastAsia="黑体"/>
          <w:color w:val="auto"/>
          <w:sz w:val="24"/>
          <w:highlight w:val="none"/>
        </w:rPr>
        <w:t>暂列金额</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其他关于暂列金额使用的约定：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13.8 </w:t>
      </w:r>
      <w:r>
        <w:rPr>
          <w:rFonts w:hint="eastAsia" w:ascii="黑体" w:hAnsi="黑体" w:eastAsia="黑体"/>
          <w:color w:val="auto"/>
          <w:sz w:val="24"/>
          <w:highlight w:val="none"/>
        </w:rPr>
        <w:t>市场价格波动引起的调整</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3.8.2 </w:t>
      </w:r>
      <w:r>
        <w:rPr>
          <w:rFonts w:hint="eastAsia" w:ascii="仿宋_GB2312" w:eastAsia="仿宋_GB2312"/>
          <w:color w:val="auto"/>
          <w:sz w:val="24"/>
          <w:highlight w:val="none"/>
        </w:rPr>
        <w:t>关于是否采用《价格指数权重表》的约定：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3.8.3 </w:t>
      </w:r>
      <w:r>
        <w:rPr>
          <w:rFonts w:hint="eastAsia" w:ascii="仿宋_GB2312" w:eastAsia="仿宋_GB2312"/>
          <w:color w:val="auto"/>
          <w:sz w:val="24"/>
          <w:highlight w:val="none"/>
        </w:rPr>
        <w:t>关于采用其他方式调整合同价款的约定：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4" w:name="_Toc54862345"/>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14条</w:t>
      </w:r>
      <w:r>
        <w:rPr>
          <w:rFonts w:hint="eastAsia" w:ascii="黑体" w:hAnsi="黑体" w:eastAsia="黑体"/>
          <w:b w:val="0"/>
          <w:bCs/>
          <w:color w:val="auto"/>
          <w:sz w:val="24"/>
          <w:szCs w:val="24"/>
          <w:highlight w:val="none"/>
        </w:rPr>
        <w:t xml:space="preserve"> 合同价格与支付</w:t>
      </w:r>
      <w:bookmarkEnd w:id="1114"/>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14.1 </w:t>
      </w:r>
      <w:r>
        <w:rPr>
          <w:rFonts w:hint="eastAsia" w:ascii="黑体" w:hAnsi="黑体" w:eastAsia="黑体"/>
          <w:color w:val="auto"/>
          <w:sz w:val="24"/>
          <w:highlight w:val="none"/>
        </w:rPr>
        <w:t>合同价格形式</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4.1.1 </w:t>
      </w:r>
      <w:r>
        <w:rPr>
          <w:rFonts w:hint="eastAsia" w:ascii="仿宋_GB2312" w:eastAsia="仿宋_GB2312"/>
          <w:color w:val="auto"/>
          <w:sz w:val="24"/>
          <w:highlight w:val="none"/>
        </w:rPr>
        <w:t>关于合同价格形式的约定：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4.1.2 </w:t>
      </w:r>
      <w:r>
        <w:rPr>
          <w:rFonts w:hint="eastAsia" w:ascii="仿宋_GB2312" w:eastAsia="仿宋_GB2312"/>
          <w:color w:val="auto"/>
          <w:sz w:val="24"/>
          <w:highlight w:val="none"/>
        </w:rPr>
        <w:t>关于合同价格调整的约定：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4.1.3 </w:t>
      </w:r>
      <w:r>
        <w:rPr>
          <w:rFonts w:hint="eastAsia" w:ascii="仿宋_GB2312" w:eastAsia="仿宋_GB2312"/>
          <w:color w:val="auto"/>
          <w:sz w:val="24"/>
          <w:highlight w:val="none"/>
        </w:rPr>
        <w:t>按实际完成的工程量支付工程价款的计量方法、估价方法：</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14.2 </w:t>
      </w:r>
      <w:r>
        <w:rPr>
          <w:rFonts w:hint="eastAsia" w:ascii="黑体" w:hAnsi="黑体" w:eastAsia="黑体"/>
          <w:color w:val="auto"/>
          <w:sz w:val="24"/>
          <w:highlight w:val="none"/>
        </w:rPr>
        <w:t>预付款</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14.2.1 </w:t>
      </w:r>
      <w:r>
        <w:rPr>
          <w:rFonts w:hint="eastAsia" w:ascii="仿宋_GB2312" w:eastAsia="仿宋_GB2312"/>
          <w:color w:val="auto"/>
          <w:sz w:val="24"/>
          <w:highlight w:val="none"/>
        </w:rPr>
        <w:t>预付款支付</w:t>
      </w:r>
    </w:p>
    <w:p>
      <w:pPr>
        <w:keepNext w:val="0"/>
        <w:keepLines w:val="0"/>
        <w:pageBreakBefore w:val="0"/>
        <w:kinsoku/>
        <w:wordWrap w:val="0"/>
        <w:overflowPunct/>
        <w:topLinePunct w:val="0"/>
        <w:autoSpaceDE/>
        <w:autoSpaceDN/>
        <w:bidi w:val="0"/>
        <w:ind w:firstLine="60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预付款的金额或比例为：</w:t>
      </w:r>
      <w:r>
        <w:rPr>
          <w:rFonts w:hint="eastAsia" w:ascii="仿宋_GB2312" w:eastAsia="仿宋_GB2312"/>
          <w:color w:val="auto"/>
          <w:sz w:val="24"/>
          <w:highlight w:val="none"/>
          <w:u w:val="single"/>
        </w:rPr>
        <w:t>合同签订后，预付</w:t>
      </w:r>
      <w:r>
        <w:rPr>
          <w:rFonts w:hint="eastAsia" w:ascii="仿宋_GB2312" w:eastAsia="仿宋_GB2312"/>
          <w:color w:val="auto"/>
          <w:sz w:val="24"/>
          <w:highlight w:val="none"/>
          <w:u w:val="single"/>
          <w:lang w:eastAsia="zh-CN"/>
        </w:rPr>
        <w:t>中标</w:t>
      </w:r>
      <w:r>
        <w:rPr>
          <w:rFonts w:hint="eastAsia" w:ascii="仿宋_GB2312" w:eastAsia="仿宋_GB2312"/>
          <w:color w:val="auto"/>
          <w:sz w:val="24"/>
          <w:highlight w:val="none"/>
          <w:u w:val="single"/>
        </w:rPr>
        <w:t>合同</w:t>
      </w:r>
      <w:r>
        <w:rPr>
          <w:rFonts w:hint="eastAsia" w:ascii="仿宋_GB2312" w:eastAsia="仿宋_GB2312"/>
          <w:color w:val="auto"/>
          <w:sz w:val="24"/>
          <w:highlight w:val="none"/>
          <w:u w:val="single"/>
          <w:lang w:val="en-US" w:eastAsia="zh-CN"/>
        </w:rPr>
        <w:t>金额</w:t>
      </w:r>
      <w:r>
        <w:rPr>
          <w:rFonts w:hint="eastAsia" w:ascii="仿宋_GB2312" w:eastAsia="仿宋_GB2312"/>
          <w:color w:val="auto"/>
          <w:sz w:val="24"/>
          <w:highlight w:val="none"/>
          <w:u w:val="single"/>
        </w:rPr>
        <w:t>的10%。</w:t>
      </w:r>
    </w:p>
    <w:p>
      <w:pPr>
        <w:keepNext w:val="0"/>
        <w:keepLines w:val="0"/>
        <w:pageBreakBefore w:val="0"/>
        <w:kinsoku/>
        <w:wordWrap w:val="0"/>
        <w:overflowPunct/>
        <w:topLinePunct w:val="0"/>
        <w:autoSpaceDE/>
        <w:autoSpaceDN/>
        <w:bidi w:val="0"/>
        <w:ind w:firstLine="600"/>
        <w:textAlignment w:val="auto"/>
        <w:rPr>
          <w:rFonts w:hint="eastAsia" w:ascii="仿宋_GB2312" w:eastAsia="仿宋_GB2312"/>
          <w:color w:val="auto"/>
          <w:sz w:val="24"/>
          <w:highlight w:val="none"/>
          <w:u w:val="single"/>
        </w:rPr>
      </w:pPr>
      <w:r>
        <w:rPr>
          <w:rFonts w:hint="eastAsia" w:ascii="仿宋_GB2312" w:eastAsia="仿宋_GB2312"/>
          <w:color w:val="auto"/>
          <w:sz w:val="24"/>
          <w:highlight w:val="none"/>
        </w:rPr>
        <w:t>预付款支付期限：</w:t>
      </w:r>
      <w:r>
        <w:rPr>
          <w:rFonts w:hint="eastAsia" w:ascii="仿宋_GB2312" w:eastAsia="仿宋_GB2312"/>
          <w:color w:val="auto"/>
          <w:sz w:val="24"/>
          <w:highlight w:val="none"/>
          <w:u w:val="single"/>
        </w:rPr>
        <w:t>发包方在承包方缴纳履约保证金或履约保函、设计及工程保险凭证七个工作日之内支付预付款。</w:t>
      </w:r>
    </w:p>
    <w:p>
      <w:pPr>
        <w:keepNext w:val="0"/>
        <w:keepLines w:val="0"/>
        <w:pageBreakBefore w:val="0"/>
        <w:kinsoku/>
        <w:wordWrap w:val="0"/>
        <w:overflowPunct/>
        <w:topLinePunct w:val="0"/>
        <w:autoSpaceDE/>
        <w:autoSpaceDN/>
        <w:bidi w:val="0"/>
        <w:ind w:firstLine="600"/>
        <w:textAlignment w:val="auto"/>
        <w:rPr>
          <w:rFonts w:hint="eastAsia" w:ascii="仿宋_GB2312" w:eastAsia="仿宋_GB2312"/>
          <w:color w:val="auto"/>
          <w:sz w:val="24"/>
          <w:highlight w:val="none"/>
          <w:u w:val="single"/>
        </w:rPr>
      </w:pPr>
      <w:r>
        <w:rPr>
          <w:rFonts w:hint="eastAsia" w:ascii="仿宋_GB2312" w:eastAsia="仿宋_GB2312"/>
          <w:color w:val="auto"/>
          <w:sz w:val="24"/>
          <w:highlight w:val="none"/>
        </w:rPr>
        <w:t>预付款扣回的方式：</w:t>
      </w:r>
      <w:r>
        <w:rPr>
          <w:rFonts w:hint="eastAsia" w:ascii="仿宋_GB2312" w:eastAsia="仿宋_GB2312"/>
          <w:color w:val="auto"/>
          <w:sz w:val="24"/>
          <w:highlight w:val="none"/>
          <w:u w:val="single"/>
        </w:rPr>
        <w:t>按工程进度款支付的比例一次性扣回。</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4.2.2预付款担保</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提供预付款担保期限：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预付款担保形式：</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14.3 </w:t>
      </w:r>
      <w:r>
        <w:rPr>
          <w:rFonts w:hint="eastAsia" w:ascii="黑体" w:hAnsi="黑体" w:eastAsia="黑体"/>
          <w:color w:val="auto"/>
          <w:sz w:val="24"/>
          <w:highlight w:val="none"/>
        </w:rPr>
        <w:t>工程进度款</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14.3.1 </w:t>
      </w:r>
      <w:r>
        <w:rPr>
          <w:rFonts w:hint="eastAsia" w:ascii="仿宋_GB2312" w:eastAsia="仿宋_GB2312"/>
          <w:color w:val="auto"/>
          <w:sz w:val="24"/>
          <w:highlight w:val="none"/>
        </w:rPr>
        <w:t>工程进度付款申请</w:t>
      </w:r>
    </w:p>
    <w:p>
      <w:pPr>
        <w:keepNext w:val="0"/>
        <w:keepLines w:val="0"/>
        <w:pageBreakBefore w:val="0"/>
        <w:widowControl/>
        <w:kinsoku/>
        <w:wordWrap w:val="0"/>
        <w:overflowPunct/>
        <w:topLinePunct w:val="0"/>
        <w:autoSpaceDE/>
        <w:autoSpaceDN/>
        <w:bidi w:val="0"/>
        <w:adjustRightInd w:val="0"/>
        <w:snapToGrid w:val="0"/>
        <w:ind w:firstLine="480" w:firstLineChars="200"/>
        <w:textAlignment w:val="auto"/>
        <w:rPr>
          <w:rFonts w:ascii="宋体" w:hAnsi="宋体" w:eastAsia="仿宋_GB2312" w:cs="宋体"/>
          <w:color w:val="auto"/>
          <w:sz w:val="18"/>
          <w:szCs w:val="18"/>
          <w:highlight w:val="none"/>
          <w:u w:val="single"/>
        </w:rPr>
      </w:pPr>
      <w:r>
        <w:rPr>
          <w:rFonts w:hint="eastAsia" w:ascii="仿宋_GB2312" w:eastAsia="仿宋_GB2312"/>
          <w:color w:val="auto"/>
          <w:sz w:val="24"/>
          <w:highlight w:val="none"/>
        </w:rPr>
        <w:t>工程进度付款申请方式</w:t>
      </w:r>
      <w:r>
        <w:rPr>
          <w:rFonts w:hint="eastAsia" w:ascii="仿宋_GB2312" w:eastAsia="仿宋_GB2312"/>
          <w:color w:val="auto"/>
          <w:sz w:val="24"/>
          <w:highlight w:val="none"/>
          <w:u w:val="single"/>
        </w:rPr>
        <w:t xml:space="preserve">          </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承包人提交进度付款申请单的格式、内容、份数和时间：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进度付款申请单应包括的内容：</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14.3.2 </w:t>
      </w:r>
      <w:r>
        <w:rPr>
          <w:rFonts w:hint="eastAsia" w:ascii="仿宋_GB2312" w:eastAsia="仿宋_GB2312"/>
          <w:color w:val="auto"/>
          <w:sz w:val="24"/>
          <w:highlight w:val="none"/>
        </w:rPr>
        <w:t>进度付款审核和支付</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进度付款的审核方式和支付的约定：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发包人应在进度款支付证书或临时进度款支付证书签发后的</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天内完成支付，发包人逾期支付进度款的，应按照</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支付违约金。</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14.4 </w:t>
      </w:r>
      <w:r>
        <w:rPr>
          <w:rFonts w:hint="eastAsia" w:ascii="黑体" w:hAnsi="黑体" w:eastAsia="黑体"/>
          <w:color w:val="auto"/>
          <w:sz w:val="24"/>
          <w:highlight w:val="none"/>
        </w:rPr>
        <w:t>付款计划表</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14.4.1 付款计划表的编制要求</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14.4.2 </w:t>
      </w:r>
      <w:r>
        <w:rPr>
          <w:rFonts w:hint="eastAsia" w:ascii="仿宋_GB2312" w:eastAsia="仿宋_GB2312"/>
          <w:color w:val="auto"/>
          <w:sz w:val="24"/>
          <w:highlight w:val="none"/>
        </w:rPr>
        <w:t>付款计划表的编制与审批</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付款计划表的编制：</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14.5 </w:t>
      </w:r>
      <w:r>
        <w:rPr>
          <w:rFonts w:hint="eastAsia" w:ascii="黑体" w:hAnsi="黑体" w:eastAsia="黑体"/>
          <w:color w:val="auto"/>
          <w:sz w:val="24"/>
          <w:highlight w:val="none"/>
        </w:rPr>
        <w:t>竣工结算</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14.5.1 </w:t>
      </w:r>
      <w:r>
        <w:rPr>
          <w:rFonts w:hint="eastAsia" w:ascii="仿宋_GB2312" w:eastAsia="仿宋_GB2312"/>
          <w:color w:val="auto"/>
          <w:sz w:val="24"/>
          <w:highlight w:val="none"/>
        </w:rPr>
        <w:t>竣工结算申请</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承包人提交竣工结算申请的时间：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竣工结算申请的资料清单和份数：</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竣工结算申请单的内容应包括：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14.5.2 </w:t>
      </w:r>
      <w:r>
        <w:rPr>
          <w:rFonts w:hint="eastAsia" w:ascii="仿宋_GB2312" w:eastAsia="仿宋_GB2312"/>
          <w:color w:val="auto"/>
          <w:sz w:val="24"/>
          <w:highlight w:val="none"/>
        </w:rPr>
        <w:t>竣工结算审核</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发包人审批竣工付款申请单的期限：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发包人完成竣工付款的期限：</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关于竣工付款证书异议部分复核的方式和程序：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14.6 </w:t>
      </w:r>
      <w:r>
        <w:rPr>
          <w:rFonts w:hint="eastAsia" w:ascii="黑体" w:hAnsi="黑体" w:eastAsia="黑体"/>
          <w:color w:val="auto"/>
          <w:sz w:val="24"/>
          <w:highlight w:val="none"/>
        </w:rPr>
        <w:t>质量保证金</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14.6.1 </w:t>
      </w:r>
      <w:r>
        <w:rPr>
          <w:rFonts w:hint="eastAsia" w:ascii="仿宋_GB2312" w:eastAsia="仿宋_GB2312"/>
          <w:color w:val="auto"/>
          <w:sz w:val="24"/>
          <w:highlight w:val="none"/>
        </w:rPr>
        <w:t>承包人提供质量保证金的方式</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质量</w:t>
      </w:r>
      <w:r>
        <w:rPr>
          <w:rFonts w:hint="eastAsia" w:ascii="仿宋_GB2312" w:eastAsia="仿宋_GB2312"/>
          <w:color w:val="auto"/>
          <w:sz w:val="24"/>
          <w:highlight w:val="none"/>
        </w:rPr>
        <w:t>保证金</w:t>
      </w:r>
      <w:r>
        <w:rPr>
          <w:rFonts w:ascii="仿宋_GB2312" w:eastAsia="仿宋_GB2312"/>
          <w:color w:val="auto"/>
          <w:sz w:val="24"/>
          <w:highlight w:val="none"/>
        </w:rPr>
        <w:t>采用以下</w:t>
      </w:r>
      <w:r>
        <w:rPr>
          <w:rFonts w:hint="eastAsia" w:ascii="仿宋_GB2312" w:eastAsia="仿宋_GB2312"/>
          <w:color w:val="auto"/>
          <w:sz w:val="24"/>
          <w:highlight w:val="none"/>
        </w:rPr>
        <w:t>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种</w:t>
      </w:r>
      <w:r>
        <w:rPr>
          <w:rFonts w:ascii="仿宋_GB2312" w:eastAsia="仿宋_GB2312"/>
          <w:color w:val="auto"/>
          <w:sz w:val="24"/>
          <w:highlight w:val="none"/>
        </w:rPr>
        <w:t>方式：</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 </w:t>
      </w:r>
      <w:r>
        <w:rPr>
          <w:rFonts w:hint="eastAsia" w:ascii="仿宋_GB2312" w:eastAsia="仿宋_GB2312"/>
          <w:color w:val="auto"/>
          <w:sz w:val="24"/>
          <w:highlight w:val="none"/>
        </w:rPr>
        <w:t>工程质量保证担保</w:t>
      </w:r>
      <w:r>
        <w:rPr>
          <w:rFonts w:ascii="仿宋_GB2312" w:eastAsia="仿宋_GB2312"/>
          <w:color w:val="auto"/>
          <w:sz w:val="24"/>
          <w:highlight w:val="none"/>
        </w:rPr>
        <w:t>，保证金额为：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(2) </w:t>
      </w:r>
      <w:r>
        <w:rPr>
          <w:rFonts w:ascii="仿宋_GB2312" w:eastAsia="仿宋_GB2312"/>
          <w:color w:val="auto"/>
          <w:sz w:val="24"/>
          <w:highlight w:val="none"/>
          <w:u w:val="single"/>
        </w:rPr>
        <w:t xml:space="preserve">       </w:t>
      </w:r>
      <w:r>
        <w:rPr>
          <w:rFonts w:ascii="仿宋_GB2312" w:eastAsia="仿宋_GB2312"/>
          <w:color w:val="auto"/>
          <w:sz w:val="24"/>
          <w:highlight w:val="none"/>
        </w:rPr>
        <w:t>%的工程款；</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(3) </w:t>
      </w:r>
      <w:r>
        <w:rPr>
          <w:rFonts w:hint="eastAsia" w:ascii="仿宋_GB2312" w:eastAsia="仿宋_GB2312"/>
          <w:color w:val="auto"/>
          <w:sz w:val="24"/>
          <w:highlight w:val="none"/>
        </w:rPr>
        <w:t>其他方式：</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14.6.2 </w:t>
      </w:r>
      <w:r>
        <w:rPr>
          <w:rFonts w:hint="eastAsia" w:ascii="仿宋_GB2312" w:eastAsia="仿宋_GB2312"/>
          <w:color w:val="auto"/>
          <w:sz w:val="24"/>
          <w:highlight w:val="none"/>
        </w:rPr>
        <w:t>质量保证金的预留</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质量</w:t>
      </w:r>
      <w:r>
        <w:rPr>
          <w:rFonts w:hint="eastAsia" w:ascii="仿宋_GB2312" w:eastAsia="仿宋_GB2312"/>
          <w:color w:val="auto"/>
          <w:sz w:val="24"/>
          <w:highlight w:val="none"/>
        </w:rPr>
        <w:t>保证金</w:t>
      </w:r>
      <w:r>
        <w:rPr>
          <w:rFonts w:ascii="仿宋_GB2312" w:eastAsia="仿宋_GB2312"/>
          <w:color w:val="auto"/>
          <w:sz w:val="24"/>
          <w:highlight w:val="none"/>
        </w:rPr>
        <w:t>的预留采取以下第</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种</w:t>
      </w:r>
      <w:r>
        <w:rPr>
          <w:rFonts w:ascii="仿宋_GB2312" w:eastAsia="仿宋_GB2312"/>
          <w:color w:val="auto"/>
          <w:sz w:val="24"/>
          <w:highlight w:val="none"/>
        </w:rPr>
        <w:t>方式：</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 在支付工程进度款时逐次预留</w:t>
      </w:r>
      <w:r>
        <w:rPr>
          <w:rFonts w:hint="eastAsia" w:ascii="仿宋_GB2312" w:eastAsia="仿宋_GB2312"/>
          <w:color w:val="auto"/>
          <w:sz w:val="24"/>
          <w:highlight w:val="none"/>
        </w:rPr>
        <w:t>的质量保证金的比例：</w:t>
      </w:r>
      <w:r>
        <w:rPr>
          <w:rFonts w:ascii="仿宋_GB2312" w:eastAsia="仿宋_GB2312"/>
          <w:color w:val="auto"/>
          <w:sz w:val="24"/>
          <w:highlight w:val="none"/>
          <w:u w:val="single"/>
        </w:rPr>
        <w:t xml:space="preserve">            </w:t>
      </w:r>
      <w:r>
        <w:rPr>
          <w:rFonts w:ascii="仿宋_GB2312" w:eastAsia="仿宋_GB2312"/>
          <w:color w:val="auto"/>
          <w:sz w:val="24"/>
          <w:highlight w:val="none"/>
        </w:rPr>
        <w:t>，在此情形下，质量</w:t>
      </w:r>
      <w:r>
        <w:rPr>
          <w:rFonts w:hint="eastAsia" w:ascii="仿宋_GB2312" w:eastAsia="仿宋_GB2312"/>
          <w:color w:val="auto"/>
          <w:sz w:val="24"/>
          <w:highlight w:val="none"/>
        </w:rPr>
        <w:t>保证金</w:t>
      </w:r>
      <w:r>
        <w:rPr>
          <w:rFonts w:ascii="仿宋_GB2312" w:eastAsia="仿宋_GB2312"/>
          <w:color w:val="auto"/>
          <w:sz w:val="24"/>
          <w:highlight w:val="none"/>
        </w:rPr>
        <w:t>的计算基数不包括预付款的支付、扣回以及价格调整的金额；</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(2) 工程竣工结算时一次性预留</w:t>
      </w:r>
      <w:r>
        <w:rPr>
          <w:rFonts w:hint="eastAsia" w:ascii="仿宋_GB2312" w:eastAsia="仿宋_GB2312"/>
          <w:color w:val="auto"/>
          <w:sz w:val="24"/>
          <w:highlight w:val="none"/>
        </w:rPr>
        <w:t>专用合同条件第</w:t>
      </w:r>
      <w:r>
        <w:rPr>
          <w:rFonts w:ascii="仿宋_GB2312" w:eastAsia="仿宋_GB2312"/>
          <w:color w:val="auto"/>
          <w:sz w:val="24"/>
          <w:highlight w:val="none"/>
        </w:rPr>
        <w:t>14.6.1</w:t>
      </w:r>
      <w:r>
        <w:rPr>
          <w:rFonts w:hint="eastAsia" w:ascii="仿宋_GB2312" w:eastAsia="仿宋_GB2312"/>
          <w:color w:val="auto"/>
          <w:sz w:val="24"/>
          <w:highlight w:val="none"/>
        </w:rPr>
        <w:t>项第</w:t>
      </w:r>
      <w:r>
        <w:rPr>
          <w:rFonts w:ascii="仿宋_GB2312" w:eastAsia="仿宋_GB2312"/>
          <w:color w:val="auto"/>
          <w:sz w:val="24"/>
          <w:highlight w:val="none"/>
        </w:rPr>
        <w:t>(2)</w:t>
      </w:r>
      <w:r>
        <w:rPr>
          <w:rFonts w:hint="eastAsia" w:ascii="仿宋_GB2312" w:eastAsia="仿宋_GB2312"/>
          <w:color w:val="auto"/>
          <w:sz w:val="24"/>
          <w:highlight w:val="none"/>
        </w:rPr>
        <w:t>目约定的工程款预留比例的</w:t>
      </w:r>
      <w:r>
        <w:rPr>
          <w:rFonts w:ascii="仿宋_GB2312" w:eastAsia="仿宋_GB2312"/>
          <w:color w:val="auto"/>
          <w:sz w:val="24"/>
          <w:highlight w:val="none"/>
        </w:rPr>
        <w:t>质量</w:t>
      </w:r>
      <w:r>
        <w:rPr>
          <w:rFonts w:hint="eastAsia" w:ascii="仿宋_GB2312" w:eastAsia="仿宋_GB2312"/>
          <w:color w:val="auto"/>
          <w:sz w:val="24"/>
          <w:highlight w:val="none"/>
        </w:rPr>
        <w:t>保证金</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(3) 其他预留方式:</w:t>
      </w:r>
      <w:r>
        <w:rPr>
          <w:rFonts w:hint="eastAsia" w:ascii="仿宋_GB2312" w:eastAsia="仿宋_GB2312"/>
          <w:color w:val="auto"/>
          <w:sz w:val="24"/>
          <w:highlight w:val="non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关于质量保证金的补充约定：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14.7 </w:t>
      </w:r>
      <w:r>
        <w:rPr>
          <w:rFonts w:hint="eastAsia" w:ascii="黑体" w:hAnsi="黑体" w:eastAsia="黑体"/>
          <w:color w:val="auto"/>
          <w:sz w:val="24"/>
          <w:highlight w:val="none"/>
        </w:rPr>
        <w:t>最终结清</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14.7.1 </w:t>
      </w:r>
      <w:r>
        <w:rPr>
          <w:rFonts w:hint="eastAsia" w:ascii="仿宋_GB2312" w:eastAsia="仿宋_GB2312"/>
          <w:color w:val="auto"/>
          <w:sz w:val="24"/>
          <w:highlight w:val="none"/>
        </w:rPr>
        <w:t>最终结清申请单</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当事人双方关于最终结清申请的其他约定：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14.7.2 </w:t>
      </w:r>
      <w:r>
        <w:rPr>
          <w:rFonts w:hint="eastAsia" w:ascii="仿宋_GB2312" w:eastAsia="仿宋_GB2312"/>
          <w:color w:val="auto"/>
          <w:sz w:val="24"/>
          <w:highlight w:val="none"/>
        </w:rPr>
        <w:t>最终结清证书和支付</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当事人双方关于最终结清支付的其他约定：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5" w:name="_Toc54862346"/>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15条</w:t>
      </w:r>
      <w:r>
        <w:rPr>
          <w:rFonts w:hint="eastAsia" w:ascii="黑体" w:hAnsi="黑体" w:eastAsia="黑体"/>
          <w:b w:val="0"/>
          <w:bCs/>
          <w:color w:val="auto"/>
          <w:sz w:val="24"/>
          <w:szCs w:val="24"/>
          <w:highlight w:val="none"/>
        </w:rPr>
        <w:t xml:space="preserve"> 违约</w:t>
      </w:r>
      <w:bookmarkEnd w:id="1115"/>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15.1 </w:t>
      </w:r>
      <w:r>
        <w:rPr>
          <w:rFonts w:hint="eastAsia" w:ascii="黑体" w:hAnsi="黑体" w:eastAsia="黑体"/>
          <w:color w:val="auto"/>
          <w:sz w:val="24"/>
          <w:highlight w:val="none"/>
        </w:rPr>
        <w:t>发包人违约</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15.1.1 </w:t>
      </w:r>
      <w:r>
        <w:rPr>
          <w:rFonts w:hint="eastAsia" w:ascii="仿宋_GB2312" w:eastAsia="仿宋_GB2312"/>
          <w:color w:val="auto"/>
          <w:sz w:val="24"/>
          <w:highlight w:val="none"/>
        </w:rPr>
        <w:t>发包人违约的情形</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发包人违约的其他情形</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15.1.3 </w:t>
      </w:r>
      <w:r>
        <w:rPr>
          <w:rFonts w:hint="eastAsia" w:ascii="仿宋_GB2312" w:eastAsia="仿宋_GB2312"/>
          <w:color w:val="auto"/>
          <w:sz w:val="24"/>
          <w:highlight w:val="none"/>
        </w:rPr>
        <w:t>发包人违约的责任</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发包人违约</w:t>
      </w:r>
      <w:r>
        <w:rPr>
          <w:rFonts w:ascii="仿宋_GB2312" w:eastAsia="仿宋_GB2312"/>
          <w:color w:val="auto"/>
          <w:sz w:val="24"/>
          <w:highlight w:val="none"/>
        </w:rPr>
        <w:t>责任</w:t>
      </w:r>
      <w:r>
        <w:rPr>
          <w:rFonts w:hint="eastAsia" w:ascii="仿宋_GB2312" w:eastAsia="仿宋_GB2312"/>
          <w:color w:val="auto"/>
          <w:sz w:val="24"/>
          <w:highlight w:val="none"/>
        </w:rPr>
        <w:t>的</w:t>
      </w:r>
      <w:r>
        <w:rPr>
          <w:rFonts w:ascii="仿宋_GB2312" w:eastAsia="仿宋_GB2312"/>
          <w:color w:val="auto"/>
          <w:sz w:val="24"/>
          <w:highlight w:val="none"/>
        </w:rPr>
        <w:t>承担方式</w:t>
      </w:r>
      <w:r>
        <w:rPr>
          <w:rFonts w:hint="eastAsia" w:ascii="仿宋_GB2312" w:eastAsia="仿宋_GB2312"/>
          <w:color w:val="auto"/>
          <w:sz w:val="24"/>
          <w:highlight w:val="none"/>
        </w:rPr>
        <w:t>和</w:t>
      </w:r>
      <w:r>
        <w:rPr>
          <w:rFonts w:ascii="仿宋_GB2312" w:eastAsia="仿宋_GB2312"/>
          <w:color w:val="auto"/>
          <w:sz w:val="24"/>
          <w:highlight w:val="none"/>
        </w:rPr>
        <w:t>计算方法</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15.2 </w:t>
      </w:r>
      <w:r>
        <w:rPr>
          <w:rFonts w:hint="eastAsia" w:ascii="黑体" w:hAnsi="黑体" w:eastAsia="黑体"/>
          <w:color w:val="auto"/>
          <w:sz w:val="24"/>
          <w:highlight w:val="none"/>
        </w:rPr>
        <w:t>承包人违约</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15.2.1 </w:t>
      </w:r>
      <w:r>
        <w:rPr>
          <w:rFonts w:hint="eastAsia" w:ascii="仿宋_GB2312" w:eastAsia="仿宋_GB2312"/>
          <w:color w:val="auto"/>
          <w:sz w:val="24"/>
          <w:highlight w:val="none"/>
        </w:rPr>
        <w:t>承包人违约的情形</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承包人违约的其他情形：</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15.2.2 </w:t>
      </w:r>
      <w:r>
        <w:rPr>
          <w:rFonts w:hint="eastAsia" w:ascii="仿宋_GB2312" w:eastAsia="仿宋_GB2312"/>
          <w:color w:val="auto"/>
          <w:sz w:val="24"/>
          <w:highlight w:val="none"/>
        </w:rPr>
        <w:t>通知改正</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工程师通知承包人改正的合理期限是：</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15.2.3 </w:t>
      </w:r>
      <w:r>
        <w:rPr>
          <w:rFonts w:hint="eastAsia" w:ascii="仿宋_GB2312" w:eastAsia="仿宋_GB2312"/>
          <w:color w:val="auto"/>
          <w:sz w:val="24"/>
          <w:highlight w:val="none"/>
        </w:rPr>
        <w:t>承包人违约的责任</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承包人违约</w:t>
      </w:r>
      <w:r>
        <w:rPr>
          <w:rFonts w:ascii="仿宋_GB2312" w:eastAsia="仿宋_GB2312"/>
          <w:color w:val="auto"/>
          <w:sz w:val="24"/>
          <w:highlight w:val="none"/>
        </w:rPr>
        <w:t>责任</w:t>
      </w:r>
      <w:r>
        <w:rPr>
          <w:rFonts w:hint="eastAsia" w:ascii="仿宋_GB2312" w:eastAsia="仿宋_GB2312"/>
          <w:color w:val="auto"/>
          <w:sz w:val="24"/>
          <w:highlight w:val="none"/>
        </w:rPr>
        <w:t>的</w:t>
      </w:r>
      <w:r>
        <w:rPr>
          <w:rFonts w:ascii="仿宋_GB2312" w:eastAsia="仿宋_GB2312"/>
          <w:color w:val="auto"/>
          <w:sz w:val="24"/>
          <w:highlight w:val="none"/>
        </w:rPr>
        <w:t>承担方式</w:t>
      </w:r>
      <w:r>
        <w:rPr>
          <w:rFonts w:hint="eastAsia" w:ascii="仿宋_GB2312" w:eastAsia="仿宋_GB2312"/>
          <w:color w:val="auto"/>
          <w:sz w:val="24"/>
          <w:highlight w:val="none"/>
        </w:rPr>
        <w:t>和</w:t>
      </w:r>
      <w:r>
        <w:rPr>
          <w:rFonts w:ascii="仿宋_GB2312" w:eastAsia="仿宋_GB2312"/>
          <w:color w:val="auto"/>
          <w:sz w:val="24"/>
          <w:highlight w:val="none"/>
        </w:rPr>
        <w:t>计算方法</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6" w:name="_Toc54862347"/>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16条</w:t>
      </w:r>
      <w:r>
        <w:rPr>
          <w:rFonts w:hint="eastAsia" w:ascii="黑体" w:hAnsi="黑体" w:eastAsia="黑体"/>
          <w:b w:val="0"/>
          <w:bCs/>
          <w:color w:val="auto"/>
          <w:sz w:val="24"/>
          <w:szCs w:val="24"/>
          <w:highlight w:val="none"/>
        </w:rPr>
        <w:t xml:space="preserve"> 合同解除</w:t>
      </w:r>
      <w:bookmarkEnd w:id="1116"/>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16.1 </w:t>
      </w:r>
      <w:r>
        <w:rPr>
          <w:rFonts w:hint="eastAsia" w:ascii="黑体" w:hAnsi="黑体" w:eastAsia="黑体"/>
          <w:color w:val="auto"/>
          <w:sz w:val="24"/>
          <w:highlight w:val="none"/>
        </w:rPr>
        <w:t>由发包人解除合同</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16.1.1 </w:t>
      </w:r>
      <w:r>
        <w:rPr>
          <w:rFonts w:hint="eastAsia" w:ascii="仿宋_GB2312" w:eastAsia="仿宋_GB2312"/>
          <w:color w:val="auto"/>
          <w:sz w:val="24"/>
          <w:highlight w:val="none"/>
        </w:rPr>
        <w:t>因承包人违约解除合同</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双方约定可由发包人解除合同的其他事由：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16.2 </w:t>
      </w:r>
      <w:r>
        <w:rPr>
          <w:rFonts w:hint="eastAsia" w:ascii="黑体" w:hAnsi="黑体" w:eastAsia="黑体"/>
          <w:color w:val="auto"/>
          <w:sz w:val="24"/>
          <w:highlight w:val="none"/>
        </w:rPr>
        <w:t>由承包人解除合同</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 xml:space="preserve">16.2.1 </w:t>
      </w:r>
      <w:r>
        <w:rPr>
          <w:rFonts w:hint="eastAsia" w:ascii="仿宋_GB2312" w:eastAsia="仿宋_GB2312"/>
          <w:color w:val="auto"/>
          <w:sz w:val="24"/>
          <w:highlight w:val="none"/>
        </w:rPr>
        <w:t>因发包人违约解除合同</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双方约定可由承包人解除合同的其他事由：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textAlignment w:val="auto"/>
        <w:rPr>
          <w:rFonts w:ascii="黑体" w:hAnsi="黑体" w:eastAsia="黑体"/>
          <w:b w:val="0"/>
          <w:bCs/>
          <w:color w:val="auto"/>
          <w:sz w:val="24"/>
          <w:szCs w:val="24"/>
          <w:highlight w:val="none"/>
        </w:rPr>
      </w:pPr>
      <w:bookmarkStart w:id="1117" w:name="_Toc54862348"/>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17条</w:t>
      </w:r>
      <w:r>
        <w:rPr>
          <w:rFonts w:hint="eastAsia" w:ascii="黑体" w:hAnsi="黑体" w:eastAsia="黑体"/>
          <w:b w:val="0"/>
          <w:bCs/>
          <w:color w:val="auto"/>
          <w:sz w:val="24"/>
          <w:szCs w:val="24"/>
          <w:highlight w:val="none"/>
        </w:rPr>
        <w:t xml:space="preserve"> 不可抗力</w:t>
      </w:r>
      <w:bookmarkEnd w:id="1117"/>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17.1 </w:t>
      </w:r>
      <w:r>
        <w:rPr>
          <w:rFonts w:hint="eastAsia" w:ascii="黑体" w:hAnsi="黑体" w:eastAsia="黑体"/>
          <w:color w:val="auto"/>
          <w:sz w:val="24"/>
          <w:highlight w:val="none"/>
        </w:rPr>
        <w:t>不可抗力的定义</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除通用合同条件约定的不可抗力事件之外，视为不可抗力的其他情形：</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17.6 </w:t>
      </w:r>
      <w:r>
        <w:rPr>
          <w:rFonts w:hint="eastAsia" w:ascii="黑体" w:hAnsi="黑体" w:eastAsia="黑体"/>
          <w:color w:val="auto"/>
          <w:sz w:val="24"/>
          <w:highlight w:val="none"/>
        </w:rPr>
        <w:t>因不可抗力解除合同</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合同解除后，发包人应</w:t>
      </w:r>
      <w:r>
        <w:rPr>
          <w:rFonts w:hint="eastAsia" w:ascii="仿宋_GB2312" w:eastAsia="仿宋_GB2312"/>
          <w:color w:val="auto"/>
          <w:sz w:val="24"/>
          <w:highlight w:val="none"/>
        </w:rPr>
        <w:t>当</w:t>
      </w:r>
      <w:r>
        <w:rPr>
          <w:rFonts w:ascii="仿宋_GB2312" w:eastAsia="仿宋_GB2312"/>
          <w:color w:val="auto"/>
          <w:sz w:val="24"/>
          <w:highlight w:val="none"/>
        </w:rPr>
        <w:t>在商定或确定发包人应支付款项后</w:t>
      </w:r>
      <w:r>
        <w:rPr>
          <w:rFonts w:hint="eastAsia" w:ascii="仿宋_GB2312" w:eastAsia="仿宋_GB2312"/>
          <w:color w:val="auto"/>
          <w:sz w:val="24"/>
          <w:highlight w:val="none"/>
        </w:rPr>
        <w:t>的</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ascii="仿宋_GB2312" w:eastAsia="仿宋_GB2312"/>
          <w:color w:val="auto"/>
          <w:sz w:val="24"/>
          <w:highlight w:val="none"/>
        </w:rPr>
        <w:t>天内完成款项的支付。</w:t>
      </w:r>
    </w:p>
    <w:p>
      <w:pPr>
        <w:pStyle w:val="41"/>
        <w:keepNext w:val="0"/>
        <w:keepLines w:val="0"/>
        <w:pageBreakBefore w:val="0"/>
        <w:kinsoku/>
        <w:wordWrap w:val="0"/>
        <w:overflowPunct/>
        <w:topLinePunct w:val="0"/>
        <w:autoSpaceDE/>
        <w:autoSpaceDN/>
        <w:bidi w:val="0"/>
        <w:spacing w:line="240" w:lineRule="auto"/>
        <w:textAlignment w:val="auto"/>
        <w:rPr>
          <w:rFonts w:ascii="黑体" w:hAnsi="黑体" w:eastAsia="黑体"/>
          <w:b w:val="0"/>
          <w:bCs/>
          <w:color w:val="auto"/>
          <w:sz w:val="24"/>
          <w:szCs w:val="24"/>
          <w:highlight w:val="none"/>
        </w:rPr>
      </w:pPr>
      <w:bookmarkStart w:id="1118" w:name="_Toc4784276"/>
      <w:bookmarkEnd w:id="1118"/>
      <w:bookmarkStart w:id="1119" w:name="_Toc4784277"/>
      <w:bookmarkEnd w:id="1119"/>
      <w:bookmarkStart w:id="1120" w:name="_Toc54862349"/>
      <w:r>
        <w:rPr>
          <w:rFonts w:hint="eastAsia" w:ascii="黑体" w:hAnsi="黑体" w:eastAsia="黑体"/>
          <w:b w:val="0"/>
          <w:bCs/>
          <w:color w:val="auto"/>
          <w:sz w:val="24"/>
          <w:szCs w:val="24"/>
          <w:highlight w:val="none"/>
        </w:rPr>
        <w:t>第1</w:t>
      </w:r>
      <w:r>
        <w:rPr>
          <w:rFonts w:ascii="黑体" w:hAnsi="黑体" w:eastAsia="黑体"/>
          <w:b w:val="0"/>
          <w:bCs/>
          <w:color w:val="auto"/>
          <w:sz w:val="24"/>
          <w:szCs w:val="24"/>
          <w:highlight w:val="none"/>
        </w:rPr>
        <w:t>8</w:t>
      </w:r>
      <w:r>
        <w:rPr>
          <w:rFonts w:hint="eastAsia" w:ascii="黑体" w:hAnsi="黑体" w:eastAsia="黑体"/>
          <w:b w:val="0"/>
          <w:bCs/>
          <w:color w:val="auto"/>
          <w:sz w:val="24"/>
          <w:szCs w:val="24"/>
          <w:highlight w:val="none"/>
        </w:rPr>
        <w:t>条</w:t>
      </w:r>
      <w:r>
        <w:rPr>
          <w:rFonts w:ascii="黑体" w:hAnsi="黑体" w:eastAsia="黑体"/>
          <w:b w:val="0"/>
          <w:bCs/>
          <w:color w:val="auto"/>
          <w:sz w:val="24"/>
          <w:szCs w:val="24"/>
          <w:highlight w:val="none"/>
        </w:rPr>
        <w:t xml:space="preserve"> </w:t>
      </w:r>
      <w:r>
        <w:rPr>
          <w:rFonts w:hint="eastAsia" w:ascii="黑体" w:hAnsi="黑体" w:eastAsia="黑体"/>
          <w:b w:val="0"/>
          <w:bCs/>
          <w:color w:val="auto"/>
          <w:sz w:val="24"/>
          <w:szCs w:val="24"/>
          <w:highlight w:val="none"/>
        </w:rPr>
        <w:t>保险</w:t>
      </w:r>
      <w:bookmarkEnd w:id="1120"/>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18.1 </w:t>
      </w:r>
      <w:r>
        <w:rPr>
          <w:rFonts w:hint="eastAsia" w:ascii="黑体" w:hAnsi="黑体" w:eastAsia="黑体"/>
          <w:color w:val="auto"/>
          <w:sz w:val="24"/>
          <w:highlight w:val="none"/>
        </w:rPr>
        <w:t>设计和工程保险</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8.1.1 </w:t>
      </w:r>
      <w:r>
        <w:rPr>
          <w:rFonts w:hint="eastAsia" w:ascii="仿宋_GB2312" w:eastAsia="仿宋_GB2312"/>
          <w:color w:val="auto"/>
          <w:sz w:val="24"/>
          <w:highlight w:val="none"/>
        </w:rPr>
        <w:t>双方当事人</w:t>
      </w:r>
      <w:r>
        <w:rPr>
          <w:rFonts w:ascii="仿宋_GB2312" w:eastAsia="仿宋_GB2312"/>
          <w:color w:val="auto"/>
          <w:sz w:val="24"/>
          <w:highlight w:val="none"/>
        </w:rPr>
        <w:t>关于</w:t>
      </w:r>
      <w:r>
        <w:rPr>
          <w:rFonts w:hint="eastAsia" w:ascii="仿宋_GB2312" w:eastAsia="仿宋_GB2312"/>
          <w:color w:val="auto"/>
          <w:sz w:val="24"/>
          <w:highlight w:val="none"/>
        </w:rPr>
        <w:t>设计和工程保险</w:t>
      </w:r>
      <w:r>
        <w:rPr>
          <w:rFonts w:ascii="仿宋_GB2312" w:eastAsia="仿宋_GB2312"/>
          <w:color w:val="auto"/>
          <w:sz w:val="24"/>
          <w:highlight w:val="none"/>
        </w:rPr>
        <w:t>的特别</w:t>
      </w:r>
      <w:r>
        <w:rPr>
          <w:rFonts w:hint="eastAsia" w:ascii="仿宋_GB2312" w:eastAsia="仿宋_GB2312"/>
          <w:color w:val="auto"/>
          <w:sz w:val="24"/>
          <w:highlight w:val="none"/>
        </w:rPr>
        <w:t>约</w:t>
      </w:r>
      <w:r>
        <w:rPr>
          <w:rFonts w:ascii="仿宋_GB2312" w:eastAsia="仿宋_GB2312"/>
          <w:color w:val="auto"/>
          <w:sz w:val="24"/>
          <w:highlight w:val="none"/>
        </w:rPr>
        <w:t>定</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 xml:space="preserve">8.1.2 </w:t>
      </w:r>
      <w:r>
        <w:rPr>
          <w:rFonts w:hint="eastAsia" w:ascii="仿宋_GB2312" w:eastAsia="仿宋_GB2312"/>
          <w:color w:val="auto"/>
          <w:sz w:val="24"/>
          <w:highlight w:val="none"/>
        </w:rPr>
        <w:t>双方当事人</w:t>
      </w:r>
      <w:r>
        <w:rPr>
          <w:rFonts w:ascii="仿宋_GB2312" w:eastAsia="仿宋_GB2312"/>
          <w:color w:val="auto"/>
          <w:sz w:val="24"/>
          <w:highlight w:val="none"/>
        </w:rPr>
        <w:t>关于</w:t>
      </w:r>
      <w:r>
        <w:rPr>
          <w:rFonts w:hint="eastAsia" w:ascii="仿宋_GB2312" w:eastAsia="仿宋_GB2312"/>
          <w:color w:val="auto"/>
          <w:sz w:val="24"/>
          <w:highlight w:val="none"/>
        </w:rPr>
        <w:t>第三方责任险</w:t>
      </w:r>
      <w:r>
        <w:rPr>
          <w:rFonts w:ascii="仿宋_GB2312" w:eastAsia="仿宋_GB2312"/>
          <w:color w:val="auto"/>
          <w:sz w:val="24"/>
          <w:highlight w:val="none"/>
        </w:rPr>
        <w:t>的特别</w:t>
      </w:r>
      <w:r>
        <w:rPr>
          <w:rFonts w:hint="eastAsia" w:ascii="仿宋_GB2312" w:eastAsia="仿宋_GB2312"/>
          <w:color w:val="auto"/>
          <w:sz w:val="24"/>
          <w:highlight w:val="none"/>
        </w:rPr>
        <w:t>约</w:t>
      </w:r>
      <w:r>
        <w:rPr>
          <w:rFonts w:ascii="仿宋_GB2312" w:eastAsia="仿宋_GB2312"/>
          <w:color w:val="auto"/>
          <w:sz w:val="24"/>
          <w:highlight w:val="none"/>
        </w:rPr>
        <w:t>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18.2 </w:t>
      </w:r>
      <w:r>
        <w:rPr>
          <w:rFonts w:hint="eastAsia" w:ascii="黑体" w:hAnsi="黑体" w:eastAsia="黑体"/>
          <w:color w:val="auto"/>
          <w:sz w:val="24"/>
          <w:highlight w:val="none"/>
        </w:rPr>
        <w:t>工伤和意外伤害保险</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8.2.3 关于</w:t>
      </w:r>
      <w:r>
        <w:rPr>
          <w:rFonts w:hint="eastAsia" w:ascii="仿宋_GB2312" w:eastAsia="仿宋_GB2312"/>
          <w:color w:val="auto"/>
          <w:sz w:val="24"/>
          <w:highlight w:val="none"/>
        </w:rPr>
        <w:t>工伤保险和意外伤害保险</w:t>
      </w:r>
      <w:r>
        <w:rPr>
          <w:rFonts w:ascii="仿宋_GB2312" w:eastAsia="仿宋_GB2312"/>
          <w:color w:val="auto"/>
          <w:sz w:val="24"/>
          <w:highlight w:val="none"/>
        </w:rPr>
        <w:t>的特别</w:t>
      </w:r>
      <w:r>
        <w:rPr>
          <w:rFonts w:hint="eastAsia" w:ascii="仿宋_GB2312" w:eastAsia="仿宋_GB2312"/>
          <w:color w:val="auto"/>
          <w:sz w:val="24"/>
          <w:highlight w:val="none"/>
        </w:rPr>
        <w:t>约</w:t>
      </w:r>
      <w:r>
        <w:rPr>
          <w:rFonts w:ascii="仿宋_GB2312" w:eastAsia="仿宋_GB2312"/>
          <w:color w:val="auto"/>
          <w:sz w:val="24"/>
          <w:highlight w:val="none"/>
        </w:rPr>
        <w:t>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18.3 </w:t>
      </w:r>
      <w:r>
        <w:rPr>
          <w:rFonts w:hint="eastAsia" w:ascii="黑体" w:hAnsi="黑体" w:eastAsia="黑体"/>
          <w:color w:val="auto"/>
          <w:sz w:val="24"/>
          <w:highlight w:val="none"/>
        </w:rPr>
        <w:t>货物保险</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关于承包人应为其施工设备、材料、工程设备和临时工程等办理财产</w:t>
      </w:r>
      <w:r>
        <w:rPr>
          <w:rFonts w:ascii="仿宋_GB2312" w:eastAsia="仿宋_GB2312"/>
          <w:color w:val="auto"/>
          <w:sz w:val="24"/>
          <w:highlight w:val="none"/>
        </w:rPr>
        <w:t>保险的特别</w:t>
      </w:r>
      <w:r>
        <w:rPr>
          <w:rFonts w:hint="eastAsia" w:ascii="仿宋_GB2312" w:eastAsia="仿宋_GB2312"/>
          <w:color w:val="auto"/>
          <w:sz w:val="24"/>
          <w:highlight w:val="none"/>
        </w:rPr>
        <w:t>约</w:t>
      </w:r>
      <w:r>
        <w:rPr>
          <w:rFonts w:ascii="仿宋_GB2312" w:eastAsia="仿宋_GB2312"/>
          <w:color w:val="auto"/>
          <w:sz w:val="24"/>
          <w:highlight w:val="none"/>
        </w:rPr>
        <w:t>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18.4 </w:t>
      </w:r>
      <w:r>
        <w:rPr>
          <w:rFonts w:hint="eastAsia" w:ascii="黑体" w:hAnsi="黑体" w:eastAsia="黑体"/>
          <w:color w:val="auto"/>
          <w:sz w:val="24"/>
          <w:highlight w:val="none"/>
        </w:rPr>
        <w:t>其他保险</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关于其他保险的约定：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18.5 </w:t>
      </w:r>
      <w:r>
        <w:rPr>
          <w:rFonts w:hint="eastAsia" w:ascii="黑体" w:hAnsi="黑体" w:eastAsia="黑体"/>
          <w:color w:val="auto"/>
          <w:sz w:val="24"/>
          <w:highlight w:val="none"/>
        </w:rPr>
        <w:t>对各项保险的一般要求</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18.5.2 保险凭证</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保险单的条件：</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18.5.4 通知义务</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关于变更保险合同时的通知义务的约定：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41"/>
        <w:keepNext w:val="0"/>
        <w:keepLines w:val="0"/>
        <w:pageBreakBefore w:val="0"/>
        <w:kinsoku/>
        <w:wordWrap w:val="0"/>
        <w:overflowPunct/>
        <w:topLinePunct w:val="0"/>
        <w:autoSpaceDE/>
        <w:autoSpaceDN/>
        <w:bidi w:val="0"/>
        <w:spacing w:line="240" w:lineRule="auto"/>
        <w:textAlignment w:val="auto"/>
        <w:rPr>
          <w:rFonts w:ascii="黑体" w:hAnsi="黑体" w:eastAsia="黑体"/>
          <w:b w:val="0"/>
          <w:bCs/>
          <w:color w:val="auto"/>
          <w:sz w:val="24"/>
          <w:szCs w:val="24"/>
          <w:highlight w:val="none"/>
        </w:rPr>
      </w:pPr>
      <w:bookmarkStart w:id="1121" w:name="_Toc54862350"/>
      <w:r>
        <w:rPr>
          <w:rFonts w:hint="eastAsia" w:ascii="黑体" w:hAnsi="黑体" w:eastAsia="黑体"/>
          <w:b w:val="0"/>
          <w:bCs/>
          <w:color w:val="auto"/>
          <w:sz w:val="24"/>
          <w:szCs w:val="24"/>
          <w:highlight w:val="none"/>
        </w:rPr>
        <w:t>第</w:t>
      </w:r>
      <w:r>
        <w:rPr>
          <w:rFonts w:ascii="黑体" w:hAnsi="黑体" w:eastAsia="黑体"/>
          <w:b w:val="0"/>
          <w:bCs/>
          <w:color w:val="auto"/>
          <w:sz w:val="24"/>
          <w:szCs w:val="24"/>
          <w:highlight w:val="none"/>
        </w:rPr>
        <w:t>20条</w:t>
      </w:r>
      <w:r>
        <w:rPr>
          <w:rFonts w:hint="eastAsia" w:ascii="黑体" w:hAnsi="黑体" w:eastAsia="黑体"/>
          <w:b w:val="0"/>
          <w:bCs/>
          <w:color w:val="auto"/>
          <w:sz w:val="24"/>
          <w:szCs w:val="24"/>
          <w:highlight w:val="none"/>
        </w:rPr>
        <w:t xml:space="preserve"> 争议解决</w:t>
      </w:r>
      <w:bookmarkEnd w:id="1121"/>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20.3 </w:t>
      </w:r>
      <w:r>
        <w:rPr>
          <w:rFonts w:hint="eastAsia" w:ascii="黑体" w:hAnsi="黑体" w:eastAsia="黑体"/>
          <w:color w:val="auto"/>
          <w:sz w:val="24"/>
          <w:highlight w:val="none"/>
        </w:rPr>
        <w:t>争议评审</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 xml:space="preserve">合同当事人是否同意将工程争议提交争议评审小组决定：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20.3.1</w:t>
      </w:r>
      <w:r>
        <w:rPr>
          <w:rFonts w:hint="eastAsia" w:ascii="仿宋_GB2312" w:eastAsia="仿宋_GB2312"/>
          <w:color w:val="auto"/>
          <w:sz w:val="24"/>
          <w:highlight w:val="none"/>
        </w:rPr>
        <w:t xml:space="preserve"> 争议评审小组</w:t>
      </w:r>
      <w:r>
        <w:rPr>
          <w:rFonts w:ascii="仿宋_GB2312" w:eastAsia="仿宋_GB2312"/>
          <w:color w:val="auto"/>
          <w:sz w:val="24"/>
          <w:highlight w:val="none"/>
        </w:rPr>
        <w:t>的确定</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争议评审小组成员的人数：</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争议评审小组成员的确定：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选定争议避免/评审组的期限：</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评审机构：</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其他事项的约定：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争议评审员报酬</w:t>
      </w:r>
      <w:r>
        <w:rPr>
          <w:rFonts w:hint="eastAsia" w:ascii="仿宋_GB2312" w:eastAsia="仿宋_GB2312"/>
          <w:color w:val="auto"/>
          <w:sz w:val="24"/>
          <w:highlight w:val="none"/>
        </w:rPr>
        <w:t>的承担人：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20.3.2 争议的避免</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发包人和承包人是否均出席争议避免的非正式讨论：</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ascii="仿宋_GB2312" w:eastAsia="仿宋_GB2312"/>
          <w:color w:val="auto"/>
          <w:sz w:val="24"/>
          <w:highlight w:val="none"/>
        </w:rPr>
        <w:t>20.3.3</w:t>
      </w:r>
      <w:r>
        <w:rPr>
          <w:rFonts w:hint="eastAsia" w:ascii="仿宋_GB2312" w:eastAsia="仿宋_GB2312"/>
          <w:color w:val="auto"/>
          <w:sz w:val="24"/>
          <w:highlight w:val="none"/>
        </w:rPr>
        <w:t xml:space="preserve"> 争议评审小组的决定</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关于争议评审小组的决定的特别约定：</w:t>
      </w:r>
      <w:r>
        <w:rPr>
          <w:rFonts w:ascii="仿宋_GB2312" w:eastAsia="仿宋_GB2312"/>
          <w:color w:val="auto"/>
          <w:sz w:val="24"/>
          <w:highlight w:val="none"/>
          <w:u w:val="single"/>
        </w:rPr>
        <w:t xml:space="preserve">                </w:t>
      </w:r>
      <w:r>
        <w:rPr>
          <w:rFonts w:ascii="仿宋_GB2312" w:eastAsia="仿宋_GB2312"/>
          <w:color w:val="auto"/>
          <w:sz w:val="24"/>
          <w:highlight w:val="none"/>
        </w:rPr>
        <w:t>。</w:t>
      </w:r>
    </w:p>
    <w:p>
      <w:pPr>
        <w:keepNext w:val="0"/>
        <w:keepLines w:val="0"/>
        <w:pageBreakBefore w:val="0"/>
        <w:kinsoku/>
        <w:wordWrap w:val="0"/>
        <w:overflowPunct/>
        <w:topLinePunct w:val="0"/>
        <w:autoSpaceDE/>
        <w:autoSpaceDN/>
        <w:bidi w:val="0"/>
        <w:ind w:firstLine="600"/>
        <w:textAlignment w:val="auto"/>
        <w:rPr>
          <w:rFonts w:ascii="黑体" w:hAnsi="黑体" w:eastAsia="黑体"/>
          <w:color w:val="auto"/>
          <w:sz w:val="24"/>
          <w:highlight w:val="none"/>
        </w:rPr>
      </w:pPr>
      <w:r>
        <w:rPr>
          <w:rFonts w:ascii="黑体" w:hAnsi="黑体" w:eastAsia="黑体"/>
          <w:color w:val="auto"/>
          <w:sz w:val="24"/>
          <w:highlight w:val="none"/>
        </w:rPr>
        <w:t xml:space="preserve">20.4 </w:t>
      </w:r>
      <w:r>
        <w:rPr>
          <w:rFonts w:hint="eastAsia" w:ascii="黑体" w:hAnsi="黑体" w:eastAsia="黑体"/>
          <w:color w:val="auto"/>
          <w:sz w:val="24"/>
          <w:highlight w:val="none"/>
        </w:rPr>
        <w:t>仲裁或诉讼</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因合同及合同有关事项发生的争议，按下列第</w:t>
      </w:r>
      <w:r>
        <w:rPr>
          <w:rFonts w:ascii="仿宋_GB2312" w:eastAsia="仿宋_GB2312"/>
          <w:color w:val="auto"/>
          <w:sz w:val="24"/>
          <w:highlight w:val="none"/>
          <w:u w:val="single"/>
        </w:rPr>
        <w:t xml:space="preserve">    </w:t>
      </w:r>
      <w:r>
        <w:rPr>
          <w:rFonts w:ascii="仿宋_GB2312" w:eastAsia="仿宋_GB2312"/>
          <w:color w:val="auto"/>
          <w:sz w:val="24"/>
          <w:highlight w:val="none"/>
        </w:rPr>
        <w:t>种方式解决：</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1）向</w:t>
      </w:r>
      <w:r>
        <w:rPr>
          <w:rFonts w:ascii="仿宋_GB2312" w:eastAsia="仿宋_GB2312"/>
          <w:color w:val="auto"/>
          <w:sz w:val="24"/>
          <w:highlight w:val="none"/>
          <w:u w:val="single"/>
        </w:rPr>
        <w:t xml:space="preserve">                         </w:t>
      </w:r>
      <w:r>
        <w:rPr>
          <w:rFonts w:ascii="仿宋_GB2312" w:eastAsia="仿宋_GB2312"/>
          <w:color w:val="auto"/>
          <w:sz w:val="24"/>
          <w:highlight w:val="none"/>
        </w:rPr>
        <w:t>仲裁委员会申请仲裁；</w:t>
      </w:r>
    </w:p>
    <w:p>
      <w:pPr>
        <w:keepNext w:val="0"/>
        <w:keepLines w:val="0"/>
        <w:pageBreakBefore w:val="0"/>
        <w:kinsoku/>
        <w:wordWrap w:val="0"/>
        <w:overflowPunct/>
        <w:topLinePunct w:val="0"/>
        <w:autoSpaceDE/>
        <w:autoSpaceDN/>
        <w:bidi w:val="0"/>
        <w:ind w:firstLine="600"/>
        <w:textAlignment w:val="auto"/>
        <w:rPr>
          <w:rFonts w:ascii="仿宋_GB2312" w:eastAsia="仿宋_GB2312"/>
          <w:color w:val="auto"/>
          <w:sz w:val="30"/>
          <w:szCs w:val="30"/>
          <w:highlight w:val="none"/>
        </w:rPr>
        <w:sectPr>
          <w:headerReference r:id="rId22" w:type="default"/>
          <w:pgSz w:w="11906" w:h="16838"/>
          <w:pgMar w:top="1440" w:right="1800" w:bottom="1440" w:left="1800" w:header="720" w:footer="998" w:gutter="0"/>
          <w:cols w:space="720" w:num="1"/>
          <w:docGrid w:linePitch="326" w:charSpace="0"/>
        </w:sectPr>
      </w:pPr>
      <w:r>
        <w:rPr>
          <w:rFonts w:hint="eastAsia" w:ascii="仿宋_GB2312" w:eastAsia="仿宋_GB2312"/>
          <w:color w:val="auto"/>
          <w:sz w:val="24"/>
          <w:highlight w:val="none"/>
        </w:rPr>
        <w:t>（</w:t>
      </w:r>
      <w:r>
        <w:rPr>
          <w:rFonts w:ascii="仿宋_GB2312" w:eastAsia="仿宋_GB2312"/>
          <w:color w:val="auto"/>
          <w:sz w:val="24"/>
          <w:highlight w:val="none"/>
        </w:rPr>
        <w:t>2）向</w:t>
      </w:r>
      <w:r>
        <w:rPr>
          <w:rFonts w:ascii="仿宋_GB2312" w:eastAsia="仿宋_GB2312"/>
          <w:color w:val="auto"/>
          <w:sz w:val="24"/>
          <w:highlight w:val="none"/>
          <w:u w:val="single"/>
        </w:rPr>
        <w:t xml:space="preserve">                         </w:t>
      </w:r>
      <w:r>
        <w:rPr>
          <w:rFonts w:ascii="仿宋_GB2312" w:eastAsia="仿宋_GB2312"/>
          <w:color w:val="auto"/>
          <w:sz w:val="24"/>
          <w:highlight w:val="none"/>
        </w:rPr>
        <w:t>人民法院起诉。</w:t>
      </w:r>
    </w:p>
    <w:p>
      <w:pPr>
        <w:pStyle w:val="38"/>
        <w:keepNext w:val="0"/>
        <w:adjustRightInd w:val="0"/>
        <w:snapToGrid w:val="0"/>
        <w:spacing w:before="0" w:after="50"/>
        <w:rPr>
          <w:rFonts w:ascii="黑体" w:hAnsi="黑体" w:eastAsia="黑体"/>
          <w:color w:val="auto"/>
          <w:sz w:val="28"/>
          <w:szCs w:val="28"/>
          <w:highlight w:val="none"/>
          <w:lang w:eastAsia="zh-CN"/>
        </w:rPr>
      </w:pPr>
      <w:bookmarkStart w:id="1122" w:name="_Toc16012"/>
      <w:bookmarkStart w:id="1123" w:name="_Toc28017"/>
      <w:bookmarkStart w:id="1124" w:name="_Toc54862351"/>
      <w:r>
        <w:rPr>
          <w:rFonts w:hint="eastAsia" w:ascii="黑体" w:hAnsi="黑体" w:eastAsia="黑体"/>
          <w:color w:val="auto"/>
          <w:sz w:val="30"/>
          <w:szCs w:val="30"/>
          <w:highlight w:val="none"/>
          <w:lang w:eastAsia="zh-CN"/>
        </w:rPr>
        <w:t>专用合同条件附件</w:t>
      </w:r>
      <w:bookmarkEnd w:id="1122"/>
      <w:bookmarkEnd w:id="1123"/>
      <w:bookmarkEnd w:id="1124"/>
    </w:p>
    <w:p>
      <w:pPr>
        <w:rPr>
          <w:color w:val="auto"/>
          <w:highlight w:val="none"/>
        </w:rPr>
      </w:pPr>
    </w:p>
    <w:p>
      <w:pPr>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附件1：发包人要求</w:t>
      </w:r>
    </w:p>
    <w:p>
      <w:pPr>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附件2：发包人供应材料设备一览表</w:t>
      </w:r>
    </w:p>
    <w:p>
      <w:pPr>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附件3：工程质量保修书</w:t>
      </w:r>
    </w:p>
    <w:p>
      <w:pPr>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附件4：主要建设工程文件目录</w:t>
      </w:r>
    </w:p>
    <w:p>
      <w:pPr>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附件5：承包人主要管理人员表</w:t>
      </w:r>
    </w:p>
    <w:p>
      <w:pPr>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w:t>
      </w:r>
      <w:r>
        <w:rPr>
          <w:rFonts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rPr>
        <w:t>：价格指数权重表</w:t>
      </w:r>
    </w:p>
    <w:p>
      <w:pPr>
        <w:ind w:firstLine="6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附件7：廉政合同</w:t>
      </w:r>
    </w:p>
    <w:p>
      <w:pPr>
        <w:ind w:firstLine="6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附件8：安全生产责任书</w:t>
      </w:r>
    </w:p>
    <w:p>
      <w:pPr>
        <w:ind w:firstLine="6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附件9：农民工工资保证金缴纳承诺书</w:t>
      </w:r>
    </w:p>
    <w:p>
      <w:pPr>
        <w:ind w:firstLine="6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附件10：农民工工资款和其他工程款分账管理协议</w:t>
      </w:r>
    </w:p>
    <w:p>
      <w:pPr>
        <w:ind w:firstLine="6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附件11：环境保护和水土保持合同</w:t>
      </w:r>
    </w:p>
    <w:p>
      <w:pPr>
        <w:pStyle w:val="19"/>
        <w:rPr>
          <w:rFonts w:hint="default" w:ascii="仿宋_GB2312" w:hAnsi="仿宋_GB2312" w:eastAsia="仿宋_GB2312" w:cs="仿宋_GB2312"/>
          <w:color w:val="auto"/>
          <w:sz w:val="30"/>
          <w:szCs w:val="30"/>
          <w:highlight w:val="none"/>
          <w:lang w:val="en-US" w:eastAsia="zh-CN"/>
        </w:rPr>
      </w:pPr>
    </w:p>
    <w:p>
      <w:pPr>
        <w:pStyle w:val="19"/>
        <w:rPr>
          <w:rFonts w:hint="default" w:ascii="仿宋_GB2312" w:hAnsi="仿宋_GB2312" w:eastAsia="仿宋_GB2312" w:cs="仿宋_GB2312"/>
          <w:color w:val="auto"/>
          <w:sz w:val="30"/>
          <w:szCs w:val="30"/>
          <w:highlight w:val="none"/>
          <w:lang w:val="en-US" w:eastAsia="zh-CN"/>
        </w:rPr>
      </w:pPr>
    </w:p>
    <w:p>
      <w:pPr>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pStyle w:val="43"/>
        <w:numPr>
          <w:ilvl w:val="0"/>
          <w:numId w:val="0"/>
        </w:numPr>
        <w:rPr>
          <w:color w:val="auto"/>
          <w:highlight w:val="none"/>
        </w:rPr>
      </w:pPr>
      <w:bookmarkStart w:id="1125" w:name="_Toc54862352"/>
      <w:bookmarkStart w:id="1126" w:name="_Hlk38571789"/>
      <w:r>
        <w:rPr>
          <w:rFonts w:hint="eastAsia"/>
          <w:color w:val="auto"/>
          <w:highlight w:val="none"/>
        </w:rPr>
        <w:t>附件1</w:t>
      </w:r>
      <w:r>
        <w:rPr>
          <w:color w:val="auto"/>
          <w:highlight w:val="none"/>
        </w:rPr>
        <w:t xml:space="preserve"> </w:t>
      </w:r>
      <w:r>
        <w:rPr>
          <w:rFonts w:hint="eastAsia"/>
          <w:color w:val="auto"/>
          <w:highlight w:val="none"/>
        </w:rPr>
        <w:t>《发包人要求》</w:t>
      </w:r>
      <w:bookmarkEnd w:id="1125"/>
    </w:p>
    <w:bookmarkEnd w:id="1126"/>
    <w:p>
      <w:pPr>
        <w:ind w:firstLine="600"/>
        <w:rPr>
          <w:rFonts w:ascii="仿宋_GB2312" w:eastAsia="仿宋_GB2312"/>
          <w:color w:val="auto"/>
          <w:sz w:val="24"/>
          <w:highlight w:val="none"/>
        </w:rPr>
      </w:pPr>
      <w:r>
        <w:rPr>
          <w:rFonts w:hint="eastAsia" w:ascii="仿宋_GB2312" w:eastAsia="仿宋_GB2312"/>
          <w:color w:val="auto"/>
          <w:sz w:val="24"/>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《发包人要求》通常包括但不限于以下内容：</w:t>
      </w:r>
    </w:p>
    <w:p>
      <w:pPr>
        <w:ind w:firstLine="600"/>
        <w:rPr>
          <w:rFonts w:ascii="黑体" w:hAnsi="黑体" w:eastAsia="黑体"/>
          <w:color w:val="auto"/>
          <w:sz w:val="24"/>
          <w:highlight w:val="none"/>
        </w:rPr>
      </w:pPr>
      <w:r>
        <w:rPr>
          <w:rFonts w:hint="eastAsia" w:ascii="黑体" w:hAnsi="黑体" w:eastAsia="黑体"/>
          <w:color w:val="auto"/>
          <w:sz w:val="24"/>
          <w:highlight w:val="none"/>
        </w:rPr>
        <w:t>一、功能要求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（一）工程目的。</w:t>
      </w:r>
    </w:p>
    <w:p>
      <w:pPr>
        <w:ind w:firstLine="600"/>
        <w:rPr>
          <w:rFonts w:ascii="仿宋_GB2312" w:eastAsia="仿宋_GB2312"/>
          <w:color w:val="auto"/>
          <w:sz w:val="24"/>
          <w:highlight w:val="none"/>
        </w:rPr>
      </w:pPr>
      <w:r>
        <w:rPr>
          <w:rFonts w:hint="eastAsia" w:ascii="仿宋_GB2312" w:eastAsia="仿宋_GB2312"/>
          <w:color w:val="auto"/>
          <w:sz w:val="24"/>
          <w:highlight w:val="none"/>
        </w:rPr>
        <w:t>（二）工程规模。</w:t>
      </w:r>
    </w:p>
    <w:p>
      <w:pPr>
        <w:ind w:firstLine="600"/>
        <w:rPr>
          <w:rFonts w:ascii="仿宋_GB2312" w:eastAsia="仿宋_GB2312"/>
          <w:color w:val="auto"/>
          <w:sz w:val="24"/>
          <w:highlight w:val="none"/>
        </w:rPr>
      </w:pPr>
      <w:r>
        <w:rPr>
          <w:rFonts w:hint="eastAsia" w:ascii="仿宋_GB2312" w:eastAsia="仿宋_GB2312"/>
          <w:color w:val="auto"/>
          <w:sz w:val="24"/>
          <w:highlight w:val="none"/>
        </w:rPr>
        <w:t>（三）性能保证指标（性能保证表）。</w:t>
      </w:r>
    </w:p>
    <w:p>
      <w:pPr>
        <w:ind w:firstLine="600"/>
        <w:rPr>
          <w:rFonts w:ascii="仿宋_GB2312" w:eastAsia="仿宋_GB2312"/>
          <w:color w:val="auto"/>
          <w:sz w:val="24"/>
          <w:highlight w:val="none"/>
        </w:rPr>
      </w:pPr>
      <w:r>
        <w:rPr>
          <w:rFonts w:hint="eastAsia" w:ascii="仿宋_GB2312" w:eastAsia="仿宋_GB2312"/>
          <w:color w:val="auto"/>
          <w:sz w:val="24"/>
          <w:highlight w:val="none"/>
        </w:rPr>
        <w:t>（四）产能保证指标。</w:t>
      </w:r>
    </w:p>
    <w:p>
      <w:pPr>
        <w:ind w:firstLine="600"/>
        <w:rPr>
          <w:rFonts w:ascii="黑体" w:hAnsi="黑体" w:eastAsia="黑体"/>
          <w:color w:val="auto"/>
          <w:sz w:val="24"/>
          <w:highlight w:val="none"/>
        </w:rPr>
      </w:pPr>
      <w:r>
        <w:rPr>
          <w:rFonts w:hint="eastAsia" w:ascii="黑体" w:hAnsi="黑体" w:eastAsia="黑体"/>
          <w:color w:val="auto"/>
          <w:sz w:val="24"/>
          <w:highlight w:val="none"/>
        </w:rPr>
        <w:t>二、工程范围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（一）概述</w:t>
      </w:r>
    </w:p>
    <w:p>
      <w:pPr>
        <w:ind w:firstLine="600"/>
        <w:rPr>
          <w:rFonts w:ascii="仿宋_GB2312" w:eastAsia="仿宋_GB2312"/>
          <w:color w:val="auto"/>
          <w:sz w:val="24"/>
          <w:highlight w:val="none"/>
        </w:rPr>
      </w:pPr>
      <w:r>
        <w:rPr>
          <w:rFonts w:hint="eastAsia" w:ascii="仿宋_GB2312" w:eastAsia="仿宋_GB2312"/>
          <w:color w:val="auto"/>
          <w:sz w:val="24"/>
          <w:highlight w:val="none"/>
        </w:rPr>
        <w:t>（二）包括的工作</w:t>
      </w:r>
    </w:p>
    <w:p>
      <w:pPr>
        <w:ind w:firstLine="600"/>
        <w:rPr>
          <w:rFonts w:ascii="仿宋_GB2312" w:eastAsia="仿宋_GB2312"/>
          <w:color w:val="auto"/>
          <w:sz w:val="24"/>
          <w:highlight w:val="none"/>
        </w:rPr>
      </w:pPr>
      <w:r>
        <w:rPr>
          <w:rFonts w:hint="eastAsia" w:ascii="仿宋_GB2312" w:eastAsia="仿宋_GB2312"/>
          <w:color w:val="auto"/>
          <w:sz w:val="24"/>
          <w:highlight w:val="none"/>
        </w:rPr>
        <w:t>1. 永久工程的设计、采购、施工范围。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2. 临时工程的设计与施工范围。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3. 竣工验收工作范围。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4. 技术服务工作范围。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5. 培训工作范围。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6. 保修工作范围。</w:t>
      </w:r>
    </w:p>
    <w:p>
      <w:pPr>
        <w:ind w:firstLine="600"/>
        <w:rPr>
          <w:rFonts w:ascii="仿宋_GB2312" w:eastAsia="仿宋_GB2312"/>
          <w:color w:val="auto"/>
          <w:sz w:val="24"/>
          <w:highlight w:val="none"/>
        </w:rPr>
      </w:pPr>
      <w:r>
        <w:rPr>
          <w:rFonts w:hint="eastAsia" w:ascii="仿宋_GB2312" w:eastAsia="仿宋_GB2312"/>
          <w:color w:val="auto"/>
          <w:sz w:val="24"/>
          <w:highlight w:val="none"/>
        </w:rPr>
        <w:t>（三）工作界区</w:t>
      </w:r>
    </w:p>
    <w:p>
      <w:pPr>
        <w:ind w:firstLine="600"/>
        <w:rPr>
          <w:rFonts w:ascii="仿宋_GB2312" w:eastAsia="仿宋_GB2312"/>
          <w:color w:val="auto"/>
          <w:sz w:val="24"/>
          <w:highlight w:val="none"/>
        </w:rPr>
      </w:pPr>
      <w:r>
        <w:rPr>
          <w:rFonts w:hint="eastAsia" w:ascii="仿宋_GB2312" w:eastAsia="仿宋_GB2312"/>
          <w:color w:val="auto"/>
          <w:sz w:val="24"/>
          <w:highlight w:val="none"/>
        </w:rPr>
        <w:t>（四）发包人提供的现场条件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1. 施工用电。</w:t>
      </w:r>
    </w:p>
    <w:p>
      <w:pPr>
        <w:ind w:firstLine="600"/>
        <w:rPr>
          <w:rFonts w:ascii="仿宋_GB2312" w:eastAsia="仿宋_GB2312"/>
          <w:color w:val="auto"/>
          <w:sz w:val="24"/>
          <w:highlight w:val="none"/>
        </w:rPr>
      </w:pPr>
      <w:r>
        <w:rPr>
          <w:rFonts w:hint="eastAsia" w:ascii="仿宋_GB2312" w:eastAsia="仿宋_GB2312"/>
          <w:color w:val="auto"/>
          <w:sz w:val="24"/>
          <w:highlight w:val="none"/>
        </w:rPr>
        <w:t>2. 施工用水。</w:t>
      </w:r>
    </w:p>
    <w:p>
      <w:pPr>
        <w:ind w:firstLine="600"/>
        <w:rPr>
          <w:rFonts w:ascii="仿宋_GB2312" w:eastAsia="仿宋_GB2312"/>
          <w:color w:val="auto"/>
          <w:sz w:val="24"/>
          <w:highlight w:val="none"/>
        </w:rPr>
      </w:pPr>
      <w:r>
        <w:rPr>
          <w:rFonts w:hint="eastAsia" w:ascii="仿宋_GB2312" w:eastAsia="仿宋_GB2312"/>
          <w:color w:val="auto"/>
          <w:sz w:val="24"/>
          <w:highlight w:val="none"/>
        </w:rPr>
        <w:t>3. 施工排水。</w:t>
      </w:r>
    </w:p>
    <w:p>
      <w:pPr>
        <w:ind w:firstLine="600"/>
        <w:rPr>
          <w:rFonts w:ascii="仿宋_GB2312" w:eastAsia="仿宋_GB2312"/>
          <w:color w:val="auto"/>
          <w:sz w:val="24"/>
          <w:highlight w:val="none"/>
        </w:rPr>
      </w:pPr>
      <w:r>
        <w:rPr>
          <w:rFonts w:ascii="仿宋_GB2312" w:eastAsia="仿宋_GB2312"/>
          <w:color w:val="auto"/>
          <w:sz w:val="24"/>
          <w:highlight w:val="none"/>
        </w:rPr>
        <w:t>4.</w:t>
      </w:r>
      <w:r>
        <w:rPr>
          <w:rFonts w:hint="eastAsia"/>
          <w:color w:val="auto"/>
          <w:sz w:val="24"/>
          <w:highlight w:val="none"/>
        </w:rPr>
        <w:t xml:space="preserve"> </w:t>
      </w:r>
      <w:r>
        <w:rPr>
          <w:rFonts w:hint="eastAsia" w:ascii="仿宋_GB2312" w:eastAsia="仿宋_GB2312"/>
          <w:color w:val="auto"/>
          <w:sz w:val="24"/>
          <w:highlight w:val="none"/>
        </w:rPr>
        <w:t>施工道路。</w:t>
      </w:r>
    </w:p>
    <w:p>
      <w:pPr>
        <w:ind w:firstLine="600"/>
        <w:rPr>
          <w:rFonts w:ascii="仿宋_GB2312" w:eastAsia="仿宋_GB2312"/>
          <w:color w:val="auto"/>
          <w:sz w:val="24"/>
          <w:highlight w:val="none"/>
        </w:rPr>
      </w:pPr>
      <w:r>
        <w:rPr>
          <w:rFonts w:hint="eastAsia" w:ascii="仿宋_GB2312" w:eastAsia="仿宋_GB2312"/>
          <w:color w:val="auto"/>
          <w:sz w:val="24"/>
          <w:highlight w:val="none"/>
        </w:rPr>
        <w:t>（五）发包人提供的技术文件</w:t>
      </w:r>
    </w:p>
    <w:p>
      <w:pPr>
        <w:ind w:firstLine="600"/>
        <w:rPr>
          <w:rFonts w:ascii="仿宋_GB2312" w:eastAsia="仿宋_GB2312"/>
          <w:color w:val="auto"/>
          <w:sz w:val="24"/>
          <w:highlight w:val="none"/>
        </w:rPr>
      </w:pPr>
      <w:r>
        <w:rPr>
          <w:rFonts w:hint="eastAsia" w:ascii="仿宋_GB2312" w:eastAsia="仿宋_GB2312"/>
          <w:color w:val="auto"/>
          <w:sz w:val="24"/>
          <w:highlight w:val="none"/>
        </w:rPr>
        <w:t>除另有批准外，承包人的工作需要遵照发包人的下列技术文件:</w:t>
      </w:r>
    </w:p>
    <w:p>
      <w:pPr>
        <w:ind w:firstLine="600"/>
        <w:rPr>
          <w:rFonts w:ascii="仿宋_GB2312" w:eastAsia="仿宋_GB2312"/>
          <w:color w:val="auto"/>
          <w:sz w:val="24"/>
          <w:highlight w:val="none"/>
        </w:rPr>
      </w:pPr>
      <w:r>
        <w:rPr>
          <w:rFonts w:hint="eastAsia" w:ascii="仿宋_GB2312" w:eastAsia="仿宋_GB2312"/>
          <w:color w:val="auto"/>
          <w:sz w:val="24"/>
          <w:highlight w:val="none"/>
        </w:rPr>
        <w:t>1. 发包人需求任务书。</w:t>
      </w:r>
    </w:p>
    <w:p>
      <w:pPr>
        <w:ind w:firstLine="600"/>
        <w:rPr>
          <w:rFonts w:ascii="仿宋_GB2312" w:eastAsia="仿宋_GB2312"/>
          <w:color w:val="auto"/>
          <w:sz w:val="24"/>
          <w:highlight w:val="none"/>
        </w:rPr>
      </w:pPr>
      <w:r>
        <w:rPr>
          <w:rFonts w:hint="eastAsia" w:ascii="仿宋_GB2312" w:eastAsia="仿宋_GB2312"/>
          <w:color w:val="auto"/>
          <w:sz w:val="24"/>
          <w:highlight w:val="none"/>
        </w:rPr>
        <w:t>2. 发包人已完成的设计文件。</w:t>
      </w:r>
    </w:p>
    <w:p>
      <w:pPr>
        <w:ind w:firstLine="600"/>
        <w:rPr>
          <w:rFonts w:ascii="黑体" w:hAnsi="黑体" w:eastAsia="黑体"/>
          <w:color w:val="auto"/>
          <w:sz w:val="24"/>
          <w:highlight w:val="none"/>
        </w:rPr>
      </w:pPr>
      <w:r>
        <w:rPr>
          <w:rFonts w:hint="eastAsia" w:ascii="黑体" w:hAnsi="黑体" w:eastAsia="黑体"/>
          <w:color w:val="auto"/>
          <w:sz w:val="24"/>
          <w:highlight w:val="none"/>
        </w:rPr>
        <w:t>三、工艺安排或要求（如有）</w:t>
      </w:r>
    </w:p>
    <w:p>
      <w:pPr>
        <w:ind w:firstLine="600"/>
        <w:rPr>
          <w:rFonts w:ascii="黑体" w:hAnsi="黑体" w:eastAsia="黑体"/>
          <w:color w:val="auto"/>
          <w:sz w:val="24"/>
          <w:highlight w:val="none"/>
        </w:rPr>
      </w:pPr>
      <w:r>
        <w:rPr>
          <w:rFonts w:hint="eastAsia" w:ascii="黑体" w:hAnsi="黑体" w:eastAsia="黑体"/>
          <w:color w:val="auto"/>
          <w:sz w:val="24"/>
          <w:highlight w:val="none"/>
        </w:rPr>
        <w:t>四、时间要求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（一）开始工作时间。</w:t>
      </w:r>
    </w:p>
    <w:p>
      <w:pPr>
        <w:ind w:firstLine="600"/>
        <w:rPr>
          <w:rFonts w:ascii="仿宋_GB2312" w:eastAsia="仿宋_GB2312"/>
          <w:color w:val="auto"/>
          <w:sz w:val="24"/>
          <w:highlight w:val="none"/>
        </w:rPr>
      </w:pPr>
      <w:r>
        <w:rPr>
          <w:rFonts w:hint="eastAsia" w:ascii="仿宋_GB2312" w:eastAsia="仿宋_GB2312"/>
          <w:color w:val="auto"/>
          <w:sz w:val="24"/>
          <w:highlight w:val="none"/>
        </w:rPr>
        <w:t>（二）设计完成时间。</w:t>
      </w:r>
    </w:p>
    <w:p>
      <w:pPr>
        <w:ind w:firstLine="600"/>
        <w:rPr>
          <w:rFonts w:ascii="仿宋_GB2312" w:eastAsia="仿宋_GB2312"/>
          <w:color w:val="auto"/>
          <w:sz w:val="24"/>
          <w:highlight w:val="none"/>
        </w:rPr>
      </w:pPr>
      <w:r>
        <w:rPr>
          <w:rFonts w:hint="eastAsia" w:ascii="仿宋_GB2312" w:eastAsia="仿宋_GB2312"/>
          <w:color w:val="auto"/>
          <w:sz w:val="24"/>
          <w:highlight w:val="none"/>
        </w:rPr>
        <w:t>（三）进度计划。</w:t>
      </w:r>
    </w:p>
    <w:p>
      <w:pPr>
        <w:ind w:firstLine="600"/>
        <w:rPr>
          <w:rFonts w:ascii="仿宋_GB2312" w:eastAsia="仿宋_GB2312"/>
          <w:color w:val="auto"/>
          <w:sz w:val="24"/>
          <w:highlight w:val="none"/>
        </w:rPr>
      </w:pPr>
      <w:r>
        <w:rPr>
          <w:rFonts w:hint="eastAsia" w:ascii="仿宋_GB2312" w:eastAsia="仿宋_GB2312"/>
          <w:color w:val="auto"/>
          <w:sz w:val="24"/>
          <w:highlight w:val="none"/>
        </w:rPr>
        <w:t>（四）竣工时间。</w:t>
      </w:r>
    </w:p>
    <w:p>
      <w:pPr>
        <w:ind w:firstLine="600"/>
        <w:rPr>
          <w:rFonts w:ascii="仿宋_GB2312" w:eastAsia="仿宋_GB2312"/>
          <w:color w:val="auto"/>
          <w:sz w:val="24"/>
          <w:highlight w:val="none"/>
        </w:rPr>
      </w:pPr>
      <w:r>
        <w:rPr>
          <w:rFonts w:hint="eastAsia" w:ascii="仿宋_GB2312" w:eastAsia="仿宋_GB2312"/>
          <w:color w:val="auto"/>
          <w:sz w:val="24"/>
          <w:highlight w:val="none"/>
        </w:rPr>
        <w:t>（五）缺陷责任期。</w:t>
      </w:r>
    </w:p>
    <w:p>
      <w:pPr>
        <w:ind w:firstLine="600"/>
        <w:rPr>
          <w:rFonts w:ascii="仿宋_GB2312" w:eastAsia="仿宋_GB2312"/>
          <w:color w:val="auto"/>
          <w:sz w:val="24"/>
          <w:highlight w:val="none"/>
        </w:rPr>
      </w:pPr>
      <w:r>
        <w:rPr>
          <w:rFonts w:hint="eastAsia" w:ascii="仿宋_GB2312" w:eastAsia="仿宋_GB2312"/>
          <w:color w:val="auto"/>
          <w:sz w:val="24"/>
          <w:highlight w:val="none"/>
        </w:rPr>
        <w:t>（六）其他时间要求。</w:t>
      </w:r>
    </w:p>
    <w:p>
      <w:pPr>
        <w:ind w:firstLine="600"/>
        <w:rPr>
          <w:rFonts w:ascii="黑体" w:hAnsi="黑体" w:eastAsia="黑体"/>
          <w:color w:val="auto"/>
          <w:sz w:val="24"/>
          <w:highlight w:val="none"/>
        </w:rPr>
      </w:pPr>
      <w:r>
        <w:rPr>
          <w:rFonts w:hint="eastAsia" w:ascii="黑体" w:hAnsi="黑体" w:eastAsia="黑体"/>
          <w:color w:val="auto"/>
          <w:sz w:val="24"/>
          <w:highlight w:val="none"/>
        </w:rPr>
        <w:t>五、技术要求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（一）设计阶段和设计任务。</w:t>
      </w:r>
    </w:p>
    <w:p>
      <w:pPr>
        <w:ind w:firstLine="600"/>
        <w:rPr>
          <w:rFonts w:ascii="仿宋_GB2312" w:eastAsia="仿宋_GB2312"/>
          <w:color w:val="auto"/>
          <w:sz w:val="24"/>
          <w:highlight w:val="none"/>
        </w:rPr>
      </w:pPr>
      <w:r>
        <w:rPr>
          <w:rFonts w:hint="eastAsia" w:ascii="仿宋_GB2312" w:eastAsia="仿宋_GB2312"/>
          <w:color w:val="auto"/>
          <w:sz w:val="24"/>
          <w:highlight w:val="none"/>
        </w:rPr>
        <w:t>（二）设计标准和规范。</w:t>
      </w:r>
    </w:p>
    <w:p>
      <w:pPr>
        <w:ind w:firstLine="600"/>
        <w:rPr>
          <w:rFonts w:ascii="仿宋_GB2312" w:eastAsia="仿宋_GB2312"/>
          <w:color w:val="auto"/>
          <w:sz w:val="24"/>
          <w:highlight w:val="none"/>
        </w:rPr>
      </w:pPr>
      <w:r>
        <w:rPr>
          <w:rFonts w:hint="eastAsia" w:ascii="仿宋_GB2312" w:eastAsia="仿宋_GB2312"/>
          <w:color w:val="auto"/>
          <w:sz w:val="24"/>
          <w:highlight w:val="none"/>
        </w:rPr>
        <w:t>（三）技术标准和要求。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（四）质量标准。</w:t>
      </w:r>
    </w:p>
    <w:p>
      <w:pPr>
        <w:ind w:firstLine="600"/>
        <w:rPr>
          <w:rFonts w:ascii="仿宋_GB2312" w:eastAsia="仿宋_GB2312"/>
          <w:color w:val="auto"/>
          <w:sz w:val="24"/>
          <w:highlight w:val="none"/>
        </w:rPr>
      </w:pPr>
      <w:r>
        <w:rPr>
          <w:rFonts w:hint="eastAsia" w:ascii="仿宋_GB2312" w:eastAsia="仿宋_GB2312"/>
          <w:color w:val="auto"/>
          <w:sz w:val="24"/>
          <w:highlight w:val="none"/>
        </w:rPr>
        <w:t>（五）设计、施工和设备监造、试验（如有）。</w:t>
      </w:r>
    </w:p>
    <w:p>
      <w:pPr>
        <w:ind w:firstLine="600"/>
        <w:rPr>
          <w:rFonts w:ascii="仿宋_GB2312" w:eastAsia="仿宋_GB2312"/>
          <w:color w:val="auto"/>
          <w:sz w:val="24"/>
          <w:highlight w:val="none"/>
        </w:rPr>
      </w:pPr>
      <w:r>
        <w:rPr>
          <w:rFonts w:hint="eastAsia" w:ascii="仿宋_GB2312" w:eastAsia="仿宋_GB2312"/>
          <w:color w:val="auto"/>
          <w:sz w:val="24"/>
          <w:highlight w:val="none"/>
        </w:rPr>
        <w:t>（六）样品。</w:t>
      </w:r>
    </w:p>
    <w:p>
      <w:pPr>
        <w:ind w:firstLine="600"/>
        <w:rPr>
          <w:rFonts w:ascii="仿宋_GB2312" w:eastAsia="仿宋_GB2312"/>
          <w:color w:val="auto"/>
          <w:sz w:val="24"/>
          <w:highlight w:val="none"/>
        </w:rPr>
      </w:pPr>
      <w:r>
        <w:rPr>
          <w:rFonts w:hint="eastAsia" w:ascii="仿宋_GB2312" w:eastAsia="仿宋_GB2312"/>
          <w:color w:val="auto"/>
          <w:sz w:val="24"/>
          <w:highlight w:val="none"/>
        </w:rPr>
        <w:t>（七）发包人提供的其他条件，如发包人或其委托的第三人提供的设计、工艺包、用于试验检验的工器具等，以及据此对承包人提出的予以配套的要求。</w:t>
      </w:r>
    </w:p>
    <w:p>
      <w:pPr>
        <w:ind w:firstLine="600"/>
        <w:rPr>
          <w:rFonts w:ascii="黑体" w:hAnsi="黑体" w:eastAsia="黑体"/>
          <w:color w:val="auto"/>
          <w:sz w:val="24"/>
          <w:highlight w:val="none"/>
        </w:rPr>
      </w:pPr>
      <w:r>
        <w:rPr>
          <w:rFonts w:hint="eastAsia" w:ascii="黑体" w:hAnsi="黑体" w:eastAsia="黑体"/>
          <w:color w:val="auto"/>
          <w:sz w:val="24"/>
          <w:highlight w:val="none"/>
        </w:rPr>
        <w:t>六、竣工试验</w:t>
      </w:r>
    </w:p>
    <w:p>
      <w:pPr>
        <w:ind w:firstLine="600"/>
        <w:rPr>
          <w:rFonts w:ascii="仿宋_GB2312" w:eastAsia="仿宋_GB2312"/>
          <w:color w:val="auto"/>
          <w:sz w:val="24"/>
          <w:highlight w:val="none"/>
        </w:rPr>
      </w:pPr>
      <w:r>
        <w:rPr>
          <w:rFonts w:hint="eastAsia" w:ascii="仿宋_GB2312" w:eastAsia="仿宋_GB2312"/>
          <w:color w:val="auto"/>
          <w:sz w:val="24"/>
          <w:highlight w:val="none"/>
        </w:rPr>
        <w:t>（一）第一阶段，如对单车试验等的要求，包括试验前准备。</w:t>
      </w:r>
    </w:p>
    <w:p>
      <w:pPr>
        <w:ind w:firstLine="600"/>
        <w:rPr>
          <w:rFonts w:ascii="仿宋_GB2312" w:eastAsia="仿宋_GB2312"/>
          <w:color w:val="auto"/>
          <w:sz w:val="24"/>
          <w:highlight w:val="none"/>
        </w:rPr>
      </w:pPr>
      <w:r>
        <w:rPr>
          <w:rFonts w:hint="eastAsia" w:ascii="仿宋_GB2312" w:eastAsia="仿宋_GB2312"/>
          <w:color w:val="auto"/>
          <w:sz w:val="24"/>
          <w:highlight w:val="none"/>
        </w:rPr>
        <w:t>（二）第二阶段，如对联动试车、投料试车等的要求，包括人员、设备、材料、燃料、电力、消耗品、工具等必要条件。</w:t>
      </w:r>
    </w:p>
    <w:p>
      <w:pPr>
        <w:ind w:firstLine="600"/>
        <w:rPr>
          <w:rFonts w:ascii="仿宋_GB2312" w:eastAsia="仿宋_GB2312"/>
          <w:color w:val="auto"/>
          <w:sz w:val="24"/>
          <w:highlight w:val="none"/>
        </w:rPr>
      </w:pPr>
      <w:r>
        <w:rPr>
          <w:rFonts w:hint="eastAsia" w:ascii="仿宋_GB2312" w:eastAsia="仿宋_GB2312"/>
          <w:color w:val="auto"/>
          <w:sz w:val="24"/>
          <w:highlight w:val="none"/>
        </w:rPr>
        <w:t>（三）第三阶段，如对性能测试及其他竣工试验的要求，包括产能指标、产品质量标准、运营指标、环保指标等。</w:t>
      </w:r>
    </w:p>
    <w:p>
      <w:pPr>
        <w:ind w:firstLine="600"/>
        <w:rPr>
          <w:rFonts w:ascii="黑体" w:hAnsi="黑体" w:eastAsia="黑体"/>
          <w:color w:val="auto"/>
          <w:sz w:val="24"/>
          <w:highlight w:val="none"/>
        </w:rPr>
      </w:pPr>
      <w:r>
        <w:rPr>
          <w:rFonts w:hint="eastAsia" w:ascii="黑体" w:hAnsi="黑体" w:eastAsia="黑体"/>
          <w:color w:val="auto"/>
          <w:sz w:val="24"/>
          <w:highlight w:val="none"/>
        </w:rPr>
        <w:t>七、竣工验收</w:t>
      </w:r>
    </w:p>
    <w:p>
      <w:pPr>
        <w:ind w:firstLine="600"/>
        <w:rPr>
          <w:rFonts w:ascii="黑体" w:hAnsi="黑体" w:eastAsia="黑体"/>
          <w:color w:val="auto"/>
          <w:sz w:val="24"/>
          <w:highlight w:val="none"/>
        </w:rPr>
      </w:pPr>
      <w:r>
        <w:rPr>
          <w:rFonts w:hint="eastAsia" w:ascii="黑体" w:hAnsi="黑体" w:eastAsia="黑体"/>
          <w:color w:val="auto"/>
          <w:sz w:val="24"/>
          <w:highlight w:val="none"/>
        </w:rPr>
        <w:t>八、竣工后试验（如有）</w:t>
      </w:r>
    </w:p>
    <w:p>
      <w:pPr>
        <w:ind w:firstLine="600"/>
        <w:rPr>
          <w:rFonts w:ascii="黑体" w:hAnsi="黑体" w:eastAsia="黑体"/>
          <w:color w:val="auto"/>
          <w:sz w:val="24"/>
          <w:highlight w:val="none"/>
        </w:rPr>
      </w:pPr>
      <w:r>
        <w:rPr>
          <w:rFonts w:hint="eastAsia" w:ascii="黑体" w:hAnsi="黑体" w:eastAsia="黑体"/>
          <w:color w:val="auto"/>
          <w:sz w:val="24"/>
          <w:highlight w:val="none"/>
        </w:rPr>
        <w:t>九、文件要求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（一）设计文件，及其相关审批、核准、备案要求。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（二）沟通计划。</w:t>
      </w:r>
    </w:p>
    <w:p>
      <w:pPr>
        <w:ind w:firstLine="600"/>
        <w:rPr>
          <w:rFonts w:ascii="仿宋_GB2312" w:eastAsia="仿宋_GB2312"/>
          <w:color w:val="auto"/>
          <w:sz w:val="24"/>
          <w:highlight w:val="none"/>
        </w:rPr>
      </w:pPr>
      <w:r>
        <w:rPr>
          <w:rFonts w:hint="eastAsia" w:ascii="仿宋_GB2312" w:eastAsia="仿宋_GB2312"/>
          <w:color w:val="auto"/>
          <w:sz w:val="24"/>
          <w:highlight w:val="none"/>
        </w:rPr>
        <w:t>（三）风险管理计划。</w:t>
      </w:r>
    </w:p>
    <w:p>
      <w:pPr>
        <w:ind w:firstLine="600"/>
        <w:rPr>
          <w:rFonts w:ascii="仿宋_GB2312" w:eastAsia="仿宋_GB2312"/>
          <w:color w:val="auto"/>
          <w:sz w:val="24"/>
          <w:highlight w:val="none"/>
        </w:rPr>
      </w:pPr>
      <w:r>
        <w:rPr>
          <w:rFonts w:hint="eastAsia" w:ascii="仿宋_GB2312" w:eastAsia="仿宋_GB2312"/>
          <w:color w:val="auto"/>
          <w:sz w:val="24"/>
          <w:highlight w:val="none"/>
        </w:rPr>
        <w:t>（四）竣工文件和工程的其他记录。</w:t>
      </w:r>
    </w:p>
    <w:p>
      <w:pPr>
        <w:ind w:firstLine="600"/>
        <w:rPr>
          <w:rFonts w:ascii="仿宋_GB2312" w:eastAsia="仿宋_GB2312"/>
          <w:color w:val="auto"/>
          <w:sz w:val="24"/>
          <w:highlight w:val="none"/>
        </w:rPr>
      </w:pPr>
      <w:r>
        <w:rPr>
          <w:rFonts w:hint="eastAsia" w:ascii="仿宋_GB2312" w:eastAsia="仿宋_GB2312"/>
          <w:color w:val="auto"/>
          <w:sz w:val="24"/>
          <w:highlight w:val="none"/>
        </w:rPr>
        <w:t>（五）操作和维修手册。</w:t>
      </w:r>
    </w:p>
    <w:p>
      <w:pPr>
        <w:ind w:firstLine="600"/>
        <w:rPr>
          <w:rFonts w:ascii="仿宋_GB2312" w:eastAsia="仿宋_GB2312"/>
          <w:color w:val="auto"/>
          <w:sz w:val="24"/>
          <w:highlight w:val="none"/>
        </w:rPr>
      </w:pPr>
      <w:r>
        <w:rPr>
          <w:rFonts w:hint="eastAsia" w:ascii="仿宋_GB2312" w:eastAsia="仿宋_GB2312"/>
          <w:color w:val="auto"/>
          <w:sz w:val="24"/>
          <w:highlight w:val="none"/>
        </w:rPr>
        <w:t>（六）其他承包人文件。</w:t>
      </w:r>
    </w:p>
    <w:p>
      <w:pPr>
        <w:ind w:firstLine="600"/>
        <w:rPr>
          <w:rFonts w:ascii="黑体" w:hAnsi="黑体" w:eastAsia="黑体"/>
          <w:color w:val="auto"/>
          <w:sz w:val="24"/>
          <w:highlight w:val="none"/>
        </w:rPr>
      </w:pPr>
      <w:r>
        <w:rPr>
          <w:rFonts w:hint="eastAsia" w:ascii="黑体" w:hAnsi="黑体" w:eastAsia="黑体"/>
          <w:color w:val="auto"/>
          <w:sz w:val="24"/>
          <w:highlight w:val="none"/>
        </w:rPr>
        <w:t>十、工程项目管理规定</w:t>
      </w:r>
    </w:p>
    <w:p>
      <w:pPr>
        <w:ind w:firstLine="600"/>
        <w:rPr>
          <w:rFonts w:ascii="仿宋_GB2312" w:eastAsia="仿宋_GB2312"/>
          <w:color w:val="auto"/>
          <w:sz w:val="24"/>
          <w:highlight w:val="none"/>
        </w:rPr>
      </w:pPr>
      <w:r>
        <w:rPr>
          <w:rFonts w:hint="eastAsia" w:ascii="仿宋_GB2312" w:eastAsia="仿宋_GB2312"/>
          <w:color w:val="auto"/>
          <w:sz w:val="24"/>
          <w:highlight w:val="none"/>
        </w:rPr>
        <w:t>（一）质量。</w:t>
      </w:r>
    </w:p>
    <w:p>
      <w:pPr>
        <w:ind w:firstLine="600"/>
        <w:rPr>
          <w:rFonts w:ascii="仿宋_GB2312" w:eastAsia="仿宋_GB2312"/>
          <w:color w:val="auto"/>
          <w:sz w:val="24"/>
          <w:highlight w:val="none"/>
        </w:rPr>
      </w:pPr>
      <w:r>
        <w:rPr>
          <w:rFonts w:hint="eastAsia" w:ascii="仿宋_GB2312" w:eastAsia="仿宋_GB2312"/>
          <w:color w:val="auto"/>
          <w:sz w:val="24"/>
          <w:highlight w:val="none"/>
        </w:rPr>
        <w:t>（二）进度，包括里程碑进度计划（如果有）。</w:t>
      </w:r>
    </w:p>
    <w:p>
      <w:pPr>
        <w:ind w:firstLine="600"/>
        <w:rPr>
          <w:rFonts w:ascii="仿宋_GB2312" w:eastAsia="仿宋_GB2312"/>
          <w:color w:val="auto"/>
          <w:sz w:val="24"/>
          <w:highlight w:val="none"/>
        </w:rPr>
      </w:pPr>
      <w:r>
        <w:rPr>
          <w:rFonts w:hint="eastAsia" w:ascii="仿宋_GB2312" w:eastAsia="仿宋_GB2312"/>
          <w:color w:val="auto"/>
          <w:sz w:val="24"/>
          <w:highlight w:val="none"/>
        </w:rPr>
        <w:t>（三）支付。</w:t>
      </w:r>
    </w:p>
    <w:p>
      <w:pPr>
        <w:ind w:firstLine="600"/>
        <w:rPr>
          <w:rFonts w:ascii="仿宋_GB2312" w:eastAsia="仿宋_GB2312"/>
          <w:color w:val="auto"/>
          <w:sz w:val="24"/>
          <w:highlight w:val="none"/>
        </w:rPr>
      </w:pPr>
      <w:r>
        <w:rPr>
          <w:rFonts w:hint="eastAsia" w:ascii="仿宋_GB2312" w:eastAsia="仿宋_GB2312"/>
          <w:color w:val="auto"/>
          <w:sz w:val="24"/>
          <w:highlight w:val="none"/>
        </w:rPr>
        <w:t>（四）HSE（健康、安全与环境管理体系）。</w:t>
      </w:r>
    </w:p>
    <w:p>
      <w:pPr>
        <w:ind w:firstLine="600"/>
        <w:rPr>
          <w:rFonts w:ascii="仿宋_GB2312" w:eastAsia="仿宋_GB2312"/>
          <w:color w:val="auto"/>
          <w:sz w:val="24"/>
          <w:highlight w:val="none"/>
        </w:rPr>
      </w:pPr>
      <w:r>
        <w:rPr>
          <w:rFonts w:hint="eastAsia" w:ascii="仿宋_GB2312" w:eastAsia="仿宋_GB2312"/>
          <w:color w:val="auto"/>
          <w:sz w:val="24"/>
          <w:highlight w:val="none"/>
        </w:rPr>
        <w:t>（五）沟通。</w:t>
      </w:r>
    </w:p>
    <w:p>
      <w:pPr>
        <w:ind w:firstLine="600"/>
        <w:rPr>
          <w:rFonts w:ascii="仿宋_GB2312" w:eastAsia="仿宋_GB2312"/>
          <w:color w:val="auto"/>
          <w:sz w:val="24"/>
          <w:highlight w:val="none"/>
        </w:rPr>
      </w:pPr>
      <w:r>
        <w:rPr>
          <w:rFonts w:hint="eastAsia" w:ascii="仿宋_GB2312" w:eastAsia="仿宋_GB2312"/>
          <w:color w:val="auto"/>
          <w:sz w:val="24"/>
          <w:highlight w:val="none"/>
        </w:rPr>
        <w:t>（六）变更。</w:t>
      </w:r>
    </w:p>
    <w:p>
      <w:pPr>
        <w:ind w:firstLine="600"/>
        <w:rPr>
          <w:rFonts w:ascii="黑体" w:hAnsi="黑体" w:eastAsia="黑体"/>
          <w:color w:val="auto"/>
          <w:sz w:val="24"/>
          <w:highlight w:val="none"/>
        </w:rPr>
      </w:pPr>
      <w:r>
        <w:rPr>
          <w:rFonts w:hint="eastAsia" w:ascii="黑体" w:hAnsi="黑体" w:eastAsia="黑体"/>
          <w:color w:val="auto"/>
          <w:sz w:val="24"/>
          <w:highlight w:val="none"/>
        </w:rPr>
        <w:t>十一、其他要求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（一）对承包人的主要人员资格要求。</w:t>
      </w:r>
    </w:p>
    <w:p>
      <w:pPr>
        <w:ind w:firstLine="600"/>
        <w:rPr>
          <w:rFonts w:ascii="仿宋_GB2312" w:eastAsia="仿宋_GB2312"/>
          <w:color w:val="auto"/>
          <w:sz w:val="24"/>
          <w:highlight w:val="none"/>
        </w:rPr>
      </w:pPr>
      <w:r>
        <w:rPr>
          <w:rFonts w:hint="eastAsia" w:ascii="仿宋_GB2312" w:eastAsia="仿宋_GB2312"/>
          <w:color w:val="auto"/>
          <w:sz w:val="24"/>
          <w:highlight w:val="none"/>
        </w:rPr>
        <w:t>（二）相关审批、核准和备案手续的办理。</w:t>
      </w:r>
    </w:p>
    <w:p>
      <w:pPr>
        <w:ind w:firstLine="600"/>
        <w:rPr>
          <w:rFonts w:ascii="仿宋_GB2312" w:eastAsia="仿宋_GB2312"/>
          <w:color w:val="auto"/>
          <w:sz w:val="24"/>
          <w:highlight w:val="none"/>
        </w:rPr>
      </w:pPr>
      <w:r>
        <w:rPr>
          <w:rFonts w:hint="eastAsia" w:ascii="仿宋_GB2312" w:eastAsia="仿宋_GB2312"/>
          <w:color w:val="auto"/>
          <w:sz w:val="24"/>
          <w:highlight w:val="none"/>
        </w:rPr>
        <w:t>（三）对项目业主人员的操作培训。</w:t>
      </w:r>
    </w:p>
    <w:p>
      <w:pPr>
        <w:ind w:firstLine="600"/>
        <w:rPr>
          <w:rFonts w:ascii="仿宋_GB2312" w:eastAsia="仿宋_GB2312"/>
          <w:color w:val="auto"/>
          <w:sz w:val="24"/>
          <w:highlight w:val="none"/>
        </w:rPr>
      </w:pPr>
      <w:r>
        <w:rPr>
          <w:rFonts w:hint="eastAsia" w:ascii="仿宋_GB2312" w:eastAsia="仿宋_GB2312"/>
          <w:color w:val="auto"/>
          <w:sz w:val="24"/>
          <w:highlight w:val="none"/>
        </w:rPr>
        <w:t>（四）分包。</w:t>
      </w:r>
    </w:p>
    <w:p>
      <w:pPr>
        <w:ind w:firstLine="600"/>
        <w:rPr>
          <w:rFonts w:ascii="仿宋_GB2312" w:eastAsia="仿宋_GB2312"/>
          <w:color w:val="auto"/>
          <w:sz w:val="24"/>
          <w:highlight w:val="none"/>
        </w:rPr>
      </w:pPr>
      <w:r>
        <w:rPr>
          <w:rFonts w:hint="eastAsia" w:ascii="仿宋_GB2312" w:eastAsia="仿宋_GB2312"/>
          <w:color w:val="auto"/>
          <w:sz w:val="24"/>
          <w:highlight w:val="none"/>
        </w:rPr>
        <w:t>（五）设备供应商。</w:t>
      </w:r>
    </w:p>
    <w:p>
      <w:pPr>
        <w:ind w:left="600"/>
        <w:rPr>
          <w:rFonts w:ascii="仿宋_GB2312" w:eastAsia="仿宋_GB2312"/>
          <w:color w:val="auto"/>
          <w:sz w:val="24"/>
          <w:highlight w:val="none"/>
        </w:rPr>
      </w:pPr>
      <w:r>
        <w:rPr>
          <w:rFonts w:hint="eastAsia" w:ascii="仿宋_GB2312" w:eastAsia="仿宋_GB2312"/>
          <w:color w:val="auto"/>
          <w:sz w:val="24"/>
          <w:highlight w:val="none"/>
        </w:rPr>
        <w:t>（六）缺陷责任期的服务要求。</w:t>
      </w:r>
    </w:p>
    <w:p>
      <w:pPr>
        <w:jc w:val="left"/>
        <w:rPr>
          <w:color w:val="auto"/>
          <w:highlight w:val="none"/>
        </w:rPr>
      </w:pPr>
    </w:p>
    <w:p>
      <w:pPr>
        <w:jc w:val="left"/>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color w:val="auto"/>
          <w:highlight w:val="none"/>
        </w:rPr>
      </w:pPr>
    </w:p>
    <w:p>
      <w:pPr>
        <w:pStyle w:val="43"/>
        <w:numPr>
          <w:ilvl w:val="0"/>
          <w:numId w:val="0"/>
        </w:numPr>
        <w:rPr>
          <w:color w:val="auto"/>
          <w:highlight w:val="none"/>
        </w:rPr>
      </w:pPr>
      <w:bookmarkStart w:id="1127" w:name="_Toc20171894"/>
      <w:bookmarkStart w:id="1128" w:name="_Toc54862353"/>
      <w:r>
        <w:rPr>
          <w:rFonts w:hint="eastAsia"/>
          <w:color w:val="auto"/>
          <w:highlight w:val="none"/>
        </w:rPr>
        <w:t>附件2</w:t>
      </w:r>
      <w:r>
        <w:rPr>
          <w:color w:val="auto"/>
          <w:highlight w:val="none"/>
        </w:rPr>
        <w:t xml:space="preserve"> 发包人供应材料设备一览表</w:t>
      </w:r>
      <w:bookmarkEnd w:id="1127"/>
      <w:bookmarkEnd w:id="1128"/>
    </w:p>
    <w:tbl>
      <w:tblPr>
        <w:tblStyle w:val="21"/>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序号</w:t>
            </w:r>
          </w:p>
        </w:tc>
        <w:tc>
          <w:tcPr>
            <w:tcW w:w="1165"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材料、设备品种</w:t>
            </w:r>
          </w:p>
        </w:tc>
        <w:tc>
          <w:tcPr>
            <w:tcW w:w="1126"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规格型号</w:t>
            </w:r>
          </w:p>
        </w:tc>
        <w:tc>
          <w:tcPr>
            <w:tcW w:w="567"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单位</w:t>
            </w:r>
          </w:p>
        </w:tc>
        <w:tc>
          <w:tcPr>
            <w:tcW w:w="686"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数量</w:t>
            </w:r>
          </w:p>
        </w:tc>
        <w:tc>
          <w:tcPr>
            <w:tcW w:w="992"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单价（元）</w:t>
            </w:r>
          </w:p>
        </w:tc>
        <w:tc>
          <w:tcPr>
            <w:tcW w:w="1134"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质量等级</w:t>
            </w:r>
          </w:p>
        </w:tc>
        <w:tc>
          <w:tcPr>
            <w:tcW w:w="1134"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供应时间</w:t>
            </w:r>
          </w:p>
        </w:tc>
        <w:tc>
          <w:tcPr>
            <w:tcW w:w="1134"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送达地点</w:t>
            </w:r>
          </w:p>
        </w:tc>
        <w:tc>
          <w:tcPr>
            <w:tcW w:w="709"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165"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126"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567"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686"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992" w:type="dxa"/>
            <w:tcBorders>
              <w:top w:val="double" w:color="auto" w:sz="6" w:space="0"/>
              <w:bottom w:val="single" w:color="auto" w:sz="6" w:space="0"/>
            </w:tcBorders>
            <w:vAlign w:val="top"/>
          </w:tcPr>
          <w:p>
            <w:pPr>
              <w:pStyle w:val="2"/>
              <w:rPr>
                <w:rFonts w:ascii="仿宋_GB2312" w:eastAsia="仿宋_GB2312"/>
                <w:color w:val="auto"/>
                <w:highlight w:val="none"/>
              </w:rPr>
            </w:pPr>
          </w:p>
        </w:tc>
        <w:tc>
          <w:tcPr>
            <w:tcW w:w="1134"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134"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134"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709" w:type="dxa"/>
            <w:tcBorders>
              <w:top w:val="double" w:color="auto" w:sz="6" w:space="0"/>
              <w:bottom w:val="single" w:color="auto" w:sz="6" w:space="0"/>
            </w:tcBorders>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2"/>
              <w:rPr>
                <w:rFonts w:ascii="仿宋_GB2312" w:eastAsia="仿宋_GB2312"/>
                <w:color w:val="auto"/>
                <w:highlight w:val="none"/>
              </w:rPr>
            </w:pPr>
          </w:p>
        </w:tc>
        <w:tc>
          <w:tcPr>
            <w:tcW w:w="1165" w:type="dxa"/>
            <w:tcBorders>
              <w:top w:val="nil"/>
            </w:tcBorders>
            <w:vAlign w:val="center"/>
          </w:tcPr>
          <w:p>
            <w:pPr>
              <w:pStyle w:val="2"/>
              <w:rPr>
                <w:rFonts w:ascii="仿宋_GB2312" w:eastAsia="仿宋_GB2312"/>
                <w:color w:val="auto"/>
                <w:highlight w:val="none"/>
              </w:rPr>
            </w:pPr>
          </w:p>
        </w:tc>
        <w:tc>
          <w:tcPr>
            <w:tcW w:w="1126" w:type="dxa"/>
            <w:tcBorders>
              <w:top w:val="nil"/>
            </w:tcBorders>
            <w:vAlign w:val="center"/>
          </w:tcPr>
          <w:p>
            <w:pPr>
              <w:pStyle w:val="2"/>
              <w:rPr>
                <w:rFonts w:ascii="仿宋_GB2312" w:eastAsia="仿宋_GB2312"/>
                <w:color w:val="auto"/>
                <w:highlight w:val="none"/>
              </w:rPr>
            </w:pPr>
          </w:p>
        </w:tc>
        <w:tc>
          <w:tcPr>
            <w:tcW w:w="567" w:type="dxa"/>
            <w:tcBorders>
              <w:top w:val="nil"/>
            </w:tcBorders>
            <w:vAlign w:val="center"/>
          </w:tcPr>
          <w:p>
            <w:pPr>
              <w:pStyle w:val="2"/>
              <w:rPr>
                <w:rFonts w:ascii="仿宋_GB2312" w:eastAsia="仿宋_GB2312"/>
                <w:color w:val="auto"/>
                <w:highlight w:val="none"/>
              </w:rPr>
            </w:pPr>
          </w:p>
        </w:tc>
        <w:tc>
          <w:tcPr>
            <w:tcW w:w="686" w:type="dxa"/>
            <w:tcBorders>
              <w:top w:val="nil"/>
            </w:tcBorders>
            <w:vAlign w:val="center"/>
          </w:tcPr>
          <w:p>
            <w:pPr>
              <w:pStyle w:val="2"/>
              <w:rPr>
                <w:rFonts w:ascii="仿宋_GB2312" w:eastAsia="仿宋_GB2312"/>
                <w:color w:val="auto"/>
                <w:highlight w:val="none"/>
              </w:rPr>
            </w:pPr>
          </w:p>
        </w:tc>
        <w:tc>
          <w:tcPr>
            <w:tcW w:w="992" w:type="dxa"/>
            <w:tcBorders>
              <w:top w:val="nil"/>
            </w:tcBorders>
            <w:vAlign w:val="top"/>
          </w:tcPr>
          <w:p>
            <w:pPr>
              <w:pStyle w:val="2"/>
              <w:rPr>
                <w:rFonts w:ascii="仿宋_GB2312" w:eastAsia="仿宋_GB2312"/>
                <w:color w:val="auto"/>
                <w:highlight w:val="none"/>
              </w:rPr>
            </w:pPr>
          </w:p>
        </w:tc>
        <w:tc>
          <w:tcPr>
            <w:tcW w:w="1134" w:type="dxa"/>
            <w:tcBorders>
              <w:top w:val="nil"/>
            </w:tcBorders>
            <w:vAlign w:val="center"/>
          </w:tcPr>
          <w:p>
            <w:pPr>
              <w:pStyle w:val="2"/>
              <w:rPr>
                <w:rFonts w:ascii="仿宋_GB2312" w:eastAsia="仿宋_GB2312"/>
                <w:color w:val="auto"/>
                <w:highlight w:val="none"/>
              </w:rPr>
            </w:pPr>
          </w:p>
        </w:tc>
        <w:tc>
          <w:tcPr>
            <w:tcW w:w="1134" w:type="dxa"/>
            <w:tcBorders>
              <w:top w:val="nil"/>
            </w:tcBorders>
            <w:vAlign w:val="center"/>
          </w:tcPr>
          <w:p>
            <w:pPr>
              <w:pStyle w:val="2"/>
              <w:rPr>
                <w:rFonts w:ascii="仿宋_GB2312" w:eastAsia="仿宋_GB2312"/>
                <w:color w:val="auto"/>
                <w:highlight w:val="none"/>
              </w:rPr>
            </w:pPr>
          </w:p>
        </w:tc>
        <w:tc>
          <w:tcPr>
            <w:tcW w:w="1134" w:type="dxa"/>
            <w:tcBorders>
              <w:top w:val="nil"/>
            </w:tcBorders>
            <w:vAlign w:val="center"/>
          </w:tcPr>
          <w:p>
            <w:pPr>
              <w:pStyle w:val="2"/>
              <w:rPr>
                <w:rFonts w:ascii="仿宋_GB2312" w:eastAsia="仿宋_GB2312"/>
                <w:color w:val="auto"/>
                <w:highlight w:val="none"/>
              </w:rPr>
            </w:pPr>
          </w:p>
        </w:tc>
        <w:tc>
          <w:tcPr>
            <w:tcW w:w="709" w:type="dxa"/>
            <w:tcBorders>
              <w:top w:val="nil"/>
            </w:tcBorders>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rPr>
                <w:rFonts w:ascii="仿宋_GB2312" w:eastAsia="仿宋_GB2312"/>
                <w:color w:val="auto"/>
                <w:highlight w:val="none"/>
              </w:rPr>
            </w:pPr>
          </w:p>
        </w:tc>
        <w:tc>
          <w:tcPr>
            <w:tcW w:w="1165" w:type="dxa"/>
            <w:vAlign w:val="center"/>
          </w:tcPr>
          <w:p>
            <w:pPr>
              <w:pStyle w:val="2"/>
              <w:rPr>
                <w:rFonts w:ascii="仿宋_GB2312" w:eastAsia="仿宋_GB2312"/>
                <w:color w:val="auto"/>
                <w:highlight w:val="none"/>
              </w:rPr>
            </w:pPr>
          </w:p>
        </w:tc>
        <w:tc>
          <w:tcPr>
            <w:tcW w:w="1126" w:type="dxa"/>
            <w:vAlign w:val="center"/>
          </w:tcPr>
          <w:p>
            <w:pPr>
              <w:pStyle w:val="2"/>
              <w:rPr>
                <w:rFonts w:ascii="仿宋_GB2312" w:eastAsia="仿宋_GB2312"/>
                <w:color w:val="auto"/>
                <w:highlight w:val="none"/>
              </w:rPr>
            </w:pPr>
          </w:p>
        </w:tc>
        <w:tc>
          <w:tcPr>
            <w:tcW w:w="567" w:type="dxa"/>
            <w:vAlign w:val="center"/>
          </w:tcPr>
          <w:p>
            <w:pPr>
              <w:pStyle w:val="2"/>
              <w:rPr>
                <w:rFonts w:ascii="仿宋_GB2312" w:eastAsia="仿宋_GB2312"/>
                <w:color w:val="auto"/>
                <w:highlight w:val="none"/>
              </w:rPr>
            </w:pPr>
          </w:p>
        </w:tc>
        <w:tc>
          <w:tcPr>
            <w:tcW w:w="686" w:type="dxa"/>
            <w:vAlign w:val="center"/>
          </w:tcPr>
          <w:p>
            <w:pPr>
              <w:pStyle w:val="2"/>
              <w:rPr>
                <w:rFonts w:ascii="仿宋_GB2312" w:eastAsia="仿宋_GB2312"/>
                <w:color w:val="auto"/>
                <w:highlight w:val="none"/>
              </w:rPr>
            </w:pPr>
          </w:p>
        </w:tc>
        <w:tc>
          <w:tcPr>
            <w:tcW w:w="992" w:type="dxa"/>
            <w:vAlign w:val="top"/>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1134" w:type="dxa"/>
            <w:vAlign w:val="center"/>
          </w:tcPr>
          <w:p>
            <w:pPr>
              <w:pStyle w:val="2"/>
              <w:rPr>
                <w:rFonts w:ascii="仿宋_GB2312" w:eastAsia="仿宋_GB2312"/>
                <w:color w:val="auto"/>
                <w:highlight w:val="none"/>
              </w:rPr>
            </w:pPr>
          </w:p>
        </w:tc>
        <w:tc>
          <w:tcPr>
            <w:tcW w:w="709"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color w:val="auto"/>
                <w:highlight w:val="none"/>
              </w:rPr>
            </w:pPr>
          </w:p>
        </w:tc>
        <w:tc>
          <w:tcPr>
            <w:tcW w:w="1165" w:type="dxa"/>
            <w:vAlign w:val="center"/>
          </w:tcPr>
          <w:p>
            <w:pPr>
              <w:rPr>
                <w:rFonts w:ascii="仿宋_GB2312" w:eastAsia="仿宋_GB2312"/>
                <w:color w:val="auto"/>
                <w:highlight w:val="none"/>
              </w:rPr>
            </w:pPr>
          </w:p>
        </w:tc>
        <w:tc>
          <w:tcPr>
            <w:tcW w:w="1126" w:type="dxa"/>
            <w:vAlign w:val="center"/>
          </w:tcPr>
          <w:p>
            <w:pPr>
              <w:rPr>
                <w:rFonts w:ascii="仿宋_GB2312" w:eastAsia="仿宋_GB2312"/>
                <w:color w:val="auto"/>
                <w:highlight w:val="none"/>
              </w:rPr>
            </w:pPr>
          </w:p>
        </w:tc>
        <w:tc>
          <w:tcPr>
            <w:tcW w:w="567" w:type="dxa"/>
            <w:vAlign w:val="center"/>
          </w:tcPr>
          <w:p>
            <w:pPr>
              <w:rPr>
                <w:rFonts w:ascii="仿宋_GB2312" w:eastAsia="仿宋_GB2312"/>
                <w:color w:val="auto"/>
                <w:highlight w:val="none"/>
              </w:rPr>
            </w:pPr>
          </w:p>
        </w:tc>
        <w:tc>
          <w:tcPr>
            <w:tcW w:w="686" w:type="dxa"/>
            <w:vAlign w:val="center"/>
          </w:tcPr>
          <w:p>
            <w:pPr>
              <w:rPr>
                <w:rFonts w:ascii="仿宋_GB2312" w:eastAsia="仿宋_GB2312"/>
                <w:color w:val="auto"/>
                <w:highlight w:val="none"/>
              </w:rPr>
            </w:pPr>
          </w:p>
        </w:tc>
        <w:tc>
          <w:tcPr>
            <w:tcW w:w="992" w:type="dxa"/>
            <w:vAlign w:val="top"/>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1134" w:type="dxa"/>
            <w:vAlign w:val="center"/>
          </w:tcPr>
          <w:p>
            <w:pPr>
              <w:rPr>
                <w:rFonts w:ascii="仿宋_GB2312" w:eastAsia="仿宋_GB2312"/>
                <w:color w:val="auto"/>
                <w:highlight w:val="none"/>
              </w:rPr>
            </w:pPr>
          </w:p>
        </w:tc>
        <w:tc>
          <w:tcPr>
            <w:tcW w:w="709" w:type="dxa"/>
            <w:vAlign w:val="center"/>
          </w:tcPr>
          <w:p>
            <w:pPr>
              <w:rPr>
                <w:rFonts w:ascii="仿宋_GB2312" w:eastAsia="仿宋_GB2312"/>
                <w:color w:val="auto"/>
                <w:highlight w:val="none"/>
              </w:rPr>
            </w:pPr>
          </w:p>
        </w:tc>
      </w:tr>
    </w:tbl>
    <w:p>
      <w:pPr>
        <w:rPr>
          <w:color w:val="auto"/>
          <w:highlight w:val="none"/>
        </w:rPr>
      </w:pPr>
    </w:p>
    <w:p>
      <w:pPr>
        <w:rPr>
          <w:color w:val="auto"/>
          <w:highlight w:val="none"/>
        </w:rPr>
      </w:pPr>
      <w:r>
        <w:rPr>
          <w:color w:val="auto"/>
          <w:highlight w:val="none"/>
        </w:rPr>
        <w:br w:type="page"/>
      </w:r>
    </w:p>
    <w:p>
      <w:pPr>
        <w:pStyle w:val="43"/>
        <w:numPr>
          <w:ilvl w:val="0"/>
          <w:numId w:val="0"/>
        </w:numPr>
        <w:rPr>
          <w:color w:val="auto"/>
          <w:highlight w:val="none"/>
        </w:rPr>
      </w:pPr>
      <w:bookmarkStart w:id="1129" w:name="_Toc54862354"/>
      <w:bookmarkStart w:id="1130" w:name="_Toc20171895"/>
      <w:r>
        <w:rPr>
          <w:rFonts w:hint="eastAsia"/>
          <w:color w:val="auto"/>
          <w:highlight w:val="none"/>
        </w:rPr>
        <w:t>附件</w:t>
      </w:r>
      <w:r>
        <w:rPr>
          <w:color w:val="auto"/>
          <w:highlight w:val="none"/>
        </w:rPr>
        <w:t>3 工程质量保修书</w:t>
      </w:r>
      <w:bookmarkEnd w:id="1129"/>
      <w:bookmarkEnd w:id="1130"/>
    </w:p>
    <w:p>
      <w:pPr>
        <w:rPr>
          <w:rFonts w:ascii="仿宋_GB2312" w:eastAsia="仿宋_GB2312"/>
          <w:color w:val="auto"/>
          <w:sz w:val="24"/>
          <w:highlight w:val="none"/>
        </w:rPr>
      </w:pPr>
      <w:r>
        <w:rPr>
          <w:rFonts w:hint="eastAsia" w:ascii="仿宋_GB2312" w:eastAsia="仿宋_GB2312"/>
          <w:color w:val="auto"/>
          <w:sz w:val="24"/>
          <w:highlight w:val="none"/>
        </w:rPr>
        <w:t>发包人（全称）：</w:t>
      </w:r>
      <w:r>
        <w:rPr>
          <w:rFonts w:ascii="仿宋_GB2312" w:eastAsia="仿宋_GB2312"/>
          <w:color w:val="auto"/>
          <w:sz w:val="24"/>
          <w:highlight w:val="none"/>
          <w:u w:val="single"/>
        </w:rPr>
        <w:t xml:space="preserve">                                  </w:t>
      </w:r>
    </w:p>
    <w:p>
      <w:pPr>
        <w:rPr>
          <w:rFonts w:ascii="仿宋_GB2312" w:eastAsia="仿宋_GB2312"/>
          <w:color w:val="auto"/>
          <w:sz w:val="24"/>
          <w:highlight w:val="none"/>
        </w:rPr>
      </w:pPr>
      <w:r>
        <w:rPr>
          <w:rFonts w:hint="eastAsia" w:ascii="仿宋_GB2312" w:eastAsia="仿宋_GB2312"/>
          <w:color w:val="auto"/>
          <w:sz w:val="24"/>
          <w:highlight w:val="none"/>
        </w:rPr>
        <w:t>承包人（全称）：</w:t>
      </w:r>
      <w:r>
        <w:rPr>
          <w:rFonts w:ascii="仿宋_GB2312" w:eastAsia="仿宋_GB2312"/>
          <w:color w:val="auto"/>
          <w:sz w:val="24"/>
          <w:highlight w:val="none"/>
          <w:u w:val="single"/>
        </w:rPr>
        <w:t xml:space="preserve">                                  </w:t>
      </w:r>
    </w:p>
    <w:p>
      <w:pPr>
        <w:ind w:firstLine="600"/>
        <w:rPr>
          <w:rFonts w:ascii="仿宋_GB2312" w:eastAsia="仿宋_GB2312"/>
          <w:color w:val="auto"/>
          <w:sz w:val="24"/>
          <w:highlight w:val="none"/>
        </w:rPr>
      </w:pPr>
      <w:r>
        <w:rPr>
          <w:rFonts w:hint="eastAsia" w:ascii="仿宋_GB2312" w:eastAsia="仿宋_GB2312"/>
          <w:color w:val="auto"/>
          <w:sz w:val="24"/>
          <w:highlight w:val="none"/>
        </w:rPr>
        <w:t>发包人和承包人根据《中华人民共和国建筑法》和《建设工程质量管理条例》，经协商一致就</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（工程全称）订立工程质量保修书。</w:t>
      </w:r>
    </w:p>
    <w:p>
      <w:pPr>
        <w:ind w:firstLine="600"/>
        <w:rPr>
          <w:rFonts w:ascii="黑体" w:hAnsi="黑体" w:eastAsia="黑体"/>
          <w:color w:val="auto"/>
          <w:sz w:val="24"/>
          <w:highlight w:val="none"/>
        </w:rPr>
      </w:pPr>
      <w:r>
        <w:rPr>
          <w:rFonts w:hint="eastAsia" w:ascii="黑体" w:hAnsi="黑体" w:eastAsia="黑体"/>
          <w:color w:val="auto"/>
          <w:sz w:val="24"/>
          <w:highlight w:val="none"/>
        </w:rPr>
        <w:t>一、工程质量保修范围和内容</w:t>
      </w:r>
    </w:p>
    <w:p>
      <w:pPr>
        <w:ind w:firstLine="600"/>
        <w:rPr>
          <w:rFonts w:ascii="仿宋_GB2312" w:eastAsia="仿宋_GB2312"/>
          <w:color w:val="auto"/>
          <w:sz w:val="24"/>
          <w:highlight w:val="none"/>
        </w:rPr>
      </w:pPr>
      <w:r>
        <w:rPr>
          <w:rFonts w:hint="eastAsia" w:ascii="仿宋_GB2312" w:eastAsia="仿宋_GB2312"/>
          <w:color w:val="auto"/>
          <w:sz w:val="24"/>
          <w:highlight w:val="none"/>
        </w:rPr>
        <w:t>承包人在质量保修期内，按照有关法律规定和合同约定，承担工程质量保修责任。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黑体" w:hAnsi="黑体" w:eastAsia="黑体"/>
          <w:color w:val="auto"/>
          <w:sz w:val="24"/>
          <w:highlight w:val="none"/>
        </w:rPr>
      </w:pPr>
      <w:r>
        <w:rPr>
          <w:rFonts w:hint="eastAsia" w:ascii="黑体" w:hAnsi="黑体" w:eastAsia="黑体"/>
          <w:color w:val="auto"/>
          <w:sz w:val="24"/>
          <w:highlight w:val="none"/>
        </w:rPr>
        <w:t>二、质量保修期</w:t>
      </w:r>
    </w:p>
    <w:p>
      <w:pPr>
        <w:ind w:firstLine="600"/>
        <w:rPr>
          <w:rFonts w:ascii="仿宋_GB2312" w:eastAsia="仿宋_GB2312"/>
          <w:color w:val="auto"/>
          <w:sz w:val="24"/>
          <w:highlight w:val="none"/>
        </w:rPr>
      </w:pPr>
      <w:r>
        <w:rPr>
          <w:rFonts w:hint="eastAsia" w:ascii="仿宋_GB2312" w:eastAsia="仿宋_GB2312"/>
          <w:color w:val="auto"/>
          <w:sz w:val="24"/>
          <w:highlight w:val="none"/>
        </w:rPr>
        <w:t>根据《建设工程质量管理条例》及有关规定，工程的质量保修期如下：</w:t>
      </w:r>
    </w:p>
    <w:p>
      <w:pPr>
        <w:ind w:firstLine="600"/>
        <w:rPr>
          <w:rFonts w:ascii="仿宋_GB2312" w:eastAsia="仿宋_GB2312"/>
          <w:color w:val="auto"/>
          <w:sz w:val="24"/>
          <w:highlight w:val="none"/>
        </w:rPr>
      </w:pPr>
      <w:r>
        <w:rPr>
          <w:rFonts w:hint="eastAsia" w:ascii="仿宋_GB2312" w:eastAsia="仿宋_GB2312"/>
          <w:color w:val="auto"/>
          <w:sz w:val="24"/>
          <w:highlight w:val="none"/>
        </w:rPr>
        <w:t>1．地基基础工程和主体结构工程为设计文件规定的工程合理使用年限；</w:t>
      </w:r>
    </w:p>
    <w:p>
      <w:pPr>
        <w:ind w:firstLine="600"/>
        <w:rPr>
          <w:rFonts w:ascii="仿宋_GB2312" w:eastAsia="仿宋_GB2312"/>
          <w:color w:val="auto"/>
          <w:sz w:val="24"/>
          <w:highlight w:val="none"/>
        </w:rPr>
      </w:pPr>
      <w:r>
        <w:rPr>
          <w:rFonts w:hint="eastAsia" w:ascii="仿宋_GB2312" w:eastAsia="仿宋_GB2312"/>
          <w:color w:val="auto"/>
          <w:sz w:val="24"/>
          <w:highlight w:val="none"/>
        </w:rPr>
        <w:t>2．屋面防水工程、有防水要求的卫生间、房间和外墙面的防渗为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p>
    <w:p>
      <w:pPr>
        <w:ind w:firstLine="600"/>
        <w:rPr>
          <w:rFonts w:ascii="仿宋_GB2312" w:eastAsia="仿宋_GB2312"/>
          <w:color w:val="auto"/>
          <w:sz w:val="24"/>
          <w:highlight w:val="none"/>
        </w:rPr>
      </w:pPr>
      <w:r>
        <w:rPr>
          <w:rFonts w:hint="eastAsia" w:ascii="仿宋_GB2312" w:eastAsia="仿宋_GB2312"/>
          <w:color w:val="auto"/>
          <w:sz w:val="24"/>
          <w:highlight w:val="none"/>
        </w:rPr>
        <w:t>3．装修工程为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p>
    <w:p>
      <w:pPr>
        <w:ind w:firstLine="600"/>
        <w:rPr>
          <w:rFonts w:ascii="仿宋_GB2312" w:eastAsia="仿宋_GB2312"/>
          <w:color w:val="auto"/>
          <w:sz w:val="24"/>
          <w:highlight w:val="none"/>
        </w:rPr>
      </w:pPr>
      <w:r>
        <w:rPr>
          <w:rFonts w:hint="eastAsia" w:ascii="仿宋_GB2312" w:eastAsia="仿宋_GB2312"/>
          <w:color w:val="auto"/>
          <w:sz w:val="24"/>
          <w:highlight w:val="none"/>
        </w:rPr>
        <w:t>4．电气管线、给排水管道、设备安装工程为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p>
    <w:p>
      <w:pPr>
        <w:ind w:firstLine="600"/>
        <w:rPr>
          <w:rFonts w:ascii="仿宋_GB2312" w:eastAsia="仿宋_GB2312"/>
          <w:color w:val="auto"/>
          <w:sz w:val="24"/>
          <w:highlight w:val="none"/>
        </w:rPr>
      </w:pPr>
      <w:r>
        <w:rPr>
          <w:rFonts w:hint="eastAsia" w:ascii="仿宋_GB2312" w:eastAsia="仿宋_GB2312"/>
          <w:color w:val="auto"/>
          <w:sz w:val="24"/>
          <w:highlight w:val="none"/>
        </w:rPr>
        <w:t>5．供热与供冷系统为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个采暖期、供冷期；</w:t>
      </w:r>
    </w:p>
    <w:p>
      <w:pPr>
        <w:ind w:firstLine="600"/>
        <w:rPr>
          <w:rFonts w:ascii="仿宋_GB2312" w:eastAsia="仿宋_GB2312"/>
          <w:color w:val="auto"/>
          <w:sz w:val="24"/>
          <w:highlight w:val="none"/>
        </w:rPr>
      </w:pPr>
      <w:r>
        <w:rPr>
          <w:rFonts w:hint="eastAsia" w:ascii="仿宋_GB2312" w:eastAsia="仿宋_GB2312"/>
          <w:color w:val="auto"/>
          <w:sz w:val="24"/>
          <w:highlight w:val="none"/>
        </w:rPr>
        <w:t>6．住宅小区内的给排水设施、道路等配套工程为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p>
    <w:p>
      <w:pPr>
        <w:ind w:firstLine="600"/>
        <w:rPr>
          <w:rFonts w:ascii="仿宋_GB2312" w:eastAsia="仿宋_GB2312"/>
          <w:color w:val="auto"/>
          <w:sz w:val="24"/>
          <w:highlight w:val="none"/>
        </w:rPr>
      </w:pPr>
      <w:r>
        <w:rPr>
          <w:rFonts w:hint="eastAsia" w:ascii="仿宋_GB2312" w:eastAsia="仿宋_GB2312"/>
          <w:color w:val="auto"/>
          <w:sz w:val="24"/>
          <w:highlight w:val="none"/>
        </w:rPr>
        <w:t>7．其他项目保修期限约定如下：</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质量保修期自工程竣工验收合格之日起计算。</w:t>
      </w:r>
    </w:p>
    <w:p>
      <w:pPr>
        <w:ind w:firstLine="600"/>
        <w:rPr>
          <w:rFonts w:ascii="黑体" w:hAnsi="黑体" w:eastAsia="黑体"/>
          <w:color w:val="auto"/>
          <w:sz w:val="24"/>
          <w:highlight w:val="none"/>
        </w:rPr>
      </w:pPr>
      <w:r>
        <w:rPr>
          <w:rFonts w:hint="eastAsia" w:ascii="黑体" w:hAnsi="黑体" w:eastAsia="黑体"/>
          <w:color w:val="auto"/>
          <w:sz w:val="24"/>
          <w:highlight w:val="none"/>
        </w:rPr>
        <w:t>三、缺陷责任期</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工程缺陷责任期为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个月，缺陷责任期自工程通过竣工验收之日起计算。单位/区段工程先于全部工程进行验收，单位/区段工程缺陷责任期自单位/区段工程验收合格之日起算。</w:t>
      </w:r>
    </w:p>
    <w:p>
      <w:pPr>
        <w:ind w:firstLine="600"/>
        <w:rPr>
          <w:rFonts w:ascii="仿宋_GB2312" w:eastAsia="仿宋_GB2312"/>
          <w:color w:val="auto"/>
          <w:sz w:val="24"/>
          <w:highlight w:val="none"/>
        </w:rPr>
      </w:pPr>
      <w:r>
        <w:rPr>
          <w:rFonts w:hint="eastAsia" w:ascii="仿宋_GB2312" w:eastAsia="仿宋_GB2312"/>
          <w:color w:val="auto"/>
          <w:sz w:val="24"/>
          <w:highlight w:val="none"/>
        </w:rPr>
        <w:t>缺陷责任期终止后，发包人应返还剩余的质量保证金。</w:t>
      </w:r>
    </w:p>
    <w:p>
      <w:pPr>
        <w:ind w:firstLine="600"/>
        <w:rPr>
          <w:rFonts w:ascii="黑体" w:hAnsi="黑体" w:eastAsia="黑体"/>
          <w:color w:val="auto"/>
          <w:sz w:val="24"/>
          <w:highlight w:val="none"/>
        </w:rPr>
      </w:pPr>
      <w:r>
        <w:rPr>
          <w:rFonts w:hint="eastAsia" w:ascii="黑体" w:hAnsi="黑体" w:eastAsia="黑体"/>
          <w:color w:val="auto"/>
          <w:sz w:val="24"/>
          <w:highlight w:val="none"/>
        </w:rPr>
        <w:t>四、质量保修责任</w:t>
      </w:r>
    </w:p>
    <w:p>
      <w:pPr>
        <w:ind w:firstLine="600"/>
        <w:rPr>
          <w:rFonts w:ascii="仿宋_GB2312" w:eastAsia="仿宋_GB2312"/>
          <w:color w:val="auto"/>
          <w:sz w:val="24"/>
          <w:highlight w:val="none"/>
        </w:rPr>
      </w:pPr>
      <w:r>
        <w:rPr>
          <w:rFonts w:hint="eastAsia" w:ascii="仿宋_GB2312" w:eastAsia="仿宋_GB2312"/>
          <w:color w:val="auto"/>
          <w:sz w:val="24"/>
          <w:highlight w:val="none"/>
        </w:rPr>
        <w:t>1．属于保修范围、内容的项目，承包人应当在接到保修通知之日起7天内派人保修。承包人不在约定期限内派人保修的，发包人可以委托他人修理。</w:t>
      </w:r>
    </w:p>
    <w:p>
      <w:pPr>
        <w:ind w:firstLine="600"/>
        <w:rPr>
          <w:rFonts w:ascii="仿宋_GB2312" w:eastAsia="仿宋_GB2312"/>
          <w:color w:val="auto"/>
          <w:sz w:val="24"/>
          <w:highlight w:val="none"/>
        </w:rPr>
      </w:pPr>
      <w:r>
        <w:rPr>
          <w:rFonts w:hint="eastAsia" w:ascii="仿宋_GB2312" w:eastAsia="仿宋_GB2312"/>
          <w:color w:val="auto"/>
          <w:sz w:val="24"/>
          <w:highlight w:val="none"/>
        </w:rPr>
        <w:t>2．发生紧急事故需抢修的，承包人在接到事故通知后，应当立即到达事故现场抢修。</w:t>
      </w:r>
    </w:p>
    <w:p>
      <w:pPr>
        <w:ind w:firstLine="600"/>
        <w:rPr>
          <w:rFonts w:ascii="仿宋_GB2312" w:eastAsia="仿宋_GB2312"/>
          <w:color w:val="auto"/>
          <w:sz w:val="24"/>
          <w:highlight w:val="none"/>
        </w:rPr>
      </w:pPr>
      <w:r>
        <w:rPr>
          <w:rFonts w:hint="eastAsia" w:ascii="仿宋_GB2312" w:eastAsia="仿宋_GB2312"/>
          <w:color w:val="auto"/>
          <w:sz w:val="24"/>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firstLine="600"/>
        <w:rPr>
          <w:rFonts w:ascii="仿宋_GB2312" w:eastAsia="仿宋_GB2312"/>
          <w:color w:val="auto"/>
          <w:sz w:val="24"/>
          <w:highlight w:val="none"/>
        </w:rPr>
      </w:pPr>
      <w:r>
        <w:rPr>
          <w:rFonts w:hint="eastAsia" w:ascii="仿宋_GB2312" w:eastAsia="仿宋_GB2312"/>
          <w:color w:val="auto"/>
          <w:sz w:val="24"/>
          <w:highlight w:val="none"/>
        </w:rPr>
        <w:t>4．质量保修完成后，由发包人组织验收。</w:t>
      </w:r>
    </w:p>
    <w:p>
      <w:pPr>
        <w:ind w:firstLine="600"/>
        <w:rPr>
          <w:rFonts w:ascii="黑体" w:hAnsi="黑体" w:eastAsia="黑体"/>
          <w:color w:val="auto"/>
          <w:sz w:val="24"/>
          <w:highlight w:val="none"/>
        </w:rPr>
      </w:pPr>
      <w:r>
        <w:rPr>
          <w:rFonts w:hint="eastAsia" w:ascii="黑体" w:hAnsi="黑体" w:eastAsia="黑体"/>
          <w:color w:val="auto"/>
          <w:sz w:val="24"/>
          <w:highlight w:val="none"/>
        </w:rPr>
        <w:t>五、保修费用</w:t>
      </w:r>
    </w:p>
    <w:p>
      <w:pPr>
        <w:ind w:firstLine="600"/>
        <w:rPr>
          <w:rFonts w:ascii="仿宋_GB2312" w:eastAsia="仿宋_GB2312"/>
          <w:color w:val="auto"/>
          <w:sz w:val="24"/>
          <w:highlight w:val="none"/>
        </w:rPr>
      </w:pPr>
      <w:r>
        <w:rPr>
          <w:rFonts w:hint="eastAsia" w:ascii="仿宋_GB2312" w:eastAsia="仿宋_GB2312"/>
          <w:color w:val="auto"/>
          <w:sz w:val="24"/>
          <w:highlight w:val="none"/>
        </w:rPr>
        <w:t>保修费用由造成质量缺陷的责任方承担。</w:t>
      </w:r>
    </w:p>
    <w:p>
      <w:pPr>
        <w:ind w:firstLine="600"/>
        <w:rPr>
          <w:rFonts w:ascii="仿宋_GB2312" w:eastAsia="仿宋_GB2312"/>
          <w:color w:val="auto"/>
          <w:sz w:val="24"/>
          <w:highlight w:val="none"/>
          <w:u w:val="single"/>
        </w:rPr>
      </w:pPr>
      <w:r>
        <w:rPr>
          <w:rFonts w:hint="eastAsia" w:ascii="黑体" w:hAnsi="黑体" w:eastAsia="黑体"/>
          <w:color w:val="auto"/>
          <w:sz w:val="24"/>
          <w:highlight w:val="none"/>
        </w:rPr>
        <w:t>六、双方约定的其他工程质量保修事项</w:t>
      </w:r>
      <w:r>
        <w:rPr>
          <w:rFonts w:hint="eastAsia" w:ascii="仿宋_GB2312" w:eastAsia="仿宋_GB2312"/>
          <w:color w:val="auto"/>
          <w:sz w:val="24"/>
          <w:highlight w:val="none"/>
        </w:rPr>
        <w:t>：</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ind w:firstLine="600"/>
        <w:rPr>
          <w:rFonts w:ascii="仿宋_GB2312" w:eastAsia="仿宋_GB2312"/>
          <w:color w:val="auto"/>
          <w:sz w:val="24"/>
          <w:highlight w:val="none"/>
        </w:rPr>
      </w:pPr>
      <w:r>
        <w:rPr>
          <w:rFonts w:hint="eastAsia" w:ascii="仿宋_GB2312" w:eastAsia="仿宋_GB2312"/>
          <w:color w:val="auto"/>
          <w:sz w:val="24"/>
          <w:highlight w:val="none"/>
        </w:rPr>
        <w:t>工程质量保修书由发包人、承包人在工程竣工验收前共同签署，作为工程总承包合同附件，其有效期限至保修期满。</w:t>
      </w:r>
    </w:p>
    <w:p>
      <w:pPr>
        <w:ind w:firstLine="600"/>
        <w:rPr>
          <w:rFonts w:ascii="仿宋_GB2312" w:eastAsia="仿宋_GB2312"/>
          <w:color w:val="auto"/>
          <w:sz w:val="24"/>
          <w:highlight w:val="none"/>
        </w:rPr>
      </w:pP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发包人(公章)：               承包人(公章)：          </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地  址：                     地  址：       </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法定代表人(签字)：           法定代表人(签字)：       </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委托代理人(签字)：           委托代理人(签字)：       </w:t>
      </w:r>
    </w:p>
    <w:p>
      <w:pPr>
        <w:ind w:firstLine="600"/>
        <w:rPr>
          <w:rFonts w:ascii="仿宋_GB2312" w:eastAsia="仿宋_GB2312"/>
          <w:color w:val="auto"/>
          <w:sz w:val="24"/>
          <w:highlight w:val="none"/>
        </w:rPr>
      </w:pPr>
      <w:r>
        <w:rPr>
          <w:rFonts w:hint="eastAsia" w:ascii="仿宋_GB2312" w:eastAsia="仿宋_GB2312"/>
          <w:color w:val="auto"/>
          <w:sz w:val="24"/>
          <w:highlight w:val="none"/>
        </w:rPr>
        <w:t>电  话：                     电  话：</w:t>
      </w:r>
    </w:p>
    <w:p>
      <w:pPr>
        <w:ind w:firstLine="600"/>
        <w:rPr>
          <w:rFonts w:ascii="仿宋_GB2312" w:eastAsia="仿宋_GB2312"/>
          <w:color w:val="auto"/>
          <w:sz w:val="24"/>
          <w:highlight w:val="none"/>
        </w:rPr>
      </w:pPr>
      <w:r>
        <w:rPr>
          <w:rFonts w:hint="eastAsia" w:ascii="仿宋_GB2312" w:eastAsia="仿宋_GB2312"/>
          <w:color w:val="auto"/>
          <w:sz w:val="24"/>
          <w:highlight w:val="none"/>
        </w:rPr>
        <w:t xml:space="preserve">传  真：                     传  真：  </w:t>
      </w:r>
    </w:p>
    <w:p>
      <w:pPr>
        <w:ind w:firstLine="600"/>
        <w:rPr>
          <w:rFonts w:ascii="仿宋_GB2312" w:eastAsia="仿宋_GB2312"/>
          <w:color w:val="auto"/>
          <w:sz w:val="24"/>
          <w:highlight w:val="none"/>
        </w:rPr>
      </w:pPr>
      <w:r>
        <w:rPr>
          <w:rFonts w:hint="eastAsia" w:ascii="仿宋_GB2312" w:eastAsia="仿宋_GB2312"/>
          <w:color w:val="auto"/>
          <w:sz w:val="24"/>
          <w:highlight w:val="none"/>
        </w:rPr>
        <w:t>开户银行：                   开户银行：</w:t>
      </w:r>
    </w:p>
    <w:p>
      <w:pPr>
        <w:ind w:firstLine="600"/>
        <w:rPr>
          <w:rFonts w:hint="eastAsia" w:ascii="仿宋_GB2312" w:eastAsia="仿宋_GB2312"/>
          <w:color w:val="auto"/>
          <w:sz w:val="24"/>
          <w:highlight w:val="none"/>
        </w:rPr>
      </w:pPr>
      <w:r>
        <w:rPr>
          <w:rFonts w:hint="eastAsia" w:ascii="仿宋_GB2312" w:eastAsia="仿宋_GB2312"/>
          <w:color w:val="auto"/>
          <w:sz w:val="24"/>
          <w:highlight w:val="none"/>
        </w:rPr>
        <w:t xml:space="preserve">账  号：                     账  号： </w:t>
      </w:r>
    </w:p>
    <w:p>
      <w:pPr>
        <w:ind w:firstLine="600"/>
        <w:rPr>
          <w:rFonts w:ascii="仿宋_GB2312" w:eastAsia="仿宋_GB2312"/>
          <w:color w:val="auto"/>
          <w:sz w:val="30"/>
          <w:szCs w:val="30"/>
          <w:highlight w:val="none"/>
        </w:rPr>
      </w:pPr>
      <w:r>
        <w:rPr>
          <w:rFonts w:hint="eastAsia" w:ascii="仿宋_GB2312" w:eastAsia="仿宋_GB2312"/>
          <w:color w:val="auto"/>
          <w:sz w:val="24"/>
          <w:highlight w:val="none"/>
        </w:rPr>
        <w:t xml:space="preserve">邮政编码：                   邮政编码：  </w:t>
      </w:r>
      <w:r>
        <w:rPr>
          <w:rFonts w:hint="eastAsia" w:ascii="仿宋_GB2312" w:eastAsia="仿宋_GB2312"/>
          <w:color w:val="auto"/>
          <w:sz w:val="30"/>
          <w:szCs w:val="30"/>
          <w:highlight w:val="none"/>
        </w:rPr>
        <w:t xml:space="preserve"> </w:t>
      </w:r>
    </w:p>
    <w:p>
      <w:pPr>
        <w:jc w:val="left"/>
        <w:rPr>
          <w:color w:val="auto"/>
          <w:sz w:val="30"/>
          <w:szCs w:val="30"/>
          <w:highlight w:val="none"/>
        </w:rPr>
      </w:pPr>
      <w:r>
        <w:rPr>
          <w:color w:val="auto"/>
          <w:sz w:val="30"/>
          <w:szCs w:val="30"/>
          <w:highlight w:val="none"/>
        </w:rPr>
        <w:br w:type="page"/>
      </w:r>
    </w:p>
    <w:p>
      <w:pPr>
        <w:pStyle w:val="43"/>
        <w:numPr>
          <w:ilvl w:val="0"/>
          <w:numId w:val="0"/>
        </w:numPr>
        <w:rPr>
          <w:color w:val="auto"/>
          <w:highlight w:val="none"/>
        </w:rPr>
      </w:pPr>
      <w:bookmarkStart w:id="1131" w:name="_Toc54862355"/>
      <w:bookmarkStart w:id="1132" w:name="_Toc20171896"/>
      <w:r>
        <w:rPr>
          <w:rFonts w:hint="eastAsia"/>
          <w:color w:val="auto"/>
          <w:highlight w:val="none"/>
        </w:rPr>
        <w:t>附件4</w:t>
      </w:r>
      <w:r>
        <w:rPr>
          <w:color w:val="auto"/>
          <w:highlight w:val="none"/>
        </w:rPr>
        <w:t xml:space="preserve"> 主要建设工程文件目录</w:t>
      </w:r>
      <w:bookmarkEnd w:id="1131"/>
      <w:bookmarkEnd w:id="1132"/>
    </w:p>
    <w:tbl>
      <w:tblPr>
        <w:tblStyle w:val="2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文件名称</w:t>
            </w:r>
          </w:p>
        </w:tc>
        <w:tc>
          <w:tcPr>
            <w:tcW w:w="1276"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套数</w:t>
            </w:r>
          </w:p>
        </w:tc>
        <w:tc>
          <w:tcPr>
            <w:tcW w:w="1450"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费用（元）</w:t>
            </w:r>
          </w:p>
        </w:tc>
        <w:tc>
          <w:tcPr>
            <w:tcW w:w="1243" w:type="dxa"/>
            <w:tcBorders>
              <w:top w:val="single" w:color="auto" w:sz="12" w:space="0"/>
              <w:bottom w:val="double" w:color="auto" w:sz="6" w:space="0"/>
            </w:tcBorders>
            <w:vAlign w:val="center"/>
          </w:tcPr>
          <w:p>
            <w:pPr>
              <w:pStyle w:val="2"/>
              <w:spacing w:after="0"/>
              <w:jc w:val="center"/>
              <w:rPr>
                <w:rFonts w:ascii="仿宋_GB2312" w:eastAsia="仿宋_GB2312"/>
                <w:color w:val="auto"/>
                <w:highlight w:val="none"/>
              </w:rPr>
            </w:pPr>
            <w:r>
              <w:rPr>
                <w:rFonts w:hint="eastAsia" w:ascii="仿宋_GB2312" w:eastAsia="仿宋_GB2312"/>
                <w:color w:val="auto"/>
                <w:highlight w:val="none"/>
              </w:rPr>
              <w:t>质量</w:t>
            </w:r>
          </w:p>
        </w:tc>
        <w:tc>
          <w:tcPr>
            <w:tcW w:w="1450" w:type="dxa"/>
            <w:tcBorders>
              <w:top w:val="single" w:color="auto" w:sz="12" w:space="0"/>
              <w:bottom w:val="double" w:color="auto" w:sz="6" w:space="0"/>
            </w:tcBorders>
            <w:vAlign w:val="top"/>
          </w:tcPr>
          <w:p>
            <w:pPr>
              <w:jc w:val="center"/>
              <w:rPr>
                <w:rFonts w:ascii="仿宋_GB2312" w:eastAsia="仿宋_GB2312"/>
                <w:color w:val="auto"/>
                <w:highlight w:val="none"/>
              </w:rPr>
            </w:pPr>
            <w:r>
              <w:rPr>
                <w:rFonts w:hint="eastAsia" w:ascii="仿宋_GB2312" w:eastAsia="仿宋_GB2312"/>
                <w:color w:val="auto"/>
                <w:highlight w:val="none"/>
              </w:rPr>
              <w:t>移交时间</w:t>
            </w:r>
          </w:p>
        </w:tc>
        <w:tc>
          <w:tcPr>
            <w:tcW w:w="1670" w:type="dxa"/>
            <w:tcBorders>
              <w:top w:val="single" w:color="auto" w:sz="12" w:space="0"/>
              <w:bottom w:val="double" w:color="auto" w:sz="6" w:space="0"/>
            </w:tcBorders>
            <w:vAlign w:val="top"/>
          </w:tcPr>
          <w:p>
            <w:pPr>
              <w:jc w:val="center"/>
              <w:rPr>
                <w:rFonts w:ascii="仿宋_GB2312" w:eastAsia="仿宋_GB2312"/>
                <w:color w:val="auto"/>
                <w:highlight w:val="none"/>
              </w:rPr>
            </w:pPr>
            <w:r>
              <w:rPr>
                <w:rFonts w:hint="eastAsia" w:ascii="仿宋_GB2312" w:eastAsia="仿宋_GB2312"/>
                <w:color w:val="auto"/>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276"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450"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243"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450" w:type="dxa"/>
            <w:tcBorders>
              <w:top w:val="double" w:color="auto" w:sz="6" w:space="0"/>
              <w:bottom w:val="single" w:color="auto" w:sz="6" w:space="0"/>
            </w:tcBorders>
            <w:vAlign w:val="center"/>
          </w:tcPr>
          <w:p>
            <w:pPr>
              <w:pStyle w:val="2"/>
              <w:rPr>
                <w:rFonts w:ascii="仿宋_GB2312" w:eastAsia="仿宋_GB2312"/>
                <w:color w:val="auto"/>
                <w:highlight w:val="none"/>
              </w:rPr>
            </w:pPr>
          </w:p>
        </w:tc>
        <w:tc>
          <w:tcPr>
            <w:tcW w:w="1670" w:type="dxa"/>
            <w:tcBorders>
              <w:top w:val="double" w:color="auto" w:sz="6" w:space="0"/>
              <w:bottom w:val="single" w:color="auto" w:sz="6" w:space="0"/>
            </w:tcBorders>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2"/>
              <w:rPr>
                <w:rFonts w:ascii="仿宋_GB2312" w:eastAsia="仿宋_GB2312"/>
                <w:color w:val="auto"/>
                <w:highlight w:val="none"/>
              </w:rPr>
            </w:pPr>
          </w:p>
        </w:tc>
        <w:tc>
          <w:tcPr>
            <w:tcW w:w="1276" w:type="dxa"/>
            <w:tcBorders>
              <w:top w:val="nil"/>
            </w:tcBorders>
            <w:vAlign w:val="center"/>
          </w:tcPr>
          <w:p>
            <w:pPr>
              <w:pStyle w:val="2"/>
              <w:rPr>
                <w:rFonts w:ascii="仿宋_GB2312" w:eastAsia="仿宋_GB2312"/>
                <w:color w:val="auto"/>
                <w:highlight w:val="none"/>
              </w:rPr>
            </w:pPr>
          </w:p>
        </w:tc>
        <w:tc>
          <w:tcPr>
            <w:tcW w:w="1450" w:type="dxa"/>
            <w:tcBorders>
              <w:top w:val="nil"/>
            </w:tcBorders>
            <w:vAlign w:val="center"/>
          </w:tcPr>
          <w:p>
            <w:pPr>
              <w:pStyle w:val="2"/>
              <w:rPr>
                <w:rFonts w:ascii="仿宋_GB2312" w:eastAsia="仿宋_GB2312"/>
                <w:color w:val="auto"/>
                <w:highlight w:val="none"/>
              </w:rPr>
            </w:pPr>
          </w:p>
        </w:tc>
        <w:tc>
          <w:tcPr>
            <w:tcW w:w="1243" w:type="dxa"/>
            <w:tcBorders>
              <w:top w:val="nil"/>
            </w:tcBorders>
            <w:vAlign w:val="center"/>
          </w:tcPr>
          <w:p>
            <w:pPr>
              <w:pStyle w:val="2"/>
              <w:rPr>
                <w:rFonts w:ascii="仿宋_GB2312" w:eastAsia="仿宋_GB2312"/>
                <w:color w:val="auto"/>
                <w:highlight w:val="none"/>
              </w:rPr>
            </w:pPr>
          </w:p>
        </w:tc>
        <w:tc>
          <w:tcPr>
            <w:tcW w:w="1450" w:type="dxa"/>
            <w:tcBorders>
              <w:top w:val="nil"/>
            </w:tcBorders>
            <w:vAlign w:val="center"/>
          </w:tcPr>
          <w:p>
            <w:pPr>
              <w:pStyle w:val="2"/>
              <w:rPr>
                <w:rFonts w:ascii="仿宋_GB2312" w:eastAsia="仿宋_GB2312"/>
                <w:color w:val="auto"/>
                <w:highlight w:val="none"/>
              </w:rPr>
            </w:pPr>
          </w:p>
        </w:tc>
        <w:tc>
          <w:tcPr>
            <w:tcW w:w="1670" w:type="dxa"/>
            <w:tcBorders>
              <w:top w:val="nil"/>
            </w:tcBorders>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ascii="仿宋_GB2312" w:eastAsia="仿宋_GB2312"/>
                <w:color w:val="auto"/>
                <w:highlight w:val="none"/>
              </w:rPr>
            </w:pPr>
          </w:p>
        </w:tc>
        <w:tc>
          <w:tcPr>
            <w:tcW w:w="1276"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243" w:type="dxa"/>
            <w:vAlign w:val="center"/>
          </w:tcPr>
          <w:p>
            <w:pPr>
              <w:pStyle w:val="2"/>
              <w:rPr>
                <w:rFonts w:ascii="仿宋_GB2312" w:eastAsia="仿宋_GB2312"/>
                <w:color w:val="auto"/>
                <w:highlight w:val="none"/>
              </w:rPr>
            </w:pPr>
          </w:p>
        </w:tc>
        <w:tc>
          <w:tcPr>
            <w:tcW w:w="1450" w:type="dxa"/>
            <w:vAlign w:val="center"/>
          </w:tcPr>
          <w:p>
            <w:pPr>
              <w:pStyle w:val="2"/>
              <w:rPr>
                <w:rFonts w:ascii="仿宋_GB2312" w:eastAsia="仿宋_GB2312"/>
                <w:color w:val="auto"/>
                <w:highlight w:val="none"/>
              </w:rPr>
            </w:pPr>
          </w:p>
        </w:tc>
        <w:tc>
          <w:tcPr>
            <w:tcW w:w="1670" w:type="dxa"/>
            <w:vAlign w:val="center"/>
          </w:tcPr>
          <w:p>
            <w:pPr>
              <w:pStyle w:val="2"/>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top"/>
          </w:tcPr>
          <w:p>
            <w:pPr>
              <w:rPr>
                <w:rFonts w:ascii="仿宋_GB2312" w:eastAsia="仿宋_GB2312"/>
                <w:color w:val="auto"/>
                <w:highlight w:val="none"/>
              </w:rPr>
            </w:pPr>
          </w:p>
        </w:tc>
        <w:tc>
          <w:tcPr>
            <w:tcW w:w="1276"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243" w:type="dxa"/>
            <w:vAlign w:val="top"/>
          </w:tcPr>
          <w:p>
            <w:pPr>
              <w:rPr>
                <w:rFonts w:ascii="仿宋_GB2312" w:eastAsia="仿宋_GB2312"/>
                <w:color w:val="auto"/>
                <w:highlight w:val="none"/>
              </w:rPr>
            </w:pPr>
          </w:p>
        </w:tc>
        <w:tc>
          <w:tcPr>
            <w:tcW w:w="1450" w:type="dxa"/>
            <w:vAlign w:val="top"/>
          </w:tcPr>
          <w:p>
            <w:pPr>
              <w:rPr>
                <w:rFonts w:ascii="仿宋_GB2312" w:eastAsia="仿宋_GB2312"/>
                <w:color w:val="auto"/>
                <w:highlight w:val="none"/>
              </w:rPr>
            </w:pPr>
          </w:p>
        </w:tc>
        <w:tc>
          <w:tcPr>
            <w:tcW w:w="1670" w:type="dxa"/>
            <w:vAlign w:val="top"/>
          </w:tcPr>
          <w:p>
            <w:pPr>
              <w:rPr>
                <w:rFonts w:ascii="仿宋_GB2312" w:eastAsia="仿宋_GB2312"/>
                <w:color w:val="auto"/>
                <w:highlight w:val="none"/>
              </w:rPr>
            </w:pPr>
          </w:p>
        </w:tc>
      </w:tr>
    </w:tbl>
    <w:p>
      <w:pPr>
        <w:rPr>
          <w:color w:val="auto"/>
          <w:highlight w:val="none"/>
        </w:rPr>
      </w:pPr>
    </w:p>
    <w:p>
      <w:pPr>
        <w:rPr>
          <w:color w:val="auto"/>
          <w:highlight w:val="none"/>
        </w:rPr>
      </w:pPr>
    </w:p>
    <w:p>
      <w:pPr>
        <w:rPr>
          <w:color w:val="auto"/>
          <w:highlight w:val="none"/>
        </w:rPr>
        <w:sectPr>
          <w:pgSz w:w="11906" w:h="16838"/>
          <w:pgMar w:top="1440" w:right="1800" w:bottom="1440" w:left="1800" w:header="720" w:footer="998" w:gutter="0"/>
          <w:cols w:space="720" w:num="1"/>
          <w:docGrid w:linePitch="326" w:charSpace="0"/>
        </w:sectPr>
      </w:pPr>
    </w:p>
    <w:p>
      <w:pPr>
        <w:pStyle w:val="43"/>
        <w:numPr>
          <w:ilvl w:val="0"/>
          <w:numId w:val="0"/>
        </w:numPr>
        <w:rPr>
          <w:color w:val="auto"/>
          <w:highlight w:val="none"/>
        </w:rPr>
      </w:pPr>
      <w:bookmarkStart w:id="1133" w:name="_Toc54862356"/>
      <w:bookmarkStart w:id="1134" w:name="_Toc20171897"/>
      <w:r>
        <w:rPr>
          <w:rFonts w:hint="eastAsia"/>
          <w:color w:val="auto"/>
          <w:highlight w:val="none"/>
        </w:rPr>
        <w:t>附件</w:t>
      </w:r>
      <w:r>
        <w:rPr>
          <w:color w:val="auto"/>
          <w:highlight w:val="none"/>
        </w:rPr>
        <w:t>5 承包人主要管理人员表</w:t>
      </w:r>
      <w:bookmarkEnd w:id="1133"/>
      <w:bookmarkEnd w:id="1134"/>
    </w:p>
    <w:tbl>
      <w:tblPr>
        <w:tblStyle w:val="21"/>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1505" w:type="dxa"/>
            <w:tcBorders>
              <w:top w:val="single" w:color="auto" w:sz="12" w:space="0"/>
              <w:bottom w:val="doub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名    称</w:t>
            </w:r>
          </w:p>
        </w:tc>
        <w:tc>
          <w:tcPr>
            <w:tcW w:w="1418" w:type="dxa"/>
            <w:tcBorders>
              <w:top w:val="single" w:color="auto" w:sz="12" w:space="0"/>
              <w:bottom w:val="doub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姓名</w:t>
            </w:r>
          </w:p>
        </w:tc>
        <w:tc>
          <w:tcPr>
            <w:tcW w:w="1134" w:type="dxa"/>
            <w:tcBorders>
              <w:top w:val="single" w:color="auto" w:sz="12" w:space="0"/>
              <w:bottom w:val="doub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职务</w:t>
            </w:r>
          </w:p>
        </w:tc>
        <w:tc>
          <w:tcPr>
            <w:tcW w:w="1134" w:type="dxa"/>
            <w:tcBorders>
              <w:top w:val="single" w:color="auto" w:sz="12" w:space="0"/>
              <w:bottom w:val="doub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职称</w:t>
            </w:r>
          </w:p>
        </w:tc>
        <w:tc>
          <w:tcPr>
            <w:tcW w:w="3896" w:type="dxa"/>
            <w:tcBorders>
              <w:top w:val="single" w:color="auto" w:sz="12" w:space="0"/>
              <w:bottom w:val="doub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9087" w:type="dxa"/>
            <w:gridSpan w:val="5"/>
            <w:tcBorders>
              <w:top w:val="double" w:color="auto" w:sz="6" w:space="0"/>
              <w:bottom w:val="sing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4" w:hRule="atLeast"/>
          <w:jc w:val="center"/>
        </w:trPr>
        <w:tc>
          <w:tcPr>
            <w:tcW w:w="1505" w:type="dxa"/>
            <w:tcBorders>
              <w:top w:val="nil"/>
              <w:bottom w:val="nil"/>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项目主管</w:t>
            </w:r>
          </w:p>
        </w:tc>
        <w:tc>
          <w:tcPr>
            <w:tcW w:w="1418" w:type="dxa"/>
            <w:tcBorders>
              <w:top w:val="nil"/>
            </w:tcBorders>
            <w:vAlign w:val="center"/>
          </w:tcPr>
          <w:p>
            <w:pPr>
              <w:pStyle w:val="2"/>
              <w:spacing w:after="0" w:line="400" w:lineRule="exact"/>
              <w:ind w:firstLine="420"/>
              <w:rPr>
                <w:rFonts w:ascii="仿宋_GB2312" w:eastAsia="仿宋_GB2312"/>
                <w:color w:val="auto"/>
                <w:szCs w:val="21"/>
                <w:highlight w:val="none"/>
              </w:rPr>
            </w:pPr>
          </w:p>
        </w:tc>
        <w:tc>
          <w:tcPr>
            <w:tcW w:w="1134" w:type="dxa"/>
            <w:tcBorders>
              <w:top w:val="nil"/>
            </w:tcBorders>
            <w:vAlign w:val="center"/>
          </w:tcPr>
          <w:p>
            <w:pPr>
              <w:pStyle w:val="2"/>
              <w:spacing w:after="0" w:line="400" w:lineRule="exact"/>
              <w:ind w:firstLine="420"/>
              <w:rPr>
                <w:rFonts w:ascii="仿宋_GB2312" w:eastAsia="仿宋_GB2312"/>
                <w:color w:val="auto"/>
                <w:szCs w:val="21"/>
                <w:highlight w:val="none"/>
              </w:rPr>
            </w:pPr>
          </w:p>
        </w:tc>
        <w:tc>
          <w:tcPr>
            <w:tcW w:w="1134" w:type="dxa"/>
            <w:tcBorders>
              <w:top w:val="nil"/>
            </w:tcBorders>
            <w:vAlign w:val="center"/>
          </w:tcPr>
          <w:p>
            <w:pPr>
              <w:pStyle w:val="2"/>
              <w:spacing w:after="0" w:line="400" w:lineRule="exact"/>
              <w:ind w:firstLine="420"/>
              <w:rPr>
                <w:rFonts w:ascii="仿宋_GB2312" w:eastAsia="仿宋_GB2312"/>
                <w:color w:val="auto"/>
                <w:szCs w:val="21"/>
                <w:highlight w:val="none"/>
              </w:rPr>
            </w:pPr>
          </w:p>
        </w:tc>
        <w:tc>
          <w:tcPr>
            <w:tcW w:w="3896" w:type="dxa"/>
            <w:tcBorders>
              <w:top w:val="nil"/>
            </w:tcBorders>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pStyle w:val="2"/>
              <w:spacing w:after="0" w:line="400" w:lineRule="exact"/>
              <w:ind w:firstLine="420"/>
              <w:rPr>
                <w:rFonts w:ascii="仿宋_GB2312" w:eastAsia="仿宋_GB2312"/>
                <w:color w:val="auto"/>
                <w:szCs w:val="21"/>
                <w:highlight w:val="none"/>
              </w:rPr>
            </w:pP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其他人员</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
              <w:spacing w:after="0" w:line="400" w:lineRule="exact"/>
              <w:ind w:firstLine="420"/>
              <w:rPr>
                <w:rFonts w:ascii="仿宋_GB2312" w:eastAsia="仿宋_GB2312"/>
                <w:color w:val="auto"/>
                <w:szCs w:val="21"/>
                <w:highlight w:val="none"/>
              </w:rPr>
            </w:pP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2"/>
              <w:spacing w:after="0" w:line="400" w:lineRule="exact"/>
              <w:ind w:firstLine="420"/>
              <w:rPr>
                <w:rFonts w:ascii="仿宋_GB2312" w:eastAsia="仿宋_GB2312"/>
                <w:color w:val="auto"/>
                <w:szCs w:val="21"/>
                <w:highlight w:val="none"/>
              </w:rPr>
            </w:pPr>
            <w:r>
              <w:rPr>
                <w:rFonts w:hint="eastAsia" w:ascii="仿宋_GB2312" w:eastAsia="仿宋_GB2312"/>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工程总承包</w:t>
            </w:r>
          </w:p>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项目经理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项目副经理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设计负责人</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采购负责人</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施工负责人</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技术负责人</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造价管理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质量管理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计划管理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安全管理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环境管理</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2"/>
              <w:spacing w:after="0"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其他人员</w:t>
            </w: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spacing w:after="0" w:line="400" w:lineRule="exact"/>
              <w:ind w:firstLine="420"/>
              <w:rPr>
                <w:rFonts w:ascii="仿宋_GB2312" w:eastAsia="仿宋_GB2312"/>
                <w:color w:val="auto"/>
                <w:szCs w:val="21"/>
                <w:highlight w:val="none"/>
              </w:rPr>
            </w:pPr>
          </w:p>
        </w:tc>
        <w:tc>
          <w:tcPr>
            <w:tcW w:w="1418" w:type="dxa"/>
            <w:tcBorders>
              <w:bottom w:val="nil"/>
            </w:tcBorders>
            <w:vAlign w:val="center"/>
          </w:tcPr>
          <w:p>
            <w:pPr>
              <w:pStyle w:val="2"/>
              <w:spacing w:after="0" w:line="400" w:lineRule="exact"/>
              <w:ind w:firstLine="420"/>
              <w:rPr>
                <w:rFonts w:ascii="仿宋_GB2312" w:eastAsia="仿宋_GB2312"/>
                <w:color w:val="auto"/>
                <w:szCs w:val="21"/>
                <w:highlight w:val="none"/>
              </w:rPr>
            </w:pPr>
          </w:p>
        </w:tc>
        <w:tc>
          <w:tcPr>
            <w:tcW w:w="1134" w:type="dxa"/>
            <w:tcBorders>
              <w:bottom w:val="nil"/>
            </w:tcBorders>
            <w:vAlign w:val="center"/>
          </w:tcPr>
          <w:p>
            <w:pPr>
              <w:pStyle w:val="2"/>
              <w:spacing w:after="0" w:line="400" w:lineRule="exact"/>
              <w:ind w:firstLine="420"/>
              <w:rPr>
                <w:rFonts w:ascii="仿宋_GB2312" w:eastAsia="仿宋_GB2312"/>
                <w:color w:val="auto"/>
                <w:szCs w:val="21"/>
                <w:highlight w:val="none"/>
              </w:rPr>
            </w:pPr>
          </w:p>
        </w:tc>
        <w:tc>
          <w:tcPr>
            <w:tcW w:w="1134" w:type="dxa"/>
            <w:tcBorders>
              <w:bottom w:val="nil"/>
            </w:tcBorders>
            <w:vAlign w:val="center"/>
          </w:tcPr>
          <w:p>
            <w:pPr>
              <w:pStyle w:val="2"/>
              <w:spacing w:after="0" w:line="400" w:lineRule="exact"/>
              <w:ind w:firstLine="420"/>
              <w:rPr>
                <w:rFonts w:ascii="仿宋_GB2312" w:eastAsia="仿宋_GB2312"/>
                <w:color w:val="auto"/>
                <w:szCs w:val="21"/>
                <w:highlight w:val="none"/>
              </w:rPr>
            </w:pPr>
          </w:p>
        </w:tc>
        <w:tc>
          <w:tcPr>
            <w:tcW w:w="3896" w:type="dxa"/>
            <w:tcBorders>
              <w:bottom w:val="nil"/>
            </w:tcBorders>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spacing w:after="0" w:line="400" w:lineRule="exact"/>
              <w:ind w:firstLine="420"/>
              <w:rPr>
                <w:rFonts w:ascii="仿宋_GB2312" w:eastAsia="仿宋_GB2312"/>
                <w:color w:val="auto"/>
                <w:szCs w:val="21"/>
                <w:highlight w:val="none"/>
              </w:rPr>
            </w:pP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spacing w:after="0" w:line="400" w:lineRule="exact"/>
              <w:ind w:firstLine="420"/>
              <w:rPr>
                <w:rFonts w:ascii="仿宋_GB2312" w:eastAsia="仿宋_GB2312"/>
                <w:color w:val="auto"/>
                <w:szCs w:val="21"/>
                <w:highlight w:val="none"/>
              </w:rPr>
            </w:pP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spacing w:after="0" w:line="400" w:lineRule="exact"/>
              <w:ind w:firstLine="420"/>
              <w:rPr>
                <w:rFonts w:ascii="仿宋_GB2312" w:eastAsia="仿宋_GB2312"/>
                <w:color w:val="auto"/>
                <w:szCs w:val="21"/>
                <w:highlight w:val="none"/>
              </w:rPr>
            </w:pPr>
          </w:p>
        </w:tc>
        <w:tc>
          <w:tcPr>
            <w:tcW w:w="1418"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1134" w:type="dxa"/>
            <w:vAlign w:val="center"/>
          </w:tcPr>
          <w:p>
            <w:pPr>
              <w:pStyle w:val="2"/>
              <w:spacing w:after="0" w:line="400" w:lineRule="exact"/>
              <w:ind w:firstLine="420"/>
              <w:rPr>
                <w:rFonts w:ascii="仿宋_GB2312" w:eastAsia="仿宋_GB2312"/>
                <w:color w:val="auto"/>
                <w:szCs w:val="21"/>
                <w:highlight w:val="none"/>
              </w:rPr>
            </w:pPr>
          </w:p>
        </w:tc>
        <w:tc>
          <w:tcPr>
            <w:tcW w:w="3896" w:type="dxa"/>
            <w:vAlign w:val="center"/>
          </w:tcPr>
          <w:p>
            <w:pPr>
              <w:pStyle w:val="2"/>
              <w:spacing w:after="0" w:line="400" w:lineRule="exact"/>
              <w:ind w:firstLine="420"/>
              <w:rPr>
                <w:rFonts w:ascii="仿宋_GB2312"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pPr>
              <w:pStyle w:val="2"/>
              <w:spacing w:line="400" w:lineRule="exact"/>
              <w:rPr>
                <w:rFonts w:ascii="仿宋_GB2312" w:eastAsia="仿宋_GB2312"/>
                <w:color w:val="auto"/>
                <w:highlight w:val="none"/>
              </w:rPr>
            </w:pPr>
          </w:p>
        </w:tc>
        <w:tc>
          <w:tcPr>
            <w:tcW w:w="1418" w:type="dxa"/>
            <w:tcBorders>
              <w:bottom w:val="single" w:color="auto" w:sz="12" w:space="0"/>
            </w:tcBorders>
            <w:vAlign w:val="center"/>
          </w:tcPr>
          <w:p>
            <w:pPr>
              <w:pStyle w:val="2"/>
              <w:spacing w:line="400" w:lineRule="exact"/>
              <w:rPr>
                <w:rFonts w:ascii="仿宋_GB2312" w:eastAsia="仿宋_GB2312"/>
                <w:color w:val="auto"/>
                <w:highlight w:val="none"/>
              </w:rPr>
            </w:pPr>
          </w:p>
        </w:tc>
        <w:tc>
          <w:tcPr>
            <w:tcW w:w="1134" w:type="dxa"/>
            <w:tcBorders>
              <w:bottom w:val="single" w:color="auto" w:sz="12" w:space="0"/>
            </w:tcBorders>
            <w:vAlign w:val="center"/>
          </w:tcPr>
          <w:p>
            <w:pPr>
              <w:pStyle w:val="2"/>
              <w:spacing w:line="400" w:lineRule="exact"/>
              <w:rPr>
                <w:rFonts w:ascii="仿宋_GB2312" w:eastAsia="仿宋_GB2312"/>
                <w:color w:val="auto"/>
                <w:highlight w:val="none"/>
              </w:rPr>
            </w:pPr>
          </w:p>
        </w:tc>
        <w:tc>
          <w:tcPr>
            <w:tcW w:w="1134" w:type="dxa"/>
            <w:tcBorders>
              <w:bottom w:val="single" w:color="auto" w:sz="12" w:space="0"/>
            </w:tcBorders>
            <w:vAlign w:val="center"/>
          </w:tcPr>
          <w:p>
            <w:pPr>
              <w:pStyle w:val="2"/>
              <w:spacing w:line="400" w:lineRule="exact"/>
              <w:rPr>
                <w:rFonts w:ascii="仿宋_GB2312" w:eastAsia="仿宋_GB2312"/>
                <w:color w:val="auto"/>
                <w:highlight w:val="none"/>
              </w:rPr>
            </w:pPr>
          </w:p>
        </w:tc>
        <w:tc>
          <w:tcPr>
            <w:tcW w:w="3896" w:type="dxa"/>
            <w:tcBorders>
              <w:bottom w:val="single" w:color="auto" w:sz="12" w:space="0"/>
            </w:tcBorders>
            <w:vAlign w:val="center"/>
          </w:tcPr>
          <w:p>
            <w:pPr>
              <w:pStyle w:val="2"/>
              <w:spacing w:line="400" w:lineRule="exact"/>
              <w:rPr>
                <w:rFonts w:ascii="仿宋_GB2312" w:eastAsia="仿宋_GB2312"/>
                <w:color w:val="auto"/>
                <w:highlight w:val="none"/>
              </w:rPr>
            </w:pPr>
          </w:p>
        </w:tc>
      </w:tr>
    </w:tbl>
    <w:p>
      <w:pPr>
        <w:rPr>
          <w:color w:val="auto"/>
          <w:highlight w:val="none"/>
        </w:rPr>
      </w:pPr>
      <w:r>
        <w:rPr>
          <w:color w:val="auto"/>
          <w:highlight w:val="none"/>
        </w:rPr>
        <w:br w:type="page"/>
      </w:r>
    </w:p>
    <w:p>
      <w:pPr>
        <w:pStyle w:val="43"/>
        <w:numPr>
          <w:ilvl w:val="0"/>
          <w:numId w:val="0"/>
        </w:numPr>
        <w:rPr>
          <w:color w:val="auto"/>
          <w:highlight w:val="none"/>
        </w:rPr>
      </w:pPr>
      <w:bookmarkStart w:id="1135" w:name="_Toc54862357"/>
      <w:r>
        <w:rPr>
          <w:rFonts w:hint="eastAsia"/>
          <w:color w:val="auto"/>
          <w:highlight w:val="none"/>
        </w:rPr>
        <w:t>附件6</w:t>
      </w:r>
      <w:r>
        <w:rPr>
          <w:color w:val="auto"/>
          <w:highlight w:val="none"/>
        </w:rPr>
        <w:t xml:space="preserve"> </w:t>
      </w:r>
      <w:r>
        <w:rPr>
          <w:rFonts w:hint="eastAsia"/>
          <w:color w:val="auto"/>
          <w:highlight w:val="none"/>
        </w:rPr>
        <w:t>价格指数权重表</w:t>
      </w:r>
      <w:bookmarkEnd w:id="1135"/>
    </w:p>
    <w:tbl>
      <w:tblPr>
        <w:tblStyle w:val="21"/>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vAlign w:val="top"/>
          </w:tcPr>
          <w:p>
            <w:pPr>
              <w:rPr>
                <w:rFonts w:ascii="仿宋_GB2312" w:eastAsia="仿宋_GB2312"/>
                <w:color w:val="auto"/>
                <w:highlight w:val="none"/>
              </w:rPr>
            </w:pPr>
            <w:r>
              <w:rPr>
                <w:rFonts w:hint="eastAsia" w:ascii="仿宋_GB2312" w:eastAsia="仿宋_GB2312"/>
                <w:color w:val="auto"/>
                <w:highlight w:val="none"/>
              </w:rPr>
              <w:t>序号</w:t>
            </w:r>
          </w:p>
        </w:tc>
        <w:tc>
          <w:tcPr>
            <w:tcW w:w="1460" w:type="dxa"/>
            <w:gridSpan w:val="2"/>
            <w:vMerge w:val="restart"/>
            <w:vAlign w:val="top"/>
          </w:tcPr>
          <w:p>
            <w:pPr>
              <w:rPr>
                <w:rFonts w:ascii="仿宋_GB2312" w:eastAsia="仿宋_GB2312"/>
                <w:color w:val="auto"/>
                <w:highlight w:val="none"/>
              </w:rPr>
            </w:pPr>
            <w:r>
              <w:rPr>
                <w:rFonts w:hint="eastAsia" w:ascii="仿宋_GB2312" w:eastAsia="仿宋_GB2312"/>
                <w:color w:val="auto"/>
                <w:highlight w:val="none"/>
              </w:rPr>
              <w:t>名称</w:t>
            </w:r>
          </w:p>
        </w:tc>
        <w:tc>
          <w:tcPr>
            <w:tcW w:w="2295" w:type="dxa"/>
            <w:gridSpan w:val="2"/>
            <w:vAlign w:val="top"/>
          </w:tcPr>
          <w:p>
            <w:pPr>
              <w:rPr>
                <w:rFonts w:ascii="仿宋_GB2312" w:eastAsia="仿宋_GB2312"/>
                <w:color w:val="auto"/>
                <w:highlight w:val="none"/>
              </w:rPr>
            </w:pPr>
            <w:r>
              <w:rPr>
                <w:rFonts w:hint="eastAsia" w:ascii="仿宋_GB2312" w:eastAsia="仿宋_GB2312"/>
                <w:color w:val="auto"/>
                <w:highlight w:val="none"/>
              </w:rPr>
              <w:t>变更权重B</w:t>
            </w:r>
          </w:p>
        </w:tc>
        <w:tc>
          <w:tcPr>
            <w:tcW w:w="2445" w:type="dxa"/>
            <w:gridSpan w:val="2"/>
            <w:vAlign w:val="top"/>
          </w:tcPr>
          <w:p>
            <w:pPr>
              <w:rPr>
                <w:rFonts w:ascii="仿宋_GB2312" w:eastAsia="仿宋_GB2312"/>
                <w:color w:val="auto"/>
                <w:highlight w:val="none"/>
              </w:rPr>
            </w:pPr>
            <w:r>
              <w:rPr>
                <w:rFonts w:hint="eastAsia" w:ascii="仿宋_GB2312" w:eastAsia="仿宋_GB2312"/>
                <w:color w:val="auto"/>
                <w:highlight w:val="none"/>
              </w:rPr>
              <w:t>基本价格指数F0</w:t>
            </w:r>
          </w:p>
        </w:tc>
        <w:tc>
          <w:tcPr>
            <w:tcW w:w="1380" w:type="dxa"/>
            <w:vAlign w:val="top"/>
          </w:tcPr>
          <w:p>
            <w:pPr>
              <w:rPr>
                <w:rFonts w:ascii="仿宋_GB2312" w:eastAsia="仿宋_GB2312"/>
                <w:color w:val="auto"/>
                <w:highlight w:val="none"/>
              </w:rPr>
            </w:pPr>
            <w:r>
              <w:rPr>
                <w:rFonts w:hint="eastAsia" w:ascii="仿宋_GB2312"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vAlign w:val="top"/>
          </w:tcPr>
          <w:p>
            <w:pPr>
              <w:rPr>
                <w:rFonts w:ascii="仿宋_GB2312" w:eastAsia="仿宋_GB2312"/>
                <w:color w:val="auto"/>
                <w:highlight w:val="none"/>
              </w:rPr>
            </w:pPr>
          </w:p>
        </w:tc>
        <w:tc>
          <w:tcPr>
            <w:tcW w:w="1460" w:type="dxa"/>
            <w:gridSpan w:val="2"/>
            <w:vMerge w:val="continue"/>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代号</w:t>
            </w:r>
          </w:p>
        </w:tc>
        <w:tc>
          <w:tcPr>
            <w:tcW w:w="1080" w:type="dxa"/>
            <w:vAlign w:val="top"/>
          </w:tcPr>
          <w:p>
            <w:pPr>
              <w:rPr>
                <w:rFonts w:ascii="仿宋_GB2312" w:eastAsia="仿宋_GB2312"/>
                <w:color w:val="auto"/>
                <w:highlight w:val="none"/>
              </w:rPr>
            </w:pPr>
            <w:r>
              <w:rPr>
                <w:rFonts w:hint="eastAsia" w:ascii="仿宋_GB2312" w:eastAsia="仿宋_GB2312"/>
                <w:color w:val="auto"/>
                <w:highlight w:val="none"/>
              </w:rPr>
              <w:t>权重</w:t>
            </w: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代号</w:t>
            </w:r>
          </w:p>
        </w:tc>
        <w:tc>
          <w:tcPr>
            <w:tcW w:w="1230" w:type="dxa"/>
            <w:vAlign w:val="top"/>
          </w:tcPr>
          <w:p>
            <w:pPr>
              <w:rPr>
                <w:rFonts w:ascii="仿宋_GB2312" w:eastAsia="仿宋_GB2312"/>
                <w:color w:val="auto"/>
                <w:highlight w:val="none"/>
              </w:rPr>
            </w:pPr>
            <w:r>
              <w:rPr>
                <w:rFonts w:hint="eastAsia" w:ascii="仿宋_GB2312" w:eastAsia="仿宋_GB2312"/>
                <w:color w:val="auto"/>
                <w:highlight w:val="none"/>
              </w:rPr>
              <w:t>指数</w:t>
            </w: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rPr>
                <w:rFonts w:ascii="仿宋_GB2312" w:eastAsia="仿宋_GB2312"/>
                <w:color w:val="auto"/>
                <w:highlight w:val="none"/>
              </w:rPr>
            </w:pPr>
          </w:p>
        </w:tc>
        <w:tc>
          <w:tcPr>
            <w:tcW w:w="584" w:type="dxa"/>
            <w:vMerge w:val="restart"/>
            <w:vAlign w:val="top"/>
          </w:tcPr>
          <w:p>
            <w:pPr>
              <w:rPr>
                <w:rFonts w:ascii="仿宋_GB2312" w:eastAsia="仿宋_GB2312"/>
                <w:color w:val="auto"/>
                <w:highlight w:val="none"/>
              </w:rPr>
            </w:pPr>
            <w:r>
              <w:rPr>
                <w:rFonts w:hint="eastAsia" w:ascii="仿宋_GB2312" w:eastAsia="仿宋_GB2312"/>
                <w:color w:val="auto"/>
                <w:highlight w:val="none"/>
              </w:rPr>
              <w:t>变</w:t>
            </w:r>
          </w:p>
          <w:p>
            <w:pPr>
              <w:rPr>
                <w:rFonts w:ascii="仿宋_GB2312" w:eastAsia="仿宋_GB2312"/>
                <w:color w:val="auto"/>
                <w:highlight w:val="none"/>
              </w:rPr>
            </w:pPr>
            <w:r>
              <w:rPr>
                <w:rFonts w:hint="eastAsia" w:ascii="仿宋_GB2312" w:eastAsia="仿宋_GB2312"/>
                <w:color w:val="auto"/>
                <w:highlight w:val="none"/>
              </w:rPr>
              <w:t>值</w:t>
            </w:r>
          </w:p>
          <w:p>
            <w:pPr>
              <w:rPr>
                <w:rFonts w:ascii="仿宋_GB2312" w:eastAsia="仿宋_GB2312"/>
                <w:color w:val="auto"/>
                <w:highlight w:val="none"/>
              </w:rPr>
            </w:pPr>
            <w:r>
              <w:rPr>
                <w:rFonts w:hint="eastAsia" w:ascii="仿宋_GB2312" w:eastAsia="仿宋_GB2312"/>
                <w:color w:val="auto"/>
                <w:highlight w:val="none"/>
              </w:rPr>
              <w:t>部</w:t>
            </w:r>
          </w:p>
          <w:p>
            <w:pPr>
              <w:rPr>
                <w:rFonts w:ascii="仿宋_GB2312" w:eastAsia="仿宋_GB2312"/>
                <w:color w:val="auto"/>
                <w:highlight w:val="none"/>
              </w:rPr>
            </w:pPr>
            <w:r>
              <w:rPr>
                <w:rFonts w:hint="eastAsia" w:ascii="仿宋_GB2312" w:eastAsia="仿宋_GB2312"/>
                <w:color w:val="auto"/>
                <w:highlight w:val="none"/>
              </w:rPr>
              <w:t>分</w:t>
            </w:r>
          </w:p>
        </w:tc>
        <w:tc>
          <w:tcPr>
            <w:tcW w:w="876"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B1</w:t>
            </w: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F01</w:t>
            </w: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rPr>
                <w:rFonts w:ascii="仿宋_GB2312" w:eastAsia="仿宋_GB2312"/>
                <w:color w:val="auto"/>
                <w:highlight w:val="none"/>
              </w:rPr>
            </w:pPr>
          </w:p>
        </w:tc>
        <w:tc>
          <w:tcPr>
            <w:tcW w:w="584" w:type="dxa"/>
            <w:vMerge w:val="continue"/>
            <w:vAlign w:val="top"/>
          </w:tcPr>
          <w:p>
            <w:pPr>
              <w:rPr>
                <w:rFonts w:ascii="仿宋_GB2312" w:eastAsia="仿宋_GB2312"/>
                <w:color w:val="auto"/>
                <w:highlight w:val="none"/>
              </w:rPr>
            </w:pPr>
          </w:p>
        </w:tc>
        <w:tc>
          <w:tcPr>
            <w:tcW w:w="876"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B2</w:t>
            </w: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F02</w:t>
            </w: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rPr>
                <w:rFonts w:ascii="仿宋_GB2312" w:eastAsia="仿宋_GB2312"/>
                <w:color w:val="auto"/>
                <w:highlight w:val="none"/>
              </w:rPr>
            </w:pPr>
          </w:p>
        </w:tc>
        <w:tc>
          <w:tcPr>
            <w:tcW w:w="584" w:type="dxa"/>
            <w:vMerge w:val="continue"/>
            <w:vAlign w:val="top"/>
          </w:tcPr>
          <w:p>
            <w:pPr>
              <w:rPr>
                <w:rFonts w:ascii="仿宋_GB2312" w:eastAsia="仿宋_GB2312"/>
                <w:color w:val="auto"/>
                <w:highlight w:val="none"/>
              </w:rPr>
            </w:pPr>
          </w:p>
        </w:tc>
        <w:tc>
          <w:tcPr>
            <w:tcW w:w="876"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B3</w:t>
            </w: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F03</w:t>
            </w: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rPr>
                <w:rFonts w:ascii="仿宋_GB2312" w:eastAsia="仿宋_GB2312"/>
                <w:color w:val="auto"/>
                <w:highlight w:val="none"/>
              </w:rPr>
            </w:pPr>
          </w:p>
        </w:tc>
        <w:tc>
          <w:tcPr>
            <w:tcW w:w="584" w:type="dxa"/>
            <w:vMerge w:val="continue"/>
            <w:vAlign w:val="top"/>
          </w:tcPr>
          <w:p>
            <w:pPr>
              <w:rPr>
                <w:rFonts w:ascii="仿宋_GB2312" w:eastAsia="仿宋_GB2312"/>
                <w:color w:val="auto"/>
                <w:highlight w:val="none"/>
              </w:rPr>
            </w:pPr>
          </w:p>
        </w:tc>
        <w:tc>
          <w:tcPr>
            <w:tcW w:w="876"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B4</w:t>
            </w: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r>
              <w:rPr>
                <w:rFonts w:hint="eastAsia" w:ascii="仿宋_GB2312" w:eastAsia="仿宋_GB2312"/>
                <w:color w:val="auto"/>
                <w:highlight w:val="none"/>
              </w:rPr>
              <w:t>F04</w:t>
            </w: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rPr>
                <w:rFonts w:ascii="仿宋_GB2312" w:eastAsia="仿宋_GB2312"/>
                <w:color w:val="auto"/>
                <w:highlight w:val="none"/>
              </w:rPr>
            </w:pPr>
          </w:p>
        </w:tc>
        <w:tc>
          <w:tcPr>
            <w:tcW w:w="584" w:type="dxa"/>
            <w:vMerge w:val="continue"/>
            <w:vAlign w:val="top"/>
          </w:tcPr>
          <w:p>
            <w:pPr>
              <w:rPr>
                <w:rFonts w:ascii="仿宋_GB2312" w:eastAsia="仿宋_GB2312"/>
                <w:color w:val="auto"/>
                <w:highlight w:val="none"/>
              </w:rPr>
            </w:pPr>
          </w:p>
        </w:tc>
        <w:tc>
          <w:tcPr>
            <w:tcW w:w="876"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rPr>
                <w:rFonts w:ascii="仿宋_GB2312" w:eastAsia="仿宋_GB2312"/>
                <w:color w:val="auto"/>
                <w:highlight w:val="none"/>
              </w:rPr>
            </w:pPr>
          </w:p>
        </w:tc>
        <w:tc>
          <w:tcPr>
            <w:tcW w:w="584" w:type="dxa"/>
            <w:vMerge w:val="continue"/>
            <w:vAlign w:val="top"/>
          </w:tcPr>
          <w:p>
            <w:pPr>
              <w:rPr>
                <w:rFonts w:ascii="仿宋_GB2312" w:eastAsia="仿宋_GB2312"/>
                <w:color w:val="auto"/>
                <w:highlight w:val="none"/>
              </w:rPr>
            </w:pPr>
          </w:p>
        </w:tc>
        <w:tc>
          <w:tcPr>
            <w:tcW w:w="876"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vAlign w:val="top"/>
          </w:tcPr>
          <w:p>
            <w:pPr>
              <w:rPr>
                <w:rFonts w:ascii="仿宋_GB2312" w:eastAsia="仿宋_GB2312"/>
                <w:color w:val="auto"/>
                <w:highlight w:val="none"/>
              </w:rPr>
            </w:pPr>
            <w:r>
              <w:rPr>
                <w:rFonts w:hint="eastAsia" w:ascii="仿宋_GB2312" w:eastAsia="仿宋_GB2312"/>
                <w:color w:val="auto"/>
                <w:highlight w:val="none"/>
              </w:rPr>
              <w:t>定值部分权重A</w:t>
            </w:r>
          </w:p>
        </w:tc>
        <w:tc>
          <w:tcPr>
            <w:tcW w:w="1215" w:type="dxa"/>
            <w:vAlign w:val="top"/>
          </w:tcPr>
          <w:p>
            <w:pPr>
              <w:rPr>
                <w:rFonts w:ascii="仿宋_GB2312" w:eastAsia="仿宋_GB2312"/>
                <w:color w:val="auto"/>
                <w:highlight w:val="none"/>
              </w:rPr>
            </w:pPr>
          </w:p>
        </w:tc>
        <w:tc>
          <w:tcPr>
            <w:tcW w:w="1080" w:type="dxa"/>
            <w:vAlign w:val="top"/>
          </w:tcPr>
          <w:p>
            <w:pPr>
              <w:rPr>
                <w:rFonts w:ascii="仿宋_GB2312" w:eastAsia="仿宋_GB2312"/>
                <w:color w:val="auto"/>
                <w:highlight w:val="none"/>
              </w:rPr>
            </w:pPr>
          </w:p>
        </w:tc>
        <w:tc>
          <w:tcPr>
            <w:tcW w:w="1215" w:type="dxa"/>
            <w:vAlign w:val="top"/>
          </w:tcPr>
          <w:p>
            <w:pPr>
              <w:rPr>
                <w:rFonts w:ascii="仿宋_GB2312" w:eastAsia="仿宋_GB2312"/>
                <w:color w:val="auto"/>
                <w:highlight w:val="none"/>
              </w:rPr>
            </w:pPr>
          </w:p>
        </w:tc>
        <w:tc>
          <w:tcPr>
            <w:tcW w:w="1230" w:type="dxa"/>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vAlign w:val="top"/>
          </w:tcPr>
          <w:p>
            <w:pPr>
              <w:rPr>
                <w:rFonts w:ascii="仿宋_GB2312" w:eastAsia="仿宋_GB2312"/>
                <w:color w:val="auto"/>
                <w:highlight w:val="none"/>
              </w:rPr>
            </w:pPr>
            <w:r>
              <w:rPr>
                <w:rFonts w:hint="eastAsia" w:ascii="仿宋_GB2312" w:eastAsia="仿宋_GB2312"/>
                <w:color w:val="auto"/>
                <w:highlight w:val="none"/>
              </w:rPr>
              <w:t>合计</w:t>
            </w:r>
          </w:p>
        </w:tc>
        <w:tc>
          <w:tcPr>
            <w:tcW w:w="2295" w:type="dxa"/>
            <w:gridSpan w:val="2"/>
            <w:vAlign w:val="top"/>
          </w:tcPr>
          <w:p>
            <w:pPr>
              <w:rPr>
                <w:rFonts w:ascii="仿宋_GB2312" w:eastAsia="仿宋_GB2312"/>
                <w:color w:val="auto"/>
                <w:highlight w:val="none"/>
              </w:rPr>
            </w:pPr>
          </w:p>
        </w:tc>
        <w:tc>
          <w:tcPr>
            <w:tcW w:w="2445" w:type="dxa"/>
            <w:gridSpan w:val="2"/>
            <w:vAlign w:val="top"/>
          </w:tcPr>
          <w:p>
            <w:pPr>
              <w:rPr>
                <w:rFonts w:ascii="仿宋_GB2312" w:eastAsia="仿宋_GB2312"/>
                <w:color w:val="auto"/>
                <w:highlight w:val="none"/>
              </w:rPr>
            </w:pPr>
          </w:p>
        </w:tc>
        <w:tc>
          <w:tcPr>
            <w:tcW w:w="1380" w:type="dxa"/>
            <w:vAlign w:val="top"/>
          </w:tcPr>
          <w:p>
            <w:pPr>
              <w:rPr>
                <w:rFonts w:ascii="仿宋_GB2312" w:eastAsia="仿宋_GB2312"/>
                <w:color w:val="auto"/>
                <w:highlight w:val="none"/>
              </w:rPr>
            </w:pPr>
          </w:p>
        </w:tc>
      </w:tr>
    </w:tbl>
    <w:p>
      <w:pPr>
        <w:rPr>
          <w:color w:val="auto"/>
          <w:highlight w:val="none"/>
        </w:rPr>
      </w:pPr>
    </w:p>
    <w:p>
      <w:pPr>
        <w:pStyle w:val="3"/>
        <w:outlineLvl w:val="9"/>
        <w:rPr>
          <w:rFonts w:hint="eastAsia" w:ascii="宋体" w:hAnsi="宋体" w:cs="宋体"/>
          <w:color w:val="auto"/>
          <w:highlight w:val="none"/>
        </w:rPr>
      </w:pPr>
    </w:p>
    <w:p>
      <w:pPr>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sectPr>
          <w:headerReference r:id="rId23" w:type="default"/>
          <w:pgSz w:w="11907" w:h="16840"/>
          <w:pgMar w:top="1304" w:right="1474" w:bottom="1304" w:left="1474" w:header="737" w:footer="737" w:gutter="0"/>
          <w:cols w:space="720" w:num="1"/>
          <w:docGrid w:linePitch="326" w:charSpace="0"/>
        </w:sectPr>
      </w:pPr>
    </w:p>
    <w:p>
      <w:pPr>
        <w:pStyle w:val="3"/>
        <w:bidi w:val="0"/>
        <w:jc w:val="left"/>
        <w:rPr>
          <w:rFonts w:hint="eastAsia"/>
          <w:b/>
          <w:color w:val="auto"/>
          <w:highlight w:val="none"/>
          <w:lang w:val="en-US" w:eastAsia="zh-CN"/>
        </w:rPr>
      </w:pPr>
      <w:bookmarkStart w:id="1136" w:name="_Toc419956003"/>
      <w:bookmarkStart w:id="1137" w:name="_Toc4306"/>
      <w:bookmarkStart w:id="1138" w:name="_Toc1741_WPSOffice_Level1"/>
      <w:bookmarkStart w:id="1139" w:name="_Toc4692"/>
      <w:bookmarkStart w:id="1140" w:name="_Toc5663"/>
      <w:r>
        <w:rPr>
          <w:rFonts w:hint="eastAsia" w:ascii="黑体" w:hAnsi="黑体" w:eastAsia="黑体" w:cs="黑体"/>
          <w:b/>
          <w:color w:val="auto"/>
          <w:sz w:val="30"/>
          <w:szCs w:val="30"/>
          <w:highlight w:val="none"/>
          <w:lang w:val="en-US" w:eastAsia="zh-CN"/>
        </w:rPr>
        <w:t>附件7：</w:t>
      </w:r>
      <w:bookmarkEnd w:id="1136"/>
      <w:bookmarkEnd w:id="1137"/>
      <w:bookmarkEnd w:id="1138"/>
      <w:bookmarkStart w:id="1141" w:name="_Toc16088_WPSOffice_Level2"/>
      <w:r>
        <w:rPr>
          <w:rFonts w:hint="eastAsia" w:ascii="黑体" w:hAnsi="黑体" w:eastAsia="黑体" w:cs="黑体"/>
          <w:b/>
          <w:color w:val="auto"/>
          <w:sz w:val="30"/>
          <w:szCs w:val="30"/>
          <w:highlight w:val="none"/>
          <w:lang w:val="en-US" w:eastAsia="zh-CN"/>
        </w:rPr>
        <w:t xml:space="preserve">             廉政合同</w:t>
      </w:r>
      <w:bookmarkEnd w:id="1139"/>
      <w:bookmarkEnd w:id="1140"/>
      <w:bookmarkEnd w:id="1141"/>
    </w:p>
    <w:p>
      <w:pPr>
        <w:keepNext w:val="0"/>
        <w:keepLines w:val="0"/>
        <w:pageBreakBefore w:val="0"/>
        <w:kinsoku/>
        <w:overflowPunct/>
        <w:autoSpaceDE/>
        <w:autoSpaceDN/>
        <w:bidi w:val="0"/>
        <w:spacing w:line="360" w:lineRule="auto"/>
        <w:ind w:left="0" w:leftChars="0" w:right="0" w:rightChars="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发包人（全称）：</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kinsoku/>
        <w:overflowPunct/>
        <w:autoSpaceDE/>
        <w:autoSpaceDN/>
        <w:bidi w:val="0"/>
        <w:spacing w:line="360" w:lineRule="auto"/>
        <w:ind w:left="0"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承包人（全称）：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（联合体牵头人）</w:t>
      </w:r>
    </w:p>
    <w:p>
      <w:pPr>
        <w:keepNext w:val="0"/>
        <w:keepLines w:val="0"/>
        <w:pageBreakBefore w:val="0"/>
        <w:kinsoku/>
        <w:overflowPunct/>
        <w:autoSpaceDE/>
        <w:autoSpaceDN/>
        <w:bidi w:val="0"/>
        <w:spacing w:line="360" w:lineRule="auto"/>
        <w:ind w:right="0" w:rightChars="0" w:firstLine="1920" w:firstLineChars="8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（联合体成员）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24"/>
          <w:szCs w:val="24"/>
          <w:highlight w:val="none"/>
          <w:lang w:val="zh-TW"/>
        </w:rPr>
        <w:t>根据国家、省工程建设和廉政建设的有关规定，为做好合同工程的廉政建设，保证工程质量与施工安全，提高建设资金的有效使用和投资效益，发包人承包人就加强合同工程的廉政建设，订立本合同。</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textAlignment w:val="auto"/>
        <w:rPr>
          <w:rFonts w:hint="eastAsia" w:ascii="仿宋" w:hAnsi="仿宋" w:eastAsia="仿宋" w:cs="仿宋"/>
          <w:b/>
          <w:color w:val="auto"/>
          <w:sz w:val="32"/>
          <w:szCs w:val="32"/>
          <w:highlight w:val="none"/>
        </w:rPr>
      </w:pPr>
      <w:r>
        <w:rPr>
          <w:rFonts w:hint="eastAsia" w:ascii="黑体" w:hAnsi="黑体" w:eastAsia="黑体" w:cs="黑体"/>
          <w:b/>
          <w:color w:val="auto"/>
          <w:sz w:val="24"/>
          <w:szCs w:val="24"/>
          <w:highlight w:val="none"/>
        </w:rPr>
        <w:t>1．</w:t>
      </w:r>
      <w:r>
        <w:rPr>
          <w:rFonts w:hint="eastAsia" w:ascii="黑体" w:hAnsi="黑体" w:eastAsia="黑体" w:cs="黑体"/>
          <w:b/>
          <w:bCs/>
          <w:color w:val="auto"/>
          <w:sz w:val="24"/>
          <w:szCs w:val="24"/>
          <w:highlight w:val="none"/>
          <w:lang w:val="zh-TW"/>
        </w:rPr>
        <w:t>双方权利和义务</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val="zh-TW"/>
        </w:rPr>
        <w:t>严格遵守国家、省有关法律法规的规定。</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zh-TW"/>
        </w:rPr>
        <w:t>严格执行合同工程一切合同文件，自觉按合同办事。</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val="zh-TW"/>
        </w:rPr>
        <w:t>双方的业务活动应坚持公平、公开、公正和诚信的原则（法律认定的商业秘密和合同文件另有规定除外），不得损害国家和集体利益，不得违反工程建设管理规章制度。</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lang w:val="zh-TW"/>
        </w:rPr>
        <w:t>建立健全廉政制度，开展廉政教育，设立廉政告示牌，公布举报电话，监督并认真查处违法违纪行为。</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lang w:val="zh-TW"/>
        </w:rPr>
        <w:t>发现对方在业务活动中有违反廉政建设规定的行为，应及时给予提醒和纠正。</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lang w:val="zh-TW"/>
        </w:rPr>
        <w:t>发现对方严重违反合同的行为，有向其上级部门举报、建议给予处理并要求告知处理结果的权利。没有上级部门的，可按施工合同通用条款相关规定处理。</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w:t>
      </w:r>
      <w:r>
        <w:rPr>
          <w:rFonts w:hint="eastAsia" w:ascii="仿宋_GB2312" w:hAnsi="仿宋_GB2312" w:eastAsia="仿宋_GB2312" w:cs="仿宋_GB2312"/>
          <w:b/>
          <w:bCs/>
          <w:color w:val="auto"/>
          <w:sz w:val="24"/>
          <w:szCs w:val="24"/>
          <w:highlight w:val="none"/>
          <w:lang w:val="zh-TW"/>
        </w:rPr>
        <w:t>发包人义务</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lang w:val="zh-TW"/>
        </w:rPr>
        <w:t>发包人及其工作人员不得索要或接受承包人的礼金、有价证券和贵重物品，不得在承包人报销任何应由发包人或其工作人员个人支付的费用。</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zh-TW"/>
        </w:rPr>
        <w:t>发包人及其工作人员不得参加承包人安排的宴请（工作餐除外）和娱乐活动；不得接受承包人提供的通讯工具、交通工具和高档办公用品等物品。</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r>
        <w:rPr>
          <w:rFonts w:hint="eastAsia" w:ascii="仿宋_GB2312" w:hAnsi="仿宋_GB2312" w:eastAsia="仿宋_GB2312" w:cs="仿宋_GB2312"/>
          <w:color w:val="auto"/>
          <w:sz w:val="24"/>
          <w:szCs w:val="24"/>
          <w:highlight w:val="none"/>
          <w:lang w:val="zh-TW"/>
        </w:rPr>
        <w:t>发包人及其工作人员不得要求或者接受承包人为其住房装修、婚丧嫁娶活动、配偶子女的工作安排以及出国出境、旅游等提供方便。</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2.4发包人及其工作人员要秉公办事，不准营私舞弊，不准利用职权私自为合同工程安排施工队伍，也不得从事与合同工程有关的各种有偿中介活动。</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2.5发包人及其工作人员（含配偶、子女）不得从事与合同工程有关的材料和工程设备供应、工程分包、劳务等经济活动。</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3．承包人义务</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lang w:val="zh-TW"/>
        </w:rPr>
        <w:t>承包人不得以任何理由向发包人及其工作人员行贿或馈赠礼金、有价证券、贵重礼品。</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color w:val="auto"/>
          <w:sz w:val="24"/>
          <w:szCs w:val="24"/>
          <w:highlight w:val="none"/>
          <w:lang w:val="zh-TW"/>
        </w:rPr>
        <w:t>承包人不得以任何名义为发包人及其工作人员报销应由发包人或其工作人员个人支付的任何费用。</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w:t>
      </w:r>
      <w:r>
        <w:rPr>
          <w:rFonts w:hint="eastAsia" w:ascii="仿宋_GB2312" w:hAnsi="仿宋_GB2312" w:eastAsia="仿宋_GB2312" w:cs="仿宋_GB2312"/>
          <w:color w:val="auto"/>
          <w:sz w:val="24"/>
          <w:szCs w:val="24"/>
          <w:highlight w:val="none"/>
          <w:lang w:val="zh-TW"/>
        </w:rPr>
        <w:t>承包人不得以任何理由安排发包人及其工作人员参加宴请（工作餐除外）及娱乐活动。</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w:t>
      </w:r>
      <w:r>
        <w:rPr>
          <w:rFonts w:hint="eastAsia" w:ascii="仿宋_GB2312" w:hAnsi="仿宋_GB2312" w:eastAsia="仿宋_GB2312" w:cs="仿宋_GB2312"/>
          <w:color w:val="auto"/>
          <w:sz w:val="24"/>
          <w:szCs w:val="24"/>
          <w:highlight w:val="none"/>
          <w:lang w:val="zh-TW"/>
        </w:rPr>
        <w:t>承包人不得为发包人和个人购置或提供通讯工具、交通工具和高档办公用品等物品。</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w:t>
      </w:r>
      <w:r>
        <w:rPr>
          <w:rFonts w:hint="eastAsia" w:ascii="仿宋_GB2312" w:hAnsi="仿宋_GB2312" w:eastAsia="仿宋_GB2312" w:cs="仿宋_GB2312"/>
          <w:color w:val="auto"/>
          <w:sz w:val="24"/>
          <w:szCs w:val="24"/>
          <w:highlight w:val="none"/>
          <w:lang w:val="zh-TW"/>
        </w:rPr>
        <w:t>承包人不得为发包人及其工作人员的住房装修，婚丧嫁娶活动、配偶子女工作安排以及出国出境，旅游等提供方便。</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4.违约责任</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4.1发包人及其工作人员违反本合同第1条和第2条规定，应依据廉政建设的有关规定给予处分；涉嫌犯罪的，移交司法机关追究刑事责任；给承包人造成经济损失的，应予赔偿。</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承包人及其工作人员违反本合同第1条和第3条规定，应依据廉政建设的有关规定给予处分；情节严重的，给予承包人一至三年内不得进入工程建设市场的处罚；涉嫌犯罪的，移交司法机关追究刑事责任；给发包人造成经济损失的，应予赔偿。</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5.双方约定</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本合同由双方或其上级部门负责监督执行，并由双方或其上级部门相互约请对本合同执行情况进行检查。</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6.合同法律效力</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本合同作为合同的附件，与施工合同具有同等的法律效力。</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7.合同生效</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本合同自签署之日起生效，至合同双方当事人履行完施工合同全部义务后自动失效，并随施工合同的终止而终止。</w:t>
      </w:r>
    </w:p>
    <w:p>
      <w:pPr>
        <w:pStyle w:val="49"/>
        <w:spacing w:line="360" w:lineRule="auto"/>
        <w:ind w:right="-502" w:rightChars="-239"/>
        <w:rPr>
          <w:rFonts w:hint="eastAsia" w:ascii="仿宋_GB2312" w:hAnsi="仿宋_GB2312" w:eastAsia="仿宋_GB2312" w:cs="仿宋_GB2312"/>
          <w:color w:val="auto"/>
          <w:spacing w:val="-20"/>
          <w:sz w:val="24"/>
          <w:szCs w:val="24"/>
          <w:highlight w:val="none"/>
          <w:lang w:eastAsia="zh-CN"/>
        </w:rPr>
      </w:pPr>
    </w:p>
    <w:p>
      <w:pPr>
        <w:pStyle w:val="49"/>
        <w:spacing w:line="360" w:lineRule="auto"/>
        <w:ind w:right="-502" w:rightChars="-239"/>
        <w:rPr>
          <w:rFonts w:hint="eastAsia" w:ascii="仿宋_GB2312" w:hAnsi="仿宋_GB2312" w:eastAsia="仿宋_GB2312" w:cs="仿宋_GB2312"/>
          <w:color w:val="auto"/>
          <w:spacing w:val="-20"/>
          <w:sz w:val="24"/>
          <w:szCs w:val="24"/>
          <w:highlight w:val="none"/>
          <w:lang w:eastAsia="zh-CN"/>
        </w:rPr>
      </w:pPr>
    </w:p>
    <w:p>
      <w:pPr>
        <w:pStyle w:val="49"/>
        <w:spacing w:line="360" w:lineRule="auto"/>
        <w:ind w:right="-502" w:rightChars="-239"/>
        <w:rPr>
          <w:rFonts w:hint="eastAsia" w:ascii="仿宋_GB2312" w:hAnsi="仿宋_GB2312" w:eastAsia="仿宋_GB2312" w:cs="仿宋_GB2312"/>
          <w:color w:val="auto"/>
          <w:spacing w:val="-20"/>
          <w:sz w:val="24"/>
          <w:szCs w:val="24"/>
          <w:highlight w:val="none"/>
          <w:lang w:eastAsia="zh-CN"/>
        </w:rPr>
      </w:pP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lang w:val="en-US" w:eastAsia="zh-CN"/>
        </w:rPr>
        <w:t>此页为合同签署页</w:t>
      </w:r>
      <w:r>
        <w:rPr>
          <w:rFonts w:hint="eastAsia" w:ascii="仿宋_GB2312" w:hAnsi="仿宋_GB2312" w:eastAsia="仿宋_GB2312" w:cs="仿宋_GB2312"/>
          <w:color w:val="auto"/>
          <w:spacing w:val="-20"/>
          <w:sz w:val="24"/>
          <w:szCs w:val="24"/>
          <w:highlight w:val="none"/>
          <w:lang w:eastAsia="zh-CN"/>
        </w:rPr>
        <w:t>）</w:t>
      </w:r>
    </w:p>
    <w:p>
      <w:pPr>
        <w:pStyle w:val="49"/>
        <w:spacing w:line="360" w:lineRule="auto"/>
        <w:ind w:right="-502" w:rightChars="-239"/>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 xml:space="preserve">发包人（公章）：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承包人（公章）：</w:t>
      </w:r>
    </w:p>
    <w:p>
      <w:pPr>
        <w:pStyle w:val="49"/>
        <w:spacing w:line="360" w:lineRule="auto"/>
        <w:ind w:right="-502" w:rightChars="-239"/>
        <w:rPr>
          <w:rFonts w:hint="eastAsia" w:ascii="仿宋_GB2312" w:hAnsi="仿宋_GB2312" w:eastAsia="仿宋_GB2312" w:cs="仿宋_GB2312"/>
          <w:color w:val="auto"/>
          <w:spacing w:val="-20"/>
          <w:sz w:val="24"/>
          <w:szCs w:val="24"/>
          <w:highlight w:val="none"/>
          <w:lang w:val="en-US" w:eastAsia="zh-CN"/>
        </w:rPr>
      </w:pPr>
    </w:p>
    <w:p>
      <w:pPr>
        <w:pStyle w:val="49"/>
        <w:spacing w:line="360" w:lineRule="auto"/>
        <w:ind w:right="-502" w:rightChars="-239"/>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lang w:val="en-US" w:eastAsia="zh-CN"/>
        </w:rPr>
        <w:t>地址</w:t>
      </w:r>
      <w:r>
        <w:rPr>
          <w:rFonts w:hint="eastAsia" w:ascii="仿宋_GB2312" w:hAnsi="仿宋_GB2312" w:eastAsia="仿宋_GB2312" w:cs="仿宋_GB2312"/>
          <w:color w:val="auto"/>
          <w:spacing w:val="-20"/>
          <w:sz w:val="24"/>
          <w:szCs w:val="24"/>
          <w:highlight w:val="none"/>
        </w:rPr>
        <w:t>：</w:t>
      </w:r>
      <w:r>
        <w:rPr>
          <w:rFonts w:hint="eastAsia" w:ascii="仿宋_GB2312" w:hAnsi="仿宋_GB2312" w:eastAsia="仿宋_GB2312" w:cs="仿宋_GB2312"/>
          <w:color w:val="auto"/>
          <w:spacing w:val="-20"/>
          <w:w w:val="8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地址</w:t>
      </w:r>
      <w:r>
        <w:rPr>
          <w:rFonts w:hint="eastAsia" w:ascii="仿宋_GB2312" w:hAnsi="仿宋_GB2312" w:eastAsia="仿宋_GB2312" w:cs="仿宋_GB2312"/>
          <w:color w:val="auto"/>
          <w:spacing w:val="-20"/>
          <w:sz w:val="24"/>
          <w:szCs w:val="24"/>
          <w:highlight w:val="none"/>
        </w:rPr>
        <w:t xml:space="preserve">：            </w:t>
      </w:r>
    </w:p>
    <w:p>
      <w:pPr>
        <w:pStyle w:val="49"/>
        <w:spacing w:line="360" w:lineRule="auto"/>
        <w:rPr>
          <w:rFonts w:hint="eastAsia" w:ascii="仿宋_GB2312" w:hAnsi="仿宋_GB2312" w:eastAsia="仿宋_GB2312" w:cs="仿宋_GB2312"/>
          <w:color w:val="auto"/>
          <w:spacing w:val="-20"/>
          <w:sz w:val="24"/>
          <w:szCs w:val="24"/>
          <w:highlight w:val="none"/>
          <w:lang w:eastAsia="zh-CN"/>
        </w:rPr>
      </w:pPr>
      <w:r>
        <w:rPr>
          <w:rFonts w:hint="eastAsia" w:ascii="仿宋_GB2312" w:hAnsi="仿宋_GB2312" w:eastAsia="仿宋_GB2312" w:cs="仿宋_GB2312"/>
          <w:color w:val="auto"/>
          <w:spacing w:val="-20"/>
          <w:sz w:val="24"/>
          <w:szCs w:val="24"/>
          <w:highlight w:val="none"/>
        </w:rPr>
        <w:t>法定代表人（签字）</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法定代表人（签字）</w:t>
      </w:r>
      <w:r>
        <w:rPr>
          <w:rFonts w:hint="eastAsia" w:ascii="仿宋_GB2312" w:hAnsi="仿宋_GB2312" w:eastAsia="仿宋_GB2312" w:cs="仿宋_GB2312"/>
          <w:color w:val="auto"/>
          <w:spacing w:val="-20"/>
          <w:sz w:val="24"/>
          <w:szCs w:val="24"/>
          <w:highlight w:val="none"/>
          <w:lang w:eastAsia="zh-CN"/>
        </w:rPr>
        <w:t>：</w:t>
      </w:r>
    </w:p>
    <w:p>
      <w:pPr>
        <w:pStyle w:val="49"/>
        <w:spacing w:line="360" w:lineRule="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 xml:space="preserve">委托代理人（签字）：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 xml:space="preserve">委托代理人（签字）：  </w:t>
      </w:r>
    </w:p>
    <w:p>
      <w:pPr>
        <w:pStyle w:val="49"/>
        <w:spacing w:line="360" w:lineRule="auto"/>
        <w:rPr>
          <w:rFonts w:hint="eastAsia" w:ascii="仿宋_GB2312" w:hAnsi="仿宋_GB2312" w:eastAsia="仿宋_GB2312" w:cs="仿宋_GB2312"/>
          <w:color w:val="auto"/>
          <w:spacing w:val="-20"/>
          <w:sz w:val="24"/>
          <w:szCs w:val="24"/>
          <w:highlight w:val="none"/>
          <w:lang w:val="en-US" w:eastAsia="zh-CN"/>
        </w:rPr>
      </w:pPr>
      <w:r>
        <w:rPr>
          <w:rFonts w:hint="eastAsia" w:ascii="仿宋_GB2312" w:hAnsi="仿宋_GB2312" w:eastAsia="仿宋_GB2312" w:cs="仿宋_GB2312"/>
          <w:color w:val="auto"/>
          <w:spacing w:val="-20"/>
          <w:sz w:val="24"/>
          <w:szCs w:val="24"/>
          <w:highlight w:val="none"/>
        </w:rPr>
        <w:t>电 话：</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电 话：</w:t>
      </w:r>
    </w:p>
    <w:p>
      <w:pPr>
        <w:pStyle w:val="49"/>
        <w:spacing w:line="360" w:lineRule="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 xml:space="preserve">传 真：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传</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 xml:space="preserve"> 真：</w:t>
      </w:r>
    </w:p>
    <w:p>
      <w:pPr>
        <w:pStyle w:val="49"/>
        <w:spacing w:line="360" w:lineRule="auto"/>
        <w:ind w:left="7838" w:leftChars="100" w:hanging="7628" w:hangingChars="3814"/>
        <w:jc w:val="cente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承包人（公章）：</w:t>
      </w:r>
    </w:p>
    <w:p>
      <w:pPr>
        <w:bidi w:val="0"/>
        <w:ind w:left="0" w:leftChars="0" w:firstLine="4044" w:firstLineChars="1685"/>
        <w:rPr>
          <w:rFonts w:hint="eastAsia" w:ascii="仿宋_GB2312" w:hAnsi="仿宋_GB2312" w:eastAsia="仿宋_GB2312" w:cs="仿宋_GB2312"/>
          <w:color w:val="auto"/>
          <w:sz w:val="24"/>
          <w:szCs w:val="24"/>
          <w:highlight w:val="none"/>
          <w:lang w:val="en-US" w:eastAsia="zh-CN"/>
        </w:rPr>
      </w:pPr>
    </w:p>
    <w:p>
      <w:pPr>
        <w:bidi w:val="0"/>
        <w:ind w:left="0" w:leftChars="0" w:firstLine="4044" w:firstLineChars="16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地址</w:t>
      </w:r>
      <w:r>
        <w:rPr>
          <w:rFonts w:hint="eastAsia" w:ascii="仿宋_GB2312" w:hAnsi="仿宋_GB2312" w:eastAsia="仿宋_GB2312" w:cs="仿宋_GB2312"/>
          <w:color w:val="auto"/>
          <w:sz w:val="24"/>
          <w:szCs w:val="24"/>
          <w:highlight w:val="none"/>
        </w:rPr>
        <w:t>：</w:t>
      </w:r>
    </w:p>
    <w:p>
      <w:pPr>
        <w:pStyle w:val="49"/>
        <w:spacing w:line="360" w:lineRule="auto"/>
        <w:rPr>
          <w:rFonts w:hint="eastAsia" w:ascii="仿宋_GB2312" w:hAnsi="仿宋_GB2312" w:eastAsia="仿宋_GB2312" w:cs="仿宋_GB2312"/>
          <w:color w:val="auto"/>
          <w:spacing w:val="-20"/>
          <w:sz w:val="24"/>
          <w:szCs w:val="24"/>
          <w:highlight w:val="none"/>
          <w:lang w:val="en-US" w:eastAsia="zh-CN"/>
        </w:rPr>
      </w:pPr>
      <w:r>
        <w:rPr>
          <w:rFonts w:hint="eastAsia" w:ascii="仿宋_GB2312" w:hAnsi="仿宋_GB2312" w:eastAsia="仿宋_GB2312" w:cs="仿宋_GB2312"/>
          <w:color w:val="auto"/>
          <w:spacing w:val="-20"/>
          <w:sz w:val="24"/>
          <w:szCs w:val="24"/>
          <w:highlight w:val="none"/>
          <w:lang w:val="en-US" w:eastAsia="zh-CN"/>
        </w:rPr>
        <w:t xml:space="preserve">                                                  法定代表人（签字）： </w:t>
      </w:r>
    </w:p>
    <w:p>
      <w:pPr>
        <w:pStyle w:val="49"/>
        <w:spacing w:line="360" w:lineRule="auto"/>
        <w:rPr>
          <w:rFonts w:hint="eastAsia" w:ascii="仿宋_GB2312" w:hAnsi="仿宋_GB2312" w:eastAsia="仿宋_GB2312" w:cs="仿宋_GB2312"/>
          <w:color w:val="auto"/>
          <w:spacing w:val="-20"/>
          <w:sz w:val="24"/>
          <w:szCs w:val="24"/>
          <w:highlight w:val="none"/>
          <w:lang w:val="en-US" w:eastAsia="zh-CN"/>
        </w:rPr>
      </w:pPr>
      <w:r>
        <w:rPr>
          <w:rFonts w:hint="eastAsia" w:ascii="仿宋_GB2312" w:hAnsi="仿宋_GB2312" w:eastAsia="仿宋_GB2312" w:cs="仿宋_GB2312"/>
          <w:color w:val="auto"/>
          <w:spacing w:val="-20"/>
          <w:sz w:val="24"/>
          <w:szCs w:val="24"/>
          <w:highlight w:val="none"/>
          <w:lang w:val="en-US" w:eastAsia="zh-CN"/>
        </w:rPr>
        <w:t xml:space="preserve">                                                  委托代理人（签字）：</w:t>
      </w:r>
    </w:p>
    <w:p>
      <w:pPr>
        <w:pStyle w:val="49"/>
        <w:spacing w:line="360" w:lineRule="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电 话：</w:t>
      </w:r>
    </w:p>
    <w:p>
      <w:pPr>
        <w:pStyle w:val="49"/>
        <w:spacing w:line="360" w:lineRule="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 xml:space="preserve">          </w:t>
      </w:r>
      <w:r>
        <w:rPr>
          <w:rFonts w:hint="eastAsia" w:ascii="仿宋_GB2312" w:hAnsi="仿宋_GB2312" w:eastAsia="仿宋_GB2312" w:cs="仿宋_GB2312"/>
          <w:color w:val="auto"/>
          <w:spacing w:val="-20"/>
          <w:sz w:val="24"/>
          <w:szCs w:val="24"/>
          <w:highlight w:val="none"/>
          <w:lang w:val="en-US" w:eastAsia="zh-CN"/>
        </w:rPr>
        <w:t xml:space="preserve">                                         </w:t>
      </w:r>
      <w:r>
        <w:rPr>
          <w:rFonts w:hint="eastAsia" w:ascii="仿宋_GB2312" w:hAnsi="仿宋_GB2312" w:eastAsia="仿宋_GB2312" w:cs="仿宋_GB2312"/>
          <w:color w:val="auto"/>
          <w:spacing w:val="-20"/>
          <w:sz w:val="24"/>
          <w:szCs w:val="24"/>
          <w:highlight w:val="none"/>
        </w:rPr>
        <w:t>传 真：</w:t>
      </w:r>
    </w:p>
    <w:p>
      <w:pPr>
        <w:pStyle w:val="49"/>
        <w:spacing w:line="360" w:lineRule="auto"/>
        <w:rPr>
          <w:rFonts w:hint="eastAsia"/>
          <w:b/>
          <w:color w:val="auto"/>
          <w:highlight w:val="none"/>
          <w:lang w:val="en-US" w:eastAsia="zh-CN"/>
        </w:rPr>
      </w:pPr>
      <w:r>
        <w:rPr>
          <w:rFonts w:hint="eastAsia" w:ascii="仿宋" w:hAnsi="仿宋" w:eastAsia="仿宋" w:cs="仿宋"/>
          <w:color w:val="auto"/>
          <w:spacing w:val="-20"/>
          <w:sz w:val="24"/>
          <w:szCs w:val="24"/>
          <w:highlight w:val="none"/>
        </w:rPr>
        <w:br w:type="page"/>
      </w:r>
      <w:bookmarkStart w:id="1142" w:name="_Toc31126"/>
      <w:r>
        <w:rPr>
          <w:rFonts w:hint="eastAsia" w:ascii="黑体" w:hAnsi="黑体" w:eastAsia="黑体" w:cs="黑体"/>
          <w:b/>
          <w:color w:val="auto"/>
          <w:sz w:val="30"/>
          <w:szCs w:val="30"/>
          <w:highlight w:val="none"/>
          <w:lang w:val="en-US" w:eastAsia="zh-CN"/>
        </w:rPr>
        <w:t>附件8：</w:t>
      </w:r>
      <w:bookmarkStart w:id="1143" w:name="_Toc7343_WPSOffice_Level2"/>
      <w:r>
        <w:rPr>
          <w:rFonts w:hint="eastAsia" w:ascii="黑体" w:hAnsi="黑体" w:eastAsia="黑体" w:cs="黑体"/>
          <w:b/>
          <w:color w:val="auto"/>
          <w:sz w:val="30"/>
          <w:szCs w:val="30"/>
          <w:highlight w:val="none"/>
          <w:lang w:val="en-US" w:eastAsia="zh-CN"/>
        </w:rPr>
        <w:t xml:space="preserve">             安全生产责任书</w:t>
      </w:r>
      <w:bookmarkEnd w:id="1142"/>
      <w:bookmarkEnd w:id="1143"/>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发包人（全称）：</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承包人（全称）：</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筑施工生产是安全危险性较高的行业。根据“企业负责、行业管理、国家监察、群众监督、劳动者遵章守纪”的国家安全生产管理体制和《中华人民共和国建筑法》第36条，建筑工程安全管理必须坚持“安全第一、预防为主”的方针，以及“管生产必须管安全”的规定，结合本工程建设实际需要，发包人将（项目）承包给。为确保工程顺利进行，保障公司财物完整和工人的人身安全，经和双方协商一致，达成如下协议：</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（1）签定责任书后，承包人应在发包人的管理和监督下立即组织人员展开工作，承包人项目经理应对所属人员负责，并对行业要求配备应有岗位人员。</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（2）承包人应在工程施工前职工进场后立即与职工签定安全协议，同时发包人、承包人共同对职工进行安全三级教育，并规范填写三级教育卡，同时配合发包人做好外来人口的管理、登记工作。</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在施工期间应配合公司进行安全管理工作，教育员工遵守岗位操作规程，自我防护能力，不违章作业，做到“三不伤害”。对存在安全隐患的地方或部位应及时整改，否则由公司进行停工整改及处罚。</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承包人项目负责人应熟悉安全生产法律、法规，同时在遵守企业和工地各项规章制度、安全生产纪律和不违章指挥的同时，组织各班组进行班前安全及技术安全交底工作。根据公司下达的生产任务、工程质量和进度、现场达标等工作按质按量完成。</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（5）及时总结、交流现场管理经验，不断提高完善自我，加强学习自己的业务水平和综合协调能力，大胆管理，努力塑造公司形象。</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承包人在施工中，要做到无伤亡事故发生，争创文明工地。承包人管理人员或职工发生工伤事故的，由承包人承担全部责任，并负责赔偿因此造成的财物损失。发包人不负责任何责任。凡工伤事故处理费用超过伍千元，一律上报公司安全部。</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（7）承包人对发包人提出的现实安全隐患要及时给予解决，一时不能解决的应说明情况和原因，以及能解决的具体时间和数量、金额。</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（8）本安全责任书根据项目实际发生内容和发包人安全生产制度进行调整，承包人须无条件接受对本项目安全责任的调整。</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本协议双方签字后即生效。</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发包人（公司）盖章：</w:t>
      </w:r>
    </w:p>
    <w:p>
      <w:pPr>
        <w:keepNext w:val="0"/>
        <w:keepLines w:val="0"/>
        <w:pageBreakBefore w:val="0"/>
        <w:widowControl w:val="0"/>
        <w:kinsoku/>
        <w:wordWrap/>
        <w:overflowPunct/>
        <w:topLinePunct w:val="0"/>
        <w:autoSpaceDE/>
        <w:autoSpaceDN/>
        <w:bidi w:val="0"/>
        <w:adjustRightInd/>
        <w:snapToGrid/>
        <w:spacing w:after="164" w:afterLines="50" w:line="360" w:lineRule="auto"/>
        <w:ind w:left="0" w:leftChars="0" w:right="0" w:rightChars="0"/>
        <w:jc w:val="both"/>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24"/>
          <w:szCs w:val="24"/>
          <w:highlight w:val="none"/>
        </w:rPr>
        <w:t>承包人（项目经理）签字：</w:t>
      </w:r>
    </w:p>
    <w:p>
      <w:pPr>
        <w:keepNext w:val="0"/>
        <w:keepLines w:val="0"/>
        <w:pageBreakBefore w:val="0"/>
        <w:widowControl w:val="0"/>
        <w:kinsoku/>
        <w:wordWrap/>
        <w:overflowPunct/>
        <w:topLinePunct w:val="0"/>
        <w:autoSpaceDE/>
        <w:autoSpaceDN/>
        <w:bidi w:val="0"/>
        <w:adjustRightInd/>
        <w:snapToGrid/>
        <w:spacing w:beforeLines="50" w:after="164" w:afterLines="50" w:line="360" w:lineRule="auto"/>
        <w:ind w:right="0" w:rightChars="0" w:firstLine="6720" w:firstLineChars="2800"/>
        <w:jc w:val="both"/>
        <w:textAlignment w:val="auto"/>
        <w:rPr>
          <w:rFonts w:hint="eastAsia" w:ascii="仿宋_GB2312" w:hAnsi="仿宋_GB2312" w:eastAsia="仿宋_GB2312" w:cs="仿宋_GB2312"/>
          <w:color w:val="auto"/>
          <w:sz w:val="24"/>
          <w:szCs w:val="24"/>
          <w:highlight w:val="none"/>
        </w:rPr>
      </w:pPr>
      <w:bookmarkStart w:id="1144" w:name="_Toc7865"/>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bookmarkEnd w:id="1144"/>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r>
        <w:rPr>
          <w:color w:val="auto"/>
          <w:highlight w:val="none"/>
        </w:rPr>
        <w:br w:type="page"/>
      </w:r>
    </w:p>
    <w:p>
      <w:pPr>
        <w:pStyle w:val="3"/>
        <w:bidi w:val="0"/>
        <w:jc w:val="left"/>
        <w:rPr>
          <w:rFonts w:hint="eastAsia" w:ascii="黑体" w:hAnsi="黑体" w:eastAsia="黑体" w:cs="黑体"/>
          <w:b/>
          <w:color w:val="auto"/>
          <w:sz w:val="30"/>
          <w:szCs w:val="30"/>
          <w:highlight w:val="none"/>
          <w:lang w:val="en-US" w:eastAsia="zh-CN"/>
        </w:rPr>
      </w:pPr>
      <w:bookmarkStart w:id="1145" w:name="_Toc15980"/>
      <w:bookmarkStart w:id="1146" w:name="_Toc31107"/>
      <w:r>
        <w:rPr>
          <w:rFonts w:hint="eastAsia" w:ascii="黑体" w:hAnsi="黑体" w:eastAsia="黑体" w:cs="黑体"/>
          <w:b/>
          <w:color w:val="auto"/>
          <w:sz w:val="30"/>
          <w:szCs w:val="30"/>
          <w:highlight w:val="none"/>
          <w:lang w:val="en-US" w:eastAsia="zh-CN"/>
        </w:rPr>
        <w:t>附件9         农民工工资保证金缴纳承诺书</w:t>
      </w:r>
      <w:bookmarkEnd w:id="1145"/>
      <w:bookmarkEnd w:id="1146"/>
    </w:p>
    <w:p>
      <w:pPr>
        <w:wordWrap/>
        <w:topLinePunct w:val="0"/>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施工单位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现对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项目(施工中标通知书中项目名称)在建设过程中作如下承诺:</w:t>
      </w:r>
    </w:p>
    <w:p>
      <w:pPr>
        <w:wordWrap/>
        <w:topLinePunct w:val="0"/>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承诺缴纳农民工工资保证金，并且在后续的施工过程中，绝不拖欠农民工工资。</w:t>
      </w:r>
    </w:p>
    <w:p>
      <w:pPr>
        <w:wordWrap/>
        <w:topLinePunct w:val="0"/>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我在此所作的承诺真实有效。如不履行承诺，本企业愿接受住房城乡建设主管部门及其他部门依据有关法律法规等给子的行政处罚及处理。</w:t>
      </w:r>
    </w:p>
    <w:p>
      <w:pPr>
        <w:wordWrap/>
        <w:topLinePunct w:val="0"/>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wordWrap/>
        <w:topLinePunct w:val="0"/>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施工单位（公章）：</w:t>
      </w:r>
    </w:p>
    <w:p>
      <w:pPr>
        <w:wordWrap/>
        <w:topLinePunct w:val="0"/>
        <w:ind w:firstLine="6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日期：   年   月    日</w:t>
      </w:r>
    </w:p>
    <w:p>
      <w:pPr>
        <w:pStyle w:val="19"/>
        <w:ind w:firstLine="480"/>
        <w:rPr>
          <w:rFonts w:hint="eastAsia" w:ascii="仿宋_GB2312" w:hAnsi="仿宋_GB2312" w:eastAsia="仿宋_GB2312" w:cs="仿宋_GB2312"/>
          <w:color w:val="auto"/>
          <w:sz w:val="24"/>
          <w:szCs w:val="24"/>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19"/>
        <w:ind w:firstLine="480"/>
        <w:rPr>
          <w:color w:val="auto"/>
          <w:highlight w:val="none"/>
        </w:rPr>
      </w:pPr>
    </w:p>
    <w:p>
      <w:pPr>
        <w:pStyle w:val="3"/>
        <w:bidi w:val="0"/>
        <w:jc w:val="left"/>
        <w:outlineLvl w:val="9"/>
        <w:rPr>
          <w:rFonts w:hint="eastAsia"/>
          <w:b/>
          <w:color w:val="auto"/>
          <w:highlight w:val="none"/>
          <w:lang w:val="en-US" w:eastAsia="zh-CN"/>
        </w:rPr>
      </w:pPr>
      <w:r>
        <w:rPr>
          <w:rFonts w:hint="eastAsia"/>
          <w:b/>
          <w:color w:val="auto"/>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b/>
          <w:color w:val="auto"/>
          <w:highlight w:val="none"/>
        </w:rPr>
      </w:pPr>
      <w:bookmarkStart w:id="1147" w:name="_Toc12975"/>
      <w:bookmarkStart w:id="1148" w:name="_Toc29379"/>
      <w:r>
        <w:rPr>
          <w:rFonts w:hint="eastAsia" w:ascii="黑体" w:hAnsi="黑体" w:eastAsia="黑体" w:cs="黑体"/>
          <w:b/>
          <w:color w:val="auto"/>
          <w:sz w:val="30"/>
          <w:szCs w:val="30"/>
          <w:highlight w:val="none"/>
          <w:lang w:val="en-US" w:eastAsia="zh-CN"/>
        </w:rPr>
        <w:t xml:space="preserve">附件10：    </w:t>
      </w:r>
      <w:r>
        <w:rPr>
          <w:rFonts w:hint="eastAsia" w:ascii="黑体" w:hAnsi="黑体" w:eastAsia="黑体" w:cs="黑体"/>
          <w:b/>
          <w:color w:val="auto"/>
          <w:sz w:val="30"/>
          <w:szCs w:val="30"/>
          <w:highlight w:val="none"/>
        </w:rPr>
        <w:t>农民工工资款和其他工程款分账管理协议</w:t>
      </w:r>
      <w:bookmarkEnd w:id="1147"/>
      <w:bookmarkEnd w:id="1148"/>
    </w:p>
    <w:p>
      <w:pPr>
        <w:keepNext w:val="0"/>
        <w:keepLines w:val="0"/>
        <w:pageBreakBefore w:val="0"/>
        <w:widowControl w:val="0"/>
        <w:kinsoku/>
        <w:wordWrap/>
        <w:overflowPunct/>
        <w:topLinePunct w:val="0"/>
        <w:bidi w:val="0"/>
        <w:snapToGrid/>
        <w:spacing w:line="360" w:lineRule="auto"/>
        <w:ind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（发包人，以下简称甲方）</w:t>
      </w:r>
    </w:p>
    <w:p>
      <w:pPr>
        <w:keepNext w:val="0"/>
        <w:keepLines w:val="0"/>
        <w:pageBreakBefore w:val="0"/>
        <w:widowControl w:val="0"/>
        <w:kinsoku/>
        <w:wordWrap/>
        <w:overflowPunct/>
        <w:topLinePunct w:val="0"/>
        <w:bidi w:val="0"/>
        <w:snapToGrid/>
        <w:spacing w:line="360" w:lineRule="auto"/>
        <w:ind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（联合体牵头人）</w:t>
      </w:r>
      <w:r>
        <w:rPr>
          <w:rFonts w:hint="eastAsia" w:ascii="仿宋_GB2312" w:hAnsi="仿宋_GB2312" w:eastAsia="仿宋_GB2312" w:cs="仿宋_GB2312"/>
          <w:color w:val="auto"/>
          <w:sz w:val="24"/>
          <w:szCs w:val="24"/>
          <w:highlight w:val="none"/>
        </w:rPr>
        <w:t>（承包人，以下简称乙方）</w:t>
      </w:r>
    </w:p>
    <w:p>
      <w:pPr>
        <w:keepNext w:val="0"/>
        <w:keepLines w:val="0"/>
        <w:pageBreakBefore w:val="0"/>
        <w:widowControl w:val="0"/>
        <w:kinsoku/>
        <w:wordWrap/>
        <w:overflowPunct/>
        <w:topLinePunct w:val="0"/>
        <w:bidi w:val="0"/>
        <w:snapToGrid/>
        <w:spacing w:line="360" w:lineRule="auto"/>
        <w:ind w:right="0" w:rightChars="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工程名称：</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为认真贯彻落实《保障农民工工资支付条例》（国令724号），进一步做好保障农民工工资支付工作，确保农民工按时足额拿到劳动报酬，经甲、乙双方协商一致，达成如下协议：</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一、乙方在</w:t>
      </w:r>
      <w:r>
        <w:rPr>
          <w:rFonts w:hint="eastAsia" w:ascii="仿宋_GB2312" w:hAnsi="仿宋_GB2312" w:eastAsia="仿宋_GB2312" w:cs="仿宋_GB2312"/>
          <w:color w:val="auto"/>
          <w:sz w:val="24"/>
          <w:szCs w:val="24"/>
          <w:highlight w:val="none"/>
          <w:u w:val="single"/>
        </w:rPr>
        <w:t>______________</w:t>
      </w:r>
      <w:r>
        <w:rPr>
          <w:rFonts w:hint="eastAsia" w:ascii="仿宋_GB2312" w:hAnsi="仿宋_GB2312" w:eastAsia="仿宋_GB2312" w:cs="仿宋_GB2312"/>
          <w:color w:val="auto"/>
          <w:sz w:val="24"/>
          <w:szCs w:val="24"/>
          <w:highlight w:val="none"/>
        </w:rPr>
        <w:t>银行开设农民工工资专用账户，账户号:</w:t>
      </w:r>
      <w:r>
        <w:rPr>
          <w:rFonts w:hint="eastAsia" w:ascii="仿宋_GB2312" w:hAnsi="仿宋_GB2312" w:eastAsia="仿宋_GB2312" w:cs="仿宋_GB2312"/>
          <w:color w:val="auto"/>
          <w:sz w:val="24"/>
          <w:szCs w:val="24"/>
          <w:highlight w:val="none"/>
          <w:u w:val="single"/>
        </w:rPr>
        <w:t>____________</w:t>
      </w:r>
      <w:r>
        <w:rPr>
          <w:rFonts w:hint="eastAsia" w:ascii="仿宋_GB2312" w:hAnsi="仿宋_GB2312" w:eastAsia="仿宋_GB2312" w:cs="仿宋_GB2312"/>
          <w:color w:val="auto"/>
          <w:sz w:val="24"/>
          <w:szCs w:val="24"/>
          <w:highlight w:val="none"/>
        </w:rPr>
        <w:t>。该账户专项用于支付该工程建设项目农民工工资。</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二、该账户中的款项用于发放农民工工资，专款专用，乙方不得以任何形式、任何方法将该款项用做其他用途。如乙方违反本条约定，挪用农民工工资款的，甲方有权从乙方剩余工程款中直接向农民工支付工资，并要求乙方向甲方支付未付工资款总额30%的违约金。</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三、乙方应在每月13日前根据考勤记录编制上月《农民工工资支付表》（见附件1），将农民工工资支付表 报监理单位进行审核，再由甲方进行审核，最终由甲方财务部门进行复核，甲方财务部门复核无误后将农民工工资打入乙方农民工工资专用账户。</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四、乙方应当在甲方财务部门把工资打入专户后的1个工作日将本单位农民工工资支付表交给专户银行，由银行打卡形式发放到民工个人银行账户。</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五、甲方按施工合同拨付工资款时，应扣除已拨付的农民工工资性工程款，待乙方按时足额支付农民工工资后，再拨付剩余工程进度款。</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六、其他</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（一）本协议在履行中发生争议，双方自愿向工程所在人民调解委员会申请调解，任何一方也可直接向人民法院诉讼解决。</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本协议由甲乙双方协商订立，双方签字盖章后生效，双方必须严格履行，共同守信。</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（三）本协议一式</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份，甲乙双方各执</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份。</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甲方：（公章）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乙方：（公章）</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360" w:lineRule="auto"/>
        <w:ind w:left="799" w:leftChars="266" w:right="0" w:rightChars="0" w:hanging="240" w:hangingChars="1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法定代表人：（签字）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法定代表人：（签字）</w:t>
      </w:r>
    </w:p>
    <w:p>
      <w:pPr>
        <w:keepNext w:val="0"/>
        <w:keepLines w:val="0"/>
        <w:pageBreakBefore w:val="0"/>
        <w:widowControl w:val="0"/>
        <w:kinsoku/>
        <w:wordWrap/>
        <w:overflowPunct/>
        <w:topLinePunct w:val="0"/>
        <w:bidi w:val="0"/>
        <w:snapToGrid/>
        <w:spacing w:line="360" w:lineRule="auto"/>
        <w:ind w:right="0" w:rightChars="0" w:firstLine="720" w:firstLineChars="300"/>
        <w:jc w:val="left"/>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年  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日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Style w:val="3"/>
        <w:bidi w:val="0"/>
        <w:jc w:val="left"/>
        <w:rPr>
          <w:rFonts w:hint="eastAsia"/>
          <w:color w:val="auto"/>
          <w:highlight w:val="none"/>
        </w:rPr>
      </w:pPr>
      <w:bookmarkStart w:id="1149" w:name="_Toc13603"/>
      <w:bookmarkStart w:id="1150" w:name="_Toc14350"/>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11</w:t>
      </w:r>
      <w:r>
        <w:rPr>
          <w:rFonts w:hint="eastAsia" w:ascii="黑体" w:hAnsi="黑体" w:eastAsia="黑体" w:cs="黑体"/>
          <w:color w:val="auto"/>
          <w:sz w:val="30"/>
          <w:szCs w:val="30"/>
          <w:highlight w:val="none"/>
        </w:rPr>
        <w:t>：          环境保护和水土保持合同</w:t>
      </w:r>
      <w:bookmarkEnd w:id="1149"/>
      <w:bookmarkEnd w:id="1150"/>
    </w:p>
    <w:p>
      <w:pPr>
        <w:keepNext w:val="0"/>
        <w:keepLines w:val="0"/>
        <w:pageBreakBefore w:val="0"/>
        <w:widowControl w:val="0"/>
        <w:kinsoku/>
        <w:wordWrap w:val="0"/>
        <w:overflowPunct/>
        <w:topLinePunct w:val="0"/>
        <w:autoSpaceDE/>
        <w:autoSpaceDN/>
        <w:bidi w:val="0"/>
        <w:adjustRightInd/>
        <w:snapToGrid/>
        <w:spacing w:line="360" w:lineRule="auto"/>
        <w:ind w:left="1440" w:leftChars="0" w:right="0" w:rightChars="0" w:hanging="1440" w:hangingChars="600"/>
        <w:jc w:val="both"/>
        <w:textAlignment w:val="auto"/>
        <w:outlineLvl w:val="9"/>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为减少工程施工对环境的影响，尽可能地恢复环境自然植被面，本项目发包人</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（以下简称“甲方”）与承包人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（联合体牵头人）</w:t>
      </w:r>
      <w:r>
        <w:rPr>
          <w:rFonts w:hint="eastAsia" w:ascii="仿宋_GB2312" w:hAnsi="仿宋_GB2312" w:eastAsia="仿宋_GB2312" w:cs="仿宋_GB2312"/>
          <w:color w:val="auto"/>
          <w:sz w:val="24"/>
          <w:szCs w:val="24"/>
          <w:highlight w:val="none"/>
        </w:rPr>
        <w:t>（以下简称“乙方”）特此签订环境保护和水土保持合同。</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一、甲方职责</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严格遵守国家和地方的有关环境保护和水土保持的法律法规。</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按照“预防为主，保护优先”和“管生产必须管环境”的原则开展环境保护和水</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土保持管理工作，做到生产与环境保护和水土保持工作同时计划、实施、检查、总结和评比。</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重要的环境保护和水土保持设施必须坚持与主体工程“三同时”的原则，即：同时设计、审批，同时验收、投入使用。</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组织对乙方的施工现场和施工驻地进行环境保护和水土保持工作的检查，监督乙方及时处理各种环境污染、环境破坏的问题。</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凡发现乙方在施工现场和施工驻地有环境污染和环境破坏的行为，甲方应责令乙方及时整改，若情节严重，甲方应及时上报国家有关环境保护和水土保持机构。</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二、乙方职责</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1．严格遵守国家和地方的有关环境保护和水土保持的法律法规并认真执行。</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2．坚持“预防为主，保护优先”、“管生产必须管环境”及“谁破坏谁恢复”的原</w:t>
      </w:r>
      <w:r>
        <w:rPr>
          <w:rFonts w:hint="eastAsia" w:ascii="仿宋_GB2312" w:hAnsi="仿宋_GB2312" w:eastAsia="仿宋_GB2312" w:cs="仿宋_GB2312"/>
          <w:color w:val="auto"/>
          <w:sz w:val="24"/>
          <w:szCs w:val="24"/>
          <w:highlight w:val="none"/>
        </w:rPr>
        <w:t>则，加强环境保护和水土保持的宣传教育，增强全员环保意识，建立健全环境保护和水土保持的管理机构和管理制度，配备专职及兼职的环保检查人员，有组织有领导地开展环境保护和水土保持工作。各级领导、工程技术人员、生产管理人员和具体操作人员（包括临时雇请的雇佣人员），必须熟悉和遵守本合同有关环境保护和水土保持的各项规定，做到生产与环境保护和水土保持工作同时计划、实施、检查、总结和评比。</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建立健全环境保护和水土保持责任制。从项目经理到生产工人（包括临时雇请的雇佣人员）的环境保护和水土保持管理系统必须做到纵向到底一环不漏；各职能部门、人员的环境保护和水土保持责任制做到横向到边，人人有责。项目经理是环境保护和水土保持的第一责任人。现场设置的环境保护和水土保持机构，应配备专职环保监督员，专职负责本合同工程环境保护和水土保持的宣传、检查工作，有权发布指令，防止污染和破坏环境的事件发生。</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三、违约责任</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1、如因乙方不遵守国家和地方的有关环境保护和水土保持的法律法规，造成环境污染或破坏，甲方有权责令乙方限期进行整改，并视其情节要求乙方支付违约金或终止合同：</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2、情节轻微的，甲方可要求乙方支付1-10万元违约金；</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3、累计三次因环境问题被有关方面通报批评，或情节严重，甲方可以终止乙方的工程承包合同。</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24"/>
          <w:szCs w:val="24"/>
          <w:highlight w:val="none"/>
          <w:lang w:val="en-US" w:eastAsia="zh-CN"/>
        </w:rPr>
        <w:t>本合同正本一式8份，合同双方个执4份。由双方法定代表人或其授权的代理人签署与加盖公章后生效，全部工程竣工验收后失效。</w:t>
      </w:r>
    </w:p>
    <w:p>
      <w:pPr>
        <w:keepNext w:val="0"/>
        <w:keepLines w:val="0"/>
        <w:pageBreakBefore w:val="0"/>
        <w:widowControl w:val="0"/>
        <w:kinsoku/>
        <w:wordWrap/>
        <w:overflowPunct/>
        <w:topLinePunct w:val="0"/>
        <w:bidi w:val="0"/>
        <w:snapToGrid/>
        <w:spacing w:line="360" w:lineRule="auto"/>
        <w:ind w:left="5280" w:leftChars="0" w:right="0" w:rightChars="0" w:hanging="5280" w:hangingChars="2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乙方：</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auto"/>
        <w:ind w:right="0" w:rightChars="0" w:firstLine="2880" w:firstLineChars="120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right="0" w:rightChars="0" w:firstLine="720" w:firstLineChars="3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（盖章）</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single"/>
        </w:rPr>
        <w:t>（盖章）</w:t>
      </w:r>
    </w:p>
    <w:p>
      <w:pPr>
        <w:keepNext w:val="0"/>
        <w:keepLines w:val="0"/>
        <w:pageBreakBefore w:val="0"/>
        <w:widowControl w:val="0"/>
        <w:kinsoku/>
        <w:wordWrap/>
        <w:overflowPunct/>
        <w:topLinePunct w:val="0"/>
        <w:bidi w:val="0"/>
        <w:adjustRightInd/>
        <w:snapToGrid/>
        <w:spacing w:line="360" w:lineRule="auto"/>
        <w:ind w:left="7920" w:right="0" w:rightChars="0" w:hanging="7920" w:hangingChars="33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法定代表人或其授权的代理人</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法定代表人或其授权</w:t>
      </w:r>
      <w:r>
        <w:rPr>
          <w:rFonts w:hint="eastAsia" w:ascii="仿宋_GB2312" w:hAnsi="仿宋_GB2312" w:eastAsia="仿宋_GB2312" w:cs="仿宋_GB2312"/>
          <w:color w:val="auto"/>
          <w:sz w:val="24"/>
          <w:szCs w:val="24"/>
          <w:highlight w:val="none"/>
          <w:lang w:val="en-US" w:eastAsia="zh-CN"/>
        </w:rPr>
        <w:t>代理人</w:t>
      </w:r>
    </w:p>
    <w:p>
      <w:pPr>
        <w:keepNext w:val="0"/>
        <w:keepLines w:val="0"/>
        <w:pageBreakBefore w:val="0"/>
        <w:widowControl w:val="0"/>
        <w:kinsoku/>
        <w:wordWrap/>
        <w:overflowPunct/>
        <w:topLinePunct w:val="0"/>
        <w:bidi w:val="0"/>
        <w:adjustRightInd/>
        <w:snapToGrid/>
        <w:spacing w:line="360" w:lineRule="auto"/>
        <w:ind w:left="7920" w:right="0" w:rightChars="0" w:hanging="7920" w:hangingChars="33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电话：</w:t>
      </w:r>
    </w:p>
    <w:p>
      <w:pPr>
        <w:pStyle w:val="31"/>
        <w:keepNext w:val="0"/>
        <w:keepLines w:val="0"/>
        <w:pageBreakBefore w:val="0"/>
        <w:kinsoku/>
        <w:overflowPunct/>
        <w:bidi w:val="0"/>
        <w:spacing w:line="360" w:lineRule="auto"/>
        <w:ind w:right="0" w:rightChars="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p>
      <w:pPr>
        <w:pStyle w:val="19"/>
        <w:ind w:left="0" w:leftChars="0" w:firstLine="0" w:firstLineChars="0"/>
        <w:rPr>
          <w:rFonts w:hint="eastAsia" w:ascii="宋体" w:hAnsi="宋体" w:cs="宋体"/>
          <w:color w:val="auto"/>
          <w:highlight w:val="none"/>
        </w:rPr>
        <w:sectPr>
          <w:pgSz w:w="11907" w:h="16840"/>
          <w:pgMar w:top="1304" w:right="1474" w:bottom="1304" w:left="1474" w:header="737" w:footer="737" w:gutter="0"/>
          <w:cols w:space="720" w:num="1"/>
          <w:docGrid w:linePitch="326" w:charSpace="0"/>
        </w:sectPr>
      </w:pPr>
    </w:p>
    <w:p>
      <w:pPr>
        <w:pStyle w:val="19"/>
        <w:rPr>
          <w:rFonts w:hint="eastAsia" w:ascii="宋体" w:hAnsi="宋体" w:cs="宋体"/>
          <w:color w:val="auto"/>
          <w:highlight w:val="none"/>
        </w:rPr>
      </w:pPr>
    </w:p>
    <w:p>
      <w:pPr>
        <w:pStyle w:val="3"/>
        <w:jc w:val="center"/>
        <w:rPr>
          <w:rFonts w:hint="eastAsia" w:ascii="宋体" w:hAnsi="宋体" w:cs="宋体"/>
          <w:b/>
          <w:color w:val="auto"/>
          <w:sz w:val="32"/>
          <w:szCs w:val="32"/>
          <w:highlight w:val="none"/>
        </w:rPr>
      </w:pPr>
      <w:bookmarkStart w:id="1151" w:name="_Toc20422"/>
      <w:bookmarkStart w:id="1152" w:name="_Toc17532"/>
      <w:r>
        <w:rPr>
          <w:rFonts w:hint="eastAsia" w:ascii="宋体" w:hAnsi="宋体" w:cs="宋体"/>
          <w:color w:val="auto"/>
          <w:highlight w:val="none"/>
        </w:rPr>
        <w:t>第五章  发包人</w:t>
      </w:r>
      <w:bookmarkEnd w:id="335"/>
      <w:r>
        <w:rPr>
          <w:rFonts w:hint="eastAsia" w:ascii="宋体" w:hAnsi="宋体" w:cs="宋体"/>
          <w:color w:val="auto"/>
          <w:sz w:val="48"/>
          <w:szCs w:val="48"/>
          <w:highlight w:val="none"/>
        </w:rPr>
        <w:t>要求</w:t>
      </w:r>
      <w:bookmarkEnd w:id="1151"/>
      <w:bookmarkEnd w:id="1152"/>
    </w:p>
    <w:p>
      <w:pPr>
        <w:pStyle w:val="58"/>
        <w:spacing w:before="54"/>
        <w:ind w:left="619" w:right="883"/>
        <w:jc w:val="center"/>
        <w:rPr>
          <w:rFonts w:hint="eastAsia"/>
          <w:color w:val="auto"/>
          <w:highlight w:val="none"/>
        </w:rPr>
      </w:pPr>
      <w:r>
        <w:rPr>
          <w:rFonts w:hint="eastAsia"/>
          <w:color w:val="auto"/>
          <w:highlight w:val="none"/>
          <w:lang w:val="en-US" w:eastAsia="zh-CN"/>
        </w:rPr>
        <w:t>工程</w:t>
      </w:r>
      <w:r>
        <w:rPr>
          <w:rFonts w:hint="eastAsia"/>
          <w:color w:val="auto"/>
          <w:highlight w:val="none"/>
        </w:rPr>
        <w:t>总承包要求</w:t>
      </w:r>
    </w:p>
    <w:p>
      <w:pPr>
        <w:numPr>
          <w:ilvl w:val="0"/>
          <w:numId w:val="12"/>
        </w:numPr>
        <w:spacing w:line="36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项目概况</w:t>
      </w:r>
    </w:p>
    <w:p>
      <w:pPr>
        <w:spacing w:line="360" w:lineRule="auto"/>
        <w:ind w:firstLine="480" w:firstLineChars="200"/>
        <w:rPr>
          <w:rFonts w:hint="eastAsia" w:ascii="宋体" w:hAnsi="宋体" w:cs="宋体"/>
          <w:b/>
          <w:bCs/>
          <w:color w:val="auto"/>
          <w:kern w:val="0"/>
          <w:sz w:val="32"/>
          <w:szCs w:val="32"/>
          <w:highlight w:val="none"/>
        </w:rPr>
      </w:pPr>
      <w:r>
        <w:rPr>
          <w:rFonts w:hint="eastAsia" w:ascii="宋体" w:hAnsi="宋体" w:cs="宋体"/>
          <w:color w:val="auto"/>
          <w:sz w:val="24"/>
          <w:highlight w:val="none"/>
        </w:rPr>
        <w:t>具体详见招标公告。</w:t>
      </w:r>
    </w:p>
    <w:p>
      <w:pPr>
        <w:numPr>
          <w:ilvl w:val="0"/>
          <w:numId w:val="12"/>
        </w:numPr>
        <w:spacing w:line="36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技术要求</w:t>
      </w:r>
      <w:bookmarkStart w:id="1153" w:name="_Toc265135135"/>
      <w:bookmarkStart w:id="1154" w:name="_Toc101113927"/>
      <w:bookmarkStart w:id="1155" w:name="_Toc32054"/>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以下为参考条款，但不限于：</w:t>
      </w:r>
    </w:p>
    <w:p>
      <w:pPr>
        <w:widowControl/>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一、工程技术规范</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本工程在施工及竣工验收中应严格遵守国家、部颁的现行相关规程规范。</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本工程应严格按照现行施工验收规范进行施工。</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注：若国家颁布最新相关技术规范须以最新规范为准。</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除上述技术规范外，若有遗缺，按国家或行业现行的有关规定执行，国家和行业不全的按本地有关部门规定和标准执行。</w:t>
      </w:r>
    </w:p>
    <w:p>
      <w:pPr>
        <w:widowControl/>
        <w:spacing w:line="360"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二、工程技术要求</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（一）技术要求：</w:t>
      </w:r>
      <w:r>
        <w:rPr>
          <w:rFonts w:hint="eastAsia" w:ascii="宋体" w:hAnsi="宋体" w:cs="宋体"/>
          <w:color w:val="auto"/>
          <w:kern w:val="0"/>
          <w:szCs w:val="21"/>
          <w:highlight w:val="none"/>
        </w:rPr>
        <w:t>按国家、地方、行业现行规范、规程进行施工及验收。</w:t>
      </w:r>
    </w:p>
    <w:p>
      <w:pPr>
        <w:widowControl/>
        <w:spacing w:line="360" w:lineRule="auto"/>
        <w:ind w:firstLine="48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（二）质量要求：</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（1）设计要求的质量标准：设计成果应符合国家、行业及地方现行相关法律法规、规范及技术标准。并确保施工图设计通过审查，以及提供相应的设计服务及后期服务工作。</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（2）施工要求的质量标准：满足设计要求，达到《建设工程施工质量验收统一标准》及国家颁布的施工验收规范和质量检验标准，全部工程达到合格标准。</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（3）设备及材料采购部分质量标准：符合国家、行业及地方现行相关法律法规、规范及技术标准。</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承包人必须严格按施工图纸及技术说明进行施工，未经发包人、设计单位同意不得修改；如确因图纸设计有误或施工原因需修改时，需经过发包人和设计单位、监理单位同意，由设计单位发变更通知单方可施工。</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隐蔽工程必须经发包人、监理单位和设计单位共同验收合格后方可进行下一步工序的施工。</w:t>
      </w:r>
    </w:p>
    <w:p>
      <w:pPr>
        <w:widowControl/>
        <w:spacing w:line="360" w:lineRule="auto"/>
        <w:ind w:firstLine="309" w:firstLineChars="147"/>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（三）质量标准</w:t>
      </w:r>
      <w:r>
        <w:rPr>
          <w:rFonts w:hint="eastAsia" w:ascii="宋体" w:hAnsi="宋体" w:cs="宋体"/>
          <w:color w:val="auto"/>
          <w:kern w:val="0"/>
          <w:szCs w:val="21"/>
          <w:highlight w:val="none"/>
        </w:rPr>
        <w:t>：</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1、工程质量及工程验收标准，按建设部现行的有关施工规范和工程质量检验评定标准进行施工，确保所供材料设备质量和性能能满足设计要求，达到合格工程标准。承包人如有违反操作规程及粗制滥造现象，发包人有权加以制止，直至下令停止施工，其经济损失全部由承包人负责，工期不得顺延。</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2、质量保修：</w:t>
      </w:r>
      <w:r>
        <w:rPr>
          <w:rFonts w:hint="eastAsia" w:ascii="宋体" w:hAnsi="宋体" w:cs="宋体"/>
          <w:color w:val="auto"/>
          <w:szCs w:val="21"/>
          <w:highlight w:val="none"/>
        </w:rPr>
        <w:t>按建设部【2000】80号令</w:t>
      </w:r>
      <w:r>
        <w:rPr>
          <w:rFonts w:hint="eastAsia" w:ascii="宋体" w:hAnsi="宋体" w:cs="宋体"/>
          <w:color w:val="auto"/>
          <w:kern w:val="0"/>
          <w:szCs w:val="21"/>
          <w:highlight w:val="none"/>
        </w:rPr>
        <w:t>相关规定执行，承包人在设备材料质保期内提供免费维修保养。若承包人为外地企业，在工程保修期内，经与招标人协商后，承包人必须派维修人员长驻现场，保证无偿修理完好，否则，由发包人安排维修，维修费在保修预留金中扣除。</w:t>
      </w:r>
    </w:p>
    <w:p>
      <w:pPr>
        <w:widowControl/>
        <w:spacing w:line="360"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（四）技术资料：</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承包人在工程竣工交付使用后30天内按国家有关规定向发包人提交四套竣工资料和完整的结算资料，费用均包括在投标报价之内。向业主方提供维护人员培训服务，完工后提供一年的免费维修保养。</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竣工资料包括（不限于）：</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（1）开工报告；</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（2）隐蔽工程</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（3）材料出厂合格证；</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（4）主要材料实验报告；</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（5）竣工报告；</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（6）竣工验收单；</w:t>
      </w:r>
    </w:p>
    <w:p>
      <w:pPr>
        <w:widowControl/>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（7）竣工图；</w:t>
      </w:r>
    </w:p>
    <w:p>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其他湖南省及岳阳市规定及业主要求提供的资料。</w:t>
      </w:r>
    </w:p>
    <w:bookmarkEnd w:id="1153"/>
    <w:bookmarkEnd w:id="1154"/>
    <w:bookmarkEnd w:id="1155"/>
    <w:p>
      <w:pPr>
        <w:pStyle w:val="3"/>
        <w:outlineLvl w:val="9"/>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19"/>
        <w:rPr>
          <w:rFonts w:hint="eastAsia" w:ascii="宋体" w:hAnsi="宋体" w:cs="宋体"/>
          <w:color w:val="auto"/>
          <w:highlight w:val="none"/>
        </w:rPr>
      </w:pPr>
    </w:p>
    <w:p>
      <w:pPr>
        <w:pStyle w:val="3"/>
        <w:numPr>
          <w:ilvl w:val="0"/>
          <w:numId w:val="0"/>
        </w:numPr>
        <w:spacing w:line="360" w:lineRule="auto"/>
        <w:jc w:val="both"/>
        <w:outlineLvl w:val="9"/>
        <w:rPr>
          <w:rFonts w:hint="eastAsia" w:ascii="宋体" w:hAnsi="宋体" w:cs="宋体"/>
          <w:color w:val="auto"/>
          <w:sz w:val="48"/>
          <w:szCs w:val="48"/>
          <w:highlight w:val="none"/>
        </w:rPr>
      </w:pPr>
      <w:bookmarkStart w:id="1156" w:name="_Toc12714"/>
      <w:bookmarkStart w:id="1157" w:name="_Toc153"/>
    </w:p>
    <w:p>
      <w:pPr>
        <w:pStyle w:val="3"/>
        <w:numPr>
          <w:ilvl w:val="0"/>
          <w:numId w:val="0"/>
        </w:numPr>
        <w:spacing w:line="360" w:lineRule="auto"/>
        <w:jc w:val="both"/>
        <w:outlineLvl w:val="9"/>
        <w:rPr>
          <w:rFonts w:hint="eastAsia" w:ascii="宋体" w:hAnsi="宋体" w:cs="宋体"/>
          <w:color w:val="auto"/>
          <w:sz w:val="48"/>
          <w:szCs w:val="48"/>
          <w:highlight w:val="none"/>
        </w:rPr>
      </w:pPr>
    </w:p>
    <w:p>
      <w:pPr>
        <w:pStyle w:val="3"/>
        <w:numPr>
          <w:ilvl w:val="0"/>
          <w:numId w:val="0"/>
        </w:numPr>
        <w:spacing w:line="360" w:lineRule="auto"/>
        <w:jc w:val="center"/>
        <w:rPr>
          <w:rFonts w:hint="eastAsia" w:ascii="宋体" w:hAnsi="宋体" w:cs="宋体"/>
          <w:color w:val="auto"/>
          <w:sz w:val="48"/>
          <w:szCs w:val="48"/>
          <w:highlight w:val="none"/>
        </w:rPr>
      </w:pPr>
      <w:bookmarkStart w:id="1158" w:name="_Toc31747"/>
      <w:r>
        <w:rPr>
          <w:rFonts w:hint="eastAsia" w:ascii="宋体" w:hAnsi="宋体" w:cs="宋体"/>
          <w:color w:val="auto"/>
          <w:sz w:val="48"/>
          <w:szCs w:val="48"/>
          <w:highlight w:val="none"/>
          <w:lang w:val="en-US" w:eastAsia="zh-CN"/>
        </w:rPr>
        <w:t xml:space="preserve">第六章、 </w:t>
      </w:r>
      <w:r>
        <w:rPr>
          <w:rFonts w:hint="eastAsia" w:ascii="宋体" w:hAnsi="宋体" w:cs="宋体"/>
          <w:color w:val="auto"/>
          <w:sz w:val="48"/>
          <w:szCs w:val="48"/>
          <w:highlight w:val="none"/>
        </w:rPr>
        <w:t>发包人提供的资料</w:t>
      </w:r>
      <w:bookmarkEnd w:id="1156"/>
      <w:bookmarkEnd w:id="1157"/>
      <w:bookmarkEnd w:id="1158"/>
    </w:p>
    <w:p>
      <w:pPr>
        <w:spacing w:line="400" w:lineRule="exact"/>
        <w:jc w:val="center"/>
        <w:rPr>
          <w:rFonts w:hint="eastAsia" w:ascii="宋体" w:hAnsi="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另册提供，投标人自行在相关网站上下载</w:t>
      </w:r>
    </w:p>
    <w:bookmarkEnd w:id="336"/>
    <w:bookmarkEnd w:id="337"/>
    <w:bookmarkEnd w:id="338"/>
    <w:bookmarkEnd w:id="339"/>
    <w:bookmarkEnd w:id="340"/>
    <w:bookmarkEnd w:id="341"/>
    <w:bookmarkEnd w:id="342"/>
    <w:bookmarkEnd w:id="343"/>
    <w:bookmarkEnd w:id="344"/>
    <w:bookmarkEnd w:id="345"/>
    <w:bookmarkEnd w:id="346"/>
    <w:p>
      <w:pPr>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spacing w:line="360" w:lineRule="auto"/>
        <w:ind w:firstLine="420"/>
        <w:jc w:val="center"/>
        <w:rPr>
          <w:rFonts w:hint="eastAsia" w:ascii="宋体" w:hAnsi="宋体" w:cs="宋体"/>
          <w:color w:val="auto"/>
          <w:highlight w:val="none"/>
        </w:rPr>
      </w:pPr>
    </w:p>
    <w:p>
      <w:pPr>
        <w:spacing w:line="360" w:lineRule="auto"/>
        <w:ind w:firstLine="420"/>
        <w:jc w:val="center"/>
        <w:rPr>
          <w:rFonts w:hint="eastAsia" w:ascii="宋体" w:hAnsi="宋体" w:cs="宋体"/>
          <w:color w:val="auto"/>
          <w:highlight w:val="none"/>
        </w:rPr>
      </w:pPr>
    </w:p>
    <w:p>
      <w:pPr>
        <w:pStyle w:val="3"/>
        <w:spacing w:line="360" w:lineRule="auto"/>
        <w:jc w:val="center"/>
        <w:outlineLvl w:val="9"/>
        <w:rPr>
          <w:rFonts w:hint="eastAsia" w:ascii="宋体" w:hAnsi="宋体" w:cs="宋体"/>
          <w:color w:val="auto"/>
          <w:sz w:val="48"/>
          <w:szCs w:val="48"/>
          <w:highlight w:val="none"/>
        </w:rPr>
      </w:pPr>
      <w:bookmarkStart w:id="1159" w:name="_Toc26407"/>
      <w:bookmarkStart w:id="1160" w:name="_Toc6357"/>
      <w:bookmarkStart w:id="1161" w:name="_Toc8557"/>
      <w:bookmarkStart w:id="1162" w:name="_Toc25699_WPSOffice_Level1"/>
      <w:bookmarkStart w:id="1163" w:name="_Toc11289"/>
    </w:p>
    <w:p>
      <w:pPr>
        <w:pStyle w:val="3"/>
        <w:spacing w:line="360" w:lineRule="auto"/>
        <w:jc w:val="center"/>
        <w:outlineLvl w:val="9"/>
        <w:rPr>
          <w:rFonts w:hint="eastAsia" w:ascii="宋体" w:hAnsi="宋体" w:cs="宋体"/>
          <w:color w:val="auto"/>
          <w:sz w:val="48"/>
          <w:szCs w:val="48"/>
          <w:highlight w:val="none"/>
        </w:rPr>
      </w:pPr>
    </w:p>
    <w:p>
      <w:pPr>
        <w:pStyle w:val="3"/>
        <w:spacing w:line="360" w:lineRule="auto"/>
        <w:jc w:val="center"/>
        <w:outlineLvl w:val="9"/>
        <w:rPr>
          <w:rFonts w:hint="eastAsia" w:ascii="宋体" w:hAnsi="宋体" w:cs="宋体"/>
          <w:color w:val="auto"/>
          <w:sz w:val="48"/>
          <w:szCs w:val="48"/>
          <w:highlight w:val="none"/>
        </w:rPr>
      </w:pPr>
    </w:p>
    <w:p>
      <w:pPr>
        <w:pStyle w:val="3"/>
        <w:spacing w:line="360" w:lineRule="auto"/>
        <w:jc w:val="center"/>
        <w:rPr>
          <w:rFonts w:hint="eastAsia" w:ascii="宋体" w:hAnsi="宋体" w:cs="宋体"/>
          <w:color w:val="auto"/>
          <w:sz w:val="48"/>
          <w:szCs w:val="48"/>
          <w:highlight w:val="none"/>
        </w:rPr>
      </w:pPr>
      <w:bookmarkStart w:id="1164" w:name="_Toc26534"/>
      <w:r>
        <w:rPr>
          <w:rFonts w:hint="eastAsia" w:ascii="宋体" w:hAnsi="宋体" w:cs="宋体"/>
          <w:color w:val="auto"/>
          <w:sz w:val="48"/>
          <w:szCs w:val="48"/>
          <w:highlight w:val="none"/>
        </w:rPr>
        <w:t>第七章、投标文件格式</w:t>
      </w:r>
      <w:bookmarkEnd w:id="1159"/>
      <w:bookmarkEnd w:id="1160"/>
      <w:bookmarkEnd w:id="1161"/>
      <w:bookmarkEnd w:id="1162"/>
      <w:bookmarkEnd w:id="1163"/>
      <w:bookmarkEnd w:id="1164"/>
    </w:p>
    <w:p>
      <w:pPr>
        <w:spacing w:line="360" w:lineRule="auto"/>
        <w:ind w:firstLine="420"/>
        <w:rPr>
          <w:rFonts w:hint="eastAsia" w:ascii="宋体" w:hAnsi="宋体" w:cs="宋体"/>
          <w:color w:val="auto"/>
          <w:highlight w:val="none"/>
        </w:rPr>
      </w:pPr>
    </w:p>
    <w:p>
      <w:pPr>
        <w:widowControl/>
        <w:rPr>
          <w:color w:val="auto"/>
          <w:highlight w:val="none"/>
        </w:rPr>
      </w:pPr>
      <w:r>
        <w:rPr>
          <w:rFonts w:hint="eastAsia" w:ascii="宋体" w:hAnsi="宋体" w:cs="宋体"/>
          <w:color w:val="auto"/>
          <w:highlight w:val="none"/>
        </w:rPr>
        <w:br w:type="page"/>
      </w:r>
    </w:p>
    <w:p>
      <w:pPr>
        <w:pStyle w:val="44"/>
        <w:rPr>
          <w:color w:val="auto"/>
          <w:highlight w:val="none"/>
        </w:rPr>
      </w:pPr>
    </w:p>
    <w:p>
      <w:pPr>
        <w:pStyle w:val="44"/>
        <w:ind w:firstLine="0"/>
        <w:rPr>
          <w:rFonts w:hint="eastAsia"/>
          <w:color w:val="auto"/>
          <w:highlight w:val="none"/>
        </w:rPr>
      </w:pPr>
    </w:p>
    <w:p>
      <w:pPr>
        <w:widowControl/>
        <w:jc w:val="center"/>
        <w:outlineLvl w:val="0"/>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bookmarkStart w:id="1165" w:name="_Toc24418"/>
      <w:bookmarkStart w:id="1166" w:name="_Toc13316"/>
      <w:bookmarkStart w:id="1167" w:name="_Toc31162_WPSOffice_Level1"/>
      <w:r>
        <w:rPr>
          <w:rFonts w:eastAsia="黑体"/>
          <w:color w:val="auto"/>
          <w:sz w:val="28"/>
          <w:szCs w:val="28"/>
          <w:highlight w:val="none"/>
          <w:u w:val="single"/>
        </w:rPr>
        <w:t>（</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bookmarkEnd w:id="1165"/>
      <w:bookmarkEnd w:id="1166"/>
      <w:bookmarkEnd w:id="1167"/>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rFonts w:hint="eastAsia"/>
          <w:color w:val="auto"/>
          <w:highlight w:val="none"/>
        </w:rPr>
      </w:pPr>
    </w:p>
    <w:p>
      <w:pPr>
        <w:spacing w:line="360" w:lineRule="auto"/>
        <w:jc w:val="left"/>
        <w:rPr>
          <w:color w:val="auto"/>
          <w:sz w:val="18"/>
          <w:szCs w:val="18"/>
          <w:highlight w:val="none"/>
        </w:rPr>
      </w:pPr>
    </w:p>
    <w:p>
      <w:pPr>
        <w:pStyle w:val="44"/>
        <w:rPr>
          <w:rFonts w:hint="eastAsia"/>
          <w:color w:val="auto"/>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w:t>
      </w:r>
      <w:r>
        <w:rPr>
          <w:rFonts w:hint="eastAsia" w:eastAsia="黑体"/>
          <w:color w:val="auto"/>
          <w:kern w:val="0"/>
          <w:sz w:val="24"/>
          <w:szCs w:val="28"/>
          <w:highlight w:val="none"/>
        </w:rPr>
        <w:t>独立体或联合体牵头人盖单位章</w:t>
      </w:r>
      <w:r>
        <w:rPr>
          <w:rFonts w:eastAsia="黑体"/>
          <w:color w:val="auto"/>
          <w:kern w:val="0"/>
          <w:sz w:val="24"/>
          <w:szCs w:val="28"/>
          <w:highlight w:val="none"/>
        </w:rPr>
        <w:t>）</w:t>
      </w:r>
    </w:p>
    <w:p>
      <w:pPr>
        <w:widowControl/>
        <w:spacing w:line="360" w:lineRule="auto"/>
        <w:jc w:val="center"/>
        <w:rPr>
          <w:rFonts w:eastAsia="黑体"/>
          <w:color w:val="auto"/>
          <w:kern w:val="0"/>
          <w:sz w:val="24"/>
          <w:szCs w:val="28"/>
          <w:highlight w:val="none"/>
        </w:rPr>
      </w:pPr>
    </w:p>
    <w:p>
      <w:pPr>
        <w:widowControl/>
        <w:spacing w:line="360" w:lineRule="auto"/>
        <w:jc w:val="center"/>
        <w:rPr>
          <w:rFonts w:eastAsia="黑体"/>
          <w:color w:val="auto"/>
          <w:kern w:val="0"/>
          <w:sz w:val="24"/>
          <w:szCs w:val="28"/>
          <w:highlight w:val="none"/>
        </w:rPr>
      </w:pPr>
      <w:r>
        <w:rPr>
          <w:rFonts w:eastAsia="黑体"/>
          <w:color w:val="auto"/>
          <w:kern w:val="0"/>
          <w:sz w:val="24"/>
          <w:szCs w:val="28"/>
          <w:highlight w:val="none"/>
        </w:rPr>
        <w:t>法定代表人或其委托代理人：</w:t>
      </w:r>
      <w:r>
        <w:rPr>
          <w:rFonts w:eastAsia="黑体"/>
          <w:color w:val="auto"/>
          <w:kern w:val="0"/>
          <w:sz w:val="24"/>
          <w:szCs w:val="28"/>
          <w:highlight w:val="none"/>
          <w:u w:val="single"/>
        </w:rPr>
        <w:t xml:space="preserve">           </w:t>
      </w:r>
      <w:r>
        <w:rPr>
          <w:rFonts w:eastAsia="黑体"/>
          <w:color w:val="auto"/>
          <w:kern w:val="0"/>
          <w:sz w:val="24"/>
          <w:szCs w:val="28"/>
          <w:highlight w:val="none"/>
        </w:rPr>
        <w:t>（签字或盖章）</w:t>
      </w:r>
    </w:p>
    <w:p>
      <w:pPr>
        <w:widowControl/>
        <w:spacing w:before="156" w:after="312" w:line="420" w:lineRule="atLeast"/>
        <w:jc w:val="center"/>
        <w:rPr>
          <w:rFonts w:eastAsia="黑体"/>
          <w:color w:val="auto"/>
          <w:kern w:val="0"/>
          <w:sz w:val="24"/>
          <w:szCs w:val="28"/>
          <w:highlight w:val="none"/>
        </w:rPr>
      </w:pPr>
      <w:r>
        <w:rPr>
          <w:rFonts w:eastAsia="黑体"/>
          <w:color w:val="auto"/>
          <w:kern w:val="0"/>
          <w:sz w:val="24"/>
          <w:szCs w:val="28"/>
          <w:highlight w:val="none"/>
        </w:rPr>
        <w:t xml:space="preserve">   年   月  日</w:t>
      </w:r>
    </w:p>
    <w:p>
      <w:pPr>
        <w:pStyle w:val="31"/>
        <w:spacing w:line="500" w:lineRule="exact"/>
        <w:ind w:firstLine="211" w:firstLineChars="100"/>
        <w:rPr>
          <w:rFonts w:hint="eastAsia" w:ascii="Arial" w:hAnsi="Arial" w:eastAsia="新宋体" w:cs="Arial"/>
          <w:b/>
          <w:color w:val="auto"/>
          <w:sz w:val="21"/>
          <w:highlight w:val="none"/>
        </w:rPr>
      </w:pPr>
      <w:bookmarkStart w:id="1168" w:name="_Hlk53729432"/>
    </w:p>
    <w:p>
      <w:pPr>
        <w:pStyle w:val="31"/>
        <w:spacing w:line="500" w:lineRule="exact"/>
        <w:ind w:firstLine="211" w:firstLineChars="100"/>
        <w:rPr>
          <w:rFonts w:hint="eastAsia" w:ascii="Arial" w:hAnsi="Arial" w:eastAsia="新宋体" w:cs="Arial"/>
          <w:b/>
          <w:color w:val="auto"/>
          <w:sz w:val="21"/>
          <w:highlight w:val="none"/>
        </w:rPr>
      </w:pPr>
    </w:p>
    <w:p>
      <w:pPr>
        <w:pStyle w:val="31"/>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注：以联合体形式投标的，由联合体牵头人签署。</w:t>
      </w:r>
    </w:p>
    <w:bookmarkEnd w:id="1168"/>
    <w:p>
      <w:pPr>
        <w:tabs>
          <w:tab w:val="left" w:pos="3758"/>
        </w:tabs>
        <w:spacing w:line="360" w:lineRule="auto"/>
        <w:jc w:val="left"/>
        <w:rPr>
          <w:rFonts w:hint="eastAsia" w:ascii="宋体" w:hAnsi="宋体" w:cs="宋体"/>
          <w:color w:val="auto"/>
          <w:highlight w:val="none"/>
        </w:rPr>
      </w:pPr>
    </w:p>
    <w:p>
      <w:pPr>
        <w:pStyle w:val="15"/>
        <w:ind w:left="0" w:leftChars="0" w:firstLine="0" w:firstLineChars="0"/>
        <w:rPr>
          <w:color w:val="auto"/>
          <w:highlight w:val="none"/>
        </w:rPr>
      </w:pPr>
      <w:bookmarkStart w:id="1169" w:name="_Toc9178578"/>
      <w:bookmarkStart w:id="1170" w:name="_Toc47711642"/>
      <w:bookmarkStart w:id="1171" w:name="_Toc144974859"/>
      <w:bookmarkStart w:id="1172" w:name="_Toc27860"/>
      <w:bookmarkStart w:id="1173" w:name="_Toc247514249"/>
      <w:bookmarkStart w:id="1174" w:name="_Toc247527830"/>
      <w:bookmarkStart w:id="1175" w:name="_Toc152045790"/>
      <w:bookmarkStart w:id="1176" w:name="_Toc20442"/>
      <w:bookmarkStart w:id="1177" w:name="_Toc300835212"/>
      <w:bookmarkStart w:id="1178" w:name="_Toc152042579"/>
      <w:bookmarkStart w:id="1179" w:name="_Toc25488"/>
    </w:p>
    <w:p>
      <w:pPr>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19"/>
        <w:rPr>
          <w:rFonts w:hint="eastAsia" w:eastAsia="方正小标宋简体"/>
          <w:color w:val="auto"/>
          <w:highlight w:val="none"/>
          <w:lang w:eastAsia="zh-CN"/>
        </w:rPr>
      </w:pPr>
    </w:p>
    <w:p>
      <w:pPr>
        <w:pStyle w:val="4"/>
        <w:spacing w:before="0" w:after="0" w:line="240" w:lineRule="auto"/>
        <w:jc w:val="center"/>
        <w:rPr>
          <w:rFonts w:ascii="Times New Roman" w:hAnsi="Times New Roman"/>
          <w:b w:val="0"/>
          <w:bCs w:val="0"/>
          <w:color w:val="auto"/>
          <w:sz w:val="36"/>
          <w:szCs w:val="36"/>
          <w:highlight w:val="none"/>
        </w:rPr>
      </w:pPr>
      <w:r>
        <w:rPr>
          <w:rFonts w:ascii="Times New Roman" w:hAnsi="Times New Roman"/>
          <w:b w:val="0"/>
          <w:bCs w:val="0"/>
          <w:color w:val="auto"/>
          <w:sz w:val="36"/>
          <w:szCs w:val="36"/>
          <w:highlight w:val="none"/>
        </w:rPr>
        <w:t>目    录</w:t>
      </w:r>
      <w:bookmarkEnd w:id="1169"/>
      <w:bookmarkEnd w:id="1170"/>
    </w:p>
    <w:p>
      <w:pPr>
        <w:widowControl/>
        <w:rPr>
          <w:color w:val="auto"/>
          <w:szCs w:val="21"/>
          <w:highlight w:val="none"/>
        </w:rPr>
      </w:pPr>
    </w:p>
    <w:p>
      <w:pPr>
        <w:spacing w:line="276" w:lineRule="auto"/>
        <w:ind w:firstLine="420" w:firstLineChars="200"/>
        <w:outlineLvl w:val="0"/>
        <w:rPr>
          <w:color w:val="auto"/>
          <w:highlight w:val="none"/>
        </w:rPr>
      </w:pPr>
      <w:bookmarkStart w:id="1180" w:name="_Toc3913"/>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25"/>
          <w:rFonts w:hint="eastAsia"/>
          <w:color w:val="auto"/>
          <w:highlight w:val="none"/>
        </w:rPr>
        <w:t>1.</w:t>
      </w:r>
      <w:r>
        <w:rPr>
          <w:rStyle w:val="25"/>
          <w:color w:val="auto"/>
          <w:highlight w:val="none"/>
        </w:rPr>
        <w:t>投标函及投标函附录</w:t>
      </w:r>
      <w:r>
        <w:rPr>
          <w:color w:val="auto"/>
          <w:highlight w:val="none"/>
        </w:rPr>
        <w:fldChar w:fldCharType="end"/>
      </w:r>
      <w:bookmarkEnd w:id="1180"/>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25"/>
          <w:color w:val="auto"/>
          <w:highlight w:val="none"/>
        </w:rPr>
        <w:t>（</w:t>
      </w:r>
      <w:r>
        <w:rPr>
          <w:rStyle w:val="25"/>
          <w:rFonts w:hint="eastAsia"/>
          <w:color w:val="auto"/>
          <w:highlight w:val="none"/>
        </w:rPr>
        <w:t>1</w:t>
      </w:r>
      <w:r>
        <w:rPr>
          <w:rStyle w:val="25"/>
          <w:color w:val="auto"/>
          <w:highlight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25"/>
          <w:color w:val="auto"/>
          <w:highlight w:val="none"/>
        </w:rPr>
        <w:t>（</w:t>
      </w:r>
      <w:r>
        <w:rPr>
          <w:rStyle w:val="25"/>
          <w:rFonts w:hint="eastAsia"/>
          <w:color w:val="auto"/>
          <w:highlight w:val="none"/>
        </w:rPr>
        <w:t>2</w:t>
      </w:r>
      <w:r>
        <w:rPr>
          <w:rStyle w:val="25"/>
          <w:color w:val="auto"/>
          <w:highlight w:val="none"/>
        </w:rPr>
        <w:t>）投标函附录</w:t>
      </w:r>
      <w:r>
        <w:rPr>
          <w:color w:val="auto"/>
          <w:highlight w:val="none"/>
        </w:rPr>
        <w:fldChar w:fldCharType="end"/>
      </w:r>
    </w:p>
    <w:p>
      <w:pPr>
        <w:spacing w:line="276" w:lineRule="auto"/>
        <w:ind w:firstLine="420" w:firstLineChars="200"/>
        <w:outlineLvl w:val="0"/>
        <w:rPr>
          <w:color w:val="auto"/>
          <w:highlight w:val="none"/>
        </w:rPr>
      </w:pPr>
      <w:bookmarkStart w:id="1181" w:name="_Toc12751"/>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25"/>
          <w:rFonts w:hint="eastAsia"/>
          <w:color w:val="auto"/>
          <w:highlight w:val="none"/>
        </w:rPr>
        <w:t>2.</w:t>
      </w:r>
      <w:r>
        <w:rPr>
          <w:rStyle w:val="25"/>
          <w:color w:val="auto"/>
          <w:highlight w:val="none"/>
        </w:rPr>
        <w:t>法定代表人身份证明</w:t>
      </w:r>
      <w:r>
        <w:rPr>
          <w:color w:val="auto"/>
          <w:highlight w:val="none"/>
        </w:rPr>
        <w:fldChar w:fldCharType="end"/>
      </w:r>
      <w:bookmarkEnd w:id="1181"/>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Fonts w:hint="eastAsia"/>
          <w:color w:val="auto"/>
          <w:highlight w:val="none"/>
          <w:lang w:val="en-US" w:eastAsia="zh-CN"/>
        </w:rPr>
        <w:t>2.1</w:t>
      </w:r>
      <w:r>
        <w:rPr>
          <w:rStyle w:val="25"/>
          <w:color w:val="auto"/>
          <w:highlight w:val="none"/>
        </w:rPr>
        <w:t>授权委托书</w:t>
      </w:r>
      <w:r>
        <w:rPr>
          <w:color w:val="auto"/>
          <w:highlight w:val="none"/>
        </w:rPr>
        <w:fldChar w:fldCharType="end"/>
      </w:r>
    </w:p>
    <w:p>
      <w:pPr>
        <w:pStyle w:val="17"/>
        <w:outlineLvl w:val="0"/>
        <w:rPr>
          <w:color w:val="auto"/>
          <w:highlight w:val="none"/>
        </w:rPr>
      </w:pPr>
      <w:r>
        <w:rPr>
          <w:rFonts w:hint="eastAsia"/>
          <w:color w:val="auto"/>
          <w:highlight w:val="none"/>
          <w:lang w:val="en-US" w:eastAsia="zh-CN"/>
        </w:rPr>
        <w:t xml:space="preserve">              </w:t>
      </w:r>
      <w:bookmarkStart w:id="1182" w:name="_Toc3313"/>
      <w:r>
        <w:rPr>
          <w:rFonts w:hint="eastAsia"/>
          <w:color w:val="auto"/>
          <w:highlight w:val="none"/>
          <w:lang w:val="en-US" w:eastAsia="zh-CN"/>
        </w:rPr>
        <w:t>3</w:t>
      </w: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25"/>
          <w:rFonts w:hint="eastAsia"/>
          <w:color w:val="auto"/>
          <w:highlight w:val="none"/>
        </w:rPr>
        <w:t>.</w:t>
      </w:r>
      <w:r>
        <w:rPr>
          <w:rStyle w:val="25"/>
          <w:color w:val="auto"/>
          <w:highlight w:val="none"/>
        </w:rPr>
        <w:t>联合体协议书</w:t>
      </w:r>
      <w:r>
        <w:rPr>
          <w:color w:val="auto"/>
          <w:highlight w:val="none"/>
        </w:rPr>
        <w:fldChar w:fldCharType="end"/>
      </w:r>
      <w:r>
        <w:rPr>
          <w:color w:val="auto"/>
          <w:highlight w:val="none"/>
        </w:rPr>
        <w:t>（如有）</w:t>
      </w:r>
      <w:bookmarkEnd w:id="1182"/>
    </w:p>
    <w:p>
      <w:pPr>
        <w:spacing w:line="276" w:lineRule="auto"/>
        <w:ind w:firstLine="420" w:firstLineChars="200"/>
        <w:outlineLvl w:val="0"/>
        <w:rPr>
          <w:color w:val="auto"/>
          <w:highlight w:val="none"/>
        </w:rPr>
      </w:pPr>
      <w:bookmarkStart w:id="1183" w:name="_Toc21600"/>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Fonts w:hint="eastAsia"/>
          <w:color w:val="auto"/>
          <w:highlight w:val="none"/>
          <w:lang w:val="en-US" w:eastAsia="zh-CN"/>
        </w:rPr>
        <w:t>4</w:t>
      </w:r>
      <w:r>
        <w:rPr>
          <w:rStyle w:val="25"/>
          <w:rFonts w:hint="eastAsia"/>
          <w:color w:val="auto"/>
          <w:highlight w:val="none"/>
        </w:rPr>
        <w:t>.</w:t>
      </w:r>
      <w:r>
        <w:rPr>
          <w:rStyle w:val="25"/>
          <w:color w:val="auto"/>
          <w:highlight w:val="none"/>
        </w:rPr>
        <w:t>投标保证</w:t>
      </w:r>
      <w:r>
        <w:rPr>
          <w:color w:val="auto"/>
          <w:highlight w:val="none"/>
        </w:rPr>
        <w:fldChar w:fldCharType="end"/>
      </w:r>
      <w:bookmarkEnd w:id="1183"/>
    </w:p>
    <w:p>
      <w:pPr>
        <w:pStyle w:val="17"/>
        <w:ind w:left="1125" w:leftChars="208" w:hanging="688" w:hangingChars="313"/>
        <w:outlineLvl w:val="0"/>
        <w:rPr>
          <w:rFonts w:hint="default" w:eastAsiaTheme="minorEastAsia"/>
          <w:color w:val="auto"/>
          <w:highlight w:val="none"/>
          <w:lang w:val="en-US" w:eastAsia="zh-CN"/>
        </w:rPr>
      </w:pPr>
      <w:bookmarkStart w:id="1184" w:name="_Toc20675"/>
      <w:r>
        <w:rPr>
          <w:rFonts w:hint="eastAsia"/>
          <w:color w:val="auto"/>
          <w:highlight w:val="none"/>
          <w:lang w:val="en-US" w:eastAsia="zh-CN"/>
        </w:rPr>
        <w:t>5.</w:t>
      </w:r>
      <w:r>
        <w:rPr>
          <w:rFonts w:hint="eastAsia"/>
          <w:color w:val="auto"/>
          <w:highlight w:val="none"/>
          <w:u w:val="single"/>
          <w:lang w:val="en-US" w:eastAsia="zh-CN"/>
        </w:rPr>
        <w:t>投标报价</w:t>
      </w:r>
      <w:bookmarkEnd w:id="1184"/>
      <w:r>
        <w:rPr>
          <w:rFonts w:hint="eastAsia"/>
          <w:color w:val="auto"/>
          <w:highlight w:val="none"/>
          <w:u w:val="single"/>
          <w:lang w:val="en-US" w:eastAsia="zh-CN"/>
        </w:rPr>
        <w:t>表</w:t>
      </w:r>
    </w:p>
    <w:p>
      <w:pPr>
        <w:spacing w:line="276" w:lineRule="auto"/>
        <w:ind w:firstLine="420" w:firstLineChars="200"/>
        <w:outlineLvl w:val="0"/>
        <w:rPr>
          <w:color w:val="auto"/>
          <w:highlight w:val="none"/>
        </w:rPr>
      </w:pPr>
      <w:bookmarkStart w:id="1185" w:name="_Toc3068"/>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25"/>
          <w:rFonts w:hint="eastAsia"/>
          <w:color w:val="auto"/>
          <w:highlight w:val="none"/>
        </w:rPr>
        <w:t>6.</w:t>
      </w:r>
      <w:r>
        <w:rPr>
          <w:rStyle w:val="25"/>
          <w:color w:val="auto"/>
          <w:highlight w:val="none"/>
        </w:rPr>
        <w:t>项目管理机构</w:t>
      </w:r>
      <w:r>
        <w:rPr>
          <w:color w:val="auto"/>
          <w:highlight w:val="none"/>
        </w:rPr>
        <w:fldChar w:fldCharType="end"/>
      </w:r>
      <w:bookmarkEnd w:id="1185"/>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25"/>
          <w:color w:val="auto"/>
          <w:highlight w:val="none"/>
        </w:rPr>
        <w:t>（</w:t>
      </w:r>
      <w:r>
        <w:rPr>
          <w:rStyle w:val="25"/>
          <w:rFonts w:hint="eastAsia"/>
          <w:color w:val="auto"/>
          <w:highlight w:val="none"/>
        </w:rPr>
        <w:t>1</w:t>
      </w:r>
      <w:r>
        <w:rPr>
          <w:rStyle w:val="25"/>
          <w:color w:val="auto"/>
          <w:highlight w:val="none"/>
        </w:rPr>
        <w:t>）</w:t>
      </w:r>
      <w:bookmarkStart w:id="1186" w:name="_Hlt11160713"/>
      <w:bookmarkEnd w:id="1186"/>
      <w:bookmarkStart w:id="1187" w:name="_Hlt11160712"/>
      <w:bookmarkEnd w:id="1187"/>
      <w:r>
        <w:rPr>
          <w:rStyle w:val="25"/>
          <w:color w:val="auto"/>
          <w:highlight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25"/>
          <w:color w:val="auto"/>
          <w:highlight w:val="none"/>
        </w:rPr>
        <w:t>（</w:t>
      </w:r>
      <w:r>
        <w:rPr>
          <w:rStyle w:val="25"/>
          <w:rFonts w:hint="eastAsia"/>
          <w:color w:val="auto"/>
          <w:highlight w:val="none"/>
        </w:rPr>
        <w:t>2</w:t>
      </w:r>
      <w:r>
        <w:rPr>
          <w:rStyle w:val="25"/>
          <w:color w:val="auto"/>
          <w:highlight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25"/>
          <w:rFonts w:hint="eastAsia"/>
          <w:color w:val="auto"/>
          <w:highlight w:val="none"/>
        </w:rPr>
        <w:t>①</w:t>
      </w:r>
      <w:r>
        <w:rPr>
          <w:rStyle w:val="25"/>
          <w:color w:val="auto"/>
          <w:highlight w:val="none"/>
        </w:rPr>
        <w:t>拟任</w:t>
      </w:r>
      <w:r>
        <w:rPr>
          <w:rStyle w:val="25"/>
          <w:rFonts w:hint="eastAsia"/>
          <w:color w:val="auto"/>
          <w:highlight w:val="none"/>
        </w:rPr>
        <w:t>项目负责人</w:t>
      </w:r>
      <w:r>
        <w:rPr>
          <w:rStyle w:val="25"/>
          <w:color w:val="auto"/>
          <w:highlight w:val="none"/>
        </w:rPr>
        <w:t>简历表</w:t>
      </w:r>
      <w:r>
        <w:rPr>
          <w:color w:val="auto"/>
          <w:highlight w:val="none"/>
        </w:rPr>
        <w:fldChar w:fldCharType="end"/>
      </w:r>
    </w:p>
    <w:p>
      <w:pPr>
        <w:spacing w:line="276" w:lineRule="auto"/>
        <w:ind w:firstLine="1470" w:firstLineChars="700"/>
        <w:rPr>
          <w:rStyle w:val="25"/>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25"/>
          <w:rFonts w:hint="eastAsia"/>
          <w:color w:val="auto"/>
          <w:highlight w:val="none"/>
        </w:rPr>
        <w:t>②</w:t>
      </w:r>
      <w:r>
        <w:rPr>
          <w:rStyle w:val="25"/>
          <w:color w:val="auto"/>
          <w:highlight w:val="none"/>
        </w:rPr>
        <w:t>拟任项目</w:t>
      </w:r>
      <w:r>
        <w:rPr>
          <w:rStyle w:val="25"/>
          <w:rFonts w:hint="eastAsia"/>
          <w:color w:val="auto"/>
          <w:highlight w:val="none"/>
        </w:rPr>
        <w:t>技术负责人</w:t>
      </w:r>
      <w:r>
        <w:rPr>
          <w:rStyle w:val="25"/>
          <w:color w:val="auto"/>
          <w:highlight w:val="none"/>
        </w:rPr>
        <w:t>简历表</w:t>
      </w:r>
    </w:p>
    <w:p>
      <w:pPr>
        <w:spacing w:line="276" w:lineRule="auto"/>
        <w:ind w:firstLine="1470" w:firstLineChars="700"/>
        <w:rPr>
          <w:color w:val="auto"/>
          <w:highlight w:val="none"/>
        </w:rPr>
      </w:pPr>
      <w:r>
        <w:rPr>
          <w:color w:val="auto"/>
          <w:highlight w:val="none"/>
        </w:rPr>
        <w:fldChar w:fldCharType="end"/>
      </w: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Style w:val="25"/>
          <w:color w:val="auto"/>
          <w:highlight w:val="none"/>
        </w:rPr>
        <w:t>拟任</w:t>
      </w:r>
      <w:r>
        <w:rPr>
          <w:rStyle w:val="25"/>
          <w:rFonts w:hint="eastAsia"/>
          <w:color w:val="auto"/>
          <w:highlight w:val="none"/>
        </w:rPr>
        <w:t>项目</w:t>
      </w:r>
      <w:r>
        <w:rPr>
          <w:rStyle w:val="25"/>
          <w:rFonts w:hint="eastAsia"/>
          <w:color w:val="auto"/>
          <w:highlight w:val="none"/>
          <w:lang w:val="en-US" w:eastAsia="zh-CN"/>
        </w:rPr>
        <w:t>施工</w:t>
      </w:r>
      <w:r>
        <w:rPr>
          <w:rStyle w:val="25"/>
          <w:rFonts w:hint="eastAsia"/>
          <w:color w:val="auto"/>
          <w:highlight w:val="none"/>
        </w:rPr>
        <w:t>负责人</w:t>
      </w:r>
      <w:r>
        <w:rPr>
          <w:rStyle w:val="25"/>
          <w:color w:val="auto"/>
          <w:highlight w:val="none"/>
        </w:rPr>
        <w:t>简历表</w:t>
      </w:r>
    </w:p>
    <w:p>
      <w:pPr>
        <w:spacing w:line="276" w:lineRule="auto"/>
        <w:ind w:firstLine="1470" w:firstLineChars="700"/>
        <w:rPr>
          <w:rFonts w:hint="default" w:eastAsia="方正小标宋简体"/>
          <w:color w:val="auto"/>
          <w:highlight w:val="none"/>
          <w:lang w:val="en-US" w:eastAsia="zh-CN"/>
        </w:rPr>
      </w:pPr>
      <w:r>
        <w:rPr>
          <w:rFonts w:hint="default"/>
          <w:color w:val="auto"/>
          <w:highlight w:val="none"/>
          <w:lang w:val="en-US" w:eastAsia="zh-CN"/>
        </w:rPr>
        <w:t>④</w:t>
      </w:r>
      <w:r>
        <w:rPr>
          <w:rFonts w:hint="eastAsia"/>
          <w:color w:val="auto"/>
          <w:highlight w:val="none"/>
        </w:rPr>
        <w:t>拟任设计项目</w:t>
      </w:r>
      <w:r>
        <w:rPr>
          <w:color w:val="auto"/>
          <w:highlight w:val="none"/>
        </w:rPr>
        <w:t>负责人简历表</w:t>
      </w:r>
    </w:p>
    <w:p>
      <w:pPr>
        <w:spacing w:line="276" w:lineRule="auto"/>
        <w:ind w:firstLine="420" w:firstLineChars="200"/>
        <w:outlineLvl w:val="0"/>
        <w:rPr>
          <w:color w:val="auto"/>
          <w:highlight w:val="none"/>
        </w:rPr>
      </w:pPr>
      <w:bookmarkStart w:id="1188" w:name="_Toc4059"/>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25"/>
          <w:rFonts w:hint="eastAsia"/>
          <w:color w:val="auto"/>
          <w:highlight w:val="none"/>
        </w:rPr>
        <w:t>7.</w:t>
      </w:r>
      <w:r>
        <w:rPr>
          <w:rStyle w:val="25"/>
          <w:color w:val="auto"/>
          <w:highlight w:val="none"/>
        </w:rPr>
        <w:t>拟分包计划表</w:t>
      </w:r>
      <w:r>
        <w:rPr>
          <w:color w:val="auto"/>
          <w:highlight w:val="none"/>
        </w:rPr>
        <w:fldChar w:fldCharType="end"/>
      </w:r>
      <w:r>
        <w:rPr>
          <w:color w:val="auto"/>
          <w:highlight w:val="none"/>
        </w:rPr>
        <w:t>（如有）</w:t>
      </w:r>
      <w:bookmarkEnd w:id="1188"/>
    </w:p>
    <w:p>
      <w:pPr>
        <w:spacing w:line="276" w:lineRule="auto"/>
        <w:ind w:firstLine="420" w:firstLineChars="200"/>
        <w:outlineLvl w:val="0"/>
        <w:rPr>
          <w:color w:val="auto"/>
          <w:highlight w:val="none"/>
        </w:rPr>
      </w:pPr>
      <w:bookmarkStart w:id="1189" w:name="_Toc20367"/>
      <w:r>
        <w:rPr>
          <w:color w:val="auto"/>
          <w:highlight w:val="none"/>
        </w:rPr>
        <w:fldChar w:fldCharType="begin"/>
      </w:r>
      <w:r>
        <w:rPr>
          <w:color w:val="auto"/>
          <w:highlight w:val="none"/>
        </w:rPr>
        <w:instrText xml:space="preserve">HYPERLINK \l "_Toc300678580"</w:instrText>
      </w:r>
      <w:r>
        <w:rPr>
          <w:color w:val="auto"/>
          <w:highlight w:val="none"/>
        </w:rPr>
        <w:fldChar w:fldCharType="separate"/>
      </w:r>
      <w:r>
        <w:rPr>
          <w:rStyle w:val="25"/>
          <w:rFonts w:hint="eastAsia"/>
          <w:color w:val="auto"/>
          <w:highlight w:val="none"/>
        </w:rPr>
        <w:t>8.</w:t>
      </w:r>
      <w:r>
        <w:rPr>
          <w:rStyle w:val="25"/>
          <w:color w:val="auto"/>
          <w:highlight w:val="none"/>
        </w:rPr>
        <w:t>资格审查资料</w:t>
      </w:r>
      <w:r>
        <w:rPr>
          <w:color w:val="auto"/>
          <w:highlight w:val="none"/>
        </w:rPr>
        <w:fldChar w:fldCharType="end"/>
      </w:r>
      <w:bookmarkEnd w:id="1189"/>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"_Toc300678581"</w:instrText>
      </w:r>
      <w:r>
        <w:rPr>
          <w:color w:val="auto"/>
          <w:highlight w:val="none"/>
        </w:rPr>
        <w:fldChar w:fldCharType="separate"/>
      </w:r>
      <w:r>
        <w:rPr>
          <w:rStyle w:val="25"/>
          <w:color w:val="auto"/>
          <w:highlight w:val="none"/>
        </w:rPr>
        <w:t>（</w:t>
      </w:r>
      <w:r>
        <w:rPr>
          <w:rStyle w:val="25"/>
          <w:rFonts w:hint="eastAsia"/>
          <w:color w:val="auto"/>
          <w:highlight w:val="none"/>
        </w:rPr>
        <w:t>1</w:t>
      </w:r>
      <w:r>
        <w:rPr>
          <w:rStyle w:val="25"/>
          <w:color w:val="auto"/>
          <w:highlight w:val="none"/>
        </w:rPr>
        <w:t>）投标人基本情况表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"_Toc300678582"</w:instrText>
      </w:r>
      <w:r>
        <w:rPr>
          <w:color w:val="auto"/>
          <w:highlight w:val="none"/>
        </w:rPr>
        <w:fldChar w:fldCharType="separate"/>
      </w:r>
      <w:r>
        <w:rPr>
          <w:rStyle w:val="25"/>
          <w:color w:val="auto"/>
          <w:highlight w:val="none"/>
        </w:rPr>
        <w:t>（</w:t>
      </w:r>
      <w:r>
        <w:rPr>
          <w:rStyle w:val="25"/>
          <w:rFonts w:hint="eastAsia"/>
          <w:color w:val="auto"/>
          <w:highlight w:val="none"/>
        </w:rPr>
        <w:t>2</w:t>
      </w:r>
      <w:r>
        <w:rPr>
          <w:rStyle w:val="25"/>
          <w:color w:val="auto"/>
          <w:highlight w:val="none"/>
        </w:rPr>
        <w:t>）</w:t>
      </w:r>
      <w:r>
        <w:rPr>
          <w:color w:val="auto"/>
          <w:highlight w:val="none"/>
        </w:rPr>
        <w:fldChar w:fldCharType="end"/>
      </w:r>
      <w:r>
        <w:rPr>
          <w:rFonts w:hint="eastAsia"/>
          <w:color w:val="auto"/>
          <w:highlight w:val="none"/>
        </w:rPr>
        <w:t>投标人</w:t>
      </w:r>
      <w:r>
        <w:rPr>
          <w:color w:val="auto"/>
          <w:highlight w:val="none"/>
        </w:rPr>
        <w:t>证件复印件</w:t>
      </w:r>
    </w:p>
    <w:p>
      <w:pPr>
        <w:spacing w:line="276" w:lineRule="auto"/>
        <w:ind w:firstLine="1470" w:firstLineChars="700"/>
        <w:rPr>
          <w:rFonts w:hint="eastAsia"/>
          <w:color w:val="auto"/>
          <w:highlight w:val="none"/>
        </w:rPr>
      </w:pPr>
      <w:r>
        <w:rPr>
          <w:color w:val="auto"/>
          <w:highlight w:val="none"/>
        </w:rPr>
        <w:fldChar w:fldCharType="begin"/>
      </w:r>
      <w:r>
        <w:rPr>
          <w:color w:val="auto"/>
          <w:highlight w:val="none"/>
        </w:rPr>
        <w:instrText xml:space="preserve">HYPERLINK \l "_Toc300678584"</w:instrText>
      </w:r>
      <w:r>
        <w:rPr>
          <w:color w:val="auto"/>
          <w:highlight w:val="none"/>
        </w:rPr>
        <w:fldChar w:fldCharType="separate"/>
      </w:r>
      <w:r>
        <w:rPr>
          <w:rStyle w:val="25"/>
          <w:color w:val="auto"/>
          <w:highlight w:val="none"/>
        </w:rPr>
        <w:t>（</w:t>
      </w:r>
      <w:r>
        <w:rPr>
          <w:rStyle w:val="25"/>
          <w:rFonts w:hint="eastAsia"/>
          <w:color w:val="auto"/>
          <w:highlight w:val="none"/>
        </w:rPr>
        <w:t>3</w:t>
      </w:r>
      <w:r>
        <w:rPr>
          <w:rStyle w:val="25"/>
          <w:color w:val="auto"/>
          <w:highlight w:val="none"/>
        </w:rPr>
        <w:t>）</w:t>
      </w:r>
      <w:r>
        <w:rPr>
          <w:color w:val="auto"/>
          <w:highlight w:val="none"/>
        </w:rPr>
        <w:fldChar w:fldCharType="end"/>
      </w:r>
      <w:r>
        <w:rPr>
          <w:color w:val="auto"/>
          <w:highlight w:val="none"/>
        </w:rPr>
        <w:t>近年完成的类似</w:t>
      </w:r>
      <w:r>
        <w:rPr>
          <w:rFonts w:hint="eastAsia"/>
          <w:color w:val="auto"/>
          <w:highlight w:val="none"/>
        </w:rPr>
        <w:t>工程业绩</w:t>
      </w:r>
      <w:r>
        <w:rPr>
          <w:color w:val="auto"/>
          <w:highlight w:val="none"/>
        </w:rPr>
        <w:t>情况表</w:t>
      </w:r>
    </w:p>
    <w:p>
      <w:pPr>
        <w:spacing w:line="276" w:lineRule="auto"/>
        <w:ind w:firstLine="1470" w:firstLineChars="700"/>
        <w:rPr>
          <w:rFonts w:hint="eastAsia"/>
          <w:color w:val="auto"/>
          <w:highlight w:val="none"/>
        </w:rPr>
      </w:pPr>
      <w:r>
        <w:rPr>
          <w:rFonts w:hint="eastAsia"/>
          <w:color w:val="auto"/>
          <w:highlight w:val="none"/>
          <w:u w:val="single"/>
        </w:rPr>
        <w:t>（4）</w:t>
      </w:r>
      <w:r>
        <w:rPr>
          <w:rFonts w:hint="eastAsia"/>
          <w:color w:val="auto"/>
          <w:highlight w:val="none"/>
        </w:rPr>
        <w:t>投标人财务状况</w:t>
      </w:r>
    </w:p>
    <w:p>
      <w:pPr>
        <w:spacing w:line="276" w:lineRule="auto"/>
        <w:ind w:firstLine="1470" w:firstLineChars="700"/>
        <w:rPr>
          <w:color w:val="auto"/>
          <w:highlight w:val="none"/>
        </w:rPr>
      </w:pPr>
      <w:r>
        <w:rPr>
          <w:rFonts w:hint="eastAsia"/>
          <w:color w:val="auto"/>
          <w:highlight w:val="none"/>
          <w:u w:val="single"/>
        </w:rPr>
        <w:t>（5）</w:t>
      </w:r>
      <w:r>
        <w:rPr>
          <w:rFonts w:hint="eastAsia"/>
          <w:color w:val="auto"/>
          <w:highlight w:val="none"/>
        </w:rPr>
        <w:t>投标人设计资质或联合体中设计单位奖项情况</w:t>
      </w:r>
    </w:p>
    <w:p>
      <w:pPr>
        <w:spacing w:line="276" w:lineRule="auto"/>
        <w:ind w:firstLine="1470" w:firstLineChars="700"/>
        <w:rPr>
          <w:rFonts w:hint="eastAsia"/>
          <w:color w:val="auto"/>
          <w:highlight w:val="none"/>
        </w:rPr>
      </w:pPr>
      <w:r>
        <w:rPr>
          <w:rFonts w:hint="eastAsia"/>
          <w:color w:val="auto"/>
          <w:highlight w:val="none"/>
          <w:u w:val="single"/>
        </w:rPr>
        <w:t>（6）</w:t>
      </w:r>
      <w:r>
        <w:rPr>
          <w:rFonts w:hint="eastAsia"/>
          <w:color w:val="auto"/>
          <w:highlight w:val="none"/>
        </w:rPr>
        <w:t>投标人施工资质或联合体中施工单位奖项情况</w:t>
      </w:r>
    </w:p>
    <w:p>
      <w:pPr>
        <w:spacing w:line="276" w:lineRule="auto"/>
        <w:ind w:firstLine="1470" w:firstLineChars="700"/>
        <w:rPr>
          <w:rFonts w:hint="eastAsia" w:cs="Times New Roman"/>
          <w:color w:val="auto"/>
          <w:highlight w:val="none"/>
        </w:rPr>
      </w:pPr>
      <w:r>
        <w:rPr>
          <w:rFonts w:hint="eastAsia"/>
          <w:color w:val="auto"/>
          <w:highlight w:val="none"/>
          <w:u w:val="single"/>
          <w:lang w:eastAsia="zh-CN"/>
        </w:rPr>
        <w:t>（</w:t>
      </w:r>
      <w:r>
        <w:rPr>
          <w:rFonts w:hint="eastAsia" w:cs="Times New Roman"/>
          <w:color w:val="auto"/>
          <w:highlight w:val="none"/>
          <w:u w:val="single"/>
          <w:lang w:val="en-US" w:eastAsia="zh-CN"/>
        </w:rPr>
        <w:t>7</w:t>
      </w:r>
      <w:r>
        <w:rPr>
          <w:rFonts w:hint="eastAsia" w:cs="Times New Roman"/>
          <w:color w:val="auto"/>
          <w:highlight w:val="none"/>
          <w:u w:val="single"/>
          <w:lang w:eastAsia="zh-CN"/>
        </w:rPr>
        <w:t>）</w:t>
      </w:r>
      <w:r>
        <w:rPr>
          <w:rFonts w:hint="eastAsia" w:cs="Times New Roman"/>
          <w:color w:val="auto"/>
          <w:highlight w:val="none"/>
        </w:rPr>
        <w:t>拟投入本项目的主要施工设备表</w:t>
      </w:r>
    </w:p>
    <w:p>
      <w:pPr>
        <w:spacing w:line="276" w:lineRule="auto"/>
        <w:ind w:firstLine="1470" w:firstLineChars="700"/>
        <w:rPr>
          <w:rFonts w:hint="eastAsia" w:cs="Times New Roman"/>
          <w:color w:val="auto"/>
          <w:highlight w:val="none"/>
        </w:rPr>
      </w:pPr>
      <w:r>
        <w:rPr>
          <w:rFonts w:hint="eastAsia" w:cs="Times New Roman"/>
          <w:color w:val="auto"/>
          <w:highlight w:val="none"/>
          <w:u w:val="single"/>
        </w:rPr>
        <w:t>（8）</w:t>
      </w:r>
      <w:r>
        <w:rPr>
          <w:rFonts w:hint="eastAsia" w:cs="Times New Roman"/>
          <w:color w:val="auto"/>
          <w:highlight w:val="none"/>
        </w:rPr>
        <w:t>拟配备本项目的试验和检测仪器设备表</w:t>
      </w:r>
    </w:p>
    <w:p>
      <w:pPr>
        <w:spacing w:line="276" w:lineRule="auto"/>
        <w:ind w:firstLine="1470" w:firstLineChars="700"/>
        <w:rPr>
          <w:rFonts w:hint="eastAsia" w:cs="Times New Roman"/>
          <w:color w:val="auto"/>
          <w:highlight w:val="none"/>
        </w:rPr>
      </w:pPr>
      <w:r>
        <w:rPr>
          <w:rFonts w:hint="eastAsia" w:cs="Times New Roman"/>
          <w:color w:val="auto"/>
          <w:highlight w:val="none"/>
          <w:u w:val="single"/>
        </w:rPr>
        <w:t>（</w:t>
      </w:r>
      <w:r>
        <w:rPr>
          <w:rFonts w:hint="eastAsia" w:cs="Times New Roman"/>
          <w:color w:val="auto"/>
          <w:highlight w:val="none"/>
          <w:u w:val="single"/>
          <w:lang w:val="en-US" w:eastAsia="zh-CN"/>
        </w:rPr>
        <w:t>9</w:t>
      </w:r>
      <w:r>
        <w:rPr>
          <w:rFonts w:hint="eastAsia" w:cs="Times New Roman"/>
          <w:color w:val="auto"/>
          <w:highlight w:val="none"/>
          <w:u w:val="single"/>
        </w:rPr>
        <w:t>）</w:t>
      </w:r>
      <w:r>
        <w:rPr>
          <w:rFonts w:hint="eastAsia" w:cs="Times New Roman"/>
          <w:color w:val="auto"/>
          <w:highlight w:val="none"/>
        </w:rPr>
        <w:t>企业信用情况附有关证明文件复印件</w:t>
      </w:r>
    </w:p>
    <w:p>
      <w:pPr>
        <w:spacing w:line="276" w:lineRule="auto"/>
        <w:ind w:firstLine="1470" w:firstLineChars="700"/>
        <w:rPr>
          <w:rFonts w:hint="eastAsia" w:cs="Times New Roman"/>
          <w:color w:val="auto"/>
          <w:highlight w:val="none"/>
        </w:rPr>
      </w:pPr>
      <w:r>
        <w:rPr>
          <w:rFonts w:hint="eastAsia" w:cs="Times New Roman"/>
          <w:color w:val="auto"/>
          <w:highlight w:val="none"/>
          <w:u w:val="single"/>
          <w:lang w:eastAsia="zh-CN"/>
        </w:rPr>
        <w:t>（</w:t>
      </w:r>
      <w:r>
        <w:rPr>
          <w:rFonts w:hint="eastAsia" w:cs="Times New Roman"/>
          <w:color w:val="auto"/>
          <w:highlight w:val="none"/>
          <w:u w:val="single"/>
        </w:rPr>
        <w:t>10）</w:t>
      </w:r>
      <w:r>
        <w:rPr>
          <w:rFonts w:hint="eastAsia" w:cs="Times New Roman"/>
          <w:color w:val="auto"/>
          <w:highlight w:val="none"/>
        </w:rPr>
        <w:t>企业及拟任项目负责人的不良行为记录发生情况</w:t>
      </w:r>
    </w:p>
    <w:p>
      <w:pPr>
        <w:spacing w:line="276" w:lineRule="auto"/>
        <w:ind w:firstLine="420" w:firstLineChars="200"/>
        <w:outlineLvl w:val="0"/>
        <w:rPr>
          <w:color w:val="auto"/>
          <w:highlight w:val="none"/>
        </w:rPr>
      </w:pPr>
      <w:bookmarkStart w:id="1190" w:name="_Toc10927"/>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rStyle w:val="25"/>
          <w:color w:val="auto"/>
          <w:highlight w:val="none"/>
        </w:rPr>
        <w:t>9</w:t>
      </w:r>
      <w:r>
        <w:rPr>
          <w:rStyle w:val="25"/>
          <w:rFonts w:hint="eastAsia"/>
          <w:color w:val="auto"/>
          <w:highlight w:val="none"/>
        </w:rPr>
        <w:t>.</w:t>
      </w:r>
      <w:r>
        <w:rPr>
          <w:rStyle w:val="25"/>
          <w:color w:val="auto"/>
          <w:highlight w:val="none"/>
        </w:rPr>
        <w:t>承诺书</w:t>
      </w:r>
      <w:r>
        <w:rPr>
          <w:color w:val="auto"/>
          <w:highlight w:val="none"/>
        </w:rPr>
        <w:fldChar w:fldCharType="end"/>
      </w:r>
      <w:bookmarkEnd w:id="1190"/>
    </w:p>
    <w:p>
      <w:pPr>
        <w:spacing w:line="276" w:lineRule="auto"/>
        <w:ind w:firstLine="420" w:firstLineChars="200"/>
        <w:outlineLvl w:val="0"/>
        <w:rPr>
          <w:color w:val="auto"/>
          <w:highlight w:val="none"/>
        </w:rPr>
      </w:pPr>
      <w:bookmarkStart w:id="1191" w:name="_Toc5641"/>
      <w:r>
        <w:rPr>
          <w:rFonts w:hint="eastAsia"/>
          <w:color w:val="auto"/>
          <w:highlight w:val="none"/>
        </w:rPr>
        <w:t>1</w:t>
      </w:r>
      <w:r>
        <w:rPr>
          <w:rFonts w:hint="eastAsia"/>
          <w:color w:val="auto"/>
          <w:highlight w:val="none"/>
          <w:lang w:val="en-US" w:eastAsia="zh-CN"/>
        </w:rPr>
        <w:t>0</w:t>
      </w:r>
      <w:r>
        <w:rPr>
          <w:rFonts w:hint="eastAsia"/>
          <w:color w:val="auto"/>
          <w:highlight w:val="none"/>
        </w:rPr>
        <w:t>.其他</w:t>
      </w:r>
      <w:bookmarkEnd w:id="1191"/>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25"/>
          <w:color w:val="auto"/>
          <w:highlight w:val="none"/>
        </w:rPr>
      </w:pPr>
      <w:bookmarkStart w:id="1192" w:name="_Toc300678567"/>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ind w:left="0" w:leftChars="0" w:firstLine="0" w:firstLineChars="0"/>
        <w:rPr>
          <w:rFonts w:hint="eastAsia"/>
          <w:color w:val="auto"/>
          <w:highlight w:val="none"/>
        </w:rPr>
      </w:pPr>
    </w:p>
    <w:bookmarkEnd w:id="1192"/>
    <w:p>
      <w:pPr>
        <w:pStyle w:val="4"/>
        <w:spacing w:before="0" w:after="0" w:line="360" w:lineRule="auto"/>
        <w:jc w:val="center"/>
        <w:outlineLvl w:val="0"/>
        <w:rPr>
          <w:rFonts w:ascii="Times New Roman" w:hAnsi="Times New Roman"/>
          <w:b w:val="0"/>
          <w:bCs w:val="0"/>
          <w:color w:val="auto"/>
          <w:sz w:val="30"/>
          <w:highlight w:val="none"/>
        </w:rPr>
      </w:pPr>
      <w:bookmarkStart w:id="1193" w:name="_Toc19991_WPSOffice_Level1"/>
      <w:bookmarkStart w:id="1194" w:name="_Toc5408"/>
      <w:bookmarkStart w:id="1195" w:name="_Toc15226"/>
      <w:bookmarkStart w:id="1196" w:name="_Toc47711643"/>
      <w:bookmarkStart w:id="1197" w:name="_Toc9178579"/>
      <w:r>
        <w:rPr>
          <w:rFonts w:hint="eastAsia" w:ascii="Times New Roman" w:hAnsi="Times New Roman"/>
          <w:b w:val="0"/>
          <w:bCs w:val="0"/>
          <w:color w:val="auto"/>
          <w:sz w:val="30"/>
          <w:highlight w:val="none"/>
        </w:rPr>
        <w:t>1.</w:t>
      </w:r>
      <w:r>
        <w:rPr>
          <w:rFonts w:ascii="Times New Roman" w:hAnsi="Times New Roman"/>
          <w:b w:val="0"/>
          <w:bCs w:val="0"/>
          <w:color w:val="auto"/>
          <w:sz w:val="30"/>
          <w:highlight w:val="none"/>
        </w:rPr>
        <w:t>投标函及投标函附录</w:t>
      </w:r>
      <w:bookmarkEnd w:id="1193"/>
      <w:bookmarkEnd w:id="1194"/>
      <w:bookmarkEnd w:id="1195"/>
      <w:bookmarkEnd w:id="1196"/>
      <w:bookmarkEnd w:id="1197"/>
    </w:p>
    <w:p>
      <w:pPr>
        <w:pStyle w:val="6"/>
        <w:spacing w:line="288" w:lineRule="auto"/>
        <w:jc w:val="center"/>
        <w:rPr>
          <w:rFonts w:ascii="Times New Roman" w:hAnsi="Times New Roman"/>
          <w:b w:val="0"/>
          <w:bCs w:val="0"/>
          <w:color w:val="auto"/>
          <w:highlight w:val="none"/>
        </w:rPr>
      </w:pPr>
      <w:bookmarkStart w:id="1198" w:name="_Toc300678568"/>
      <w:r>
        <w:rPr>
          <w:rFonts w:ascii="Times New Roman" w:hAnsi="Times New Roman"/>
          <w:b w:val="0"/>
          <w:bCs w:val="0"/>
          <w:color w:val="auto"/>
          <w:highlight w:val="none"/>
        </w:rPr>
        <w:t>（</w:t>
      </w:r>
      <w:r>
        <w:rPr>
          <w:rFonts w:hint="eastAsia" w:ascii="Times New Roman" w:hAnsi="Times New Roman"/>
          <w:b w:val="0"/>
          <w:bCs w:val="0"/>
          <w:color w:val="auto"/>
          <w:highlight w:val="none"/>
        </w:rPr>
        <w:t>1</w:t>
      </w:r>
      <w:r>
        <w:rPr>
          <w:rFonts w:ascii="Times New Roman" w:hAnsi="Times New Roman"/>
          <w:b w:val="0"/>
          <w:bCs w:val="0"/>
          <w:color w:val="auto"/>
          <w:highlight w:val="none"/>
        </w:rPr>
        <w:t>）投  标  函</w:t>
      </w:r>
      <w:bookmarkEnd w:id="1198"/>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w:t>
      </w:r>
      <w:r>
        <w:rPr>
          <w:rFonts w:hint="eastAsia"/>
          <w:color w:val="auto"/>
          <w:szCs w:val="21"/>
          <w:highlight w:val="none"/>
        </w:rPr>
        <w:t>工程总承包</w:t>
      </w:r>
      <w:r>
        <w:rPr>
          <w:color w:val="auto"/>
          <w:szCs w:val="21"/>
          <w:highlight w:val="none"/>
        </w:rPr>
        <w:t>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rFonts w:hint="eastAsia"/>
          <w:color w:val="auto"/>
          <w:szCs w:val="21"/>
          <w:highlight w:val="none"/>
          <w:lang w:eastAsia="zh-CN"/>
        </w:rPr>
        <w:t>（</w:t>
      </w:r>
      <w:r>
        <w:rPr>
          <w:rFonts w:hint="eastAsia"/>
          <w:color w:val="auto"/>
          <w:szCs w:val="21"/>
          <w:highlight w:val="none"/>
          <w:lang w:val="en-US" w:eastAsia="zh-CN"/>
        </w:rPr>
        <w:t>小写</w:t>
      </w:r>
      <w:r>
        <w:rPr>
          <w:rFonts w:hint="eastAsia"/>
          <w:color w:val="auto"/>
          <w:szCs w:val="21"/>
          <w:highlight w:val="none"/>
          <w:lang w:eastAsia="zh-CN"/>
        </w:rPr>
        <w:t>）</w:t>
      </w:r>
      <w:r>
        <w:rPr>
          <w:color w:val="auto"/>
          <w:szCs w:val="21"/>
          <w:highlight w:val="none"/>
        </w:rPr>
        <w:t>：</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□个月□年</w:t>
      </w:r>
      <w:r>
        <w:rPr>
          <w:color w:val="auto"/>
          <w:szCs w:val="21"/>
          <w:highlight w:val="none"/>
        </w:rPr>
        <w:t>内竣工，并确保工程质量</w:t>
      </w:r>
      <w:r>
        <w:rPr>
          <w:rFonts w:hint="eastAsia"/>
          <w:color w:val="auto"/>
          <w:szCs w:val="21"/>
          <w:highlight w:val="none"/>
        </w:rPr>
        <w:t>满足招标文件规定的</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w:t>
      </w:r>
      <w:r>
        <w:rPr>
          <w:rFonts w:hint="eastAsia"/>
          <w:color w:val="auto"/>
          <w:szCs w:val="21"/>
          <w:highlight w:val="none"/>
        </w:rPr>
        <w:t>独立体或联合体牵头</w:t>
      </w:r>
      <w:r>
        <w:rPr>
          <w:rFonts w:hint="eastAsia"/>
          <w:color w:val="auto"/>
          <w:szCs w:val="21"/>
          <w:highlight w:val="none"/>
          <w:lang w:val="en-US" w:eastAsia="zh-CN"/>
        </w:rPr>
        <w:t>人</w:t>
      </w:r>
      <w:r>
        <w:rPr>
          <w:color w:val="auto"/>
          <w:szCs w:val="21"/>
          <w:highlight w:val="none"/>
        </w:rPr>
        <w:t>盖单位章）：</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法定代表人或委托代理人（签字或盖章）：</w:t>
      </w:r>
    </w:p>
    <w:p>
      <w:pPr>
        <w:ind w:firstLine="420" w:firstLineChars="200"/>
        <w:rPr>
          <w:color w:val="auto"/>
          <w:szCs w:val="21"/>
          <w:highlight w:val="none"/>
        </w:rPr>
      </w:pPr>
    </w:p>
    <w:p>
      <w:pPr>
        <w:ind w:firstLine="420" w:firstLineChars="200"/>
        <w:rPr>
          <w:rFonts w:hint="eastAsia"/>
          <w:color w:val="auto"/>
          <w:szCs w:val="21"/>
          <w:highlight w:val="none"/>
        </w:rPr>
      </w:pPr>
      <w:r>
        <w:rPr>
          <w:color w:val="auto"/>
          <w:szCs w:val="21"/>
          <w:highlight w:val="none"/>
        </w:rPr>
        <w:t>日期：   年  月  日</w:t>
      </w:r>
    </w:p>
    <w:p>
      <w:pPr>
        <w:ind w:firstLine="420" w:firstLineChars="200"/>
        <w:rPr>
          <w:rFonts w:hint="eastAsia"/>
          <w:color w:val="auto"/>
          <w:szCs w:val="21"/>
          <w:highlight w:val="none"/>
        </w:rPr>
      </w:pPr>
    </w:p>
    <w:p>
      <w:pPr>
        <w:pStyle w:val="31"/>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注：以联合体形式投标的，本投标函应由联合体牵头人按上述规定填写并签署。</w:t>
      </w:r>
    </w:p>
    <w:p>
      <w:pPr>
        <w:ind w:firstLine="420" w:firstLineChars="200"/>
        <w:rPr>
          <w:color w:val="auto"/>
          <w:szCs w:val="21"/>
          <w:highlight w:val="none"/>
        </w:rPr>
      </w:pPr>
    </w:p>
    <w:p>
      <w:pPr>
        <w:spacing w:line="360" w:lineRule="auto"/>
        <w:rPr>
          <w:rFonts w:eastAsia="黑体"/>
          <w:color w:val="auto"/>
          <w:sz w:val="24"/>
          <w:highlight w:val="none"/>
        </w:rPr>
        <w:sectPr>
          <w:pgSz w:w="11907" w:h="16840"/>
          <w:pgMar w:top="1304" w:right="1474" w:bottom="1304" w:left="1474" w:header="737" w:footer="737" w:gutter="0"/>
          <w:cols w:space="720" w:num="1"/>
          <w:docGrid w:linePitch="326" w:charSpace="0"/>
        </w:sectPr>
      </w:pPr>
    </w:p>
    <w:p>
      <w:pPr>
        <w:pStyle w:val="6"/>
        <w:jc w:val="center"/>
        <w:rPr>
          <w:rFonts w:ascii="Times New Roman" w:hAnsi="Times New Roman"/>
          <w:b w:val="0"/>
          <w:bCs w:val="0"/>
          <w:color w:val="auto"/>
          <w:highlight w:val="none"/>
        </w:rPr>
      </w:pPr>
      <w:r>
        <w:rPr>
          <w:rFonts w:ascii="Times New Roman" w:hAnsi="Times New Roman"/>
          <w:b w:val="0"/>
          <w:bCs w:val="0"/>
          <w:color w:val="auto"/>
          <w:highlight w:val="none"/>
        </w:rPr>
        <w:t>（</w:t>
      </w:r>
      <w:r>
        <w:rPr>
          <w:rFonts w:hint="eastAsia" w:ascii="Times New Roman" w:hAnsi="Times New Roman"/>
          <w:b w:val="0"/>
          <w:bCs w:val="0"/>
          <w:color w:val="auto"/>
          <w:highlight w:val="none"/>
        </w:rPr>
        <w:t>2</w:t>
      </w:r>
      <w:r>
        <w:rPr>
          <w:rFonts w:ascii="Times New Roman" w:hAnsi="Times New Roman"/>
          <w:b w:val="0"/>
          <w:bCs w:val="0"/>
          <w:color w:val="auto"/>
          <w:highlight w:val="none"/>
        </w:rPr>
        <w:t>）投标函附录</w:t>
      </w:r>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21"/>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color w:val="auto"/>
                <w:sz w:val="18"/>
                <w:szCs w:val="21"/>
                <w:highlight w:val="none"/>
              </w:rPr>
            </w:pPr>
            <w:r>
              <w:rPr>
                <w:color w:val="auto"/>
                <w:sz w:val="18"/>
                <w:szCs w:val="21"/>
                <w:highlight w:val="none"/>
              </w:rPr>
              <w:t>序 号</w:t>
            </w:r>
          </w:p>
        </w:tc>
        <w:tc>
          <w:tcPr>
            <w:tcW w:w="2931" w:type="dxa"/>
            <w:vAlign w:val="center"/>
          </w:tcPr>
          <w:p>
            <w:pPr>
              <w:jc w:val="center"/>
              <w:rPr>
                <w:color w:val="auto"/>
                <w:sz w:val="18"/>
                <w:szCs w:val="21"/>
                <w:highlight w:val="none"/>
              </w:rPr>
            </w:pPr>
            <w:r>
              <w:rPr>
                <w:color w:val="auto"/>
                <w:sz w:val="18"/>
                <w:szCs w:val="21"/>
                <w:highlight w:val="none"/>
              </w:rPr>
              <w:t>条款内容</w:t>
            </w:r>
          </w:p>
        </w:tc>
        <w:tc>
          <w:tcPr>
            <w:tcW w:w="1278" w:type="dxa"/>
            <w:vAlign w:val="center"/>
          </w:tcPr>
          <w:p>
            <w:pPr>
              <w:jc w:val="center"/>
              <w:rPr>
                <w:color w:val="auto"/>
                <w:sz w:val="18"/>
                <w:szCs w:val="21"/>
                <w:highlight w:val="none"/>
              </w:rPr>
            </w:pPr>
            <w:r>
              <w:rPr>
                <w:color w:val="auto"/>
                <w:sz w:val="18"/>
                <w:szCs w:val="21"/>
                <w:highlight w:val="none"/>
              </w:rPr>
              <w:t>合同条款号</w:t>
            </w:r>
          </w:p>
        </w:tc>
        <w:tc>
          <w:tcPr>
            <w:tcW w:w="2975" w:type="dxa"/>
            <w:vAlign w:val="center"/>
          </w:tcPr>
          <w:p>
            <w:pPr>
              <w:jc w:val="center"/>
              <w:rPr>
                <w:color w:val="auto"/>
                <w:sz w:val="18"/>
                <w:szCs w:val="21"/>
                <w:highlight w:val="none"/>
              </w:rPr>
            </w:pPr>
            <w:r>
              <w:rPr>
                <w:color w:val="auto"/>
                <w:sz w:val="18"/>
                <w:szCs w:val="21"/>
                <w:highlight w:val="none"/>
              </w:rPr>
              <w:t>约定内容</w:t>
            </w:r>
          </w:p>
        </w:tc>
        <w:tc>
          <w:tcPr>
            <w:tcW w:w="871" w:type="dxa"/>
            <w:vAlign w:val="center"/>
          </w:tcPr>
          <w:p>
            <w:pPr>
              <w:jc w:val="center"/>
              <w:rPr>
                <w:color w:val="auto"/>
                <w:sz w:val="18"/>
                <w:szCs w:val="21"/>
                <w:highlight w:val="none"/>
              </w:rPr>
            </w:pPr>
            <w:r>
              <w:rPr>
                <w:rFonts w:hint="eastAsia"/>
                <w:color w:val="auto"/>
                <w:sz w:val="18"/>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color w:val="auto"/>
                <w:sz w:val="18"/>
                <w:szCs w:val="21"/>
                <w:highlight w:val="none"/>
              </w:rPr>
            </w:pPr>
            <w:r>
              <w:rPr>
                <w:color w:val="auto"/>
                <w:sz w:val="18"/>
                <w:szCs w:val="21"/>
                <w:highlight w:val="none"/>
              </w:rPr>
              <w:t>1</w:t>
            </w:r>
          </w:p>
        </w:tc>
        <w:tc>
          <w:tcPr>
            <w:tcW w:w="2931" w:type="dxa"/>
            <w:vAlign w:val="center"/>
          </w:tcPr>
          <w:p>
            <w:pPr>
              <w:jc w:val="center"/>
              <w:rPr>
                <w:color w:val="auto"/>
                <w:sz w:val="18"/>
                <w:szCs w:val="21"/>
                <w:highlight w:val="none"/>
              </w:rPr>
            </w:pPr>
            <w:r>
              <w:rPr>
                <w:rFonts w:hint="eastAsia"/>
                <w:color w:val="auto"/>
                <w:sz w:val="18"/>
                <w:szCs w:val="21"/>
                <w:highlight w:val="none"/>
              </w:rPr>
              <w:t>工程总承包项目负责人</w:t>
            </w:r>
          </w:p>
        </w:tc>
        <w:tc>
          <w:tcPr>
            <w:tcW w:w="1278" w:type="dxa"/>
            <w:tcMar>
              <w:left w:w="170" w:type="dxa"/>
            </w:tcMar>
            <w:vAlign w:val="center"/>
          </w:tcPr>
          <w:p>
            <w:pPr>
              <w:rPr>
                <w:color w:val="auto"/>
                <w:sz w:val="18"/>
                <w:szCs w:val="21"/>
                <w:highlight w:val="none"/>
              </w:rPr>
            </w:pPr>
          </w:p>
        </w:tc>
        <w:tc>
          <w:tcPr>
            <w:tcW w:w="2975" w:type="dxa"/>
            <w:vAlign w:val="center"/>
          </w:tcPr>
          <w:p>
            <w:pPr>
              <w:jc w:val="left"/>
              <w:rPr>
                <w:color w:val="auto"/>
                <w:sz w:val="18"/>
                <w:szCs w:val="21"/>
                <w:highlight w:val="none"/>
                <w:u w:val="single"/>
              </w:rPr>
            </w:pPr>
            <w:r>
              <w:rPr>
                <w:color w:val="auto"/>
                <w:sz w:val="18"/>
                <w:szCs w:val="21"/>
                <w:highlight w:val="none"/>
              </w:rPr>
              <w:t xml:space="preserve">姓名：   </w:t>
            </w:r>
            <w:r>
              <w:rPr>
                <w:rFonts w:hint="eastAsia"/>
                <w:color w:val="auto"/>
                <w:sz w:val="18"/>
                <w:szCs w:val="21"/>
                <w:highlight w:val="none"/>
              </w:rPr>
              <w:t xml:space="preserve">   </w:t>
            </w:r>
            <w:r>
              <w:rPr>
                <w:rFonts w:hint="eastAsia"/>
                <w:color w:val="auto"/>
                <w:sz w:val="18"/>
                <w:szCs w:val="21"/>
                <w:highlight w:val="none"/>
                <w:lang w:val="en-US" w:eastAsia="zh-CN"/>
              </w:rPr>
              <w:t xml:space="preserve">     </w:t>
            </w:r>
            <w:r>
              <w:rPr>
                <w:color w:val="auto"/>
                <w:sz w:val="18"/>
                <w:szCs w:val="21"/>
                <w:highlight w:val="none"/>
              </w:rPr>
              <w:t>资质等级</w:t>
            </w: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color w:val="auto"/>
                <w:sz w:val="18"/>
                <w:szCs w:val="21"/>
                <w:highlight w:val="none"/>
              </w:rPr>
            </w:pPr>
            <w:r>
              <w:rPr>
                <w:color w:val="auto"/>
                <w:sz w:val="18"/>
                <w:szCs w:val="21"/>
                <w:highlight w:val="none"/>
              </w:rPr>
              <w:t>2</w:t>
            </w:r>
          </w:p>
        </w:tc>
        <w:tc>
          <w:tcPr>
            <w:tcW w:w="2931" w:type="dxa"/>
            <w:vAlign w:val="center"/>
          </w:tcPr>
          <w:p>
            <w:pPr>
              <w:jc w:val="center"/>
              <w:rPr>
                <w:rFonts w:hint="eastAsia" w:cs="Times New Roman"/>
                <w:color w:val="auto"/>
                <w:sz w:val="18"/>
                <w:szCs w:val="21"/>
                <w:highlight w:val="none"/>
              </w:rPr>
            </w:pPr>
            <w:r>
              <w:rPr>
                <w:rFonts w:hint="eastAsia" w:cs="Times New Roman"/>
                <w:color w:val="auto"/>
                <w:sz w:val="18"/>
                <w:szCs w:val="21"/>
                <w:highlight w:val="none"/>
              </w:rPr>
              <w:t>项目设计负责人</w:t>
            </w:r>
          </w:p>
        </w:tc>
        <w:tc>
          <w:tcPr>
            <w:tcW w:w="1278" w:type="dxa"/>
            <w:tcMar>
              <w:left w:w="170" w:type="dxa"/>
            </w:tcMar>
            <w:vAlign w:val="center"/>
          </w:tcPr>
          <w:p>
            <w:pPr>
              <w:jc w:val="center"/>
              <w:rPr>
                <w:rFonts w:hint="eastAsia" w:cs="Times New Roman"/>
                <w:color w:val="auto"/>
                <w:sz w:val="18"/>
                <w:szCs w:val="21"/>
                <w:highlight w:val="none"/>
              </w:rPr>
            </w:pPr>
          </w:p>
        </w:tc>
        <w:tc>
          <w:tcPr>
            <w:tcW w:w="2975" w:type="dxa"/>
            <w:vAlign w:val="center"/>
          </w:tcPr>
          <w:p>
            <w:pPr>
              <w:jc w:val="left"/>
              <w:rPr>
                <w:rFonts w:hint="eastAsia" w:cs="Times New Roman"/>
                <w:color w:val="auto"/>
                <w:sz w:val="18"/>
                <w:szCs w:val="21"/>
                <w:highlight w:val="none"/>
              </w:rPr>
            </w:pPr>
            <w:r>
              <w:rPr>
                <w:rFonts w:hint="eastAsia" w:cs="Times New Roman"/>
                <w:color w:val="auto"/>
                <w:sz w:val="18"/>
                <w:szCs w:val="21"/>
                <w:highlight w:val="none"/>
              </w:rPr>
              <w:t>姓名：           资质等级</w:t>
            </w: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val="en-US" w:eastAsia="zh-CN"/>
              </w:rPr>
            </w:pPr>
            <w:r>
              <w:rPr>
                <w:rFonts w:hint="eastAsia"/>
                <w:color w:val="auto"/>
                <w:sz w:val="18"/>
                <w:szCs w:val="21"/>
                <w:highlight w:val="none"/>
                <w:lang w:val="en-US" w:eastAsia="zh-CN"/>
              </w:rPr>
              <w:t>3</w:t>
            </w:r>
          </w:p>
        </w:tc>
        <w:tc>
          <w:tcPr>
            <w:tcW w:w="2931" w:type="dxa"/>
            <w:vAlign w:val="center"/>
          </w:tcPr>
          <w:p>
            <w:pPr>
              <w:jc w:val="center"/>
              <w:rPr>
                <w:rFonts w:hint="eastAsia" w:cs="Times New Roman"/>
                <w:color w:val="auto"/>
                <w:sz w:val="18"/>
                <w:szCs w:val="21"/>
                <w:highlight w:val="none"/>
              </w:rPr>
            </w:pPr>
            <w:r>
              <w:rPr>
                <w:rFonts w:hint="eastAsia" w:cs="Times New Roman"/>
                <w:color w:val="auto"/>
                <w:sz w:val="18"/>
                <w:szCs w:val="21"/>
                <w:highlight w:val="none"/>
              </w:rPr>
              <w:t>项目施工负责人</w:t>
            </w:r>
          </w:p>
        </w:tc>
        <w:tc>
          <w:tcPr>
            <w:tcW w:w="1278" w:type="dxa"/>
            <w:tcMar>
              <w:left w:w="170" w:type="dxa"/>
            </w:tcMar>
            <w:vAlign w:val="center"/>
          </w:tcPr>
          <w:p>
            <w:pPr>
              <w:jc w:val="center"/>
              <w:rPr>
                <w:rFonts w:hint="eastAsia" w:cs="Times New Roman"/>
                <w:color w:val="auto"/>
                <w:sz w:val="18"/>
                <w:szCs w:val="21"/>
                <w:highlight w:val="none"/>
              </w:rPr>
            </w:pPr>
          </w:p>
        </w:tc>
        <w:tc>
          <w:tcPr>
            <w:tcW w:w="2975" w:type="dxa"/>
            <w:vAlign w:val="center"/>
          </w:tcPr>
          <w:p>
            <w:pPr>
              <w:jc w:val="left"/>
              <w:rPr>
                <w:rFonts w:hint="eastAsia" w:cs="Times New Roman"/>
                <w:color w:val="auto"/>
                <w:sz w:val="18"/>
                <w:szCs w:val="21"/>
                <w:highlight w:val="none"/>
              </w:rPr>
            </w:pPr>
            <w:r>
              <w:rPr>
                <w:rFonts w:hint="eastAsia" w:cs="Times New Roman"/>
                <w:color w:val="auto"/>
                <w:sz w:val="18"/>
                <w:szCs w:val="21"/>
                <w:highlight w:val="none"/>
              </w:rPr>
              <w:t>姓名：</w:t>
            </w:r>
            <w:r>
              <w:rPr>
                <w:rFonts w:hint="eastAsia" w:cs="Times New Roman"/>
                <w:color w:val="auto"/>
                <w:sz w:val="18"/>
                <w:szCs w:val="21"/>
                <w:highlight w:val="none"/>
                <w:lang w:val="en-US" w:eastAsia="zh-CN"/>
              </w:rPr>
              <w:t xml:space="preserve">           </w:t>
            </w:r>
            <w:r>
              <w:rPr>
                <w:rFonts w:hint="eastAsia" w:cs="Times New Roman"/>
                <w:color w:val="auto"/>
                <w:sz w:val="18"/>
                <w:szCs w:val="21"/>
                <w:highlight w:val="none"/>
              </w:rPr>
              <w:t>资质等级</w:t>
            </w: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val="en-US" w:eastAsia="zh-CN"/>
              </w:rPr>
            </w:pPr>
            <w:r>
              <w:rPr>
                <w:rFonts w:hint="eastAsia"/>
                <w:color w:val="auto"/>
                <w:sz w:val="18"/>
                <w:szCs w:val="21"/>
                <w:highlight w:val="none"/>
                <w:lang w:val="en-US" w:eastAsia="zh-CN"/>
              </w:rPr>
              <w:t>4</w:t>
            </w:r>
          </w:p>
        </w:tc>
        <w:tc>
          <w:tcPr>
            <w:tcW w:w="2931" w:type="dxa"/>
            <w:vAlign w:val="center"/>
          </w:tcPr>
          <w:p>
            <w:pPr>
              <w:jc w:val="center"/>
              <w:rPr>
                <w:rFonts w:hint="eastAsia" w:cs="Times New Roman"/>
                <w:color w:val="auto"/>
                <w:sz w:val="18"/>
                <w:szCs w:val="21"/>
                <w:highlight w:val="none"/>
              </w:rPr>
            </w:pPr>
            <w:r>
              <w:rPr>
                <w:rFonts w:hint="eastAsia" w:cs="Times New Roman"/>
                <w:color w:val="auto"/>
                <w:sz w:val="18"/>
                <w:szCs w:val="21"/>
                <w:highlight w:val="none"/>
              </w:rPr>
              <w:t>项目施工技术负责人</w:t>
            </w:r>
          </w:p>
        </w:tc>
        <w:tc>
          <w:tcPr>
            <w:tcW w:w="1278" w:type="dxa"/>
            <w:tcMar>
              <w:left w:w="170" w:type="dxa"/>
            </w:tcMar>
            <w:vAlign w:val="center"/>
          </w:tcPr>
          <w:p>
            <w:pPr>
              <w:jc w:val="center"/>
              <w:rPr>
                <w:rFonts w:hint="eastAsia" w:cs="Times New Roman"/>
                <w:color w:val="auto"/>
                <w:sz w:val="18"/>
                <w:szCs w:val="21"/>
                <w:highlight w:val="none"/>
              </w:rPr>
            </w:pPr>
          </w:p>
        </w:tc>
        <w:tc>
          <w:tcPr>
            <w:tcW w:w="2975" w:type="dxa"/>
            <w:vAlign w:val="center"/>
          </w:tcPr>
          <w:p>
            <w:pPr>
              <w:jc w:val="left"/>
              <w:rPr>
                <w:rFonts w:hint="eastAsia" w:cs="Times New Roman"/>
                <w:color w:val="auto"/>
                <w:sz w:val="18"/>
                <w:szCs w:val="21"/>
                <w:highlight w:val="none"/>
              </w:rPr>
            </w:pPr>
            <w:r>
              <w:rPr>
                <w:rFonts w:hint="eastAsia" w:cs="Times New Roman"/>
                <w:color w:val="auto"/>
                <w:sz w:val="18"/>
                <w:szCs w:val="21"/>
                <w:highlight w:val="none"/>
              </w:rPr>
              <w:t>姓名：</w:t>
            </w: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val="en-US" w:eastAsia="zh-CN"/>
              </w:rPr>
            </w:pPr>
            <w:r>
              <w:rPr>
                <w:rFonts w:hint="eastAsia"/>
                <w:color w:val="auto"/>
                <w:sz w:val="18"/>
                <w:szCs w:val="21"/>
                <w:highlight w:val="none"/>
                <w:lang w:val="en-US" w:eastAsia="zh-CN"/>
              </w:rPr>
              <w:t>5</w:t>
            </w:r>
          </w:p>
        </w:tc>
        <w:tc>
          <w:tcPr>
            <w:tcW w:w="2931" w:type="dxa"/>
            <w:vAlign w:val="center"/>
          </w:tcPr>
          <w:p>
            <w:pPr>
              <w:jc w:val="center"/>
              <w:rPr>
                <w:color w:val="auto"/>
                <w:sz w:val="18"/>
                <w:szCs w:val="21"/>
                <w:highlight w:val="none"/>
              </w:rPr>
            </w:pPr>
            <w:r>
              <w:rPr>
                <w:color w:val="auto"/>
                <w:sz w:val="18"/>
                <w:szCs w:val="21"/>
                <w:highlight w:val="none"/>
              </w:rPr>
              <w:t>工期</w:t>
            </w:r>
          </w:p>
        </w:tc>
        <w:tc>
          <w:tcPr>
            <w:tcW w:w="1278" w:type="dxa"/>
            <w:tcMar>
              <w:left w:w="170" w:type="dxa"/>
            </w:tcMar>
            <w:vAlign w:val="center"/>
          </w:tcPr>
          <w:p>
            <w:pPr>
              <w:rPr>
                <w:color w:val="auto"/>
                <w:sz w:val="18"/>
                <w:szCs w:val="21"/>
                <w:highlight w:val="none"/>
              </w:rPr>
            </w:pPr>
          </w:p>
        </w:tc>
        <w:tc>
          <w:tcPr>
            <w:tcW w:w="2975" w:type="dxa"/>
            <w:vAlign w:val="center"/>
          </w:tcPr>
          <w:p>
            <w:pPr>
              <w:jc w:val="left"/>
              <w:rPr>
                <w:color w:val="auto"/>
                <w:sz w:val="18"/>
                <w:szCs w:val="21"/>
                <w:highlight w:val="none"/>
              </w:rPr>
            </w:pPr>
            <w:r>
              <w:rPr>
                <w:color w:val="auto"/>
                <w:sz w:val="18"/>
                <w:szCs w:val="21"/>
                <w:highlight w:val="none"/>
              </w:rPr>
              <w:t xml:space="preserve">天数： </w:t>
            </w:r>
            <w:r>
              <w:rPr>
                <w:rFonts w:hint="eastAsia"/>
                <w:color w:val="auto"/>
                <w:sz w:val="18"/>
                <w:szCs w:val="21"/>
                <w:highlight w:val="none"/>
              </w:rPr>
              <w:t xml:space="preserve">  □</w:t>
            </w:r>
            <w:r>
              <w:rPr>
                <w:color w:val="auto"/>
                <w:sz w:val="18"/>
                <w:szCs w:val="21"/>
                <w:highlight w:val="none"/>
              </w:rPr>
              <w:t>天（日历日）</w:t>
            </w:r>
            <w:r>
              <w:rPr>
                <w:rFonts w:hint="eastAsia"/>
                <w:color w:val="auto"/>
                <w:sz w:val="18"/>
                <w:szCs w:val="21"/>
                <w:highlight w:val="none"/>
              </w:rPr>
              <w:t>□个月□年</w:t>
            </w: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6</w:t>
            </w:r>
          </w:p>
        </w:tc>
        <w:tc>
          <w:tcPr>
            <w:tcW w:w="2931" w:type="dxa"/>
            <w:vAlign w:val="center"/>
          </w:tcPr>
          <w:p>
            <w:pPr>
              <w:jc w:val="center"/>
              <w:rPr>
                <w:rFonts w:hint="default" w:eastAsia="方正小标宋简体"/>
                <w:color w:val="auto"/>
                <w:sz w:val="18"/>
                <w:szCs w:val="21"/>
                <w:highlight w:val="none"/>
                <w:lang w:val="en-US" w:eastAsia="zh-CN"/>
              </w:rPr>
            </w:pPr>
            <w:r>
              <w:rPr>
                <w:color w:val="auto"/>
                <w:sz w:val="18"/>
                <w:szCs w:val="21"/>
                <w:highlight w:val="none"/>
              </w:rPr>
              <w:t>质量</w:t>
            </w:r>
            <w:r>
              <w:rPr>
                <w:rFonts w:hint="eastAsia"/>
                <w:color w:val="auto"/>
                <w:sz w:val="18"/>
                <w:szCs w:val="21"/>
                <w:highlight w:val="none"/>
                <w:lang w:val="en-US" w:eastAsia="zh-CN"/>
              </w:rPr>
              <w:t>要求</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u w:val="singl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7</w:t>
            </w:r>
          </w:p>
        </w:tc>
        <w:tc>
          <w:tcPr>
            <w:tcW w:w="2931" w:type="dxa"/>
            <w:vAlign w:val="center"/>
          </w:tcPr>
          <w:p>
            <w:pPr>
              <w:jc w:val="center"/>
              <w:rPr>
                <w:color w:val="auto"/>
                <w:sz w:val="18"/>
                <w:szCs w:val="21"/>
                <w:highlight w:val="none"/>
              </w:rPr>
            </w:pPr>
            <w:r>
              <w:rPr>
                <w:color w:val="auto"/>
                <w:sz w:val="18"/>
                <w:szCs w:val="21"/>
                <w:highlight w:val="none"/>
              </w:rPr>
              <w:t>保修要求</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u w:val="singl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8</w:t>
            </w:r>
          </w:p>
        </w:tc>
        <w:tc>
          <w:tcPr>
            <w:tcW w:w="2931" w:type="dxa"/>
            <w:vAlign w:val="center"/>
          </w:tcPr>
          <w:p>
            <w:pPr>
              <w:jc w:val="center"/>
              <w:rPr>
                <w:color w:val="auto"/>
                <w:sz w:val="18"/>
                <w:szCs w:val="21"/>
                <w:highlight w:val="none"/>
              </w:rPr>
            </w:pPr>
            <w:r>
              <w:rPr>
                <w:color w:val="auto"/>
                <w:sz w:val="18"/>
                <w:szCs w:val="21"/>
                <w:highlight w:val="none"/>
              </w:rPr>
              <w:t>缺陷责任期</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9</w:t>
            </w:r>
          </w:p>
        </w:tc>
        <w:tc>
          <w:tcPr>
            <w:tcW w:w="2931" w:type="dxa"/>
            <w:vAlign w:val="center"/>
          </w:tcPr>
          <w:p>
            <w:pPr>
              <w:jc w:val="center"/>
              <w:rPr>
                <w:color w:val="auto"/>
                <w:sz w:val="18"/>
                <w:szCs w:val="21"/>
                <w:highlight w:val="none"/>
              </w:rPr>
            </w:pPr>
            <w:r>
              <w:rPr>
                <w:color w:val="auto"/>
                <w:sz w:val="18"/>
                <w:szCs w:val="21"/>
                <w:highlight w:val="none"/>
              </w:rPr>
              <w:t>承包人履约担保金额</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10</w:t>
            </w:r>
          </w:p>
        </w:tc>
        <w:tc>
          <w:tcPr>
            <w:tcW w:w="2931" w:type="dxa"/>
            <w:vAlign w:val="center"/>
          </w:tcPr>
          <w:p>
            <w:pPr>
              <w:jc w:val="center"/>
              <w:rPr>
                <w:color w:val="auto"/>
                <w:sz w:val="18"/>
                <w:szCs w:val="21"/>
                <w:highlight w:val="none"/>
              </w:rPr>
            </w:pPr>
            <w:r>
              <w:rPr>
                <w:color w:val="auto"/>
                <w:sz w:val="18"/>
                <w:szCs w:val="21"/>
                <w:highlight w:val="none"/>
              </w:rPr>
              <w:t>逾期竣工违约金</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rPr>
            </w:pPr>
            <w:r>
              <w:rPr>
                <w:color w:val="auto"/>
                <w:sz w:val="18"/>
                <w:szCs w:val="21"/>
                <w:highlight w:val="none"/>
              </w:rPr>
              <w:t>元/天</w:t>
            </w: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11</w:t>
            </w:r>
          </w:p>
        </w:tc>
        <w:tc>
          <w:tcPr>
            <w:tcW w:w="2931" w:type="dxa"/>
            <w:vAlign w:val="center"/>
          </w:tcPr>
          <w:p>
            <w:pPr>
              <w:jc w:val="center"/>
              <w:rPr>
                <w:color w:val="auto"/>
                <w:sz w:val="18"/>
                <w:szCs w:val="21"/>
                <w:highlight w:val="none"/>
              </w:rPr>
            </w:pPr>
            <w:r>
              <w:rPr>
                <w:color w:val="auto"/>
                <w:sz w:val="18"/>
                <w:szCs w:val="21"/>
                <w:highlight w:val="none"/>
              </w:rPr>
              <w:t>逾期竣工违约金最高限额</w:t>
            </w:r>
          </w:p>
        </w:tc>
        <w:tc>
          <w:tcPr>
            <w:tcW w:w="1278" w:type="dxa"/>
            <w:tcMar>
              <w:left w:w="170" w:type="dxa"/>
            </w:tcMar>
            <w:vAlign w:val="center"/>
          </w:tcPr>
          <w:p>
            <w:pPr>
              <w:rPr>
                <w:color w:val="auto"/>
                <w:sz w:val="18"/>
                <w:szCs w:val="21"/>
                <w:highlight w:val="none"/>
              </w:rPr>
            </w:pPr>
          </w:p>
        </w:tc>
        <w:tc>
          <w:tcPr>
            <w:tcW w:w="2975" w:type="dxa"/>
            <w:vAlign w:val="center"/>
          </w:tcPr>
          <w:p>
            <w:pPr>
              <w:rPr>
                <w:color w:val="auto"/>
                <w:sz w:val="18"/>
                <w:szCs w:val="21"/>
                <w:highlight w:val="non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eastAsia" w:eastAsia="方正小标宋简体"/>
                <w:color w:val="auto"/>
                <w:sz w:val="18"/>
                <w:szCs w:val="21"/>
                <w:highlight w:val="none"/>
                <w:lang w:eastAsia="zh-CN"/>
              </w:rPr>
            </w:pPr>
            <w:r>
              <w:rPr>
                <w:color w:val="auto"/>
                <w:sz w:val="18"/>
                <w:szCs w:val="21"/>
                <w:highlight w:val="none"/>
              </w:rPr>
              <w:t>1</w:t>
            </w:r>
            <w:r>
              <w:rPr>
                <w:rFonts w:hint="eastAsia"/>
                <w:color w:val="auto"/>
                <w:sz w:val="18"/>
                <w:szCs w:val="21"/>
                <w:highlight w:val="none"/>
                <w:lang w:val="en-US" w:eastAsia="zh-CN"/>
              </w:rPr>
              <w:t>2</w:t>
            </w:r>
          </w:p>
        </w:tc>
        <w:tc>
          <w:tcPr>
            <w:tcW w:w="2931" w:type="dxa"/>
            <w:vAlign w:val="center"/>
          </w:tcPr>
          <w:p>
            <w:pPr>
              <w:jc w:val="center"/>
              <w:rPr>
                <w:color w:val="auto"/>
                <w:sz w:val="18"/>
                <w:szCs w:val="21"/>
                <w:highlight w:val="none"/>
              </w:rPr>
            </w:pPr>
            <w:r>
              <w:rPr>
                <w:color w:val="auto"/>
                <w:sz w:val="18"/>
                <w:szCs w:val="21"/>
                <w:highlight w:val="none"/>
              </w:rPr>
              <w:t>预付款额度</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13</w:t>
            </w:r>
          </w:p>
        </w:tc>
        <w:tc>
          <w:tcPr>
            <w:tcW w:w="2931" w:type="dxa"/>
            <w:vAlign w:val="center"/>
          </w:tcPr>
          <w:p>
            <w:pPr>
              <w:jc w:val="center"/>
              <w:rPr>
                <w:color w:val="auto"/>
                <w:sz w:val="18"/>
                <w:szCs w:val="21"/>
                <w:highlight w:val="none"/>
              </w:rPr>
            </w:pPr>
            <w:r>
              <w:rPr>
                <w:color w:val="auto"/>
                <w:sz w:val="18"/>
                <w:szCs w:val="21"/>
                <w:highlight w:val="none"/>
              </w:rPr>
              <w:t>质量保证金额度</w:t>
            </w:r>
          </w:p>
        </w:tc>
        <w:tc>
          <w:tcPr>
            <w:tcW w:w="1278" w:type="dxa"/>
            <w:tcMar>
              <w:left w:w="170" w:type="dxa"/>
            </w:tcMar>
            <w:vAlign w:val="center"/>
          </w:tcPr>
          <w:p>
            <w:pPr>
              <w:rPr>
                <w:color w:val="auto"/>
                <w:sz w:val="18"/>
                <w:szCs w:val="21"/>
                <w:highlight w:val="none"/>
              </w:rPr>
            </w:pPr>
          </w:p>
        </w:tc>
        <w:tc>
          <w:tcPr>
            <w:tcW w:w="2975" w:type="dxa"/>
            <w:vAlign w:val="center"/>
          </w:tcPr>
          <w:p>
            <w:pPr>
              <w:jc w:val="center"/>
              <w:rPr>
                <w:color w:val="auto"/>
                <w:sz w:val="18"/>
                <w:szCs w:val="21"/>
                <w:highlight w:val="none"/>
              </w:rPr>
            </w:pPr>
          </w:p>
        </w:tc>
        <w:tc>
          <w:tcPr>
            <w:tcW w:w="87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71" w:type="dxa"/>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14</w:t>
            </w:r>
          </w:p>
        </w:tc>
        <w:tc>
          <w:tcPr>
            <w:tcW w:w="2931" w:type="dxa"/>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投标报价</w:t>
            </w:r>
          </w:p>
        </w:tc>
        <w:tc>
          <w:tcPr>
            <w:tcW w:w="1278" w:type="dxa"/>
            <w:vAlign w:val="center"/>
          </w:tcPr>
          <w:p>
            <w:pPr>
              <w:jc w:val="center"/>
              <w:rPr>
                <w:color w:val="auto"/>
                <w:sz w:val="18"/>
                <w:szCs w:val="21"/>
                <w:highlight w:val="none"/>
              </w:rPr>
            </w:pPr>
          </w:p>
        </w:tc>
        <w:tc>
          <w:tcPr>
            <w:tcW w:w="2975" w:type="dxa"/>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详见商务标部分</w:t>
            </w:r>
          </w:p>
        </w:tc>
        <w:tc>
          <w:tcPr>
            <w:tcW w:w="871" w:type="dxa"/>
            <w:vAlign w:val="center"/>
          </w:tcPr>
          <w:p>
            <w:pPr>
              <w:jc w:val="center"/>
              <w:rPr>
                <w:color w:val="auto"/>
                <w:sz w:val="18"/>
                <w:szCs w:val="21"/>
                <w:highlight w:val="none"/>
              </w:rPr>
            </w:pPr>
          </w:p>
        </w:tc>
      </w:tr>
    </w:tbl>
    <w:p>
      <w:pPr>
        <w:ind w:firstLine="404" w:firstLineChars="200"/>
        <w:rPr>
          <w:color w:val="auto"/>
          <w:szCs w:val="21"/>
          <w:highlight w:val="none"/>
          <w:u w:val="single"/>
        </w:rPr>
      </w:pPr>
      <w:r>
        <w:rPr>
          <w:bCs/>
          <w:color w:val="auto"/>
          <w:szCs w:val="21"/>
          <w:highlight w:val="none"/>
        </w:rPr>
        <w:t>投标人</w:t>
      </w:r>
      <w:r>
        <w:rPr>
          <w:rFonts w:hint="eastAsia"/>
          <w:color w:val="auto"/>
          <w:szCs w:val="21"/>
          <w:highlight w:val="none"/>
        </w:rPr>
        <w:t>（独立体或联合体牵头人</w:t>
      </w:r>
      <w:r>
        <w:rPr>
          <w:color w:val="auto"/>
          <w:szCs w:val="21"/>
          <w:highlight w:val="none"/>
        </w:rPr>
        <w:t>盖单位章）：</w:t>
      </w:r>
    </w:p>
    <w:p>
      <w:pPr>
        <w:ind w:firstLine="404" w:firstLineChars="200"/>
        <w:rPr>
          <w:color w:val="auto"/>
          <w:szCs w:val="21"/>
          <w:highlight w:val="none"/>
        </w:rPr>
      </w:pPr>
      <w:r>
        <w:rPr>
          <w:bCs/>
          <w:color w:val="auto"/>
          <w:szCs w:val="21"/>
          <w:highlight w:val="none"/>
        </w:rPr>
        <w:t>法定代表人或委托代理人</w:t>
      </w:r>
      <w:r>
        <w:rPr>
          <w:color w:val="auto"/>
          <w:szCs w:val="21"/>
          <w:highlight w:val="none"/>
        </w:rPr>
        <w:t>（签字或盖章）：</w:t>
      </w:r>
    </w:p>
    <w:p>
      <w:pPr>
        <w:jc w:val="right"/>
        <w:rPr>
          <w:rFonts w:hint="eastAsia"/>
          <w:bCs/>
          <w:color w:val="auto"/>
          <w:szCs w:val="21"/>
          <w:highlight w:val="none"/>
        </w:rPr>
      </w:pPr>
      <w:r>
        <w:rPr>
          <w:rFonts w:hint="eastAsia"/>
          <w:bCs/>
          <w:color w:val="auto"/>
          <w:szCs w:val="21"/>
          <w:highlight w:val="none"/>
        </w:rPr>
        <w:t xml:space="preserve"> </w:t>
      </w:r>
      <w:r>
        <w:rPr>
          <w:bCs/>
          <w:color w:val="auto"/>
          <w:szCs w:val="21"/>
          <w:highlight w:val="none"/>
        </w:rPr>
        <w:t xml:space="preserve"> 日期：   年  月  日</w:t>
      </w:r>
    </w:p>
    <w:p>
      <w:pPr>
        <w:snapToGrid w:val="0"/>
        <w:spacing w:line="360" w:lineRule="auto"/>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snapToGrid w:val="0"/>
        <w:spacing w:line="360" w:lineRule="auto"/>
        <w:ind w:firstLine="344" w:firstLineChars="200"/>
        <w:rPr>
          <w:color w:val="auto"/>
          <w:sz w:val="18"/>
          <w:szCs w:val="21"/>
          <w:highlight w:val="none"/>
        </w:rPr>
      </w:pPr>
      <w:r>
        <w:rPr>
          <w:color w:val="auto"/>
          <w:sz w:val="18"/>
          <w:szCs w:val="21"/>
          <w:highlight w:val="none"/>
        </w:rPr>
        <w:t>此类承诺可在本表中予以补充填写。</w:t>
      </w:r>
    </w:p>
    <w:p>
      <w:pPr>
        <w:pStyle w:val="6"/>
        <w:jc w:val="center"/>
        <w:outlineLvl w:val="0"/>
        <w:rPr>
          <w:rFonts w:ascii="Times New Roman" w:hAnsi="Times New Roman"/>
          <w:b w:val="0"/>
          <w:bCs w:val="0"/>
          <w:color w:val="auto"/>
          <w:sz w:val="30"/>
          <w:highlight w:val="none"/>
        </w:rPr>
      </w:pPr>
      <w:r>
        <w:rPr>
          <w:rFonts w:hint="eastAsia" w:ascii="宋体" w:hAnsi="宋体" w:cs="宋体"/>
          <w:color w:val="auto"/>
          <w:highlight w:val="none"/>
        </w:rPr>
        <w:br w:type="page"/>
      </w:r>
      <w:bookmarkEnd w:id="1171"/>
      <w:bookmarkEnd w:id="1172"/>
      <w:bookmarkEnd w:id="1173"/>
      <w:bookmarkEnd w:id="1174"/>
      <w:bookmarkEnd w:id="1175"/>
      <w:bookmarkEnd w:id="1176"/>
      <w:bookmarkEnd w:id="1177"/>
      <w:bookmarkEnd w:id="1178"/>
      <w:bookmarkEnd w:id="1179"/>
      <w:bookmarkStart w:id="1199" w:name="_Toc29257"/>
      <w:bookmarkStart w:id="1200" w:name="_Toc47711644"/>
      <w:bookmarkStart w:id="1201" w:name="_Toc9178580"/>
      <w:bookmarkStart w:id="1202" w:name="_Toc14830_WPSOffice_Level1"/>
      <w:bookmarkStart w:id="1203" w:name="_Toc15264"/>
      <w:bookmarkStart w:id="1204" w:name="_Toc247527831"/>
      <w:bookmarkStart w:id="1205" w:name="_Toc25231_WPSOffice_Level1"/>
      <w:bookmarkStart w:id="1206" w:name="_Toc17532_WPSOffice_Level1"/>
      <w:bookmarkStart w:id="1207" w:name="_Toc24510"/>
      <w:bookmarkStart w:id="1208" w:name="_Toc144974860"/>
      <w:bookmarkStart w:id="1209" w:name="_Toc300835213"/>
      <w:bookmarkStart w:id="1210" w:name="_Toc9723_WPSOffice_Level1"/>
      <w:bookmarkStart w:id="1211" w:name="_Toc15380"/>
      <w:bookmarkStart w:id="1212" w:name="_Toc247514283"/>
      <w:bookmarkStart w:id="1213" w:name="_Toc152045791"/>
      <w:bookmarkStart w:id="1214" w:name="_Toc29938"/>
      <w:bookmarkStart w:id="1215" w:name="_Toc152042580"/>
      <w:r>
        <w:rPr>
          <w:rFonts w:hint="eastAsia" w:ascii="Times New Roman" w:hAnsi="Times New Roman"/>
          <w:b w:val="0"/>
          <w:bCs w:val="0"/>
          <w:color w:val="auto"/>
          <w:sz w:val="30"/>
          <w:highlight w:val="none"/>
        </w:rPr>
        <w:t>2.</w:t>
      </w:r>
      <w:r>
        <w:rPr>
          <w:rFonts w:ascii="Times New Roman" w:hAnsi="Times New Roman"/>
          <w:b w:val="0"/>
          <w:bCs w:val="0"/>
          <w:color w:val="auto"/>
          <w:sz w:val="30"/>
          <w:highlight w:val="none"/>
        </w:rPr>
        <w:t>法定代表人身份证明</w:t>
      </w:r>
      <w:bookmarkEnd w:id="1199"/>
      <w:bookmarkEnd w:id="1200"/>
      <w:bookmarkEnd w:id="1201"/>
      <w:bookmarkEnd w:id="1202"/>
      <w:bookmarkEnd w:id="1203"/>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color w:val="auto"/>
          <w:kern w:val="0"/>
          <w:szCs w:val="21"/>
          <w:highlight w:val="none"/>
        </w:rPr>
      </w:pPr>
      <w:r>
        <w:rPr>
          <w:color w:val="auto"/>
          <w:kern w:val="0"/>
          <w:szCs w:val="21"/>
          <w:highlight w:val="none"/>
        </w:rPr>
        <w:t>附：法定代表人身份证</w:t>
      </w:r>
    </w:p>
    <w:tbl>
      <w:tblPr>
        <w:tblStyle w:val="21"/>
        <w:tblW w:w="8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pPr>
              <w:snapToGrid w:val="0"/>
              <w:spacing w:line="360" w:lineRule="auto"/>
              <w:jc w:val="center"/>
              <w:rPr>
                <w:color w:val="auto"/>
                <w:szCs w:val="21"/>
                <w:highlight w:val="none"/>
              </w:rPr>
            </w:pPr>
            <w:r>
              <w:rPr>
                <w:color w:val="auto"/>
                <w:szCs w:val="21"/>
                <w:highlight w:val="none"/>
              </w:rPr>
              <w:t>法定代表人二代身份证复印件（正面）</w:t>
            </w:r>
          </w:p>
        </w:tc>
        <w:tc>
          <w:tcPr>
            <w:tcW w:w="4047" w:type="dxa"/>
            <w:vAlign w:val="center"/>
          </w:tcPr>
          <w:p>
            <w:pPr>
              <w:snapToGrid w:val="0"/>
              <w:spacing w:line="360" w:lineRule="auto"/>
              <w:jc w:val="center"/>
              <w:rPr>
                <w:color w:val="auto"/>
                <w:szCs w:val="21"/>
                <w:highlight w:val="none"/>
              </w:rPr>
            </w:pPr>
            <w:r>
              <w:rPr>
                <w:color w:val="auto"/>
                <w:szCs w:val="21"/>
                <w:highlight w:val="none"/>
              </w:rPr>
              <w:t>法定代表人二代身份证复印件（反面）</w:t>
            </w:r>
          </w:p>
        </w:tc>
      </w:tr>
    </w:tbl>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1216" w:name="_Toc300678571"/>
    </w:p>
    <w:p>
      <w:pPr>
        <w:widowControl/>
        <w:topLinePunct/>
        <w:snapToGrid w:val="0"/>
        <w:jc w:val="left"/>
        <w:rPr>
          <w:bCs/>
          <w:color w:val="auto"/>
          <w:kern w:val="0"/>
          <w:highlight w:val="none"/>
        </w:rPr>
      </w:pPr>
      <w:r>
        <w:rPr>
          <w:rFonts w:hint="eastAsia"/>
          <w:color w:val="auto"/>
          <w:kern w:val="0"/>
          <w:highlight w:val="none"/>
        </w:rPr>
        <w:t>说明：</w:t>
      </w:r>
      <w:bookmarkStart w:id="1217" w:name="_Hlk58188014"/>
      <w:r>
        <w:rPr>
          <w:rFonts w:hint="eastAsia"/>
          <w:bCs/>
          <w:color w:val="auto"/>
          <w:kern w:val="0"/>
          <w:highlight w:val="none"/>
        </w:rPr>
        <w:t xml:space="preserve"> </w:t>
      </w:r>
      <w:bookmarkEnd w:id="1217"/>
      <w:r>
        <w:rPr>
          <w:bCs/>
          <w:color w:val="auto"/>
          <w:kern w:val="0"/>
          <w:highlight w:val="none"/>
        </w:rPr>
        <w:t>1</w:t>
      </w:r>
      <w:r>
        <w:rPr>
          <w:rFonts w:hint="eastAsia"/>
          <w:bCs/>
          <w:color w:val="auto"/>
          <w:kern w:val="0"/>
          <w:highlight w:val="none"/>
        </w:rPr>
        <w:t>.</w:t>
      </w:r>
      <w:r>
        <w:rPr>
          <w:rFonts w:hint="eastAsia"/>
          <w:color w:val="auto"/>
          <w:highlight w:val="none"/>
        </w:rPr>
        <w:t xml:space="preserve"> </w:t>
      </w:r>
      <w:r>
        <w:rPr>
          <w:rFonts w:hint="eastAsia"/>
          <w:b/>
          <w:color w:val="auto"/>
          <w:szCs w:val="21"/>
          <w:highlight w:val="none"/>
        </w:rPr>
        <w:t>如为联合体投标，联合体各方都要提供</w:t>
      </w:r>
    </w:p>
    <w:p>
      <w:pPr>
        <w:widowControl/>
        <w:topLinePunct/>
        <w:spacing w:line="440" w:lineRule="atLeast"/>
        <w:ind w:firstLine="606" w:firstLineChars="300"/>
        <w:jc w:val="left"/>
        <w:rPr>
          <w:rFonts w:hint="eastAsia"/>
          <w:bCs/>
          <w:color w:val="auto"/>
          <w:kern w:val="0"/>
          <w:highlight w:val="none"/>
          <w:u w:val="single"/>
        </w:rPr>
      </w:pPr>
    </w:p>
    <w:p>
      <w:pPr>
        <w:pStyle w:val="4"/>
        <w:spacing w:before="0" w:after="0"/>
        <w:jc w:val="center"/>
        <w:outlineLvl w:val="0"/>
        <w:rPr>
          <w:rFonts w:ascii="Times New Roman" w:hAnsi="Times New Roman"/>
          <w:b w:val="0"/>
          <w:bCs w:val="0"/>
          <w:color w:val="auto"/>
          <w:sz w:val="30"/>
          <w:highlight w:val="none"/>
        </w:rPr>
      </w:pPr>
      <w:bookmarkStart w:id="1218" w:name="_Toc47711645"/>
      <w:bookmarkStart w:id="1219" w:name="_Toc18896_WPSOffice_Level1"/>
      <w:bookmarkStart w:id="1220" w:name="_Toc22548"/>
      <w:bookmarkStart w:id="1221" w:name="_Toc13553"/>
      <w:bookmarkStart w:id="1222" w:name="_Toc9178581"/>
      <w:r>
        <w:rPr>
          <w:rFonts w:hint="eastAsia" w:ascii="Times New Roman" w:hAnsi="Times New Roman"/>
          <w:b w:val="0"/>
          <w:bCs w:val="0"/>
          <w:color w:val="auto"/>
          <w:sz w:val="30"/>
          <w:highlight w:val="none"/>
          <w:lang w:val="en-US" w:eastAsia="zh-CN"/>
        </w:rPr>
        <w:t>2</w:t>
      </w:r>
      <w:r>
        <w:rPr>
          <w:rFonts w:hint="eastAsia" w:ascii="Times New Roman" w:hAnsi="Times New Roman"/>
          <w:b w:val="0"/>
          <w:bCs w:val="0"/>
          <w:color w:val="auto"/>
          <w:sz w:val="30"/>
          <w:highlight w:val="none"/>
        </w:rPr>
        <w:t>.</w:t>
      </w:r>
      <w:r>
        <w:rPr>
          <w:rFonts w:ascii="Times New Roman" w:hAnsi="Times New Roman"/>
          <w:b w:val="0"/>
          <w:bCs w:val="0"/>
          <w:color w:val="auto"/>
          <w:sz w:val="30"/>
          <w:highlight w:val="none"/>
        </w:rPr>
        <w:t>授权委托书</w:t>
      </w:r>
      <w:bookmarkEnd w:id="1216"/>
      <w:bookmarkEnd w:id="1218"/>
      <w:bookmarkEnd w:id="1219"/>
      <w:bookmarkEnd w:id="1220"/>
      <w:bookmarkEnd w:id="1221"/>
      <w:bookmarkEnd w:id="1222"/>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rPr>
        <w:t>工程总承包</w:t>
      </w:r>
      <w:r>
        <w:rPr>
          <w:color w:val="auto"/>
          <w:kern w:val="0"/>
          <w:szCs w:val="21"/>
          <w:highlight w:val="none"/>
        </w:rPr>
        <w:t>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p>
    <w:tbl>
      <w:tblPr>
        <w:tblStyle w:val="21"/>
        <w:tblW w:w="8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4260" w:type="dxa"/>
            <w:vAlign w:val="center"/>
          </w:tcPr>
          <w:p>
            <w:pPr>
              <w:snapToGrid w:val="0"/>
              <w:spacing w:line="360" w:lineRule="auto"/>
              <w:jc w:val="center"/>
              <w:rPr>
                <w:color w:val="auto"/>
                <w:szCs w:val="21"/>
                <w:highlight w:val="none"/>
              </w:rPr>
            </w:pPr>
            <w:r>
              <w:rPr>
                <w:color w:val="auto"/>
                <w:szCs w:val="21"/>
                <w:highlight w:val="none"/>
              </w:rPr>
              <w:t>法定代表人二代身份证复印件（正面）</w:t>
            </w:r>
          </w:p>
        </w:tc>
        <w:tc>
          <w:tcPr>
            <w:tcW w:w="4047" w:type="dxa"/>
            <w:vAlign w:val="center"/>
          </w:tcPr>
          <w:p>
            <w:pPr>
              <w:snapToGrid w:val="0"/>
              <w:spacing w:line="360" w:lineRule="auto"/>
              <w:jc w:val="center"/>
              <w:rPr>
                <w:color w:val="auto"/>
                <w:szCs w:val="21"/>
                <w:highlight w:val="none"/>
              </w:rPr>
            </w:pPr>
            <w:r>
              <w:rPr>
                <w:color w:val="auto"/>
                <w:szCs w:val="21"/>
                <w:highlight w:val="none"/>
              </w:rPr>
              <w:t>法定代表人二代身份证复印件（反面）</w:t>
            </w:r>
          </w:p>
        </w:tc>
      </w:tr>
    </w:tbl>
    <w:p>
      <w:pPr>
        <w:widowControl/>
        <w:topLinePunct/>
        <w:spacing w:line="440" w:lineRule="atLeast"/>
        <w:ind w:firstLine="610"/>
        <w:rPr>
          <w:color w:val="auto"/>
          <w:kern w:val="0"/>
          <w:szCs w:val="21"/>
          <w:highlight w:val="none"/>
        </w:rPr>
      </w:pPr>
    </w:p>
    <w:tbl>
      <w:tblPr>
        <w:tblStyle w:val="21"/>
        <w:tblW w:w="8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pPr>
              <w:snapToGrid w:val="0"/>
              <w:spacing w:line="360" w:lineRule="auto"/>
              <w:jc w:val="center"/>
              <w:rPr>
                <w:color w:val="auto"/>
                <w:szCs w:val="21"/>
                <w:highlight w:val="none"/>
              </w:rPr>
            </w:pPr>
            <w:r>
              <w:rPr>
                <w:color w:val="auto"/>
                <w:szCs w:val="21"/>
                <w:highlight w:val="none"/>
              </w:rPr>
              <w:t>委托代理人二代身份证复印件（正面）</w:t>
            </w:r>
          </w:p>
        </w:tc>
        <w:tc>
          <w:tcPr>
            <w:tcW w:w="4047" w:type="dxa"/>
            <w:vAlign w:val="center"/>
          </w:tcPr>
          <w:p>
            <w:pPr>
              <w:snapToGrid w:val="0"/>
              <w:spacing w:line="360" w:lineRule="auto"/>
              <w:jc w:val="center"/>
              <w:rPr>
                <w:color w:val="auto"/>
                <w:szCs w:val="21"/>
                <w:highlight w:val="none"/>
              </w:rPr>
            </w:pPr>
            <w:r>
              <w:rPr>
                <w:color w:val="auto"/>
                <w:szCs w:val="21"/>
                <w:highlight w:val="none"/>
              </w:rPr>
              <w:t>委托代理人二代身份证复印件（反面）</w:t>
            </w:r>
          </w:p>
        </w:tc>
      </w:tr>
    </w:tbl>
    <w:p>
      <w:pPr>
        <w:widowControl/>
        <w:topLinePunct/>
        <w:spacing w:line="440" w:lineRule="atLeast"/>
        <w:ind w:firstLine="2879"/>
        <w:rPr>
          <w:color w:val="auto"/>
          <w:kern w:val="0"/>
          <w:szCs w:val="21"/>
          <w:highlight w:val="none"/>
        </w:rPr>
      </w:pPr>
    </w:p>
    <w:p>
      <w:pPr>
        <w:widowControl/>
        <w:topLinePunct/>
        <w:spacing w:line="440" w:lineRule="atLeast"/>
        <w:ind w:firstLine="2879"/>
        <w:rPr>
          <w:color w:val="auto"/>
          <w:kern w:val="0"/>
          <w:szCs w:val="21"/>
          <w:highlight w:val="none"/>
        </w:rPr>
      </w:pPr>
      <w:r>
        <w:rPr>
          <w:color w:val="auto"/>
          <w:kern w:val="0"/>
          <w:szCs w:val="21"/>
          <w:highlight w:val="none"/>
        </w:rPr>
        <w:t>投标人：（盖单位章）</w:t>
      </w:r>
    </w:p>
    <w:p>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napToGrid w:val="0"/>
        <w:jc w:val="left"/>
        <w:rPr>
          <w:rFonts w:hint="eastAsia"/>
          <w:bCs/>
          <w:color w:val="auto"/>
          <w:kern w:val="0"/>
          <w:highlight w:val="none"/>
        </w:rPr>
      </w:pPr>
      <w:bookmarkStart w:id="1223" w:name="_Toc13672_WPSOffice_Level1"/>
      <w:bookmarkStart w:id="1224" w:name="_Toc300678572"/>
      <w:r>
        <w:rPr>
          <w:rFonts w:hint="eastAsia"/>
          <w:color w:val="auto"/>
          <w:kern w:val="0"/>
          <w:highlight w:val="none"/>
        </w:rPr>
        <w:t>注：联合体投标的，各成员法定代表人应当分别按此格式出具授权委托书，授权同一人作为代理人，办理投标事宜</w:t>
      </w:r>
      <w:r>
        <w:rPr>
          <w:rFonts w:hint="eastAsia"/>
          <w:bCs/>
          <w:color w:val="auto"/>
          <w:kern w:val="0"/>
          <w:highlight w:val="none"/>
        </w:rPr>
        <w:t>。</w:t>
      </w:r>
      <w:bookmarkEnd w:id="1223"/>
      <w:bookmarkStart w:id="1225" w:name="_Toc1424"/>
      <w:bookmarkStart w:id="1226" w:name="_Toc9178582"/>
      <w:bookmarkStart w:id="1227" w:name="_Toc8347_WPSOffice_Level1"/>
      <w:bookmarkStart w:id="1228" w:name="_Toc47711646"/>
      <w:bookmarkStart w:id="1229" w:name="_Toc14879"/>
    </w:p>
    <w:p>
      <w:pPr>
        <w:widowControl/>
        <w:topLinePunct/>
        <w:snapToGrid w:val="0"/>
        <w:jc w:val="left"/>
        <w:rPr>
          <w:rFonts w:hint="eastAsia"/>
          <w:bCs/>
          <w:color w:val="auto"/>
          <w:kern w:val="0"/>
          <w:highlight w:val="none"/>
        </w:rPr>
      </w:pPr>
    </w:p>
    <w:p>
      <w:pPr>
        <w:widowControl/>
        <w:topLinePunct/>
        <w:snapToGrid w:val="0"/>
        <w:jc w:val="left"/>
        <w:rPr>
          <w:rFonts w:hint="eastAsia"/>
          <w:bCs/>
          <w:color w:val="auto"/>
          <w:kern w:val="0"/>
          <w:highlight w:val="none"/>
        </w:rPr>
      </w:pPr>
    </w:p>
    <w:p>
      <w:pPr>
        <w:widowControl/>
        <w:topLinePunct/>
        <w:snapToGrid w:val="0"/>
        <w:jc w:val="left"/>
        <w:rPr>
          <w:rFonts w:hint="eastAsia"/>
          <w:bCs/>
          <w:color w:val="auto"/>
          <w:kern w:val="0"/>
          <w:highlight w:val="none"/>
        </w:rPr>
      </w:pPr>
    </w:p>
    <w:p>
      <w:pPr>
        <w:widowControl/>
        <w:topLinePunct/>
        <w:snapToGrid w:val="0"/>
        <w:jc w:val="left"/>
        <w:rPr>
          <w:rFonts w:hint="eastAsia"/>
          <w:bCs/>
          <w:color w:val="auto"/>
          <w:kern w:val="0"/>
          <w:highlight w:val="none"/>
        </w:rPr>
      </w:pPr>
    </w:p>
    <w:p>
      <w:pPr>
        <w:widowControl/>
        <w:topLinePunct/>
        <w:snapToGrid w:val="0"/>
        <w:jc w:val="center"/>
        <w:rPr>
          <w:rFonts w:ascii="Times New Roman" w:hAnsi="Times New Roman"/>
          <w:b w:val="0"/>
          <w:bCs w:val="0"/>
          <w:color w:val="auto"/>
          <w:sz w:val="30"/>
          <w:highlight w:val="none"/>
        </w:rPr>
      </w:pPr>
      <w:r>
        <w:rPr>
          <w:rFonts w:hint="eastAsia" w:ascii="Times New Roman" w:hAnsi="Times New Roman"/>
          <w:b w:val="0"/>
          <w:bCs w:val="0"/>
          <w:color w:val="auto"/>
          <w:sz w:val="30"/>
          <w:highlight w:val="none"/>
          <w:lang w:val="en-US" w:eastAsia="zh-CN"/>
        </w:rPr>
        <w:t>3</w:t>
      </w:r>
      <w:r>
        <w:rPr>
          <w:rFonts w:hint="eastAsia" w:ascii="Times New Roman" w:hAnsi="Times New Roman"/>
          <w:b w:val="0"/>
          <w:bCs w:val="0"/>
          <w:color w:val="auto"/>
          <w:sz w:val="30"/>
          <w:highlight w:val="none"/>
        </w:rPr>
        <w:t>.</w:t>
      </w:r>
      <w:r>
        <w:rPr>
          <w:rFonts w:ascii="Times New Roman" w:hAnsi="Times New Roman"/>
          <w:b w:val="0"/>
          <w:bCs w:val="0"/>
          <w:color w:val="auto"/>
          <w:sz w:val="30"/>
          <w:highlight w:val="none"/>
        </w:rPr>
        <w:t>联合体协议书</w:t>
      </w:r>
      <w:bookmarkEnd w:id="1224"/>
      <w:bookmarkEnd w:id="1225"/>
      <w:bookmarkEnd w:id="1226"/>
      <w:bookmarkEnd w:id="1227"/>
      <w:bookmarkEnd w:id="1228"/>
      <w:bookmarkEnd w:id="1229"/>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05" w:firstLineChars="250"/>
        <w:rPr>
          <w:color w:val="auto"/>
          <w:szCs w:val="21"/>
          <w:highlight w:val="none"/>
        </w:rPr>
      </w:pP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w:t>
      </w:r>
      <w:r>
        <w:rPr>
          <w:rFonts w:hint="eastAsia"/>
          <w:color w:val="auto"/>
          <w:szCs w:val="21"/>
          <w:highlight w:val="none"/>
        </w:rPr>
        <w:t>工程总承包</w:t>
      </w:r>
      <w:r>
        <w:rPr>
          <w:color w:val="auto"/>
          <w:szCs w:val="21"/>
          <w:highlight w:val="none"/>
        </w:rPr>
        <w:t>投标并争取赢得本工程</w:t>
      </w:r>
      <w:r>
        <w:rPr>
          <w:rFonts w:hint="eastAsia"/>
          <w:color w:val="auto"/>
          <w:szCs w:val="21"/>
          <w:highlight w:val="none"/>
        </w:rPr>
        <w:t>总</w:t>
      </w:r>
      <w:r>
        <w:rPr>
          <w:color w:val="auto"/>
          <w:szCs w:val="21"/>
          <w:highlight w:val="none"/>
        </w:rPr>
        <w:t>承包合同（以下简称合同）。现就联合体投标事宜订立如下协议：</w:t>
      </w:r>
    </w:p>
    <w:p>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04" w:firstLineChars="200"/>
        <w:rPr>
          <w:color w:val="auto"/>
          <w:szCs w:val="21"/>
          <w:highlight w:val="none"/>
        </w:rPr>
      </w:pPr>
      <w:r>
        <w:rPr>
          <w:color w:val="auto"/>
          <w:szCs w:val="21"/>
          <w:highlight w:val="none"/>
        </w:rPr>
        <w:t>4．联合体各成员单位内部的职责分工如下：</w:t>
      </w:r>
      <w:r>
        <w:rPr>
          <w:color w:val="auto"/>
          <w:szCs w:val="21"/>
          <w:highlight w:val="none"/>
          <w:u w:val="single"/>
        </w:rPr>
        <w:t xml:space="preserve">                </w:t>
      </w:r>
      <w:r>
        <w:rPr>
          <w:color w:val="auto"/>
          <w:szCs w:val="21"/>
          <w:highlight w:val="none"/>
        </w:rPr>
        <w:t>。按照本条上述分工，联合体成员单位各自所承担的合同工作量比例如下：</w:t>
      </w:r>
      <w:r>
        <w:rPr>
          <w:color w:val="auto"/>
          <w:szCs w:val="21"/>
          <w:highlight w:val="none"/>
          <w:u w:val="single"/>
        </w:rPr>
        <w:t xml:space="preserve">              </w:t>
      </w: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04" w:firstLineChars="200"/>
        <w:rPr>
          <w:color w:val="auto"/>
          <w:szCs w:val="21"/>
          <w:highlight w:val="none"/>
        </w:rPr>
      </w:pPr>
      <w:r>
        <w:rPr>
          <w:color w:val="auto"/>
          <w:szCs w:val="21"/>
          <w:highlight w:val="none"/>
        </w:rPr>
        <w:t>6．联合体中标后，本联合体协议是合同的附件，对联合体各成员单位有合同约束力。</w:t>
      </w:r>
    </w:p>
    <w:p>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snapToGrid w:val="0"/>
        <w:spacing w:line="360" w:lineRule="auto"/>
        <w:ind w:firstLine="1717" w:firstLineChars="850"/>
        <w:rPr>
          <w:color w:val="auto"/>
          <w:szCs w:val="21"/>
          <w:highlight w:val="none"/>
        </w:rPr>
      </w:pPr>
      <w:r>
        <w:rPr>
          <w:color w:val="auto"/>
          <w:szCs w:val="21"/>
          <w:highlight w:val="none"/>
        </w:rPr>
        <w:t>牵头人名称：（盖单位章）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17" w:firstLineChars="850"/>
        <w:rPr>
          <w:color w:val="auto"/>
          <w:szCs w:val="21"/>
          <w:highlight w:val="none"/>
        </w:rPr>
      </w:pPr>
      <w:r>
        <w:rPr>
          <w:color w:val="auto"/>
          <w:szCs w:val="21"/>
          <w:highlight w:val="none"/>
        </w:rPr>
        <w:t>成员二名称：（盖单位章）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02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4"/>
        <w:jc w:val="center"/>
        <w:outlineLvl w:val="0"/>
        <w:rPr>
          <w:rFonts w:ascii="Times New Roman" w:hAnsi="Times New Roman"/>
          <w:b w:val="0"/>
          <w:bCs w:val="0"/>
          <w:color w:val="auto"/>
          <w:sz w:val="30"/>
          <w:highlight w:val="none"/>
        </w:rPr>
      </w:pPr>
      <w:bookmarkStart w:id="1230" w:name="_Toc9178583"/>
      <w:bookmarkStart w:id="1231" w:name="_Toc5630_WPSOffice_Level1"/>
      <w:bookmarkStart w:id="1232" w:name="_Toc300678573"/>
      <w:bookmarkStart w:id="1233" w:name="_Toc31713"/>
      <w:bookmarkStart w:id="1234" w:name="_Toc47711647"/>
      <w:bookmarkStart w:id="1235" w:name="_Toc7281"/>
      <w:r>
        <w:rPr>
          <w:rFonts w:hint="eastAsia" w:ascii="Times New Roman" w:hAnsi="Times New Roman"/>
          <w:b w:val="0"/>
          <w:bCs w:val="0"/>
          <w:color w:val="auto"/>
          <w:sz w:val="30"/>
          <w:highlight w:val="none"/>
          <w:lang w:val="en-US" w:eastAsia="zh-CN"/>
        </w:rPr>
        <w:t>4</w:t>
      </w:r>
      <w:r>
        <w:rPr>
          <w:rFonts w:hint="eastAsia" w:ascii="Times New Roman" w:hAnsi="Times New Roman"/>
          <w:b w:val="0"/>
          <w:bCs w:val="0"/>
          <w:color w:val="auto"/>
          <w:sz w:val="30"/>
          <w:highlight w:val="none"/>
        </w:rPr>
        <w:t>.</w:t>
      </w:r>
      <w:r>
        <w:rPr>
          <w:rFonts w:ascii="Times New Roman" w:hAnsi="Times New Roman"/>
          <w:b w:val="0"/>
          <w:bCs w:val="0"/>
          <w:color w:val="auto"/>
          <w:sz w:val="30"/>
          <w:highlight w:val="none"/>
        </w:rPr>
        <w:t>投标保证</w:t>
      </w:r>
      <w:bookmarkEnd w:id="1230"/>
      <w:bookmarkEnd w:id="1231"/>
      <w:bookmarkEnd w:id="1232"/>
      <w:bookmarkEnd w:id="1233"/>
      <w:bookmarkEnd w:id="1234"/>
      <w:bookmarkEnd w:id="1235"/>
    </w:p>
    <w:p>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本帐户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pPr>
        <w:widowControl/>
        <w:spacing w:line="400" w:lineRule="exact"/>
        <w:jc w:val="left"/>
        <w:rPr>
          <w:color w:val="auto"/>
          <w:highlight w:val="none"/>
        </w:rPr>
      </w:pPr>
      <w:r>
        <w:rPr>
          <w:rFonts w:hint="eastAsia"/>
          <w:color w:val="auto"/>
          <w:highlight w:val="none"/>
        </w:rPr>
        <w:t>采用保证保险，请附投标保证保险复印件（格式附后）</w:t>
      </w:r>
    </w:p>
    <w:p>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pPr>
        <w:jc w:val="center"/>
        <w:rPr>
          <w:rFonts w:eastAsia="黑体"/>
          <w:color w:val="auto"/>
          <w:sz w:val="30"/>
          <w:szCs w:val="30"/>
          <w:highlight w:val="none"/>
        </w:rPr>
      </w:pPr>
    </w:p>
    <w:p>
      <w:pPr>
        <w:jc w:val="center"/>
        <w:outlineLvl w:val="0"/>
        <w:rPr>
          <w:rFonts w:eastAsia="黑体"/>
          <w:color w:val="auto"/>
          <w:sz w:val="30"/>
          <w:szCs w:val="30"/>
          <w:highlight w:val="none"/>
        </w:rPr>
      </w:pPr>
      <w:bookmarkStart w:id="1236" w:name="_Toc5289"/>
      <w:bookmarkStart w:id="1237" w:name="_Toc1536"/>
      <w:r>
        <w:rPr>
          <w:rFonts w:eastAsia="黑体"/>
          <w:color w:val="auto"/>
          <w:sz w:val="30"/>
          <w:szCs w:val="30"/>
          <w:highlight w:val="none"/>
        </w:rPr>
        <w:t>投标保函</w:t>
      </w:r>
      <w:bookmarkEnd w:id="1236"/>
      <w:bookmarkEnd w:id="1237"/>
    </w:p>
    <w:p>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w:t>
      </w:r>
      <w:r>
        <w:rPr>
          <w:rFonts w:hint="eastAsia"/>
          <w:color w:val="auto"/>
          <w:szCs w:val="32"/>
          <w:highlight w:val="none"/>
        </w:rPr>
        <w:t>施工</w:t>
      </w:r>
      <w:r>
        <w:rPr>
          <w:color w:val="auto"/>
          <w:szCs w:val="32"/>
          <w:highlight w:val="none"/>
        </w:rPr>
        <w:t>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jc w:val="left"/>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rPr>
          <w:color w:val="auto"/>
          <w:szCs w:val="32"/>
          <w:highlight w:val="none"/>
        </w:rPr>
        <w:sectPr>
          <w:pgSz w:w="11906" w:h="16838"/>
          <w:pgMar w:top="1588" w:right="1588" w:bottom="1531" w:left="1588" w:header="1134" w:footer="851" w:gutter="0"/>
          <w:cols w:space="720" w:num="1"/>
          <w:docGrid w:type="linesAndChars" w:linePitch="574" w:charSpace="-1683"/>
        </w:sectPr>
      </w:pPr>
      <w:r>
        <w:rPr>
          <w:rFonts w:hint="eastAsia"/>
          <w:color w:val="auto"/>
          <w:szCs w:val="32"/>
          <w:highlight w:val="none"/>
        </w:rPr>
        <w:t>说明：保函开立人可以根据项目具体情况增加相关条款，但不得违背招标文件的实质性内容，以及相关法律法规的规定。</w:t>
      </w:r>
    </w:p>
    <w:p>
      <w:pPr>
        <w:jc w:val="cente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建设工程投标保证保险</w:t>
      </w:r>
    </w:p>
    <w:p>
      <w:pPr>
        <w:pStyle w:val="59"/>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pPr>
        <w:pStyle w:val="59"/>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施工的招标投标，并向我方投保建设工程投标保证保险（保险单号：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）。我方愿就投标人履行招标文件规定的投标义务，向贵方提供如下保证保险：</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pPr>
        <w:pStyle w:val="59"/>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59"/>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pPr>
        <w:pStyle w:val="59"/>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pPr>
        <w:snapToGrid w:val="0"/>
        <w:spacing w:line="380" w:lineRule="exact"/>
        <w:ind w:firstLine="404" w:firstLineChars="200"/>
        <w:jc w:val="left"/>
        <w:rPr>
          <w:rFonts w:hint="eastAsia" w:ascii="宋体" w:hAnsi="宋体" w:cs="宋体"/>
          <w:color w:val="auto"/>
          <w:szCs w:val="21"/>
          <w:highlight w:val="none"/>
        </w:rPr>
      </w:pPr>
    </w:p>
    <w:p>
      <w:pPr>
        <w:pStyle w:val="60"/>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60"/>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pStyle w:val="60"/>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adjustRightInd w:val="0"/>
        <w:snapToGrid w:val="0"/>
        <w:jc w:val="center"/>
        <w:outlineLvl w:val="0"/>
        <w:rPr>
          <w:rFonts w:eastAsia="黑体"/>
          <w:color w:val="auto"/>
          <w:sz w:val="30"/>
          <w:szCs w:val="30"/>
          <w:highlight w:val="none"/>
        </w:rPr>
      </w:pPr>
      <w:bookmarkStart w:id="1238" w:name="_Toc23089"/>
      <w:bookmarkStart w:id="1239" w:name="_Toc31323"/>
      <w:r>
        <w:rPr>
          <w:rFonts w:eastAsia="黑体"/>
          <w:color w:val="auto"/>
          <w:sz w:val="30"/>
          <w:szCs w:val="30"/>
          <w:highlight w:val="none"/>
        </w:rPr>
        <w:t>投标承诺</w:t>
      </w:r>
      <w:bookmarkEnd w:id="1238"/>
      <w:bookmarkEnd w:id="1239"/>
    </w:p>
    <w:p>
      <w:pPr>
        <w:adjustRightInd w:val="0"/>
        <w:snapToGrid w:val="0"/>
        <w:spacing w:line="480" w:lineRule="exact"/>
        <w:jc w:val="left"/>
        <w:rPr>
          <w:color w:val="auto"/>
          <w:sz w:val="24"/>
          <w:highlight w:val="none"/>
        </w:rPr>
      </w:pPr>
    </w:p>
    <w:p>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的招标投标，我方承诺严格按照《招标投标法》及其实施条例等法律法规和政策文件的要求，履行投标义务。</w:t>
      </w:r>
    </w:p>
    <w:p>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pPr>
        <w:adjustRightInd w:val="0"/>
        <w:snapToGrid w:val="0"/>
        <w:spacing w:line="480" w:lineRule="exact"/>
        <w:jc w:val="left"/>
        <w:rPr>
          <w:color w:val="auto"/>
          <w:szCs w:val="32"/>
          <w:highlight w:val="none"/>
        </w:rPr>
      </w:pPr>
    </w:p>
    <w:p>
      <w:pPr>
        <w:adjustRightInd w:val="0"/>
        <w:snapToGrid w:val="0"/>
        <w:spacing w:line="480" w:lineRule="exact"/>
        <w:jc w:val="left"/>
        <w:rPr>
          <w:color w:val="auto"/>
          <w:szCs w:val="32"/>
          <w:highlight w:val="none"/>
        </w:rPr>
      </w:pPr>
    </w:p>
    <w:p>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rFonts w:hint="eastAsia" w:ascii="宋体" w:hAnsi="宋体" w:eastAsia="宋体"/>
          <w:color w:val="auto"/>
          <w:highlight w:val="none"/>
          <w:shd w:val="clear" w:color="auto" w:fill="FFFFFF"/>
          <w:lang w:val="zh-TW"/>
        </w:rPr>
        <w:t>（</w:t>
      </w:r>
      <w:r>
        <w:rPr>
          <w:rFonts w:hint="eastAsia" w:ascii="宋体" w:hAnsi="宋体"/>
          <w:color w:val="auto"/>
          <w:highlight w:val="none"/>
          <w:shd w:val="clear" w:color="auto" w:fill="FFFFFF"/>
        </w:rPr>
        <w:t>独立体或联合体</w:t>
      </w:r>
      <w:r>
        <w:rPr>
          <w:rFonts w:hint="eastAsia" w:ascii="宋体" w:hAnsi="宋体" w:eastAsia="宋体"/>
          <w:color w:val="auto"/>
          <w:highlight w:val="none"/>
          <w:shd w:val="clear" w:color="auto" w:fill="FFFFFF"/>
        </w:rPr>
        <w:t>牵头人</w:t>
      </w:r>
      <w:r>
        <w:rPr>
          <w:rFonts w:hint="eastAsia" w:ascii="宋体" w:hAnsi="宋体"/>
          <w:color w:val="auto"/>
          <w:highlight w:val="none"/>
          <w:shd w:val="clear" w:color="auto" w:fill="FFFFFF"/>
        </w:rPr>
        <w:t>盖</w:t>
      </w:r>
      <w:r>
        <w:rPr>
          <w:rFonts w:hint="eastAsia" w:ascii="宋体" w:hAnsi="宋体" w:eastAsia="宋体"/>
          <w:color w:val="auto"/>
          <w:highlight w:val="none"/>
          <w:shd w:val="clear" w:color="auto" w:fill="FFFFFF"/>
        </w:rPr>
        <w:t>单位</w:t>
      </w:r>
      <w:r>
        <w:rPr>
          <w:rFonts w:hint="eastAsia" w:ascii="宋体" w:hAnsi="宋体"/>
          <w:color w:val="auto"/>
          <w:highlight w:val="none"/>
          <w:shd w:val="clear" w:color="auto" w:fill="FFFFFF"/>
        </w:rPr>
        <w:t>章）</w:t>
      </w:r>
    </w:p>
    <w:p>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707" w:firstLineChars="350"/>
        <w:rPr>
          <w:color w:val="auto"/>
          <w:szCs w:val="32"/>
          <w:highlight w:val="none"/>
        </w:rPr>
      </w:pPr>
    </w:p>
    <w:p>
      <w:pPr>
        <w:spacing w:line="480" w:lineRule="exact"/>
        <w:ind w:firstLine="2929" w:firstLineChars="1450"/>
        <w:rPr>
          <w:color w:val="auto"/>
          <w:szCs w:val="32"/>
          <w:highlight w:val="none"/>
        </w:rPr>
        <w:sectPr>
          <w:pgSz w:w="11906" w:h="16838"/>
          <w:pgMar w:top="2098" w:right="1588" w:bottom="2098" w:left="1588" w:header="1701" w:footer="1701"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pStyle w:val="5"/>
        <w:jc w:val="center"/>
        <w:outlineLvl w:val="0"/>
        <w:rPr>
          <w:color w:val="auto"/>
          <w:highlight w:val="none"/>
        </w:rPr>
      </w:pPr>
      <w:bookmarkStart w:id="1240" w:name="_Toc3598_WPSOffice_Level1"/>
      <w:bookmarkStart w:id="1241" w:name="_Toc6808"/>
      <w:bookmarkStart w:id="1242" w:name="_Toc300678574"/>
      <w:bookmarkStart w:id="1243" w:name="_Toc9178584"/>
      <w:bookmarkStart w:id="1244" w:name="_Toc47711648"/>
      <w:r>
        <w:rPr>
          <w:rFonts w:hint="eastAsia"/>
          <w:color w:val="auto"/>
          <w:highlight w:val="none"/>
          <w:lang w:val="en-US" w:eastAsia="zh-CN"/>
        </w:rPr>
        <w:t>5、</w:t>
      </w:r>
      <w:r>
        <w:rPr>
          <w:rFonts w:hint="eastAsia"/>
          <w:color w:val="auto"/>
          <w:highlight w:val="none"/>
        </w:rPr>
        <w:t>投标报价表</w:t>
      </w:r>
      <w:bookmarkEnd w:id="1240"/>
      <w:bookmarkEnd w:id="1241"/>
    </w:p>
    <w:p>
      <w:pPr>
        <w:rPr>
          <w:color w:val="auto"/>
          <w:highlight w:val="none"/>
        </w:rPr>
      </w:pPr>
    </w:p>
    <w:p>
      <w:pPr>
        <w:rPr>
          <w:rFonts w:ascii="宋体" w:hAnsi="宋体"/>
          <w:color w:val="auto"/>
          <w:highlight w:val="none"/>
          <w:shd w:val="clear" w:color="auto" w:fill="FFFFFF"/>
        </w:rPr>
      </w:pPr>
      <w:r>
        <w:rPr>
          <w:rFonts w:hint="eastAsia" w:ascii="宋体" w:hAnsi="宋体"/>
          <w:color w:val="auto"/>
          <w:highlight w:val="none"/>
          <w:shd w:val="clear" w:color="auto" w:fill="FFFFFF"/>
        </w:rPr>
        <w:t>项目名称：</w:t>
      </w:r>
    </w:p>
    <w:tbl>
      <w:tblPr>
        <w:tblStyle w:val="21"/>
        <w:tblW w:w="9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01"/>
        <w:gridCol w:w="6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color w:val="auto"/>
                <w:highlight w:val="none"/>
                <w:shd w:val="clear" w:color="auto" w:fill="FFFFFF"/>
              </w:rPr>
            </w:pPr>
            <w:r>
              <w:rPr>
                <w:rFonts w:hint="eastAsia"/>
                <w:color w:val="auto"/>
                <w:highlight w:val="none"/>
                <w:shd w:val="clear" w:color="auto" w:fill="FFFFFF"/>
              </w:rPr>
              <w:t>项目</w:t>
            </w:r>
          </w:p>
        </w:tc>
        <w:tc>
          <w:tcPr>
            <w:tcW w:w="6438" w:type="dxa"/>
            <w:tcBorders>
              <w:top w:val="single" w:color="000000" w:sz="4" w:space="0"/>
              <w:left w:val="single" w:color="000000" w:sz="4" w:space="0"/>
              <w:right w:val="single" w:color="000000" w:sz="4" w:space="0"/>
            </w:tcBorders>
            <w:vAlign w:val="center"/>
          </w:tcPr>
          <w:p>
            <w:pPr>
              <w:jc w:val="center"/>
              <w:rPr>
                <w:rFonts w:hint="eastAsia" w:eastAsia="方正小标宋简体"/>
                <w:color w:val="auto"/>
                <w:highlight w:val="none"/>
                <w:shd w:val="clear" w:color="auto" w:fill="FFFFFF"/>
                <w:lang w:val="en-US" w:eastAsia="zh-CN"/>
              </w:rPr>
            </w:pPr>
            <w:r>
              <w:rPr>
                <w:color w:val="auto"/>
                <w:highlight w:val="none"/>
                <w:shd w:val="clear" w:color="auto" w:fill="FFFFFF"/>
                <w:lang w:val="zh-TW" w:eastAsia="zh-TW"/>
              </w:rPr>
              <w:t>投标报价</w:t>
            </w:r>
            <w:r>
              <w:rPr>
                <w:rFonts w:hint="eastAsia"/>
                <w:color w:val="auto"/>
                <w:highlight w:val="none"/>
                <w:shd w:val="clear" w:color="auto" w:fill="FFFFFF"/>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color w:val="auto"/>
                <w:highlight w:val="none"/>
                <w:shd w:val="clear" w:color="auto" w:fill="FFFFFF"/>
              </w:rPr>
            </w:pPr>
            <w:r>
              <w:rPr>
                <w:rFonts w:hint="eastAsia"/>
                <w:color w:val="auto"/>
                <w:highlight w:val="none"/>
                <w:shd w:val="clear" w:color="auto" w:fill="FFFFFF"/>
              </w:rPr>
              <w:t>工程费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color w:val="auto"/>
                <w:highlight w:val="none"/>
                <w:shd w:val="clear" w:color="auto" w:fill="FFFFFF"/>
                <w:lang w:val="zh-TW"/>
              </w:rPr>
            </w:pPr>
            <w:r>
              <w:rPr>
                <w:rFonts w:hint="eastAsia"/>
                <w:color w:val="auto"/>
                <w:highlight w:val="none"/>
                <w:shd w:val="clear" w:color="auto" w:fill="FFFFFF"/>
                <w:lang w:val="zh-TW"/>
              </w:rPr>
              <w:t>施工图设计费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Style w:val="51"/>
                <w:rFonts w:ascii="Arial" w:hAnsi="Arial"/>
                <w:color w:val="auto"/>
                <w:highlight w:val="none"/>
              </w:rPr>
            </w:pPr>
            <w:r>
              <w:rPr>
                <w:rFonts w:hint="eastAsia"/>
                <w:color w:val="auto"/>
                <w:highlight w:val="none"/>
                <w:shd w:val="clear" w:color="auto" w:fill="FFFFFF"/>
                <w:lang w:val="zh-TW"/>
              </w:rPr>
              <w:t>预算编制费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Style w:val="51"/>
                <w:rFonts w:hint="eastAsia" w:ascii="Arial" w:hAnsi="Arial"/>
                <w:color w:val="auto"/>
                <w:highlight w:val="none"/>
              </w:rPr>
            </w:pPr>
            <w:r>
              <w:rPr>
                <w:rFonts w:hint="eastAsia"/>
                <w:color w:val="auto"/>
                <w:szCs w:val="21"/>
                <w:highlight w:val="none"/>
              </w:rPr>
              <w:t>BIM 技术服务费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Style w:val="51"/>
                <w:rFonts w:hint="eastAsia" w:ascii="Arial" w:hAnsi="Arial"/>
                <w:color w:val="auto"/>
                <w:highlight w:val="none"/>
              </w:rPr>
            </w:pPr>
            <w:r>
              <w:rPr>
                <w:rFonts w:hint="eastAsia"/>
                <w:color w:val="auto"/>
                <w:szCs w:val="21"/>
                <w:highlight w:val="none"/>
              </w:rPr>
              <w:t>劳动安全卫生评审费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Style w:val="51"/>
                <w:rFonts w:hint="eastAsia" w:ascii="Arial" w:hAnsi="Arial"/>
                <w:color w:val="auto"/>
                <w:highlight w:val="none"/>
              </w:rPr>
            </w:pPr>
            <w:r>
              <w:rPr>
                <w:rFonts w:hint="eastAsia"/>
                <w:color w:val="auto"/>
                <w:szCs w:val="21"/>
                <w:highlight w:val="none"/>
              </w:rPr>
              <w:t>场地准备与临时建设费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Fonts w:hint="eastAsia"/>
                <w:color w:val="auto"/>
                <w:szCs w:val="21"/>
                <w:highlight w:val="none"/>
              </w:rPr>
            </w:pPr>
            <w:r>
              <w:rPr>
                <w:rFonts w:hint="eastAsia"/>
                <w:color w:val="auto"/>
                <w:szCs w:val="21"/>
                <w:highlight w:val="none"/>
              </w:rPr>
              <w:t>工程保险费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Fonts w:hint="eastAsia"/>
                <w:color w:val="auto"/>
                <w:szCs w:val="21"/>
                <w:highlight w:val="none"/>
              </w:rPr>
            </w:pPr>
            <w:r>
              <w:rPr>
                <w:rFonts w:hint="eastAsia"/>
                <w:color w:val="auto"/>
                <w:szCs w:val="21"/>
                <w:highlight w:val="none"/>
              </w:rPr>
              <w:t>预备费</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0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40" w:lineRule="exact"/>
              <w:jc w:val="center"/>
              <w:rPr>
                <w:rFonts w:hint="eastAsia" w:eastAsia="方正小标宋简体"/>
                <w:color w:val="auto"/>
                <w:szCs w:val="21"/>
                <w:highlight w:val="none"/>
                <w:lang w:val="en-US" w:eastAsia="zh-CN"/>
              </w:rPr>
            </w:pPr>
            <w:r>
              <w:rPr>
                <w:rFonts w:hint="eastAsia"/>
                <w:color w:val="auto"/>
                <w:szCs w:val="21"/>
                <w:highlight w:val="none"/>
                <w:lang w:val="en-US" w:eastAsia="zh-CN"/>
              </w:rPr>
              <w:t>合  计</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shd w:val="clear" w:color="auto" w:fill="FFFFFF"/>
              </w:rPr>
            </w:pPr>
          </w:p>
        </w:tc>
      </w:tr>
    </w:tbl>
    <w:p>
      <w:pPr>
        <w:pStyle w:val="49"/>
        <w:spacing w:line="440" w:lineRule="exact"/>
        <w:ind w:firstLine="3675"/>
        <w:rPr>
          <w:rFonts w:ascii="宋体" w:hAnsi="宋体" w:eastAsia="宋体"/>
          <w:color w:val="auto"/>
          <w:highlight w:val="none"/>
          <w:shd w:val="clear" w:color="auto" w:fill="FFFFFF"/>
        </w:rPr>
      </w:pPr>
      <w:r>
        <w:rPr>
          <w:rFonts w:ascii="宋体" w:hAnsi="宋体" w:eastAsia="宋体"/>
          <w:color w:val="auto"/>
          <w:highlight w:val="none"/>
          <w:shd w:val="clear" w:color="auto" w:fill="FFFFFF"/>
          <w:lang w:val="zh-TW"/>
        </w:rPr>
        <w:t>投 标 人：</w:t>
      </w:r>
      <w:r>
        <w:rPr>
          <w:rFonts w:hint="eastAsia" w:ascii="宋体" w:hAnsi="宋体" w:eastAsia="宋体"/>
          <w:color w:val="auto"/>
          <w:highlight w:val="none"/>
          <w:shd w:val="clear" w:color="auto" w:fill="FFFFFF"/>
          <w:lang w:val="zh-TW"/>
        </w:rPr>
        <w:t>（</w:t>
      </w:r>
      <w:r>
        <w:rPr>
          <w:rFonts w:hint="eastAsia" w:ascii="宋体" w:hAnsi="宋体"/>
          <w:color w:val="auto"/>
          <w:highlight w:val="none"/>
          <w:shd w:val="clear" w:color="auto" w:fill="FFFFFF"/>
        </w:rPr>
        <w:t>独立体或联合体</w:t>
      </w:r>
      <w:r>
        <w:rPr>
          <w:rFonts w:hint="eastAsia" w:ascii="宋体" w:hAnsi="宋体" w:eastAsia="宋体"/>
          <w:color w:val="auto"/>
          <w:highlight w:val="none"/>
          <w:shd w:val="clear" w:color="auto" w:fill="FFFFFF"/>
        </w:rPr>
        <w:t>牵头人</w:t>
      </w:r>
      <w:r>
        <w:rPr>
          <w:rFonts w:hint="eastAsia" w:ascii="宋体" w:hAnsi="宋体"/>
          <w:color w:val="auto"/>
          <w:highlight w:val="none"/>
          <w:shd w:val="clear" w:color="auto" w:fill="FFFFFF"/>
        </w:rPr>
        <w:t>盖</w:t>
      </w:r>
      <w:r>
        <w:rPr>
          <w:rFonts w:hint="eastAsia" w:ascii="宋体" w:hAnsi="宋体" w:eastAsia="宋体"/>
          <w:color w:val="auto"/>
          <w:highlight w:val="none"/>
          <w:shd w:val="clear" w:color="auto" w:fill="FFFFFF"/>
        </w:rPr>
        <w:t>单位</w:t>
      </w:r>
      <w:r>
        <w:rPr>
          <w:rFonts w:hint="eastAsia" w:ascii="宋体" w:hAnsi="宋体"/>
          <w:color w:val="auto"/>
          <w:highlight w:val="none"/>
          <w:shd w:val="clear" w:color="auto" w:fill="FFFFFF"/>
        </w:rPr>
        <w:t>章）</w:t>
      </w:r>
    </w:p>
    <w:p>
      <w:pPr>
        <w:pStyle w:val="49"/>
        <w:spacing w:line="440" w:lineRule="exact"/>
        <w:ind w:firstLine="3675"/>
        <w:rPr>
          <w:rFonts w:ascii="宋体" w:hAnsi="宋体" w:eastAsia="宋体"/>
          <w:color w:val="auto"/>
          <w:highlight w:val="none"/>
          <w:shd w:val="clear" w:color="auto" w:fill="FFFFFF"/>
          <w:lang w:val="zh-TW"/>
        </w:rPr>
      </w:pPr>
      <w:r>
        <w:rPr>
          <w:rFonts w:ascii="宋体" w:hAnsi="宋体" w:eastAsia="宋体"/>
          <w:color w:val="auto"/>
          <w:highlight w:val="none"/>
          <w:shd w:val="clear" w:color="auto" w:fill="FFFFFF"/>
          <w:lang w:val="zh-TW"/>
        </w:rPr>
        <w:t>法定代表人</w:t>
      </w:r>
      <w:r>
        <w:rPr>
          <w:rFonts w:hint="eastAsia" w:ascii="宋体" w:hAnsi="宋体" w:eastAsia="宋体"/>
          <w:color w:val="auto"/>
          <w:highlight w:val="none"/>
          <w:shd w:val="clear" w:color="auto" w:fill="FFFFFF"/>
          <w:lang w:val="zh-TW"/>
        </w:rPr>
        <w:t>或其授权委托人</w:t>
      </w:r>
      <w:r>
        <w:rPr>
          <w:rFonts w:ascii="宋体" w:hAnsi="宋体" w:eastAsia="宋体"/>
          <w:color w:val="auto"/>
          <w:highlight w:val="none"/>
          <w:shd w:val="clear" w:color="auto" w:fill="FFFFFF"/>
          <w:lang w:val="zh-TW"/>
        </w:rPr>
        <w:t>：（签字）</w:t>
      </w:r>
    </w:p>
    <w:p>
      <w:pPr>
        <w:pStyle w:val="49"/>
        <w:spacing w:line="440" w:lineRule="exact"/>
        <w:ind w:firstLine="4095" w:firstLineChars="1950"/>
        <w:rPr>
          <w:rFonts w:ascii="宋体" w:hAnsi="宋体" w:eastAsia="宋体"/>
          <w:color w:val="auto"/>
          <w:highlight w:val="none"/>
          <w:shd w:val="clear" w:color="auto" w:fill="FFFFFF"/>
          <w:lang w:val="zh-TW"/>
        </w:rPr>
      </w:pPr>
      <w:r>
        <w:rPr>
          <w:rFonts w:ascii="宋体" w:hAnsi="宋体" w:eastAsia="宋体"/>
          <w:color w:val="auto"/>
          <w:highlight w:val="none"/>
          <w:shd w:val="clear" w:color="auto" w:fill="FFFFFF"/>
          <w:lang w:val="zh-TW"/>
        </w:rPr>
        <w:t>年      月      日</w:t>
      </w:r>
    </w:p>
    <w:p>
      <w:pPr>
        <w:pStyle w:val="49"/>
        <w:spacing w:line="440" w:lineRule="exact"/>
        <w:ind w:firstLine="4680" w:firstLineChars="1950"/>
        <w:jc w:val="left"/>
        <w:rPr>
          <w:rFonts w:hint="eastAsia" w:ascii="宋体" w:hAnsi="宋体" w:cs="宋体"/>
          <w:b/>
          <w:bCs/>
          <w:color w:val="auto"/>
          <w:sz w:val="24"/>
          <w:highlight w:val="none"/>
          <w:shd w:val="clear" w:color="auto" w:fill="FFFFFF"/>
        </w:rPr>
      </w:pPr>
    </w:p>
    <w:p>
      <w:pPr>
        <w:pStyle w:val="49"/>
        <w:spacing w:line="440" w:lineRule="exact"/>
        <w:ind w:firstLine="4680" w:firstLineChars="1950"/>
        <w:jc w:val="left"/>
        <w:rPr>
          <w:rFonts w:hint="eastAsia" w:ascii="宋体" w:hAnsi="宋体" w:cs="宋体"/>
          <w:b/>
          <w:bCs/>
          <w:color w:val="auto"/>
          <w:sz w:val="24"/>
          <w:highlight w:val="none"/>
          <w:shd w:val="clear" w:color="auto" w:fill="FFFFFF"/>
        </w:rPr>
      </w:pPr>
    </w:p>
    <w:p>
      <w:pPr>
        <w:pStyle w:val="49"/>
        <w:spacing w:line="440" w:lineRule="exact"/>
        <w:ind w:firstLine="0" w:firstLineChars="0"/>
        <w:jc w:val="left"/>
        <w:rPr>
          <w:rFonts w:hint="eastAsia" w:ascii="Times New Roman" w:hAnsi="Times New Roman"/>
          <w:b w:val="0"/>
          <w:bCs w:val="0"/>
          <w:color w:val="auto"/>
          <w:sz w:val="30"/>
          <w:highlight w:val="none"/>
        </w:rPr>
      </w:pPr>
      <w:r>
        <w:rPr>
          <w:rFonts w:hint="eastAsia" w:ascii="宋体" w:hAnsi="宋体" w:eastAsia="宋体" w:cs="宋体"/>
          <w:b/>
          <w:bCs/>
          <w:color w:val="auto"/>
          <w:sz w:val="24"/>
          <w:highlight w:val="none"/>
          <w:shd w:val="clear" w:color="auto" w:fill="FFFFFF"/>
          <w:lang w:eastAsia="zh-CN"/>
        </w:rPr>
        <w:t>附：</w:t>
      </w:r>
      <w:r>
        <w:rPr>
          <w:rFonts w:hint="eastAsia" w:ascii="宋体" w:hAnsi="宋体" w:eastAsia="宋体" w:cs="宋体"/>
          <w:b/>
          <w:bCs/>
          <w:color w:val="auto"/>
          <w:sz w:val="24"/>
          <w:highlight w:val="none"/>
          <w:shd w:val="clear" w:color="auto" w:fill="FFFFFF"/>
          <w:lang w:val="en-US" w:eastAsia="zh-CN"/>
        </w:rPr>
        <w:t>详见商务标部分</w:t>
      </w:r>
      <w:r>
        <w:rPr>
          <w:rFonts w:ascii="宋体" w:hAnsi="宋体" w:eastAsia="宋体" w:cs="宋体"/>
          <w:color w:val="auto"/>
          <w:sz w:val="24"/>
          <w:szCs w:val="24"/>
          <w:highlight w:val="none"/>
        </w:rPr>
        <w:t>（按招标人提供的概算清单格式，对招标控制价汇总表列明的项目进行报价， 并按控制价汇总表格式对报价进行汇总）</w:t>
      </w:r>
    </w:p>
    <w:p>
      <w:pPr>
        <w:pStyle w:val="4"/>
        <w:keepNext w:val="0"/>
        <w:keepLines w:val="0"/>
        <w:pageBreakBefore w:val="0"/>
        <w:widowControl/>
        <w:kinsoku/>
        <w:wordWrap/>
        <w:overflowPunct/>
        <w:topLinePunct w:val="0"/>
        <w:autoSpaceDE/>
        <w:autoSpaceDN/>
        <w:bidi w:val="0"/>
        <w:adjustRightInd/>
        <w:snapToGrid/>
        <w:spacing w:line="416" w:lineRule="auto"/>
        <w:jc w:val="center"/>
        <w:textAlignment w:val="auto"/>
        <w:outlineLvl w:val="9"/>
        <w:rPr>
          <w:rFonts w:hint="eastAsia" w:ascii="Times New Roman" w:hAnsi="Times New Roman"/>
          <w:b w:val="0"/>
          <w:bCs w:val="0"/>
          <w:color w:val="auto"/>
          <w:sz w:val="30"/>
          <w:highlight w:val="none"/>
        </w:rPr>
      </w:pPr>
      <w:bookmarkStart w:id="1245" w:name="_Toc26024_WPSOffice_Level1"/>
    </w:p>
    <w:p>
      <w:pPr>
        <w:pStyle w:val="4"/>
        <w:keepNext w:val="0"/>
        <w:keepLines w:val="0"/>
        <w:pageBreakBefore w:val="0"/>
        <w:widowControl/>
        <w:kinsoku/>
        <w:wordWrap/>
        <w:overflowPunct/>
        <w:topLinePunct w:val="0"/>
        <w:autoSpaceDE/>
        <w:autoSpaceDN/>
        <w:bidi w:val="0"/>
        <w:adjustRightInd/>
        <w:snapToGrid/>
        <w:spacing w:line="416" w:lineRule="auto"/>
        <w:jc w:val="center"/>
        <w:textAlignment w:val="auto"/>
        <w:outlineLvl w:val="0"/>
        <w:rPr>
          <w:rFonts w:ascii="Times New Roman" w:hAnsi="Times New Roman"/>
          <w:b w:val="0"/>
          <w:bCs w:val="0"/>
          <w:color w:val="auto"/>
          <w:sz w:val="30"/>
          <w:highlight w:val="none"/>
        </w:rPr>
      </w:pPr>
      <w:bookmarkStart w:id="1246" w:name="_Toc24983"/>
      <w:r>
        <w:rPr>
          <w:rFonts w:hint="eastAsia" w:ascii="Times New Roman" w:hAnsi="Times New Roman"/>
          <w:b w:val="0"/>
          <w:bCs w:val="0"/>
          <w:color w:val="auto"/>
          <w:sz w:val="30"/>
          <w:highlight w:val="none"/>
        </w:rPr>
        <w:t>6.</w:t>
      </w:r>
      <w:r>
        <w:rPr>
          <w:rFonts w:ascii="Times New Roman" w:hAnsi="Times New Roman"/>
          <w:b w:val="0"/>
          <w:bCs w:val="0"/>
          <w:color w:val="auto"/>
          <w:sz w:val="30"/>
          <w:highlight w:val="none"/>
        </w:rPr>
        <w:t>项目管理机构</w:t>
      </w:r>
      <w:bookmarkEnd w:id="1242"/>
      <w:bookmarkEnd w:id="1243"/>
      <w:bookmarkEnd w:id="1244"/>
      <w:bookmarkEnd w:id="1245"/>
      <w:bookmarkEnd w:id="1246"/>
    </w:p>
    <w:p>
      <w:pPr>
        <w:pStyle w:val="5"/>
        <w:jc w:val="center"/>
        <w:rPr>
          <w:bCs w:val="0"/>
          <w:color w:val="auto"/>
          <w:highlight w:val="none"/>
        </w:rPr>
      </w:pPr>
      <w:bookmarkStart w:id="1247" w:name="_Toc47711649"/>
      <w:bookmarkStart w:id="1248" w:name="_Toc6319"/>
      <w:r>
        <w:rPr>
          <w:bCs w:val="0"/>
          <w:color w:val="auto"/>
          <w:highlight w:val="none"/>
        </w:rPr>
        <w:t>（</w:t>
      </w:r>
      <w:r>
        <w:rPr>
          <w:rFonts w:hint="eastAsia"/>
          <w:bCs w:val="0"/>
          <w:color w:val="auto"/>
          <w:highlight w:val="none"/>
        </w:rPr>
        <w:t>1</w:t>
      </w:r>
      <w:r>
        <w:rPr>
          <w:bCs w:val="0"/>
          <w:color w:val="auto"/>
          <w:highlight w:val="none"/>
        </w:rPr>
        <w:t>）项目管理机构组成表</w:t>
      </w:r>
      <w:bookmarkEnd w:id="1247"/>
      <w:bookmarkEnd w:id="1248"/>
    </w:p>
    <w:tbl>
      <w:tblPr>
        <w:tblStyle w:val="21"/>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vAlign w:val="center"/>
          </w:tcPr>
          <w:p>
            <w:pPr>
              <w:jc w:val="center"/>
              <w:rPr>
                <w:color w:val="auto"/>
                <w:sz w:val="18"/>
                <w:szCs w:val="21"/>
                <w:highlight w:val="none"/>
              </w:rPr>
            </w:pPr>
            <w:r>
              <w:rPr>
                <w:color w:val="auto"/>
                <w:sz w:val="18"/>
                <w:szCs w:val="21"/>
                <w:highlight w:val="none"/>
              </w:rPr>
              <w:t>姓名</w:t>
            </w:r>
          </w:p>
        </w:tc>
        <w:tc>
          <w:tcPr>
            <w:tcW w:w="639" w:type="dxa"/>
            <w:vMerge w:val="restart"/>
            <w:vAlign w:val="center"/>
          </w:tcPr>
          <w:p>
            <w:pPr>
              <w:jc w:val="center"/>
              <w:rPr>
                <w:color w:val="auto"/>
                <w:sz w:val="18"/>
                <w:szCs w:val="21"/>
                <w:highlight w:val="none"/>
              </w:rPr>
            </w:pPr>
            <w:r>
              <w:rPr>
                <w:color w:val="auto"/>
                <w:sz w:val="18"/>
                <w:szCs w:val="21"/>
                <w:highlight w:val="none"/>
              </w:rPr>
              <w:t>性别</w:t>
            </w:r>
          </w:p>
        </w:tc>
        <w:tc>
          <w:tcPr>
            <w:tcW w:w="5576" w:type="dxa"/>
            <w:gridSpan w:val="5"/>
            <w:vAlign w:val="center"/>
          </w:tcPr>
          <w:p>
            <w:pPr>
              <w:jc w:val="center"/>
              <w:rPr>
                <w:color w:val="auto"/>
                <w:sz w:val="18"/>
                <w:szCs w:val="21"/>
                <w:highlight w:val="none"/>
              </w:rPr>
            </w:pPr>
            <w:r>
              <w:rPr>
                <w:color w:val="auto"/>
                <w:sz w:val="18"/>
                <w:szCs w:val="21"/>
                <w:highlight w:val="none"/>
              </w:rPr>
              <w:t>执业或岗位资格证明</w:t>
            </w:r>
          </w:p>
        </w:tc>
        <w:tc>
          <w:tcPr>
            <w:tcW w:w="1510" w:type="dxa"/>
            <w:vMerge w:val="restart"/>
            <w:vAlign w:val="center"/>
          </w:tcPr>
          <w:p>
            <w:pPr>
              <w:jc w:val="center"/>
              <w:rPr>
                <w:color w:val="auto"/>
                <w:sz w:val="18"/>
                <w:szCs w:val="21"/>
                <w:highlight w:val="none"/>
              </w:rPr>
            </w:pPr>
            <w:r>
              <w:rPr>
                <w:color w:val="auto"/>
                <w:sz w:val="18"/>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vAlign w:val="center"/>
          </w:tcPr>
          <w:p>
            <w:pPr>
              <w:jc w:val="center"/>
              <w:rPr>
                <w:color w:val="auto"/>
                <w:szCs w:val="21"/>
                <w:highlight w:val="none"/>
              </w:rPr>
            </w:pPr>
          </w:p>
        </w:tc>
        <w:tc>
          <w:tcPr>
            <w:tcW w:w="639" w:type="dxa"/>
            <w:vMerge w:val="continue"/>
            <w:vAlign w:val="center"/>
          </w:tcPr>
          <w:p>
            <w:pPr>
              <w:jc w:val="center"/>
              <w:rPr>
                <w:color w:val="auto"/>
                <w:szCs w:val="21"/>
                <w:highlight w:val="none"/>
              </w:rPr>
            </w:pPr>
          </w:p>
        </w:tc>
        <w:tc>
          <w:tcPr>
            <w:tcW w:w="1065" w:type="dxa"/>
            <w:vAlign w:val="center"/>
          </w:tcPr>
          <w:p>
            <w:pPr>
              <w:jc w:val="center"/>
              <w:rPr>
                <w:color w:val="auto"/>
                <w:sz w:val="18"/>
                <w:szCs w:val="21"/>
                <w:highlight w:val="none"/>
              </w:rPr>
            </w:pPr>
            <w:r>
              <w:rPr>
                <w:color w:val="auto"/>
                <w:sz w:val="18"/>
                <w:szCs w:val="21"/>
                <w:highlight w:val="none"/>
              </w:rPr>
              <w:t>证书名称</w:t>
            </w:r>
          </w:p>
        </w:tc>
        <w:tc>
          <w:tcPr>
            <w:tcW w:w="808" w:type="dxa"/>
            <w:vAlign w:val="center"/>
          </w:tcPr>
          <w:p>
            <w:pPr>
              <w:jc w:val="center"/>
              <w:rPr>
                <w:color w:val="auto"/>
                <w:sz w:val="18"/>
                <w:szCs w:val="21"/>
                <w:highlight w:val="none"/>
              </w:rPr>
            </w:pPr>
            <w:r>
              <w:rPr>
                <w:color w:val="auto"/>
                <w:sz w:val="18"/>
                <w:szCs w:val="21"/>
                <w:highlight w:val="none"/>
              </w:rPr>
              <w:t>级别</w:t>
            </w:r>
          </w:p>
        </w:tc>
        <w:tc>
          <w:tcPr>
            <w:tcW w:w="852" w:type="dxa"/>
            <w:vAlign w:val="center"/>
          </w:tcPr>
          <w:p>
            <w:pPr>
              <w:jc w:val="center"/>
              <w:rPr>
                <w:color w:val="auto"/>
                <w:sz w:val="18"/>
                <w:szCs w:val="21"/>
                <w:highlight w:val="none"/>
              </w:rPr>
            </w:pPr>
            <w:r>
              <w:rPr>
                <w:color w:val="auto"/>
                <w:sz w:val="18"/>
                <w:szCs w:val="21"/>
                <w:highlight w:val="none"/>
              </w:rPr>
              <w:t>证号</w:t>
            </w:r>
          </w:p>
        </w:tc>
        <w:tc>
          <w:tcPr>
            <w:tcW w:w="724" w:type="dxa"/>
            <w:vAlign w:val="center"/>
          </w:tcPr>
          <w:p>
            <w:pPr>
              <w:jc w:val="center"/>
              <w:rPr>
                <w:color w:val="auto"/>
                <w:sz w:val="18"/>
                <w:szCs w:val="21"/>
                <w:highlight w:val="none"/>
              </w:rPr>
            </w:pPr>
            <w:r>
              <w:rPr>
                <w:color w:val="auto"/>
                <w:sz w:val="18"/>
                <w:szCs w:val="21"/>
                <w:highlight w:val="none"/>
              </w:rPr>
              <w:t>专业</w:t>
            </w:r>
          </w:p>
        </w:tc>
        <w:tc>
          <w:tcPr>
            <w:tcW w:w="2127" w:type="dxa"/>
            <w:vAlign w:val="center"/>
          </w:tcPr>
          <w:p>
            <w:pPr>
              <w:jc w:val="center"/>
              <w:rPr>
                <w:color w:val="auto"/>
                <w:sz w:val="18"/>
                <w:szCs w:val="21"/>
                <w:highlight w:val="none"/>
              </w:rPr>
            </w:pPr>
            <w:r>
              <w:rPr>
                <w:color w:val="auto"/>
                <w:sz w:val="18"/>
                <w:szCs w:val="21"/>
                <w:highlight w:val="none"/>
              </w:rPr>
              <w:t>身份证号码</w:t>
            </w:r>
          </w:p>
        </w:tc>
        <w:tc>
          <w:tcPr>
            <w:tcW w:w="1510" w:type="dxa"/>
            <w:vMerge w:val="continue"/>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color w:val="auto"/>
                <w:szCs w:val="21"/>
                <w:highlight w:val="none"/>
              </w:rPr>
            </w:pPr>
          </w:p>
        </w:tc>
        <w:tc>
          <w:tcPr>
            <w:tcW w:w="639"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808" w:type="dxa"/>
            <w:vAlign w:val="center"/>
          </w:tcPr>
          <w:p>
            <w:pPr>
              <w:jc w:val="center"/>
              <w:rPr>
                <w:color w:val="auto"/>
                <w:szCs w:val="21"/>
                <w:highlight w:val="none"/>
              </w:rPr>
            </w:pPr>
          </w:p>
        </w:tc>
        <w:tc>
          <w:tcPr>
            <w:tcW w:w="852" w:type="dxa"/>
            <w:vAlign w:val="center"/>
          </w:tcPr>
          <w:p>
            <w:pPr>
              <w:jc w:val="center"/>
              <w:rPr>
                <w:color w:val="auto"/>
                <w:szCs w:val="21"/>
                <w:highlight w:val="none"/>
              </w:rPr>
            </w:pPr>
          </w:p>
        </w:tc>
        <w:tc>
          <w:tcPr>
            <w:tcW w:w="724" w:type="dxa"/>
            <w:vAlign w:val="center"/>
          </w:tcPr>
          <w:p>
            <w:pPr>
              <w:jc w:val="center"/>
              <w:rPr>
                <w:color w:val="auto"/>
                <w:szCs w:val="21"/>
                <w:highlight w:val="none"/>
              </w:rPr>
            </w:pPr>
          </w:p>
        </w:tc>
        <w:tc>
          <w:tcPr>
            <w:tcW w:w="2127" w:type="dxa"/>
            <w:vAlign w:val="center"/>
          </w:tcPr>
          <w:p>
            <w:pPr>
              <w:jc w:val="center"/>
              <w:rPr>
                <w:color w:val="auto"/>
                <w:szCs w:val="21"/>
                <w:highlight w:val="none"/>
              </w:rPr>
            </w:pPr>
          </w:p>
        </w:tc>
        <w:tc>
          <w:tcPr>
            <w:tcW w:w="1510" w:type="dxa"/>
            <w:vAlign w:val="center"/>
          </w:tcPr>
          <w:p>
            <w:pPr>
              <w:jc w:val="center"/>
              <w:rPr>
                <w:color w:val="auto"/>
                <w:szCs w:val="21"/>
                <w:highlight w:val="none"/>
              </w:rPr>
            </w:pPr>
          </w:p>
        </w:tc>
      </w:tr>
    </w:tbl>
    <w:p>
      <w:pPr>
        <w:rPr>
          <w:color w:val="auto"/>
          <w:highlight w:val="none"/>
        </w:rPr>
      </w:pPr>
      <w:r>
        <w:rPr>
          <w:rFonts w:hint="eastAsia"/>
          <w:color w:val="auto"/>
          <w:highlight w:val="none"/>
        </w:rPr>
        <w:t>说明</w:t>
      </w:r>
      <w:r>
        <w:rPr>
          <w:color w:val="auto"/>
          <w:highlight w:val="none"/>
        </w:rPr>
        <w:t>：</w:t>
      </w:r>
      <w:r>
        <w:rPr>
          <w:rFonts w:hint="eastAsia"/>
          <w:color w:val="auto"/>
          <w:highlight w:val="none"/>
          <w:lang w:val="en-US" w:eastAsia="zh-CN"/>
        </w:rPr>
        <w:t>1、</w:t>
      </w:r>
      <w:r>
        <w:rPr>
          <w:color w:val="auto"/>
          <w:highlight w:val="none"/>
        </w:rPr>
        <w:t>项目管理机构人员是指</w:t>
      </w:r>
      <w:r>
        <w:rPr>
          <w:rFonts w:hint="eastAsia"/>
          <w:color w:val="auto"/>
          <w:highlight w:val="none"/>
        </w:rPr>
        <w:t>项目负责人</w:t>
      </w:r>
      <w:r>
        <w:rPr>
          <w:rFonts w:hint="eastAsia"/>
          <w:color w:val="auto"/>
          <w:highlight w:val="none"/>
          <w:lang w:eastAsia="zh-CN"/>
        </w:rPr>
        <w:t>（项目总负责人可以兼任项目施工负责人）</w:t>
      </w:r>
      <w:r>
        <w:rPr>
          <w:color w:val="auto"/>
          <w:highlight w:val="none"/>
        </w:rPr>
        <w:t>、</w:t>
      </w:r>
      <w:r>
        <w:rPr>
          <w:rFonts w:hint="eastAsia"/>
          <w:color w:val="auto"/>
          <w:highlight w:val="none"/>
        </w:rPr>
        <w:t>项目技术负责人、设计项目负责人</w:t>
      </w:r>
      <w:r>
        <w:rPr>
          <w:rFonts w:hint="eastAsia"/>
          <w:color w:val="auto"/>
          <w:highlight w:val="none"/>
          <w:lang w:eastAsia="zh-CN"/>
        </w:rPr>
        <w:t>、</w:t>
      </w:r>
      <w:r>
        <w:rPr>
          <w:rFonts w:hint="eastAsia"/>
          <w:color w:val="auto"/>
          <w:highlight w:val="none"/>
          <w:lang w:val="en-US" w:eastAsia="zh-CN"/>
        </w:rPr>
        <w:t>项目施工负责人</w:t>
      </w:r>
      <w:r>
        <w:rPr>
          <w:color w:val="auto"/>
          <w:highlight w:val="none"/>
        </w:rPr>
        <w:t>。</w:t>
      </w:r>
    </w:p>
    <w:p>
      <w:pPr>
        <w:ind w:firstLine="630" w:firstLineChars="300"/>
        <w:rPr>
          <w:rFonts w:hint="eastAsia"/>
          <w:color w:val="auto"/>
          <w:highlight w:val="none"/>
        </w:rPr>
      </w:pPr>
      <w:r>
        <w:rPr>
          <w:rFonts w:hint="eastAsia"/>
          <w:color w:val="auto"/>
          <w:highlight w:val="none"/>
          <w:lang w:val="en-US" w:eastAsia="zh-CN"/>
        </w:rPr>
        <w:t>2、项目总负责人、</w:t>
      </w:r>
      <w:r>
        <w:rPr>
          <w:rFonts w:hint="eastAsia"/>
          <w:color w:val="auto"/>
          <w:highlight w:val="none"/>
        </w:rPr>
        <w:t>施工项目负责人和施工技术负责人无在建情况查询和证明方式：本省企业和省外入湘企业在“湖南省建筑工程监管信息平台”查询。同时，请省外入湘企业提供企业所在地市州及以上住房城乡建设主管部门出具的未在其他建设工程项目中担任同类职务证明相关信息的网页截图，省外入湘企业无官网查询信息的，需提供承诺（格式自拟）。</w:t>
      </w:r>
    </w:p>
    <w:p>
      <w:pPr>
        <w:rPr>
          <w:color w:val="auto"/>
          <w:highlight w:val="none"/>
        </w:rPr>
      </w:pPr>
      <w:bookmarkStart w:id="1249" w:name="_Toc9178585"/>
      <w:bookmarkStart w:id="1250" w:name="_Toc300678575"/>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ind w:left="0" w:leftChars="0" w:firstLine="0" w:firstLineChars="0"/>
        <w:rPr>
          <w:rFonts w:hint="eastAsia"/>
          <w:color w:val="auto"/>
          <w:highlight w:val="none"/>
        </w:rPr>
      </w:pPr>
    </w:p>
    <w:bookmarkEnd w:id="1249"/>
    <w:bookmarkEnd w:id="1250"/>
    <w:p>
      <w:pPr>
        <w:pStyle w:val="5"/>
        <w:jc w:val="center"/>
        <w:rPr>
          <w:rFonts w:hint="eastAsia" w:ascii="Times New Roman"/>
          <w:color w:val="auto"/>
          <w:sz w:val="24"/>
          <w:highlight w:val="none"/>
        </w:rPr>
      </w:pPr>
      <w:bookmarkStart w:id="1251" w:name="_Toc47711650"/>
      <w:bookmarkStart w:id="1252" w:name="_Toc300678576"/>
      <w:bookmarkStart w:id="1253" w:name="_Toc8948"/>
      <w:r>
        <w:rPr>
          <w:bCs w:val="0"/>
          <w:color w:val="auto"/>
          <w:highlight w:val="none"/>
        </w:rPr>
        <w:t>（</w:t>
      </w:r>
      <w:r>
        <w:rPr>
          <w:rFonts w:hint="eastAsia"/>
          <w:bCs w:val="0"/>
          <w:color w:val="auto"/>
          <w:highlight w:val="none"/>
        </w:rPr>
        <w:t>2</w:t>
      </w:r>
      <w:r>
        <w:rPr>
          <w:bCs w:val="0"/>
          <w:color w:val="auto"/>
          <w:highlight w:val="none"/>
        </w:rPr>
        <w:t>）主要人员简历表</w:t>
      </w:r>
      <w:bookmarkEnd w:id="1251"/>
      <w:bookmarkEnd w:id="1252"/>
      <w:bookmarkEnd w:id="1253"/>
      <w:bookmarkStart w:id="1254" w:name="_Toc300678577"/>
      <w:bookmarkStart w:id="1255" w:name="_Toc300678579"/>
    </w:p>
    <w:p>
      <w:pPr>
        <w:pStyle w:val="6"/>
        <w:jc w:val="center"/>
        <w:rPr>
          <w:rFonts w:ascii="Cambria" w:hAnsi="Cambria"/>
          <w:b w:val="0"/>
          <w:color w:val="auto"/>
          <w:szCs w:val="21"/>
          <w:highlight w:val="none"/>
        </w:rPr>
      </w:pPr>
      <w:r>
        <w:rPr>
          <w:rFonts w:hint="eastAsia" w:ascii="Times New Roman"/>
          <w:color w:val="auto"/>
          <w:highlight w:val="none"/>
        </w:rPr>
        <w:t>①</w:t>
      </w:r>
      <w:bookmarkStart w:id="1256" w:name="_Hlk53732889"/>
      <w:r>
        <w:rPr>
          <w:rFonts w:ascii="Times New Roman"/>
          <w:color w:val="auto"/>
          <w:highlight w:val="none"/>
        </w:rPr>
        <w:t>拟任</w:t>
      </w:r>
      <w:r>
        <w:rPr>
          <w:rFonts w:hint="eastAsia" w:ascii="Times New Roman"/>
          <w:color w:val="auto"/>
          <w:highlight w:val="none"/>
        </w:rPr>
        <w:t>项目</w:t>
      </w:r>
      <w:r>
        <w:rPr>
          <w:rFonts w:hint="eastAsia" w:ascii="Times New Roman"/>
          <w:color w:val="auto"/>
          <w:highlight w:val="none"/>
          <w:lang w:val="en-US" w:eastAsia="zh-CN"/>
        </w:rPr>
        <w:t>总</w:t>
      </w:r>
      <w:r>
        <w:rPr>
          <w:rFonts w:hint="eastAsia" w:ascii="Times New Roman"/>
          <w:color w:val="auto"/>
          <w:highlight w:val="none"/>
        </w:rPr>
        <w:t>负责人</w:t>
      </w:r>
      <w:r>
        <w:rPr>
          <w:rFonts w:ascii="Times New Roman"/>
          <w:color w:val="auto"/>
          <w:highlight w:val="none"/>
        </w:rPr>
        <w:t>简历表</w:t>
      </w:r>
      <w:bookmarkEnd w:id="1256"/>
    </w:p>
    <w:tbl>
      <w:tblPr>
        <w:tblStyle w:val="21"/>
        <w:tblW w:w="8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姓  名</w:t>
            </w:r>
          </w:p>
        </w:tc>
        <w:tc>
          <w:tcPr>
            <w:tcW w:w="2169" w:type="dxa"/>
            <w:gridSpan w:val="2"/>
            <w:vAlign w:val="center"/>
          </w:tcPr>
          <w:p>
            <w:pPr>
              <w:jc w:val="center"/>
              <w:rPr>
                <w:color w:val="auto"/>
                <w:sz w:val="18"/>
                <w:szCs w:val="21"/>
                <w:highlight w:val="none"/>
              </w:rPr>
            </w:pPr>
          </w:p>
        </w:tc>
        <w:tc>
          <w:tcPr>
            <w:tcW w:w="1275" w:type="dxa"/>
            <w:vAlign w:val="center"/>
          </w:tcPr>
          <w:p>
            <w:pPr>
              <w:jc w:val="center"/>
              <w:rPr>
                <w:color w:val="auto"/>
                <w:sz w:val="18"/>
                <w:szCs w:val="21"/>
                <w:highlight w:val="none"/>
              </w:rPr>
            </w:pPr>
            <w:r>
              <w:rPr>
                <w:color w:val="auto"/>
                <w:sz w:val="18"/>
                <w:szCs w:val="21"/>
                <w:highlight w:val="none"/>
              </w:rPr>
              <w:t>职  称</w:t>
            </w:r>
          </w:p>
        </w:tc>
        <w:tc>
          <w:tcPr>
            <w:tcW w:w="3715" w:type="dxa"/>
            <w:gridSpan w:val="2"/>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职  务</w:t>
            </w:r>
          </w:p>
        </w:tc>
        <w:tc>
          <w:tcPr>
            <w:tcW w:w="1035" w:type="dxa"/>
            <w:vAlign w:val="center"/>
          </w:tcPr>
          <w:p>
            <w:pPr>
              <w:jc w:val="center"/>
              <w:rPr>
                <w:color w:val="auto"/>
                <w:sz w:val="18"/>
                <w:szCs w:val="21"/>
                <w:highlight w:val="none"/>
              </w:rPr>
            </w:pPr>
          </w:p>
        </w:tc>
        <w:tc>
          <w:tcPr>
            <w:tcW w:w="1134" w:type="dxa"/>
            <w:vAlign w:val="center"/>
          </w:tcPr>
          <w:p>
            <w:pPr>
              <w:jc w:val="center"/>
              <w:rPr>
                <w:color w:val="auto"/>
                <w:sz w:val="18"/>
                <w:szCs w:val="21"/>
                <w:highlight w:val="none"/>
              </w:rPr>
            </w:pPr>
            <w:r>
              <w:rPr>
                <w:color w:val="auto"/>
                <w:sz w:val="18"/>
                <w:szCs w:val="21"/>
                <w:highlight w:val="none"/>
              </w:rPr>
              <w:t>年龄</w:t>
            </w:r>
          </w:p>
        </w:tc>
        <w:tc>
          <w:tcPr>
            <w:tcW w:w="1275" w:type="dxa"/>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r>
              <w:rPr>
                <w:color w:val="auto"/>
                <w:sz w:val="18"/>
                <w:szCs w:val="21"/>
                <w:highlight w:val="none"/>
              </w:rPr>
              <w:t>拟在本工程任职</w:t>
            </w:r>
          </w:p>
        </w:tc>
        <w:tc>
          <w:tcPr>
            <w:tcW w:w="2091"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color w:val="auto"/>
                <w:sz w:val="18"/>
                <w:szCs w:val="21"/>
                <w:highlight w:val="none"/>
              </w:rPr>
            </w:pPr>
            <w:r>
              <w:rPr>
                <w:rFonts w:hint="eastAsia"/>
                <w:color w:val="auto"/>
                <w:sz w:val="18"/>
                <w:szCs w:val="21"/>
                <w:highlight w:val="none"/>
              </w:rPr>
              <w:t>注册</w:t>
            </w:r>
            <w:r>
              <w:rPr>
                <w:color w:val="auto"/>
                <w:sz w:val="18"/>
                <w:szCs w:val="21"/>
                <w:highlight w:val="none"/>
              </w:rPr>
              <w:t>执业资格</w:t>
            </w:r>
            <w:r>
              <w:rPr>
                <w:rFonts w:hint="eastAsia"/>
                <w:color w:val="auto"/>
                <w:sz w:val="18"/>
                <w:szCs w:val="21"/>
                <w:highlight w:val="none"/>
              </w:rPr>
              <w:t>等级</w:t>
            </w:r>
          </w:p>
        </w:tc>
        <w:tc>
          <w:tcPr>
            <w:tcW w:w="1275" w:type="dxa"/>
            <w:vAlign w:val="center"/>
          </w:tcPr>
          <w:p>
            <w:pPr>
              <w:jc w:val="center"/>
              <w:rPr>
                <w:color w:val="auto"/>
                <w:sz w:val="18"/>
                <w:szCs w:val="21"/>
                <w:highlight w:val="none"/>
              </w:rPr>
            </w:pPr>
            <w:r>
              <w:rPr>
                <w:color w:val="auto"/>
                <w:sz w:val="18"/>
                <w:szCs w:val="21"/>
                <w:highlight w:val="none"/>
              </w:rPr>
              <w:t xml:space="preserve">      级</w:t>
            </w:r>
          </w:p>
        </w:tc>
        <w:tc>
          <w:tcPr>
            <w:tcW w:w="1624" w:type="dxa"/>
            <w:vAlign w:val="center"/>
          </w:tcPr>
          <w:p>
            <w:pPr>
              <w:jc w:val="center"/>
              <w:rPr>
                <w:color w:val="auto"/>
                <w:sz w:val="18"/>
                <w:szCs w:val="21"/>
                <w:highlight w:val="none"/>
              </w:rPr>
            </w:pPr>
            <w:r>
              <w:rPr>
                <w:color w:val="auto"/>
                <w:sz w:val="18"/>
                <w:szCs w:val="21"/>
                <w:highlight w:val="none"/>
              </w:rPr>
              <w:t>专业</w:t>
            </w: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rFonts w:hint="eastAsia"/>
                <w:color w:val="auto"/>
                <w:sz w:val="18"/>
                <w:szCs w:val="21"/>
                <w:highlight w:val="none"/>
              </w:rPr>
            </w:pPr>
            <w:r>
              <w:rPr>
                <w:rFonts w:hint="eastAsia"/>
                <w:color w:val="auto"/>
                <w:sz w:val="18"/>
                <w:szCs w:val="21"/>
                <w:highlight w:val="none"/>
              </w:rPr>
              <w:t>安全生产考核合格证书证号</w:t>
            </w:r>
          </w:p>
        </w:tc>
        <w:tc>
          <w:tcPr>
            <w:tcW w:w="4990" w:type="dxa"/>
            <w:gridSpan w:val="3"/>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24" w:type="dxa"/>
            <w:gridSpan w:val="6"/>
            <w:vAlign w:val="center"/>
          </w:tcPr>
          <w:p>
            <w:pPr>
              <w:jc w:val="center"/>
              <w:rPr>
                <w:color w:val="auto"/>
                <w:sz w:val="18"/>
                <w:szCs w:val="21"/>
                <w:highlight w:val="none"/>
              </w:rPr>
            </w:pPr>
            <w:r>
              <w:rPr>
                <w:color w:val="auto"/>
                <w:sz w:val="18"/>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起止时间</w:t>
            </w:r>
          </w:p>
        </w:tc>
        <w:tc>
          <w:tcPr>
            <w:tcW w:w="3444" w:type="dxa"/>
            <w:gridSpan w:val="3"/>
            <w:vAlign w:val="center"/>
          </w:tcPr>
          <w:p>
            <w:pPr>
              <w:jc w:val="center"/>
              <w:rPr>
                <w:color w:val="auto"/>
                <w:sz w:val="18"/>
                <w:szCs w:val="21"/>
                <w:highlight w:val="none"/>
              </w:rPr>
            </w:pPr>
            <w:r>
              <w:rPr>
                <w:color w:val="auto"/>
                <w:sz w:val="18"/>
                <w:szCs w:val="21"/>
                <w:highlight w:val="none"/>
              </w:rPr>
              <w:t>参加过的类似项目名称</w:t>
            </w:r>
          </w:p>
        </w:tc>
        <w:tc>
          <w:tcPr>
            <w:tcW w:w="1624" w:type="dxa"/>
            <w:vAlign w:val="center"/>
          </w:tcPr>
          <w:p>
            <w:pPr>
              <w:jc w:val="center"/>
              <w:rPr>
                <w:color w:val="auto"/>
                <w:sz w:val="18"/>
                <w:szCs w:val="21"/>
                <w:highlight w:val="none"/>
              </w:rPr>
            </w:pPr>
            <w:r>
              <w:rPr>
                <w:color w:val="auto"/>
                <w:sz w:val="18"/>
                <w:szCs w:val="21"/>
                <w:highlight w:val="none"/>
              </w:rPr>
              <w:t>工程概况说明</w:t>
            </w:r>
          </w:p>
        </w:tc>
        <w:tc>
          <w:tcPr>
            <w:tcW w:w="2091" w:type="dxa"/>
            <w:vAlign w:val="center"/>
          </w:tcPr>
          <w:p>
            <w:pPr>
              <w:jc w:val="center"/>
              <w:rPr>
                <w:color w:val="auto"/>
                <w:sz w:val="18"/>
                <w:szCs w:val="21"/>
                <w:highlight w:val="none"/>
              </w:rPr>
            </w:pPr>
            <w:r>
              <w:rPr>
                <w:color w:val="auto"/>
                <w:sz w:val="18"/>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624" w:type="dxa"/>
            <w:vAlign w:val="center"/>
          </w:tcPr>
          <w:p>
            <w:pPr>
              <w:jc w:val="center"/>
              <w:rPr>
                <w:color w:val="auto"/>
                <w:sz w:val="18"/>
                <w:szCs w:val="21"/>
                <w:highlight w:val="none"/>
              </w:rPr>
            </w:pPr>
          </w:p>
        </w:tc>
        <w:tc>
          <w:tcPr>
            <w:tcW w:w="2091" w:type="dxa"/>
            <w:vAlign w:val="center"/>
          </w:tcPr>
          <w:p>
            <w:pPr>
              <w:jc w:val="center"/>
              <w:rPr>
                <w:color w:val="auto"/>
                <w:sz w:val="18"/>
                <w:szCs w:val="21"/>
                <w:highlight w:val="none"/>
              </w:rPr>
            </w:pPr>
          </w:p>
        </w:tc>
      </w:tr>
    </w:tbl>
    <w:p>
      <w:pPr>
        <w:rPr>
          <w:color w:val="auto"/>
          <w:highlight w:val="none"/>
        </w:rPr>
      </w:pPr>
      <w:r>
        <w:rPr>
          <w:color w:val="auto"/>
          <w:sz w:val="18"/>
          <w:szCs w:val="18"/>
          <w:highlight w:val="none"/>
        </w:rPr>
        <w:t xml:space="preserve">    </w:t>
      </w:r>
      <w:r>
        <w:rPr>
          <w:rFonts w:hint="eastAsia"/>
          <w:color w:val="auto"/>
          <w:highlight w:val="none"/>
        </w:rPr>
        <w:t>说明：</w:t>
      </w:r>
      <w:r>
        <w:rPr>
          <w:color w:val="auto"/>
          <w:highlight w:val="none"/>
        </w:rPr>
        <w:t>请提供</w:t>
      </w:r>
      <w:r>
        <w:rPr>
          <w:rFonts w:hint="eastAsia"/>
          <w:color w:val="auto"/>
          <w:highlight w:val="none"/>
        </w:rPr>
        <w:t>拟任工程项目</w:t>
      </w:r>
      <w:r>
        <w:rPr>
          <w:rFonts w:hint="eastAsia"/>
          <w:color w:val="auto"/>
          <w:highlight w:val="none"/>
          <w:lang w:val="en-US" w:eastAsia="zh-CN"/>
        </w:rPr>
        <w:t>总</w:t>
      </w:r>
      <w:r>
        <w:rPr>
          <w:rFonts w:hint="eastAsia"/>
          <w:color w:val="auto"/>
          <w:highlight w:val="none"/>
        </w:rPr>
        <w:t>负责人的注册执业资格</w:t>
      </w:r>
      <w:r>
        <w:rPr>
          <w:color w:val="auto"/>
          <w:highlight w:val="none"/>
        </w:rPr>
        <w:t>证书</w:t>
      </w:r>
      <w:r>
        <w:rPr>
          <w:rFonts w:hint="eastAsia"/>
          <w:color w:val="auto"/>
          <w:highlight w:val="none"/>
          <w:lang w:eastAsia="zh-CN"/>
        </w:rPr>
        <w:t>、</w:t>
      </w:r>
      <w:r>
        <w:rPr>
          <w:rFonts w:hint="eastAsia"/>
          <w:color w:val="auto"/>
          <w:highlight w:val="none"/>
        </w:rPr>
        <w:t>安全生产考核合格证书</w:t>
      </w:r>
      <w:r>
        <w:rPr>
          <w:color w:val="auto"/>
          <w:highlight w:val="none"/>
        </w:rPr>
        <w:t>、身份证</w:t>
      </w:r>
      <w:r>
        <w:rPr>
          <w:rFonts w:hint="eastAsia"/>
          <w:color w:val="auto"/>
          <w:highlight w:val="none"/>
        </w:rPr>
        <w:t>的</w:t>
      </w:r>
      <w:r>
        <w:rPr>
          <w:color w:val="auto"/>
          <w:highlight w:val="none"/>
        </w:rPr>
        <w:t>复印件</w:t>
      </w:r>
      <w:r>
        <w:rPr>
          <w:rFonts w:hint="eastAsia"/>
          <w:color w:val="auto"/>
          <w:highlight w:val="none"/>
          <w:lang w:eastAsia="zh-CN"/>
        </w:rPr>
        <w:t>、</w:t>
      </w:r>
      <w:r>
        <w:rPr>
          <w:rFonts w:hint="eastAsia" w:ascii="宋体" w:hAnsi="宋体"/>
          <w:color w:val="auto"/>
          <w:szCs w:val="21"/>
          <w:highlight w:val="none"/>
        </w:rPr>
        <w:t>养老保险证明复印件</w:t>
      </w:r>
      <w:r>
        <w:rPr>
          <w:color w:val="auto"/>
          <w:highlight w:val="none"/>
        </w:rPr>
        <w:t>。</w:t>
      </w:r>
    </w:p>
    <w:p>
      <w:pPr>
        <w:ind w:firstLine="480" w:firstLineChars="200"/>
        <w:rPr>
          <w:rFonts w:hint="eastAsia" w:eastAsia="黑体"/>
          <w:color w:val="auto"/>
          <w:sz w:val="24"/>
          <w:highlight w:val="none"/>
        </w:rPr>
      </w:pPr>
      <w:r>
        <w:rPr>
          <w:rFonts w:eastAsia="黑体"/>
          <w:color w:val="auto"/>
          <w:sz w:val="24"/>
          <w:highlight w:val="none"/>
        </w:rPr>
        <w:br w:type="page"/>
      </w:r>
    </w:p>
    <w:p>
      <w:pPr>
        <w:ind w:firstLine="480" w:firstLineChars="200"/>
        <w:rPr>
          <w:rFonts w:hint="eastAsia" w:eastAsia="黑体"/>
          <w:color w:val="auto"/>
          <w:sz w:val="24"/>
          <w:highlight w:val="none"/>
        </w:rPr>
      </w:pPr>
    </w:p>
    <w:bookmarkEnd w:id="1254"/>
    <w:p>
      <w:pPr>
        <w:pStyle w:val="6"/>
        <w:jc w:val="center"/>
        <w:rPr>
          <w:rFonts w:ascii="Cambria" w:hAnsi="Cambria"/>
          <w:b w:val="0"/>
          <w:color w:val="auto"/>
          <w:szCs w:val="21"/>
          <w:highlight w:val="none"/>
        </w:rPr>
      </w:pPr>
      <w:bookmarkStart w:id="1257" w:name="_Hlk53732909"/>
      <w:r>
        <w:rPr>
          <w:rFonts w:hint="eastAsia" w:ascii="Times New Roman"/>
          <w:color w:val="auto"/>
          <w:highlight w:val="none"/>
        </w:rPr>
        <w:t>②</w:t>
      </w:r>
      <w:r>
        <w:rPr>
          <w:rFonts w:ascii="Times New Roman"/>
          <w:color w:val="auto"/>
          <w:highlight w:val="none"/>
        </w:rPr>
        <w:t>拟任项目</w:t>
      </w:r>
      <w:r>
        <w:rPr>
          <w:rFonts w:hint="eastAsia" w:ascii="Times New Roman"/>
          <w:color w:val="auto"/>
          <w:highlight w:val="none"/>
        </w:rPr>
        <w:t>技术负责人</w:t>
      </w:r>
      <w:r>
        <w:rPr>
          <w:rFonts w:ascii="Times New Roman"/>
          <w:color w:val="auto"/>
          <w:highlight w:val="none"/>
        </w:rPr>
        <w:t>简历表</w:t>
      </w:r>
    </w:p>
    <w:bookmarkEnd w:id="1257"/>
    <w:tbl>
      <w:tblPr>
        <w:tblStyle w:val="21"/>
        <w:tblW w:w="8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姓  名</w:t>
            </w:r>
          </w:p>
        </w:tc>
        <w:tc>
          <w:tcPr>
            <w:tcW w:w="2169" w:type="dxa"/>
            <w:gridSpan w:val="2"/>
            <w:vAlign w:val="center"/>
          </w:tcPr>
          <w:p>
            <w:pPr>
              <w:jc w:val="center"/>
              <w:rPr>
                <w:color w:val="auto"/>
                <w:sz w:val="18"/>
                <w:szCs w:val="21"/>
                <w:highlight w:val="none"/>
              </w:rPr>
            </w:pPr>
          </w:p>
        </w:tc>
        <w:tc>
          <w:tcPr>
            <w:tcW w:w="1275" w:type="dxa"/>
            <w:vAlign w:val="center"/>
          </w:tcPr>
          <w:p>
            <w:pPr>
              <w:jc w:val="center"/>
              <w:rPr>
                <w:color w:val="auto"/>
                <w:sz w:val="18"/>
                <w:szCs w:val="21"/>
                <w:highlight w:val="none"/>
              </w:rPr>
            </w:pPr>
            <w:r>
              <w:rPr>
                <w:color w:val="auto"/>
                <w:sz w:val="18"/>
                <w:szCs w:val="21"/>
                <w:highlight w:val="none"/>
              </w:rPr>
              <w:t>职  称</w:t>
            </w:r>
          </w:p>
        </w:tc>
        <w:tc>
          <w:tcPr>
            <w:tcW w:w="3715" w:type="dxa"/>
            <w:gridSpan w:val="2"/>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职  务</w:t>
            </w:r>
          </w:p>
        </w:tc>
        <w:tc>
          <w:tcPr>
            <w:tcW w:w="1035" w:type="dxa"/>
            <w:vAlign w:val="center"/>
          </w:tcPr>
          <w:p>
            <w:pPr>
              <w:jc w:val="center"/>
              <w:rPr>
                <w:color w:val="auto"/>
                <w:sz w:val="18"/>
                <w:szCs w:val="21"/>
                <w:highlight w:val="none"/>
              </w:rPr>
            </w:pPr>
          </w:p>
        </w:tc>
        <w:tc>
          <w:tcPr>
            <w:tcW w:w="1134" w:type="dxa"/>
            <w:vAlign w:val="center"/>
          </w:tcPr>
          <w:p>
            <w:pPr>
              <w:jc w:val="center"/>
              <w:rPr>
                <w:color w:val="auto"/>
                <w:sz w:val="18"/>
                <w:szCs w:val="21"/>
                <w:highlight w:val="none"/>
              </w:rPr>
            </w:pPr>
            <w:r>
              <w:rPr>
                <w:color w:val="auto"/>
                <w:sz w:val="18"/>
                <w:szCs w:val="21"/>
                <w:highlight w:val="none"/>
              </w:rPr>
              <w:t>年龄</w:t>
            </w:r>
          </w:p>
        </w:tc>
        <w:tc>
          <w:tcPr>
            <w:tcW w:w="1275" w:type="dxa"/>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r>
              <w:rPr>
                <w:color w:val="auto"/>
                <w:sz w:val="18"/>
                <w:szCs w:val="21"/>
                <w:highlight w:val="none"/>
              </w:rPr>
              <w:t>拟在本工程任职</w:t>
            </w:r>
          </w:p>
        </w:tc>
        <w:tc>
          <w:tcPr>
            <w:tcW w:w="1872"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rFonts w:hint="default" w:eastAsia="方正小标宋简体"/>
                <w:color w:val="auto"/>
                <w:sz w:val="18"/>
                <w:szCs w:val="21"/>
                <w:highlight w:val="none"/>
                <w:lang w:val="en-US" w:eastAsia="zh-CN"/>
              </w:rPr>
            </w:pPr>
            <w:r>
              <w:rPr>
                <w:rFonts w:hint="eastAsia"/>
                <w:color w:val="auto"/>
                <w:sz w:val="18"/>
                <w:szCs w:val="21"/>
                <w:highlight w:val="none"/>
                <w:lang w:val="en-US" w:eastAsia="zh-CN"/>
              </w:rPr>
              <w:t>专业职称（等级）</w:t>
            </w:r>
          </w:p>
        </w:tc>
        <w:tc>
          <w:tcPr>
            <w:tcW w:w="1275" w:type="dxa"/>
            <w:vAlign w:val="center"/>
          </w:tcPr>
          <w:p>
            <w:pPr>
              <w:jc w:val="center"/>
              <w:rPr>
                <w:rFonts w:hint="eastAsia" w:eastAsia="方正小标宋简体"/>
                <w:color w:val="auto"/>
                <w:sz w:val="18"/>
                <w:szCs w:val="21"/>
                <w:highlight w:val="none"/>
                <w:lang w:eastAsia="zh-CN"/>
              </w:rPr>
            </w:pPr>
            <w:r>
              <w:rPr>
                <w:color w:val="auto"/>
                <w:sz w:val="18"/>
                <w:szCs w:val="21"/>
                <w:highlight w:val="none"/>
              </w:rPr>
              <w:t xml:space="preserve">    </w:t>
            </w:r>
            <w:r>
              <w:rPr>
                <w:rFonts w:hint="eastAsia"/>
                <w:color w:val="auto"/>
                <w:sz w:val="18"/>
                <w:szCs w:val="21"/>
                <w:highlight w:val="none"/>
                <w:lang w:val="en-US" w:eastAsia="zh-CN"/>
              </w:rPr>
              <w:t xml:space="preserve">    </w:t>
            </w:r>
            <w:r>
              <w:rPr>
                <w:color w:val="auto"/>
                <w:sz w:val="18"/>
                <w:szCs w:val="21"/>
                <w:highlight w:val="none"/>
              </w:rPr>
              <w:t xml:space="preserve"> </w:t>
            </w:r>
            <w:r>
              <w:rPr>
                <w:rFonts w:hint="eastAsia"/>
                <w:color w:val="auto"/>
                <w:sz w:val="18"/>
                <w:szCs w:val="21"/>
                <w:highlight w:val="none"/>
                <w:lang w:val="en-US" w:eastAsia="zh-CN"/>
              </w:rPr>
              <w:t xml:space="preserve"> </w:t>
            </w:r>
          </w:p>
        </w:tc>
        <w:tc>
          <w:tcPr>
            <w:tcW w:w="1843"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专业</w:t>
            </w: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24" w:type="dxa"/>
            <w:gridSpan w:val="6"/>
            <w:vAlign w:val="center"/>
          </w:tcPr>
          <w:p>
            <w:pPr>
              <w:jc w:val="center"/>
              <w:rPr>
                <w:color w:val="auto"/>
                <w:sz w:val="18"/>
                <w:szCs w:val="21"/>
                <w:highlight w:val="none"/>
              </w:rPr>
            </w:pPr>
            <w:r>
              <w:rPr>
                <w:color w:val="auto"/>
                <w:sz w:val="18"/>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起止时间</w:t>
            </w:r>
          </w:p>
        </w:tc>
        <w:tc>
          <w:tcPr>
            <w:tcW w:w="3444" w:type="dxa"/>
            <w:gridSpan w:val="3"/>
            <w:vAlign w:val="center"/>
          </w:tcPr>
          <w:p>
            <w:pPr>
              <w:jc w:val="center"/>
              <w:rPr>
                <w:color w:val="auto"/>
                <w:sz w:val="18"/>
                <w:szCs w:val="21"/>
                <w:highlight w:val="none"/>
              </w:rPr>
            </w:pPr>
            <w:r>
              <w:rPr>
                <w:color w:val="auto"/>
                <w:sz w:val="18"/>
                <w:szCs w:val="21"/>
                <w:highlight w:val="none"/>
              </w:rPr>
              <w:t>参加过的类似项目名称</w:t>
            </w:r>
          </w:p>
        </w:tc>
        <w:tc>
          <w:tcPr>
            <w:tcW w:w="1843" w:type="dxa"/>
            <w:vAlign w:val="center"/>
          </w:tcPr>
          <w:p>
            <w:pPr>
              <w:jc w:val="center"/>
              <w:rPr>
                <w:color w:val="auto"/>
                <w:sz w:val="18"/>
                <w:szCs w:val="21"/>
                <w:highlight w:val="none"/>
              </w:rPr>
            </w:pPr>
            <w:r>
              <w:rPr>
                <w:color w:val="auto"/>
                <w:sz w:val="18"/>
                <w:szCs w:val="21"/>
                <w:highlight w:val="none"/>
              </w:rPr>
              <w:t>工程概况说明</w:t>
            </w:r>
          </w:p>
        </w:tc>
        <w:tc>
          <w:tcPr>
            <w:tcW w:w="1872" w:type="dxa"/>
            <w:vAlign w:val="center"/>
          </w:tcPr>
          <w:p>
            <w:pPr>
              <w:jc w:val="center"/>
              <w:rPr>
                <w:color w:val="auto"/>
                <w:sz w:val="18"/>
                <w:szCs w:val="21"/>
                <w:highlight w:val="none"/>
              </w:rPr>
            </w:pPr>
            <w:r>
              <w:rPr>
                <w:color w:val="auto"/>
                <w:sz w:val="18"/>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bl>
    <w:p>
      <w:pPr>
        <w:rPr>
          <w:color w:val="auto"/>
          <w:highlight w:val="none"/>
        </w:rPr>
      </w:pPr>
      <w:r>
        <w:rPr>
          <w:color w:val="auto"/>
          <w:sz w:val="18"/>
          <w:szCs w:val="18"/>
          <w:highlight w:val="none"/>
        </w:rPr>
        <w:t xml:space="preserve">    </w:t>
      </w:r>
      <w:r>
        <w:rPr>
          <w:rFonts w:hint="eastAsia"/>
          <w:color w:val="auto"/>
          <w:highlight w:val="none"/>
        </w:rPr>
        <w:t>说明：</w:t>
      </w:r>
      <w:r>
        <w:rPr>
          <w:color w:val="auto"/>
          <w:highlight w:val="none"/>
        </w:rPr>
        <w:t>请提供</w:t>
      </w:r>
      <w:r>
        <w:rPr>
          <w:rFonts w:hint="eastAsia"/>
          <w:color w:val="auto"/>
          <w:highlight w:val="none"/>
        </w:rPr>
        <w:t>拟任项目技术负责人的职称证书</w:t>
      </w:r>
      <w:r>
        <w:rPr>
          <w:color w:val="auto"/>
          <w:highlight w:val="none"/>
        </w:rPr>
        <w:t>、身份证</w:t>
      </w:r>
      <w:r>
        <w:rPr>
          <w:rFonts w:hint="eastAsia"/>
          <w:color w:val="auto"/>
          <w:highlight w:val="none"/>
        </w:rPr>
        <w:t>的</w:t>
      </w:r>
      <w:r>
        <w:rPr>
          <w:color w:val="auto"/>
          <w:highlight w:val="none"/>
        </w:rPr>
        <w:t>复印件</w:t>
      </w:r>
      <w:r>
        <w:rPr>
          <w:rFonts w:hint="eastAsia"/>
          <w:color w:val="auto"/>
          <w:highlight w:val="none"/>
          <w:lang w:eastAsia="zh-CN"/>
        </w:rPr>
        <w:t>、</w:t>
      </w:r>
      <w:r>
        <w:rPr>
          <w:rFonts w:hint="eastAsia" w:ascii="宋体" w:hAnsi="宋体"/>
          <w:color w:val="auto"/>
          <w:szCs w:val="21"/>
          <w:highlight w:val="none"/>
        </w:rPr>
        <w:t>养老保险证明复印件</w:t>
      </w:r>
      <w:r>
        <w:rPr>
          <w:color w:val="auto"/>
          <w:highlight w:val="none"/>
        </w:rPr>
        <w:t>。</w:t>
      </w:r>
    </w:p>
    <w:p>
      <w:pPr>
        <w:pStyle w:val="6"/>
        <w:jc w:val="center"/>
        <w:rPr>
          <w:rFonts w:ascii="Cambria" w:hAnsi="Cambria"/>
          <w:b w:val="0"/>
          <w:color w:val="auto"/>
          <w:szCs w:val="21"/>
          <w:highlight w:val="none"/>
        </w:rPr>
      </w:pPr>
      <w:r>
        <w:rPr>
          <w:rFonts w:ascii="Times New Roman" w:eastAsia="黑体"/>
          <w:color w:val="auto"/>
          <w:sz w:val="24"/>
          <w:highlight w:val="none"/>
        </w:rPr>
        <w:br w:type="page"/>
      </w:r>
      <w:bookmarkStart w:id="1258" w:name="_Hlk53732923"/>
      <w:r>
        <w:rPr>
          <w:rFonts w:hint="eastAsia" w:ascii="Times New Roman" w:eastAsia="黑体"/>
          <w:color w:val="auto"/>
          <w:sz w:val="24"/>
          <w:highlight w:val="none"/>
        </w:rPr>
        <w:t>③</w:t>
      </w:r>
      <w:r>
        <w:rPr>
          <w:rFonts w:ascii="Times New Roman"/>
          <w:color w:val="auto"/>
          <w:highlight w:val="none"/>
        </w:rPr>
        <w:t>拟任项目</w:t>
      </w:r>
      <w:r>
        <w:rPr>
          <w:rFonts w:hint="eastAsia" w:ascii="Times New Roman"/>
          <w:color w:val="auto"/>
          <w:highlight w:val="none"/>
          <w:lang w:val="en-US" w:eastAsia="zh-CN"/>
        </w:rPr>
        <w:t>施工</w:t>
      </w:r>
      <w:r>
        <w:rPr>
          <w:rFonts w:hint="eastAsia" w:ascii="Times New Roman"/>
          <w:color w:val="auto"/>
          <w:highlight w:val="none"/>
        </w:rPr>
        <w:t>负责人</w:t>
      </w:r>
      <w:r>
        <w:rPr>
          <w:rFonts w:ascii="Times New Roman"/>
          <w:color w:val="auto"/>
          <w:highlight w:val="none"/>
        </w:rPr>
        <w:t>简历表</w:t>
      </w:r>
    </w:p>
    <w:tbl>
      <w:tblPr>
        <w:tblStyle w:val="21"/>
        <w:tblW w:w="8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姓  名</w:t>
            </w:r>
          </w:p>
        </w:tc>
        <w:tc>
          <w:tcPr>
            <w:tcW w:w="2169" w:type="dxa"/>
            <w:gridSpan w:val="2"/>
            <w:vAlign w:val="center"/>
          </w:tcPr>
          <w:p>
            <w:pPr>
              <w:jc w:val="center"/>
              <w:rPr>
                <w:color w:val="auto"/>
                <w:sz w:val="18"/>
                <w:szCs w:val="21"/>
                <w:highlight w:val="none"/>
              </w:rPr>
            </w:pPr>
          </w:p>
        </w:tc>
        <w:tc>
          <w:tcPr>
            <w:tcW w:w="1275" w:type="dxa"/>
            <w:vAlign w:val="center"/>
          </w:tcPr>
          <w:p>
            <w:pPr>
              <w:jc w:val="center"/>
              <w:rPr>
                <w:color w:val="auto"/>
                <w:sz w:val="18"/>
                <w:szCs w:val="21"/>
                <w:highlight w:val="none"/>
              </w:rPr>
            </w:pPr>
            <w:r>
              <w:rPr>
                <w:color w:val="auto"/>
                <w:sz w:val="18"/>
                <w:szCs w:val="21"/>
                <w:highlight w:val="none"/>
              </w:rPr>
              <w:t>职  称</w:t>
            </w:r>
          </w:p>
        </w:tc>
        <w:tc>
          <w:tcPr>
            <w:tcW w:w="3715" w:type="dxa"/>
            <w:gridSpan w:val="2"/>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职  务</w:t>
            </w:r>
          </w:p>
        </w:tc>
        <w:tc>
          <w:tcPr>
            <w:tcW w:w="1035" w:type="dxa"/>
            <w:vAlign w:val="center"/>
          </w:tcPr>
          <w:p>
            <w:pPr>
              <w:jc w:val="center"/>
              <w:rPr>
                <w:color w:val="auto"/>
                <w:sz w:val="18"/>
                <w:szCs w:val="21"/>
                <w:highlight w:val="none"/>
              </w:rPr>
            </w:pPr>
          </w:p>
        </w:tc>
        <w:tc>
          <w:tcPr>
            <w:tcW w:w="1134" w:type="dxa"/>
            <w:vAlign w:val="center"/>
          </w:tcPr>
          <w:p>
            <w:pPr>
              <w:jc w:val="center"/>
              <w:rPr>
                <w:color w:val="auto"/>
                <w:sz w:val="18"/>
                <w:szCs w:val="21"/>
                <w:highlight w:val="none"/>
              </w:rPr>
            </w:pPr>
            <w:r>
              <w:rPr>
                <w:color w:val="auto"/>
                <w:sz w:val="18"/>
                <w:szCs w:val="21"/>
                <w:highlight w:val="none"/>
              </w:rPr>
              <w:t>年龄</w:t>
            </w:r>
          </w:p>
        </w:tc>
        <w:tc>
          <w:tcPr>
            <w:tcW w:w="1275" w:type="dxa"/>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r>
              <w:rPr>
                <w:color w:val="auto"/>
                <w:sz w:val="18"/>
                <w:szCs w:val="21"/>
                <w:highlight w:val="none"/>
              </w:rPr>
              <w:t>拟在本工程任职</w:t>
            </w:r>
          </w:p>
        </w:tc>
        <w:tc>
          <w:tcPr>
            <w:tcW w:w="1872" w:type="dxa"/>
            <w:vAlign w:val="center"/>
          </w:tcPr>
          <w:p>
            <w:pPr>
              <w:jc w:val="center"/>
              <w:rPr>
                <w:rFonts w:hint="eastAsia" w:eastAsia="方正小标宋简体"/>
                <w:color w:val="auto"/>
                <w:sz w:val="18"/>
                <w:szCs w:val="21"/>
                <w:highlight w:val="none"/>
                <w:lang w:eastAsia="zh-CN"/>
              </w:rPr>
            </w:pPr>
            <w:r>
              <w:rPr>
                <w:rFonts w:hint="eastAsia"/>
                <w:color w:val="auto"/>
                <w:sz w:val="18"/>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color w:val="auto"/>
                <w:sz w:val="18"/>
                <w:szCs w:val="21"/>
                <w:highlight w:val="none"/>
              </w:rPr>
            </w:pPr>
            <w:r>
              <w:rPr>
                <w:color w:val="auto"/>
                <w:sz w:val="18"/>
                <w:szCs w:val="21"/>
                <w:highlight w:val="none"/>
              </w:rPr>
              <w:t>注册建造师执业资格等级</w:t>
            </w:r>
          </w:p>
        </w:tc>
        <w:tc>
          <w:tcPr>
            <w:tcW w:w="1275" w:type="dxa"/>
            <w:vAlign w:val="center"/>
          </w:tcPr>
          <w:p>
            <w:pPr>
              <w:jc w:val="center"/>
              <w:rPr>
                <w:color w:val="auto"/>
                <w:sz w:val="18"/>
                <w:szCs w:val="21"/>
                <w:highlight w:val="none"/>
              </w:rPr>
            </w:pPr>
            <w:r>
              <w:rPr>
                <w:color w:val="auto"/>
                <w:sz w:val="18"/>
                <w:szCs w:val="21"/>
                <w:highlight w:val="none"/>
              </w:rPr>
              <w:t xml:space="preserve">      级</w:t>
            </w:r>
          </w:p>
        </w:tc>
        <w:tc>
          <w:tcPr>
            <w:tcW w:w="1843" w:type="dxa"/>
            <w:vAlign w:val="center"/>
          </w:tcPr>
          <w:p>
            <w:pPr>
              <w:jc w:val="center"/>
              <w:rPr>
                <w:color w:val="auto"/>
                <w:sz w:val="18"/>
                <w:szCs w:val="21"/>
                <w:highlight w:val="none"/>
              </w:rPr>
            </w:pPr>
            <w:r>
              <w:rPr>
                <w:color w:val="auto"/>
                <w:sz w:val="18"/>
                <w:szCs w:val="21"/>
                <w:highlight w:val="none"/>
              </w:rPr>
              <w:t>建造师专业</w:t>
            </w: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color w:val="auto"/>
                <w:sz w:val="18"/>
                <w:szCs w:val="21"/>
                <w:highlight w:val="none"/>
              </w:rPr>
            </w:pPr>
            <w:r>
              <w:rPr>
                <w:rFonts w:hint="eastAsia"/>
                <w:color w:val="auto"/>
                <w:sz w:val="18"/>
                <w:szCs w:val="21"/>
                <w:highlight w:val="none"/>
              </w:rPr>
              <w:t>安全生产考核合格证书证号</w:t>
            </w:r>
          </w:p>
        </w:tc>
        <w:tc>
          <w:tcPr>
            <w:tcW w:w="4990" w:type="dxa"/>
            <w:gridSpan w:val="3"/>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24" w:type="dxa"/>
            <w:gridSpan w:val="6"/>
            <w:vAlign w:val="center"/>
          </w:tcPr>
          <w:p>
            <w:pPr>
              <w:jc w:val="center"/>
              <w:rPr>
                <w:color w:val="auto"/>
                <w:sz w:val="18"/>
                <w:szCs w:val="21"/>
                <w:highlight w:val="none"/>
              </w:rPr>
            </w:pPr>
            <w:r>
              <w:rPr>
                <w:color w:val="auto"/>
                <w:sz w:val="18"/>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color w:val="auto"/>
                <w:sz w:val="18"/>
                <w:szCs w:val="21"/>
                <w:highlight w:val="none"/>
              </w:rPr>
            </w:pPr>
            <w:r>
              <w:rPr>
                <w:color w:val="auto"/>
                <w:sz w:val="18"/>
                <w:szCs w:val="21"/>
                <w:highlight w:val="none"/>
              </w:rPr>
              <w:t>起止时间</w:t>
            </w:r>
          </w:p>
        </w:tc>
        <w:tc>
          <w:tcPr>
            <w:tcW w:w="3444" w:type="dxa"/>
            <w:gridSpan w:val="3"/>
            <w:vAlign w:val="center"/>
          </w:tcPr>
          <w:p>
            <w:pPr>
              <w:jc w:val="center"/>
              <w:rPr>
                <w:color w:val="auto"/>
                <w:sz w:val="18"/>
                <w:szCs w:val="21"/>
                <w:highlight w:val="none"/>
              </w:rPr>
            </w:pPr>
            <w:r>
              <w:rPr>
                <w:color w:val="auto"/>
                <w:sz w:val="18"/>
                <w:szCs w:val="21"/>
                <w:highlight w:val="none"/>
              </w:rPr>
              <w:t>参加过的类似项目名称</w:t>
            </w:r>
          </w:p>
        </w:tc>
        <w:tc>
          <w:tcPr>
            <w:tcW w:w="1843" w:type="dxa"/>
            <w:vAlign w:val="center"/>
          </w:tcPr>
          <w:p>
            <w:pPr>
              <w:jc w:val="center"/>
              <w:rPr>
                <w:color w:val="auto"/>
                <w:sz w:val="18"/>
                <w:szCs w:val="21"/>
                <w:highlight w:val="none"/>
              </w:rPr>
            </w:pPr>
            <w:r>
              <w:rPr>
                <w:color w:val="auto"/>
                <w:sz w:val="18"/>
                <w:szCs w:val="21"/>
                <w:highlight w:val="none"/>
              </w:rPr>
              <w:t>工程概况说明</w:t>
            </w:r>
          </w:p>
        </w:tc>
        <w:tc>
          <w:tcPr>
            <w:tcW w:w="1872" w:type="dxa"/>
            <w:vAlign w:val="center"/>
          </w:tcPr>
          <w:p>
            <w:pPr>
              <w:jc w:val="center"/>
              <w:rPr>
                <w:color w:val="auto"/>
                <w:sz w:val="18"/>
                <w:szCs w:val="21"/>
                <w:highlight w:val="none"/>
              </w:rPr>
            </w:pPr>
            <w:r>
              <w:rPr>
                <w:color w:val="auto"/>
                <w:sz w:val="18"/>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color w:val="auto"/>
                <w:sz w:val="18"/>
                <w:szCs w:val="21"/>
                <w:highlight w:val="none"/>
              </w:rPr>
            </w:pPr>
          </w:p>
        </w:tc>
        <w:tc>
          <w:tcPr>
            <w:tcW w:w="3444" w:type="dxa"/>
            <w:gridSpan w:val="3"/>
            <w:vAlign w:val="center"/>
          </w:tcPr>
          <w:p>
            <w:pPr>
              <w:jc w:val="center"/>
              <w:rPr>
                <w:color w:val="auto"/>
                <w:sz w:val="18"/>
                <w:szCs w:val="21"/>
                <w:highlight w:val="none"/>
              </w:rPr>
            </w:pPr>
          </w:p>
        </w:tc>
        <w:tc>
          <w:tcPr>
            <w:tcW w:w="1843" w:type="dxa"/>
            <w:vAlign w:val="center"/>
          </w:tcPr>
          <w:p>
            <w:pPr>
              <w:jc w:val="center"/>
              <w:rPr>
                <w:color w:val="auto"/>
                <w:sz w:val="18"/>
                <w:szCs w:val="21"/>
                <w:highlight w:val="none"/>
              </w:rPr>
            </w:pPr>
          </w:p>
        </w:tc>
        <w:tc>
          <w:tcPr>
            <w:tcW w:w="1872" w:type="dxa"/>
            <w:vAlign w:val="center"/>
          </w:tcPr>
          <w:p>
            <w:pPr>
              <w:jc w:val="center"/>
              <w:rPr>
                <w:color w:val="auto"/>
                <w:sz w:val="18"/>
                <w:szCs w:val="21"/>
                <w:highlight w:val="none"/>
              </w:rPr>
            </w:pPr>
          </w:p>
        </w:tc>
      </w:tr>
    </w:tbl>
    <w:p>
      <w:pPr>
        <w:rPr>
          <w:rFonts w:hint="eastAsia"/>
          <w:color w:val="auto"/>
          <w:highlight w:val="none"/>
        </w:rPr>
      </w:pPr>
      <w:r>
        <w:rPr>
          <w:color w:val="auto"/>
          <w:sz w:val="18"/>
          <w:szCs w:val="18"/>
          <w:highlight w:val="none"/>
        </w:rPr>
        <w:t xml:space="preserve">    </w:t>
      </w:r>
      <w:r>
        <w:rPr>
          <w:rFonts w:hint="eastAsia"/>
          <w:color w:val="auto"/>
          <w:highlight w:val="none"/>
        </w:rPr>
        <w:t>说明：</w:t>
      </w:r>
      <w:r>
        <w:rPr>
          <w:color w:val="auto"/>
          <w:highlight w:val="none"/>
        </w:rPr>
        <w:t>请提供</w:t>
      </w:r>
      <w:r>
        <w:rPr>
          <w:rFonts w:hint="eastAsia"/>
          <w:color w:val="auto"/>
          <w:highlight w:val="none"/>
        </w:rPr>
        <w:t>拟任项目</w:t>
      </w:r>
      <w:r>
        <w:rPr>
          <w:rFonts w:hint="eastAsia"/>
          <w:color w:val="auto"/>
          <w:highlight w:val="none"/>
          <w:lang w:val="en-US" w:eastAsia="zh-CN"/>
        </w:rPr>
        <w:t>施工</w:t>
      </w:r>
      <w:r>
        <w:rPr>
          <w:rFonts w:hint="eastAsia"/>
          <w:color w:val="auto"/>
          <w:highlight w:val="none"/>
        </w:rPr>
        <w:t>负责人（项目总负责人可以兼任项目施工负责人）的注册执业资格</w:t>
      </w:r>
      <w:r>
        <w:rPr>
          <w:color w:val="auto"/>
          <w:highlight w:val="none"/>
        </w:rPr>
        <w:t>证书、</w:t>
      </w:r>
      <w:r>
        <w:rPr>
          <w:rFonts w:hint="eastAsia"/>
          <w:color w:val="auto"/>
          <w:highlight w:val="none"/>
        </w:rPr>
        <w:t>安全生产考核合格证书</w:t>
      </w:r>
      <w:r>
        <w:rPr>
          <w:rFonts w:hint="eastAsia"/>
          <w:color w:val="auto"/>
          <w:highlight w:val="none"/>
          <w:lang w:eastAsia="zh-CN"/>
        </w:rPr>
        <w:t>、</w:t>
      </w:r>
      <w:r>
        <w:rPr>
          <w:rFonts w:hint="eastAsia"/>
          <w:color w:val="auto"/>
          <w:highlight w:val="none"/>
        </w:rPr>
        <w:t>身份证的复印件</w:t>
      </w:r>
      <w:r>
        <w:rPr>
          <w:rFonts w:hint="eastAsia"/>
          <w:color w:val="auto"/>
          <w:highlight w:val="none"/>
          <w:lang w:eastAsia="zh-CN"/>
        </w:rPr>
        <w:t>、</w:t>
      </w:r>
      <w:r>
        <w:rPr>
          <w:rFonts w:hint="eastAsia"/>
          <w:color w:val="auto"/>
          <w:highlight w:val="none"/>
        </w:rPr>
        <w:t>养老保险证明复印件。</w:t>
      </w:r>
    </w:p>
    <w:p>
      <w:pPr>
        <w:pStyle w:val="61"/>
        <w:jc w:val="center"/>
        <w:outlineLvl w:val="9"/>
        <w:rPr>
          <w:rFonts w:ascii="黑体" w:hAnsi="黑体" w:eastAsia="黑体"/>
          <w:b w:val="0"/>
          <w:color w:val="auto"/>
          <w:sz w:val="24"/>
          <w:highlight w:val="none"/>
        </w:rPr>
      </w:pPr>
    </w:p>
    <w:p>
      <w:pPr>
        <w:pStyle w:val="61"/>
        <w:jc w:val="center"/>
        <w:outlineLvl w:val="9"/>
        <w:rPr>
          <w:rFonts w:ascii="黑体" w:hAnsi="黑体" w:eastAsia="黑体"/>
          <w:b w:val="0"/>
          <w:color w:val="auto"/>
          <w:sz w:val="24"/>
          <w:highlight w:val="none"/>
        </w:rPr>
      </w:pPr>
    </w:p>
    <w:p>
      <w:pPr>
        <w:pStyle w:val="61"/>
        <w:jc w:val="center"/>
        <w:outlineLvl w:val="9"/>
        <w:rPr>
          <w:rFonts w:ascii="黑体" w:hAnsi="黑体" w:eastAsia="黑体"/>
          <w:b w:val="0"/>
          <w:color w:val="auto"/>
          <w:sz w:val="24"/>
          <w:highlight w:val="none"/>
        </w:rPr>
      </w:pPr>
    </w:p>
    <w:p>
      <w:pPr>
        <w:pStyle w:val="61"/>
        <w:jc w:val="center"/>
        <w:outlineLvl w:val="9"/>
        <w:rPr>
          <w:rFonts w:ascii="黑体" w:hAnsi="黑体" w:eastAsia="黑体"/>
          <w:b w:val="0"/>
          <w:color w:val="auto"/>
          <w:sz w:val="24"/>
          <w:highlight w:val="none"/>
        </w:rPr>
      </w:pPr>
    </w:p>
    <w:p>
      <w:pPr>
        <w:pStyle w:val="62"/>
        <w:rPr>
          <w:rFonts w:ascii="黑体" w:hAnsi="黑体" w:eastAsia="黑体"/>
          <w:b w:val="0"/>
          <w:color w:val="auto"/>
          <w:sz w:val="24"/>
          <w:highlight w:val="none"/>
        </w:rPr>
      </w:pPr>
    </w:p>
    <w:p>
      <w:pPr>
        <w:pStyle w:val="62"/>
        <w:rPr>
          <w:rFonts w:ascii="黑体" w:hAnsi="黑体" w:eastAsia="黑体"/>
          <w:b w:val="0"/>
          <w:color w:val="auto"/>
          <w:sz w:val="24"/>
          <w:highlight w:val="none"/>
        </w:rPr>
      </w:pPr>
    </w:p>
    <w:p>
      <w:pPr>
        <w:pStyle w:val="62"/>
        <w:rPr>
          <w:rFonts w:ascii="黑体" w:hAnsi="黑体" w:eastAsia="黑体"/>
          <w:b w:val="0"/>
          <w:color w:val="auto"/>
          <w:sz w:val="24"/>
          <w:highlight w:val="none"/>
        </w:rPr>
      </w:pPr>
    </w:p>
    <w:p>
      <w:pPr>
        <w:pStyle w:val="6"/>
        <w:jc w:val="center"/>
        <w:rPr>
          <w:rFonts w:hint="eastAsia" w:ascii="Times New Roman"/>
          <w:color w:val="auto"/>
          <w:highlight w:val="none"/>
        </w:rPr>
      </w:pPr>
      <w:r>
        <w:rPr>
          <w:rFonts w:hint="default" w:ascii="Times New Roman"/>
          <w:color w:val="auto"/>
          <w:highlight w:val="none"/>
        </w:rPr>
        <w:t>④</w:t>
      </w:r>
      <w:r>
        <w:rPr>
          <w:rFonts w:hint="eastAsia" w:ascii="Times New Roman"/>
          <w:color w:val="auto"/>
          <w:highlight w:val="none"/>
        </w:rPr>
        <w:t>拟任设计项目负责人简历表</w:t>
      </w:r>
    </w:p>
    <w:bookmarkEnd w:id="1258"/>
    <w:tbl>
      <w:tblPr>
        <w:tblStyle w:val="2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姓    名</w:t>
            </w:r>
          </w:p>
        </w:tc>
        <w:tc>
          <w:tcPr>
            <w:tcW w:w="2264" w:type="dxa"/>
            <w:vAlign w:val="center"/>
          </w:tcPr>
          <w:p>
            <w:pPr>
              <w:pStyle w:val="62"/>
              <w:snapToGrid w:val="0"/>
              <w:ind w:firstLine="420" w:firstLineChars="200"/>
              <w:jc w:val="center"/>
              <w:rPr>
                <w:rFonts w:ascii="宋体" w:hAnsi="宋体"/>
                <w:color w:val="auto"/>
                <w:highlight w:val="none"/>
              </w:rPr>
            </w:pPr>
          </w:p>
        </w:tc>
        <w:tc>
          <w:tcPr>
            <w:tcW w:w="2264" w:type="dxa"/>
            <w:gridSpan w:val="3"/>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年    龄</w:t>
            </w:r>
          </w:p>
        </w:tc>
        <w:tc>
          <w:tcPr>
            <w:tcW w:w="2379" w:type="dxa"/>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性    别</w:t>
            </w:r>
          </w:p>
        </w:tc>
        <w:tc>
          <w:tcPr>
            <w:tcW w:w="2264" w:type="dxa"/>
            <w:vAlign w:val="center"/>
          </w:tcPr>
          <w:p>
            <w:pPr>
              <w:pStyle w:val="62"/>
              <w:snapToGrid w:val="0"/>
              <w:ind w:firstLine="420" w:firstLineChars="200"/>
              <w:jc w:val="center"/>
              <w:rPr>
                <w:rFonts w:ascii="宋体" w:hAnsi="宋体"/>
                <w:color w:val="auto"/>
                <w:highlight w:val="none"/>
              </w:rPr>
            </w:pPr>
          </w:p>
        </w:tc>
        <w:tc>
          <w:tcPr>
            <w:tcW w:w="2264" w:type="dxa"/>
            <w:gridSpan w:val="3"/>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毕业</w:t>
            </w:r>
            <w:r>
              <w:rPr>
                <w:rFonts w:ascii="宋体" w:hAnsi="宋体"/>
                <w:color w:val="auto"/>
                <w:szCs w:val="21"/>
                <w:highlight w:val="none"/>
              </w:rPr>
              <w:t>学校</w:t>
            </w:r>
          </w:p>
        </w:tc>
        <w:tc>
          <w:tcPr>
            <w:tcW w:w="2379" w:type="dxa"/>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岗位名称</w:t>
            </w:r>
          </w:p>
        </w:tc>
        <w:tc>
          <w:tcPr>
            <w:tcW w:w="2264" w:type="dxa"/>
            <w:vAlign w:val="center"/>
          </w:tcPr>
          <w:p>
            <w:pPr>
              <w:pStyle w:val="62"/>
              <w:snapToGrid w:val="0"/>
              <w:ind w:firstLine="420" w:firstLineChars="200"/>
              <w:jc w:val="center"/>
              <w:rPr>
                <w:rFonts w:ascii="宋体" w:hAnsi="宋体"/>
                <w:color w:val="auto"/>
                <w:highlight w:val="none"/>
              </w:rPr>
            </w:pPr>
          </w:p>
        </w:tc>
        <w:tc>
          <w:tcPr>
            <w:tcW w:w="2264" w:type="dxa"/>
            <w:gridSpan w:val="3"/>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工作年限</w:t>
            </w:r>
          </w:p>
        </w:tc>
        <w:tc>
          <w:tcPr>
            <w:tcW w:w="2379" w:type="dxa"/>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62"/>
              <w:snapToGrid w:val="0"/>
              <w:ind w:left="-2" w:firstLine="10" w:firstLineChars="5"/>
              <w:jc w:val="center"/>
              <w:rPr>
                <w:rFonts w:ascii="宋体" w:hAnsi="宋体"/>
                <w:color w:val="auto"/>
                <w:highlight w:val="none"/>
              </w:rPr>
            </w:pPr>
            <w:r>
              <w:rPr>
                <w:rFonts w:hint="eastAsia" w:ascii="宋体" w:hAnsi="宋体"/>
                <w:color w:val="auto"/>
                <w:highlight w:val="none"/>
              </w:rPr>
              <w:t>执业注册</w:t>
            </w:r>
          </w:p>
        </w:tc>
        <w:tc>
          <w:tcPr>
            <w:tcW w:w="2264" w:type="dxa"/>
            <w:vAlign w:val="center"/>
          </w:tcPr>
          <w:p>
            <w:pPr>
              <w:pStyle w:val="62"/>
              <w:snapToGrid w:val="0"/>
              <w:ind w:firstLine="420" w:firstLineChars="200"/>
              <w:jc w:val="center"/>
              <w:rPr>
                <w:rFonts w:ascii="宋体" w:hAnsi="宋体"/>
                <w:color w:val="auto"/>
                <w:highlight w:val="none"/>
              </w:rPr>
            </w:pPr>
          </w:p>
        </w:tc>
        <w:tc>
          <w:tcPr>
            <w:tcW w:w="2264" w:type="dxa"/>
            <w:gridSpan w:val="3"/>
            <w:vAlign w:val="center"/>
          </w:tcPr>
          <w:p>
            <w:pPr>
              <w:pStyle w:val="62"/>
              <w:snapToGrid w:val="0"/>
              <w:ind w:left="-2" w:firstLine="10" w:firstLineChars="5"/>
              <w:jc w:val="center"/>
              <w:rPr>
                <w:rFonts w:ascii="宋体" w:hAnsi="宋体"/>
                <w:color w:val="auto"/>
                <w:highlight w:val="none"/>
              </w:rPr>
            </w:pPr>
            <w:r>
              <w:rPr>
                <w:rFonts w:ascii="宋体" w:hAnsi="宋体"/>
                <w:color w:val="auto"/>
                <w:highlight w:val="none"/>
              </w:rPr>
              <w:t>专业</w:t>
            </w:r>
            <w:r>
              <w:rPr>
                <w:rFonts w:ascii="宋体" w:hAnsi="宋体"/>
                <w:color w:val="auto"/>
                <w:szCs w:val="21"/>
                <w:highlight w:val="none"/>
              </w:rPr>
              <w:t>职称</w:t>
            </w:r>
          </w:p>
        </w:tc>
        <w:tc>
          <w:tcPr>
            <w:tcW w:w="2379" w:type="dxa"/>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vAlign w:val="center"/>
          </w:tcPr>
          <w:p>
            <w:pPr>
              <w:pStyle w:val="62"/>
              <w:jc w:val="center"/>
              <w:rPr>
                <w:rFonts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pPr>
              <w:pStyle w:val="62"/>
              <w:jc w:val="center"/>
              <w:rPr>
                <w:rFonts w:ascii="宋体" w:hAnsi="宋体"/>
                <w:color w:val="auto"/>
                <w:szCs w:val="21"/>
                <w:highlight w:val="none"/>
              </w:rPr>
            </w:pPr>
            <w:r>
              <w:rPr>
                <w:rFonts w:ascii="宋体" w:hAnsi="宋体"/>
                <w:color w:val="auto"/>
                <w:szCs w:val="21"/>
                <w:highlight w:val="none"/>
              </w:rPr>
              <w:t>起止时间</w:t>
            </w:r>
          </w:p>
        </w:tc>
        <w:tc>
          <w:tcPr>
            <w:tcW w:w="2340" w:type="dxa"/>
            <w:gridSpan w:val="2"/>
            <w:vAlign w:val="center"/>
          </w:tcPr>
          <w:p>
            <w:pPr>
              <w:pStyle w:val="62"/>
              <w:jc w:val="center"/>
              <w:rPr>
                <w:rFonts w:ascii="宋体" w:hAnsi="宋体"/>
                <w:color w:val="auto"/>
                <w:szCs w:val="21"/>
                <w:highlight w:val="none"/>
              </w:rPr>
            </w:pPr>
            <w:r>
              <w:rPr>
                <w:rFonts w:ascii="宋体" w:hAnsi="宋体"/>
                <w:color w:val="auto"/>
                <w:szCs w:val="21"/>
                <w:highlight w:val="none"/>
              </w:rPr>
              <w:t>参加过的类似项目名称</w:t>
            </w:r>
          </w:p>
        </w:tc>
        <w:tc>
          <w:tcPr>
            <w:tcW w:w="2160" w:type="dxa"/>
            <w:vAlign w:val="center"/>
          </w:tcPr>
          <w:p>
            <w:pPr>
              <w:pStyle w:val="62"/>
              <w:jc w:val="center"/>
              <w:rPr>
                <w:rFonts w:ascii="宋体" w:hAnsi="宋体"/>
                <w:color w:val="auto"/>
                <w:szCs w:val="21"/>
                <w:highlight w:val="none"/>
              </w:rPr>
            </w:pPr>
            <w:r>
              <w:rPr>
                <w:rFonts w:ascii="宋体" w:hAnsi="宋体"/>
                <w:color w:val="auto"/>
                <w:szCs w:val="21"/>
                <w:highlight w:val="none"/>
              </w:rPr>
              <w:t>工程概况说明</w:t>
            </w:r>
          </w:p>
        </w:tc>
        <w:tc>
          <w:tcPr>
            <w:tcW w:w="2407" w:type="dxa"/>
            <w:gridSpan w:val="2"/>
            <w:vAlign w:val="center"/>
          </w:tcPr>
          <w:p>
            <w:pPr>
              <w:pStyle w:val="62"/>
              <w:jc w:val="center"/>
              <w:rPr>
                <w:rFonts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vAlign w:val="center"/>
          </w:tcPr>
          <w:p>
            <w:pPr>
              <w:pStyle w:val="62"/>
              <w:snapToGrid w:val="0"/>
              <w:rPr>
                <w:rFonts w:ascii="宋体" w:hAnsi="宋体"/>
                <w:color w:val="auto"/>
                <w:szCs w:val="21"/>
                <w:highlight w:val="none"/>
              </w:rPr>
            </w:pPr>
          </w:p>
        </w:tc>
        <w:tc>
          <w:tcPr>
            <w:tcW w:w="2340" w:type="dxa"/>
            <w:gridSpan w:val="2"/>
            <w:vAlign w:val="center"/>
          </w:tcPr>
          <w:p>
            <w:pPr>
              <w:pStyle w:val="62"/>
              <w:snapToGrid w:val="0"/>
              <w:ind w:firstLine="420" w:firstLineChars="200"/>
              <w:jc w:val="center"/>
              <w:rPr>
                <w:rFonts w:ascii="宋体" w:hAnsi="宋体"/>
                <w:color w:val="auto"/>
                <w:highlight w:val="none"/>
              </w:rPr>
            </w:pPr>
          </w:p>
        </w:tc>
        <w:tc>
          <w:tcPr>
            <w:tcW w:w="2160" w:type="dxa"/>
            <w:vAlign w:val="center"/>
          </w:tcPr>
          <w:p>
            <w:pPr>
              <w:pStyle w:val="62"/>
              <w:snapToGrid w:val="0"/>
              <w:ind w:firstLine="420" w:firstLineChars="200"/>
              <w:jc w:val="center"/>
              <w:rPr>
                <w:rFonts w:ascii="宋体" w:hAnsi="宋体"/>
                <w:color w:val="auto"/>
                <w:highlight w:val="none"/>
              </w:rPr>
            </w:pPr>
          </w:p>
        </w:tc>
        <w:tc>
          <w:tcPr>
            <w:tcW w:w="2407" w:type="dxa"/>
            <w:gridSpan w:val="2"/>
            <w:vAlign w:val="center"/>
          </w:tcPr>
          <w:p>
            <w:pPr>
              <w:pStyle w:val="62"/>
              <w:snapToGrid w:val="0"/>
              <w:ind w:firstLine="420" w:firstLineChars="200"/>
              <w:jc w:val="center"/>
              <w:rPr>
                <w:rFonts w:ascii="宋体" w:hAnsi="宋体"/>
                <w:color w:val="auto"/>
                <w:highlight w:val="none"/>
              </w:rPr>
            </w:pPr>
          </w:p>
        </w:tc>
      </w:tr>
    </w:tbl>
    <w:p>
      <w:pPr>
        <w:rPr>
          <w:color w:val="auto"/>
          <w:highlight w:val="none"/>
        </w:rPr>
      </w:pPr>
      <w:r>
        <w:rPr>
          <w:rFonts w:hint="eastAsia" w:ascii="宋体" w:hAnsi="宋体"/>
          <w:color w:val="auto"/>
          <w:szCs w:val="21"/>
          <w:highlight w:val="none"/>
        </w:rPr>
        <w:t>说明：1、</w:t>
      </w:r>
      <w:r>
        <w:rPr>
          <w:rFonts w:ascii="宋体" w:hAnsi="宋体"/>
          <w:color w:val="auto"/>
          <w:szCs w:val="21"/>
          <w:highlight w:val="none"/>
        </w:rPr>
        <w:t>请</w:t>
      </w:r>
      <w:r>
        <w:rPr>
          <w:rFonts w:hint="eastAsia" w:ascii="宋体" w:hAnsi="宋体"/>
          <w:color w:val="auto"/>
          <w:szCs w:val="21"/>
          <w:highlight w:val="none"/>
        </w:rPr>
        <w:t>附</w:t>
      </w:r>
      <w:r>
        <w:rPr>
          <w:rFonts w:ascii="宋体" w:hAnsi="宋体"/>
          <w:color w:val="auto"/>
          <w:szCs w:val="21"/>
          <w:highlight w:val="none"/>
        </w:rPr>
        <w:t>拟任</w:t>
      </w:r>
      <w:r>
        <w:rPr>
          <w:rFonts w:hint="eastAsia" w:ascii="宋体" w:hAnsi="宋体"/>
          <w:color w:val="auto"/>
          <w:szCs w:val="21"/>
          <w:highlight w:val="none"/>
        </w:rPr>
        <w:t>设计项目</w:t>
      </w:r>
      <w:r>
        <w:rPr>
          <w:rFonts w:ascii="宋体" w:hAnsi="宋体"/>
          <w:color w:val="auto"/>
          <w:szCs w:val="21"/>
          <w:highlight w:val="none"/>
        </w:rPr>
        <w:t>负责人的</w:t>
      </w:r>
      <w:r>
        <w:rPr>
          <w:rFonts w:hint="eastAsia"/>
          <w:color w:val="auto"/>
          <w:highlight w:val="none"/>
        </w:rPr>
        <w:t>注册执业资格</w:t>
      </w:r>
      <w:r>
        <w:rPr>
          <w:color w:val="auto"/>
          <w:highlight w:val="none"/>
        </w:rPr>
        <w:t>证书</w:t>
      </w:r>
      <w:r>
        <w:rPr>
          <w:rFonts w:hint="eastAsia"/>
          <w:color w:val="auto"/>
          <w:highlight w:val="none"/>
        </w:rPr>
        <w:t>或职称证书</w:t>
      </w:r>
      <w:r>
        <w:rPr>
          <w:rFonts w:ascii="宋体" w:hAnsi="宋体"/>
          <w:color w:val="auto"/>
          <w:szCs w:val="21"/>
          <w:highlight w:val="none"/>
        </w:rPr>
        <w:t>、身份证复印件</w:t>
      </w:r>
      <w:r>
        <w:rPr>
          <w:rFonts w:hint="eastAsia" w:ascii="宋体" w:hAnsi="宋体"/>
          <w:color w:val="auto"/>
          <w:szCs w:val="21"/>
          <w:highlight w:val="none"/>
          <w:lang w:eastAsia="zh-CN"/>
        </w:rPr>
        <w:t>、</w:t>
      </w:r>
      <w:r>
        <w:rPr>
          <w:rFonts w:hint="eastAsia" w:ascii="宋体" w:hAnsi="宋体"/>
          <w:color w:val="auto"/>
          <w:szCs w:val="21"/>
          <w:highlight w:val="none"/>
        </w:rPr>
        <w:t>养老保险证明复印件</w:t>
      </w:r>
      <w:r>
        <w:rPr>
          <w:rFonts w:hint="eastAsia" w:ascii="宋体" w:hAnsi="宋体"/>
          <w:bCs/>
          <w:color w:val="auto"/>
          <w:highlight w:val="none"/>
        </w:rPr>
        <w:t>。</w:t>
      </w:r>
    </w:p>
    <w:p>
      <w:pPr>
        <w:rPr>
          <w:color w:val="auto"/>
          <w:highlight w:val="none"/>
        </w:rPr>
      </w:pPr>
    </w:p>
    <w:p>
      <w:pPr>
        <w:rPr>
          <w:color w:val="auto"/>
          <w:highlight w:val="none"/>
        </w:rPr>
      </w:pPr>
    </w:p>
    <w:p>
      <w:pPr>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
        <w:jc w:val="center"/>
        <w:outlineLvl w:val="0"/>
        <w:rPr>
          <w:rFonts w:hint="eastAsia" w:ascii="Times New Roman" w:hAnsi="Times New Roman" w:eastAsia="黑体"/>
          <w:b w:val="0"/>
          <w:bCs w:val="0"/>
          <w:color w:val="auto"/>
          <w:sz w:val="30"/>
          <w:szCs w:val="30"/>
          <w:highlight w:val="none"/>
          <w:lang w:eastAsia="zh-CN"/>
        </w:rPr>
      </w:pPr>
      <w:bookmarkStart w:id="1259" w:name="_Toc9178586"/>
      <w:bookmarkStart w:id="1260" w:name="_Toc47711651"/>
      <w:bookmarkStart w:id="1261" w:name="_Toc1578_WPSOffice_Level1"/>
      <w:bookmarkStart w:id="1262" w:name="_Toc614"/>
      <w:r>
        <w:rPr>
          <w:rFonts w:hint="eastAsia" w:ascii="Times New Roman" w:hAnsi="Times New Roman"/>
          <w:b w:val="0"/>
          <w:bCs w:val="0"/>
          <w:color w:val="auto"/>
          <w:sz w:val="30"/>
          <w:szCs w:val="30"/>
          <w:highlight w:val="none"/>
        </w:rPr>
        <w:t>7.</w:t>
      </w:r>
      <w:r>
        <w:rPr>
          <w:rFonts w:ascii="Times New Roman" w:hAnsi="Times New Roman"/>
          <w:b w:val="0"/>
          <w:bCs w:val="0"/>
          <w:color w:val="auto"/>
          <w:sz w:val="30"/>
          <w:szCs w:val="30"/>
          <w:highlight w:val="none"/>
        </w:rPr>
        <w:t>拟分包计划表</w:t>
      </w:r>
      <w:bookmarkEnd w:id="1255"/>
      <w:bookmarkEnd w:id="1259"/>
      <w:bookmarkEnd w:id="1260"/>
      <w:r>
        <w:rPr>
          <w:rFonts w:hint="eastAsia" w:ascii="Times New Roman" w:hAnsi="Times New Roman"/>
          <w:b w:val="0"/>
          <w:bCs w:val="0"/>
          <w:color w:val="auto"/>
          <w:sz w:val="30"/>
          <w:szCs w:val="30"/>
          <w:highlight w:val="none"/>
          <w:lang w:eastAsia="zh-CN"/>
        </w:rPr>
        <w:t>（</w:t>
      </w:r>
      <w:r>
        <w:rPr>
          <w:rFonts w:hint="eastAsia" w:ascii="Times New Roman" w:hAnsi="Times New Roman"/>
          <w:b w:val="0"/>
          <w:bCs w:val="0"/>
          <w:color w:val="auto"/>
          <w:sz w:val="30"/>
          <w:szCs w:val="30"/>
          <w:highlight w:val="none"/>
          <w:lang w:val="en-US" w:eastAsia="zh-CN"/>
        </w:rPr>
        <w:t>如有</w:t>
      </w:r>
      <w:r>
        <w:rPr>
          <w:rFonts w:hint="eastAsia" w:ascii="Times New Roman" w:hAnsi="Times New Roman"/>
          <w:b w:val="0"/>
          <w:bCs w:val="0"/>
          <w:color w:val="auto"/>
          <w:sz w:val="30"/>
          <w:szCs w:val="30"/>
          <w:highlight w:val="none"/>
          <w:lang w:eastAsia="zh-CN"/>
        </w:rPr>
        <w:t>）</w:t>
      </w:r>
      <w:bookmarkEnd w:id="1261"/>
      <w:bookmarkEnd w:id="1262"/>
    </w:p>
    <w:tbl>
      <w:tblPr>
        <w:tblStyle w:val="21"/>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color w:val="auto"/>
                <w:sz w:val="18"/>
                <w:szCs w:val="21"/>
                <w:highlight w:val="none"/>
              </w:rPr>
            </w:pPr>
            <w:r>
              <w:rPr>
                <w:color w:val="auto"/>
                <w:sz w:val="18"/>
                <w:szCs w:val="21"/>
                <w:highlight w:val="none"/>
              </w:rPr>
              <w:t>序号</w:t>
            </w:r>
          </w:p>
        </w:tc>
        <w:tc>
          <w:tcPr>
            <w:tcW w:w="1915" w:type="dxa"/>
            <w:vMerge w:val="restart"/>
            <w:vAlign w:val="center"/>
          </w:tcPr>
          <w:p>
            <w:pPr>
              <w:jc w:val="center"/>
              <w:rPr>
                <w:color w:val="auto"/>
                <w:sz w:val="18"/>
                <w:szCs w:val="21"/>
                <w:highlight w:val="none"/>
              </w:rPr>
            </w:pPr>
            <w:r>
              <w:rPr>
                <w:color w:val="auto"/>
                <w:sz w:val="18"/>
                <w:szCs w:val="21"/>
                <w:highlight w:val="none"/>
              </w:rPr>
              <w:t>拟分包项目名称、范围及理由</w:t>
            </w:r>
          </w:p>
        </w:tc>
        <w:tc>
          <w:tcPr>
            <w:tcW w:w="4901" w:type="dxa"/>
            <w:gridSpan w:val="5"/>
            <w:vAlign w:val="center"/>
          </w:tcPr>
          <w:p>
            <w:pPr>
              <w:jc w:val="center"/>
              <w:rPr>
                <w:color w:val="auto"/>
                <w:sz w:val="18"/>
                <w:szCs w:val="21"/>
                <w:highlight w:val="none"/>
              </w:rPr>
            </w:pPr>
            <w:r>
              <w:rPr>
                <w:color w:val="auto"/>
                <w:sz w:val="18"/>
                <w:szCs w:val="21"/>
                <w:highlight w:val="none"/>
              </w:rPr>
              <w:t>拟选分包人</w:t>
            </w:r>
          </w:p>
        </w:tc>
        <w:tc>
          <w:tcPr>
            <w:tcW w:w="639" w:type="dxa"/>
            <w:vMerge w:val="restart"/>
            <w:vAlign w:val="center"/>
          </w:tcPr>
          <w:p>
            <w:pPr>
              <w:jc w:val="center"/>
              <w:rPr>
                <w:color w:val="auto"/>
                <w:sz w:val="18"/>
                <w:szCs w:val="21"/>
                <w:highlight w:val="none"/>
              </w:rPr>
            </w:pPr>
            <w:r>
              <w:rPr>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1701" w:type="dxa"/>
            <w:gridSpan w:val="2"/>
            <w:vAlign w:val="center"/>
          </w:tcPr>
          <w:p>
            <w:pPr>
              <w:jc w:val="center"/>
              <w:rPr>
                <w:color w:val="auto"/>
                <w:sz w:val="18"/>
                <w:szCs w:val="21"/>
                <w:highlight w:val="none"/>
              </w:rPr>
            </w:pPr>
            <w:r>
              <w:rPr>
                <w:color w:val="auto"/>
                <w:sz w:val="18"/>
                <w:szCs w:val="21"/>
                <w:highlight w:val="none"/>
              </w:rPr>
              <w:t>拟选分包人名称</w:t>
            </w:r>
          </w:p>
        </w:tc>
        <w:tc>
          <w:tcPr>
            <w:tcW w:w="1070" w:type="dxa"/>
            <w:vAlign w:val="center"/>
          </w:tcPr>
          <w:p>
            <w:pPr>
              <w:jc w:val="center"/>
              <w:rPr>
                <w:color w:val="auto"/>
                <w:sz w:val="18"/>
                <w:szCs w:val="21"/>
                <w:highlight w:val="none"/>
              </w:rPr>
            </w:pPr>
            <w:r>
              <w:rPr>
                <w:color w:val="auto"/>
                <w:sz w:val="18"/>
                <w:szCs w:val="21"/>
                <w:highlight w:val="none"/>
              </w:rPr>
              <w:t>注册地点</w:t>
            </w:r>
          </w:p>
        </w:tc>
        <w:tc>
          <w:tcPr>
            <w:tcW w:w="1065" w:type="dxa"/>
            <w:vAlign w:val="center"/>
          </w:tcPr>
          <w:p>
            <w:pPr>
              <w:jc w:val="center"/>
              <w:rPr>
                <w:color w:val="auto"/>
                <w:sz w:val="18"/>
                <w:szCs w:val="21"/>
                <w:highlight w:val="none"/>
              </w:rPr>
            </w:pPr>
            <w:r>
              <w:rPr>
                <w:color w:val="auto"/>
                <w:sz w:val="18"/>
                <w:szCs w:val="21"/>
                <w:highlight w:val="none"/>
              </w:rPr>
              <w:t>企业资质</w:t>
            </w:r>
          </w:p>
        </w:tc>
        <w:tc>
          <w:tcPr>
            <w:tcW w:w="1065" w:type="dxa"/>
            <w:vAlign w:val="center"/>
          </w:tcPr>
          <w:p>
            <w:pPr>
              <w:jc w:val="center"/>
              <w:rPr>
                <w:color w:val="auto"/>
                <w:sz w:val="18"/>
                <w:szCs w:val="21"/>
                <w:highlight w:val="none"/>
              </w:rPr>
            </w:pPr>
            <w:r>
              <w:rPr>
                <w:color w:val="auto"/>
                <w:sz w:val="18"/>
                <w:szCs w:val="21"/>
                <w:highlight w:val="none"/>
              </w:rPr>
              <w:t>有关业绩</w:t>
            </w:r>
          </w:p>
        </w:tc>
        <w:tc>
          <w:tcPr>
            <w:tcW w:w="639" w:type="dxa"/>
            <w:vMerge w:val="continue"/>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color w:val="auto"/>
                <w:sz w:val="18"/>
                <w:szCs w:val="21"/>
                <w:highlight w:val="none"/>
              </w:rPr>
            </w:pPr>
          </w:p>
        </w:tc>
        <w:tc>
          <w:tcPr>
            <w:tcW w:w="1915" w:type="dxa"/>
            <w:vMerge w:val="restart"/>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1</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2</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3</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color w:val="auto"/>
                <w:sz w:val="18"/>
                <w:szCs w:val="21"/>
                <w:highlight w:val="none"/>
              </w:rPr>
            </w:pPr>
          </w:p>
        </w:tc>
        <w:tc>
          <w:tcPr>
            <w:tcW w:w="1915" w:type="dxa"/>
            <w:vMerge w:val="restart"/>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1</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2</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3</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color w:val="auto"/>
                <w:sz w:val="18"/>
                <w:szCs w:val="21"/>
                <w:highlight w:val="none"/>
              </w:rPr>
            </w:pPr>
          </w:p>
        </w:tc>
        <w:tc>
          <w:tcPr>
            <w:tcW w:w="1915" w:type="dxa"/>
            <w:vMerge w:val="restart"/>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1</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2</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3</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color w:val="auto"/>
                <w:sz w:val="18"/>
                <w:szCs w:val="21"/>
                <w:highlight w:val="none"/>
              </w:rPr>
            </w:pPr>
          </w:p>
        </w:tc>
        <w:tc>
          <w:tcPr>
            <w:tcW w:w="1915" w:type="dxa"/>
            <w:vMerge w:val="restart"/>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1</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2</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color w:val="auto"/>
                <w:sz w:val="18"/>
                <w:szCs w:val="21"/>
                <w:highlight w:val="none"/>
              </w:rPr>
            </w:pPr>
          </w:p>
        </w:tc>
        <w:tc>
          <w:tcPr>
            <w:tcW w:w="1915" w:type="dxa"/>
            <w:vMerge w:val="continue"/>
            <w:vAlign w:val="center"/>
          </w:tcPr>
          <w:p>
            <w:pPr>
              <w:jc w:val="center"/>
              <w:rPr>
                <w:color w:val="auto"/>
                <w:sz w:val="18"/>
                <w:szCs w:val="21"/>
                <w:highlight w:val="none"/>
              </w:rPr>
            </w:pPr>
          </w:p>
        </w:tc>
        <w:tc>
          <w:tcPr>
            <w:tcW w:w="751" w:type="dxa"/>
            <w:vAlign w:val="center"/>
          </w:tcPr>
          <w:p>
            <w:pPr>
              <w:jc w:val="center"/>
              <w:rPr>
                <w:color w:val="auto"/>
                <w:sz w:val="18"/>
                <w:szCs w:val="21"/>
                <w:highlight w:val="none"/>
              </w:rPr>
            </w:pPr>
            <w:r>
              <w:rPr>
                <w:color w:val="auto"/>
                <w:sz w:val="18"/>
                <w:szCs w:val="21"/>
                <w:highlight w:val="none"/>
              </w:rPr>
              <w:t>3</w:t>
            </w:r>
          </w:p>
        </w:tc>
        <w:tc>
          <w:tcPr>
            <w:tcW w:w="950" w:type="dxa"/>
            <w:vAlign w:val="center"/>
          </w:tcPr>
          <w:p>
            <w:pPr>
              <w:jc w:val="center"/>
              <w:rPr>
                <w:color w:val="auto"/>
                <w:sz w:val="18"/>
                <w:szCs w:val="21"/>
                <w:highlight w:val="none"/>
              </w:rPr>
            </w:pPr>
          </w:p>
        </w:tc>
        <w:tc>
          <w:tcPr>
            <w:tcW w:w="1070"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1065" w:type="dxa"/>
            <w:vAlign w:val="center"/>
          </w:tcPr>
          <w:p>
            <w:pPr>
              <w:jc w:val="center"/>
              <w:rPr>
                <w:color w:val="auto"/>
                <w:sz w:val="18"/>
                <w:szCs w:val="21"/>
                <w:highlight w:val="none"/>
              </w:rPr>
            </w:pPr>
          </w:p>
        </w:tc>
        <w:tc>
          <w:tcPr>
            <w:tcW w:w="639" w:type="dxa"/>
            <w:vAlign w:val="center"/>
          </w:tcPr>
          <w:p>
            <w:pPr>
              <w:jc w:val="center"/>
              <w:rPr>
                <w:color w:val="auto"/>
                <w:sz w:val="18"/>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：本表所列分包仅限于承包人自行施工范围内的非主体、非关键工程。</w:t>
      </w:r>
    </w:p>
    <w:p>
      <w:pPr>
        <w:spacing w:line="360" w:lineRule="auto"/>
        <w:ind w:right="420"/>
        <w:rPr>
          <w:rFonts w:eastAsia="黑体"/>
          <w:bCs/>
          <w:color w:val="auto"/>
          <w:sz w:val="28"/>
          <w:szCs w:val="28"/>
          <w:highlight w:val="none"/>
        </w:rPr>
      </w:pPr>
      <w:bookmarkStart w:id="1263" w:name="_Toc300678580"/>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4"/>
        <w:jc w:val="center"/>
        <w:outlineLvl w:val="0"/>
        <w:rPr>
          <w:rFonts w:ascii="Times New Roman" w:hAnsi="Times New Roman"/>
          <w:b w:val="0"/>
          <w:bCs w:val="0"/>
          <w:color w:val="auto"/>
          <w:sz w:val="30"/>
          <w:highlight w:val="none"/>
        </w:rPr>
      </w:pPr>
      <w:bookmarkStart w:id="1264" w:name="_Toc47711652"/>
      <w:bookmarkStart w:id="1265" w:name="_Toc14275"/>
      <w:bookmarkStart w:id="1266" w:name="_Toc15006_WPSOffice_Level1"/>
      <w:bookmarkStart w:id="1267" w:name="_Toc9178587"/>
      <w:r>
        <w:rPr>
          <w:rFonts w:hint="eastAsia" w:ascii="Times New Roman" w:hAnsi="Times New Roman"/>
          <w:b w:val="0"/>
          <w:bCs w:val="0"/>
          <w:color w:val="auto"/>
          <w:sz w:val="30"/>
          <w:highlight w:val="none"/>
        </w:rPr>
        <w:t>8.</w:t>
      </w:r>
      <w:r>
        <w:rPr>
          <w:rFonts w:ascii="Times New Roman" w:hAnsi="Times New Roman"/>
          <w:b w:val="0"/>
          <w:bCs w:val="0"/>
          <w:color w:val="auto"/>
          <w:sz w:val="30"/>
          <w:highlight w:val="none"/>
        </w:rPr>
        <w:t>资格审查</w:t>
      </w:r>
      <w:r>
        <w:rPr>
          <w:rFonts w:hint="eastAsia" w:ascii="Times New Roman" w:hAnsi="Times New Roman"/>
          <w:b w:val="0"/>
          <w:bCs w:val="0"/>
          <w:color w:val="auto"/>
          <w:sz w:val="30"/>
          <w:highlight w:val="none"/>
        </w:rPr>
        <w:t>等</w:t>
      </w:r>
      <w:r>
        <w:rPr>
          <w:rFonts w:ascii="Times New Roman" w:hAnsi="Times New Roman"/>
          <w:b w:val="0"/>
          <w:bCs w:val="0"/>
          <w:color w:val="auto"/>
          <w:sz w:val="30"/>
          <w:highlight w:val="none"/>
        </w:rPr>
        <w:t>资料</w:t>
      </w:r>
      <w:bookmarkEnd w:id="1263"/>
      <w:bookmarkEnd w:id="1264"/>
      <w:bookmarkEnd w:id="1265"/>
      <w:bookmarkEnd w:id="1266"/>
      <w:bookmarkEnd w:id="1267"/>
    </w:p>
    <w:p>
      <w:pPr>
        <w:pStyle w:val="6"/>
        <w:ind w:firstLine="280" w:firstLineChars="100"/>
        <w:jc w:val="center"/>
        <w:rPr>
          <w:rFonts w:ascii="Times New Roman" w:hAnsi="Times New Roman"/>
          <w:b w:val="0"/>
          <w:bCs w:val="0"/>
          <w:color w:val="auto"/>
          <w:highlight w:val="none"/>
        </w:rPr>
      </w:pPr>
      <w:bookmarkStart w:id="1268" w:name="_Toc300678581"/>
      <w:r>
        <w:rPr>
          <w:rFonts w:ascii="Times New Roman" w:hAnsi="Times New Roman"/>
          <w:b w:val="0"/>
          <w:bCs w:val="0"/>
          <w:color w:val="auto"/>
          <w:highlight w:val="none"/>
        </w:rPr>
        <w:t>（</w:t>
      </w:r>
      <w:r>
        <w:rPr>
          <w:rFonts w:hint="eastAsia" w:ascii="Times New Roman" w:hAnsi="Times New Roman"/>
          <w:b w:val="0"/>
          <w:bCs w:val="0"/>
          <w:color w:val="auto"/>
          <w:highlight w:val="none"/>
        </w:rPr>
        <w:t>1</w:t>
      </w:r>
      <w:r>
        <w:rPr>
          <w:rFonts w:ascii="Times New Roman" w:hAnsi="Times New Roman"/>
          <w:b w:val="0"/>
          <w:bCs w:val="0"/>
          <w:color w:val="auto"/>
          <w:highlight w:val="none"/>
        </w:rPr>
        <w:t>）投标人基本情况表</w:t>
      </w:r>
      <w:bookmarkEnd w:id="1268"/>
    </w:p>
    <w:tbl>
      <w:tblPr>
        <w:tblStyle w:val="21"/>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投标人名称</w:t>
            </w:r>
          </w:p>
        </w:tc>
        <w:tc>
          <w:tcPr>
            <w:tcW w:w="6805" w:type="dxa"/>
            <w:gridSpan w:val="9"/>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注册地址</w:t>
            </w:r>
          </w:p>
        </w:tc>
        <w:tc>
          <w:tcPr>
            <w:tcW w:w="3389" w:type="dxa"/>
            <w:gridSpan w:val="5"/>
            <w:vAlign w:val="center"/>
          </w:tcPr>
          <w:p>
            <w:pPr>
              <w:jc w:val="center"/>
              <w:rPr>
                <w:color w:val="auto"/>
                <w:sz w:val="18"/>
                <w:szCs w:val="21"/>
                <w:highlight w:val="none"/>
              </w:rPr>
            </w:pPr>
          </w:p>
        </w:tc>
        <w:tc>
          <w:tcPr>
            <w:tcW w:w="1246" w:type="dxa"/>
            <w:vAlign w:val="center"/>
          </w:tcPr>
          <w:p>
            <w:pPr>
              <w:jc w:val="center"/>
              <w:rPr>
                <w:color w:val="auto"/>
                <w:sz w:val="18"/>
                <w:szCs w:val="21"/>
                <w:highlight w:val="none"/>
              </w:rPr>
            </w:pPr>
            <w:r>
              <w:rPr>
                <w:color w:val="auto"/>
                <w:sz w:val="18"/>
                <w:szCs w:val="21"/>
                <w:highlight w:val="none"/>
              </w:rPr>
              <w:t>邮政编码</w:t>
            </w:r>
          </w:p>
        </w:tc>
        <w:tc>
          <w:tcPr>
            <w:tcW w:w="2170" w:type="dxa"/>
            <w:gridSpan w:val="3"/>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vAlign w:val="center"/>
          </w:tcPr>
          <w:p>
            <w:pPr>
              <w:jc w:val="center"/>
              <w:rPr>
                <w:color w:val="auto"/>
                <w:sz w:val="18"/>
                <w:szCs w:val="21"/>
                <w:highlight w:val="none"/>
              </w:rPr>
            </w:pPr>
            <w:r>
              <w:rPr>
                <w:color w:val="auto"/>
                <w:sz w:val="18"/>
                <w:szCs w:val="21"/>
                <w:highlight w:val="none"/>
              </w:rPr>
              <w:t>联系方式</w:t>
            </w:r>
          </w:p>
        </w:tc>
        <w:tc>
          <w:tcPr>
            <w:tcW w:w="897" w:type="dxa"/>
            <w:vAlign w:val="center"/>
          </w:tcPr>
          <w:p>
            <w:pPr>
              <w:jc w:val="center"/>
              <w:rPr>
                <w:color w:val="auto"/>
                <w:sz w:val="18"/>
                <w:szCs w:val="21"/>
                <w:highlight w:val="none"/>
              </w:rPr>
            </w:pPr>
            <w:r>
              <w:rPr>
                <w:color w:val="auto"/>
                <w:sz w:val="18"/>
                <w:szCs w:val="21"/>
                <w:highlight w:val="none"/>
              </w:rPr>
              <w:t>联系人</w:t>
            </w:r>
          </w:p>
        </w:tc>
        <w:tc>
          <w:tcPr>
            <w:tcW w:w="2492" w:type="dxa"/>
            <w:gridSpan w:val="4"/>
            <w:vAlign w:val="center"/>
          </w:tcPr>
          <w:p>
            <w:pPr>
              <w:jc w:val="center"/>
              <w:rPr>
                <w:color w:val="auto"/>
                <w:sz w:val="18"/>
                <w:szCs w:val="21"/>
                <w:highlight w:val="none"/>
              </w:rPr>
            </w:pPr>
          </w:p>
        </w:tc>
        <w:tc>
          <w:tcPr>
            <w:tcW w:w="1246" w:type="dxa"/>
            <w:vAlign w:val="center"/>
          </w:tcPr>
          <w:p>
            <w:pPr>
              <w:jc w:val="center"/>
              <w:rPr>
                <w:color w:val="auto"/>
                <w:sz w:val="18"/>
                <w:szCs w:val="21"/>
                <w:highlight w:val="none"/>
              </w:rPr>
            </w:pPr>
            <w:r>
              <w:rPr>
                <w:color w:val="auto"/>
                <w:sz w:val="18"/>
                <w:szCs w:val="21"/>
                <w:highlight w:val="none"/>
              </w:rPr>
              <w:t>电  话</w:t>
            </w:r>
          </w:p>
        </w:tc>
        <w:tc>
          <w:tcPr>
            <w:tcW w:w="2170" w:type="dxa"/>
            <w:gridSpan w:val="3"/>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vAlign w:val="center"/>
          </w:tcPr>
          <w:p>
            <w:pPr>
              <w:jc w:val="center"/>
              <w:rPr>
                <w:color w:val="auto"/>
                <w:sz w:val="18"/>
                <w:szCs w:val="21"/>
                <w:highlight w:val="none"/>
              </w:rPr>
            </w:pPr>
          </w:p>
        </w:tc>
        <w:tc>
          <w:tcPr>
            <w:tcW w:w="897" w:type="dxa"/>
            <w:vAlign w:val="center"/>
          </w:tcPr>
          <w:p>
            <w:pPr>
              <w:jc w:val="center"/>
              <w:rPr>
                <w:color w:val="auto"/>
                <w:sz w:val="18"/>
                <w:szCs w:val="21"/>
                <w:highlight w:val="none"/>
              </w:rPr>
            </w:pPr>
            <w:r>
              <w:rPr>
                <w:color w:val="auto"/>
                <w:sz w:val="18"/>
                <w:szCs w:val="21"/>
                <w:highlight w:val="none"/>
              </w:rPr>
              <w:t>传  真</w:t>
            </w:r>
          </w:p>
        </w:tc>
        <w:tc>
          <w:tcPr>
            <w:tcW w:w="2492" w:type="dxa"/>
            <w:gridSpan w:val="4"/>
            <w:vAlign w:val="center"/>
          </w:tcPr>
          <w:p>
            <w:pPr>
              <w:jc w:val="center"/>
              <w:rPr>
                <w:color w:val="auto"/>
                <w:sz w:val="18"/>
                <w:szCs w:val="21"/>
                <w:highlight w:val="none"/>
              </w:rPr>
            </w:pPr>
          </w:p>
        </w:tc>
        <w:tc>
          <w:tcPr>
            <w:tcW w:w="1246" w:type="dxa"/>
            <w:vAlign w:val="center"/>
          </w:tcPr>
          <w:p>
            <w:pPr>
              <w:jc w:val="center"/>
              <w:rPr>
                <w:color w:val="auto"/>
                <w:sz w:val="18"/>
                <w:szCs w:val="21"/>
                <w:highlight w:val="none"/>
              </w:rPr>
            </w:pPr>
            <w:r>
              <w:rPr>
                <w:color w:val="auto"/>
                <w:sz w:val="18"/>
                <w:szCs w:val="21"/>
                <w:highlight w:val="none"/>
              </w:rPr>
              <w:t>网  址</w:t>
            </w:r>
          </w:p>
        </w:tc>
        <w:tc>
          <w:tcPr>
            <w:tcW w:w="2170" w:type="dxa"/>
            <w:gridSpan w:val="3"/>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组织结构</w:t>
            </w:r>
          </w:p>
        </w:tc>
        <w:tc>
          <w:tcPr>
            <w:tcW w:w="6805" w:type="dxa"/>
            <w:gridSpan w:val="9"/>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法定代表人</w:t>
            </w:r>
          </w:p>
        </w:tc>
        <w:tc>
          <w:tcPr>
            <w:tcW w:w="897" w:type="dxa"/>
            <w:vAlign w:val="center"/>
          </w:tcPr>
          <w:p>
            <w:pPr>
              <w:jc w:val="center"/>
              <w:rPr>
                <w:color w:val="auto"/>
                <w:sz w:val="18"/>
                <w:szCs w:val="21"/>
                <w:highlight w:val="none"/>
              </w:rPr>
            </w:pPr>
            <w:r>
              <w:rPr>
                <w:color w:val="auto"/>
                <w:sz w:val="18"/>
                <w:szCs w:val="21"/>
                <w:highlight w:val="none"/>
              </w:rPr>
              <w:t>姓名</w:t>
            </w:r>
          </w:p>
        </w:tc>
        <w:tc>
          <w:tcPr>
            <w:tcW w:w="1021" w:type="dxa"/>
            <w:vAlign w:val="center"/>
          </w:tcPr>
          <w:p>
            <w:pPr>
              <w:jc w:val="center"/>
              <w:rPr>
                <w:color w:val="auto"/>
                <w:sz w:val="18"/>
                <w:szCs w:val="21"/>
                <w:highlight w:val="none"/>
              </w:rPr>
            </w:pPr>
          </w:p>
        </w:tc>
        <w:tc>
          <w:tcPr>
            <w:tcW w:w="1276" w:type="dxa"/>
            <w:gridSpan w:val="2"/>
            <w:vAlign w:val="center"/>
          </w:tcPr>
          <w:p>
            <w:pPr>
              <w:jc w:val="center"/>
              <w:rPr>
                <w:color w:val="auto"/>
                <w:sz w:val="18"/>
                <w:szCs w:val="21"/>
                <w:highlight w:val="none"/>
              </w:rPr>
            </w:pPr>
            <w:r>
              <w:rPr>
                <w:color w:val="auto"/>
                <w:sz w:val="18"/>
                <w:szCs w:val="21"/>
                <w:highlight w:val="none"/>
              </w:rPr>
              <w:t>技术职称</w:t>
            </w:r>
          </w:p>
        </w:tc>
        <w:tc>
          <w:tcPr>
            <w:tcW w:w="1701" w:type="dxa"/>
            <w:gridSpan w:val="3"/>
            <w:vAlign w:val="center"/>
          </w:tcPr>
          <w:p>
            <w:pPr>
              <w:jc w:val="center"/>
              <w:rPr>
                <w:color w:val="auto"/>
                <w:sz w:val="18"/>
                <w:szCs w:val="21"/>
                <w:highlight w:val="none"/>
              </w:rPr>
            </w:pPr>
          </w:p>
        </w:tc>
        <w:tc>
          <w:tcPr>
            <w:tcW w:w="709" w:type="dxa"/>
            <w:vAlign w:val="center"/>
          </w:tcPr>
          <w:p>
            <w:pPr>
              <w:jc w:val="center"/>
              <w:rPr>
                <w:color w:val="auto"/>
                <w:sz w:val="18"/>
                <w:szCs w:val="21"/>
                <w:highlight w:val="none"/>
              </w:rPr>
            </w:pPr>
            <w:r>
              <w:rPr>
                <w:color w:val="auto"/>
                <w:sz w:val="18"/>
                <w:szCs w:val="21"/>
                <w:highlight w:val="none"/>
              </w:rPr>
              <w:t>电话</w:t>
            </w:r>
          </w:p>
        </w:tc>
        <w:tc>
          <w:tcPr>
            <w:tcW w:w="120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技术负责人</w:t>
            </w:r>
          </w:p>
        </w:tc>
        <w:tc>
          <w:tcPr>
            <w:tcW w:w="897" w:type="dxa"/>
            <w:vAlign w:val="center"/>
          </w:tcPr>
          <w:p>
            <w:pPr>
              <w:jc w:val="center"/>
              <w:rPr>
                <w:color w:val="auto"/>
                <w:sz w:val="18"/>
                <w:szCs w:val="21"/>
                <w:highlight w:val="none"/>
              </w:rPr>
            </w:pPr>
            <w:r>
              <w:rPr>
                <w:color w:val="auto"/>
                <w:sz w:val="18"/>
                <w:szCs w:val="21"/>
                <w:highlight w:val="none"/>
              </w:rPr>
              <w:t>姓名</w:t>
            </w:r>
          </w:p>
        </w:tc>
        <w:tc>
          <w:tcPr>
            <w:tcW w:w="1021" w:type="dxa"/>
            <w:vAlign w:val="center"/>
          </w:tcPr>
          <w:p>
            <w:pPr>
              <w:jc w:val="center"/>
              <w:rPr>
                <w:color w:val="auto"/>
                <w:sz w:val="18"/>
                <w:szCs w:val="21"/>
                <w:highlight w:val="none"/>
              </w:rPr>
            </w:pPr>
          </w:p>
        </w:tc>
        <w:tc>
          <w:tcPr>
            <w:tcW w:w="1276" w:type="dxa"/>
            <w:gridSpan w:val="2"/>
            <w:vAlign w:val="center"/>
          </w:tcPr>
          <w:p>
            <w:pPr>
              <w:jc w:val="center"/>
              <w:rPr>
                <w:color w:val="auto"/>
                <w:sz w:val="18"/>
                <w:szCs w:val="21"/>
                <w:highlight w:val="none"/>
              </w:rPr>
            </w:pPr>
            <w:r>
              <w:rPr>
                <w:color w:val="auto"/>
                <w:sz w:val="18"/>
                <w:szCs w:val="21"/>
                <w:highlight w:val="none"/>
              </w:rPr>
              <w:t>技术职称</w:t>
            </w:r>
          </w:p>
        </w:tc>
        <w:tc>
          <w:tcPr>
            <w:tcW w:w="1701" w:type="dxa"/>
            <w:gridSpan w:val="3"/>
            <w:vAlign w:val="center"/>
          </w:tcPr>
          <w:p>
            <w:pPr>
              <w:jc w:val="center"/>
              <w:rPr>
                <w:color w:val="auto"/>
                <w:sz w:val="18"/>
                <w:szCs w:val="21"/>
                <w:highlight w:val="none"/>
              </w:rPr>
            </w:pPr>
          </w:p>
        </w:tc>
        <w:tc>
          <w:tcPr>
            <w:tcW w:w="709" w:type="dxa"/>
            <w:vAlign w:val="center"/>
          </w:tcPr>
          <w:p>
            <w:pPr>
              <w:jc w:val="center"/>
              <w:rPr>
                <w:color w:val="auto"/>
                <w:sz w:val="18"/>
                <w:szCs w:val="21"/>
                <w:highlight w:val="none"/>
              </w:rPr>
            </w:pPr>
            <w:r>
              <w:rPr>
                <w:color w:val="auto"/>
                <w:sz w:val="18"/>
                <w:szCs w:val="21"/>
                <w:highlight w:val="none"/>
              </w:rPr>
              <w:t>电话</w:t>
            </w:r>
          </w:p>
        </w:tc>
        <w:tc>
          <w:tcPr>
            <w:tcW w:w="1201" w:type="dxa"/>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成立时间</w:t>
            </w:r>
          </w:p>
        </w:tc>
        <w:tc>
          <w:tcPr>
            <w:tcW w:w="1918" w:type="dxa"/>
            <w:gridSpan w:val="2"/>
            <w:vAlign w:val="center"/>
          </w:tcPr>
          <w:p>
            <w:pPr>
              <w:jc w:val="center"/>
              <w:rPr>
                <w:color w:val="auto"/>
                <w:sz w:val="18"/>
                <w:szCs w:val="21"/>
                <w:highlight w:val="none"/>
              </w:rPr>
            </w:pPr>
          </w:p>
        </w:tc>
        <w:tc>
          <w:tcPr>
            <w:tcW w:w="4887" w:type="dxa"/>
            <w:gridSpan w:val="7"/>
            <w:vAlign w:val="center"/>
          </w:tcPr>
          <w:p>
            <w:pPr>
              <w:jc w:val="center"/>
              <w:rPr>
                <w:color w:val="auto"/>
                <w:sz w:val="18"/>
                <w:szCs w:val="21"/>
                <w:highlight w:val="none"/>
              </w:rPr>
            </w:pPr>
            <w:r>
              <w:rPr>
                <w:color w:val="auto"/>
                <w:sz w:val="18"/>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企业资质等级</w:t>
            </w:r>
          </w:p>
        </w:tc>
        <w:tc>
          <w:tcPr>
            <w:tcW w:w="897" w:type="dxa"/>
            <w:vAlign w:val="center"/>
          </w:tcPr>
          <w:p>
            <w:pPr>
              <w:jc w:val="center"/>
              <w:rPr>
                <w:color w:val="auto"/>
                <w:sz w:val="18"/>
                <w:szCs w:val="21"/>
                <w:highlight w:val="none"/>
              </w:rPr>
            </w:pPr>
          </w:p>
        </w:tc>
        <w:tc>
          <w:tcPr>
            <w:tcW w:w="1021" w:type="dxa"/>
            <w:vAlign w:val="center"/>
          </w:tcPr>
          <w:p>
            <w:pPr>
              <w:jc w:val="center"/>
              <w:rPr>
                <w:color w:val="auto"/>
                <w:sz w:val="18"/>
                <w:szCs w:val="21"/>
                <w:highlight w:val="none"/>
              </w:rPr>
            </w:pPr>
          </w:p>
        </w:tc>
        <w:tc>
          <w:tcPr>
            <w:tcW w:w="993" w:type="dxa"/>
            <w:vMerge w:val="restart"/>
            <w:vAlign w:val="center"/>
          </w:tcPr>
          <w:p>
            <w:pPr>
              <w:jc w:val="center"/>
              <w:rPr>
                <w:color w:val="auto"/>
                <w:sz w:val="18"/>
                <w:szCs w:val="21"/>
                <w:highlight w:val="none"/>
              </w:rPr>
            </w:pPr>
            <w:r>
              <w:rPr>
                <w:color w:val="auto"/>
                <w:sz w:val="18"/>
                <w:szCs w:val="21"/>
                <w:highlight w:val="none"/>
              </w:rPr>
              <w:t>其中</w:t>
            </w:r>
          </w:p>
        </w:tc>
        <w:tc>
          <w:tcPr>
            <w:tcW w:w="1984" w:type="dxa"/>
            <w:gridSpan w:val="4"/>
            <w:vAlign w:val="center"/>
          </w:tcPr>
          <w:p>
            <w:pPr>
              <w:jc w:val="center"/>
              <w:rPr>
                <w:color w:val="auto"/>
                <w:sz w:val="18"/>
                <w:szCs w:val="21"/>
                <w:highlight w:val="none"/>
              </w:rPr>
            </w:pPr>
            <w:r>
              <w:rPr>
                <w:color w:val="auto"/>
                <w:sz w:val="18"/>
                <w:szCs w:val="21"/>
                <w:highlight w:val="none"/>
              </w:rPr>
              <w:t>项目经理人员</w:t>
            </w:r>
          </w:p>
        </w:tc>
        <w:tc>
          <w:tcPr>
            <w:tcW w:w="1910" w:type="dxa"/>
            <w:gridSpan w:val="2"/>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营业执照号</w:t>
            </w:r>
          </w:p>
        </w:tc>
        <w:tc>
          <w:tcPr>
            <w:tcW w:w="897" w:type="dxa"/>
            <w:vAlign w:val="center"/>
          </w:tcPr>
          <w:p>
            <w:pPr>
              <w:jc w:val="center"/>
              <w:rPr>
                <w:color w:val="auto"/>
                <w:sz w:val="18"/>
                <w:szCs w:val="21"/>
                <w:highlight w:val="none"/>
              </w:rPr>
            </w:pPr>
          </w:p>
        </w:tc>
        <w:tc>
          <w:tcPr>
            <w:tcW w:w="1021" w:type="dxa"/>
            <w:vAlign w:val="center"/>
          </w:tcPr>
          <w:p>
            <w:pPr>
              <w:jc w:val="center"/>
              <w:rPr>
                <w:color w:val="auto"/>
                <w:sz w:val="18"/>
                <w:szCs w:val="21"/>
                <w:highlight w:val="none"/>
              </w:rPr>
            </w:pPr>
          </w:p>
        </w:tc>
        <w:tc>
          <w:tcPr>
            <w:tcW w:w="993" w:type="dxa"/>
            <w:vMerge w:val="continue"/>
            <w:vAlign w:val="center"/>
          </w:tcPr>
          <w:p>
            <w:pPr>
              <w:jc w:val="center"/>
              <w:rPr>
                <w:color w:val="auto"/>
                <w:sz w:val="18"/>
                <w:szCs w:val="21"/>
                <w:highlight w:val="none"/>
              </w:rPr>
            </w:pPr>
          </w:p>
        </w:tc>
        <w:tc>
          <w:tcPr>
            <w:tcW w:w="1984" w:type="dxa"/>
            <w:gridSpan w:val="4"/>
            <w:vAlign w:val="center"/>
          </w:tcPr>
          <w:p>
            <w:pPr>
              <w:jc w:val="center"/>
              <w:rPr>
                <w:color w:val="auto"/>
                <w:sz w:val="18"/>
                <w:szCs w:val="21"/>
                <w:highlight w:val="none"/>
              </w:rPr>
            </w:pPr>
            <w:r>
              <w:rPr>
                <w:color w:val="auto"/>
                <w:sz w:val="18"/>
                <w:szCs w:val="21"/>
                <w:highlight w:val="none"/>
              </w:rPr>
              <w:t>高级职称人员</w:t>
            </w:r>
          </w:p>
        </w:tc>
        <w:tc>
          <w:tcPr>
            <w:tcW w:w="1910" w:type="dxa"/>
            <w:gridSpan w:val="2"/>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注册资金</w:t>
            </w:r>
          </w:p>
        </w:tc>
        <w:tc>
          <w:tcPr>
            <w:tcW w:w="897" w:type="dxa"/>
            <w:vAlign w:val="center"/>
          </w:tcPr>
          <w:p>
            <w:pPr>
              <w:jc w:val="center"/>
              <w:rPr>
                <w:color w:val="auto"/>
                <w:sz w:val="18"/>
                <w:szCs w:val="21"/>
                <w:highlight w:val="none"/>
              </w:rPr>
            </w:pPr>
          </w:p>
        </w:tc>
        <w:tc>
          <w:tcPr>
            <w:tcW w:w="1021" w:type="dxa"/>
            <w:vAlign w:val="center"/>
          </w:tcPr>
          <w:p>
            <w:pPr>
              <w:jc w:val="center"/>
              <w:rPr>
                <w:color w:val="auto"/>
                <w:sz w:val="18"/>
                <w:szCs w:val="21"/>
                <w:highlight w:val="none"/>
              </w:rPr>
            </w:pPr>
          </w:p>
        </w:tc>
        <w:tc>
          <w:tcPr>
            <w:tcW w:w="993" w:type="dxa"/>
            <w:vMerge w:val="continue"/>
            <w:vAlign w:val="center"/>
          </w:tcPr>
          <w:p>
            <w:pPr>
              <w:jc w:val="center"/>
              <w:rPr>
                <w:color w:val="auto"/>
                <w:sz w:val="18"/>
                <w:szCs w:val="21"/>
                <w:highlight w:val="none"/>
              </w:rPr>
            </w:pPr>
          </w:p>
        </w:tc>
        <w:tc>
          <w:tcPr>
            <w:tcW w:w="1984" w:type="dxa"/>
            <w:gridSpan w:val="4"/>
            <w:vAlign w:val="center"/>
          </w:tcPr>
          <w:p>
            <w:pPr>
              <w:jc w:val="center"/>
              <w:rPr>
                <w:color w:val="auto"/>
                <w:sz w:val="18"/>
                <w:szCs w:val="21"/>
                <w:highlight w:val="none"/>
              </w:rPr>
            </w:pPr>
            <w:r>
              <w:rPr>
                <w:color w:val="auto"/>
                <w:sz w:val="18"/>
                <w:szCs w:val="21"/>
                <w:highlight w:val="none"/>
              </w:rPr>
              <w:t>中级职称人员</w:t>
            </w:r>
          </w:p>
        </w:tc>
        <w:tc>
          <w:tcPr>
            <w:tcW w:w="1910" w:type="dxa"/>
            <w:gridSpan w:val="2"/>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开户银行</w:t>
            </w:r>
          </w:p>
        </w:tc>
        <w:tc>
          <w:tcPr>
            <w:tcW w:w="897" w:type="dxa"/>
            <w:vAlign w:val="center"/>
          </w:tcPr>
          <w:p>
            <w:pPr>
              <w:jc w:val="center"/>
              <w:rPr>
                <w:color w:val="auto"/>
                <w:sz w:val="18"/>
                <w:szCs w:val="21"/>
                <w:highlight w:val="none"/>
              </w:rPr>
            </w:pPr>
          </w:p>
        </w:tc>
        <w:tc>
          <w:tcPr>
            <w:tcW w:w="1021" w:type="dxa"/>
            <w:vAlign w:val="center"/>
          </w:tcPr>
          <w:p>
            <w:pPr>
              <w:jc w:val="center"/>
              <w:rPr>
                <w:color w:val="auto"/>
                <w:sz w:val="18"/>
                <w:szCs w:val="21"/>
                <w:highlight w:val="none"/>
              </w:rPr>
            </w:pPr>
          </w:p>
        </w:tc>
        <w:tc>
          <w:tcPr>
            <w:tcW w:w="993" w:type="dxa"/>
            <w:vMerge w:val="continue"/>
            <w:vAlign w:val="center"/>
          </w:tcPr>
          <w:p>
            <w:pPr>
              <w:jc w:val="center"/>
              <w:rPr>
                <w:color w:val="auto"/>
                <w:sz w:val="18"/>
                <w:szCs w:val="21"/>
                <w:highlight w:val="none"/>
              </w:rPr>
            </w:pPr>
          </w:p>
        </w:tc>
        <w:tc>
          <w:tcPr>
            <w:tcW w:w="1984" w:type="dxa"/>
            <w:gridSpan w:val="4"/>
            <w:vAlign w:val="center"/>
          </w:tcPr>
          <w:p>
            <w:pPr>
              <w:jc w:val="center"/>
              <w:rPr>
                <w:color w:val="auto"/>
                <w:sz w:val="18"/>
                <w:szCs w:val="21"/>
                <w:highlight w:val="none"/>
              </w:rPr>
            </w:pPr>
            <w:r>
              <w:rPr>
                <w:color w:val="auto"/>
                <w:sz w:val="18"/>
                <w:szCs w:val="21"/>
                <w:highlight w:val="none"/>
              </w:rPr>
              <w:t>初级职称人员</w:t>
            </w:r>
          </w:p>
        </w:tc>
        <w:tc>
          <w:tcPr>
            <w:tcW w:w="1910" w:type="dxa"/>
            <w:gridSpan w:val="2"/>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color w:val="auto"/>
                <w:sz w:val="18"/>
                <w:szCs w:val="21"/>
                <w:highlight w:val="none"/>
              </w:rPr>
            </w:pPr>
            <w:r>
              <w:rPr>
                <w:color w:val="auto"/>
                <w:sz w:val="18"/>
                <w:szCs w:val="21"/>
                <w:highlight w:val="none"/>
              </w:rPr>
              <w:t>账号</w:t>
            </w:r>
          </w:p>
        </w:tc>
        <w:tc>
          <w:tcPr>
            <w:tcW w:w="897" w:type="dxa"/>
            <w:vAlign w:val="center"/>
          </w:tcPr>
          <w:p>
            <w:pPr>
              <w:jc w:val="center"/>
              <w:rPr>
                <w:color w:val="auto"/>
                <w:sz w:val="18"/>
                <w:szCs w:val="21"/>
                <w:highlight w:val="none"/>
              </w:rPr>
            </w:pPr>
          </w:p>
        </w:tc>
        <w:tc>
          <w:tcPr>
            <w:tcW w:w="1021" w:type="dxa"/>
            <w:vAlign w:val="center"/>
          </w:tcPr>
          <w:p>
            <w:pPr>
              <w:jc w:val="center"/>
              <w:rPr>
                <w:color w:val="auto"/>
                <w:sz w:val="18"/>
                <w:szCs w:val="21"/>
                <w:highlight w:val="none"/>
              </w:rPr>
            </w:pPr>
          </w:p>
        </w:tc>
        <w:tc>
          <w:tcPr>
            <w:tcW w:w="993" w:type="dxa"/>
            <w:vMerge w:val="continue"/>
            <w:vAlign w:val="center"/>
          </w:tcPr>
          <w:p>
            <w:pPr>
              <w:jc w:val="center"/>
              <w:rPr>
                <w:color w:val="auto"/>
                <w:sz w:val="18"/>
                <w:szCs w:val="21"/>
                <w:highlight w:val="none"/>
              </w:rPr>
            </w:pPr>
          </w:p>
        </w:tc>
        <w:tc>
          <w:tcPr>
            <w:tcW w:w="1984" w:type="dxa"/>
            <w:gridSpan w:val="4"/>
            <w:vAlign w:val="center"/>
          </w:tcPr>
          <w:p>
            <w:pPr>
              <w:jc w:val="center"/>
              <w:rPr>
                <w:color w:val="auto"/>
                <w:sz w:val="18"/>
                <w:szCs w:val="21"/>
                <w:highlight w:val="none"/>
              </w:rPr>
            </w:pPr>
            <w:r>
              <w:rPr>
                <w:color w:val="auto"/>
                <w:sz w:val="18"/>
                <w:szCs w:val="21"/>
                <w:highlight w:val="none"/>
              </w:rPr>
              <w:t>技  工</w:t>
            </w:r>
          </w:p>
        </w:tc>
        <w:tc>
          <w:tcPr>
            <w:tcW w:w="1910" w:type="dxa"/>
            <w:gridSpan w:val="2"/>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vAlign w:val="center"/>
          </w:tcPr>
          <w:p>
            <w:pPr>
              <w:jc w:val="center"/>
              <w:rPr>
                <w:color w:val="auto"/>
                <w:sz w:val="18"/>
                <w:szCs w:val="21"/>
                <w:highlight w:val="none"/>
              </w:rPr>
            </w:pPr>
            <w:r>
              <w:rPr>
                <w:color w:val="auto"/>
                <w:sz w:val="18"/>
                <w:szCs w:val="21"/>
                <w:highlight w:val="none"/>
              </w:rPr>
              <w:t>经营范围</w:t>
            </w:r>
          </w:p>
        </w:tc>
        <w:tc>
          <w:tcPr>
            <w:tcW w:w="6805" w:type="dxa"/>
            <w:gridSpan w:val="9"/>
            <w:vAlign w:val="center"/>
          </w:tcPr>
          <w:p>
            <w:pPr>
              <w:jc w:val="center"/>
              <w:rPr>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vAlign w:val="center"/>
          </w:tcPr>
          <w:p>
            <w:pPr>
              <w:jc w:val="center"/>
              <w:rPr>
                <w:color w:val="auto"/>
                <w:sz w:val="18"/>
                <w:szCs w:val="21"/>
                <w:highlight w:val="none"/>
              </w:rPr>
            </w:pPr>
            <w:r>
              <w:rPr>
                <w:color w:val="auto"/>
                <w:sz w:val="18"/>
                <w:szCs w:val="21"/>
                <w:highlight w:val="none"/>
              </w:rPr>
              <w:t>备注</w:t>
            </w:r>
          </w:p>
        </w:tc>
        <w:tc>
          <w:tcPr>
            <w:tcW w:w="6805" w:type="dxa"/>
            <w:gridSpan w:val="9"/>
            <w:vAlign w:val="center"/>
          </w:tcPr>
          <w:p>
            <w:pPr>
              <w:jc w:val="center"/>
              <w:rPr>
                <w:color w:val="auto"/>
                <w:sz w:val="18"/>
                <w:szCs w:val="21"/>
                <w:highlight w:val="none"/>
              </w:rPr>
            </w:pPr>
          </w:p>
        </w:tc>
      </w:tr>
    </w:tbl>
    <w:p>
      <w:pPr>
        <w:spacing w:before="156" w:beforeLines="50" w:after="312" w:afterLines="100" w:line="440" w:lineRule="exact"/>
        <w:rPr>
          <w:rFonts w:ascii="宋体" w:hAnsi="宋体" w:cs="Arial"/>
          <w:color w:val="auto"/>
          <w:szCs w:val="21"/>
          <w:highlight w:val="none"/>
        </w:rPr>
      </w:pPr>
      <w:r>
        <w:rPr>
          <w:rFonts w:hint="eastAsia" w:ascii="宋体" w:hAnsi="宋体" w:cs="Arial"/>
          <w:color w:val="auto"/>
          <w:szCs w:val="21"/>
          <w:highlight w:val="none"/>
        </w:rPr>
        <w:t>说明：若以联合体形式投标的，则联合体各成员均须分别填写《投标人基本情况表》。</w:t>
      </w:r>
    </w:p>
    <w:p>
      <w:pPr>
        <w:spacing w:line="300" w:lineRule="auto"/>
        <w:ind w:left="720" w:hanging="720" w:hangingChars="300"/>
        <w:rPr>
          <w:color w:val="auto"/>
          <w:sz w:val="18"/>
          <w:szCs w:val="18"/>
          <w:highlight w:val="none"/>
        </w:rPr>
      </w:pPr>
      <w:r>
        <w:rPr>
          <w:rFonts w:eastAsia="黑体"/>
          <w:color w:val="auto"/>
          <w:sz w:val="24"/>
          <w:highlight w:val="none"/>
        </w:rPr>
        <w:br w:type="page"/>
      </w:r>
    </w:p>
    <w:p>
      <w:pPr>
        <w:pStyle w:val="5"/>
        <w:jc w:val="center"/>
        <w:outlineLvl w:val="9"/>
        <w:rPr>
          <w:rFonts w:ascii="Times New Roman" w:hAnsi="Times New Roman"/>
          <w:b w:val="0"/>
          <w:bCs w:val="0"/>
          <w:color w:val="auto"/>
          <w:highlight w:val="none"/>
        </w:rPr>
      </w:pPr>
      <w:bookmarkStart w:id="1269" w:name="_Toc300678583"/>
    </w:p>
    <w:p>
      <w:pPr>
        <w:pStyle w:val="5"/>
        <w:jc w:val="center"/>
        <w:rPr>
          <w:color w:val="auto"/>
          <w:highlight w:val="none"/>
        </w:rPr>
      </w:pPr>
      <w:r>
        <w:rPr>
          <w:rFonts w:ascii="Times New Roman" w:hAnsi="Times New Roman"/>
          <w:b w:val="0"/>
          <w:bCs w:val="0"/>
          <w:color w:val="auto"/>
          <w:highlight w:val="none"/>
        </w:rPr>
        <w:t>（</w:t>
      </w:r>
      <w:r>
        <w:rPr>
          <w:rFonts w:hint="eastAsia" w:ascii="Times New Roman" w:hAnsi="Times New Roman"/>
          <w:b w:val="0"/>
          <w:bCs w:val="0"/>
          <w:color w:val="auto"/>
          <w:highlight w:val="none"/>
        </w:rPr>
        <w:t>2</w:t>
      </w:r>
      <w:r>
        <w:rPr>
          <w:rFonts w:ascii="Times New Roman" w:hAnsi="Times New Roman"/>
          <w:b w:val="0"/>
          <w:bCs w:val="0"/>
          <w:color w:val="auto"/>
          <w:highlight w:val="none"/>
        </w:rPr>
        <w:t>）</w:t>
      </w:r>
      <w:r>
        <w:rPr>
          <w:rFonts w:hint="eastAsia"/>
          <w:color w:val="auto"/>
          <w:highlight w:val="none"/>
        </w:rPr>
        <w:t>证件复印件（所有证书和资料复印件与扫描件同等效力）</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包含：</w:t>
      </w:r>
    </w:p>
    <w:p>
      <w:pPr>
        <w:spacing w:line="400" w:lineRule="exact"/>
        <w:ind w:firstLine="420" w:firstLineChars="200"/>
        <w:rPr>
          <w:color w:val="auto"/>
          <w:highlight w:val="none"/>
        </w:rPr>
        <w:sectPr>
          <w:pgSz w:w="11906" w:h="16838"/>
          <w:pgMar w:top="1134" w:right="1134" w:bottom="1134" w:left="1418" w:header="851" w:footer="992" w:gutter="0"/>
          <w:cols w:space="720" w:num="1"/>
          <w:docGrid w:type="linesAndChars" w:linePitch="312" w:charSpace="0"/>
        </w:sectPr>
      </w:pPr>
      <w:r>
        <w:rPr>
          <w:rFonts w:hint="eastAsia" w:ascii="宋体" w:hAnsi="宋体"/>
          <w:color w:val="auto"/>
          <w:szCs w:val="21"/>
          <w:highlight w:val="none"/>
        </w:rPr>
        <w:t>注：附投标人企业营业执照副本复印件、资质证书副本复印件、安全生产许可证副本复印件</w:t>
      </w:r>
      <w:r>
        <w:rPr>
          <w:rFonts w:hint="eastAsia" w:ascii="宋体" w:hAnsi="宋体" w:eastAsiaTheme="minorEastAsia"/>
          <w:color w:val="auto"/>
          <w:szCs w:val="21"/>
          <w:highlight w:val="none"/>
        </w:rPr>
        <w:t>（仅施工企业提供）</w:t>
      </w:r>
      <w:r>
        <w:rPr>
          <w:rFonts w:hint="eastAsia" w:ascii="宋体" w:hAnsi="宋体"/>
          <w:color w:val="auto"/>
          <w:szCs w:val="21"/>
          <w:highlight w:val="none"/>
        </w:rPr>
        <w:t>；此外，省外的施工企业须附有效的《入湘施工登记证》（设计企业须附有效的入湘企业基本登记情况（提供湖南省住房和城乡建设网查询结果）复印件（以上复印件须加盖投标人（联合体投标时指牵头人）单位公章））</w:t>
      </w:r>
      <w:r>
        <w:rPr>
          <w:rFonts w:hint="eastAsia" w:ascii="宋体" w:hAnsi="宋体"/>
          <w:b/>
          <w:color w:val="auto"/>
          <w:szCs w:val="21"/>
          <w:highlight w:val="none"/>
        </w:rPr>
        <w:t>（联合体投标时联合体成员应分别提供）</w:t>
      </w:r>
    </w:p>
    <w:p>
      <w:pPr>
        <w:pStyle w:val="6"/>
        <w:jc w:val="center"/>
        <w:rPr>
          <w:rFonts w:ascii="Times New Roman" w:hAnsi="Times New Roman"/>
          <w:b w:val="0"/>
          <w:bCs w:val="0"/>
          <w:color w:val="auto"/>
          <w:highlight w:val="none"/>
        </w:rPr>
      </w:pPr>
      <w:r>
        <w:rPr>
          <w:rFonts w:ascii="Times New Roman" w:hAnsi="Times New Roman"/>
          <w:b w:val="0"/>
          <w:bCs w:val="0"/>
          <w:color w:val="auto"/>
          <w:highlight w:val="none"/>
        </w:rPr>
        <w:t>（</w:t>
      </w:r>
      <w:r>
        <w:rPr>
          <w:rFonts w:hint="eastAsia" w:ascii="Times New Roman" w:hAnsi="Times New Roman"/>
          <w:b w:val="0"/>
          <w:bCs w:val="0"/>
          <w:color w:val="auto"/>
          <w:highlight w:val="none"/>
        </w:rPr>
        <w:t>3</w:t>
      </w:r>
      <w:r>
        <w:rPr>
          <w:rFonts w:ascii="Times New Roman" w:hAnsi="Times New Roman"/>
          <w:b w:val="0"/>
          <w:bCs w:val="0"/>
          <w:color w:val="auto"/>
          <w:highlight w:val="none"/>
        </w:rPr>
        <w:t>）近年完成的类似</w:t>
      </w:r>
      <w:r>
        <w:rPr>
          <w:rFonts w:hint="eastAsia" w:ascii="Times New Roman" w:hAnsi="Times New Roman"/>
          <w:b w:val="0"/>
          <w:bCs w:val="0"/>
          <w:color w:val="auto"/>
          <w:highlight w:val="none"/>
        </w:rPr>
        <w:t>工程业绩</w:t>
      </w:r>
      <w:r>
        <w:rPr>
          <w:rFonts w:ascii="Times New Roman" w:hAnsi="Times New Roman"/>
          <w:b w:val="0"/>
          <w:bCs w:val="0"/>
          <w:color w:val="auto"/>
          <w:highlight w:val="none"/>
        </w:rPr>
        <w:t>情况表</w:t>
      </w:r>
      <w:bookmarkEnd w:id="1269"/>
    </w:p>
    <w:p>
      <w:pPr>
        <w:spacing w:line="400" w:lineRule="exact"/>
        <w:jc w:val="center"/>
        <w:rPr>
          <w:rFonts w:hint="eastAsia"/>
          <w:color w:val="auto"/>
          <w:highlight w:val="none"/>
        </w:rPr>
      </w:pPr>
    </w:p>
    <w:p>
      <w:pPr>
        <w:spacing w:line="400" w:lineRule="exact"/>
        <w:jc w:val="center"/>
        <w:rPr>
          <w:rFonts w:hint="eastAsia" w:ascii="宋体" w:hAnsi="宋体" w:cs="宋体"/>
          <w:b/>
          <w:color w:val="auto"/>
          <w:sz w:val="28"/>
          <w:szCs w:val="28"/>
          <w:highlight w:val="none"/>
        </w:rPr>
      </w:pPr>
      <w:r>
        <w:rPr>
          <w:rFonts w:hint="eastAsia"/>
          <w:color w:val="auto"/>
          <w:sz w:val="28"/>
          <w:szCs w:val="28"/>
          <w:highlight w:val="none"/>
        </w:rPr>
        <w:t>①近年完成的类似工程业绩情况表（工程总承包项目）</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项目名称</w:t>
            </w:r>
          </w:p>
        </w:tc>
        <w:tc>
          <w:tcPr>
            <w:tcW w:w="2400"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1</w:t>
            </w:r>
          </w:p>
        </w:tc>
        <w:tc>
          <w:tcPr>
            <w:tcW w:w="2295"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2</w:t>
            </w:r>
          </w:p>
        </w:tc>
        <w:tc>
          <w:tcPr>
            <w:tcW w:w="1980"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项目所在地</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发包人名称</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发包人地址</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合同价格</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开工日期</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竣工日期</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承担的工作</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工程质量</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工程总承包项目负责人</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hint="eastAsia" w:ascii="宋体" w:hAnsi="宋体" w:cs="宋体"/>
                <w:color w:val="auto"/>
                <w:szCs w:val="20"/>
                <w:highlight w:val="none"/>
              </w:rPr>
            </w:pPr>
            <w:r>
              <w:rPr>
                <w:rFonts w:hint="eastAsia" w:ascii="宋体" w:hAnsi="宋体" w:cs="宋体"/>
                <w:color w:val="auto"/>
                <w:szCs w:val="20"/>
                <w:highlight w:val="none"/>
              </w:rPr>
              <w:t>设计项目负责人</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施工项目负责人</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项目描述</w:t>
            </w:r>
          </w:p>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p>
        </w:tc>
        <w:tc>
          <w:tcPr>
            <w:tcW w:w="2400" w:type="dxa"/>
            <w:vAlign w:val="center"/>
          </w:tcPr>
          <w:p>
            <w:pPr>
              <w:spacing w:line="400" w:lineRule="exact"/>
              <w:jc w:val="center"/>
              <w:rPr>
                <w:rFonts w:ascii="宋体" w:hAnsi="宋体" w:cs="宋体"/>
                <w:color w:val="auto"/>
                <w:szCs w:val="20"/>
                <w:highlight w:val="none"/>
              </w:rPr>
            </w:pPr>
          </w:p>
        </w:tc>
        <w:tc>
          <w:tcPr>
            <w:tcW w:w="2295" w:type="dxa"/>
            <w:vAlign w:val="center"/>
          </w:tcPr>
          <w:p>
            <w:pPr>
              <w:spacing w:line="400" w:lineRule="exact"/>
              <w:jc w:val="center"/>
              <w:rPr>
                <w:rFonts w:ascii="宋体" w:hAnsi="宋体" w:cs="宋体"/>
                <w:color w:val="auto"/>
                <w:szCs w:val="20"/>
                <w:highlight w:val="none"/>
              </w:rPr>
            </w:pPr>
          </w:p>
        </w:tc>
        <w:tc>
          <w:tcPr>
            <w:tcW w:w="1980" w:type="dxa"/>
            <w:vAlign w:val="center"/>
          </w:tcPr>
          <w:p>
            <w:pPr>
              <w:spacing w:line="400" w:lineRule="exact"/>
              <w:jc w:val="center"/>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备     注</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bl>
    <w:p>
      <w:pPr>
        <w:spacing w:line="400" w:lineRule="exact"/>
        <w:ind w:left="-282" w:leftChars="-135" w:right="-285"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说明：1.业绩情况加分有效期为</w:t>
      </w:r>
      <w:r>
        <w:rPr>
          <w:rFonts w:hint="eastAsia" w:ascii="宋体" w:hAnsi="宋体"/>
          <w:color w:val="auto"/>
          <w:szCs w:val="21"/>
          <w:highlight w:val="none"/>
        </w:rPr>
        <w:t>提交投标文件截止时间前</w:t>
      </w:r>
      <w:r>
        <w:rPr>
          <w:rFonts w:hint="eastAsia" w:ascii="宋体" w:hAnsi="宋体" w:cs="宋体"/>
          <w:color w:val="auto"/>
          <w:szCs w:val="20"/>
          <w:highlight w:val="none"/>
        </w:rPr>
        <w:t>1</w:t>
      </w:r>
      <w:r>
        <w:rPr>
          <w:rFonts w:hint="eastAsia" w:ascii="宋体" w:hAnsi="宋体" w:cs="宋体"/>
          <w:color w:val="auto"/>
          <w:szCs w:val="20"/>
          <w:highlight w:val="none"/>
          <w:lang w:val="en-US" w:eastAsia="zh-CN"/>
        </w:rPr>
        <w:t>080</w:t>
      </w:r>
      <w:r>
        <w:rPr>
          <w:rFonts w:hint="eastAsia" w:ascii="宋体" w:hAnsi="宋体" w:cs="宋体"/>
          <w:color w:val="auto"/>
          <w:szCs w:val="20"/>
          <w:highlight w:val="none"/>
        </w:rPr>
        <w:t>天，按工程竣工验收文件中建设单位签字的时间计算。类似工程业绩考核依据中竣工验收备案表未体现建设单位签字之日的以竣工验收备案表“竣工验收日期”栏中注明的时间为准）。</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r>
        <w:rPr>
          <w:rFonts w:hint="eastAsia" w:ascii="宋体" w:hAnsi="宋体" w:cs="宋体"/>
          <w:color w:val="auto"/>
          <w:szCs w:val="20"/>
          <w:highlight w:val="none"/>
          <w:lang w:eastAsia="zh-CN"/>
        </w:rPr>
        <w:t>，</w:t>
      </w:r>
      <w:r>
        <w:rPr>
          <w:rFonts w:hint="eastAsia" w:ascii="宋体" w:hAnsi="宋体"/>
          <w:color w:val="auto"/>
          <w:szCs w:val="21"/>
          <w:highlight w:val="none"/>
        </w:rPr>
        <w:t>每张表格只填写一个项目，并标明序号</w:t>
      </w:r>
      <w:r>
        <w:rPr>
          <w:rFonts w:hint="eastAsia" w:ascii="宋体" w:hAnsi="宋体" w:cs="宋体"/>
          <w:color w:val="auto"/>
          <w:szCs w:val="20"/>
          <w:highlight w:val="none"/>
        </w:rPr>
        <w:t>。</w:t>
      </w:r>
    </w:p>
    <w:p>
      <w:pPr>
        <w:snapToGrid w:val="0"/>
        <w:rPr>
          <w:rFonts w:ascii="宋体" w:hAnsi="宋体" w:cs="宋体"/>
          <w:color w:val="auto"/>
          <w:szCs w:val="20"/>
          <w:highlight w:val="none"/>
        </w:rPr>
      </w:pPr>
    </w:p>
    <w:p>
      <w:pPr>
        <w:snapToGrid w:val="0"/>
        <w:ind w:firstLine="630" w:firstLineChars="300"/>
        <w:rPr>
          <w:rFonts w:hint="eastAsia" w:ascii="宋体" w:hAnsi="宋体" w:cs="宋体"/>
          <w:color w:val="auto"/>
          <w:szCs w:val="20"/>
          <w:highlight w:val="none"/>
        </w:rPr>
      </w:pPr>
      <w:r>
        <w:rPr>
          <w:rFonts w:hint="eastAsia" w:ascii="宋体" w:hAnsi="宋体" w:cs="宋体"/>
          <w:color w:val="auto"/>
          <w:szCs w:val="20"/>
          <w:highlight w:val="none"/>
        </w:rPr>
        <w:t>3．类似项目用于资格审查或加分时，均应同时提供相应证明资料的扫描件。否则资格审查不合格，资信业绩评审不予计分。</w:t>
      </w:r>
    </w:p>
    <w:p>
      <w:pPr>
        <w:snapToGrid w:val="0"/>
        <w:rPr>
          <w:rFonts w:hint="eastAsia"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pStyle w:val="15"/>
        <w:ind w:left="0" w:leftChars="0" w:firstLine="0" w:firstLineChars="0"/>
        <w:rPr>
          <w:color w:val="auto"/>
          <w:highlight w:val="none"/>
        </w:rPr>
      </w:pPr>
    </w:p>
    <w:p>
      <w:pPr>
        <w:snapToGrid w:val="0"/>
        <w:rPr>
          <w:rFonts w:hint="eastAsia" w:ascii="宋体" w:hAnsi="宋体"/>
          <w:color w:val="auto"/>
          <w:szCs w:val="21"/>
          <w:highlight w:val="none"/>
        </w:rPr>
      </w:pPr>
    </w:p>
    <w:p>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②</w:t>
      </w:r>
      <w:r>
        <w:rPr>
          <w:rFonts w:hint="eastAsia"/>
          <w:color w:val="auto"/>
          <w:sz w:val="28"/>
          <w:szCs w:val="28"/>
          <w:highlight w:val="none"/>
        </w:rPr>
        <w:t>近年完成的类似工程业绩情况表（施工项目）</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项目名称</w:t>
            </w:r>
          </w:p>
        </w:tc>
        <w:tc>
          <w:tcPr>
            <w:tcW w:w="2400"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1</w:t>
            </w:r>
          </w:p>
        </w:tc>
        <w:tc>
          <w:tcPr>
            <w:tcW w:w="2295"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2</w:t>
            </w:r>
          </w:p>
        </w:tc>
        <w:tc>
          <w:tcPr>
            <w:tcW w:w="1980"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项目所在地</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发包人名称</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发包人地址</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合同价格</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开工日期</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竣工日期</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承担的工作</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工程质量</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项目经理</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技术负责人</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项目描述</w:t>
            </w:r>
          </w:p>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p>
        </w:tc>
        <w:tc>
          <w:tcPr>
            <w:tcW w:w="2400" w:type="dxa"/>
            <w:vAlign w:val="center"/>
          </w:tcPr>
          <w:p>
            <w:pPr>
              <w:spacing w:line="400" w:lineRule="exact"/>
              <w:jc w:val="center"/>
              <w:rPr>
                <w:rFonts w:ascii="宋体" w:hAnsi="宋体" w:cs="宋体"/>
                <w:color w:val="auto"/>
                <w:szCs w:val="20"/>
                <w:highlight w:val="none"/>
              </w:rPr>
            </w:pPr>
          </w:p>
        </w:tc>
        <w:tc>
          <w:tcPr>
            <w:tcW w:w="2295" w:type="dxa"/>
            <w:vAlign w:val="center"/>
          </w:tcPr>
          <w:p>
            <w:pPr>
              <w:spacing w:line="400" w:lineRule="exact"/>
              <w:jc w:val="center"/>
              <w:rPr>
                <w:rFonts w:ascii="宋体" w:hAnsi="宋体" w:cs="宋体"/>
                <w:color w:val="auto"/>
                <w:szCs w:val="20"/>
                <w:highlight w:val="none"/>
              </w:rPr>
            </w:pPr>
          </w:p>
        </w:tc>
        <w:tc>
          <w:tcPr>
            <w:tcW w:w="1980" w:type="dxa"/>
            <w:vAlign w:val="center"/>
          </w:tcPr>
          <w:p>
            <w:pPr>
              <w:spacing w:line="400" w:lineRule="exact"/>
              <w:jc w:val="center"/>
              <w:rPr>
                <w:rFonts w:ascii="宋体" w:hAnsi="宋体" w:cs="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备     注</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bl>
    <w:p>
      <w:pPr>
        <w:spacing w:line="400" w:lineRule="exact"/>
        <w:ind w:left="-282" w:leftChars="-135" w:right="-285"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说明：1.业绩情况加分有效期为</w:t>
      </w:r>
      <w:r>
        <w:rPr>
          <w:rFonts w:hint="eastAsia" w:ascii="宋体" w:hAnsi="宋体"/>
          <w:color w:val="auto"/>
          <w:szCs w:val="21"/>
          <w:highlight w:val="none"/>
        </w:rPr>
        <w:t>提交投标文件截止时间前</w:t>
      </w:r>
      <w:r>
        <w:rPr>
          <w:rFonts w:hint="eastAsia" w:ascii="宋体" w:hAnsi="宋体" w:cs="宋体"/>
          <w:color w:val="auto"/>
          <w:szCs w:val="20"/>
          <w:highlight w:val="none"/>
        </w:rPr>
        <w:t>1</w:t>
      </w:r>
      <w:r>
        <w:rPr>
          <w:rFonts w:hint="eastAsia" w:ascii="宋体" w:hAnsi="宋体" w:cs="宋体"/>
          <w:color w:val="auto"/>
          <w:szCs w:val="20"/>
          <w:highlight w:val="none"/>
          <w:lang w:val="en-US" w:eastAsia="zh-CN"/>
        </w:rPr>
        <w:t>080</w:t>
      </w:r>
      <w:r>
        <w:rPr>
          <w:rFonts w:hint="eastAsia" w:ascii="宋体" w:hAnsi="宋体" w:cs="宋体"/>
          <w:color w:val="auto"/>
          <w:szCs w:val="20"/>
          <w:highlight w:val="none"/>
        </w:rPr>
        <w:t>天，按工程竣工验收文件中建设单位签字的时间计算。类似工程业绩考核依据中竣工验收备案表未体现建设单位签字之日的以竣工验收备案表“竣工验收日期”栏中注明的时间为准）。</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r>
        <w:rPr>
          <w:rFonts w:hint="eastAsia" w:ascii="宋体" w:hAnsi="宋体" w:cs="宋体"/>
          <w:color w:val="auto"/>
          <w:szCs w:val="20"/>
          <w:highlight w:val="none"/>
          <w:lang w:eastAsia="zh-CN"/>
        </w:rPr>
        <w:t>，</w:t>
      </w:r>
      <w:r>
        <w:rPr>
          <w:rFonts w:hint="eastAsia" w:ascii="宋体" w:hAnsi="宋体"/>
          <w:color w:val="auto"/>
          <w:szCs w:val="21"/>
          <w:highlight w:val="none"/>
        </w:rPr>
        <w:t>每张表格只填写一个项目，并标明序号</w:t>
      </w:r>
      <w:r>
        <w:rPr>
          <w:rFonts w:hint="eastAsia" w:ascii="宋体" w:hAnsi="宋体" w:cs="宋体"/>
          <w:color w:val="auto"/>
          <w:szCs w:val="20"/>
          <w:highlight w:val="none"/>
        </w:rPr>
        <w:t>。</w:t>
      </w:r>
    </w:p>
    <w:p>
      <w:pPr>
        <w:snapToGrid w:val="0"/>
        <w:ind w:firstLine="630" w:firstLineChars="300"/>
        <w:rPr>
          <w:rFonts w:hint="eastAsia" w:ascii="宋体" w:hAnsi="宋体" w:cs="宋体"/>
          <w:color w:val="auto"/>
          <w:szCs w:val="20"/>
          <w:highlight w:val="none"/>
        </w:rPr>
      </w:pPr>
      <w:r>
        <w:rPr>
          <w:rFonts w:hint="eastAsia" w:ascii="宋体" w:hAnsi="宋体" w:cs="宋体"/>
          <w:color w:val="auto"/>
          <w:szCs w:val="20"/>
          <w:highlight w:val="none"/>
        </w:rPr>
        <w:t>3．类似项目用于资格审查或加分时，均应同时提供相应证明资料的扫描件。否则资格审查不合格，资信业绩评审不予计分。</w:t>
      </w:r>
    </w:p>
    <w:p>
      <w:pPr>
        <w:snapToGrid w:val="0"/>
        <w:rPr>
          <w:rFonts w:hint="eastAsia" w:ascii="宋体" w:hAnsi="宋体"/>
          <w:color w:val="auto"/>
          <w:szCs w:val="21"/>
          <w:highlight w:val="none"/>
        </w:rPr>
      </w:pPr>
    </w:p>
    <w:p>
      <w:pPr>
        <w:snapToGrid w:val="0"/>
        <w:spacing w:line="360" w:lineRule="auto"/>
        <w:jc w:val="center"/>
        <w:rPr>
          <w:rFonts w:ascii="宋体" w:hAnsi="宋体" w:cs="宋体"/>
          <w:b/>
          <w:color w:val="auto"/>
          <w:sz w:val="28"/>
          <w:szCs w:val="28"/>
          <w:highlight w:val="none"/>
        </w:rPr>
      </w:pPr>
      <w:r>
        <w:rPr>
          <w:rFonts w:ascii="宋体" w:hAnsi="宋体"/>
          <w:color w:val="auto"/>
          <w:sz w:val="27"/>
          <w:szCs w:val="27"/>
          <w:highlight w:val="none"/>
        </w:rPr>
        <w:br w:type="page"/>
      </w: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w:instrText>
      </w:r>
      <w:r>
        <w:rPr>
          <w:rFonts w:hint="eastAsia" w:ascii="宋体" w:hAnsi="宋体" w:cs="宋体"/>
          <w:b/>
          <w:color w:val="auto"/>
          <w:sz w:val="28"/>
          <w:szCs w:val="28"/>
          <w:highlight w:val="none"/>
        </w:rPr>
        <w:instrText xml:space="preserve">= 3 \* GB3</w:instrText>
      </w:r>
      <w:r>
        <w:rPr>
          <w:rFonts w:ascii="宋体" w:hAnsi="宋体" w:cs="宋体"/>
          <w:b/>
          <w:color w:val="auto"/>
          <w:sz w:val="28"/>
          <w:szCs w:val="28"/>
          <w:highlight w:val="none"/>
        </w:rPr>
        <w:instrText xml:space="preserve"> </w:instrText>
      </w:r>
      <w:r>
        <w:rPr>
          <w:rFonts w:ascii="宋体" w:hAnsi="宋体" w:cs="宋体"/>
          <w:b/>
          <w:color w:val="auto"/>
          <w:sz w:val="28"/>
          <w:szCs w:val="28"/>
          <w:highlight w:val="none"/>
        </w:rPr>
        <w:fldChar w:fldCharType="separate"/>
      </w:r>
      <w:r>
        <w:rPr>
          <w:rFonts w:hint="eastAsia" w:ascii="宋体" w:hAnsi="宋体" w:cs="宋体"/>
          <w:b/>
          <w:color w:val="auto"/>
          <w:sz w:val="28"/>
          <w:szCs w:val="28"/>
          <w:highlight w:val="none"/>
        </w:rPr>
        <w:t>③</w:t>
      </w:r>
      <w:r>
        <w:rPr>
          <w:rFonts w:ascii="宋体" w:hAnsi="宋体" w:cs="宋体"/>
          <w:b/>
          <w:color w:val="auto"/>
          <w:sz w:val="28"/>
          <w:szCs w:val="28"/>
          <w:highlight w:val="none"/>
        </w:rPr>
        <w:fldChar w:fldCharType="end"/>
      </w:r>
      <w:r>
        <w:rPr>
          <w:rFonts w:hint="eastAsia" w:ascii="宋体" w:hAnsi="宋体" w:cs="宋体"/>
          <w:b/>
          <w:color w:val="auto"/>
          <w:sz w:val="28"/>
          <w:szCs w:val="28"/>
          <w:highlight w:val="none"/>
        </w:rPr>
        <w:t>近年完成的类似工程业绩情况表（设计项目）</w:t>
      </w:r>
    </w:p>
    <w:tbl>
      <w:tblPr>
        <w:tblStyle w:val="21"/>
        <w:tblW w:w="928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项目名称</w:t>
            </w:r>
          </w:p>
        </w:tc>
        <w:tc>
          <w:tcPr>
            <w:tcW w:w="2400"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1</w:t>
            </w:r>
          </w:p>
        </w:tc>
        <w:tc>
          <w:tcPr>
            <w:tcW w:w="2295"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2</w:t>
            </w:r>
          </w:p>
        </w:tc>
        <w:tc>
          <w:tcPr>
            <w:tcW w:w="1980" w:type="dxa"/>
            <w:vAlign w:val="top"/>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项目所在地</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发包人名称</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发包人地址</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发包人电话</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合同价格</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设计服务期限</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设计内容</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设计负责人</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项目描述</w:t>
            </w:r>
          </w:p>
          <w:p>
            <w:pPr>
              <w:spacing w:line="400" w:lineRule="exact"/>
              <w:jc w:val="center"/>
              <w:rPr>
                <w:rFonts w:ascii="宋体" w:hAnsi="宋体" w:cs="宋体"/>
                <w:color w:val="auto"/>
                <w:szCs w:val="20"/>
                <w:highlight w:val="none"/>
              </w:rPr>
            </w:pPr>
          </w:p>
          <w:p>
            <w:pPr>
              <w:spacing w:line="400" w:lineRule="exact"/>
              <w:jc w:val="center"/>
              <w:rPr>
                <w:rFonts w:ascii="宋体" w:hAnsi="宋体" w:cs="宋体"/>
                <w:color w:val="auto"/>
                <w:szCs w:val="20"/>
                <w:highlight w:val="none"/>
              </w:rPr>
            </w:pPr>
          </w:p>
        </w:tc>
        <w:tc>
          <w:tcPr>
            <w:tcW w:w="2400" w:type="dxa"/>
            <w:vAlign w:val="center"/>
          </w:tcPr>
          <w:p>
            <w:pPr>
              <w:spacing w:line="400" w:lineRule="exact"/>
              <w:jc w:val="center"/>
              <w:rPr>
                <w:rFonts w:ascii="宋体" w:hAnsi="宋体" w:cs="宋体"/>
                <w:color w:val="auto"/>
                <w:szCs w:val="20"/>
                <w:highlight w:val="none"/>
              </w:rPr>
            </w:pPr>
          </w:p>
        </w:tc>
        <w:tc>
          <w:tcPr>
            <w:tcW w:w="2295" w:type="dxa"/>
            <w:vAlign w:val="center"/>
          </w:tcPr>
          <w:p>
            <w:pPr>
              <w:spacing w:line="400" w:lineRule="exact"/>
              <w:jc w:val="center"/>
              <w:rPr>
                <w:rFonts w:ascii="宋体" w:hAnsi="宋体" w:cs="宋体"/>
                <w:color w:val="auto"/>
                <w:szCs w:val="20"/>
                <w:highlight w:val="none"/>
              </w:rPr>
            </w:pPr>
          </w:p>
        </w:tc>
        <w:tc>
          <w:tcPr>
            <w:tcW w:w="1980" w:type="dxa"/>
            <w:vAlign w:val="center"/>
          </w:tcPr>
          <w:p>
            <w:pPr>
              <w:spacing w:line="400" w:lineRule="exact"/>
              <w:jc w:val="center"/>
              <w:rPr>
                <w:rFonts w:ascii="宋体" w:hAnsi="宋体" w:cs="宋体"/>
                <w:color w:val="auto"/>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color w:val="auto"/>
                <w:szCs w:val="20"/>
                <w:highlight w:val="none"/>
              </w:rPr>
            </w:pPr>
            <w:r>
              <w:rPr>
                <w:rFonts w:hint="eastAsia" w:ascii="宋体" w:hAnsi="宋体" w:cs="宋体"/>
                <w:color w:val="auto"/>
                <w:szCs w:val="20"/>
                <w:highlight w:val="none"/>
              </w:rPr>
              <w:t>备     注</w:t>
            </w:r>
          </w:p>
        </w:tc>
        <w:tc>
          <w:tcPr>
            <w:tcW w:w="2400" w:type="dxa"/>
            <w:vAlign w:val="top"/>
          </w:tcPr>
          <w:p>
            <w:pPr>
              <w:spacing w:line="400" w:lineRule="exact"/>
              <w:rPr>
                <w:rFonts w:ascii="宋体" w:hAnsi="宋体" w:cs="宋体"/>
                <w:color w:val="auto"/>
                <w:szCs w:val="20"/>
                <w:highlight w:val="none"/>
              </w:rPr>
            </w:pPr>
          </w:p>
        </w:tc>
        <w:tc>
          <w:tcPr>
            <w:tcW w:w="2295" w:type="dxa"/>
            <w:vAlign w:val="top"/>
          </w:tcPr>
          <w:p>
            <w:pPr>
              <w:spacing w:line="400" w:lineRule="exact"/>
              <w:rPr>
                <w:rFonts w:ascii="宋体" w:hAnsi="宋体" w:cs="宋体"/>
                <w:color w:val="auto"/>
                <w:szCs w:val="20"/>
                <w:highlight w:val="none"/>
              </w:rPr>
            </w:pPr>
          </w:p>
        </w:tc>
        <w:tc>
          <w:tcPr>
            <w:tcW w:w="1980" w:type="dxa"/>
            <w:vAlign w:val="top"/>
          </w:tcPr>
          <w:p>
            <w:pPr>
              <w:spacing w:line="400" w:lineRule="exact"/>
              <w:rPr>
                <w:rFonts w:ascii="宋体" w:hAnsi="宋体" w:cs="宋体"/>
                <w:color w:val="auto"/>
                <w:szCs w:val="20"/>
                <w:highlight w:val="none"/>
              </w:rPr>
            </w:pPr>
          </w:p>
        </w:tc>
      </w:tr>
    </w:tbl>
    <w:p>
      <w:pPr>
        <w:spacing w:line="400" w:lineRule="exact"/>
        <w:ind w:left="-282" w:leftChars="-135" w:right="-285" w:rightChars="-136" w:hanging="1"/>
        <w:rPr>
          <w:rFonts w:hint="eastAsia" w:ascii="宋体" w:hAnsi="宋体" w:eastAsia="方正小标宋简体" w:cs="宋体"/>
          <w:color w:val="auto"/>
          <w:szCs w:val="20"/>
          <w:highlight w:val="none"/>
          <w:lang w:eastAsia="zh-CN"/>
        </w:rPr>
      </w:pPr>
      <w:r>
        <w:rPr>
          <w:rFonts w:hint="eastAsia" w:ascii="宋体" w:hAnsi="宋体" w:cs="宋体"/>
          <w:color w:val="auto"/>
          <w:szCs w:val="20"/>
          <w:highlight w:val="none"/>
        </w:rPr>
        <w:t>说明：</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1.业绩情况加分有效期为</w:t>
      </w:r>
      <w:r>
        <w:rPr>
          <w:rFonts w:hint="eastAsia" w:ascii="宋体" w:hAnsi="宋体"/>
          <w:color w:val="auto"/>
          <w:szCs w:val="21"/>
          <w:highlight w:val="none"/>
        </w:rPr>
        <w:t>提交投标文件截止时间前</w:t>
      </w:r>
      <w:r>
        <w:rPr>
          <w:rFonts w:hint="eastAsia" w:ascii="宋体" w:hAnsi="宋体" w:cs="宋体"/>
          <w:color w:val="auto"/>
          <w:szCs w:val="20"/>
          <w:highlight w:val="none"/>
        </w:rPr>
        <w:t>1</w:t>
      </w:r>
      <w:r>
        <w:rPr>
          <w:rFonts w:hint="eastAsia" w:ascii="宋体" w:hAnsi="宋体" w:cs="宋体"/>
          <w:color w:val="auto"/>
          <w:szCs w:val="20"/>
          <w:highlight w:val="none"/>
          <w:lang w:val="en-US" w:eastAsia="zh-CN"/>
        </w:rPr>
        <w:t>080</w:t>
      </w:r>
      <w:r>
        <w:rPr>
          <w:rFonts w:hint="eastAsia" w:ascii="宋体" w:hAnsi="宋体" w:cs="宋体"/>
          <w:color w:val="auto"/>
          <w:szCs w:val="20"/>
          <w:highlight w:val="none"/>
        </w:rPr>
        <w:t>天</w:t>
      </w:r>
      <w:r>
        <w:rPr>
          <w:rFonts w:hint="eastAsia" w:ascii="宋体" w:hAnsi="宋体" w:cs="宋体"/>
          <w:color w:val="auto"/>
          <w:szCs w:val="20"/>
          <w:highlight w:val="none"/>
          <w:lang w:eastAsia="zh-CN"/>
        </w:rPr>
        <w:t>。</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r>
        <w:rPr>
          <w:rFonts w:hint="eastAsia" w:ascii="宋体" w:hAnsi="宋体" w:cs="宋体"/>
          <w:color w:val="auto"/>
          <w:szCs w:val="20"/>
          <w:highlight w:val="none"/>
          <w:lang w:eastAsia="zh-CN"/>
        </w:rPr>
        <w:t>，</w:t>
      </w:r>
      <w:r>
        <w:rPr>
          <w:rFonts w:hint="eastAsia" w:ascii="宋体" w:hAnsi="宋体"/>
          <w:color w:val="auto"/>
          <w:szCs w:val="21"/>
          <w:highlight w:val="none"/>
        </w:rPr>
        <w:t>每张表格只填写一个项目，并标明序号</w:t>
      </w:r>
      <w:r>
        <w:rPr>
          <w:rFonts w:hint="eastAsia" w:ascii="宋体" w:hAnsi="宋体" w:cs="宋体"/>
          <w:color w:val="auto"/>
          <w:szCs w:val="20"/>
          <w:highlight w:val="none"/>
        </w:rPr>
        <w:t>。</w:t>
      </w:r>
    </w:p>
    <w:p>
      <w:pPr>
        <w:snapToGrid w:val="0"/>
        <w:ind w:firstLine="630" w:firstLineChars="300"/>
        <w:rPr>
          <w:rFonts w:hint="eastAsia" w:ascii="宋体" w:hAnsi="宋体" w:cs="宋体"/>
          <w:color w:val="auto"/>
          <w:szCs w:val="20"/>
          <w:highlight w:val="none"/>
        </w:rPr>
      </w:pPr>
      <w:r>
        <w:rPr>
          <w:rFonts w:hint="eastAsia" w:ascii="宋体" w:hAnsi="宋体" w:cs="宋体"/>
          <w:color w:val="auto"/>
          <w:szCs w:val="20"/>
          <w:highlight w:val="none"/>
        </w:rPr>
        <w:t>3．类似项目用于资格审查或加分时，均应同时提供相应证明资料的扫描件。否则资格审查不合格，资信业绩评审不予计分。</w:t>
      </w:r>
    </w:p>
    <w:p>
      <w:pPr>
        <w:spacing w:line="400" w:lineRule="exact"/>
        <w:ind w:firstLine="630" w:firstLineChars="300"/>
        <w:jc w:val="left"/>
        <w:rPr>
          <w:color w:val="auto"/>
          <w:highlight w:val="none"/>
        </w:rPr>
      </w:pPr>
    </w:p>
    <w:p>
      <w:pPr>
        <w:spacing w:line="400" w:lineRule="exact"/>
        <w:rPr>
          <w:color w:val="auto"/>
          <w:szCs w:val="21"/>
          <w:highlight w:val="none"/>
        </w:rPr>
      </w:pPr>
    </w:p>
    <w:p>
      <w:pPr>
        <w:pStyle w:val="2"/>
        <w:rPr>
          <w:color w:val="auto"/>
          <w:szCs w:val="21"/>
          <w:highlight w:val="none"/>
        </w:rPr>
      </w:pPr>
    </w:p>
    <w:p>
      <w:pPr>
        <w:pStyle w:val="27"/>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rPr>
          <w:color w:val="auto"/>
          <w:szCs w:val="21"/>
          <w:highlight w:val="none"/>
        </w:rPr>
      </w:pPr>
    </w:p>
    <w:p>
      <w:pPr>
        <w:pStyle w:val="13"/>
        <w:jc w:val="both"/>
        <w:rPr>
          <w:color w:val="auto"/>
          <w:szCs w:val="21"/>
          <w:highlight w:val="none"/>
        </w:rPr>
      </w:pPr>
    </w:p>
    <w:p>
      <w:pPr>
        <w:pStyle w:val="5"/>
        <w:ind w:left="0" w:leftChars="0" w:firstLine="0" w:firstLineChars="0"/>
        <w:jc w:val="center"/>
        <w:rPr>
          <w:rFonts w:hint="eastAsia" w:ascii="宋体" w:hAnsi="宋体" w:eastAsia="方正小标宋简体" w:cs="宋体"/>
          <w:b/>
          <w:color w:val="auto"/>
          <w:kern w:val="2"/>
          <w:sz w:val="28"/>
          <w:szCs w:val="28"/>
          <w:highlight w:val="none"/>
          <w:lang w:val="en-US" w:eastAsia="zh-CN" w:bidi="ar-SA"/>
        </w:rPr>
      </w:pPr>
      <w:bookmarkStart w:id="1270" w:name="_Toc499738287"/>
      <w:bookmarkStart w:id="1271" w:name="_Toc456356132"/>
      <w:r>
        <w:rPr>
          <w:rFonts w:hint="eastAsia" w:ascii="宋体" w:hAnsi="宋体" w:eastAsia="方正小标宋简体" w:cs="宋体"/>
          <w:b/>
          <w:color w:val="auto"/>
          <w:kern w:val="2"/>
          <w:sz w:val="28"/>
          <w:szCs w:val="28"/>
          <w:highlight w:val="none"/>
          <w:lang w:val="en-US" w:eastAsia="zh-CN" w:bidi="ar-SA"/>
        </w:rPr>
        <w:t>正在实施的和新承接的项目情况表</w:t>
      </w:r>
      <w:bookmarkEnd w:id="1270"/>
      <w:bookmarkEnd w:id="1271"/>
    </w:p>
    <w:tbl>
      <w:tblPr>
        <w:tblStyle w:val="21"/>
        <w:tblW w:w="98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2"/>
        <w:gridCol w:w="7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发包人电话</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签约合同价</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计划</w:t>
            </w:r>
            <w:r>
              <w:rPr>
                <w:rFonts w:hint="eastAsia" w:ascii="宋体" w:hAnsi="宋体" w:cs="宋体"/>
                <w:color w:val="auto"/>
                <w:highlight w:val="none"/>
              </w:rPr>
              <w:t>竣工</w:t>
            </w:r>
            <w:r>
              <w:rPr>
                <w:rFonts w:hint="eastAsia" w:ascii="宋体" w:hAnsi="宋体" w:cs="宋体"/>
                <w:color w:val="auto"/>
                <w:szCs w:val="21"/>
                <w:highlight w:val="none"/>
              </w:rPr>
              <w:t>日期</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7413" w:type="dxa"/>
            <w:vAlign w:val="top"/>
          </w:tcPr>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7413" w:type="dxa"/>
            <w:vAlign w:val="top"/>
          </w:tcPr>
          <w:p>
            <w:pPr>
              <w:topLinePunct/>
              <w:spacing w:line="440" w:lineRule="exact"/>
              <w:rPr>
                <w:rFonts w:hint="eastAsia" w:ascii="宋体" w:hAnsi="宋体" w:cs="宋体"/>
                <w:color w:val="auto"/>
                <w:szCs w:val="21"/>
                <w:highlight w:val="none"/>
              </w:rPr>
            </w:pPr>
          </w:p>
          <w:p>
            <w:pPr>
              <w:topLinePunct/>
              <w:spacing w:line="440" w:lineRule="exact"/>
              <w:rPr>
                <w:rFonts w:hint="eastAsia" w:ascii="宋体" w:hAnsi="宋体" w:cs="宋体"/>
                <w:color w:val="auto"/>
                <w:szCs w:val="21"/>
                <w:highlight w:val="none"/>
              </w:rPr>
            </w:pPr>
          </w:p>
          <w:p>
            <w:pPr>
              <w:topLinePunct/>
              <w:spacing w:line="440" w:lineRule="exact"/>
              <w:rPr>
                <w:rFonts w:hint="eastAsia" w:ascii="宋体" w:hAnsi="宋体" w:cs="宋体"/>
                <w:color w:val="auto"/>
                <w:szCs w:val="21"/>
                <w:highlight w:val="none"/>
              </w:rPr>
            </w:pPr>
          </w:p>
          <w:p>
            <w:pPr>
              <w:topLinePunct/>
              <w:spacing w:line="440" w:lineRule="exact"/>
              <w:rPr>
                <w:rFonts w:hint="eastAsia" w:ascii="宋体" w:hAnsi="宋体" w:cs="宋体"/>
                <w:color w:val="auto"/>
                <w:szCs w:val="21"/>
                <w:highlight w:val="none"/>
              </w:rPr>
            </w:pPr>
          </w:p>
          <w:p>
            <w:pPr>
              <w:topLinePunct/>
              <w:spacing w:line="440" w:lineRule="exact"/>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452" w:type="dxa"/>
            <w:vAlign w:val="center"/>
          </w:tcPr>
          <w:p>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413" w:type="dxa"/>
            <w:vAlign w:val="top"/>
          </w:tcPr>
          <w:p>
            <w:pPr>
              <w:topLinePunct/>
              <w:spacing w:line="440" w:lineRule="exact"/>
              <w:rPr>
                <w:rFonts w:hint="eastAsia" w:ascii="宋体" w:hAnsi="宋体" w:cs="宋体"/>
                <w:color w:val="auto"/>
                <w:szCs w:val="21"/>
                <w:highlight w:val="none"/>
              </w:rPr>
            </w:pPr>
          </w:p>
        </w:tc>
      </w:tr>
    </w:tbl>
    <w:p>
      <w:pPr>
        <w:rPr>
          <w:rFonts w:hint="eastAsia" w:ascii="宋体" w:hAnsi="宋体" w:cs="宋体"/>
          <w:bCs/>
          <w:color w:val="auto"/>
          <w:szCs w:val="21"/>
          <w:highlight w:val="none"/>
        </w:rPr>
      </w:pPr>
      <w:r>
        <w:rPr>
          <w:rFonts w:hint="eastAsia" w:ascii="宋体" w:hAnsi="宋体" w:cs="宋体"/>
          <w:bCs/>
          <w:color w:val="auto"/>
          <w:szCs w:val="21"/>
          <w:highlight w:val="none"/>
        </w:rPr>
        <w:t>注：1.每张表格只填写一个项目，并标明序号。附中标通知书或承包合同的复印件或扫描件。</w:t>
      </w:r>
    </w:p>
    <w:p>
      <w:pPr>
        <w:topLinePunct/>
        <w:spacing w:line="440" w:lineRule="exact"/>
        <w:jc w:val="center"/>
        <w:rPr>
          <w:rFonts w:hint="eastAsia" w:ascii="宋体" w:hAnsi="宋体" w:cs="宋体"/>
          <w:color w:val="auto"/>
          <w:highlight w:val="none"/>
        </w:rPr>
      </w:pPr>
    </w:p>
    <w:p>
      <w:pPr>
        <w:pStyle w:val="6"/>
        <w:jc w:val="left"/>
        <w:rPr>
          <w:rFonts w:hint="eastAsia" w:ascii="Times New Roman" w:hAnsi="Times New Roman"/>
          <w:b w:val="0"/>
          <w:bCs w:val="0"/>
          <w:color w:val="auto"/>
          <w:highlight w:val="none"/>
        </w:rPr>
      </w:pPr>
      <w:r>
        <w:rPr>
          <w:color w:val="auto"/>
          <w:szCs w:val="21"/>
          <w:highlight w:val="none"/>
        </w:rPr>
        <w:br w:type="page"/>
      </w:r>
      <w:r>
        <w:rPr>
          <w:rFonts w:hint="eastAsia" w:ascii="Times New Roman" w:hAnsi="Times New Roman"/>
          <w:b w:val="0"/>
          <w:bCs w:val="0"/>
          <w:color w:val="auto"/>
          <w:highlight w:val="none"/>
        </w:rPr>
        <w:t>（4）投标人财务状况</w:t>
      </w:r>
    </w:p>
    <w:p>
      <w:pPr>
        <w:topLinePunct/>
        <w:spacing w:line="440" w:lineRule="exact"/>
        <w:rPr>
          <w:rFonts w:ascii="宋体" w:hAnsi="宋体"/>
          <w:color w:val="auto"/>
          <w:szCs w:val="21"/>
          <w:highlight w:val="none"/>
        </w:rPr>
      </w:pPr>
      <w:r>
        <w:rPr>
          <w:rFonts w:hint="eastAsia" w:ascii="宋体" w:hAnsi="宋体"/>
          <w:color w:val="auto"/>
          <w:szCs w:val="21"/>
          <w:highlight w:val="none"/>
        </w:rPr>
        <w:t>备注：在此附经会计事务所认定的财务会计报表，包括资产负债表、损益表和审计报告关键页面的复印件，具体年份要求见第二章“投标人须知前附表”的规定。</w:t>
      </w:r>
    </w:p>
    <w:p>
      <w:pPr>
        <w:topLinePunct/>
        <w:spacing w:line="440" w:lineRule="exact"/>
        <w:rPr>
          <w:rFonts w:eastAsia="黑体"/>
          <w:color w:val="auto"/>
          <w:szCs w:val="21"/>
          <w:highlight w:val="none"/>
        </w:rPr>
      </w:pPr>
      <w:r>
        <w:rPr>
          <w:rFonts w:hint="eastAsia" w:eastAsia="黑体"/>
          <w:color w:val="auto"/>
          <w:szCs w:val="21"/>
          <w:highlight w:val="none"/>
        </w:rPr>
        <w:t>（联合体投标时由牵头人出具）</w:t>
      </w:r>
    </w:p>
    <w:p>
      <w:pPr>
        <w:rPr>
          <w:rFonts w:hint="eastAsia"/>
          <w:color w:val="auto"/>
          <w:highlight w:val="none"/>
        </w:rPr>
      </w:pPr>
    </w:p>
    <w:p>
      <w:pPr>
        <w:rPr>
          <w:rFonts w:hint="eastAsia"/>
          <w:color w:val="auto"/>
          <w:highlight w:val="none"/>
        </w:rPr>
      </w:pPr>
    </w:p>
    <w:p>
      <w:pPr>
        <w:pStyle w:val="6"/>
        <w:jc w:val="left"/>
        <w:rPr>
          <w:rFonts w:hint="eastAsia" w:ascii="Times New Roman" w:hAnsi="Times New Roman"/>
          <w:b w:val="0"/>
          <w:bCs w:val="0"/>
          <w:color w:val="auto"/>
          <w:highlight w:val="none"/>
        </w:rPr>
      </w:pPr>
      <w:r>
        <w:rPr>
          <w:rFonts w:hint="eastAsia" w:ascii="Times New Roman" w:hAnsi="Times New Roman"/>
          <w:b w:val="0"/>
          <w:bCs w:val="0"/>
          <w:color w:val="auto"/>
          <w:highlight w:val="none"/>
        </w:rPr>
        <w:t>（5）投标人设计资质或联合体中设计单位奖项情况</w:t>
      </w:r>
    </w:p>
    <w:tbl>
      <w:tblPr>
        <w:tblStyle w:val="2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pPr>
              <w:jc w:val="center"/>
              <w:rPr>
                <w:rFonts w:hint="eastAsia"/>
                <w:color w:val="auto"/>
                <w:highlight w:val="none"/>
              </w:rPr>
            </w:pPr>
            <w:r>
              <w:rPr>
                <w:rFonts w:hint="eastAsia"/>
                <w:color w:val="auto"/>
                <w:highlight w:val="none"/>
              </w:rPr>
              <w:t>序号</w:t>
            </w:r>
          </w:p>
        </w:tc>
        <w:tc>
          <w:tcPr>
            <w:tcW w:w="3401" w:type="dxa"/>
            <w:vAlign w:val="center"/>
          </w:tcPr>
          <w:p>
            <w:pPr>
              <w:jc w:val="center"/>
              <w:rPr>
                <w:rFonts w:hint="eastAsia"/>
                <w:color w:val="auto"/>
                <w:highlight w:val="none"/>
              </w:rPr>
            </w:pPr>
            <w:r>
              <w:rPr>
                <w:rFonts w:hint="eastAsia"/>
                <w:color w:val="auto"/>
                <w:highlight w:val="none"/>
              </w:rPr>
              <w:t>工程项目</w:t>
            </w:r>
          </w:p>
        </w:tc>
        <w:tc>
          <w:tcPr>
            <w:tcW w:w="2322" w:type="dxa"/>
            <w:vAlign w:val="center"/>
          </w:tcPr>
          <w:p>
            <w:pPr>
              <w:jc w:val="center"/>
              <w:rPr>
                <w:rFonts w:hint="eastAsia"/>
                <w:color w:val="auto"/>
                <w:highlight w:val="none"/>
              </w:rPr>
            </w:pPr>
            <w:r>
              <w:rPr>
                <w:rFonts w:hint="eastAsia"/>
                <w:color w:val="auto"/>
                <w:highlight w:val="none"/>
              </w:rPr>
              <w:t>奖项名称</w:t>
            </w:r>
          </w:p>
        </w:tc>
        <w:tc>
          <w:tcPr>
            <w:tcW w:w="2322" w:type="dxa"/>
            <w:vAlign w:val="center"/>
          </w:tcPr>
          <w:p>
            <w:pPr>
              <w:jc w:val="center"/>
              <w:rPr>
                <w:rFonts w:hint="eastAsia"/>
                <w:color w:val="auto"/>
                <w:highlight w:val="none"/>
              </w:rPr>
            </w:pPr>
            <w:r>
              <w:rPr>
                <w:rFonts w:hint="eastAsia"/>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hint="eastAsia"/>
                <w:color w:val="auto"/>
                <w:highlight w:val="none"/>
              </w:rPr>
            </w:pPr>
          </w:p>
        </w:tc>
        <w:tc>
          <w:tcPr>
            <w:tcW w:w="3401"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pPr>
              <w:jc w:val="center"/>
              <w:rPr>
                <w:rFonts w:hint="eastAsia"/>
                <w:color w:val="auto"/>
                <w:highlight w:val="none"/>
              </w:rPr>
            </w:pPr>
          </w:p>
        </w:tc>
        <w:tc>
          <w:tcPr>
            <w:tcW w:w="3401"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hint="eastAsia"/>
                <w:color w:val="auto"/>
                <w:highlight w:val="none"/>
              </w:rPr>
            </w:pPr>
          </w:p>
        </w:tc>
        <w:tc>
          <w:tcPr>
            <w:tcW w:w="3401"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r>
    </w:tbl>
    <w:p>
      <w:pPr>
        <w:pStyle w:val="6"/>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请附奖项证明资料复印件</w:t>
      </w:r>
      <w:r>
        <w:rPr>
          <w:rFonts w:hint="eastAsia"/>
          <w:b w:val="0"/>
          <w:bCs w:val="0"/>
          <w:color w:val="auto"/>
          <w:highlight w:val="none"/>
        </w:rPr>
        <w:t>（具体要求见本招标文件第二章投标人须知）</w:t>
      </w:r>
      <w:r>
        <w:rPr>
          <w:rFonts w:hint="eastAsia" w:ascii="Times New Roman" w:hAnsi="Times New Roman"/>
          <w:b w:val="0"/>
          <w:bCs w:val="0"/>
          <w:color w:val="auto"/>
          <w:szCs w:val="24"/>
          <w:highlight w:val="none"/>
        </w:rPr>
        <w:t>。</w:t>
      </w:r>
    </w:p>
    <w:p>
      <w:pPr>
        <w:pStyle w:val="6"/>
        <w:jc w:val="left"/>
        <w:rPr>
          <w:rFonts w:hint="eastAsia" w:ascii="Times New Roman" w:hAnsi="Times New Roman"/>
          <w:b w:val="0"/>
          <w:bCs w:val="0"/>
          <w:color w:val="auto"/>
          <w:highlight w:val="none"/>
        </w:rPr>
      </w:pPr>
      <w:r>
        <w:rPr>
          <w:rFonts w:hint="eastAsia" w:ascii="Times New Roman" w:hAnsi="Times New Roman"/>
          <w:b w:val="0"/>
          <w:bCs w:val="0"/>
          <w:color w:val="auto"/>
          <w:highlight w:val="none"/>
        </w:rPr>
        <w:t>（</w:t>
      </w:r>
      <w:r>
        <w:rPr>
          <w:rFonts w:ascii="Times New Roman" w:hAnsi="Times New Roman"/>
          <w:b w:val="0"/>
          <w:bCs w:val="0"/>
          <w:color w:val="auto"/>
          <w:highlight w:val="none"/>
        </w:rPr>
        <w:t>6</w:t>
      </w:r>
      <w:r>
        <w:rPr>
          <w:rFonts w:hint="eastAsia" w:ascii="Times New Roman" w:hAnsi="Times New Roman"/>
          <w:b w:val="0"/>
          <w:bCs w:val="0"/>
          <w:color w:val="auto"/>
          <w:highlight w:val="none"/>
        </w:rPr>
        <w:t>）</w:t>
      </w:r>
      <w:bookmarkStart w:id="1272" w:name="_Hlk53732994"/>
      <w:r>
        <w:rPr>
          <w:rFonts w:hint="eastAsia" w:ascii="Times New Roman" w:hAnsi="Times New Roman"/>
          <w:b w:val="0"/>
          <w:bCs w:val="0"/>
          <w:color w:val="auto"/>
          <w:highlight w:val="none"/>
        </w:rPr>
        <w:t>投标人施工资质或联合体中施工单位奖项情况</w:t>
      </w:r>
      <w:bookmarkEnd w:id="1272"/>
    </w:p>
    <w:tbl>
      <w:tblPr>
        <w:tblStyle w:val="2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pPr>
              <w:jc w:val="center"/>
              <w:rPr>
                <w:rFonts w:hint="eastAsia"/>
                <w:color w:val="auto"/>
                <w:highlight w:val="none"/>
              </w:rPr>
            </w:pPr>
            <w:r>
              <w:rPr>
                <w:rFonts w:hint="eastAsia"/>
                <w:color w:val="auto"/>
                <w:highlight w:val="none"/>
              </w:rPr>
              <w:t>序号</w:t>
            </w:r>
          </w:p>
        </w:tc>
        <w:tc>
          <w:tcPr>
            <w:tcW w:w="3401" w:type="dxa"/>
            <w:vAlign w:val="center"/>
          </w:tcPr>
          <w:p>
            <w:pPr>
              <w:jc w:val="center"/>
              <w:rPr>
                <w:rFonts w:hint="eastAsia"/>
                <w:color w:val="auto"/>
                <w:highlight w:val="none"/>
              </w:rPr>
            </w:pPr>
            <w:r>
              <w:rPr>
                <w:rFonts w:hint="eastAsia"/>
                <w:color w:val="auto"/>
                <w:highlight w:val="none"/>
              </w:rPr>
              <w:t>工程项目</w:t>
            </w:r>
          </w:p>
        </w:tc>
        <w:tc>
          <w:tcPr>
            <w:tcW w:w="2322" w:type="dxa"/>
            <w:vAlign w:val="center"/>
          </w:tcPr>
          <w:p>
            <w:pPr>
              <w:jc w:val="center"/>
              <w:rPr>
                <w:rFonts w:hint="eastAsia"/>
                <w:color w:val="auto"/>
                <w:highlight w:val="none"/>
              </w:rPr>
            </w:pPr>
            <w:r>
              <w:rPr>
                <w:rFonts w:hint="eastAsia"/>
                <w:color w:val="auto"/>
                <w:highlight w:val="none"/>
              </w:rPr>
              <w:t>奖项名称</w:t>
            </w:r>
          </w:p>
        </w:tc>
        <w:tc>
          <w:tcPr>
            <w:tcW w:w="2322" w:type="dxa"/>
            <w:vAlign w:val="center"/>
          </w:tcPr>
          <w:p>
            <w:pPr>
              <w:jc w:val="center"/>
              <w:rPr>
                <w:rFonts w:hint="eastAsia"/>
                <w:color w:val="auto"/>
                <w:highlight w:val="none"/>
              </w:rPr>
            </w:pPr>
            <w:r>
              <w:rPr>
                <w:rFonts w:hint="eastAsia"/>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hint="eastAsia"/>
                <w:color w:val="auto"/>
                <w:highlight w:val="none"/>
              </w:rPr>
            </w:pPr>
          </w:p>
        </w:tc>
        <w:tc>
          <w:tcPr>
            <w:tcW w:w="3401"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pPr>
              <w:jc w:val="center"/>
              <w:rPr>
                <w:rFonts w:hint="eastAsia"/>
                <w:color w:val="auto"/>
                <w:highlight w:val="none"/>
              </w:rPr>
            </w:pPr>
          </w:p>
        </w:tc>
        <w:tc>
          <w:tcPr>
            <w:tcW w:w="3401"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hint="eastAsia"/>
                <w:color w:val="auto"/>
                <w:highlight w:val="none"/>
              </w:rPr>
            </w:pPr>
          </w:p>
        </w:tc>
        <w:tc>
          <w:tcPr>
            <w:tcW w:w="3401"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c>
          <w:tcPr>
            <w:tcW w:w="2322" w:type="dxa"/>
            <w:vAlign w:val="center"/>
          </w:tcPr>
          <w:p>
            <w:pPr>
              <w:jc w:val="center"/>
              <w:rPr>
                <w:rFonts w:hint="eastAsia"/>
                <w:color w:val="auto"/>
                <w:highlight w:val="none"/>
              </w:rPr>
            </w:pPr>
          </w:p>
        </w:tc>
      </w:tr>
    </w:tbl>
    <w:p>
      <w:pPr>
        <w:pStyle w:val="6"/>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请附奖项证明资料复印件（具体要求见本招标文件第二章投标人须知）。</w:t>
      </w:r>
    </w:p>
    <w:p>
      <w:pPr>
        <w:rPr>
          <w:color w:val="auto"/>
          <w:highlight w:val="none"/>
        </w:rPr>
      </w:pPr>
    </w:p>
    <w:p>
      <w:pPr>
        <w:rPr>
          <w:color w:val="auto"/>
          <w:highlight w:val="none"/>
        </w:rPr>
      </w:pPr>
    </w:p>
    <w:p>
      <w:pPr>
        <w:rPr>
          <w:color w:val="auto"/>
          <w:highlight w:val="none"/>
        </w:rPr>
      </w:pPr>
      <w:bookmarkStart w:id="1273" w:name="_Toc300678591"/>
    </w:p>
    <w:bookmarkEnd w:id="1273"/>
    <w:p>
      <w:pPr>
        <w:snapToGrid w:val="0"/>
        <w:spacing w:line="360" w:lineRule="auto"/>
        <w:rPr>
          <w:color w:val="auto"/>
          <w:highlight w:val="none"/>
        </w:rPr>
      </w:pPr>
      <w:bookmarkStart w:id="1274" w:name="_Toc300678592"/>
    </w:p>
    <w:p>
      <w:pPr>
        <w:pStyle w:val="44"/>
        <w:rPr>
          <w:color w:val="auto"/>
          <w:highlight w:val="none"/>
        </w:rPr>
      </w:pPr>
    </w:p>
    <w:p>
      <w:pPr>
        <w:pStyle w:val="44"/>
        <w:rPr>
          <w:color w:val="auto"/>
          <w:highlight w:val="none"/>
        </w:rPr>
      </w:pPr>
    </w:p>
    <w:p>
      <w:pPr>
        <w:pStyle w:val="44"/>
        <w:rPr>
          <w:color w:val="auto"/>
          <w:highlight w:val="none"/>
        </w:rPr>
      </w:pPr>
    </w:p>
    <w:p>
      <w:pPr>
        <w:pStyle w:val="44"/>
        <w:rPr>
          <w:color w:val="auto"/>
          <w:highlight w:val="none"/>
        </w:rPr>
      </w:pPr>
    </w:p>
    <w:p>
      <w:pPr>
        <w:pStyle w:val="5"/>
        <w:rPr>
          <w:color w:val="auto"/>
          <w:sz w:val="20"/>
          <w:szCs w:val="20"/>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color w:val="auto"/>
          <w:highlight w:val="none"/>
        </w:rPr>
        <w:t>拟投入本</w:t>
      </w:r>
      <w:r>
        <w:rPr>
          <w:rFonts w:hint="eastAsia"/>
          <w:color w:val="auto"/>
          <w:highlight w:val="none"/>
        </w:rPr>
        <w:t>项目</w:t>
      </w:r>
      <w:r>
        <w:rPr>
          <w:color w:val="auto"/>
          <w:highlight w:val="none"/>
        </w:rPr>
        <w:t>的主要施工设备表</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90"/>
        <w:gridCol w:w="833"/>
        <w:gridCol w:w="1083"/>
        <w:gridCol w:w="735"/>
        <w:gridCol w:w="808"/>
        <w:gridCol w:w="1326"/>
        <w:gridCol w:w="957"/>
        <w:gridCol w:w="115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spacing w:line="440" w:lineRule="exact"/>
              <w:rPr>
                <w:color w:val="auto"/>
                <w:szCs w:val="21"/>
                <w:highlight w:val="none"/>
              </w:rPr>
            </w:pPr>
            <w:r>
              <w:rPr>
                <w:color w:val="auto"/>
                <w:szCs w:val="21"/>
                <w:highlight w:val="none"/>
              </w:rPr>
              <w:t>序号</w:t>
            </w:r>
          </w:p>
        </w:tc>
        <w:tc>
          <w:tcPr>
            <w:tcW w:w="1190" w:type="dxa"/>
            <w:vAlign w:val="center"/>
          </w:tcPr>
          <w:p>
            <w:pPr>
              <w:spacing w:line="440" w:lineRule="exact"/>
              <w:jc w:val="center"/>
              <w:rPr>
                <w:color w:val="auto"/>
                <w:szCs w:val="21"/>
                <w:highlight w:val="none"/>
              </w:rPr>
            </w:pPr>
            <w:r>
              <w:rPr>
                <w:color w:val="auto"/>
                <w:szCs w:val="21"/>
                <w:highlight w:val="none"/>
              </w:rPr>
              <w:t>设备名称</w:t>
            </w:r>
          </w:p>
        </w:tc>
        <w:tc>
          <w:tcPr>
            <w:tcW w:w="833" w:type="dxa"/>
            <w:vAlign w:val="center"/>
          </w:tcPr>
          <w:p>
            <w:pPr>
              <w:spacing w:line="440" w:lineRule="exact"/>
              <w:jc w:val="center"/>
              <w:rPr>
                <w:color w:val="auto"/>
                <w:szCs w:val="21"/>
                <w:highlight w:val="none"/>
              </w:rPr>
            </w:pPr>
            <w:r>
              <w:rPr>
                <w:color w:val="auto"/>
                <w:szCs w:val="21"/>
                <w:highlight w:val="none"/>
              </w:rPr>
              <w:t>型号</w:t>
            </w:r>
          </w:p>
          <w:p>
            <w:pPr>
              <w:spacing w:line="440" w:lineRule="exact"/>
              <w:jc w:val="center"/>
              <w:rPr>
                <w:color w:val="auto"/>
                <w:szCs w:val="21"/>
                <w:highlight w:val="none"/>
              </w:rPr>
            </w:pPr>
            <w:r>
              <w:rPr>
                <w:color w:val="auto"/>
                <w:szCs w:val="21"/>
                <w:highlight w:val="none"/>
              </w:rPr>
              <w:t>规格</w:t>
            </w:r>
          </w:p>
        </w:tc>
        <w:tc>
          <w:tcPr>
            <w:tcW w:w="1083" w:type="dxa"/>
            <w:vAlign w:val="center"/>
          </w:tcPr>
          <w:p>
            <w:pPr>
              <w:spacing w:line="440" w:lineRule="exact"/>
              <w:jc w:val="center"/>
              <w:rPr>
                <w:color w:val="auto"/>
                <w:szCs w:val="21"/>
                <w:highlight w:val="none"/>
              </w:rPr>
            </w:pPr>
            <w:r>
              <w:rPr>
                <w:color w:val="auto"/>
                <w:szCs w:val="21"/>
                <w:highlight w:val="none"/>
              </w:rPr>
              <w:t>数量</w:t>
            </w:r>
          </w:p>
        </w:tc>
        <w:tc>
          <w:tcPr>
            <w:tcW w:w="735" w:type="dxa"/>
            <w:vAlign w:val="center"/>
          </w:tcPr>
          <w:p>
            <w:pPr>
              <w:spacing w:line="440" w:lineRule="exact"/>
              <w:jc w:val="center"/>
              <w:rPr>
                <w:color w:val="auto"/>
                <w:szCs w:val="21"/>
                <w:highlight w:val="none"/>
              </w:rPr>
            </w:pPr>
            <w:r>
              <w:rPr>
                <w:color w:val="auto"/>
                <w:szCs w:val="21"/>
                <w:highlight w:val="none"/>
              </w:rPr>
              <w:t>国别</w:t>
            </w:r>
          </w:p>
          <w:p>
            <w:pPr>
              <w:spacing w:line="440" w:lineRule="exact"/>
              <w:jc w:val="center"/>
              <w:rPr>
                <w:color w:val="auto"/>
                <w:szCs w:val="21"/>
                <w:highlight w:val="none"/>
              </w:rPr>
            </w:pPr>
            <w:r>
              <w:rPr>
                <w:color w:val="auto"/>
                <w:szCs w:val="21"/>
                <w:highlight w:val="none"/>
              </w:rPr>
              <w:t>产地</w:t>
            </w:r>
          </w:p>
        </w:tc>
        <w:tc>
          <w:tcPr>
            <w:tcW w:w="808" w:type="dxa"/>
            <w:vAlign w:val="center"/>
          </w:tcPr>
          <w:p>
            <w:pPr>
              <w:spacing w:line="440" w:lineRule="exact"/>
              <w:jc w:val="center"/>
              <w:rPr>
                <w:color w:val="auto"/>
                <w:szCs w:val="21"/>
                <w:highlight w:val="none"/>
              </w:rPr>
            </w:pPr>
            <w:r>
              <w:rPr>
                <w:color w:val="auto"/>
                <w:szCs w:val="21"/>
                <w:highlight w:val="none"/>
              </w:rPr>
              <w:t>制造</w:t>
            </w:r>
          </w:p>
          <w:p>
            <w:pPr>
              <w:spacing w:line="440" w:lineRule="exact"/>
              <w:jc w:val="center"/>
              <w:rPr>
                <w:color w:val="auto"/>
                <w:szCs w:val="21"/>
                <w:highlight w:val="none"/>
              </w:rPr>
            </w:pPr>
            <w:r>
              <w:rPr>
                <w:color w:val="auto"/>
                <w:szCs w:val="21"/>
                <w:highlight w:val="none"/>
              </w:rPr>
              <w:t>年份</w:t>
            </w:r>
          </w:p>
        </w:tc>
        <w:tc>
          <w:tcPr>
            <w:tcW w:w="1326" w:type="dxa"/>
            <w:vAlign w:val="center"/>
          </w:tcPr>
          <w:p>
            <w:pPr>
              <w:spacing w:line="440" w:lineRule="exact"/>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957" w:type="dxa"/>
            <w:vAlign w:val="center"/>
          </w:tcPr>
          <w:p>
            <w:pPr>
              <w:spacing w:line="440" w:lineRule="exact"/>
              <w:jc w:val="center"/>
              <w:rPr>
                <w:color w:val="auto"/>
                <w:szCs w:val="21"/>
                <w:highlight w:val="none"/>
              </w:rPr>
            </w:pPr>
            <w:r>
              <w:rPr>
                <w:color w:val="auto"/>
                <w:szCs w:val="21"/>
                <w:highlight w:val="none"/>
              </w:rPr>
              <w:t>生产</w:t>
            </w:r>
          </w:p>
          <w:p>
            <w:pPr>
              <w:spacing w:line="440" w:lineRule="exact"/>
              <w:jc w:val="center"/>
              <w:rPr>
                <w:color w:val="auto"/>
                <w:szCs w:val="21"/>
                <w:highlight w:val="none"/>
              </w:rPr>
            </w:pPr>
            <w:r>
              <w:rPr>
                <w:color w:val="auto"/>
                <w:szCs w:val="21"/>
                <w:highlight w:val="none"/>
              </w:rPr>
              <w:t>能力</w:t>
            </w:r>
          </w:p>
        </w:tc>
        <w:tc>
          <w:tcPr>
            <w:tcW w:w="1154" w:type="dxa"/>
            <w:vAlign w:val="center"/>
          </w:tcPr>
          <w:p>
            <w:pPr>
              <w:spacing w:line="440" w:lineRule="exact"/>
              <w:jc w:val="center"/>
              <w:rPr>
                <w:color w:val="auto"/>
                <w:szCs w:val="21"/>
                <w:highlight w:val="none"/>
              </w:rPr>
            </w:pPr>
            <w:r>
              <w:rPr>
                <w:color w:val="auto"/>
                <w:szCs w:val="21"/>
                <w:highlight w:val="none"/>
              </w:rPr>
              <w:t>用于施工部位</w:t>
            </w:r>
          </w:p>
        </w:tc>
        <w:tc>
          <w:tcPr>
            <w:tcW w:w="756" w:type="dxa"/>
            <w:vAlign w:val="center"/>
          </w:tcPr>
          <w:p>
            <w:pPr>
              <w:spacing w:line="440" w:lineRule="exact"/>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spacing w:line="440" w:lineRule="exact"/>
              <w:jc w:val="center"/>
              <w:rPr>
                <w:color w:val="auto"/>
                <w:szCs w:val="21"/>
                <w:highlight w:val="none"/>
              </w:rPr>
            </w:pPr>
          </w:p>
        </w:tc>
        <w:tc>
          <w:tcPr>
            <w:tcW w:w="1190" w:type="dxa"/>
            <w:vAlign w:val="center"/>
          </w:tcPr>
          <w:p>
            <w:pPr>
              <w:spacing w:line="440" w:lineRule="exact"/>
              <w:jc w:val="center"/>
              <w:rPr>
                <w:color w:val="auto"/>
                <w:szCs w:val="21"/>
                <w:highlight w:val="none"/>
              </w:rPr>
            </w:pPr>
          </w:p>
        </w:tc>
        <w:tc>
          <w:tcPr>
            <w:tcW w:w="833" w:type="dxa"/>
            <w:vAlign w:val="center"/>
          </w:tcPr>
          <w:p>
            <w:pPr>
              <w:spacing w:line="440" w:lineRule="exact"/>
              <w:jc w:val="center"/>
              <w:rPr>
                <w:color w:val="auto"/>
                <w:szCs w:val="21"/>
                <w:highlight w:val="none"/>
              </w:rPr>
            </w:pPr>
          </w:p>
        </w:tc>
        <w:tc>
          <w:tcPr>
            <w:tcW w:w="1083" w:type="dxa"/>
            <w:vAlign w:val="center"/>
          </w:tcPr>
          <w:p>
            <w:pPr>
              <w:spacing w:line="440" w:lineRule="exact"/>
              <w:jc w:val="center"/>
              <w:rPr>
                <w:color w:val="auto"/>
                <w:szCs w:val="21"/>
                <w:highlight w:val="none"/>
              </w:rPr>
            </w:pPr>
          </w:p>
        </w:tc>
        <w:tc>
          <w:tcPr>
            <w:tcW w:w="735" w:type="dxa"/>
            <w:vAlign w:val="center"/>
          </w:tcPr>
          <w:p>
            <w:pPr>
              <w:spacing w:line="440" w:lineRule="exact"/>
              <w:jc w:val="center"/>
              <w:rPr>
                <w:color w:val="auto"/>
                <w:szCs w:val="21"/>
                <w:highlight w:val="none"/>
              </w:rPr>
            </w:pPr>
          </w:p>
        </w:tc>
        <w:tc>
          <w:tcPr>
            <w:tcW w:w="808" w:type="dxa"/>
            <w:vAlign w:val="center"/>
          </w:tcPr>
          <w:p>
            <w:pPr>
              <w:spacing w:line="440" w:lineRule="exact"/>
              <w:jc w:val="center"/>
              <w:rPr>
                <w:color w:val="auto"/>
                <w:szCs w:val="21"/>
                <w:highlight w:val="none"/>
              </w:rPr>
            </w:pPr>
          </w:p>
        </w:tc>
        <w:tc>
          <w:tcPr>
            <w:tcW w:w="1326" w:type="dxa"/>
            <w:vAlign w:val="center"/>
          </w:tcPr>
          <w:p>
            <w:pPr>
              <w:spacing w:line="440" w:lineRule="exact"/>
              <w:jc w:val="center"/>
              <w:rPr>
                <w:color w:val="auto"/>
                <w:szCs w:val="21"/>
                <w:highlight w:val="none"/>
              </w:rPr>
            </w:pPr>
          </w:p>
        </w:tc>
        <w:tc>
          <w:tcPr>
            <w:tcW w:w="957" w:type="dxa"/>
            <w:vAlign w:val="center"/>
          </w:tcPr>
          <w:p>
            <w:pPr>
              <w:spacing w:line="440" w:lineRule="exact"/>
              <w:jc w:val="center"/>
              <w:rPr>
                <w:color w:val="auto"/>
                <w:szCs w:val="21"/>
                <w:highlight w:val="none"/>
              </w:rPr>
            </w:pPr>
          </w:p>
        </w:tc>
        <w:tc>
          <w:tcPr>
            <w:tcW w:w="1154" w:type="dxa"/>
            <w:vAlign w:val="center"/>
          </w:tcPr>
          <w:p>
            <w:pPr>
              <w:spacing w:line="440" w:lineRule="exact"/>
              <w:jc w:val="center"/>
              <w:rPr>
                <w:color w:val="auto"/>
                <w:szCs w:val="21"/>
                <w:highlight w:val="none"/>
              </w:rPr>
            </w:pPr>
          </w:p>
        </w:tc>
        <w:tc>
          <w:tcPr>
            <w:tcW w:w="756"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spacing w:line="440" w:lineRule="exact"/>
              <w:jc w:val="center"/>
              <w:rPr>
                <w:color w:val="auto"/>
                <w:szCs w:val="21"/>
                <w:highlight w:val="none"/>
              </w:rPr>
            </w:pPr>
          </w:p>
        </w:tc>
        <w:tc>
          <w:tcPr>
            <w:tcW w:w="1190" w:type="dxa"/>
            <w:vAlign w:val="center"/>
          </w:tcPr>
          <w:p>
            <w:pPr>
              <w:spacing w:line="440" w:lineRule="exact"/>
              <w:jc w:val="center"/>
              <w:rPr>
                <w:color w:val="auto"/>
                <w:szCs w:val="21"/>
                <w:highlight w:val="none"/>
              </w:rPr>
            </w:pPr>
          </w:p>
        </w:tc>
        <w:tc>
          <w:tcPr>
            <w:tcW w:w="833" w:type="dxa"/>
            <w:vAlign w:val="center"/>
          </w:tcPr>
          <w:p>
            <w:pPr>
              <w:spacing w:line="440" w:lineRule="exact"/>
              <w:jc w:val="center"/>
              <w:rPr>
                <w:color w:val="auto"/>
                <w:szCs w:val="21"/>
                <w:highlight w:val="none"/>
              </w:rPr>
            </w:pPr>
          </w:p>
        </w:tc>
        <w:tc>
          <w:tcPr>
            <w:tcW w:w="1083" w:type="dxa"/>
            <w:vAlign w:val="center"/>
          </w:tcPr>
          <w:p>
            <w:pPr>
              <w:spacing w:line="440" w:lineRule="exact"/>
              <w:jc w:val="center"/>
              <w:rPr>
                <w:color w:val="auto"/>
                <w:szCs w:val="21"/>
                <w:highlight w:val="none"/>
              </w:rPr>
            </w:pPr>
          </w:p>
        </w:tc>
        <w:tc>
          <w:tcPr>
            <w:tcW w:w="735" w:type="dxa"/>
            <w:vAlign w:val="center"/>
          </w:tcPr>
          <w:p>
            <w:pPr>
              <w:spacing w:line="440" w:lineRule="exact"/>
              <w:jc w:val="center"/>
              <w:rPr>
                <w:color w:val="auto"/>
                <w:szCs w:val="21"/>
                <w:highlight w:val="none"/>
              </w:rPr>
            </w:pPr>
          </w:p>
        </w:tc>
        <w:tc>
          <w:tcPr>
            <w:tcW w:w="808" w:type="dxa"/>
            <w:vAlign w:val="center"/>
          </w:tcPr>
          <w:p>
            <w:pPr>
              <w:spacing w:line="440" w:lineRule="exact"/>
              <w:jc w:val="center"/>
              <w:rPr>
                <w:color w:val="auto"/>
                <w:szCs w:val="21"/>
                <w:highlight w:val="none"/>
              </w:rPr>
            </w:pPr>
          </w:p>
        </w:tc>
        <w:tc>
          <w:tcPr>
            <w:tcW w:w="1326" w:type="dxa"/>
            <w:vAlign w:val="center"/>
          </w:tcPr>
          <w:p>
            <w:pPr>
              <w:spacing w:line="440" w:lineRule="exact"/>
              <w:jc w:val="center"/>
              <w:rPr>
                <w:color w:val="auto"/>
                <w:szCs w:val="21"/>
                <w:highlight w:val="none"/>
              </w:rPr>
            </w:pPr>
          </w:p>
        </w:tc>
        <w:tc>
          <w:tcPr>
            <w:tcW w:w="957" w:type="dxa"/>
            <w:vAlign w:val="center"/>
          </w:tcPr>
          <w:p>
            <w:pPr>
              <w:spacing w:line="440" w:lineRule="exact"/>
              <w:jc w:val="center"/>
              <w:rPr>
                <w:color w:val="auto"/>
                <w:szCs w:val="21"/>
                <w:highlight w:val="none"/>
              </w:rPr>
            </w:pPr>
          </w:p>
        </w:tc>
        <w:tc>
          <w:tcPr>
            <w:tcW w:w="1154" w:type="dxa"/>
            <w:vAlign w:val="center"/>
          </w:tcPr>
          <w:p>
            <w:pPr>
              <w:spacing w:line="440" w:lineRule="exact"/>
              <w:jc w:val="center"/>
              <w:rPr>
                <w:color w:val="auto"/>
                <w:szCs w:val="21"/>
                <w:highlight w:val="none"/>
              </w:rPr>
            </w:pPr>
          </w:p>
        </w:tc>
        <w:tc>
          <w:tcPr>
            <w:tcW w:w="756"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pacing w:line="440" w:lineRule="exact"/>
              <w:jc w:val="center"/>
              <w:rPr>
                <w:color w:val="auto"/>
                <w:szCs w:val="21"/>
                <w:highlight w:val="none"/>
              </w:rPr>
            </w:pPr>
          </w:p>
        </w:tc>
        <w:tc>
          <w:tcPr>
            <w:tcW w:w="1190" w:type="dxa"/>
          </w:tcPr>
          <w:p>
            <w:pPr>
              <w:spacing w:line="440" w:lineRule="exact"/>
              <w:jc w:val="center"/>
              <w:rPr>
                <w:color w:val="auto"/>
                <w:szCs w:val="21"/>
                <w:highlight w:val="none"/>
              </w:rPr>
            </w:pPr>
          </w:p>
        </w:tc>
        <w:tc>
          <w:tcPr>
            <w:tcW w:w="833" w:type="dxa"/>
          </w:tcPr>
          <w:p>
            <w:pPr>
              <w:spacing w:line="440" w:lineRule="exact"/>
              <w:jc w:val="center"/>
              <w:rPr>
                <w:color w:val="auto"/>
                <w:szCs w:val="21"/>
                <w:highlight w:val="none"/>
              </w:rPr>
            </w:pPr>
          </w:p>
        </w:tc>
        <w:tc>
          <w:tcPr>
            <w:tcW w:w="1083" w:type="dxa"/>
          </w:tcPr>
          <w:p>
            <w:pPr>
              <w:spacing w:line="440" w:lineRule="exact"/>
              <w:jc w:val="center"/>
              <w:rPr>
                <w:color w:val="auto"/>
                <w:szCs w:val="21"/>
                <w:highlight w:val="none"/>
              </w:rPr>
            </w:pPr>
          </w:p>
        </w:tc>
        <w:tc>
          <w:tcPr>
            <w:tcW w:w="735" w:type="dxa"/>
          </w:tcPr>
          <w:p>
            <w:pPr>
              <w:spacing w:line="440" w:lineRule="exact"/>
              <w:jc w:val="center"/>
              <w:rPr>
                <w:color w:val="auto"/>
                <w:szCs w:val="21"/>
                <w:highlight w:val="none"/>
              </w:rPr>
            </w:pPr>
          </w:p>
        </w:tc>
        <w:tc>
          <w:tcPr>
            <w:tcW w:w="808" w:type="dxa"/>
          </w:tcPr>
          <w:p>
            <w:pPr>
              <w:spacing w:line="440" w:lineRule="exact"/>
              <w:jc w:val="center"/>
              <w:rPr>
                <w:color w:val="auto"/>
                <w:szCs w:val="21"/>
                <w:highlight w:val="none"/>
              </w:rPr>
            </w:pPr>
          </w:p>
        </w:tc>
        <w:tc>
          <w:tcPr>
            <w:tcW w:w="1326" w:type="dxa"/>
          </w:tcPr>
          <w:p>
            <w:pPr>
              <w:spacing w:line="440" w:lineRule="exact"/>
              <w:jc w:val="center"/>
              <w:rPr>
                <w:color w:val="auto"/>
                <w:szCs w:val="21"/>
                <w:highlight w:val="none"/>
              </w:rPr>
            </w:pPr>
          </w:p>
        </w:tc>
        <w:tc>
          <w:tcPr>
            <w:tcW w:w="957" w:type="dxa"/>
          </w:tcPr>
          <w:p>
            <w:pPr>
              <w:spacing w:line="440" w:lineRule="exact"/>
              <w:jc w:val="center"/>
              <w:rPr>
                <w:color w:val="auto"/>
                <w:szCs w:val="21"/>
                <w:highlight w:val="none"/>
              </w:rPr>
            </w:pPr>
          </w:p>
        </w:tc>
        <w:tc>
          <w:tcPr>
            <w:tcW w:w="1154" w:type="dxa"/>
          </w:tcPr>
          <w:p>
            <w:pPr>
              <w:spacing w:line="440" w:lineRule="exact"/>
              <w:jc w:val="center"/>
              <w:rPr>
                <w:color w:val="auto"/>
                <w:szCs w:val="21"/>
                <w:highlight w:val="none"/>
              </w:rPr>
            </w:pPr>
          </w:p>
        </w:tc>
        <w:tc>
          <w:tcPr>
            <w:tcW w:w="75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pacing w:line="440" w:lineRule="exact"/>
              <w:jc w:val="center"/>
              <w:rPr>
                <w:color w:val="auto"/>
                <w:szCs w:val="21"/>
                <w:highlight w:val="none"/>
              </w:rPr>
            </w:pPr>
          </w:p>
        </w:tc>
        <w:tc>
          <w:tcPr>
            <w:tcW w:w="1190" w:type="dxa"/>
          </w:tcPr>
          <w:p>
            <w:pPr>
              <w:spacing w:line="440" w:lineRule="exact"/>
              <w:jc w:val="center"/>
              <w:rPr>
                <w:color w:val="auto"/>
                <w:szCs w:val="21"/>
                <w:highlight w:val="none"/>
              </w:rPr>
            </w:pPr>
          </w:p>
        </w:tc>
        <w:tc>
          <w:tcPr>
            <w:tcW w:w="833" w:type="dxa"/>
          </w:tcPr>
          <w:p>
            <w:pPr>
              <w:spacing w:line="440" w:lineRule="exact"/>
              <w:jc w:val="center"/>
              <w:rPr>
                <w:color w:val="auto"/>
                <w:szCs w:val="21"/>
                <w:highlight w:val="none"/>
              </w:rPr>
            </w:pPr>
          </w:p>
        </w:tc>
        <w:tc>
          <w:tcPr>
            <w:tcW w:w="1083" w:type="dxa"/>
          </w:tcPr>
          <w:p>
            <w:pPr>
              <w:spacing w:line="440" w:lineRule="exact"/>
              <w:jc w:val="center"/>
              <w:rPr>
                <w:color w:val="auto"/>
                <w:szCs w:val="21"/>
                <w:highlight w:val="none"/>
              </w:rPr>
            </w:pPr>
          </w:p>
        </w:tc>
        <w:tc>
          <w:tcPr>
            <w:tcW w:w="735" w:type="dxa"/>
          </w:tcPr>
          <w:p>
            <w:pPr>
              <w:spacing w:line="440" w:lineRule="exact"/>
              <w:jc w:val="center"/>
              <w:rPr>
                <w:color w:val="auto"/>
                <w:szCs w:val="21"/>
                <w:highlight w:val="none"/>
              </w:rPr>
            </w:pPr>
          </w:p>
        </w:tc>
        <w:tc>
          <w:tcPr>
            <w:tcW w:w="808" w:type="dxa"/>
          </w:tcPr>
          <w:p>
            <w:pPr>
              <w:spacing w:line="440" w:lineRule="exact"/>
              <w:jc w:val="center"/>
              <w:rPr>
                <w:color w:val="auto"/>
                <w:szCs w:val="21"/>
                <w:highlight w:val="none"/>
              </w:rPr>
            </w:pPr>
          </w:p>
        </w:tc>
        <w:tc>
          <w:tcPr>
            <w:tcW w:w="1326" w:type="dxa"/>
          </w:tcPr>
          <w:p>
            <w:pPr>
              <w:spacing w:line="440" w:lineRule="exact"/>
              <w:jc w:val="center"/>
              <w:rPr>
                <w:color w:val="auto"/>
                <w:szCs w:val="21"/>
                <w:highlight w:val="none"/>
              </w:rPr>
            </w:pPr>
          </w:p>
        </w:tc>
        <w:tc>
          <w:tcPr>
            <w:tcW w:w="957" w:type="dxa"/>
          </w:tcPr>
          <w:p>
            <w:pPr>
              <w:spacing w:line="440" w:lineRule="exact"/>
              <w:jc w:val="center"/>
              <w:rPr>
                <w:color w:val="auto"/>
                <w:szCs w:val="21"/>
                <w:highlight w:val="none"/>
              </w:rPr>
            </w:pPr>
          </w:p>
        </w:tc>
        <w:tc>
          <w:tcPr>
            <w:tcW w:w="1154" w:type="dxa"/>
          </w:tcPr>
          <w:p>
            <w:pPr>
              <w:spacing w:line="440" w:lineRule="exact"/>
              <w:jc w:val="center"/>
              <w:rPr>
                <w:color w:val="auto"/>
                <w:szCs w:val="21"/>
                <w:highlight w:val="none"/>
              </w:rPr>
            </w:pPr>
          </w:p>
        </w:tc>
        <w:tc>
          <w:tcPr>
            <w:tcW w:w="756"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pacing w:line="440" w:lineRule="exact"/>
              <w:jc w:val="center"/>
              <w:rPr>
                <w:color w:val="auto"/>
                <w:szCs w:val="21"/>
                <w:highlight w:val="none"/>
              </w:rPr>
            </w:pPr>
          </w:p>
        </w:tc>
        <w:tc>
          <w:tcPr>
            <w:tcW w:w="1190" w:type="dxa"/>
          </w:tcPr>
          <w:p>
            <w:pPr>
              <w:spacing w:line="440" w:lineRule="exact"/>
              <w:jc w:val="center"/>
              <w:rPr>
                <w:color w:val="auto"/>
                <w:szCs w:val="21"/>
                <w:highlight w:val="none"/>
              </w:rPr>
            </w:pPr>
          </w:p>
        </w:tc>
        <w:tc>
          <w:tcPr>
            <w:tcW w:w="833" w:type="dxa"/>
          </w:tcPr>
          <w:p>
            <w:pPr>
              <w:spacing w:line="440" w:lineRule="exact"/>
              <w:jc w:val="center"/>
              <w:rPr>
                <w:color w:val="auto"/>
                <w:szCs w:val="21"/>
                <w:highlight w:val="none"/>
              </w:rPr>
            </w:pPr>
          </w:p>
        </w:tc>
        <w:tc>
          <w:tcPr>
            <w:tcW w:w="1083" w:type="dxa"/>
          </w:tcPr>
          <w:p>
            <w:pPr>
              <w:spacing w:line="440" w:lineRule="exact"/>
              <w:jc w:val="center"/>
              <w:rPr>
                <w:color w:val="auto"/>
                <w:szCs w:val="21"/>
                <w:highlight w:val="none"/>
              </w:rPr>
            </w:pPr>
          </w:p>
        </w:tc>
        <w:tc>
          <w:tcPr>
            <w:tcW w:w="735" w:type="dxa"/>
          </w:tcPr>
          <w:p>
            <w:pPr>
              <w:spacing w:line="440" w:lineRule="exact"/>
              <w:jc w:val="center"/>
              <w:rPr>
                <w:color w:val="auto"/>
                <w:szCs w:val="21"/>
                <w:highlight w:val="none"/>
              </w:rPr>
            </w:pPr>
          </w:p>
        </w:tc>
        <w:tc>
          <w:tcPr>
            <w:tcW w:w="808" w:type="dxa"/>
          </w:tcPr>
          <w:p>
            <w:pPr>
              <w:spacing w:line="440" w:lineRule="exact"/>
              <w:jc w:val="center"/>
              <w:rPr>
                <w:color w:val="auto"/>
                <w:szCs w:val="21"/>
                <w:highlight w:val="none"/>
              </w:rPr>
            </w:pPr>
          </w:p>
        </w:tc>
        <w:tc>
          <w:tcPr>
            <w:tcW w:w="1326" w:type="dxa"/>
          </w:tcPr>
          <w:p>
            <w:pPr>
              <w:spacing w:line="440" w:lineRule="exact"/>
              <w:jc w:val="center"/>
              <w:rPr>
                <w:color w:val="auto"/>
                <w:szCs w:val="21"/>
                <w:highlight w:val="none"/>
              </w:rPr>
            </w:pPr>
          </w:p>
        </w:tc>
        <w:tc>
          <w:tcPr>
            <w:tcW w:w="957" w:type="dxa"/>
          </w:tcPr>
          <w:p>
            <w:pPr>
              <w:spacing w:line="440" w:lineRule="exact"/>
              <w:jc w:val="center"/>
              <w:rPr>
                <w:color w:val="auto"/>
                <w:szCs w:val="21"/>
                <w:highlight w:val="none"/>
              </w:rPr>
            </w:pPr>
          </w:p>
        </w:tc>
        <w:tc>
          <w:tcPr>
            <w:tcW w:w="1154" w:type="dxa"/>
          </w:tcPr>
          <w:p>
            <w:pPr>
              <w:spacing w:line="440" w:lineRule="exact"/>
              <w:jc w:val="center"/>
              <w:rPr>
                <w:color w:val="auto"/>
                <w:szCs w:val="21"/>
                <w:highlight w:val="none"/>
              </w:rPr>
            </w:pPr>
          </w:p>
        </w:tc>
        <w:tc>
          <w:tcPr>
            <w:tcW w:w="756" w:type="dxa"/>
          </w:tcPr>
          <w:p>
            <w:pPr>
              <w:spacing w:line="440" w:lineRule="exact"/>
              <w:jc w:val="center"/>
              <w:rPr>
                <w:color w:val="auto"/>
                <w:szCs w:val="21"/>
                <w:highlight w:val="none"/>
              </w:rPr>
            </w:pPr>
          </w:p>
        </w:tc>
      </w:tr>
    </w:tbl>
    <w:p>
      <w:pPr>
        <w:pStyle w:val="5"/>
        <w:rPr>
          <w:color w:val="auto"/>
          <w:sz w:val="20"/>
          <w:szCs w:val="20"/>
          <w:highlight w:val="none"/>
        </w:rPr>
      </w:pPr>
      <w:bookmarkStart w:id="1275" w:name="_Toc459816557"/>
      <w:bookmarkStart w:id="1276" w:name="_Toc179632818"/>
      <w:bookmarkStart w:id="1277" w:name="_Toc144974866"/>
      <w:bookmarkStart w:id="1278" w:name="_Toc17876611"/>
      <w:bookmarkStart w:id="1279" w:name="_Toc453749643"/>
      <w:bookmarkStart w:id="1280" w:name="_Toc152045798"/>
      <w:bookmarkStart w:id="1281" w:name="_Toc300835230"/>
      <w:bookmarkStart w:id="1282" w:name="_Toc458942834"/>
      <w:bookmarkStart w:id="1283" w:name="_Toc458193456"/>
      <w:bookmarkStart w:id="1284" w:name="_Toc459405584"/>
      <w:bookmarkStart w:id="1285" w:name="_Toc152042587"/>
      <w:r>
        <w:rPr>
          <w:rFonts w:hint="eastAsia"/>
          <w:color w:val="auto"/>
          <w:highlight w:val="none"/>
        </w:rPr>
        <w:t>（8）</w:t>
      </w:r>
      <w:r>
        <w:rPr>
          <w:color w:val="auto"/>
          <w:highlight w:val="none"/>
        </w:rPr>
        <w:t>拟配备本</w:t>
      </w:r>
      <w:r>
        <w:rPr>
          <w:rFonts w:hint="eastAsia"/>
          <w:color w:val="auto"/>
          <w:highlight w:val="none"/>
        </w:rPr>
        <w:t>项目</w:t>
      </w:r>
      <w:r>
        <w:rPr>
          <w:color w:val="auto"/>
          <w:highlight w:val="none"/>
        </w:rPr>
        <w:t>的试验和检测仪器设备表</w:t>
      </w:r>
      <w:bookmarkEnd w:id="1275"/>
      <w:bookmarkEnd w:id="1276"/>
      <w:bookmarkEnd w:id="1277"/>
      <w:bookmarkEnd w:id="1278"/>
      <w:bookmarkEnd w:id="1279"/>
      <w:bookmarkEnd w:id="1280"/>
      <w:bookmarkEnd w:id="1281"/>
      <w:bookmarkEnd w:id="1282"/>
      <w:bookmarkEnd w:id="1283"/>
      <w:bookmarkEnd w:id="1284"/>
      <w:bookmarkEnd w:id="1285"/>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29"/>
        <w:gridCol w:w="859"/>
        <w:gridCol w:w="1120"/>
        <w:gridCol w:w="760"/>
        <w:gridCol w:w="835"/>
        <w:gridCol w:w="1370"/>
        <w:gridCol w:w="186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440" w:lineRule="exact"/>
              <w:rPr>
                <w:color w:val="auto"/>
                <w:szCs w:val="21"/>
                <w:highlight w:val="none"/>
              </w:rPr>
            </w:pPr>
            <w:r>
              <w:rPr>
                <w:color w:val="auto"/>
                <w:szCs w:val="21"/>
                <w:highlight w:val="none"/>
              </w:rPr>
              <w:t>序号</w:t>
            </w:r>
          </w:p>
        </w:tc>
        <w:tc>
          <w:tcPr>
            <w:tcW w:w="1229" w:type="dxa"/>
            <w:vAlign w:val="center"/>
          </w:tcPr>
          <w:p>
            <w:pPr>
              <w:spacing w:line="440" w:lineRule="exact"/>
              <w:jc w:val="center"/>
              <w:rPr>
                <w:color w:val="auto"/>
                <w:szCs w:val="21"/>
                <w:highlight w:val="none"/>
              </w:rPr>
            </w:pPr>
            <w:r>
              <w:rPr>
                <w:color w:val="auto"/>
                <w:szCs w:val="21"/>
                <w:highlight w:val="none"/>
              </w:rPr>
              <w:t>仪器设备名称</w:t>
            </w:r>
          </w:p>
        </w:tc>
        <w:tc>
          <w:tcPr>
            <w:tcW w:w="859" w:type="dxa"/>
            <w:vAlign w:val="center"/>
          </w:tcPr>
          <w:p>
            <w:pPr>
              <w:spacing w:line="440" w:lineRule="exact"/>
              <w:jc w:val="center"/>
              <w:rPr>
                <w:color w:val="auto"/>
                <w:szCs w:val="21"/>
                <w:highlight w:val="none"/>
              </w:rPr>
            </w:pPr>
            <w:r>
              <w:rPr>
                <w:color w:val="auto"/>
                <w:szCs w:val="21"/>
                <w:highlight w:val="none"/>
              </w:rPr>
              <w:t>型号</w:t>
            </w:r>
          </w:p>
          <w:p>
            <w:pPr>
              <w:spacing w:line="440" w:lineRule="exact"/>
              <w:jc w:val="center"/>
              <w:rPr>
                <w:color w:val="auto"/>
                <w:szCs w:val="21"/>
                <w:highlight w:val="none"/>
              </w:rPr>
            </w:pPr>
            <w:r>
              <w:rPr>
                <w:color w:val="auto"/>
                <w:szCs w:val="21"/>
                <w:highlight w:val="none"/>
              </w:rPr>
              <w:t>规格</w:t>
            </w:r>
          </w:p>
        </w:tc>
        <w:tc>
          <w:tcPr>
            <w:tcW w:w="1120" w:type="dxa"/>
            <w:vAlign w:val="center"/>
          </w:tcPr>
          <w:p>
            <w:pPr>
              <w:spacing w:line="440" w:lineRule="exact"/>
              <w:jc w:val="center"/>
              <w:rPr>
                <w:color w:val="auto"/>
                <w:szCs w:val="21"/>
                <w:highlight w:val="none"/>
              </w:rPr>
            </w:pPr>
            <w:r>
              <w:rPr>
                <w:color w:val="auto"/>
                <w:szCs w:val="21"/>
                <w:highlight w:val="none"/>
              </w:rPr>
              <w:t>数量</w:t>
            </w:r>
          </w:p>
        </w:tc>
        <w:tc>
          <w:tcPr>
            <w:tcW w:w="760" w:type="dxa"/>
            <w:vAlign w:val="center"/>
          </w:tcPr>
          <w:p>
            <w:pPr>
              <w:spacing w:line="440" w:lineRule="exact"/>
              <w:jc w:val="center"/>
              <w:rPr>
                <w:color w:val="auto"/>
                <w:szCs w:val="21"/>
                <w:highlight w:val="none"/>
              </w:rPr>
            </w:pPr>
            <w:r>
              <w:rPr>
                <w:color w:val="auto"/>
                <w:szCs w:val="21"/>
                <w:highlight w:val="none"/>
              </w:rPr>
              <w:t>国别</w:t>
            </w:r>
          </w:p>
          <w:p>
            <w:pPr>
              <w:spacing w:line="440" w:lineRule="exact"/>
              <w:jc w:val="center"/>
              <w:rPr>
                <w:color w:val="auto"/>
                <w:szCs w:val="21"/>
                <w:highlight w:val="none"/>
              </w:rPr>
            </w:pPr>
            <w:r>
              <w:rPr>
                <w:color w:val="auto"/>
                <w:szCs w:val="21"/>
                <w:highlight w:val="none"/>
              </w:rPr>
              <w:t>产地</w:t>
            </w:r>
          </w:p>
        </w:tc>
        <w:tc>
          <w:tcPr>
            <w:tcW w:w="835" w:type="dxa"/>
            <w:vAlign w:val="center"/>
          </w:tcPr>
          <w:p>
            <w:pPr>
              <w:spacing w:line="440" w:lineRule="exact"/>
              <w:jc w:val="center"/>
              <w:rPr>
                <w:color w:val="auto"/>
                <w:szCs w:val="21"/>
                <w:highlight w:val="none"/>
              </w:rPr>
            </w:pPr>
            <w:r>
              <w:rPr>
                <w:color w:val="auto"/>
                <w:szCs w:val="21"/>
                <w:highlight w:val="none"/>
              </w:rPr>
              <w:t>制造</w:t>
            </w:r>
          </w:p>
          <w:p>
            <w:pPr>
              <w:spacing w:line="440" w:lineRule="exact"/>
              <w:jc w:val="center"/>
              <w:rPr>
                <w:color w:val="auto"/>
                <w:szCs w:val="21"/>
                <w:highlight w:val="none"/>
              </w:rPr>
            </w:pPr>
            <w:r>
              <w:rPr>
                <w:color w:val="auto"/>
                <w:szCs w:val="21"/>
                <w:highlight w:val="none"/>
              </w:rPr>
              <w:t>年份</w:t>
            </w:r>
          </w:p>
        </w:tc>
        <w:tc>
          <w:tcPr>
            <w:tcW w:w="1370" w:type="dxa"/>
            <w:vAlign w:val="center"/>
          </w:tcPr>
          <w:p>
            <w:pPr>
              <w:spacing w:line="440" w:lineRule="exact"/>
              <w:jc w:val="center"/>
              <w:rPr>
                <w:color w:val="auto"/>
                <w:szCs w:val="21"/>
                <w:highlight w:val="none"/>
              </w:rPr>
            </w:pPr>
            <w:r>
              <w:rPr>
                <w:color w:val="auto"/>
                <w:szCs w:val="21"/>
                <w:highlight w:val="none"/>
              </w:rPr>
              <w:t>已使用台时数</w:t>
            </w:r>
          </w:p>
        </w:tc>
        <w:tc>
          <w:tcPr>
            <w:tcW w:w="1868" w:type="dxa"/>
            <w:vAlign w:val="center"/>
          </w:tcPr>
          <w:p>
            <w:pPr>
              <w:spacing w:line="440" w:lineRule="exact"/>
              <w:jc w:val="center"/>
              <w:rPr>
                <w:color w:val="auto"/>
                <w:szCs w:val="21"/>
                <w:highlight w:val="none"/>
              </w:rPr>
            </w:pPr>
            <w:r>
              <w:rPr>
                <w:color w:val="auto"/>
                <w:szCs w:val="21"/>
                <w:highlight w:val="none"/>
              </w:rPr>
              <w:t>用途</w:t>
            </w:r>
          </w:p>
        </w:tc>
        <w:tc>
          <w:tcPr>
            <w:tcW w:w="777" w:type="dxa"/>
            <w:vAlign w:val="center"/>
          </w:tcPr>
          <w:p>
            <w:pPr>
              <w:spacing w:line="440" w:lineRule="exact"/>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440" w:lineRule="exact"/>
              <w:jc w:val="center"/>
              <w:rPr>
                <w:color w:val="auto"/>
                <w:szCs w:val="21"/>
                <w:highlight w:val="none"/>
              </w:rPr>
            </w:pPr>
          </w:p>
        </w:tc>
        <w:tc>
          <w:tcPr>
            <w:tcW w:w="1229" w:type="dxa"/>
            <w:vAlign w:val="center"/>
          </w:tcPr>
          <w:p>
            <w:pPr>
              <w:spacing w:line="440" w:lineRule="exact"/>
              <w:jc w:val="center"/>
              <w:rPr>
                <w:color w:val="auto"/>
                <w:szCs w:val="21"/>
                <w:highlight w:val="none"/>
              </w:rPr>
            </w:pPr>
          </w:p>
        </w:tc>
        <w:tc>
          <w:tcPr>
            <w:tcW w:w="859" w:type="dxa"/>
            <w:vAlign w:val="center"/>
          </w:tcPr>
          <w:p>
            <w:pPr>
              <w:spacing w:line="440" w:lineRule="exact"/>
              <w:jc w:val="center"/>
              <w:rPr>
                <w:color w:val="auto"/>
                <w:szCs w:val="21"/>
                <w:highlight w:val="none"/>
              </w:rPr>
            </w:pPr>
          </w:p>
        </w:tc>
        <w:tc>
          <w:tcPr>
            <w:tcW w:w="1120" w:type="dxa"/>
            <w:vAlign w:val="center"/>
          </w:tcPr>
          <w:p>
            <w:pPr>
              <w:spacing w:line="440" w:lineRule="exact"/>
              <w:jc w:val="center"/>
              <w:rPr>
                <w:color w:val="auto"/>
                <w:szCs w:val="21"/>
                <w:highlight w:val="none"/>
              </w:rPr>
            </w:pPr>
          </w:p>
        </w:tc>
        <w:tc>
          <w:tcPr>
            <w:tcW w:w="760" w:type="dxa"/>
            <w:vAlign w:val="center"/>
          </w:tcPr>
          <w:p>
            <w:pPr>
              <w:spacing w:line="440" w:lineRule="exact"/>
              <w:jc w:val="center"/>
              <w:rPr>
                <w:color w:val="auto"/>
                <w:szCs w:val="21"/>
                <w:highlight w:val="none"/>
              </w:rPr>
            </w:pPr>
          </w:p>
        </w:tc>
        <w:tc>
          <w:tcPr>
            <w:tcW w:w="835" w:type="dxa"/>
            <w:vAlign w:val="center"/>
          </w:tcPr>
          <w:p>
            <w:pPr>
              <w:spacing w:line="440" w:lineRule="exact"/>
              <w:jc w:val="center"/>
              <w:rPr>
                <w:color w:val="auto"/>
                <w:szCs w:val="21"/>
                <w:highlight w:val="none"/>
              </w:rPr>
            </w:pPr>
          </w:p>
        </w:tc>
        <w:tc>
          <w:tcPr>
            <w:tcW w:w="1370" w:type="dxa"/>
            <w:vAlign w:val="center"/>
          </w:tcPr>
          <w:p>
            <w:pPr>
              <w:spacing w:line="440" w:lineRule="exact"/>
              <w:jc w:val="center"/>
              <w:rPr>
                <w:color w:val="auto"/>
                <w:szCs w:val="21"/>
                <w:highlight w:val="none"/>
              </w:rPr>
            </w:pPr>
          </w:p>
        </w:tc>
        <w:tc>
          <w:tcPr>
            <w:tcW w:w="1868" w:type="dxa"/>
            <w:vAlign w:val="center"/>
          </w:tcPr>
          <w:p>
            <w:pPr>
              <w:spacing w:line="440" w:lineRule="exact"/>
              <w:jc w:val="center"/>
              <w:rPr>
                <w:color w:val="auto"/>
                <w:szCs w:val="21"/>
                <w:highlight w:val="none"/>
              </w:rPr>
            </w:pPr>
          </w:p>
        </w:tc>
        <w:tc>
          <w:tcPr>
            <w:tcW w:w="777"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440" w:lineRule="exact"/>
              <w:jc w:val="center"/>
              <w:rPr>
                <w:color w:val="auto"/>
                <w:szCs w:val="21"/>
                <w:highlight w:val="none"/>
              </w:rPr>
            </w:pPr>
          </w:p>
        </w:tc>
        <w:tc>
          <w:tcPr>
            <w:tcW w:w="1229" w:type="dxa"/>
            <w:vAlign w:val="center"/>
          </w:tcPr>
          <w:p>
            <w:pPr>
              <w:spacing w:line="440" w:lineRule="exact"/>
              <w:jc w:val="center"/>
              <w:rPr>
                <w:color w:val="auto"/>
                <w:szCs w:val="21"/>
                <w:highlight w:val="none"/>
              </w:rPr>
            </w:pPr>
          </w:p>
        </w:tc>
        <w:tc>
          <w:tcPr>
            <w:tcW w:w="859" w:type="dxa"/>
            <w:vAlign w:val="center"/>
          </w:tcPr>
          <w:p>
            <w:pPr>
              <w:spacing w:line="440" w:lineRule="exact"/>
              <w:jc w:val="center"/>
              <w:rPr>
                <w:color w:val="auto"/>
                <w:szCs w:val="21"/>
                <w:highlight w:val="none"/>
              </w:rPr>
            </w:pPr>
          </w:p>
        </w:tc>
        <w:tc>
          <w:tcPr>
            <w:tcW w:w="1120" w:type="dxa"/>
            <w:vAlign w:val="center"/>
          </w:tcPr>
          <w:p>
            <w:pPr>
              <w:spacing w:line="440" w:lineRule="exact"/>
              <w:jc w:val="center"/>
              <w:rPr>
                <w:color w:val="auto"/>
                <w:szCs w:val="21"/>
                <w:highlight w:val="none"/>
              </w:rPr>
            </w:pPr>
          </w:p>
        </w:tc>
        <w:tc>
          <w:tcPr>
            <w:tcW w:w="760" w:type="dxa"/>
            <w:vAlign w:val="center"/>
          </w:tcPr>
          <w:p>
            <w:pPr>
              <w:spacing w:line="440" w:lineRule="exact"/>
              <w:jc w:val="center"/>
              <w:rPr>
                <w:color w:val="auto"/>
                <w:szCs w:val="21"/>
                <w:highlight w:val="none"/>
              </w:rPr>
            </w:pPr>
          </w:p>
        </w:tc>
        <w:tc>
          <w:tcPr>
            <w:tcW w:w="835" w:type="dxa"/>
            <w:vAlign w:val="center"/>
          </w:tcPr>
          <w:p>
            <w:pPr>
              <w:spacing w:line="440" w:lineRule="exact"/>
              <w:jc w:val="center"/>
              <w:rPr>
                <w:color w:val="auto"/>
                <w:szCs w:val="21"/>
                <w:highlight w:val="none"/>
              </w:rPr>
            </w:pPr>
          </w:p>
        </w:tc>
        <w:tc>
          <w:tcPr>
            <w:tcW w:w="1370" w:type="dxa"/>
            <w:vAlign w:val="center"/>
          </w:tcPr>
          <w:p>
            <w:pPr>
              <w:spacing w:line="440" w:lineRule="exact"/>
              <w:jc w:val="center"/>
              <w:rPr>
                <w:color w:val="auto"/>
                <w:szCs w:val="21"/>
                <w:highlight w:val="none"/>
              </w:rPr>
            </w:pPr>
          </w:p>
        </w:tc>
        <w:tc>
          <w:tcPr>
            <w:tcW w:w="1868" w:type="dxa"/>
            <w:vAlign w:val="center"/>
          </w:tcPr>
          <w:p>
            <w:pPr>
              <w:spacing w:line="440" w:lineRule="exact"/>
              <w:jc w:val="center"/>
              <w:rPr>
                <w:color w:val="auto"/>
                <w:szCs w:val="21"/>
                <w:highlight w:val="none"/>
              </w:rPr>
            </w:pPr>
          </w:p>
        </w:tc>
        <w:tc>
          <w:tcPr>
            <w:tcW w:w="777"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spacing w:line="440" w:lineRule="exact"/>
              <w:jc w:val="center"/>
              <w:rPr>
                <w:color w:val="auto"/>
                <w:szCs w:val="21"/>
                <w:highlight w:val="none"/>
              </w:rPr>
            </w:pPr>
          </w:p>
        </w:tc>
        <w:tc>
          <w:tcPr>
            <w:tcW w:w="1229" w:type="dxa"/>
          </w:tcPr>
          <w:p>
            <w:pPr>
              <w:spacing w:line="440" w:lineRule="exact"/>
              <w:jc w:val="center"/>
              <w:rPr>
                <w:color w:val="auto"/>
                <w:szCs w:val="21"/>
                <w:highlight w:val="none"/>
              </w:rPr>
            </w:pPr>
          </w:p>
        </w:tc>
        <w:tc>
          <w:tcPr>
            <w:tcW w:w="859" w:type="dxa"/>
          </w:tcPr>
          <w:p>
            <w:pPr>
              <w:spacing w:line="440" w:lineRule="exact"/>
              <w:jc w:val="center"/>
              <w:rPr>
                <w:color w:val="auto"/>
                <w:szCs w:val="21"/>
                <w:highlight w:val="none"/>
              </w:rPr>
            </w:pPr>
          </w:p>
        </w:tc>
        <w:tc>
          <w:tcPr>
            <w:tcW w:w="1120" w:type="dxa"/>
          </w:tcPr>
          <w:p>
            <w:pPr>
              <w:spacing w:line="440" w:lineRule="exact"/>
              <w:jc w:val="center"/>
              <w:rPr>
                <w:color w:val="auto"/>
                <w:szCs w:val="21"/>
                <w:highlight w:val="none"/>
              </w:rPr>
            </w:pPr>
          </w:p>
        </w:tc>
        <w:tc>
          <w:tcPr>
            <w:tcW w:w="760" w:type="dxa"/>
          </w:tcPr>
          <w:p>
            <w:pPr>
              <w:spacing w:line="440" w:lineRule="exact"/>
              <w:jc w:val="center"/>
              <w:rPr>
                <w:color w:val="auto"/>
                <w:szCs w:val="21"/>
                <w:highlight w:val="none"/>
              </w:rPr>
            </w:pPr>
          </w:p>
        </w:tc>
        <w:tc>
          <w:tcPr>
            <w:tcW w:w="835" w:type="dxa"/>
          </w:tcPr>
          <w:p>
            <w:pPr>
              <w:spacing w:line="440" w:lineRule="exact"/>
              <w:jc w:val="center"/>
              <w:rPr>
                <w:color w:val="auto"/>
                <w:szCs w:val="21"/>
                <w:highlight w:val="none"/>
              </w:rPr>
            </w:pPr>
          </w:p>
        </w:tc>
        <w:tc>
          <w:tcPr>
            <w:tcW w:w="1370" w:type="dxa"/>
          </w:tcPr>
          <w:p>
            <w:pPr>
              <w:spacing w:line="440" w:lineRule="exact"/>
              <w:jc w:val="center"/>
              <w:rPr>
                <w:color w:val="auto"/>
                <w:szCs w:val="21"/>
                <w:highlight w:val="none"/>
              </w:rPr>
            </w:pPr>
          </w:p>
        </w:tc>
        <w:tc>
          <w:tcPr>
            <w:tcW w:w="1868" w:type="dxa"/>
          </w:tcPr>
          <w:p>
            <w:pPr>
              <w:spacing w:line="440" w:lineRule="exact"/>
              <w:jc w:val="center"/>
              <w:rPr>
                <w:color w:val="auto"/>
                <w:szCs w:val="21"/>
                <w:highlight w:val="none"/>
              </w:rPr>
            </w:pPr>
          </w:p>
        </w:tc>
        <w:tc>
          <w:tcPr>
            <w:tcW w:w="777"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spacing w:line="440" w:lineRule="exact"/>
              <w:jc w:val="center"/>
              <w:rPr>
                <w:color w:val="auto"/>
                <w:szCs w:val="21"/>
                <w:highlight w:val="none"/>
              </w:rPr>
            </w:pPr>
          </w:p>
        </w:tc>
        <w:tc>
          <w:tcPr>
            <w:tcW w:w="1229" w:type="dxa"/>
          </w:tcPr>
          <w:p>
            <w:pPr>
              <w:spacing w:line="440" w:lineRule="exact"/>
              <w:jc w:val="center"/>
              <w:rPr>
                <w:color w:val="auto"/>
                <w:szCs w:val="21"/>
                <w:highlight w:val="none"/>
              </w:rPr>
            </w:pPr>
          </w:p>
        </w:tc>
        <w:tc>
          <w:tcPr>
            <w:tcW w:w="859" w:type="dxa"/>
          </w:tcPr>
          <w:p>
            <w:pPr>
              <w:spacing w:line="440" w:lineRule="exact"/>
              <w:jc w:val="center"/>
              <w:rPr>
                <w:color w:val="auto"/>
                <w:szCs w:val="21"/>
                <w:highlight w:val="none"/>
              </w:rPr>
            </w:pPr>
          </w:p>
        </w:tc>
        <w:tc>
          <w:tcPr>
            <w:tcW w:w="1120" w:type="dxa"/>
          </w:tcPr>
          <w:p>
            <w:pPr>
              <w:spacing w:line="440" w:lineRule="exact"/>
              <w:jc w:val="center"/>
              <w:rPr>
                <w:color w:val="auto"/>
                <w:szCs w:val="21"/>
                <w:highlight w:val="none"/>
              </w:rPr>
            </w:pPr>
          </w:p>
        </w:tc>
        <w:tc>
          <w:tcPr>
            <w:tcW w:w="760" w:type="dxa"/>
          </w:tcPr>
          <w:p>
            <w:pPr>
              <w:spacing w:line="440" w:lineRule="exact"/>
              <w:jc w:val="center"/>
              <w:rPr>
                <w:color w:val="auto"/>
                <w:szCs w:val="21"/>
                <w:highlight w:val="none"/>
              </w:rPr>
            </w:pPr>
          </w:p>
        </w:tc>
        <w:tc>
          <w:tcPr>
            <w:tcW w:w="835" w:type="dxa"/>
          </w:tcPr>
          <w:p>
            <w:pPr>
              <w:spacing w:line="440" w:lineRule="exact"/>
              <w:jc w:val="center"/>
              <w:rPr>
                <w:color w:val="auto"/>
                <w:szCs w:val="21"/>
                <w:highlight w:val="none"/>
              </w:rPr>
            </w:pPr>
          </w:p>
        </w:tc>
        <w:tc>
          <w:tcPr>
            <w:tcW w:w="1370" w:type="dxa"/>
          </w:tcPr>
          <w:p>
            <w:pPr>
              <w:spacing w:line="440" w:lineRule="exact"/>
              <w:jc w:val="center"/>
              <w:rPr>
                <w:color w:val="auto"/>
                <w:szCs w:val="21"/>
                <w:highlight w:val="none"/>
              </w:rPr>
            </w:pPr>
          </w:p>
        </w:tc>
        <w:tc>
          <w:tcPr>
            <w:tcW w:w="1868" w:type="dxa"/>
          </w:tcPr>
          <w:p>
            <w:pPr>
              <w:spacing w:line="440" w:lineRule="exact"/>
              <w:jc w:val="center"/>
              <w:rPr>
                <w:color w:val="auto"/>
                <w:szCs w:val="21"/>
                <w:highlight w:val="none"/>
              </w:rPr>
            </w:pPr>
          </w:p>
        </w:tc>
        <w:tc>
          <w:tcPr>
            <w:tcW w:w="777"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spacing w:line="440" w:lineRule="exact"/>
              <w:jc w:val="center"/>
              <w:rPr>
                <w:color w:val="auto"/>
                <w:szCs w:val="21"/>
                <w:highlight w:val="none"/>
              </w:rPr>
            </w:pPr>
          </w:p>
        </w:tc>
        <w:tc>
          <w:tcPr>
            <w:tcW w:w="1229" w:type="dxa"/>
          </w:tcPr>
          <w:p>
            <w:pPr>
              <w:spacing w:line="440" w:lineRule="exact"/>
              <w:jc w:val="center"/>
              <w:rPr>
                <w:color w:val="auto"/>
                <w:szCs w:val="21"/>
                <w:highlight w:val="none"/>
              </w:rPr>
            </w:pPr>
          </w:p>
        </w:tc>
        <w:tc>
          <w:tcPr>
            <w:tcW w:w="859" w:type="dxa"/>
          </w:tcPr>
          <w:p>
            <w:pPr>
              <w:spacing w:line="440" w:lineRule="exact"/>
              <w:jc w:val="center"/>
              <w:rPr>
                <w:color w:val="auto"/>
                <w:szCs w:val="21"/>
                <w:highlight w:val="none"/>
              </w:rPr>
            </w:pPr>
          </w:p>
        </w:tc>
        <w:tc>
          <w:tcPr>
            <w:tcW w:w="1120" w:type="dxa"/>
          </w:tcPr>
          <w:p>
            <w:pPr>
              <w:spacing w:line="440" w:lineRule="exact"/>
              <w:jc w:val="center"/>
              <w:rPr>
                <w:color w:val="auto"/>
                <w:szCs w:val="21"/>
                <w:highlight w:val="none"/>
              </w:rPr>
            </w:pPr>
          </w:p>
        </w:tc>
        <w:tc>
          <w:tcPr>
            <w:tcW w:w="760" w:type="dxa"/>
          </w:tcPr>
          <w:p>
            <w:pPr>
              <w:spacing w:line="440" w:lineRule="exact"/>
              <w:jc w:val="center"/>
              <w:rPr>
                <w:color w:val="auto"/>
                <w:szCs w:val="21"/>
                <w:highlight w:val="none"/>
              </w:rPr>
            </w:pPr>
          </w:p>
        </w:tc>
        <w:tc>
          <w:tcPr>
            <w:tcW w:w="835" w:type="dxa"/>
          </w:tcPr>
          <w:p>
            <w:pPr>
              <w:spacing w:line="440" w:lineRule="exact"/>
              <w:jc w:val="center"/>
              <w:rPr>
                <w:color w:val="auto"/>
                <w:szCs w:val="21"/>
                <w:highlight w:val="none"/>
              </w:rPr>
            </w:pPr>
          </w:p>
        </w:tc>
        <w:tc>
          <w:tcPr>
            <w:tcW w:w="1370" w:type="dxa"/>
          </w:tcPr>
          <w:p>
            <w:pPr>
              <w:spacing w:line="440" w:lineRule="exact"/>
              <w:jc w:val="center"/>
              <w:rPr>
                <w:color w:val="auto"/>
                <w:szCs w:val="21"/>
                <w:highlight w:val="none"/>
              </w:rPr>
            </w:pPr>
          </w:p>
        </w:tc>
        <w:tc>
          <w:tcPr>
            <w:tcW w:w="1868" w:type="dxa"/>
          </w:tcPr>
          <w:p>
            <w:pPr>
              <w:spacing w:line="440" w:lineRule="exact"/>
              <w:jc w:val="center"/>
              <w:rPr>
                <w:color w:val="auto"/>
                <w:szCs w:val="21"/>
                <w:highlight w:val="none"/>
              </w:rPr>
            </w:pPr>
          </w:p>
        </w:tc>
        <w:tc>
          <w:tcPr>
            <w:tcW w:w="777"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spacing w:line="440" w:lineRule="exact"/>
              <w:jc w:val="center"/>
              <w:rPr>
                <w:color w:val="auto"/>
                <w:szCs w:val="21"/>
                <w:highlight w:val="none"/>
              </w:rPr>
            </w:pPr>
          </w:p>
        </w:tc>
        <w:tc>
          <w:tcPr>
            <w:tcW w:w="1229" w:type="dxa"/>
          </w:tcPr>
          <w:p>
            <w:pPr>
              <w:spacing w:line="440" w:lineRule="exact"/>
              <w:jc w:val="center"/>
              <w:rPr>
                <w:color w:val="auto"/>
                <w:szCs w:val="21"/>
                <w:highlight w:val="none"/>
              </w:rPr>
            </w:pPr>
          </w:p>
        </w:tc>
        <w:tc>
          <w:tcPr>
            <w:tcW w:w="859" w:type="dxa"/>
          </w:tcPr>
          <w:p>
            <w:pPr>
              <w:spacing w:line="440" w:lineRule="exact"/>
              <w:jc w:val="center"/>
              <w:rPr>
                <w:color w:val="auto"/>
                <w:szCs w:val="21"/>
                <w:highlight w:val="none"/>
              </w:rPr>
            </w:pPr>
          </w:p>
        </w:tc>
        <w:tc>
          <w:tcPr>
            <w:tcW w:w="1120" w:type="dxa"/>
          </w:tcPr>
          <w:p>
            <w:pPr>
              <w:spacing w:line="440" w:lineRule="exact"/>
              <w:jc w:val="center"/>
              <w:rPr>
                <w:color w:val="auto"/>
                <w:szCs w:val="21"/>
                <w:highlight w:val="none"/>
              </w:rPr>
            </w:pPr>
          </w:p>
        </w:tc>
        <w:tc>
          <w:tcPr>
            <w:tcW w:w="760" w:type="dxa"/>
          </w:tcPr>
          <w:p>
            <w:pPr>
              <w:spacing w:line="440" w:lineRule="exact"/>
              <w:jc w:val="center"/>
              <w:rPr>
                <w:color w:val="auto"/>
                <w:szCs w:val="21"/>
                <w:highlight w:val="none"/>
              </w:rPr>
            </w:pPr>
          </w:p>
        </w:tc>
        <w:tc>
          <w:tcPr>
            <w:tcW w:w="835" w:type="dxa"/>
          </w:tcPr>
          <w:p>
            <w:pPr>
              <w:spacing w:line="440" w:lineRule="exact"/>
              <w:jc w:val="center"/>
              <w:rPr>
                <w:color w:val="auto"/>
                <w:szCs w:val="21"/>
                <w:highlight w:val="none"/>
              </w:rPr>
            </w:pPr>
          </w:p>
        </w:tc>
        <w:tc>
          <w:tcPr>
            <w:tcW w:w="1370" w:type="dxa"/>
          </w:tcPr>
          <w:p>
            <w:pPr>
              <w:spacing w:line="440" w:lineRule="exact"/>
              <w:jc w:val="center"/>
              <w:rPr>
                <w:color w:val="auto"/>
                <w:szCs w:val="21"/>
                <w:highlight w:val="none"/>
              </w:rPr>
            </w:pPr>
          </w:p>
        </w:tc>
        <w:tc>
          <w:tcPr>
            <w:tcW w:w="1868" w:type="dxa"/>
          </w:tcPr>
          <w:p>
            <w:pPr>
              <w:spacing w:line="440" w:lineRule="exact"/>
              <w:jc w:val="center"/>
              <w:rPr>
                <w:color w:val="auto"/>
                <w:szCs w:val="21"/>
                <w:highlight w:val="none"/>
              </w:rPr>
            </w:pPr>
          </w:p>
        </w:tc>
        <w:tc>
          <w:tcPr>
            <w:tcW w:w="777" w:type="dxa"/>
          </w:tcPr>
          <w:p>
            <w:pPr>
              <w:spacing w:line="440" w:lineRule="exact"/>
              <w:jc w:val="center"/>
              <w:rPr>
                <w:color w:val="auto"/>
                <w:szCs w:val="21"/>
                <w:highlight w:val="none"/>
              </w:rPr>
            </w:pPr>
          </w:p>
        </w:tc>
      </w:tr>
    </w:tbl>
    <w:p>
      <w:pPr>
        <w:spacing w:line="440" w:lineRule="exact"/>
        <w:jc w:val="center"/>
        <w:rPr>
          <w:color w:val="auto"/>
          <w:highlight w:val="none"/>
        </w:rPr>
      </w:pPr>
    </w:p>
    <w:p>
      <w:pPr>
        <w:pStyle w:val="5"/>
        <w:rPr>
          <w:color w:val="auto"/>
          <w:highlight w:val="none"/>
        </w:rPr>
      </w:pPr>
      <w:bookmarkStart w:id="1286" w:name="_Toc458942835"/>
      <w:bookmarkStart w:id="1287" w:name="_Toc300678588"/>
      <w:bookmarkStart w:id="1288" w:name="_Toc17876612"/>
      <w:bookmarkStart w:id="1289" w:name="_Toc459405585"/>
      <w:bookmarkStart w:id="1290" w:name="_Toc459816558"/>
      <w:r>
        <w:rPr>
          <w:rFonts w:hint="eastAsia"/>
          <w:color w:val="auto"/>
          <w:highlight w:val="none"/>
        </w:rPr>
        <w:t>（</w:t>
      </w:r>
      <w:r>
        <w:rPr>
          <w:rFonts w:hint="eastAsia"/>
          <w:color w:val="auto"/>
          <w:highlight w:val="none"/>
          <w:lang w:val="en-US" w:eastAsia="zh-CN"/>
        </w:rPr>
        <w:t>9</w:t>
      </w:r>
      <w:r>
        <w:rPr>
          <w:rFonts w:hint="eastAsia"/>
          <w:color w:val="auto"/>
          <w:highlight w:val="none"/>
        </w:rPr>
        <w:t>）企业信用情况附有关证明文件复印件</w:t>
      </w:r>
      <w:bookmarkEnd w:id="1286"/>
      <w:bookmarkEnd w:id="1287"/>
      <w:bookmarkEnd w:id="1288"/>
      <w:bookmarkEnd w:id="1289"/>
      <w:bookmarkEnd w:id="1290"/>
    </w:p>
    <w:p>
      <w:pPr>
        <w:rPr>
          <w:color w:val="auto"/>
          <w:highlight w:val="none"/>
        </w:rPr>
      </w:pPr>
    </w:p>
    <w:p>
      <w:pPr>
        <w:pStyle w:val="5"/>
        <w:ind w:left="0" w:leftChars="0" w:firstLine="0" w:firstLineChars="0"/>
        <w:outlineLvl w:val="9"/>
        <w:rPr>
          <w:rFonts w:hint="eastAsia"/>
          <w:color w:val="auto"/>
          <w:highlight w:val="none"/>
          <w:lang w:eastAsia="zh-CN"/>
        </w:rPr>
      </w:pPr>
    </w:p>
    <w:p>
      <w:pPr>
        <w:rPr>
          <w:rFonts w:hint="eastAsia"/>
          <w:color w:val="auto"/>
          <w:highlight w:val="none"/>
          <w:lang w:eastAsia="zh-CN"/>
        </w:rPr>
      </w:pPr>
    </w:p>
    <w:p>
      <w:pPr>
        <w:pStyle w:val="17"/>
        <w:rPr>
          <w:rFonts w:hint="eastAsia"/>
          <w:color w:val="auto"/>
          <w:highlight w:val="none"/>
          <w:lang w:eastAsia="zh-CN"/>
        </w:rPr>
      </w:pPr>
    </w:p>
    <w:p>
      <w:pPr>
        <w:pStyle w:val="5"/>
        <w:ind w:left="0" w:leftChars="0" w:firstLine="0" w:firstLineChars="0"/>
        <w:rPr>
          <w:color w:val="auto"/>
          <w:highlight w:val="none"/>
        </w:rPr>
      </w:pPr>
      <w:r>
        <w:rPr>
          <w:rFonts w:hint="eastAsia"/>
          <w:color w:val="auto"/>
          <w:highlight w:val="none"/>
          <w:lang w:eastAsia="zh-CN"/>
        </w:rPr>
        <w:t>（</w:t>
      </w:r>
      <w:r>
        <w:rPr>
          <w:rFonts w:hint="eastAsia"/>
          <w:color w:val="auto"/>
          <w:highlight w:val="none"/>
        </w:rPr>
        <w:t>10）企业及拟任项目负责人的不良行为记录发生情况</w:t>
      </w:r>
    </w:p>
    <w:tbl>
      <w:tblPr>
        <w:tblStyle w:val="2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223"/>
        <w:gridCol w:w="33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2"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3223"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发生时间</w:t>
            </w:r>
          </w:p>
        </w:tc>
        <w:tc>
          <w:tcPr>
            <w:tcW w:w="3327"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简要情况说明</w:t>
            </w:r>
          </w:p>
        </w:tc>
        <w:tc>
          <w:tcPr>
            <w:tcW w:w="217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2" w:type="dxa"/>
            <w:vAlign w:val="center"/>
          </w:tcPr>
          <w:p>
            <w:pPr>
              <w:widowControl/>
              <w:jc w:val="center"/>
              <w:rPr>
                <w:rFonts w:ascii="宋体" w:hAnsi="宋体"/>
                <w:color w:val="auto"/>
                <w:kern w:val="0"/>
                <w:szCs w:val="21"/>
                <w:highlight w:val="none"/>
              </w:rPr>
            </w:pPr>
          </w:p>
        </w:tc>
        <w:tc>
          <w:tcPr>
            <w:tcW w:w="3223" w:type="dxa"/>
            <w:vAlign w:val="center"/>
          </w:tcPr>
          <w:p>
            <w:pPr>
              <w:widowControl/>
              <w:jc w:val="center"/>
              <w:rPr>
                <w:rFonts w:ascii="宋体" w:hAnsi="宋体"/>
                <w:color w:val="auto"/>
                <w:kern w:val="0"/>
                <w:szCs w:val="21"/>
                <w:highlight w:val="none"/>
              </w:rPr>
            </w:pPr>
          </w:p>
        </w:tc>
        <w:tc>
          <w:tcPr>
            <w:tcW w:w="3327" w:type="dxa"/>
            <w:vAlign w:val="center"/>
          </w:tcPr>
          <w:p>
            <w:pPr>
              <w:widowControl/>
              <w:jc w:val="center"/>
              <w:rPr>
                <w:rFonts w:ascii="宋体" w:hAnsi="宋体"/>
                <w:color w:val="auto"/>
                <w:kern w:val="0"/>
                <w:szCs w:val="21"/>
                <w:highlight w:val="none"/>
              </w:rPr>
            </w:pPr>
          </w:p>
        </w:tc>
        <w:tc>
          <w:tcPr>
            <w:tcW w:w="2178" w:type="dxa"/>
            <w:vAlign w:val="center"/>
          </w:tcPr>
          <w:p>
            <w:pPr>
              <w:widowControl/>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2" w:type="dxa"/>
            <w:vAlign w:val="center"/>
          </w:tcPr>
          <w:p>
            <w:pPr>
              <w:widowControl/>
              <w:jc w:val="center"/>
              <w:rPr>
                <w:color w:val="auto"/>
                <w:highlight w:val="none"/>
              </w:rPr>
            </w:pPr>
          </w:p>
          <w:p>
            <w:pPr>
              <w:pStyle w:val="17"/>
              <w:rPr>
                <w:color w:val="auto"/>
                <w:highlight w:val="none"/>
              </w:rPr>
            </w:pPr>
          </w:p>
        </w:tc>
        <w:tc>
          <w:tcPr>
            <w:tcW w:w="3223" w:type="dxa"/>
            <w:vAlign w:val="center"/>
          </w:tcPr>
          <w:p>
            <w:pPr>
              <w:widowControl/>
              <w:jc w:val="center"/>
              <w:rPr>
                <w:rFonts w:ascii="宋体" w:hAnsi="宋体"/>
                <w:color w:val="auto"/>
                <w:kern w:val="0"/>
                <w:szCs w:val="21"/>
                <w:highlight w:val="none"/>
              </w:rPr>
            </w:pPr>
          </w:p>
        </w:tc>
        <w:tc>
          <w:tcPr>
            <w:tcW w:w="3327" w:type="dxa"/>
            <w:vAlign w:val="center"/>
          </w:tcPr>
          <w:p>
            <w:pPr>
              <w:widowControl/>
              <w:jc w:val="center"/>
              <w:rPr>
                <w:rFonts w:ascii="宋体" w:hAnsi="宋体"/>
                <w:color w:val="auto"/>
                <w:kern w:val="0"/>
                <w:szCs w:val="21"/>
                <w:highlight w:val="none"/>
              </w:rPr>
            </w:pPr>
          </w:p>
        </w:tc>
        <w:tc>
          <w:tcPr>
            <w:tcW w:w="2178" w:type="dxa"/>
            <w:vAlign w:val="center"/>
          </w:tcPr>
          <w:p>
            <w:pPr>
              <w:widowControl/>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2" w:type="dxa"/>
            <w:vAlign w:val="center"/>
          </w:tcPr>
          <w:p>
            <w:pPr>
              <w:pStyle w:val="17"/>
              <w:rPr>
                <w:color w:val="auto"/>
                <w:highlight w:val="none"/>
              </w:rPr>
            </w:pPr>
          </w:p>
        </w:tc>
        <w:tc>
          <w:tcPr>
            <w:tcW w:w="3223" w:type="dxa"/>
            <w:vAlign w:val="center"/>
          </w:tcPr>
          <w:p>
            <w:pPr>
              <w:widowControl/>
              <w:jc w:val="center"/>
              <w:rPr>
                <w:rFonts w:ascii="宋体" w:hAnsi="宋体"/>
                <w:color w:val="auto"/>
                <w:kern w:val="0"/>
                <w:szCs w:val="21"/>
                <w:highlight w:val="none"/>
              </w:rPr>
            </w:pPr>
          </w:p>
        </w:tc>
        <w:tc>
          <w:tcPr>
            <w:tcW w:w="3327" w:type="dxa"/>
            <w:vAlign w:val="center"/>
          </w:tcPr>
          <w:p>
            <w:pPr>
              <w:widowControl/>
              <w:jc w:val="center"/>
              <w:rPr>
                <w:rFonts w:ascii="宋体" w:hAnsi="宋体"/>
                <w:color w:val="auto"/>
                <w:kern w:val="0"/>
                <w:szCs w:val="21"/>
                <w:highlight w:val="none"/>
              </w:rPr>
            </w:pPr>
          </w:p>
        </w:tc>
        <w:tc>
          <w:tcPr>
            <w:tcW w:w="2178" w:type="dxa"/>
            <w:vAlign w:val="center"/>
          </w:tcPr>
          <w:p>
            <w:pPr>
              <w:widowControl/>
              <w:jc w:val="center"/>
              <w:rPr>
                <w:rFonts w:ascii="宋体" w:hAnsi="宋体"/>
                <w:color w:val="auto"/>
                <w:kern w:val="0"/>
                <w:szCs w:val="21"/>
                <w:highlight w:val="none"/>
              </w:rPr>
            </w:pPr>
          </w:p>
        </w:tc>
      </w:tr>
    </w:tbl>
    <w:p>
      <w:pPr>
        <w:rPr>
          <w:rFonts w:hint="eastAsia" w:ascii="宋体" w:hAnsi="宋体" w:eastAsia="宋体" w:cs="宋体"/>
          <w:color w:val="auto"/>
          <w:sz w:val="21"/>
          <w:szCs w:val="21"/>
          <w:highlight w:val="none"/>
        </w:rPr>
      </w:pPr>
      <w:r>
        <w:rPr>
          <w:rFonts w:hint="eastAsia"/>
          <w:color w:val="auto"/>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不良行为扣分有效期为180天，自湖南省住房和城乡建设厅公布之日起至投交投标文件截止之日止。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spacing w:line="440" w:lineRule="exact"/>
        <w:rPr>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与我省签署了招标投标信息共享备忘录的省区市发布的相关不良行为记录按照备忘录要求执行。</w:t>
      </w:r>
    </w:p>
    <w:p>
      <w:pPr>
        <w:pStyle w:val="17"/>
        <w:rPr>
          <w:color w:val="auto"/>
          <w:highlight w:val="none"/>
        </w:rPr>
      </w:pPr>
    </w:p>
    <w:p>
      <w:pPr>
        <w:pStyle w:val="17"/>
        <w:rPr>
          <w:color w:val="auto"/>
          <w:highlight w:val="none"/>
        </w:rPr>
        <w:sectPr>
          <w:pgSz w:w="11906" w:h="16838"/>
          <w:pgMar w:top="1134" w:right="1134" w:bottom="1134" w:left="1418" w:header="851" w:footer="992" w:gutter="0"/>
          <w:cols w:space="720" w:num="1"/>
          <w:docGrid w:type="linesAndChars" w:linePitch="312" w:charSpace="0"/>
        </w:sectPr>
      </w:pPr>
    </w:p>
    <w:p>
      <w:pPr>
        <w:pStyle w:val="44"/>
        <w:ind w:left="0" w:leftChars="0" w:firstLine="0" w:firstLineChars="0"/>
        <w:rPr>
          <w:rFonts w:hint="eastAsia" w:eastAsia="方正小标宋简体"/>
          <w:color w:val="auto"/>
          <w:highlight w:val="none"/>
          <w:lang w:eastAsia="zh-CN"/>
        </w:rPr>
      </w:pPr>
    </w:p>
    <w:p>
      <w:pPr>
        <w:pStyle w:val="4"/>
        <w:spacing w:before="0" w:after="0" w:line="360" w:lineRule="auto"/>
        <w:jc w:val="center"/>
        <w:outlineLvl w:val="0"/>
        <w:rPr>
          <w:rFonts w:ascii="Times New Roman" w:hAnsi="Times New Roman"/>
          <w:b w:val="0"/>
          <w:bCs w:val="0"/>
          <w:color w:val="auto"/>
          <w:sz w:val="30"/>
          <w:szCs w:val="30"/>
          <w:highlight w:val="none"/>
        </w:rPr>
      </w:pPr>
      <w:bookmarkStart w:id="1291" w:name="_Toc47711653"/>
      <w:bookmarkStart w:id="1292" w:name="_Toc9178588"/>
      <w:bookmarkStart w:id="1293" w:name="_Toc30598_WPSOffice_Level1"/>
      <w:bookmarkStart w:id="1294" w:name="_Toc9407"/>
      <w:r>
        <w:rPr>
          <w:rFonts w:hint="eastAsia" w:ascii="Times New Roman" w:hAnsi="Times New Roman"/>
          <w:b w:val="0"/>
          <w:bCs w:val="0"/>
          <w:color w:val="auto"/>
          <w:sz w:val="30"/>
          <w:szCs w:val="30"/>
          <w:highlight w:val="none"/>
        </w:rPr>
        <w:t>9.</w:t>
      </w:r>
      <w:r>
        <w:rPr>
          <w:rFonts w:ascii="Times New Roman" w:hAnsi="Times New Roman"/>
          <w:b w:val="0"/>
          <w:bCs w:val="0"/>
          <w:color w:val="auto"/>
          <w:sz w:val="30"/>
          <w:szCs w:val="30"/>
          <w:highlight w:val="none"/>
        </w:rPr>
        <w:t>承 诺 书</w:t>
      </w:r>
      <w:bookmarkEnd w:id="1274"/>
      <w:bookmarkEnd w:id="1291"/>
      <w:bookmarkEnd w:id="1292"/>
      <w:bookmarkEnd w:id="1293"/>
      <w:bookmarkEnd w:id="1294"/>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工程总承包项目负责人、</w:t>
      </w:r>
      <w:r>
        <w:rPr>
          <w:rFonts w:hint="eastAsia"/>
          <w:color w:val="auto"/>
          <w:highlight w:val="none"/>
        </w:rPr>
        <w:t>施工项目负责人、设计项目</w:t>
      </w:r>
      <w:r>
        <w:rPr>
          <w:color w:val="auto"/>
          <w:highlight w:val="none"/>
        </w:rPr>
        <w:t>负责人能够到位履行职责，如不能到位，我方自愿接受处罚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一旦我方中标，坚决维护农民工的合法权益，按时足额支付农民工工资，决不拖欠。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rPr>
          <w:rFonts w:hint="eastAsia"/>
          <w:color w:val="auto"/>
          <w:highlight w:val="none"/>
        </w:rPr>
      </w:pPr>
    </w:p>
    <w:p>
      <w:pPr>
        <w:pStyle w:val="15"/>
        <w:ind w:left="840" w:hanging="420"/>
        <w:rPr>
          <w:rFonts w:hint="eastAsia"/>
          <w:color w:val="auto"/>
          <w:highlight w:val="none"/>
        </w:rPr>
      </w:pPr>
    </w:p>
    <w:p>
      <w:pPr>
        <w:rPr>
          <w:rFonts w:hint="eastAsia"/>
          <w:color w:val="auto"/>
          <w:highlight w:val="none"/>
        </w:rPr>
      </w:pPr>
    </w:p>
    <w:p>
      <w:pPr>
        <w:pStyle w:val="15"/>
        <w:ind w:left="840" w:hanging="420"/>
        <w:rPr>
          <w:rFonts w:hint="eastAsia"/>
          <w:color w:val="auto"/>
          <w:highlight w:val="none"/>
        </w:rPr>
      </w:pPr>
    </w:p>
    <w:p>
      <w:pPr>
        <w:pStyle w:val="31"/>
        <w:spacing w:line="500" w:lineRule="exact"/>
        <w:ind w:firstLine="210"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注：以联合体形式投标的，本承诺书应由联合体牵头人按上述规定填写并签署。</w:t>
      </w:r>
    </w:p>
    <w:p>
      <w:pPr>
        <w:widowControl/>
        <w:jc w:val="left"/>
        <w:rPr>
          <w:rFonts w:hint="eastAsia" w:eastAsia="黑体"/>
          <w:bCs/>
          <w:color w:val="auto"/>
          <w:kern w:val="0"/>
          <w:sz w:val="32"/>
          <w:szCs w:val="32"/>
          <w:highlight w:val="none"/>
        </w:rPr>
      </w:pPr>
    </w:p>
    <w:p>
      <w:pPr>
        <w:widowControl/>
        <w:jc w:val="left"/>
        <w:rPr>
          <w:rFonts w:eastAsia="黑体"/>
          <w:bCs/>
          <w:color w:val="auto"/>
          <w:kern w:val="0"/>
          <w:sz w:val="32"/>
          <w:szCs w:val="32"/>
          <w:highlight w:val="none"/>
        </w:rPr>
      </w:pPr>
    </w:p>
    <w:p>
      <w:pPr>
        <w:pStyle w:val="2"/>
        <w:rPr>
          <w:rFonts w:eastAsia="黑体"/>
          <w:bCs/>
          <w:color w:val="auto"/>
          <w:kern w:val="0"/>
          <w:sz w:val="32"/>
          <w:szCs w:val="32"/>
          <w:highlight w:val="none"/>
        </w:rPr>
      </w:pPr>
    </w:p>
    <w:p>
      <w:pPr>
        <w:pStyle w:val="27"/>
        <w:rPr>
          <w:color w:val="auto"/>
          <w:highlight w:val="none"/>
        </w:rPr>
      </w:pPr>
    </w:p>
    <w:p>
      <w:pPr>
        <w:rPr>
          <w:rFonts w:hint="eastAsia"/>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pStyle w:val="4"/>
        <w:spacing w:before="0" w:after="0" w:line="360" w:lineRule="auto"/>
        <w:jc w:val="center"/>
        <w:outlineLvl w:val="9"/>
        <w:rPr>
          <w:rFonts w:ascii="Times New Roman" w:hAnsi="Times New Roman"/>
          <w:b w:val="0"/>
          <w:bCs w:val="0"/>
          <w:color w:val="auto"/>
          <w:sz w:val="30"/>
          <w:szCs w:val="30"/>
          <w:highlight w:val="none"/>
        </w:rPr>
      </w:pPr>
    </w:p>
    <w:p>
      <w:pPr>
        <w:pStyle w:val="4"/>
        <w:spacing w:before="0" w:after="0" w:line="360" w:lineRule="auto"/>
        <w:jc w:val="center"/>
        <w:outlineLvl w:val="0"/>
        <w:rPr>
          <w:rFonts w:hint="default" w:ascii="Times New Roman" w:hAnsi="Times New Roman"/>
          <w:b w:val="0"/>
          <w:bCs w:val="0"/>
          <w:color w:val="auto"/>
          <w:sz w:val="30"/>
          <w:szCs w:val="30"/>
          <w:highlight w:val="none"/>
          <w:lang w:val="en-US" w:eastAsia="zh-CN"/>
        </w:rPr>
      </w:pPr>
      <w:bookmarkStart w:id="1295" w:name="_Toc31048"/>
      <w:r>
        <w:rPr>
          <w:rFonts w:hint="eastAsia" w:ascii="Times New Roman" w:hAnsi="Times New Roman"/>
          <w:b w:val="0"/>
          <w:bCs w:val="0"/>
          <w:color w:val="auto"/>
          <w:sz w:val="30"/>
          <w:szCs w:val="30"/>
          <w:highlight w:val="none"/>
          <w:lang w:val="en-US" w:eastAsia="zh-CN"/>
        </w:rPr>
        <w:t>10.其 他</w:t>
      </w:r>
      <w:bookmarkEnd w:id="1295"/>
    </w:p>
    <w:p>
      <w:pPr>
        <w:rPr>
          <w:color w:val="auto"/>
          <w:highlight w:val="none"/>
        </w:rPr>
      </w:pPr>
    </w:p>
    <w:p>
      <w:pPr>
        <w:rPr>
          <w:color w:val="auto"/>
          <w:highlight w:val="none"/>
        </w:rPr>
      </w:pPr>
    </w:p>
    <w:p>
      <w:pPr>
        <w:rPr>
          <w:color w:val="auto"/>
          <w:highlight w:val="none"/>
        </w:rPr>
      </w:pPr>
    </w:p>
    <w:p>
      <w:pPr>
        <w:numPr>
          <w:ilvl w:val="0"/>
          <w:numId w:val="0"/>
        </w:numPr>
        <w:spacing w:line="480" w:lineRule="auto"/>
        <w:rPr>
          <w:rFonts w:hint="default" w:eastAsia="方正小标宋简体"/>
          <w:color w:val="auto"/>
          <w:highlight w:val="none"/>
          <w:lang w:val="en-US" w:eastAsia="zh-CN"/>
        </w:rPr>
      </w:pPr>
      <w:r>
        <w:rPr>
          <w:rFonts w:hint="eastAsia"/>
          <w:color w:val="auto"/>
          <w:highlight w:val="none"/>
          <w:lang w:val="en-US" w:eastAsia="zh-CN"/>
        </w:rPr>
        <w:t>（1）</w:t>
      </w:r>
      <w:r>
        <w:rPr>
          <w:rFonts w:hint="eastAsia"/>
          <w:color w:val="auto"/>
          <w:highlight w:val="none"/>
        </w:rPr>
        <w:t>、近2年内无行贿犯罪承诺（投标人法定代表人及拟任项目总负责人、设计负责人、项目施工负责人）（联合体投标时由人员所属单位分别提供）</w:t>
      </w:r>
      <w:r>
        <w:rPr>
          <w:rFonts w:hint="eastAsia"/>
          <w:color w:val="auto"/>
          <w:highlight w:val="none"/>
          <w:lang w:eastAsia="zh-CN"/>
        </w:rPr>
        <w:t>。</w:t>
      </w:r>
      <w:r>
        <w:rPr>
          <w:rFonts w:hint="eastAsia"/>
          <w:color w:val="auto"/>
          <w:highlight w:val="none"/>
          <w:lang w:val="en-US" w:eastAsia="zh-CN"/>
        </w:rPr>
        <w:t>格式自拟</w:t>
      </w:r>
    </w:p>
    <w:p>
      <w:pPr>
        <w:spacing w:line="480" w:lineRule="auto"/>
        <w:rPr>
          <w:color w:val="auto"/>
          <w:highlight w:val="none"/>
        </w:rPr>
      </w:pPr>
      <w:r>
        <w:rPr>
          <w:rFonts w:hint="eastAsia"/>
          <w:color w:val="auto"/>
          <w:highlight w:val="none"/>
          <w:lang w:val="en-US" w:eastAsia="zh-CN"/>
        </w:rPr>
        <w:t>（2）</w:t>
      </w:r>
      <w:r>
        <w:rPr>
          <w:rFonts w:hint="eastAsia"/>
          <w:color w:val="auto"/>
          <w:highlight w:val="none"/>
        </w:rPr>
        <w:t>、招标文件及评标办法中要求提供的其他资料。</w:t>
      </w:r>
    </w:p>
    <w:p>
      <w:pPr>
        <w:pStyle w:val="15"/>
        <w:ind w:left="980" w:hanging="560"/>
        <w:rPr>
          <w:rFonts w:hint="default" w:eastAsia="黑体"/>
          <w:color w:val="auto"/>
          <w:sz w:val="28"/>
          <w:szCs w:val="28"/>
          <w:highlight w:val="none"/>
          <w:lang w:val="en-US" w:eastAsia="zh-CN"/>
        </w:rPr>
      </w:pPr>
    </w:p>
    <w:p>
      <w:pPr>
        <w:pStyle w:val="3"/>
        <w:numPr>
          <w:ilvl w:val="0"/>
          <w:numId w:val="0"/>
        </w:numPr>
        <w:jc w:val="both"/>
        <w:outlineLvl w:val="9"/>
        <w:rPr>
          <w:rFonts w:eastAsia="黑体"/>
          <w:b w:val="0"/>
          <w:bCs w:val="0"/>
          <w:color w:val="auto"/>
          <w:highlight w:val="none"/>
        </w:rPr>
      </w:pPr>
    </w:p>
    <w:p>
      <w:pPr>
        <w:pStyle w:val="3"/>
        <w:numPr>
          <w:ilvl w:val="0"/>
          <w:numId w:val="0"/>
        </w:numPr>
        <w:jc w:val="both"/>
        <w:outlineLvl w:val="9"/>
        <w:rPr>
          <w:rFonts w:eastAsia="黑体"/>
          <w:b w:val="0"/>
          <w:bCs w:val="0"/>
          <w:color w:val="auto"/>
          <w:highlight w:val="none"/>
        </w:rPr>
      </w:pPr>
    </w:p>
    <w:p>
      <w:pPr>
        <w:pStyle w:val="3"/>
        <w:numPr>
          <w:ilvl w:val="0"/>
          <w:numId w:val="0"/>
        </w:numPr>
        <w:jc w:val="both"/>
        <w:outlineLvl w:val="9"/>
        <w:rPr>
          <w:rFonts w:eastAsia="黑体"/>
          <w:b w:val="0"/>
          <w:bCs w:val="0"/>
          <w:color w:val="auto"/>
          <w:highlight w:val="none"/>
        </w:rPr>
      </w:pPr>
    </w:p>
    <w:p>
      <w:pPr>
        <w:pStyle w:val="3"/>
        <w:numPr>
          <w:ilvl w:val="0"/>
          <w:numId w:val="0"/>
        </w:numPr>
        <w:jc w:val="both"/>
        <w:outlineLvl w:val="9"/>
        <w:rPr>
          <w:rFonts w:eastAsia="黑体"/>
          <w:b w:val="0"/>
          <w:bCs w:val="0"/>
          <w:color w:val="auto"/>
          <w:highlight w:val="none"/>
        </w:rPr>
      </w:pPr>
    </w:p>
    <w:p>
      <w:pPr>
        <w:pStyle w:val="3"/>
        <w:numPr>
          <w:ilvl w:val="0"/>
          <w:numId w:val="0"/>
        </w:numPr>
        <w:jc w:val="center"/>
        <w:rPr>
          <w:rFonts w:hint="default" w:eastAsia="黑体"/>
          <w:b w:val="0"/>
          <w:bCs w:val="0"/>
          <w:color w:val="auto"/>
          <w:highlight w:val="none"/>
          <w:lang w:val="en-US" w:eastAsia="zh-CN"/>
        </w:rPr>
      </w:pPr>
      <w:bookmarkStart w:id="1296" w:name="_Toc8484"/>
      <w:r>
        <w:rPr>
          <w:rFonts w:hint="eastAsia" w:eastAsia="黑体"/>
          <w:b w:val="0"/>
          <w:bCs w:val="0"/>
          <w:color w:val="auto"/>
          <w:highlight w:val="none"/>
          <w:lang w:val="en-US" w:eastAsia="zh-CN"/>
        </w:rPr>
        <w:t>第二节     商务标部分</w:t>
      </w:r>
      <w:bookmarkEnd w:id="1296"/>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center"/>
        <w:outlineLvl w:val="9"/>
        <w:rPr>
          <w:b w:val="0"/>
          <w:bCs w:val="0"/>
          <w:color w:val="auto"/>
          <w:sz w:val="28"/>
          <w:szCs w:val="28"/>
          <w:highlight w:val="none"/>
          <w:u w:val="single"/>
        </w:rPr>
      </w:pPr>
    </w:p>
    <w:p>
      <w:pPr>
        <w:pStyle w:val="3"/>
        <w:spacing w:line="360" w:lineRule="auto"/>
        <w:jc w:val="both"/>
        <w:outlineLvl w:val="9"/>
        <w:rPr>
          <w:b w:val="0"/>
          <w:bCs w:val="0"/>
          <w:color w:val="auto"/>
          <w:sz w:val="28"/>
          <w:szCs w:val="28"/>
          <w:highlight w:val="none"/>
          <w:u w:val="single"/>
        </w:rPr>
      </w:pPr>
    </w:p>
    <w:p>
      <w:pPr>
        <w:widowControl/>
        <w:jc w:val="center"/>
        <w:outlineLvl w:val="0"/>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p>
    <w:p>
      <w:pPr>
        <w:spacing w:line="360" w:lineRule="auto"/>
        <w:rPr>
          <w:color w:val="auto"/>
          <w:highlight w:val="none"/>
        </w:rPr>
      </w:pPr>
    </w:p>
    <w:p>
      <w:pPr>
        <w:spacing w:line="360" w:lineRule="auto"/>
        <w:rPr>
          <w:rFonts w:eastAsia="Times New Roman"/>
          <w:color w:val="auto"/>
          <w:highlight w:val="none"/>
        </w:rPr>
      </w:pPr>
    </w:p>
    <w:p>
      <w:pPr>
        <w:tabs>
          <w:tab w:val="left" w:pos="420"/>
        </w:tabs>
        <w:spacing w:line="360" w:lineRule="auto"/>
        <w:ind w:right="-13"/>
        <w:jc w:val="center"/>
        <w:rPr>
          <w:rFonts w:ascii="宋体"/>
          <w:color w:val="auto"/>
          <w:sz w:val="44"/>
          <w:szCs w:val="44"/>
          <w:highlight w:val="none"/>
        </w:rPr>
      </w:pPr>
      <w:r>
        <w:rPr>
          <w:rFonts w:hint="eastAsia" w:ascii="宋体" w:hAnsi="宋体" w:cs="宋体"/>
          <w:color w:val="auto"/>
          <w:sz w:val="44"/>
          <w:szCs w:val="44"/>
          <w:highlight w:val="none"/>
        </w:rPr>
        <w:t>投</w:t>
      </w:r>
      <w:r>
        <w:rPr>
          <w:rFonts w:ascii="宋体"/>
          <w:color w:val="auto"/>
          <w:sz w:val="44"/>
          <w:szCs w:val="44"/>
          <w:highlight w:val="none"/>
        </w:rPr>
        <w:tab/>
      </w:r>
      <w:r>
        <w:rPr>
          <w:rFonts w:hint="eastAsia" w:ascii="宋体" w:hAnsi="宋体" w:cs="宋体"/>
          <w:color w:val="auto"/>
          <w:sz w:val="44"/>
          <w:szCs w:val="44"/>
          <w:highlight w:val="none"/>
        </w:rPr>
        <w:t>标</w:t>
      </w:r>
      <w:r>
        <w:rPr>
          <w:rFonts w:ascii="宋体"/>
          <w:color w:val="auto"/>
          <w:sz w:val="44"/>
          <w:szCs w:val="44"/>
          <w:highlight w:val="none"/>
        </w:rPr>
        <w:tab/>
      </w:r>
      <w:r>
        <w:rPr>
          <w:rFonts w:hint="eastAsia" w:ascii="宋体" w:hAnsi="宋体" w:cs="宋体"/>
          <w:color w:val="auto"/>
          <w:sz w:val="44"/>
          <w:szCs w:val="44"/>
          <w:highlight w:val="none"/>
        </w:rPr>
        <w:t>文</w:t>
      </w:r>
      <w:r>
        <w:rPr>
          <w:rFonts w:ascii="宋体"/>
          <w:color w:val="auto"/>
          <w:sz w:val="44"/>
          <w:szCs w:val="44"/>
          <w:highlight w:val="none"/>
        </w:rPr>
        <w:tab/>
      </w:r>
      <w:r>
        <w:rPr>
          <w:rFonts w:hint="eastAsia" w:ascii="宋体" w:hAnsi="宋体" w:cs="宋体"/>
          <w:color w:val="auto"/>
          <w:sz w:val="44"/>
          <w:szCs w:val="44"/>
          <w:highlight w:val="none"/>
        </w:rPr>
        <w:t>件</w:t>
      </w:r>
    </w:p>
    <w:p>
      <w:pPr>
        <w:spacing w:line="360" w:lineRule="auto"/>
        <w:rPr>
          <w:rFonts w:eastAsia="Times New Roman"/>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ind w:right="-13"/>
        <w:jc w:val="center"/>
        <w:rPr>
          <w:rFonts w:ascii="宋体"/>
          <w:color w:val="auto"/>
          <w:sz w:val="32"/>
          <w:szCs w:val="32"/>
          <w:highlight w:val="none"/>
        </w:rPr>
      </w:pPr>
      <w:r>
        <w:rPr>
          <w:rFonts w:hint="eastAsia" w:ascii="宋体" w:hAnsi="宋体" w:cs="宋体"/>
          <w:color w:val="auto"/>
          <w:sz w:val="32"/>
          <w:szCs w:val="32"/>
          <w:highlight w:val="none"/>
        </w:rPr>
        <w:t>（商务标部分）</w:t>
      </w: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jc w:val="center"/>
        <w:outlineLvl w:val="0"/>
        <w:rPr>
          <w:rFonts w:eastAsia="黑体"/>
          <w:color w:val="auto"/>
          <w:sz w:val="28"/>
          <w:szCs w:val="28"/>
          <w:highlight w:val="none"/>
          <w:u w:val="single"/>
        </w:rPr>
      </w:pPr>
      <w:bookmarkStart w:id="1297" w:name="_Toc16598"/>
      <w:r>
        <w:rPr>
          <w:rFonts w:hint="eastAsia" w:eastAsia="黑体" w:cs="黑体"/>
          <w:color w:val="auto"/>
          <w:sz w:val="28"/>
          <w:szCs w:val="28"/>
          <w:highlight w:val="none"/>
        </w:rPr>
        <w:t>投标人：</w:t>
      </w:r>
      <w:r>
        <w:rPr>
          <w:rFonts w:eastAsia="黑体"/>
          <w:color w:val="auto"/>
          <w:sz w:val="28"/>
          <w:szCs w:val="28"/>
          <w:highlight w:val="none"/>
          <w:u w:val="single"/>
        </w:rPr>
        <w:t xml:space="preserve">                      </w:t>
      </w:r>
      <w:r>
        <w:rPr>
          <w:rFonts w:hint="eastAsia" w:eastAsia="黑体" w:cs="黑体"/>
          <w:color w:val="auto"/>
          <w:sz w:val="28"/>
          <w:szCs w:val="28"/>
          <w:highlight w:val="none"/>
        </w:rPr>
        <w:t>（</w:t>
      </w:r>
      <w:r>
        <w:rPr>
          <w:rFonts w:hint="eastAsia" w:eastAsia="黑体"/>
          <w:color w:val="auto"/>
          <w:sz w:val="28"/>
          <w:szCs w:val="28"/>
          <w:highlight w:val="none"/>
        </w:rPr>
        <w:t>独立体或联合体牵头人</w:t>
      </w:r>
      <w:r>
        <w:rPr>
          <w:rFonts w:hint="eastAsia" w:eastAsia="黑体" w:cs="黑体"/>
          <w:color w:val="auto"/>
          <w:sz w:val="28"/>
          <w:szCs w:val="28"/>
          <w:highlight w:val="none"/>
        </w:rPr>
        <w:t>盖单位章）</w:t>
      </w:r>
      <w:bookmarkEnd w:id="1297"/>
    </w:p>
    <w:p>
      <w:pPr>
        <w:spacing w:line="360" w:lineRule="auto"/>
        <w:jc w:val="center"/>
        <w:outlineLvl w:val="0"/>
        <w:rPr>
          <w:rFonts w:eastAsia="黑体"/>
          <w:color w:val="auto"/>
          <w:sz w:val="28"/>
          <w:szCs w:val="28"/>
          <w:highlight w:val="none"/>
        </w:rPr>
      </w:pPr>
      <w:bookmarkStart w:id="1298" w:name="_Toc19387"/>
      <w:r>
        <w:rPr>
          <w:rFonts w:hint="eastAsia" w:eastAsia="黑体" w:cs="黑体"/>
          <w:color w:val="auto"/>
          <w:sz w:val="28"/>
          <w:szCs w:val="28"/>
          <w:highlight w:val="none"/>
        </w:rPr>
        <w:t>法定代表人或其委托代理人：</w:t>
      </w:r>
      <w:r>
        <w:rPr>
          <w:rFonts w:eastAsia="黑体"/>
          <w:color w:val="auto"/>
          <w:sz w:val="28"/>
          <w:szCs w:val="28"/>
          <w:highlight w:val="none"/>
          <w:u w:val="single"/>
        </w:rPr>
        <w:t xml:space="preserve">                </w:t>
      </w:r>
      <w:r>
        <w:rPr>
          <w:rFonts w:hint="eastAsia" w:eastAsia="黑体" w:cs="黑体"/>
          <w:color w:val="auto"/>
          <w:sz w:val="28"/>
          <w:szCs w:val="28"/>
          <w:highlight w:val="none"/>
        </w:rPr>
        <w:t>（签字</w:t>
      </w:r>
      <w:r>
        <w:rPr>
          <w:rFonts w:hint="eastAsia" w:eastAsia="黑体" w:cs="黑体"/>
          <w:color w:val="auto"/>
          <w:sz w:val="28"/>
          <w:szCs w:val="28"/>
          <w:highlight w:val="none"/>
          <w:lang w:val="en-US" w:eastAsia="zh-CN"/>
        </w:rPr>
        <w:t>或盖章</w:t>
      </w:r>
      <w:r>
        <w:rPr>
          <w:rFonts w:hint="eastAsia" w:eastAsia="黑体" w:cs="黑体"/>
          <w:color w:val="auto"/>
          <w:sz w:val="28"/>
          <w:szCs w:val="28"/>
          <w:highlight w:val="none"/>
        </w:rPr>
        <w:t>）</w:t>
      </w:r>
      <w:bookmarkEnd w:id="1298"/>
    </w:p>
    <w:p>
      <w:pPr>
        <w:spacing w:line="360" w:lineRule="auto"/>
        <w:jc w:val="center"/>
        <w:outlineLvl w:val="0"/>
        <w:rPr>
          <w:rFonts w:eastAsia="黑体"/>
          <w:color w:val="auto"/>
          <w:sz w:val="28"/>
          <w:szCs w:val="28"/>
          <w:highlight w:val="none"/>
        </w:rPr>
      </w:pPr>
      <w:r>
        <w:rPr>
          <w:rFonts w:eastAsia="黑体"/>
          <w:color w:val="auto"/>
          <w:sz w:val="28"/>
          <w:szCs w:val="28"/>
          <w:highlight w:val="none"/>
          <w:u w:val="single"/>
        </w:rPr>
        <w:t xml:space="preserve">        </w:t>
      </w:r>
      <w:bookmarkStart w:id="1299" w:name="_Toc20957"/>
      <w:r>
        <w:rPr>
          <w:rFonts w:hint="eastAsia" w:eastAsia="黑体" w:cs="黑体"/>
          <w:color w:val="auto"/>
          <w:sz w:val="28"/>
          <w:szCs w:val="28"/>
          <w:highlight w:val="none"/>
        </w:rPr>
        <w:t>年</w:t>
      </w:r>
      <w:r>
        <w:rPr>
          <w:rFonts w:eastAsia="黑体"/>
          <w:color w:val="auto"/>
          <w:sz w:val="28"/>
          <w:szCs w:val="28"/>
          <w:highlight w:val="none"/>
          <w:u w:val="single"/>
        </w:rPr>
        <w:t xml:space="preserve">        </w:t>
      </w:r>
      <w:r>
        <w:rPr>
          <w:rFonts w:hint="eastAsia" w:eastAsia="黑体" w:cs="黑体"/>
          <w:color w:val="auto"/>
          <w:sz w:val="28"/>
          <w:szCs w:val="28"/>
          <w:highlight w:val="none"/>
        </w:rPr>
        <w:t>月</w:t>
      </w:r>
      <w:r>
        <w:rPr>
          <w:rFonts w:eastAsia="黑体"/>
          <w:color w:val="auto"/>
          <w:sz w:val="28"/>
          <w:szCs w:val="28"/>
          <w:highlight w:val="none"/>
          <w:u w:val="single"/>
        </w:rPr>
        <w:t xml:space="preserve">         </w:t>
      </w:r>
      <w:r>
        <w:rPr>
          <w:rFonts w:hint="eastAsia" w:eastAsia="黑体" w:cs="黑体"/>
          <w:color w:val="auto"/>
          <w:sz w:val="28"/>
          <w:szCs w:val="28"/>
          <w:highlight w:val="none"/>
        </w:rPr>
        <w:t>日</w:t>
      </w:r>
      <w:bookmarkEnd w:id="1299"/>
    </w:p>
    <w:p>
      <w:pPr>
        <w:rPr>
          <w:color w:val="auto"/>
          <w:highlight w:val="none"/>
        </w:rPr>
      </w:pPr>
    </w:p>
    <w:p>
      <w:pPr>
        <w:pStyle w:val="15"/>
        <w:ind w:left="840" w:hanging="420"/>
        <w:rPr>
          <w:color w:val="auto"/>
          <w:highlight w:val="none"/>
        </w:rPr>
      </w:pPr>
    </w:p>
    <w:p>
      <w:pPr>
        <w:pStyle w:val="3"/>
        <w:numPr>
          <w:ilvl w:val="0"/>
          <w:numId w:val="0"/>
        </w:numPr>
        <w:jc w:val="center"/>
        <w:outlineLvl w:val="9"/>
        <w:rPr>
          <w:rFonts w:hint="eastAsia" w:eastAsia="黑体"/>
          <w:b w:val="0"/>
          <w:bCs w:val="0"/>
          <w:color w:val="auto"/>
          <w:highlight w:val="none"/>
          <w:lang w:val="en-US" w:eastAsia="zh-CN"/>
        </w:rPr>
      </w:pPr>
    </w:p>
    <w:p>
      <w:pPr>
        <w:pStyle w:val="3"/>
        <w:numPr>
          <w:ilvl w:val="0"/>
          <w:numId w:val="0"/>
        </w:numPr>
        <w:jc w:val="center"/>
        <w:outlineLvl w:val="9"/>
        <w:rPr>
          <w:rFonts w:hint="eastAsia" w:eastAsia="黑体"/>
          <w:b w:val="0"/>
          <w:bCs w:val="0"/>
          <w:color w:val="auto"/>
          <w:highlight w:val="none"/>
          <w:lang w:val="en-US" w:eastAsia="zh-CN"/>
        </w:rPr>
      </w:pPr>
    </w:p>
    <w:p>
      <w:pPr>
        <w:pStyle w:val="3"/>
        <w:numPr>
          <w:ilvl w:val="0"/>
          <w:numId w:val="0"/>
        </w:numPr>
        <w:jc w:val="center"/>
        <w:rPr>
          <w:rFonts w:hint="eastAsia" w:eastAsia="黑体"/>
          <w:b w:val="0"/>
          <w:bCs w:val="0"/>
          <w:color w:val="auto"/>
          <w:highlight w:val="none"/>
          <w:lang w:val="en-US" w:eastAsia="zh-CN"/>
        </w:rPr>
      </w:pPr>
      <w:bookmarkStart w:id="1300" w:name="_Toc12854"/>
      <w:r>
        <w:rPr>
          <w:rFonts w:hint="eastAsia" w:eastAsia="黑体"/>
          <w:b w:val="0"/>
          <w:bCs w:val="0"/>
          <w:color w:val="auto"/>
          <w:highlight w:val="none"/>
          <w:lang w:val="en-US" w:eastAsia="zh-CN"/>
        </w:rPr>
        <w:t>商务标部分</w:t>
      </w:r>
      <w:bookmarkEnd w:id="1300"/>
    </w:p>
    <w:p>
      <w:pPr>
        <w:pStyle w:val="3"/>
        <w:numPr>
          <w:ilvl w:val="0"/>
          <w:numId w:val="0"/>
        </w:numPr>
        <w:ind w:firstLine="4160" w:firstLineChars="1300"/>
        <w:jc w:val="both"/>
        <w:outlineLvl w:val="9"/>
        <w:rPr>
          <w:rFonts w:hint="eastAsia" w:eastAsia="黑体"/>
          <w:b w:val="0"/>
          <w:bCs w:val="0"/>
          <w:color w:val="auto"/>
          <w:sz w:val="32"/>
          <w:szCs w:val="32"/>
          <w:highlight w:val="none"/>
        </w:rPr>
      </w:pPr>
      <w:r>
        <w:rPr>
          <w:rFonts w:hint="eastAsia" w:eastAsia="黑体"/>
          <w:b w:val="0"/>
          <w:bCs w:val="0"/>
          <w:color w:val="auto"/>
          <w:sz w:val="32"/>
          <w:szCs w:val="32"/>
          <w:highlight w:val="none"/>
          <w:lang w:val="en-US" w:eastAsia="zh-CN"/>
        </w:rPr>
        <w:t xml:space="preserve"> </w:t>
      </w:r>
    </w:p>
    <w:p>
      <w:pPr>
        <w:rPr>
          <w:rFonts w:eastAsia="黑体"/>
          <w:color w:val="auto"/>
          <w:sz w:val="28"/>
          <w:szCs w:val="28"/>
          <w:highlight w:val="none"/>
        </w:rPr>
      </w:pPr>
      <w:r>
        <w:rPr>
          <w:rFonts w:hint="eastAsia" w:ascii="Times New Roman" w:hAnsi="Times New Roman" w:cs="宋体"/>
          <w:color w:val="auto"/>
          <w:kern w:val="0"/>
          <w:sz w:val="28"/>
          <w:szCs w:val="28"/>
          <w:highlight w:val="none"/>
          <w:lang w:val="en-US" w:eastAsia="zh-CN" w:bidi="ar-SA"/>
        </w:rPr>
        <w:t>说明：</w:t>
      </w:r>
      <w:r>
        <w:rPr>
          <w:rFonts w:hint="eastAsia" w:ascii="Times New Roman" w:hAnsi="Times New Roman" w:eastAsia="方正小标宋简体" w:cs="宋体"/>
          <w:color w:val="auto"/>
          <w:kern w:val="0"/>
          <w:sz w:val="28"/>
          <w:szCs w:val="28"/>
          <w:highlight w:val="none"/>
          <w:lang w:val="en-US" w:eastAsia="zh-CN" w:bidi="ar-SA"/>
        </w:rPr>
        <w:t>价格清单（按招标人提供的概算清单格式，对招标控制价汇总表列明的项目进行报价， 并按控制价汇总表格式对报价进行汇总）</w:t>
      </w:r>
    </w:p>
    <w:p>
      <w:pPr>
        <w:pStyle w:val="19"/>
        <w:ind w:left="0" w:leftChars="0" w:firstLine="0" w:firstLineChars="0"/>
        <w:rPr>
          <w:rFonts w:eastAsia="黑体"/>
          <w:color w:val="auto"/>
          <w:sz w:val="28"/>
          <w:szCs w:val="28"/>
          <w:highlight w:val="none"/>
        </w:rPr>
      </w:pPr>
    </w:p>
    <w:p>
      <w:pPr>
        <w:pStyle w:val="19"/>
        <w:rPr>
          <w:rFonts w:eastAsia="黑体"/>
          <w:color w:val="auto"/>
          <w:sz w:val="28"/>
          <w:szCs w:val="28"/>
          <w:highlight w:val="none"/>
        </w:rPr>
      </w:pPr>
    </w:p>
    <w:p>
      <w:pPr>
        <w:pStyle w:val="3"/>
        <w:jc w:val="center"/>
        <w:outlineLvl w:val="9"/>
        <w:rPr>
          <w:rFonts w:eastAsia="黑体"/>
          <w:b w:val="0"/>
          <w:bCs w:val="0"/>
          <w:color w:val="auto"/>
          <w:highlight w:val="none"/>
        </w:rPr>
      </w:pPr>
      <w:bookmarkStart w:id="1301" w:name="_Toc3613"/>
      <w:bookmarkStart w:id="1302" w:name="_Toc4977_WPSOffice_Level1"/>
      <w:bookmarkStart w:id="1303" w:name="_Toc47711661"/>
    </w:p>
    <w:p>
      <w:pPr>
        <w:pStyle w:val="3"/>
        <w:jc w:val="center"/>
        <w:outlineLvl w:val="9"/>
        <w:rPr>
          <w:rFonts w:eastAsia="黑体"/>
          <w:b w:val="0"/>
          <w:bCs w:val="0"/>
          <w:color w:val="auto"/>
          <w:highlight w:val="none"/>
        </w:rPr>
      </w:pPr>
    </w:p>
    <w:p>
      <w:pPr>
        <w:pStyle w:val="3"/>
        <w:jc w:val="center"/>
        <w:outlineLvl w:val="9"/>
        <w:rPr>
          <w:rFonts w:eastAsia="黑体"/>
          <w:b w:val="0"/>
          <w:bCs w:val="0"/>
          <w:color w:val="auto"/>
          <w:highlight w:val="none"/>
        </w:rPr>
      </w:pPr>
    </w:p>
    <w:p>
      <w:pPr>
        <w:pStyle w:val="3"/>
        <w:jc w:val="both"/>
        <w:outlineLvl w:val="9"/>
        <w:rPr>
          <w:rFonts w:eastAsia="黑体"/>
          <w:b w:val="0"/>
          <w:bCs w:val="0"/>
          <w:color w:val="auto"/>
          <w:highlight w:val="none"/>
        </w:rPr>
      </w:pPr>
    </w:p>
    <w:p>
      <w:pPr>
        <w:pStyle w:val="3"/>
        <w:jc w:val="both"/>
        <w:outlineLvl w:val="9"/>
        <w:rPr>
          <w:rFonts w:eastAsia="黑体"/>
          <w:b w:val="0"/>
          <w:bCs w:val="0"/>
          <w:color w:val="auto"/>
          <w:highlight w:val="none"/>
        </w:rPr>
      </w:pPr>
    </w:p>
    <w:p>
      <w:pPr>
        <w:pStyle w:val="3"/>
        <w:jc w:val="center"/>
        <w:rPr>
          <w:rFonts w:eastAsia="黑体"/>
          <w:b w:val="0"/>
          <w:bCs w:val="0"/>
          <w:color w:val="auto"/>
          <w:highlight w:val="none"/>
        </w:rPr>
      </w:pPr>
      <w:bookmarkStart w:id="1304" w:name="_Toc17246"/>
      <w:r>
        <w:rPr>
          <w:rFonts w:eastAsia="黑体"/>
          <w:b w:val="0"/>
          <w:bCs w:val="0"/>
          <w:color w:val="auto"/>
          <w:highlight w:val="none"/>
        </w:rPr>
        <w:t>第</w:t>
      </w:r>
      <w:r>
        <w:rPr>
          <w:rFonts w:hint="eastAsia" w:eastAsia="黑体"/>
          <w:b w:val="0"/>
          <w:bCs w:val="0"/>
          <w:color w:val="auto"/>
          <w:highlight w:val="none"/>
          <w:lang w:val="en-US" w:eastAsia="zh-CN"/>
        </w:rPr>
        <w:t>三</w:t>
      </w:r>
      <w:r>
        <w:rPr>
          <w:rFonts w:hint="eastAsia" w:eastAsia="黑体"/>
          <w:b w:val="0"/>
          <w:bCs w:val="0"/>
          <w:color w:val="auto"/>
          <w:highlight w:val="none"/>
        </w:rPr>
        <w:t>节</w:t>
      </w:r>
      <w:r>
        <w:rPr>
          <w:rFonts w:eastAsia="黑体"/>
          <w:b w:val="0"/>
          <w:bCs w:val="0"/>
          <w:color w:val="auto"/>
          <w:highlight w:val="none"/>
        </w:rPr>
        <w:t xml:space="preserve">  </w:t>
      </w:r>
      <w:r>
        <w:rPr>
          <w:rFonts w:hint="eastAsia" w:eastAsia="黑体"/>
          <w:b w:val="0"/>
          <w:bCs w:val="0"/>
          <w:color w:val="auto"/>
          <w:highlight w:val="none"/>
        </w:rPr>
        <w:t>技术标</w:t>
      </w:r>
      <w:r>
        <w:rPr>
          <w:rFonts w:eastAsia="黑体"/>
          <w:b w:val="0"/>
          <w:bCs w:val="0"/>
          <w:color w:val="auto"/>
          <w:highlight w:val="none"/>
        </w:rPr>
        <w:t>格式</w:t>
      </w:r>
      <w:bookmarkEnd w:id="1301"/>
      <w:bookmarkEnd w:id="1302"/>
      <w:bookmarkEnd w:id="1303"/>
      <w:bookmarkEnd w:id="1304"/>
    </w:p>
    <w:p>
      <w:pPr>
        <w:pStyle w:val="3"/>
        <w:jc w:val="center"/>
        <w:rPr>
          <w:rFonts w:hint="eastAsia" w:eastAsia="黑体"/>
          <w:b w:val="0"/>
          <w:bCs w:val="0"/>
          <w:color w:val="auto"/>
          <w:sz w:val="32"/>
          <w:szCs w:val="32"/>
          <w:highlight w:val="none"/>
        </w:rPr>
      </w:pPr>
      <w:bookmarkStart w:id="1305" w:name="_Toc47711662"/>
      <w:bookmarkStart w:id="1306" w:name="_Toc303865023"/>
      <w:bookmarkStart w:id="1307" w:name="_Toc6660"/>
      <w:bookmarkStart w:id="1308" w:name="_Toc23846"/>
      <w:bookmarkStart w:id="1309" w:name="_Toc9189381"/>
      <w:r>
        <w:rPr>
          <w:rFonts w:eastAsia="黑体"/>
          <w:b w:val="0"/>
          <w:bCs w:val="0"/>
          <w:color w:val="auto"/>
          <w:sz w:val="32"/>
          <w:szCs w:val="32"/>
          <w:highlight w:val="none"/>
        </w:rPr>
        <w:t>（</w:t>
      </w:r>
      <w:r>
        <w:rPr>
          <w:rFonts w:hint="eastAsia" w:eastAsia="黑体"/>
          <w:b w:val="0"/>
          <w:bCs w:val="0"/>
          <w:color w:val="auto"/>
          <w:sz w:val="32"/>
          <w:szCs w:val="32"/>
          <w:highlight w:val="none"/>
        </w:rPr>
        <w:t>明</w:t>
      </w:r>
      <w:r>
        <w:rPr>
          <w:rFonts w:hint="eastAsia" w:eastAsia="黑体"/>
          <w:b w:val="0"/>
          <w:bCs w:val="0"/>
          <w:color w:val="auto"/>
          <w:sz w:val="32"/>
          <w:szCs w:val="32"/>
          <w:highlight w:val="none"/>
          <w:lang w:val="en-US" w:eastAsia="zh-CN"/>
        </w:rPr>
        <w:t xml:space="preserve"> </w:t>
      </w:r>
      <w:r>
        <w:rPr>
          <w:rFonts w:eastAsia="黑体"/>
          <w:b w:val="0"/>
          <w:bCs w:val="0"/>
          <w:color w:val="auto"/>
          <w:sz w:val="32"/>
          <w:szCs w:val="32"/>
          <w:highlight w:val="none"/>
        </w:rPr>
        <w:t>标）</w:t>
      </w:r>
      <w:bookmarkEnd w:id="1305"/>
      <w:bookmarkEnd w:id="1306"/>
      <w:bookmarkEnd w:id="1307"/>
      <w:bookmarkEnd w:id="1308"/>
      <w:bookmarkEnd w:id="1309"/>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bookmarkEnd w:id="1204"/>
    <w:bookmarkEnd w:id="1205"/>
    <w:bookmarkEnd w:id="1206"/>
    <w:bookmarkEnd w:id="1207"/>
    <w:bookmarkEnd w:id="1208"/>
    <w:bookmarkEnd w:id="1209"/>
    <w:bookmarkEnd w:id="1210"/>
    <w:bookmarkEnd w:id="1211"/>
    <w:bookmarkEnd w:id="1212"/>
    <w:bookmarkEnd w:id="1213"/>
    <w:bookmarkEnd w:id="1214"/>
    <w:bookmarkEnd w:id="1215"/>
    <w:p>
      <w:pPr>
        <w:adjustRightInd w:val="0"/>
        <w:snapToGrid w:val="0"/>
        <w:spacing w:line="360" w:lineRule="auto"/>
        <w:rPr>
          <w:b w:val="0"/>
          <w:bCs w:val="0"/>
          <w:color w:val="auto"/>
          <w:sz w:val="28"/>
          <w:szCs w:val="28"/>
          <w:highlight w:val="none"/>
        </w:rPr>
      </w:pPr>
    </w:p>
    <w:p>
      <w:pPr>
        <w:pStyle w:val="2"/>
        <w:rPr>
          <w:b w:val="0"/>
          <w:bCs w:val="0"/>
          <w:color w:val="auto"/>
          <w:sz w:val="28"/>
          <w:szCs w:val="28"/>
          <w:highlight w:val="none"/>
        </w:rPr>
      </w:pPr>
    </w:p>
    <w:p>
      <w:pPr>
        <w:pStyle w:val="27"/>
        <w:rPr>
          <w:color w:val="auto"/>
          <w:highlight w:val="none"/>
        </w:rPr>
      </w:pPr>
    </w:p>
    <w:p>
      <w:pPr>
        <w:widowControl/>
        <w:jc w:val="center"/>
        <w:outlineLvl w:val="0"/>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p>
    <w:p>
      <w:pPr>
        <w:spacing w:line="360" w:lineRule="auto"/>
        <w:rPr>
          <w:color w:val="auto"/>
          <w:highlight w:val="none"/>
        </w:rPr>
      </w:pPr>
    </w:p>
    <w:p>
      <w:pPr>
        <w:spacing w:line="360" w:lineRule="auto"/>
        <w:rPr>
          <w:rFonts w:eastAsia="Times New Roman"/>
          <w:color w:val="auto"/>
          <w:highlight w:val="none"/>
        </w:rPr>
      </w:pPr>
    </w:p>
    <w:p>
      <w:pPr>
        <w:tabs>
          <w:tab w:val="left" w:pos="420"/>
        </w:tabs>
        <w:spacing w:line="360" w:lineRule="auto"/>
        <w:ind w:right="-13"/>
        <w:jc w:val="center"/>
        <w:rPr>
          <w:rFonts w:ascii="宋体"/>
          <w:color w:val="auto"/>
          <w:sz w:val="44"/>
          <w:szCs w:val="44"/>
          <w:highlight w:val="none"/>
        </w:rPr>
      </w:pPr>
      <w:r>
        <w:rPr>
          <w:rFonts w:hint="eastAsia" w:ascii="宋体" w:hAnsi="宋体" w:cs="宋体"/>
          <w:color w:val="auto"/>
          <w:sz w:val="44"/>
          <w:szCs w:val="44"/>
          <w:highlight w:val="none"/>
        </w:rPr>
        <w:t>投</w:t>
      </w:r>
      <w:r>
        <w:rPr>
          <w:rFonts w:ascii="宋体"/>
          <w:color w:val="auto"/>
          <w:sz w:val="44"/>
          <w:szCs w:val="44"/>
          <w:highlight w:val="none"/>
        </w:rPr>
        <w:tab/>
      </w:r>
      <w:r>
        <w:rPr>
          <w:rFonts w:hint="eastAsia" w:ascii="宋体" w:hAnsi="宋体" w:cs="宋体"/>
          <w:color w:val="auto"/>
          <w:sz w:val="44"/>
          <w:szCs w:val="44"/>
          <w:highlight w:val="none"/>
        </w:rPr>
        <w:t>标</w:t>
      </w:r>
      <w:r>
        <w:rPr>
          <w:rFonts w:ascii="宋体"/>
          <w:color w:val="auto"/>
          <w:sz w:val="44"/>
          <w:szCs w:val="44"/>
          <w:highlight w:val="none"/>
        </w:rPr>
        <w:tab/>
      </w:r>
      <w:r>
        <w:rPr>
          <w:rFonts w:hint="eastAsia" w:ascii="宋体" w:hAnsi="宋体" w:cs="宋体"/>
          <w:color w:val="auto"/>
          <w:sz w:val="44"/>
          <w:szCs w:val="44"/>
          <w:highlight w:val="none"/>
        </w:rPr>
        <w:t>文</w:t>
      </w:r>
      <w:r>
        <w:rPr>
          <w:rFonts w:ascii="宋体"/>
          <w:color w:val="auto"/>
          <w:sz w:val="44"/>
          <w:szCs w:val="44"/>
          <w:highlight w:val="none"/>
        </w:rPr>
        <w:tab/>
      </w:r>
      <w:r>
        <w:rPr>
          <w:rFonts w:hint="eastAsia" w:ascii="宋体" w:hAnsi="宋体" w:cs="宋体"/>
          <w:color w:val="auto"/>
          <w:sz w:val="44"/>
          <w:szCs w:val="44"/>
          <w:highlight w:val="none"/>
        </w:rPr>
        <w:t>件</w:t>
      </w:r>
    </w:p>
    <w:p>
      <w:pPr>
        <w:spacing w:line="360" w:lineRule="auto"/>
        <w:rPr>
          <w:rFonts w:eastAsia="Times New Roman"/>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ind w:right="-13"/>
        <w:jc w:val="center"/>
        <w:rPr>
          <w:rFonts w:ascii="宋体"/>
          <w:color w:val="auto"/>
          <w:sz w:val="32"/>
          <w:szCs w:val="32"/>
          <w:highlight w:val="none"/>
        </w:rPr>
      </w:pPr>
      <w:r>
        <w:rPr>
          <w:rFonts w:hint="eastAsia" w:ascii="宋体" w:hAnsi="宋体" w:cs="宋体"/>
          <w:color w:val="auto"/>
          <w:sz w:val="32"/>
          <w:szCs w:val="32"/>
          <w:highlight w:val="none"/>
        </w:rPr>
        <w:t>（技术标文件）</w:t>
      </w: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rPr>
          <w:color w:val="auto"/>
          <w:highlight w:val="none"/>
        </w:rPr>
      </w:pP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jc w:val="center"/>
        <w:outlineLvl w:val="0"/>
        <w:rPr>
          <w:rFonts w:eastAsia="黑体"/>
          <w:color w:val="auto"/>
          <w:sz w:val="28"/>
          <w:szCs w:val="28"/>
          <w:highlight w:val="none"/>
          <w:u w:val="single"/>
        </w:rPr>
      </w:pPr>
      <w:bookmarkStart w:id="1310" w:name="_Toc2615"/>
      <w:r>
        <w:rPr>
          <w:rFonts w:hint="eastAsia" w:eastAsia="黑体" w:cs="黑体"/>
          <w:color w:val="auto"/>
          <w:sz w:val="28"/>
          <w:szCs w:val="28"/>
          <w:highlight w:val="none"/>
        </w:rPr>
        <w:t>投标人：</w:t>
      </w:r>
      <w:r>
        <w:rPr>
          <w:rFonts w:eastAsia="黑体"/>
          <w:color w:val="auto"/>
          <w:sz w:val="28"/>
          <w:szCs w:val="28"/>
          <w:highlight w:val="none"/>
          <w:u w:val="single"/>
        </w:rPr>
        <w:t xml:space="preserve">                      </w:t>
      </w:r>
      <w:r>
        <w:rPr>
          <w:rFonts w:hint="eastAsia" w:eastAsia="黑体" w:cs="黑体"/>
          <w:color w:val="auto"/>
          <w:sz w:val="28"/>
          <w:szCs w:val="28"/>
          <w:highlight w:val="none"/>
        </w:rPr>
        <w:t>（</w:t>
      </w:r>
      <w:r>
        <w:rPr>
          <w:rFonts w:hint="eastAsia" w:eastAsia="黑体"/>
          <w:color w:val="auto"/>
          <w:sz w:val="28"/>
          <w:szCs w:val="28"/>
          <w:highlight w:val="none"/>
        </w:rPr>
        <w:t>独立体或联合体牵头人</w:t>
      </w:r>
      <w:r>
        <w:rPr>
          <w:rFonts w:hint="eastAsia" w:eastAsia="黑体" w:cs="黑体"/>
          <w:color w:val="auto"/>
          <w:sz w:val="28"/>
          <w:szCs w:val="28"/>
          <w:highlight w:val="none"/>
        </w:rPr>
        <w:t>盖单位章）</w:t>
      </w:r>
      <w:bookmarkEnd w:id="1310"/>
    </w:p>
    <w:p>
      <w:pPr>
        <w:spacing w:line="360" w:lineRule="auto"/>
        <w:jc w:val="center"/>
        <w:outlineLvl w:val="0"/>
        <w:rPr>
          <w:rFonts w:eastAsia="黑体"/>
          <w:color w:val="auto"/>
          <w:sz w:val="28"/>
          <w:szCs w:val="28"/>
          <w:highlight w:val="none"/>
        </w:rPr>
      </w:pPr>
      <w:bookmarkStart w:id="1311" w:name="_Toc914"/>
      <w:r>
        <w:rPr>
          <w:rFonts w:hint="eastAsia" w:eastAsia="黑体" w:cs="黑体"/>
          <w:color w:val="auto"/>
          <w:sz w:val="28"/>
          <w:szCs w:val="28"/>
          <w:highlight w:val="none"/>
        </w:rPr>
        <w:t>法定代表人或其委托代理人：</w:t>
      </w:r>
      <w:r>
        <w:rPr>
          <w:rFonts w:eastAsia="黑体"/>
          <w:color w:val="auto"/>
          <w:sz w:val="28"/>
          <w:szCs w:val="28"/>
          <w:highlight w:val="none"/>
          <w:u w:val="single"/>
        </w:rPr>
        <w:t xml:space="preserve">                </w:t>
      </w:r>
      <w:r>
        <w:rPr>
          <w:rFonts w:hint="eastAsia" w:eastAsia="黑体" w:cs="黑体"/>
          <w:color w:val="auto"/>
          <w:sz w:val="28"/>
          <w:szCs w:val="28"/>
          <w:highlight w:val="none"/>
        </w:rPr>
        <w:t>（签字</w:t>
      </w:r>
      <w:r>
        <w:rPr>
          <w:rFonts w:hint="eastAsia" w:eastAsia="黑体" w:cs="黑体"/>
          <w:color w:val="auto"/>
          <w:sz w:val="28"/>
          <w:szCs w:val="28"/>
          <w:highlight w:val="none"/>
          <w:lang w:val="en-US" w:eastAsia="zh-CN"/>
        </w:rPr>
        <w:t>或盖章</w:t>
      </w:r>
      <w:r>
        <w:rPr>
          <w:rFonts w:hint="eastAsia" w:eastAsia="黑体" w:cs="黑体"/>
          <w:color w:val="auto"/>
          <w:sz w:val="28"/>
          <w:szCs w:val="28"/>
          <w:highlight w:val="none"/>
        </w:rPr>
        <w:t>）</w:t>
      </w:r>
      <w:bookmarkEnd w:id="1311"/>
    </w:p>
    <w:p>
      <w:pPr>
        <w:spacing w:line="360" w:lineRule="auto"/>
        <w:jc w:val="center"/>
        <w:outlineLvl w:val="0"/>
        <w:rPr>
          <w:rFonts w:eastAsia="黑体"/>
          <w:color w:val="auto"/>
          <w:sz w:val="28"/>
          <w:szCs w:val="28"/>
          <w:highlight w:val="none"/>
        </w:rPr>
      </w:pPr>
      <w:r>
        <w:rPr>
          <w:rFonts w:eastAsia="黑体"/>
          <w:color w:val="auto"/>
          <w:sz w:val="28"/>
          <w:szCs w:val="28"/>
          <w:highlight w:val="none"/>
          <w:u w:val="single"/>
        </w:rPr>
        <w:t xml:space="preserve">        </w:t>
      </w:r>
      <w:bookmarkStart w:id="1312" w:name="_Toc10747"/>
      <w:r>
        <w:rPr>
          <w:rFonts w:hint="eastAsia" w:eastAsia="黑体" w:cs="黑体"/>
          <w:color w:val="auto"/>
          <w:sz w:val="28"/>
          <w:szCs w:val="28"/>
          <w:highlight w:val="none"/>
        </w:rPr>
        <w:t>年</w:t>
      </w:r>
      <w:r>
        <w:rPr>
          <w:rFonts w:eastAsia="黑体"/>
          <w:color w:val="auto"/>
          <w:sz w:val="28"/>
          <w:szCs w:val="28"/>
          <w:highlight w:val="none"/>
          <w:u w:val="single"/>
        </w:rPr>
        <w:t xml:space="preserve">        </w:t>
      </w:r>
      <w:r>
        <w:rPr>
          <w:rFonts w:hint="eastAsia" w:eastAsia="黑体" w:cs="黑体"/>
          <w:color w:val="auto"/>
          <w:sz w:val="28"/>
          <w:szCs w:val="28"/>
          <w:highlight w:val="none"/>
        </w:rPr>
        <w:t>月</w:t>
      </w:r>
      <w:r>
        <w:rPr>
          <w:rFonts w:eastAsia="黑体"/>
          <w:color w:val="auto"/>
          <w:sz w:val="28"/>
          <w:szCs w:val="28"/>
          <w:highlight w:val="none"/>
          <w:u w:val="single"/>
        </w:rPr>
        <w:t xml:space="preserve">         </w:t>
      </w:r>
      <w:r>
        <w:rPr>
          <w:rFonts w:hint="eastAsia" w:eastAsia="黑体" w:cs="黑体"/>
          <w:color w:val="auto"/>
          <w:sz w:val="28"/>
          <w:szCs w:val="28"/>
          <w:highlight w:val="none"/>
        </w:rPr>
        <w:t>日</w:t>
      </w:r>
      <w:bookmarkEnd w:id="1312"/>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9"/>
        <w:ind w:firstLine="0"/>
        <w:rPr>
          <w:rFonts w:hint="eastAsia"/>
          <w:color w:val="auto"/>
          <w:highlight w:val="none"/>
        </w:rPr>
      </w:pPr>
    </w:p>
    <w:p>
      <w:pPr>
        <w:pStyle w:val="4"/>
        <w:spacing w:line="420" w:lineRule="exact"/>
        <w:jc w:val="center"/>
        <w:outlineLvl w:val="9"/>
        <w:rPr>
          <w:rFonts w:hint="eastAsia" w:cs="黑体"/>
          <w:color w:val="auto"/>
          <w:highlight w:val="none"/>
        </w:rPr>
      </w:pPr>
      <w:bookmarkStart w:id="1313" w:name="_Hlk62128794"/>
    </w:p>
    <w:p>
      <w:pPr>
        <w:pStyle w:val="4"/>
        <w:spacing w:line="420" w:lineRule="exact"/>
        <w:jc w:val="center"/>
        <w:outlineLvl w:val="0"/>
        <w:rPr>
          <w:color w:val="auto"/>
          <w:highlight w:val="none"/>
        </w:rPr>
      </w:pPr>
      <w:bookmarkStart w:id="1314" w:name="_Toc14404"/>
      <w:r>
        <w:rPr>
          <w:rFonts w:hint="eastAsia" w:cs="黑体"/>
          <w:color w:val="auto"/>
          <w:highlight w:val="none"/>
        </w:rPr>
        <w:t>（一）、设计方案</w:t>
      </w:r>
      <w:bookmarkEnd w:id="1314"/>
    </w:p>
    <w:p>
      <w:pPr>
        <w:pStyle w:val="19"/>
        <w:ind w:firstLine="300"/>
        <w:rPr>
          <w:rFonts w:hint="eastAsia" w:cs="宋体" w:asciiTheme="minorHAnsi" w:hAnsiTheme="minorHAnsi"/>
          <w:b w:val="0"/>
          <w:bCs w:val="0"/>
          <w:color w:val="auto"/>
          <w:sz w:val="28"/>
          <w:szCs w:val="28"/>
          <w:highlight w:val="none"/>
        </w:rPr>
      </w:pPr>
      <w:r>
        <w:rPr>
          <w:rFonts w:hint="eastAsia" w:cs="宋体"/>
          <w:color w:val="auto"/>
          <w:sz w:val="28"/>
          <w:szCs w:val="28"/>
          <w:highlight w:val="none"/>
        </w:rPr>
        <w:t>说明：格式自拟，具体内容要求详见</w:t>
      </w:r>
      <w:r>
        <w:rPr>
          <w:rFonts w:hint="eastAsia" w:cs="宋体"/>
          <w:color w:val="auto"/>
          <w:sz w:val="28"/>
          <w:szCs w:val="28"/>
          <w:highlight w:val="none"/>
          <w:lang w:eastAsia="zh-CN"/>
        </w:rPr>
        <w:t>招标文件</w:t>
      </w:r>
      <w:r>
        <w:rPr>
          <w:rFonts w:hint="eastAsia" w:cs="宋体"/>
          <w:color w:val="auto"/>
          <w:sz w:val="28"/>
          <w:szCs w:val="28"/>
          <w:highlight w:val="none"/>
        </w:rPr>
        <w:t>第三章</w:t>
      </w:r>
      <w:r>
        <w:rPr>
          <w:rFonts w:hint="eastAsia" w:cs="宋体" w:asciiTheme="minorHAnsi" w:hAnsiTheme="minorHAnsi"/>
          <w:color w:val="auto"/>
          <w:sz w:val="28"/>
          <w:szCs w:val="28"/>
          <w:highlight w:val="none"/>
        </w:rPr>
        <w:t>附表3-10：</w:t>
      </w:r>
      <w:r>
        <w:rPr>
          <w:rFonts w:hint="eastAsia" w:cs="宋体"/>
          <w:b w:val="0"/>
          <w:bCs w:val="0"/>
          <w:color w:val="auto"/>
          <w:sz w:val="28"/>
          <w:szCs w:val="28"/>
          <w:highlight w:val="none"/>
          <w:lang w:eastAsia="zh-CN"/>
        </w:rPr>
        <w:t>设计方案</w:t>
      </w:r>
      <w:r>
        <w:rPr>
          <w:rFonts w:hint="eastAsia" w:cs="宋体" w:asciiTheme="minorHAnsi" w:hAnsiTheme="minorHAnsi"/>
          <w:b w:val="0"/>
          <w:bCs w:val="0"/>
          <w:color w:val="auto"/>
          <w:sz w:val="28"/>
          <w:szCs w:val="28"/>
          <w:highlight w:val="none"/>
        </w:rPr>
        <w:t>评审计分表</w:t>
      </w:r>
      <w:r>
        <w:rPr>
          <w:rFonts w:hint="eastAsia" w:cs="宋体"/>
          <w:color w:val="auto"/>
          <w:sz w:val="28"/>
          <w:szCs w:val="28"/>
          <w:highlight w:val="none"/>
        </w:rPr>
        <w:t>。</w:t>
      </w:r>
    </w:p>
    <w:p>
      <w:pPr>
        <w:spacing w:line="420" w:lineRule="exact"/>
        <w:rPr>
          <w:rFonts w:cs="宋体"/>
          <w:color w:val="auto"/>
          <w:highlight w:val="none"/>
        </w:rPr>
      </w:pPr>
    </w:p>
    <w:p>
      <w:pPr>
        <w:spacing w:line="420" w:lineRule="exact"/>
        <w:rPr>
          <w:rFonts w:cs="宋体"/>
          <w:color w:val="auto"/>
          <w:highlight w:val="none"/>
        </w:rPr>
      </w:pPr>
    </w:p>
    <w:p>
      <w:pPr>
        <w:spacing w:line="420" w:lineRule="exact"/>
        <w:rPr>
          <w:rFonts w:cs="宋体"/>
          <w:color w:val="auto"/>
          <w:highlight w:val="none"/>
        </w:rPr>
      </w:pPr>
    </w:p>
    <w:bookmarkEnd w:id="1313"/>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840" w:hanging="420"/>
        <w:rPr>
          <w:color w:val="auto"/>
          <w:highlight w:val="none"/>
        </w:rPr>
      </w:pPr>
    </w:p>
    <w:p>
      <w:pPr>
        <w:rPr>
          <w:color w:val="auto"/>
          <w:highlight w:val="none"/>
        </w:rPr>
      </w:pPr>
    </w:p>
    <w:p>
      <w:pPr>
        <w:pStyle w:val="15"/>
        <w:ind w:left="0" w:leftChars="0" w:firstLine="0" w:firstLineChars="0"/>
        <w:rPr>
          <w:color w:val="auto"/>
          <w:highlight w:val="none"/>
        </w:rPr>
      </w:pPr>
    </w:p>
    <w:p>
      <w:pPr>
        <w:pStyle w:val="15"/>
        <w:ind w:left="293" w:leftChars="31" w:hanging="228" w:hangingChars="95"/>
        <w:rPr>
          <w:rFonts w:hint="eastAsia"/>
          <w:color w:val="auto"/>
          <w:highlight w:val="none"/>
        </w:rPr>
      </w:pPr>
    </w:p>
    <w:p>
      <w:pPr>
        <w:keepNext/>
        <w:keepLines/>
        <w:spacing w:before="260" w:after="260" w:line="420" w:lineRule="exact"/>
        <w:jc w:val="center"/>
        <w:outlineLvl w:val="9"/>
        <w:rPr>
          <w:rFonts w:hint="eastAsia" w:ascii="Cambria" w:hAnsi="Cambria" w:cs="黑体"/>
          <w:b/>
          <w:bCs/>
          <w:color w:val="auto"/>
          <w:sz w:val="32"/>
          <w:szCs w:val="32"/>
          <w:highlight w:val="none"/>
        </w:rPr>
      </w:pPr>
    </w:p>
    <w:p>
      <w:pPr>
        <w:keepNext/>
        <w:keepLines/>
        <w:spacing w:before="260" w:after="260" w:line="420" w:lineRule="exact"/>
        <w:jc w:val="center"/>
        <w:outlineLvl w:val="0"/>
        <w:rPr>
          <w:rFonts w:ascii="Cambria" w:hAnsi="Cambria"/>
          <w:b/>
          <w:bCs/>
          <w:color w:val="auto"/>
          <w:sz w:val="32"/>
          <w:szCs w:val="32"/>
          <w:highlight w:val="none"/>
        </w:rPr>
      </w:pPr>
      <w:bookmarkStart w:id="1315" w:name="_Toc7692"/>
      <w:r>
        <w:rPr>
          <w:rFonts w:hint="eastAsia" w:ascii="Cambria" w:hAnsi="Cambria" w:cs="黑体"/>
          <w:b/>
          <w:bCs/>
          <w:color w:val="auto"/>
          <w:sz w:val="32"/>
          <w:szCs w:val="32"/>
          <w:highlight w:val="none"/>
        </w:rPr>
        <w:t xml:space="preserve">（二）、 </w:t>
      </w:r>
      <w:r>
        <w:rPr>
          <w:rFonts w:hint="eastAsia" w:ascii="Cambria" w:hAnsi="Cambria" w:cs="黑体"/>
          <w:b/>
          <w:bCs/>
          <w:color w:val="auto"/>
          <w:sz w:val="32"/>
          <w:szCs w:val="32"/>
          <w:highlight w:val="none"/>
          <w:lang w:val="en-US" w:eastAsia="zh-CN"/>
        </w:rPr>
        <w:t>实施</w:t>
      </w:r>
      <w:r>
        <w:rPr>
          <w:rFonts w:hint="eastAsia" w:ascii="Cambria" w:hAnsi="Cambria" w:cs="黑体"/>
          <w:b/>
          <w:bCs/>
          <w:color w:val="auto"/>
          <w:sz w:val="32"/>
          <w:szCs w:val="32"/>
          <w:highlight w:val="none"/>
        </w:rPr>
        <w:t>方案</w:t>
      </w:r>
      <w:bookmarkEnd w:id="1315"/>
    </w:p>
    <w:p>
      <w:pPr>
        <w:pStyle w:val="19"/>
        <w:ind w:firstLine="300"/>
        <w:rPr>
          <w:rFonts w:hint="eastAsia" w:cs="宋体" w:asciiTheme="minorHAnsi" w:hAnsiTheme="minorHAnsi"/>
          <w:b w:val="0"/>
          <w:bCs w:val="0"/>
          <w:color w:val="auto"/>
          <w:sz w:val="28"/>
          <w:szCs w:val="28"/>
          <w:highlight w:val="none"/>
        </w:rPr>
      </w:pPr>
      <w:r>
        <w:rPr>
          <w:rFonts w:hint="eastAsia" w:cs="宋体"/>
          <w:color w:val="auto"/>
          <w:sz w:val="28"/>
          <w:szCs w:val="28"/>
          <w:highlight w:val="none"/>
        </w:rPr>
        <w:t>说明：格式自拟，具体内容要求详见</w:t>
      </w:r>
      <w:r>
        <w:rPr>
          <w:rFonts w:hint="eastAsia" w:cs="宋体"/>
          <w:color w:val="auto"/>
          <w:sz w:val="28"/>
          <w:szCs w:val="28"/>
          <w:highlight w:val="none"/>
          <w:lang w:eastAsia="zh-CN"/>
        </w:rPr>
        <w:t>招标文件</w:t>
      </w:r>
      <w:r>
        <w:rPr>
          <w:rFonts w:hint="eastAsia" w:cs="宋体"/>
          <w:color w:val="auto"/>
          <w:sz w:val="28"/>
          <w:szCs w:val="28"/>
          <w:highlight w:val="none"/>
        </w:rPr>
        <w:t>第三章</w:t>
      </w:r>
      <w:r>
        <w:rPr>
          <w:rFonts w:hint="eastAsia" w:cs="宋体" w:asciiTheme="minorHAnsi" w:hAnsiTheme="minorHAnsi"/>
          <w:color w:val="auto"/>
          <w:sz w:val="28"/>
          <w:szCs w:val="28"/>
          <w:highlight w:val="none"/>
        </w:rPr>
        <w:t>附表3-1</w:t>
      </w:r>
      <w:r>
        <w:rPr>
          <w:rFonts w:hint="eastAsia" w:cs="宋体"/>
          <w:color w:val="auto"/>
          <w:sz w:val="28"/>
          <w:szCs w:val="28"/>
          <w:highlight w:val="none"/>
          <w:lang w:val="en-US" w:eastAsia="zh-CN"/>
        </w:rPr>
        <w:t>1</w:t>
      </w:r>
      <w:r>
        <w:rPr>
          <w:rFonts w:hint="eastAsia" w:cs="宋体" w:asciiTheme="minorHAnsi" w:hAnsiTheme="minorHAnsi"/>
          <w:color w:val="auto"/>
          <w:sz w:val="28"/>
          <w:szCs w:val="28"/>
          <w:highlight w:val="none"/>
        </w:rPr>
        <w:t>：</w:t>
      </w:r>
      <w:r>
        <w:rPr>
          <w:rFonts w:hint="eastAsia" w:cs="宋体"/>
          <w:color w:val="auto"/>
          <w:sz w:val="28"/>
          <w:szCs w:val="28"/>
          <w:highlight w:val="none"/>
          <w:lang w:eastAsia="zh-CN"/>
        </w:rPr>
        <w:t>实施方案</w:t>
      </w:r>
      <w:r>
        <w:rPr>
          <w:rFonts w:hint="eastAsia" w:cs="宋体" w:asciiTheme="minorHAnsi" w:hAnsiTheme="minorHAnsi"/>
          <w:b w:val="0"/>
          <w:bCs w:val="0"/>
          <w:color w:val="auto"/>
          <w:sz w:val="28"/>
          <w:szCs w:val="28"/>
          <w:highlight w:val="none"/>
        </w:rPr>
        <w:t>评审计分表</w:t>
      </w:r>
      <w:r>
        <w:rPr>
          <w:rFonts w:hint="eastAsia" w:cs="宋体"/>
          <w:color w:val="auto"/>
          <w:sz w:val="28"/>
          <w:szCs w:val="28"/>
          <w:highlight w:val="none"/>
        </w:rPr>
        <w:t>。</w:t>
      </w:r>
    </w:p>
    <w:p>
      <w:pPr>
        <w:spacing w:line="420" w:lineRule="exact"/>
        <w:rPr>
          <w:rFonts w:cs="宋体"/>
          <w:color w:val="auto"/>
          <w:highlight w:val="none"/>
        </w:rPr>
      </w:pPr>
    </w:p>
    <w:p>
      <w:pPr>
        <w:spacing w:line="420" w:lineRule="exact"/>
        <w:rPr>
          <w:rFonts w:cs="宋体"/>
          <w:color w:val="auto"/>
          <w:highlight w:val="none"/>
        </w:rPr>
      </w:pPr>
    </w:p>
    <w:p>
      <w:pPr>
        <w:rPr>
          <w:color w:val="auto"/>
          <w:highlight w:val="none"/>
        </w:rPr>
      </w:pPr>
    </w:p>
    <w:p>
      <w:pPr>
        <w:pStyle w:val="15"/>
        <w:ind w:left="840" w:hanging="420"/>
        <w:rPr>
          <w:color w:val="auto"/>
          <w:highlight w:val="none"/>
        </w:rPr>
      </w:pPr>
    </w:p>
    <w:p>
      <w:pPr>
        <w:rPr>
          <w:rFonts w:hint="eastAsia"/>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ind w:firstLine="359" w:firstLineChars="171"/>
        <w:rPr>
          <w:rFonts w:hint="eastAsia" w:ascii="宋体" w:hAnsi="宋体" w:cs="宋体"/>
          <w:b/>
          <w:color w:val="auto"/>
          <w:highlight w:val="none"/>
        </w:rPr>
      </w:pPr>
    </w:p>
    <w:p>
      <w:pPr>
        <w:spacing w:before="156" w:beforeLines="50" w:line="360" w:lineRule="exact"/>
        <w:rPr>
          <w:color w:val="auto"/>
          <w:highlight w:val="none"/>
        </w:rPr>
      </w:pPr>
    </w:p>
    <w:sectPr>
      <w:headerReference r:id="rId24" w:type="default"/>
      <w:footerReference r:id="rId25" w:type="default"/>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p/>
  <w:p/>
  <w:p/>
  <w:p/>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38</w:t>
    </w:r>
    <w: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88"/>
      </w:tabs>
    </w:pPr>
    <w:r>
      <w:tab/>
    </w:r>
    <w:r>
      <w:fldChar w:fldCharType="begin"/>
    </w:r>
    <w:r>
      <w:instrText xml:space="preserve"> PAGE   \* MERGEFORMAT </w:instrText>
    </w:r>
    <w:r>
      <w:fldChar w:fldCharType="separate"/>
    </w:r>
    <w:r>
      <w:rPr>
        <w:lang w:val="zh-CN"/>
      </w:rPr>
      <w:t>38</w:t>
    </w:r>
    <w:r>
      <w:fldChar w:fldCharType="end"/>
    </w:r>
    <w:r>
      <w:tab/>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39</w:t>
    </w:r>
    <w:r>
      <w:fldChar w:fldCharType="end"/>
    </w:r>
  </w:p>
  <w:p>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40</w:t>
    </w:r>
    <w:r>
      <w:fldChar w:fldCharType="end"/>
    </w:r>
  </w:p>
  <w:p>
    <w:pPr>
      <w:pStyle w:val="12"/>
      <w:rPr>
        <w:rFonts w:hint="eastAsia" w:cs="宋体"/>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100</w:t>
                          </w:r>
                          <w:r>
                            <w:rPr>
                              <w:rFonts w:hint="eastAsia"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X/XtEBAACiAwAADgAAAGRycy9lMm9Eb2MueG1srVPNjtMwEL4j8Q6W&#10;7zTZSsuW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N5Q4rjFgZ9/fD///H3+9Y3c&#10;ZHn6AA1m3QfMS8M7P+DSzPeAl5n1oKLNX+RDMI7ini7iyiERkR+tlqtVjSGBsdlB/OrxeYiQ3ktv&#10;STYYjTi9Iio/foQ0ps4puZrzd9qYMkHjSM/om+vld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6V/17RAQAAogMAAA4AAAAAAAAAAQAgAAAAHgEAAGRy&#10;cy9lMm9Eb2MueG1sUEsFBgAAAAAGAAYAWQEAAGEFAAAAAA==&#10;">
              <v:fill on="f" focussize="0,0"/>
              <v:stroke on="f"/>
              <v:imagedata o:title=""/>
              <o:lock v:ext="edit" aspectratio="f"/>
              <v:textbox inset="0mm,0mm,0mm,0mm" style="mso-fit-shape-to-text:t;">
                <w:txbxContent>
                  <w:p>
                    <w:pPr>
                      <w:pStyle w:val="12"/>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100</w:t>
                    </w:r>
                    <w:r>
                      <w:rPr>
                        <w:rFonts w:hint="eastAsia"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ascii="宋体" w:hAnsi="宋体"/>
        <w:b/>
        <w:bCs/>
        <w:sz w:val="24"/>
        <w:szCs w:val="24"/>
      </w:rPr>
      <w:fldChar w:fldCharType="begin"/>
    </w:r>
    <w:r>
      <w:rPr>
        <w:rFonts w:ascii="宋体" w:hAnsi="宋体"/>
        <w:b/>
        <w:bCs/>
      </w:rPr>
      <w:instrText xml:space="preserve">PAGE</w:instrText>
    </w:r>
    <w:r>
      <w:rPr>
        <w:rFonts w:ascii="宋体" w:hAnsi="宋体"/>
        <w:b/>
        <w:bCs/>
        <w:sz w:val="24"/>
        <w:szCs w:val="24"/>
      </w:rPr>
      <w:fldChar w:fldCharType="separate"/>
    </w:r>
    <w:r>
      <w:rPr>
        <w:rFonts w:ascii="宋体" w:hAnsi="宋体"/>
        <w:b/>
        <w:bCs/>
      </w:rPr>
      <w:t>99</w:t>
    </w:r>
    <w:r>
      <w:rPr>
        <w:rFonts w:ascii="宋体" w:hAnsi="宋体"/>
        <w:b/>
        <w:bCs/>
        <w:sz w:val="24"/>
        <w:szCs w:val="24"/>
      </w:rPr>
      <w:fldChar w:fldCharType="end"/>
    </w:r>
    <w:r>
      <w:rPr>
        <w:rFonts w:ascii="宋体" w:hAnsi="宋体"/>
        <w:lang w:val="zh-CN"/>
      </w:rPr>
      <w:t xml:space="preserve"> / </w:t>
    </w:r>
    <w:r>
      <w:rPr>
        <w:rFonts w:ascii="宋体" w:hAnsi="宋体"/>
        <w:b/>
        <w:bCs/>
        <w:sz w:val="24"/>
        <w:szCs w:val="24"/>
      </w:rPr>
      <w:fldChar w:fldCharType="begin"/>
    </w:r>
    <w:r>
      <w:rPr>
        <w:rFonts w:ascii="宋体" w:hAnsi="宋体"/>
        <w:b/>
        <w:bCs/>
      </w:rPr>
      <w:instrText xml:space="preserve">NUMPAGES</w:instrText>
    </w:r>
    <w:r>
      <w:rPr>
        <w:rFonts w:ascii="宋体" w:hAnsi="宋体"/>
        <w:b/>
        <w:bCs/>
        <w:sz w:val="24"/>
        <w:szCs w:val="24"/>
      </w:rPr>
      <w:fldChar w:fldCharType="separate"/>
    </w:r>
    <w:r>
      <w:rPr>
        <w:rFonts w:ascii="宋体" w:hAnsi="宋体"/>
        <w:b/>
        <w:bCs/>
      </w:rPr>
      <w:t>157</w:t>
    </w:r>
    <w:r>
      <w:rPr>
        <w:rFonts w:ascii="宋体" w:hAnsi="宋体"/>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jc w:val="center"/>
                          </w:pPr>
                          <w:r>
                            <w:fldChar w:fldCharType="begin"/>
                          </w:r>
                          <w:r>
                            <w:instrText xml:space="preserve">PAGE   \* MERGEFORMAT</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zjRtv0gEAAKQDAAAOAAAAAAAAAAEAIAAAAB4BAABk&#10;cnMvZTJvRG9jLnhtbFBLBQYAAAAABgAGAFkBAABiBQAAAAA=&#10;">
              <v:fill on="f" focussize="0,0"/>
              <v:stroke on="f"/>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sQV9/RAQAAogMAAA4AAAAAAAAAAQAgAAAAHgEAAGRy&#10;cy9lMm9Eb2MueG1sUEsFBgAAAAAGAAYAWQEAAGEFAAAAAA==&#10;">
              <v:fill on="f" focussize="0,0"/>
              <v:stroke on="f"/>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6432;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UTQ0QAAAAMBAAAPAAAAAAAAAAEAIAAAACIAAABkcnMvZG93&#10;bnJldi54bWxQSwECFAAUAAAACACHTuJApIg0L84BAACXAwAADgAAAAAAAAABACAAAAAgAQAAZHJz&#10;L2Uyb0RvYy54bWxQSwUGAAAAAAYABgBZAQAAYAU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33</w:t>
    </w:r>
    <w: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firstLineChars="200"/>
      <w:rPr>
        <w:color w:val="000000"/>
        <w:szCs w:val="21"/>
      </w:rPr>
    </w:pPr>
    <w:r>
      <w:rPr>
        <w:rFonts w:hint="eastAsia"/>
      </w:rPr>
      <w:t xml:space="preserve">     </w:t>
    </w:r>
  </w:p>
  <w:p>
    <w:pPr>
      <w:pStyle w:val="13"/>
      <w:jc w:val="left"/>
    </w:pPr>
    <w:r>
      <w:rPr>
        <w:rFonts w:hint="eastAsia"/>
      </w:rPr>
      <w:t xml:space="preserve">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asci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200"/>
        <w:tab w:val="left" w:pos="4620"/>
        <w:tab w:val="left" w:pos="5040"/>
        <w:tab w:val="clear" w:pos="8306"/>
      </w:tabs>
      <w:spacing w:before="480" w:beforeLines="2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6AFA6"/>
    <w:multiLevelType w:val="singleLevel"/>
    <w:tmpl w:val="9416AFA6"/>
    <w:lvl w:ilvl="0" w:tentative="0">
      <w:start w:val="3"/>
      <w:numFmt w:val="decimal"/>
      <w:suff w:val="space"/>
      <w:lvlText w:val="第%1条"/>
      <w:lvlJc w:val="left"/>
    </w:lvl>
  </w:abstractNum>
  <w:abstractNum w:abstractNumId="1">
    <w:nsid w:val="D4A107F0"/>
    <w:multiLevelType w:val="singleLevel"/>
    <w:tmpl w:val="D4A107F0"/>
    <w:lvl w:ilvl="0" w:tentative="0">
      <w:start w:val="1"/>
      <w:numFmt w:val="decimal"/>
      <w:suff w:val="nothing"/>
      <w:lvlText w:val="（%1）"/>
      <w:lvlJc w:val="left"/>
    </w:lvl>
  </w:abstractNum>
  <w:abstractNum w:abstractNumId="2">
    <w:nsid w:val="DF8D1A70"/>
    <w:multiLevelType w:val="singleLevel"/>
    <w:tmpl w:val="DF8D1A70"/>
    <w:lvl w:ilvl="0" w:tentative="0">
      <w:start w:val="3"/>
      <w:numFmt w:val="chineseCounting"/>
      <w:suff w:val="space"/>
      <w:lvlText w:val="第%1章"/>
      <w:lvlJc w:val="left"/>
      <w:rPr>
        <w:rFonts w:hint="eastAsia"/>
      </w:rPr>
    </w:lvl>
  </w:abstractNum>
  <w:abstractNum w:abstractNumId="3">
    <w:nsid w:val="E50DE0BC"/>
    <w:multiLevelType w:val="singleLevel"/>
    <w:tmpl w:val="E50DE0BC"/>
    <w:lvl w:ilvl="0" w:tentative="0">
      <w:start w:val="1"/>
      <w:numFmt w:val="decimal"/>
      <w:suff w:val="nothing"/>
      <w:lvlText w:val="%1、"/>
      <w:lvlJc w:val="left"/>
    </w:lvl>
  </w:abstractNum>
  <w:abstractNum w:abstractNumId="4">
    <w:nsid w:val="01E967D5"/>
    <w:multiLevelType w:val="multilevel"/>
    <w:tmpl w:val="01E967D5"/>
    <w:lvl w:ilvl="0" w:tentative="0">
      <w:start w:val="1"/>
      <w:numFmt w:val="chineseCountingThousand"/>
      <w:pStyle w:val="36"/>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4447A5"/>
    <w:multiLevelType w:val="multilevel"/>
    <w:tmpl w:val="044447A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B0DBCC"/>
    <w:multiLevelType w:val="singleLevel"/>
    <w:tmpl w:val="25B0DBCC"/>
    <w:lvl w:ilvl="0" w:tentative="0">
      <w:start w:val="1"/>
      <w:numFmt w:val="decimal"/>
      <w:suff w:val="nothing"/>
      <w:lvlText w:val="（%1）"/>
      <w:lvlJc w:val="left"/>
      <w:rPr>
        <w:rFonts w:cs="Times New Roman"/>
      </w:rPr>
    </w:lvl>
  </w:abstractNum>
  <w:abstractNum w:abstractNumId="7">
    <w:nsid w:val="33CF43D5"/>
    <w:multiLevelType w:val="singleLevel"/>
    <w:tmpl w:val="33CF43D5"/>
    <w:lvl w:ilvl="0" w:tentative="0">
      <w:start w:val="1"/>
      <w:numFmt w:val="decimal"/>
      <w:suff w:val="nothing"/>
      <w:lvlText w:val="（%1）"/>
      <w:lvlJc w:val="left"/>
    </w:lvl>
  </w:abstractNum>
  <w:abstractNum w:abstractNumId="8">
    <w:nsid w:val="3AA800C6"/>
    <w:multiLevelType w:val="multilevel"/>
    <w:tmpl w:val="3AA800C6"/>
    <w:lvl w:ilvl="0" w:tentative="0">
      <w:start w:val="1"/>
      <w:numFmt w:val="decimal"/>
      <w:pStyle w:val="4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62687BB6"/>
    <w:multiLevelType w:val="multilevel"/>
    <w:tmpl w:val="62687BB6"/>
    <w:lvl w:ilvl="0" w:tentative="0">
      <w:start w:val="1"/>
      <w:numFmt w:val="decimal"/>
      <w:pStyle w:val="4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0">
    <w:nsid w:val="6E87019F"/>
    <w:multiLevelType w:val="multilevel"/>
    <w:tmpl w:val="6E87019F"/>
    <w:lvl w:ilvl="0" w:tentative="0">
      <w:start w:val="1"/>
      <w:numFmt w:val="chineseCountingThousand"/>
      <w:pStyle w:val="3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543651A"/>
    <w:multiLevelType w:val="multilevel"/>
    <w:tmpl w:val="7543651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57"/>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8"/>
  </w:num>
  <w:num w:numId="4">
    <w:abstractNumId w:val="9"/>
  </w:num>
  <w:num w:numId="5">
    <w:abstractNumId w:val="1"/>
  </w:num>
  <w:num w:numId="6">
    <w:abstractNumId w:val="11"/>
  </w:num>
  <w:num w:numId="7">
    <w:abstractNumId w:val="7"/>
  </w:num>
  <w:num w:numId="8">
    <w:abstractNumId w:val="2"/>
  </w:num>
  <w:num w:numId="9">
    <w:abstractNumId w:val="6"/>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347A"/>
    <w:rsid w:val="0046437D"/>
    <w:rsid w:val="009C44F7"/>
    <w:rsid w:val="00F73334"/>
    <w:rsid w:val="010F044A"/>
    <w:rsid w:val="013F00C3"/>
    <w:rsid w:val="015667A3"/>
    <w:rsid w:val="020D7EEA"/>
    <w:rsid w:val="020E47AD"/>
    <w:rsid w:val="02113873"/>
    <w:rsid w:val="026F496A"/>
    <w:rsid w:val="031A0F06"/>
    <w:rsid w:val="03A6201F"/>
    <w:rsid w:val="03A909C9"/>
    <w:rsid w:val="03AD6DC3"/>
    <w:rsid w:val="03BC0CE8"/>
    <w:rsid w:val="03E07857"/>
    <w:rsid w:val="04184FAD"/>
    <w:rsid w:val="045F2339"/>
    <w:rsid w:val="0485353F"/>
    <w:rsid w:val="04D639C5"/>
    <w:rsid w:val="04DF18E8"/>
    <w:rsid w:val="05541DA6"/>
    <w:rsid w:val="06676203"/>
    <w:rsid w:val="06977220"/>
    <w:rsid w:val="06BA3DBC"/>
    <w:rsid w:val="071D2B2F"/>
    <w:rsid w:val="075114D9"/>
    <w:rsid w:val="07A53DFD"/>
    <w:rsid w:val="07C37A67"/>
    <w:rsid w:val="07E7220C"/>
    <w:rsid w:val="08846623"/>
    <w:rsid w:val="08A02DAB"/>
    <w:rsid w:val="08B82059"/>
    <w:rsid w:val="08D8181F"/>
    <w:rsid w:val="08DF68F0"/>
    <w:rsid w:val="093C235F"/>
    <w:rsid w:val="0A297127"/>
    <w:rsid w:val="0A93125C"/>
    <w:rsid w:val="0B8D7624"/>
    <w:rsid w:val="0BFA48CE"/>
    <w:rsid w:val="0CB53F80"/>
    <w:rsid w:val="0CC141DD"/>
    <w:rsid w:val="0D0D064A"/>
    <w:rsid w:val="0D0E2BEA"/>
    <w:rsid w:val="0DC651BC"/>
    <w:rsid w:val="0E3E610D"/>
    <w:rsid w:val="0EE617DE"/>
    <w:rsid w:val="0EF767BF"/>
    <w:rsid w:val="0F0D7984"/>
    <w:rsid w:val="0F38183E"/>
    <w:rsid w:val="0F8F522A"/>
    <w:rsid w:val="0F9902E0"/>
    <w:rsid w:val="10080D02"/>
    <w:rsid w:val="109600C3"/>
    <w:rsid w:val="10F3468E"/>
    <w:rsid w:val="11170312"/>
    <w:rsid w:val="111A644C"/>
    <w:rsid w:val="112B3646"/>
    <w:rsid w:val="11714F54"/>
    <w:rsid w:val="118D64D0"/>
    <w:rsid w:val="11BD0198"/>
    <w:rsid w:val="122E3BB1"/>
    <w:rsid w:val="12477F89"/>
    <w:rsid w:val="124C76CF"/>
    <w:rsid w:val="12793D90"/>
    <w:rsid w:val="12F52D40"/>
    <w:rsid w:val="1364730D"/>
    <w:rsid w:val="13960C0D"/>
    <w:rsid w:val="1434252A"/>
    <w:rsid w:val="1456678E"/>
    <w:rsid w:val="15AA747D"/>
    <w:rsid w:val="15B63594"/>
    <w:rsid w:val="163D7934"/>
    <w:rsid w:val="16891C88"/>
    <w:rsid w:val="178C7C61"/>
    <w:rsid w:val="17A36C1F"/>
    <w:rsid w:val="180856E0"/>
    <w:rsid w:val="18381D8D"/>
    <w:rsid w:val="183F4FD3"/>
    <w:rsid w:val="18441E74"/>
    <w:rsid w:val="18A57F99"/>
    <w:rsid w:val="18C30DDB"/>
    <w:rsid w:val="18C62A7C"/>
    <w:rsid w:val="18D82123"/>
    <w:rsid w:val="19443157"/>
    <w:rsid w:val="19566AC0"/>
    <w:rsid w:val="19641C47"/>
    <w:rsid w:val="197700E4"/>
    <w:rsid w:val="198A4A84"/>
    <w:rsid w:val="19B62326"/>
    <w:rsid w:val="19CC62FB"/>
    <w:rsid w:val="1A283AB5"/>
    <w:rsid w:val="1A7B4409"/>
    <w:rsid w:val="1A8970C3"/>
    <w:rsid w:val="1B136E5B"/>
    <w:rsid w:val="1B25101A"/>
    <w:rsid w:val="1BC64E9C"/>
    <w:rsid w:val="1BF426C8"/>
    <w:rsid w:val="1C346757"/>
    <w:rsid w:val="1CC622E4"/>
    <w:rsid w:val="1D006B3D"/>
    <w:rsid w:val="1D3E0CAD"/>
    <w:rsid w:val="1D8242E3"/>
    <w:rsid w:val="1D852EC0"/>
    <w:rsid w:val="1DA42033"/>
    <w:rsid w:val="1DA63B28"/>
    <w:rsid w:val="1DC27766"/>
    <w:rsid w:val="1DD41A31"/>
    <w:rsid w:val="1DE47916"/>
    <w:rsid w:val="1E593E03"/>
    <w:rsid w:val="1F117594"/>
    <w:rsid w:val="1F5E30CF"/>
    <w:rsid w:val="1F7473EA"/>
    <w:rsid w:val="1FB43A7C"/>
    <w:rsid w:val="20480CA2"/>
    <w:rsid w:val="2075488A"/>
    <w:rsid w:val="20C76D23"/>
    <w:rsid w:val="20FD53B7"/>
    <w:rsid w:val="21632CEB"/>
    <w:rsid w:val="21ED1FAC"/>
    <w:rsid w:val="226E1348"/>
    <w:rsid w:val="23545BFA"/>
    <w:rsid w:val="23584B76"/>
    <w:rsid w:val="23977EED"/>
    <w:rsid w:val="23D46EBF"/>
    <w:rsid w:val="2419494D"/>
    <w:rsid w:val="24570EC5"/>
    <w:rsid w:val="245A1B2E"/>
    <w:rsid w:val="24720EF2"/>
    <w:rsid w:val="247D1183"/>
    <w:rsid w:val="24931A3D"/>
    <w:rsid w:val="24E3285A"/>
    <w:rsid w:val="24F50B7F"/>
    <w:rsid w:val="25484CD8"/>
    <w:rsid w:val="257D620C"/>
    <w:rsid w:val="25820423"/>
    <w:rsid w:val="259A7E06"/>
    <w:rsid w:val="25AF3E7F"/>
    <w:rsid w:val="25D67306"/>
    <w:rsid w:val="261F24B1"/>
    <w:rsid w:val="2638110F"/>
    <w:rsid w:val="2647683E"/>
    <w:rsid w:val="268F4ABA"/>
    <w:rsid w:val="26A120AD"/>
    <w:rsid w:val="27115F82"/>
    <w:rsid w:val="271B70A3"/>
    <w:rsid w:val="27380394"/>
    <w:rsid w:val="27C17945"/>
    <w:rsid w:val="27CA114A"/>
    <w:rsid w:val="27E5593C"/>
    <w:rsid w:val="28716E72"/>
    <w:rsid w:val="28975C49"/>
    <w:rsid w:val="28D3634B"/>
    <w:rsid w:val="29C14205"/>
    <w:rsid w:val="2A802CB8"/>
    <w:rsid w:val="2A9C4956"/>
    <w:rsid w:val="2AD320BE"/>
    <w:rsid w:val="2AEA034C"/>
    <w:rsid w:val="2AFA39A4"/>
    <w:rsid w:val="2B96677A"/>
    <w:rsid w:val="2B9D61DF"/>
    <w:rsid w:val="2BB764DD"/>
    <w:rsid w:val="2CAD73A5"/>
    <w:rsid w:val="2D0759BE"/>
    <w:rsid w:val="2D182DE6"/>
    <w:rsid w:val="2DBB1BCD"/>
    <w:rsid w:val="2E0777B9"/>
    <w:rsid w:val="2E2A7EF3"/>
    <w:rsid w:val="2E3539BF"/>
    <w:rsid w:val="2E4C3387"/>
    <w:rsid w:val="2E934596"/>
    <w:rsid w:val="2E951774"/>
    <w:rsid w:val="2E9D2405"/>
    <w:rsid w:val="2EB733E6"/>
    <w:rsid w:val="2EF628CD"/>
    <w:rsid w:val="2EFF15FB"/>
    <w:rsid w:val="2F3C6FA6"/>
    <w:rsid w:val="2F89692A"/>
    <w:rsid w:val="2FCE6793"/>
    <w:rsid w:val="2FD5485D"/>
    <w:rsid w:val="2FE60A00"/>
    <w:rsid w:val="30282A3A"/>
    <w:rsid w:val="30A43343"/>
    <w:rsid w:val="319202A1"/>
    <w:rsid w:val="327910B4"/>
    <w:rsid w:val="32F47A80"/>
    <w:rsid w:val="33454D52"/>
    <w:rsid w:val="337B5711"/>
    <w:rsid w:val="338A19D6"/>
    <w:rsid w:val="33A97B0F"/>
    <w:rsid w:val="349421AE"/>
    <w:rsid w:val="355172B7"/>
    <w:rsid w:val="3569283B"/>
    <w:rsid w:val="35B018D6"/>
    <w:rsid w:val="367C1FE1"/>
    <w:rsid w:val="36C7312B"/>
    <w:rsid w:val="37307BBF"/>
    <w:rsid w:val="37AD0E4E"/>
    <w:rsid w:val="37E06996"/>
    <w:rsid w:val="387E3B45"/>
    <w:rsid w:val="389F382B"/>
    <w:rsid w:val="38DC053C"/>
    <w:rsid w:val="397E060F"/>
    <w:rsid w:val="3A2A5A52"/>
    <w:rsid w:val="3A402091"/>
    <w:rsid w:val="3B476F2C"/>
    <w:rsid w:val="3BB01726"/>
    <w:rsid w:val="3BE57985"/>
    <w:rsid w:val="3BF15C60"/>
    <w:rsid w:val="3BFA7165"/>
    <w:rsid w:val="3CA25FE1"/>
    <w:rsid w:val="3D1C44EA"/>
    <w:rsid w:val="3D313436"/>
    <w:rsid w:val="3D41684A"/>
    <w:rsid w:val="3D4C67A5"/>
    <w:rsid w:val="3DFA35C5"/>
    <w:rsid w:val="3E0E7417"/>
    <w:rsid w:val="3F3E747F"/>
    <w:rsid w:val="3F967015"/>
    <w:rsid w:val="40B85377"/>
    <w:rsid w:val="41224F13"/>
    <w:rsid w:val="41524864"/>
    <w:rsid w:val="41CE1D75"/>
    <w:rsid w:val="41DB5BAB"/>
    <w:rsid w:val="41E53CDF"/>
    <w:rsid w:val="42225EA7"/>
    <w:rsid w:val="42443C81"/>
    <w:rsid w:val="429642E7"/>
    <w:rsid w:val="432C7545"/>
    <w:rsid w:val="433D4B2D"/>
    <w:rsid w:val="43906E84"/>
    <w:rsid w:val="43C27539"/>
    <w:rsid w:val="43FC46A2"/>
    <w:rsid w:val="44403EA4"/>
    <w:rsid w:val="447B5631"/>
    <w:rsid w:val="44B63FB7"/>
    <w:rsid w:val="457201ED"/>
    <w:rsid w:val="459F148C"/>
    <w:rsid w:val="45F618CA"/>
    <w:rsid w:val="45F825F8"/>
    <w:rsid w:val="464706B8"/>
    <w:rsid w:val="467950C3"/>
    <w:rsid w:val="47294313"/>
    <w:rsid w:val="4762654B"/>
    <w:rsid w:val="47626D39"/>
    <w:rsid w:val="47D542E8"/>
    <w:rsid w:val="47E4779F"/>
    <w:rsid w:val="4832772D"/>
    <w:rsid w:val="48BD6BF5"/>
    <w:rsid w:val="496620ED"/>
    <w:rsid w:val="49951B28"/>
    <w:rsid w:val="4ABE79EB"/>
    <w:rsid w:val="4AC203BC"/>
    <w:rsid w:val="4B0D316D"/>
    <w:rsid w:val="4B4653B3"/>
    <w:rsid w:val="4C84162D"/>
    <w:rsid w:val="4CD35719"/>
    <w:rsid w:val="4D0F0221"/>
    <w:rsid w:val="4E201E65"/>
    <w:rsid w:val="4E400BAD"/>
    <w:rsid w:val="4E515654"/>
    <w:rsid w:val="4EC07BC3"/>
    <w:rsid w:val="4EC47CBD"/>
    <w:rsid w:val="4EED19F0"/>
    <w:rsid w:val="4F16252D"/>
    <w:rsid w:val="4F2E670C"/>
    <w:rsid w:val="4F370EFE"/>
    <w:rsid w:val="4F3777C0"/>
    <w:rsid w:val="4F4A4C40"/>
    <w:rsid w:val="4F7C51DD"/>
    <w:rsid w:val="4FBE76A8"/>
    <w:rsid w:val="502B6611"/>
    <w:rsid w:val="50F67B26"/>
    <w:rsid w:val="51893756"/>
    <w:rsid w:val="51DF5ADF"/>
    <w:rsid w:val="51E01E13"/>
    <w:rsid w:val="527303CB"/>
    <w:rsid w:val="52871894"/>
    <w:rsid w:val="52911B4A"/>
    <w:rsid w:val="52E77BB9"/>
    <w:rsid w:val="533A3B03"/>
    <w:rsid w:val="536E20C1"/>
    <w:rsid w:val="53996B7B"/>
    <w:rsid w:val="53F7371C"/>
    <w:rsid w:val="549952AD"/>
    <w:rsid w:val="54AA6AF0"/>
    <w:rsid w:val="55A14DC9"/>
    <w:rsid w:val="55A31448"/>
    <w:rsid w:val="55ED101E"/>
    <w:rsid w:val="56503FD9"/>
    <w:rsid w:val="568757C4"/>
    <w:rsid w:val="56984FDA"/>
    <w:rsid w:val="56F13083"/>
    <w:rsid w:val="572517F0"/>
    <w:rsid w:val="57550A5F"/>
    <w:rsid w:val="5780345D"/>
    <w:rsid w:val="57DC05AA"/>
    <w:rsid w:val="58377E28"/>
    <w:rsid w:val="58D73811"/>
    <w:rsid w:val="58DF4740"/>
    <w:rsid w:val="58E32F4F"/>
    <w:rsid w:val="58E93B9C"/>
    <w:rsid w:val="592C43D3"/>
    <w:rsid w:val="59596DD3"/>
    <w:rsid w:val="59CB18D3"/>
    <w:rsid w:val="59F362E8"/>
    <w:rsid w:val="5A564E13"/>
    <w:rsid w:val="5AC71BD2"/>
    <w:rsid w:val="5AE9133C"/>
    <w:rsid w:val="5B027F06"/>
    <w:rsid w:val="5B46356E"/>
    <w:rsid w:val="5B4C4C4C"/>
    <w:rsid w:val="5B8B06DF"/>
    <w:rsid w:val="5B91327E"/>
    <w:rsid w:val="5C3365EF"/>
    <w:rsid w:val="5C9A6953"/>
    <w:rsid w:val="5CFF437B"/>
    <w:rsid w:val="5DBC36C5"/>
    <w:rsid w:val="5E2E2EA2"/>
    <w:rsid w:val="5E5032AD"/>
    <w:rsid w:val="5F111022"/>
    <w:rsid w:val="5FB42F89"/>
    <w:rsid w:val="5FBB668B"/>
    <w:rsid w:val="5FCF2307"/>
    <w:rsid w:val="60357A2D"/>
    <w:rsid w:val="60480738"/>
    <w:rsid w:val="604B301B"/>
    <w:rsid w:val="60763289"/>
    <w:rsid w:val="60DD5A82"/>
    <w:rsid w:val="612815AC"/>
    <w:rsid w:val="613907B6"/>
    <w:rsid w:val="61686AE0"/>
    <w:rsid w:val="61C76D5F"/>
    <w:rsid w:val="61F94675"/>
    <w:rsid w:val="6259244E"/>
    <w:rsid w:val="62D9524F"/>
    <w:rsid w:val="62DF5952"/>
    <w:rsid w:val="62ED1823"/>
    <w:rsid w:val="62FC0834"/>
    <w:rsid w:val="63CB6C2A"/>
    <w:rsid w:val="63CD50CF"/>
    <w:rsid w:val="644A6013"/>
    <w:rsid w:val="648643F8"/>
    <w:rsid w:val="65696A01"/>
    <w:rsid w:val="657335BB"/>
    <w:rsid w:val="65ED0982"/>
    <w:rsid w:val="661022EC"/>
    <w:rsid w:val="662F3908"/>
    <w:rsid w:val="66BD4532"/>
    <w:rsid w:val="66C1073C"/>
    <w:rsid w:val="66F65D72"/>
    <w:rsid w:val="675C251A"/>
    <w:rsid w:val="6778098E"/>
    <w:rsid w:val="67B74216"/>
    <w:rsid w:val="68012DAC"/>
    <w:rsid w:val="681C200B"/>
    <w:rsid w:val="688649E5"/>
    <w:rsid w:val="69426123"/>
    <w:rsid w:val="699F0610"/>
    <w:rsid w:val="6A0E5C71"/>
    <w:rsid w:val="6A7C44D9"/>
    <w:rsid w:val="6ABF506F"/>
    <w:rsid w:val="6AD12C20"/>
    <w:rsid w:val="6B413915"/>
    <w:rsid w:val="6BBE00A1"/>
    <w:rsid w:val="6BD161FA"/>
    <w:rsid w:val="6BD5186B"/>
    <w:rsid w:val="6C3E0B2C"/>
    <w:rsid w:val="6CBE73EA"/>
    <w:rsid w:val="6D3770E3"/>
    <w:rsid w:val="6D3E3785"/>
    <w:rsid w:val="6D625B58"/>
    <w:rsid w:val="6D9A436C"/>
    <w:rsid w:val="6E2C61FE"/>
    <w:rsid w:val="6E936941"/>
    <w:rsid w:val="6F6E6FAC"/>
    <w:rsid w:val="709D0C29"/>
    <w:rsid w:val="71085714"/>
    <w:rsid w:val="718A680C"/>
    <w:rsid w:val="71922272"/>
    <w:rsid w:val="72934D81"/>
    <w:rsid w:val="72C039ED"/>
    <w:rsid w:val="73765A98"/>
    <w:rsid w:val="74383336"/>
    <w:rsid w:val="7483412A"/>
    <w:rsid w:val="74B60326"/>
    <w:rsid w:val="74D071BD"/>
    <w:rsid w:val="74D8762D"/>
    <w:rsid w:val="74E434DC"/>
    <w:rsid w:val="74E60A3D"/>
    <w:rsid w:val="753E144F"/>
    <w:rsid w:val="758E3A5C"/>
    <w:rsid w:val="76160014"/>
    <w:rsid w:val="761F0DE7"/>
    <w:rsid w:val="76286DCC"/>
    <w:rsid w:val="762D0110"/>
    <w:rsid w:val="76427194"/>
    <w:rsid w:val="76A56DDE"/>
    <w:rsid w:val="76C857CB"/>
    <w:rsid w:val="76FD221B"/>
    <w:rsid w:val="772B281A"/>
    <w:rsid w:val="77A67BD0"/>
    <w:rsid w:val="77BC3E59"/>
    <w:rsid w:val="7834258A"/>
    <w:rsid w:val="78777423"/>
    <w:rsid w:val="789742F1"/>
    <w:rsid w:val="78F5027D"/>
    <w:rsid w:val="78FA1B28"/>
    <w:rsid w:val="790D63A1"/>
    <w:rsid w:val="79B3254C"/>
    <w:rsid w:val="7AE42D7A"/>
    <w:rsid w:val="7B8A65F5"/>
    <w:rsid w:val="7CC81721"/>
    <w:rsid w:val="7CE116C8"/>
    <w:rsid w:val="7CE67D87"/>
    <w:rsid w:val="7D1816DF"/>
    <w:rsid w:val="7D497BA4"/>
    <w:rsid w:val="7DA760CF"/>
    <w:rsid w:val="7DC6376F"/>
    <w:rsid w:val="7E1A58E9"/>
    <w:rsid w:val="7E3D54E2"/>
    <w:rsid w:val="7E6824C3"/>
    <w:rsid w:val="7EFF3517"/>
    <w:rsid w:val="7F37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小标宋简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6" w:lineRule="auto"/>
      <w:outlineLvl w:val="0"/>
    </w:pPr>
    <w:rPr>
      <w:b/>
      <w:kern w:val="44"/>
      <w:sz w:val="44"/>
      <w:szCs w:val="20"/>
    </w:rPr>
  </w:style>
  <w:style w:type="paragraph" w:styleId="4">
    <w:name w:val="heading 2"/>
    <w:basedOn w:val="1"/>
    <w:next w:val="1"/>
    <w:qFormat/>
    <w:uiPriority w:val="99"/>
    <w:pPr>
      <w:keepNext/>
      <w:keepLines/>
      <w:spacing w:before="260" w:after="260" w:line="415" w:lineRule="auto"/>
      <w:outlineLvl w:val="1"/>
    </w:pPr>
    <w:rPr>
      <w:rFonts w:ascii="Arial" w:hAnsi="Arial" w:eastAsia="黑体"/>
      <w:b/>
      <w:kern w:val="0"/>
      <w:sz w:val="32"/>
      <w:szCs w:val="20"/>
    </w:rPr>
  </w:style>
  <w:style w:type="paragraph" w:styleId="5">
    <w:name w:val="heading 3"/>
    <w:basedOn w:val="1"/>
    <w:next w:val="1"/>
    <w:qFormat/>
    <w:uiPriority w:val="99"/>
    <w:pPr>
      <w:keepNext/>
      <w:keepLines/>
      <w:spacing w:before="260" w:after="260" w:line="415" w:lineRule="auto"/>
      <w:ind w:firstLine="137" w:firstLineChars="49"/>
      <w:outlineLvl w:val="2"/>
    </w:pPr>
    <w:rPr>
      <w:rFonts w:ascii="黑体" w:hAnsi="宋体" w:eastAsia="黑体"/>
      <w:kern w:val="0"/>
      <w:sz w:val="28"/>
      <w:szCs w:val="20"/>
    </w:rPr>
  </w:style>
  <w:style w:type="paragraph" w:styleId="6">
    <w:name w:val="heading 4"/>
    <w:basedOn w:val="1"/>
    <w:next w:val="1"/>
    <w:link w:val="65"/>
    <w:qFormat/>
    <w:uiPriority w:val="99"/>
    <w:pPr>
      <w:keepNext/>
      <w:keepLines/>
      <w:spacing w:before="280" w:after="290" w:line="374" w:lineRule="auto"/>
      <w:outlineLvl w:val="3"/>
    </w:pPr>
    <w:rPr>
      <w:rFonts w:ascii="Arial" w:hAnsi="Arial" w:eastAsia="黑体"/>
      <w:b/>
      <w:kern w:val="0"/>
      <w:sz w:val="28"/>
      <w:szCs w:val="20"/>
    </w:rPr>
  </w:style>
  <w:style w:type="paragraph" w:styleId="7">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kern w:val="0"/>
      <w:sz w:val="20"/>
    </w:rPr>
  </w:style>
  <w:style w:type="paragraph" w:styleId="8">
    <w:name w:val="annotation text"/>
    <w:basedOn w:val="1"/>
    <w:unhideWhenUsed/>
    <w:qFormat/>
    <w:uiPriority w:val="99"/>
    <w:pPr>
      <w:jc w:val="left"/>
    </w:pPr>
  </w:style>
  <w:style w:type="paragraph" w:styleId="9">
    <w:name w:val="Body Text 3"/>
    <w:basedOn w:val="1"/>
    <w:qFormat/>
    <w:uiPriority w:val="99"/>
    <w:rPr>
      <w:rFonts w:ascii="宋体" w:hAnsi="Times New Roman"/>
      <w:kern w:val="0"/>
      <w:sz w:val="24"/>
      <w:szCs w:val="20"/>
    </w:rPr>
  </w:style>
  <w:style w:type="paragraph" w:styleId="10">
    <w:name w:val="Body Text Indent"/>
    <w:basedOn w:val="1"/>
    <w:next w:val="11"/>
    <w:qFormat/>
    <w:uiPriority w:val="99"/>
    <w:pPr>
      <w:spacing w:after="120"/>
      <w:ind w:left="420" w:leftChars="200"/>
    </w:pPr>
    <w:rPr>
      <w:rFonts w:ascii="Times New Roman" w:hAnsi="Times New Roman"/>
      <w:kern w:val="0"/>
      <w:sz w:val="20"/>
    </w:rPr>
  </w:style>
  <w:style w:type="paragraph" w:styleId="11">
    <w:name w:val="Body Text Indent 2"/>
    <w:basedOn w:val="1"/>
    <w:qFormat/>
    <w:uiPriority w:val="99"/>
    <w:pPr>
      <w:spacing w:after="120" w:line="480" w:lineRule="auto"/>
      <w:ind w:left="420" w:leftChars="200"/>
    </w:pPr>
    <w:rPr>
      <w:rFonts w:ascii="Times New Roman" w:hAnsi="Times New Roman"/>
      <w:kern w:val="0"/>
      <w:sz w:val="20"/>
    </w:rPr>
  </w:style>
  <w:style w:type="paragraph" w:styleId="12">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4">
    <w:name w:val="toc 1"/>
    <w:basedOn w:val="1"/>
    <w:next w:val="1"/>
    <w:qFormat/>
    <w:uiPriority w:val="39"/>
  </w:style>
  <w:style w:type="paragraph" w:styleId="15">
    <w:name w:val="table of figures"/>
    <w:basedOn w:val="1"/>
    <w:next w:val="1"/>
    <w:qFormat/>
    <w:uiPriority w:val="99"/>
    <w:pPr>
      <w:widowControl/>
      <w:ind w:left="200" w:leftChars="200" w:hanging="200" w:hangingChars="200"/>
      <w:jc w:val="left"/>
    </w:pPr>
    <w:rPr>
      <w:kern w:val="0"/>
      <w:sz w:val="24"/>
      <w:szCs w:val="22"/>
    </w:rPr>
  </w:style>
  <w:style w:type="paragraph" w:styleId="16">
    <w:name w:val="toc 2"/>
    <w:basedOn w:val="1"/>
    <w:next w:val="1"/>
    <w:qFormat/>
    <w:uiPriority w:val="39"/>
    <w:pPr>
      <w:ind w:left="420" w:leftChars="200"/>
    </w:pPr>
  </w:style>
  <w:style w:type="paragraph" w:styleId="17">
    <w:name w:val="Message Header"/>
    <w:basedOn w:val="1"/>
    <w:qFormat/>
    <w:uiPriority w:val="0"/>
    <w:pPr>
      <w:keepLines/>
      <w:widowControl/>
      <w:tabs>
        <w:tab w:val="left" w:pos="3600"/>
        <w:tab w:val="left" w:pos="4680"/>
      </w:tabs>
      <w:spacing w:line="280" w:lineRule="exact"/>
      <w:ind w:right="2160" w:hanging="1080"/>
      <w:jc w:val="left"/>
    </w:pPr>
    <w:rPr>
      <w:rFonts w:ascii="Arial" w:hAnsi="Arial" w:eastAsiaTheme="minorEastAsia"/>
      <w:sz w:val="22"/>
      <w:szCs w:val="22"/>
      <w:lang w:eastAsia="en-US"/>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2"/>
    <w:qFormat/>
    <w:uiPriority w:val="99"/>
    <w:pPr>
      <w:ind w:firstLine="420" w:firstLineChars="100"/>
    </w:pPr>
  </w:style>
  <w:style w:type="paragraph" w:styleId="20">
    <w:name w:val="Body Text First Indent 2"/>
    <w:basedOn w:val="10"/>
    <w:qFormat/>
    <w:uiPriority w:val="99"/>
    <w:pPr>
      <w:ind w:firstLine="420" w:firstLineChars="200"/>
    </w:pPr>
    <w:rPr>
      <w:sz w:val="28"/>
      <w:szCs w:val="28"/>
    </w:rPr>
  </w:style>
  <w:style w:type="character" w:styleId="23">
    <w:name w:val="Strong"/>
    <w:qFormat/>
    <w:uiPriority w:val="22"/>
    <w:rPr>
      <w:b/>
      <w:bCs/>
    </w:r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paragraph" w:customStyle="1" w:styleId="26">
    <w:name w:val="表格"/>
    <w:basedOn w:val="1"/>
    <w:qFormat/>
    <w:uiPriority w:val="99"/>
    <w:pPr>
      <w:jc w:val="center"/>
      <w:textAlignment w:val="center"/>
    </w:pPr>
    <w:rPr>
      <w:rFonts w:ascii="华文细黑" w:hAnsi="华文细黑"/>
      <w:kern w:val="0"/>
      <w:sz w:val="20"/>
      <w:szCs w:val="20"/>
      <w:lang w:val="zh-CN"/>
    </w:rPr>
  </w:style>
  <w:style w:type="paragraph" w:customStyle="1" w:styleId="27">
    <w:name w:val="Body Text Indent 21"/>
    <w:basedOn w:val="1"/>
    <w:next w:val="13"/>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customStyle="1" w:styleId="28">
    <w:name w:val="UserStyle_0"/>
    <w:basedOn w:val="29"/>
    <w:qFormat/>
    <w:uiPriority w:val="0"/>
    <w:pPr>
      <w:keepNext/>
      <w:keepLines/>
      <w:spacing w:before="260" w:after="260" w:line="415" w:lineRule="auto"/>
      <w:ind w:firstLine="137" w:firstLineChars="49"/>
      <w:jc w:val="both"/>
      <w:textAlignment w:val="baseline"/>
    </w:pPr>
    <w:rPr>
      <w:rFonts w:ascii="黑体" w:hAnsi="宋体" w:eastAsia="黑体" w:cs="Times New Roman"/>
      <w:i/>
      <w:kern w:val="2"/>
      <w:sz w:val="28"/>
      <w:szCs w:val="28"/>
      <w:lang w:val="en-US" w:eastAsia="zh-CN" w:bidi="ar-SA"/>
    </w:rPr>
  </w:style>
  <w:style w:type="paragraph" w:customStyle="1" w:styleId="29">
    <w:name w:val="Heading3"/>
    <w:basedOn w:val="1"/>
    <w:next w:val="1"/>
    <w:qFormat/>
    <w:uiPriority w:val="0"/>
    <w:pPr>
      <w:keepNext/>
      <w:keepLines/>
      <w:spacing w:before="260" w:after="260" w:line="415" w:lineRule="auto"/>
      <w:ind w:firstLine="137" w:firstLineChars="49"/>
      <w:jc w:val="both"/>
      <w:textAlignment w:val="baseline"/>
    </w:pPr>
    <w:rPr>
      <w:rFonts w:ascii="黑体" w:hAnsi="宋体" w:eastAsia="黑体" w:cs="Times New Roman"/>
      <w:bCs/>
      <w:kern w:val="2"/>
      <w:sz w:val="28"/>
      <w:szCs w:val="28"/>
      <w:lang w:val="en-US" w:eastAsia="zh-CN" w:bidi="ar-SA"/>
    </w:rPr>
  </w:style>
  <w:style w:type="paragraph" w:customStyle="1" w:styleId="30">
    <w:name w:val="正文首行缩进1"/>
    <w:basedOn w:val="1"/>
    <w:qFormat/>
    <w:uiPriority w:val="99"/>
    <w:pPr>
      <w:spacing w:after="120"/>
      <w:ind w:firstLine="420" w:firstLineChars="100"/>
    </w:pPr>
  </w:style>
  <w:style w:type="paragraph" w:customStyle="1" w:styleId="31">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样式 样式 左侧:  2 字符 + 左侧:  0.85 厘米 首行缩进:  2 字符1"/>
    <w:basedOn w:val="1"/>
    <w:qFormat/>
    <w:uiPriority w:val="0"/>
    <w:pPr>
      <w:ind w:left="482" w:firstLine="200" w:firstLineChars="200"/>
    </w:pPr>
    <w:rPr>
      <w:rFonts w:cs="宋体"/>
      <w:szCs w:val="20"/>
    </w:rPr>
  </w:style>
  <w:style w:type="character" w:customStyle="1" w:styleId="33">
    <w:name w:val="标题 4 Char2"/>
    <w:link w:val="6"/>
    <w:qFormat/>
    <w:locked/>
    <w:uiPriority w:val="99"/>
    <w:rPr>
      <w:rFonts w:ascii="Arial" w:hAnsi="Arial" w:eastAsia="黑体"/>
      <w:b/>
      <w:kern w:val="0"/>
      <w:sz w:val="28"/>
      <w:szCs w:val="20"/>
    </w:rPr>
  </w:style>
  <w:style w:type="paragraph" w:customStyle="1" w:styleId="34">
    <w:name w:val="样式 小四 行距: 1.5 倍行距"/>
    <w:basedOn w:val="1"/>
    <w:qFormat/>
    <w:uiPriority w:val="0"/>
    <w:pPr>
      <w:ind w:firstLine="480"/>
    </w:pPr>
    <w:rPr>
      <w:rFonts w:cs="宋体"/>
      <w:szCs w:val="20"/>
    </w:rPr>
  </w:style>
  <w:style w:type="paragraph" w:customStyle="1" w:styleId="35">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36">
    <w:name w:val="附件标题1"/>
    <w:next w:val="1"/>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37">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8">
    <w:name w:val="TOC 标题2"/>
    <w:basedOn w:val="3"/>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39">
    <w:name w:val="协议书标题2"/>
    <w:basedOn w:val="4"/>
    <w:next w:val="1"/>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40">
    <w:name w:val="tab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
    <w:name w:val="专用标题2"/>
    <w:basedOn w:val="4"/>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42">
    <w:name w:val="通用标题2"/>
    <w:basedOn w:val="4"/>
    <w:next w:val="1"/>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43">
    <w:name w:val="附件标题"/>
    <w:basedOn w:val="4"/>
    <w:next w:val="1"/>
    <w:qFormat/>
    <w:uiPriority w:val="0"/>
    <w:pPr>
      <w:numPr>
        <w:ilvl w:val="0"/>
        <w:numId w:val="4"/>
      </w:numPr>
      <w:tabs>
        <w:tab w:val="left" w:pos="1134"/>
      </w:tabs>
      <w:spacing w:line="360" w:lineRule="auto"/>
      <w:ind w:firstLine="0" w:firstLineChars="0"/>
      <w:jc w:val="center"/>
    </w:pPr>
    <w:rPr>
      <w:rFonts w:ascii="黑体" w:hAnsi="黑体"/>
      <w:sz w:val="30"/>
      <w:szCs w:val="30"/>
    </w:rPr>
  </w:style>
  <w:style w:type="paragraph" w:customStyle="1" w:styleId="44">
    <w:name w:val="正文格式"/>
    <w:basedOn w:val="1"/>
    <w:qFormat/>
    <w:uiPriority w:val="99"/>
    <w:pPr>
      <w:adjustRightInd w:val="0"/>
      <w:snapToGrid w:val="0"/>
      <w:spacing w:line="360" w:lineRule="auto"/>
      <w:ind w:firstLine="228" w:firstLineChars="228"/>
    </w:pPr>
    <w:rPr>
      <w:rFonts w:ascii="宋体" w:hAnsi="宋体"/>
      <w:color w:val="000000"/>
      <w:sz w:val="28"/>
      <w:szCs w:val="28"/>
    </w:rPr>
  </w:style>
  <w:style w:type="character" w:customStyle="1" w:styleId="45">
    <w:name w:val="标题 1 Char2"/>
    <w:link w:val="3"/>
    <w:qFormat/>
    <w:locked/>
    <w:uiPriority w:val="99"/>
    <w:rPr>
      <w:b/>
      <w:kern w:val="44"/>
      <w:sz w:val="44"/>
      <w:szCs w:val="20"/>
    </w:rPr>
  </w:style>
  <w:style w:type="paragraph" w:customStyle="1" w:styleId="46">
    <w:name w:val="4"/>
    <w:basedOn w:val="1"/>
    <w:next w:val="47"/>
    <w:qFormat/>
    <w:uiPriority w:val="99"/>
    <w:pPr>
      <w:ind w:firstLine="420" w:firstLineChars="200"/>
    </w:pPr>
  </w:style>
  <w:style w:type="paragraph" w:customStyle="1" w:styleId="47">
    <w:name w:val="List Paragraph"/>
    <w:basedOn w:val="1"/>
    <w:qFormat/>
    <w:uiPriority w:val="99"/>
    <w:pPr>
      <w:ind w:firstLine="420" w:firstLineChars="200"/>
    </w:pPr>
  </w:style>
  <w:style w:type="paragraph" w:customStyle="1" w:styleId="48">
    <w:name w:val="Table Paragraph"/>
    <w:basedOn w:val="1"/>
    <w:qFormat/>
    <w:uiPriority w:val="1"/>
  </w:style>
  <w:style w:type="paragraph" w:customStyle="1" w:styleId="4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Arial Unicode MS"/>
      <w:color w:val="000000"/>
      <w:kern w:val="2"/>
      <w:sz w:val="21"/>
      <w:szCs w:val="21"/>
      <w:lang w:val="en-US" w:eastAsia="zh-CN" w:bidi="ar-SA"/>
    </w:rPr>
  </w:style>
  <w:style w:type="paragraph" w:customStyle="1" w:styleId="50">
    <w:name w:val="p0"/>
    <w:basedOn w:val="1"/>
    <w:qFormat/>
    <w:uiPriority w:val="0"/>
    <w:pPr>
      <w:widowControl/>
    </w:pPr>
    <w:rPr>
      <w:szCs w:val="21"/>
    </w:rPr>
  </w:style>
  <w:style w:type="character" w:customStyle="1" w:styleId="51">
    <w:name w:val="NormalCharacter"/>
    <w:qFormat/>
    <w:uiPriority w:val="0"/>
    <w:rPr>
      <w:kern w:val="2"/>
      <w:sz w:val="21"/>
      <w:szCs w:val="24"/>
      <w:lang w:val="en-US" w:eastAsia="zh-CN" w:bidi="ar-SA"/>
    </w:rPr>
  </w:style>
  <w:style w:type="character" w:customStyle="1" w:styleId="52">
    <w:name w:val="UserStyle_168"/>
    <w:qFormat/>
    <w:uiPriority w:val="0"/>
  </w:style>
  <w:style w:type="paragraph" w:customStyle="1" w:styleId="53">
    <w:name w:val="正文文本 (4)"/>
    <w:basedOn w:val="1"/>
    <w:qFormat/>
    <w:uiPriority w:val="99"/>
    <w:pPr>
      <w:shd w:val="clear" w:color="auto" w:fill="FFFFFF"/>
      <w:spacing w:before="360" w:after="3180" w:line="240" w:lineRule="atLeast"/>
      <w:jc w:val="center"/>
    </w:pPr>
    <w:rPr>
      <w:rFonts w:ascii="MingLiU" w:hAnsi="MingLiU" w:eastAsia="MingLiU"/>
      <w:kern w:val="0"/>
      <w:sz w:val="15"/>
      <w:szCs w:val="15"/>
    </w:rPr>
  </w:style>
  <w:style w:type="paragraph" w:customStyle="1" w:styleId="54">
    <w:name w:val="通用标题3"/>
    <w:next w:val="1"/>
    <w:qFormat/>
    <w:uiPriority w:val="0"/>
    <w:pPr>
      <w:widowControl w:val="0"/>
      <w:numPr>
        <w:ilvl w:val="1"/>
        <w:numId w:val="5"/>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5">
    <w:name w:val="通用标题4"/>
    <w:next w:val="1"/>
    <w:qFormat/>
    <w:uiPriority w:val="0"/>
    <w:pPr>
      <w:numPr>
        <w:ilvl w:val="2"/>
        <w:numId w:val="5"/>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56">
    <w:name w:val="通用标题5"/>
    <w:qFormat/>
    <w:uiPriority w:val="0"/>
    <w:pPr>
      <w:widowControl w:val="0"/>
      <w:numPr>
        <w:ilvl w:val="3"/>
        <w:numId w:val="5"/>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57">
    <w:name w:val="通用标题6"/>
    <w:basedOn w:val="1"/>
    <w:qFormat/>
    <w:uiPriority w:val="0"/>
    <w:pPr>
      <w:widowControl/>
      <w:numPr>
        <w:ilvl w:val="4"/>
        <w:numId w:val="6"/>
      </w:numPr>
      <w:tabs>
        <w:tab w:val="left" w:pos="993"/>
      </w:tabs>
      <w:adjustRightInd w:val="0"/>
      <w:snapToGrid w:val="0"/>
      <w:spacing w:after="120" w:afterLines="50" w:line="360" w:lineRule="auto"/>
      <w:ind w:firstLine="0"/>
    </w:pPr>
    <w:rPr>
      <w:rFonts w:ascii="宋体" w:hAnsi="宋体"/>
      <w:kern w:val="0"/>
      <w:sz w:val="24"/>
      <w:szCs w:val="20"/>
    </w:rPr>
  </w:style>
  <w:style w:type="paragraph" w:customStyle="1" w:styleId="58">
    <w:name w:val="标题 31"/>
    <w:basedOn w:val="1"/>
    <w:qFormat/>
    <w:uiPriority w:val="1"/>
    <w:pPr>
      <w:autoSpaceDE w:val="0"/>
      <w:autoSpaceDN w:val="0"/>
      <w:ind w:left="827"/>
      <w:jc w:val="left"/>
      <w:outlineLvl w:val="3"/>
    </w:pPr>
    <w:rPr>
      <w:rFonts w:ascii="宋体" w:hAnsi="宋体" w:cs="宋体"/>
      <w:b/>
      <w:bCs/>
      <w:kern w:val="0"/>
      <w:sz w:val="32"/>
      <w:szCs w:val="32"/>
      <w:lang w:val="zh-CN" w:bidi="zh-CN"/>
    </w:rPr>
  </w:style>
  <w:style w:type="paragraph" w:customStyle="1" w:styleId="59">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60">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61">
    <w:name w:val="标题 4_1_0"/>
    <w:basedOn w:val="62"/>
    <w:next w:val="62"/>
    <w:qFormat/>
    <w:uiPriority w:val="0"/>
    <w:pPr>
      <w:keepNext/>
      <w:keepLines/>
      <w:spacing w:line="360" w:lineRule="auto"/>
      <w:outlineLvl w:val="3"/>
    </w:pPr>
    <w:rPr>
      <w:rFonts w:ascii="Arial" w:hAnsi="Arial"/>
      <w:b/>
      <w:bCs/>
      <w:szCs w:val="28"/>
    </w:rPr>
  </w:style>
  <w:style w:type="paragraph" w:customStyle="1" w:styleId="62">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WPSOffice手动目录 1"/>
    <w:qFormat/>
    <w:uiPriority w:val="0"/>
    <w:pPr>
      <w:ind w:leftChars="0"/>
    </w:pPr>
    <w:rPr>
      <w:rFonts w:ascii="Times New Roman" w:hAnsi="Times New Roman" w:eastAsia="方正小标宋简体" w:cs="Times New Roman"/>
      <w:sz w:val="20"/>
      <w:szCs w:val="20"/>
    </w:rPr>
  </w:style>
  <w:style w:type="character" w:customStyle="1" w:styleId="64">
    <w:name w:val="标题 4 字符"/>
    <w:link w:val="6"/>
    <w:qFormat/>
    <w:uiPriority w:val="0"/>
    <w:rPr>
      <w:rFonts w:ascii="Arial" w:hAnsi="Arial"/>
      <w:b/>
      <w:bCs/>
      <w:kern w:val="2"/>
      <w:sz w:val="21"/>
      <w:szCs w:val="28"/>
    </w:rPr>
  </w:style>
  <w:style w:type="character" w:customStyle="1" w:styleId="65">
    <w:name w:val="标题 4 Char"/>
    <w:link w:val="6"/>
    <w:qFormat/>
    <w:uiPriority w:val="99"/>
    <w:rPr>
      <w:rFonts w:ascii="Arial" w:hAnsi="Arial" w:eastAsia="黑体"/>
      <w:b/>
      <w:bCs/>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碧海蓝天</cp:lastModifiedBy>
  <cp:lastPrinted>2021-06-16T00:27:00Z</cp:lastPrinted>
  <dcterms:modified xsi:type="dcterms:W3CDTF">2021-06-28T15:24:39Z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362B769F13494CF49BE96C7190AEAA70</vt:lpwstr>
  </property>
</Properties>
</file>