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rPr>
          <w:rFonts w:hint="eastAsia"/>
          <w:color w:val="auto"/>
        </w:rPr>
      </w:pPr>
      <w:r>
        <w:rPr>
          <w:rFonts w:hint="eastAsia"/>
          <w:color w:val="auto"/>
        </w:rPr>
        <w:t xml:space="preserve">   </w:t>
      </w:r>
    </w:p>
    <w:p>
      <w:pPr>
        <w:ind w:firstLine="435"/>
        <w:rPr>
          <w:rFonts w:hint="eastAsia" w:ascii="宋体" w:hAnsi="宋体" w:cs="宋体"/>
          <w:color w:val="auto"/>
        </w:rPr>
      </w:pPr>
    </w:p>
    <w:p>
      <w:pPr>
        <w:ind w:firstLine="435"/>
        <w:rPr>
          <w:rFonts w:hint="eastAsia" w:ascii="宋体" w:hAnsi="宋体" w:cs="宋体"/>
          <w:color w:val="auto"/>
        </w:rPr>
      </w:pPr>
    </w:p>
    <w:p>
      <w:pPr>
        <w:ind w:firstLine="435"/>
        <w:rPr>
          <w:rFonts w:hint="eastAsia" w:ascii="宋体" w:hAnsi="宋体" w:cs="宋体"/>
          <w:color w:val="auto"/>
        </w:rPr>
      </w:pPr>
    </w:p>
    <w:p>
      <w:pPr>
        <w:ind w:firstLine="435"/>
        <w:rPr>
          <w:rFonts w:hint="eastAsia" w:ascii="宋体" w:hAnsi="宋体" w:cs="宋体"/>
          <w:color w:val="auto"/>
        </w:rPr>
      </w:pPr>
    </w:p>
    <w:p>
      <w:pPr>
        <w:spacing w:line="300" w:lineRule="auto"/>
        <w:jc w:val="center"/>
        <w:rPr>
          <w:rFonts w:hint="eastAsia" w:ascii="方正小标宋简体" w:hAnsi="方正小标宋简体" w:eastAsia="方正小标宋简体" w:cs="方正小标宋简体"/>
          <w:color w:val="auto"/>
          <w:sz w:val="96"/>
          <w:szCs w:val="96"/>
        </w:rPr>
      </w:pPr>
      <w:r>
        <w:rPr>
          <w:rFonts w:hint="eastAsia" w:ascii="宋体" w:hAnsi="宋体" w:eastAsia="宋体" w:cs="宋体"/>
          <w:color w:val="auto"/>
          <w:sz w:val="36"/>
          <w:szCs w:val="36"/>
        </w:rPr>
        <w:t>杨树塘路道路工程建设项目设计施工总承包（EPC）</w:t>
      </w:r>
    </w:p>
    <w:p>
      <w:pPr>
        <w:spacing w:line="300" w:lineRule="auto"/>
        <w:jc w:val="center"/>
        <w:rPr>
          <w:rFonts w:hint="eastAsia" w:ascii="方正小标宋简体" w:hAnsi="方正小标宋简体" w:eastAsia="方正小标宋简体" w:cs="方正小标宋简体"/>
          <w:color w:val="auto"/>
          <w:sz w:val="96"/>
          <w:szCs w:val="96"/>
        </w:rPr>
      </w:pPr>
    </w:p>
    <w:p>
      <w:pPr>
        <w:spacing w:line="300" w:lineRule="auto"/>
        <w:jc w:val="center"/>
        <w:rPr>
          <w:rFonts w:hint="eastAsia" w:ascii="方正小标宋简体" w:hAnsi="方正小标宋简体" w:eastAsia="方正小标宋简体" w:cs="方正小标宋简体"/>
          <w:color w:val="auto"/>
          <w:sz w:val="96"/>
          <w:szCs w:val="96"/>
        </w:rPr>
      </w:pPr>
      <w:r>
        <w:rPr>
          <w:rFonts w:hint="eastAsia" w:ascii="方正小标宋简体" w:hAnsi="方正小标宋简体" w:eastAsia="方正小标宋简体" w:cs="方正小标宋简体"/>
          <w:color w:val="auto"/>
          <w:sz w:val="96"/>
          <w:szCs w:val="96"/>
        </w:rPr>
        <w:t>招 标 文 件</w:t>
      </w:r>
    </w:p>
    <w:p>
      <w:pPr>
        <w:spacing w:line="300" w:lineRule="auto"/>
        <w:jc w:val="center"/>
        <w:rPr>
          <w:rFonts w:hint="eastAsia" w:ascii="宋体" w:hAnsi="宋体" w:cs="宋体"/>
          <w:color w:val="auto"/>
          <w:sz w:val="28"/>
        </w:rPr>
      </w:pPr>
    </w:p>
    <w:p>
      <w:pPr>
        <w:spacing w:line="300" w:lineRule="auto"/>
        <w:jc w:val="center"/>
        <w:rPr>
          <w:rFonts w:ascii="仿宋" w:hAnsi="仿宋" w:eastAsia="仿宋" w:cs="仿宋"/>
          <w:b/>
          <w:bCs/>
          <w:color w:val="auto"/>
          <w:sz w:val="28"/>
          <w:u w:val="single"/>
        </w:rPr>
      </w:pPr>
      <w:r>
        <w:rPr>
          <w:rFonts w:hint="eastAsia" w:ascii="仿宋" w:hAnsi="仿宋" w:eastAsia="仿宋" w:cs="仿宋"/>
          <w:b/>
          <w:bCs/>
          <w:color w:val="auto"/>
          <w:sz w:val="28"/>
        </w:rPr>
        <w:t>招标编号：HNZGYY-2021-006</w:t>
      </w:r>
    </w:p>
    <w:p>
      <w:pPr>
        <w:spacing w:line="300" w:lineRule="auto"/>
        <w:rPr>
          <w:rFonts w:hint="eastAsia" w:ascii="宋体" w:hAnsi="宋体" w:cs="宋体"/>
          <w:color w:val="auto"/>
          <w:sz w:val="28"/>
        </w:rPr>
      </w:pPr>
    </w:p>
    <w:p>
      <w:pPr>
        <w:spacing w:line="300" w:lineRule="auto"/>
        <w:rPr>
          <w:rFonts w:hint="eastAsia" w:ascii="宋体" w:hAnsi="宋体" w:cs="宋体"/>
          <w:color w:val="auto"/>
          <w:sz w:val="28"/>
        </w:rPr>
      </w:pPr>
    </w:p>
    <w:p>
      <w:pPr>
        <w:spacing w:line="300" w:lineRule="auto"/>
        <w:rPr>
          <w:rFonts w:hint="eastAsia" w:ascii="宋体" w:hAnsi="宋体" w:cs="宋体"/>
          <w:color w:val="auto"/>
          <w:sz w:val="28"/>
        </w:rPr>
      </w:pPr>
    </w:p>
    <w:p>
      <w:pPr>
        <w:spacing w:line="300" w:lineRule="auto"/>
        <w:ind w:firstLine="1365"/>
        <w:rPr>
          <w:rFonts w:hint="eastAsia" w:ascii="宋体" w:hAnsi="宋体" w:cs="宋体"/>
          <w:color w:val="auto"/>
          <w:sz w:val="28"/>
        </w:rPr>
      </w:pPr>
    </w:p>
    <w:p>
      <w:pPr>
        <w:spacing w:line="300" w:lineRule="auto"/>
        <w:rPr>
          <w:rFonts w:hint="eastAsia" w:ascii="宋体" w:hAnsi="宋体" w:cs="宋体"/>
          <w:color w:val="auto"/>
          <w:sz w:val="28"/>
        </w:rPr>
      </w:pPr>
    </w:p>
    <w:p>
      <w:pPr>
        <w:spacing w:line="300" w:lineRule="auto"/>
        <w:ind w:firstLine="1600" w:firstLineChars="500"/>
        <w:rPr>
          <w:rFonts w:hint="eastAsia" w:ascii="方正小标宋简体" w:hAnsi="方正小标宋简体" w:eastAsia="方正小标宋简体" w:cs="方正小标宋简体"/>
          <w:color w:val="auto"/>
          <w:sz w:val="32"/>
          <w:szCs w:val="21"/>
        </w:rPr>
      </w:pPr>
      <w:r>
        <w:rPr>
          <w:rFonts w:hint="eastAsia" w:ascii="方正小标宋简体" w:hAnsi="方正小标宋简体" w:eastAsia="方正小标宋简体" w:cs="方正小标宋简体"/>
          <w:color w:val="auto"/>
          <w:sz w:val="32"/>
          <w:szCs w:val="21"/>
        </w:rPr>
        <w:t>建设单位：岳阳市岳阳楼区住房和城乡建设局（盖章）</w:t>
      </w:r>
    </w:p>
    <w:p>
      <w:pPr>
        <w:spacing w:line="300" w:lineRule="auto"/>
        <w:ind w:firstLine="1600" w:firstLineChars="500"/>
        <w:rPr>
          <w:rFonts w:hint="eastAsia" w:ascii="方正小标宋简体" w:hAnsi="方正小标宋简体" w:eastAsia="方正小标宋简体" w:cs="方正小标宋简体"/>
          <w:color w:val="auto"/>
          <w:sz w:val="32"/>
          <w:szCs w:val="21"/>
        </w:rPr>
      </w:pPr>
      <w:r>
        <w:rPr>
          <w:rFonts w:hint="eastAsia" w:ascii="方正小标宋简体" w:hAnsi="方正小标宋简体" w:eastAsia="方正小标宋简体" w:cs="方正小标宋简体"/>
          <w:color w:val="auto"/>
          <w:sz w:val="32"/>
          <w:szCs w:val="21"/>
        </w:rPr>
        <w:t>代理单位：湖南中谷项目管理有限公司（盖章）</w:t>
      </w:r>
    </w:p>
    <w:p>
      <w:pPr>
        <w:spacing w:line="300" w:lineRule="auto"/>
        <w:ind w:firstLine="1600" w:firstLineChars="500"/>
        <w:rPr>
          <w:rFonts w:hint="eastAsia" w:ascii="方正小标宋简体" w:hAnsi="方正小标宋简体" w:eastAsia="方正小标宋简体" w:cs="方正小标宋简体"/>
          <w:color w:val="auto"/>
          <w:sz w:val="32"/>
          <w:szCs w:val="21"/>
        </w:rPr>
      </w:pPr>
      <w:r>
        <w:rPr>
          <w:rFonts w:hint="eastAsia" w:ascii="方正小标宋简体" w:hAnsi="方正小标宋简体" w:eastAsia="方正小标宋简体" w:cs="方正小标宋简体"/>
          <w:color w:val="auto"/>
          <w:sz w:val="32"/>
          <w:szCs w:val="21"/>
        </w:rPr>
        <w:t xml:space="preserve"> </w:t>
      </w:r>
      <w:r>
        <w:rPr>
          <w:rFonts w:hint="eastAsia" w:ascii="方正小标宋简体" w:hAnsi="方正小标宋简体" w:eastAsia="方正小标宋简体" w:cs="方正小标宋简体"/>
          <w:color w:val="auto"/>
          <w:sz w:val="32"/>
          <w:szCs w:val="21"/>
        </w:rPr>
        <w:tab/>
      </w:r>
      <w:r>
        <w:rPr>
          <w:rFonts w:hint="eastAsia" w:ascii="方正小标宋简体" w:hAnsi="方正小标宋简体" w:eastAsia="方正小标宋简体" w:cs="方正小标宋简体"/>
          <w:color w:val="auto"/>
          <w:sz w:val="32"/>
          <w:szCs w:val="21"/>
        </w:rPr>
        <w:tab/>
      </w:r>
    </w:p>
    <w:p>
      <w:pPr>
        <w:ind w:firstLine="435"/>
        <w:jc w:val="center"/>
        <w:rPr>
          <w:rFonts w:hint="eastAsia" w:ascii="方正小标宋简体" w:hAnsi="方正小标宋简体" w:eastAsia="方正小标宋简体" w:cs="方正小标宋简体"/>
          <w:color w:val="auto"/>
        </w:rPr>
      </w:pPr>
      <w:r>
        <w:rPr>
          <w:rFonts w:hint="eastAsia" w:ascii="方正小标宋简体" w:hAnsi="方正小标宋简体" w:eastAsia="方正小标宋简体" w:cs="方正小标宋简体"/>
          <w:color w:val="auto"/>
          <w:sz w:val="32"/>
          <w:szCs w:val="21"/>
        </w:rPr>
        <w:t>签发日期：二〇二一年</w:t>
      </w:r>
      <w:r>
        <w:rPr>
          <w:rFonts w:hint="eastAsia" w:ascii="方正小标宋简体" w:hAnsi="方正小标宋简体" w:eastAsia="方正小标宋简体" w:cs="方正小标宋简体"/>
          <w:color w:val="auto"/>
          <w:sz w:val="32"/>
          <w:szCs w:val="21"/>
          <w:lang w:val="en-US" w:eastAsia="zh-CN"/>
        </w:rPr>
        <w:t>三</w:t>
      </w:r>
      <w:r>
        <w:rPr>
          <w:rFonts w:hint="eastAsia" w:ascii="方正小标宋简体" w:hAnsi="方正小标宋简体" w:eastAsia="方正小标宋简体" w:cs="方正小标宋简体"/>
          <w:color w:val="auto"/>
          <w:sz w:val="32"/>
          <w:szCs w:val="21"/>
        </w:rPr>
        <w:t>月</w:t>
      </w:r>
    </w:p>
    <w:p>
      <w:pPr>
        <w:rPr>
          <w:rFonts w:hint="eastAsia" w:ascii="宋体" w:hAnsi="宋体" w:cs="宋体"/>
          <w:color w:val="auto"/>
        </w:rPr>
      </w:pPr>
    </w:p>
    <w:p>
      <w:pPr>
        <w:rPr>
          <w:rFonts w:hint="eastAsia" w:ascii="宋体" w:hAnsi="宋体" w:cs="宋体"/>
          <w:b/>
          <w:color w:val="auto"/>
          <w:sz w:val="90"/>
          <w:szCs w:val="90"/>
        </w:rPr>
        <w:sectPr>
          <w:headerReference r:id="rId3" w:type="default"/>
          <w:pgSz w:w="11906" w:h="16838"/>
          <w:pgMar w:top="1418" w:right="1134" w:bottom="1418" w:left="1134" w:header="851" w:footer="992" w:gutter="0"/>
          <w:pgNumType w:start="1"/>
          <w:cols w:space="720" w:num="1"/>
          <w:docGrid w:type="lines" w:linePitch="312" w:charSpace="0"/>
        </w:sectPr>
      </w:pPr>
    </w:p>
    <w:p>
      <w:pPr>
        <w:spacing w:before="156" w:beforeLines="50" w:line="400" w:lineRule="exact"/>
        <w:jc w:val="center"/>
        <w:rPr>
          <w:rFonts w:hint="eastAsia" w:ascii="宋体" w:hAnsi="宋体" w:cs="宋体"/>
          <w:b/>
          <w:color w:val="auto"/>
          <w:sz w:val="44"/>
          <w:szCs w:val="44"/>
        </w:rPr>
      </w:pPr>
      <w:bookmarkStart w:id="0" w:name="_Toc152042286"/>
      <w:bookmarkStart w:id="1" w:name="_Toc247527532"/>
      <w:bookmarkStart w:id="2" w:name="_Toc300834926"/>
      <w:bookmarkStart w:id="3" w:name="_Toc144974478"/>
      <w:r>
        <w:rPr>
          <w:rFonts w:hint="eastAsia" w:ascii="宋体" w:hAnsi="宋体" w:cs="宋体"/>
          <w:b/>
          <w:color w:val="auto"/>
          <w:sz w:val="44"/>
          <w:szCs w:val="44"/>
        </w:rPr>
        <w:t>目     录</w:t>
      </w:r>
      <w:bookmarkEnd w:id="0"/>
      <w:bookmarkEnd w:id="1"/>
      <w:bookmarkEnd w:id="2"/>
      <w:bookmarkEnd w:id="3"/>
    </w:p>
    <w:p>
      <w:pPr>
        <w:pStyle w:val="37"/>
        <w:tabs>
          <w:tab w:val="right" w:leader="dot" w:pos="9628"/>
        </w:tabs>
        <w:rPr>
          <w:rFonts w:hint="eastAsia" w:ascii="宋体" w:hAnsi="宋体" w:cs="宋体"/>
          <w:caps w:val="0"/>
          <w:color w:val="auto"/>
        </w:rPr>
      </w:pPr>
      <w:bookmarkStart w:id="4" w:name="_Toc152042287"/>
      <w:bookmarkStart w:id="5" w:name="_Toc247527533"/>
      <w:bookmarkStart w:id="6" w:name="_Toc144974479"/>
      <w:bookmarkStart w:id="7" w:name="_Toc247513932"/>
      <w:bookmarkStart w:id="8" w:name="_Toc152045511"/>
    </w:p>
    <w:p>
      <w:pPr>
        <w:pStyle w:val="37"/>
        <w:tabs>
          <w:tab w:val="right" w:leader="dot" w:pos="9628"/>
        </w:tabs>
        <w:spacing w:line="480" w:lineRule="auto"/>
        <w:rPr>
          <w:rFonts w:hint="eastAsia" w:ascii="宋体" w:hAnsi="宋体" w:cs="宋体"/>
          <w:b w:val="0"/>
          <w:bCs w:val="0"/>
          <w:caps w:val="0"/>
          <w:color w:val="auto"/>
          <w:sz w:val="28"/>
          <w:szCs w:val="32"/>
        </w:rPr>
      </w:pPr>
      <w:r>
        <w:rPr>
          <w:rFonts w:hint="eastAsia" w:ascii="宋体" w:hAnsi="宋体" w:cs="宋体"/>
          <w:caps w:val="0"/>
          <w:color w:val="auto"/>
          <w:sz w:val="24"/>
          <w:szCs w:val="24"/>
        </w:rPr>
        <w:fldChar w:fldCharType="begin"/>
      </w:r>
      <w:r>
        <w:rPr>
          <w:rFonts w:hint="eastAsia" w:ascii="宋体" w:hAnsi="宋体" w:cs="宋体"/>
          <w:caps w:val="0"/>
          <w:color w:val="auto"/>
          <w:sz w:val="24"/>
          <w:szCs w:val="24"/>
        </w:rPr>
        <w:instrText xml:space="preserve"> TOC \o "1-3" \h \z \u </w:instrText>
      </w:r>
      <w:r>
        <w:rPr>
          <w:rFonts w:hint="eastAsia" w:ascii="宋体" w:hAnsi="宋体" w:cs="宋体"/>
          <w:caps w:val="0"/>
          <w:color w:val="auto"/>
          <w:sz w:val="24"/>
          <w:szCs w:val="24"/>
        </w:rPr>
        <w:fldChar w:fldCharType="separate"/>
      </w:r>
      <w:r>
        <w:rPr>
          <w:rFonts w:hint="eastAsia" w:ascii="宋体" w:hAnsi="宋体" w:cs="宋体"/>
          <w:color w:val="auto"/>
          <w:sz w:val="24"/>
          <w:szCs w:val="24"/>
        </w:rPr>
        <w:fldChar w:fldCharType="begin"/>
      </w:r>
      <w:r>
        <w:rPr>
          <w:rStyle w:val="60"/>
          <w:rFonts w:hint="eastAsia" w:ascii="宋体" w:hAnsi="宋体" w:cs="宋体"/>
          <w:color w:val="auto"/>
          <w:sz w:val="24"/>
          <w:szCs w:val="24"/>
        </w:rPr>
        <w:instrText xml:space="preserve"> </w:instrText>
      </w:r>
      <w:r>
        <w:rPr>
          <w:rFonts w:hint="eastAsia" w:ascii="宋体" w:hAnsi="宋体" w:cs="宋体"/>
          <w:color w:val="auto"/>
          <w:sz w:val="24"/>
          <w:szCs w:val="24"/>
        </w:rPr>
        <w:instrText xml:space="preserve">HYPERLINK \l "_Toc499738014"</w:instrText>
      </w:r>
      <w:r>
        <w:rPr>
          <w:rStyle w:val="60"/>
          <w:rFonts w:hint="eastAsia" w:ascii="宋体" w:hAnsi="宋体" w:cs="宋体"/>
          <w:color w:val="auto"/>
          <w:sz w:val="24"/>
          <w:szCs w:val="24"/>
        </w:rPr>
        <w:instrText xml:space="preserve"> </w:instrText>
      </w:r>
      <w:r>
        <w:rPr>
          <w:rFonts w:hint="eastAsia" w:ascii="宋体" w:hAnsi="宋体" w:cs="宋体"/>
          <w:color w:val="auto"/>
          <w:sz w:val="24"/>
          <w:szCs w:val="24"/>
        </w:rPr>
        <w:fldChar w:fldCharType="separate"/>
      </w:r>
      <w:r>
        <w:rPr>
          <w:rStyle w:val="60"/>
          <w:rFonts w:hint="eastAsia" w:ascii="宋体" w:hAnsi="宋体" w:cs="宋体"/>
          <w:color w:val="auto"/>
          <w:sz w:val="24"/>
          <w:szCs w:val="24"/>
        </w:rPr>
        <w:t>第一章 招标公告</w:t>
      </w:r>
      <w:r>
        <w:rPr>
          <w:rFonts w:hint="eastAsia" w:ascii="宋体" w:hAnsi="宋体" w:cs="宋体"/>
          <w:color w:val="auto"/>
          <w:sz w:val="24"/>
          <w:szCs w:val="24"/>
        </w:rPr>
        <w:tab/>
      </w:r>
      <w:r>
        <w:rPr>
          <w:rFonts w:hint="eastAsia" w:ascii="宋体" w:hAnsi="宋体" w:cs="宋体"/>
          <w:color w:val="auto"/>
          <w:sz w:val="24"/>
          <w:szCs w:val="24"/>
        </w:rPr>
        <w:t>3</w:t>
      </w:r>
      <w:r>
        <w:rPr>
          <w:rFonts w:hint="eastAsia" w:ascii="宋体" w:hAnsi="宋体" w:cs="宋体"/>
          <w:color w:val="auto"/>
          <w:sz w:val="24"/>
          <w:szCs w:val="24"/>
        </w:rPr>
        <w:fldChar w:fldCharType="end"/>
      </w:r>
    </w:p>
    <w:p>
      <w:pPr>
        <w:pStyle w:val="37"/>
        <w:tabs>
          <w:tab w:val="right" w:leader="dot" w:pos="9628"/>
        </w:tabs>
        <w:spacing w:line="480" w:lineRule="auto"/>
        <w:rPr>
          <w:rFonts w:hint="eastAsia" w:ascii="宋体" w:hAnsi="宋体" w:cs="宋体"/>
          <w:b w:val="0"/>
          <w:bCs w:val="0"/>
          <w:caps w:val="0"/>
          <w:color w:val="auto"/>
          <w:sz w:val="28"/>
          <w:szCs w:val="32"/>
        </w:rPr>
      </w:pPr>
      <w:r>
        <w:rPr>
          <w:rFonts w:hint="eastAsia" w:ascii="宋体" w:hAnsi="宋体" w:cs="宋体"/>
          <w:color w:val="auto"/>
          <w:sz w:val="24"/>
          <w:szCs w:val="24"/>
        </w:rPr>
        <w:fldChar w:fldCharType="begin"/>
      </w:r>
      <w:r>
        <w:rPr>
          <w:rStyle w:val="60"/>
          <w:rFonts w:hint="eastAsia" w:ascii="宋体" w:hAnsi="宋体" w:cs="宋体"/>
          <w:color w:val="auto"/>
          <w:sz w:val="24"/>
          <w:szCs w:val="24"/>
        </w:rPr>
        <w:instrText xml:space="preserve"> </w:instrText>
      </w:r>
      <w:r>
        <w:rPr>
          <w:rFonts w:hint="eastAsia" w:ascii="宋体" w:hAnsi="宋体" w:cs="宋体"/>
          <w:color w:val="auto"/>
          <w:sz w:val="24"/>
          <w:szCs w:val="24"/>
        </w:rPr>
        <w:instrText xml:space="preserve">HYPERLINK \l "_Toc499738028"</w:instrText>
      </w:r>
      <w:r>
        <w:rPr>
          <w:rStyle w:val="60"/>
          <w:rFonts w:hint="eastAsia" w:ascii="宋体" w:hAnsi="宋体" w:cs="宋体"/>
          <w:color w:val="auto"/>
          <w:sz w:val="24"/>
          <w:szCs w:val="24"/>
        </w:rPr>
        <w:instrText xml:space="preserve"> </w:instrText>
      </w:r>
      <w:r>
        <w:rPr>
          <w:rFonts w:hint="eastAsia" w:ascii="宋体" w:hAnsi="宋体" w:cs="宋体"/>
          <w:color w:val="auto"/>
          <w:sz w:val="24"/>
          <w:szCs w:val="24"/>
        </w:rPr>
        <w:fldChar w:fldCharType="separate"/>
      </w:r>
      <w:r>
        <w:rPr>
          <w:rStyle w:val="60"/>
          <w:rFonts w:hint="eastAsia" w:ascii="宋体" w:hAnsi="宋体" w:cs="宋体"/>
          <w:color w:val="auto"/>
          <w:sz w:val="24"/>
          <w:szCs w:val="24"/>
        </w:rPr>
        <w:t>第二章 投标人须知</w:t>
      </w:r>
      <w:r>
        <w:rPr>
          <w:rFonts w:hint="eastAsia" w:ascii="宋体" w:hAnsi="宋体" w:cs="宋体"/>
          <w:color w:val="auto"/>
          <w:sz w:val="24"/>
          <w:szCs w:val="24"/>
        </w:rPr>
        <w:tab/>
      </w:r>
      <w:r>
        <w:rPr>
          <w:rFonts w:hint="eastAsia" w:ascii="宋体" w:hAnsi="宋体" w:cs="宋体"/>
          <w:color w:val="auto"/>
          <w:sz w:val="24"/>
          <w:szCs w:val="24"/>
        </w:rPr>
        <w:t>6</w:t>
      </w:r>
      <w:r>
        <w:rPr>
          <w:rFonts w:hint="eastAsia" w:ascii="宋体" w:hAnsi="宋体" w:cs="宋体"/>
          <w:color w:val="auto"/>
          <w:sz w:val="24"/>
          <w:szCs w:val="24"/>
        </w:rPr>
        <w:fldChar w:fldCharType="end"/>
      </w:r>
    </w:p>
    <w:p>
      <w:pPr>
        <w:pStyle w:val="37"/>
        <w:tabs>
          <w:tab w:val="right" w:leader="dot" w:pos="9628"/>
        </w:tabs>
        <w:spacing w:line="480" w:lineRule="auto"/>
        <w:rPr>
          <w:rFonts w:hint="eastAsia" w:ascii="宋体" w:hAnsi="宋体" w:cs="宋体"/>
          <w:b w:val="0"/>
          <w:bCs w:val="0"/>
          <w:caps w:val="0"/>
          <w:color w:val="auto"/>
          <w:sz w:val="28"/>
          <w:szCs w:val="32"/>
        </w:rPr>
      </w:pPr>
      <w:r>
        <w:rPr>
          <w:rFonts w:hint="eastAsia" w:ascii="宋体" w:hAnsi="宋体" w:cs="宋体"/>
          <w:color w:val="auto"/>
          <w:sz w:val="24"/>
          <w:szCs w:val="24"/>
        </w:rPr>
        <w:fldChar w:fldCharType="begin"/>
      </w:r>
      <w:r>
        <w:rPr>
          <w:rStyle w:val="60"/>
          <w:rFonts w:hint="eastAsia" w:ascii="宋体" w:hAnsi="宋体" w:cs="宋体"/>
          <w:color w:val="auto"/>
          <w:sz w:val="24"/>
          <w:szCs w:val="24"/>
        </w:rPr>
        <w:instrText xml:space="preserve"> </w:instrText>
      </w:r>
      <w:r>
        <w:rPr>
          <w:rFonts w:hint="eastAsia" w:ascii="宋体" w:hAnsi="宋体" w:cs="宋体"/>
          <w:color w:val="auto"/>
          <w:sz w:val="24"/>
          <w:szCs w:val="24"/>
        </w:rPr>
        <w:instrText xml:space="preserve">HYPERLINK \l "_Toc499738085"</w:instrText>
      </w:r>
      <w:r>
        <w:rPr>
          <w:rStyle w:val="60"/>
          <w:rFonts w:hint="eastAsia" w:ascii="宋体" w:hAnsi="宋体" w:cs="宋体"/>
          <w:color w:val="auto"/>
          <w:sz w:val="24"/>
          <w:szCs w:val="24"/>
        </w:rPr>
        <w:instrText xml:space="preserve"> </w:instrText>
      </w:r>
      <w:r>
        <w:rPr>
          <w:rFonts w:hint="eastAsia" w:ascii="宋体" w:hAnsi="宋体" w:cs="宋体"/>
          <w:color w:val="auto"/>
          <w:sz w:val="24"/>
          <w:szCs w:val="24"/>
        </w:rPr>
        <w:fldChar w:fldCharType="separate"/>
      </w:r>
      <w:r>
        <w:rPr>
          <w:rStyle w:val="60"/>
          <w:rFonts w:hint="eastAsia" w:ascii="宋体" w:hAnsi="宋体" w:cs="宋体"/>
          <w:color w:val="auto"/>
          <w:sz w:val="24"/>
          <w:szCs w:val="24"/>
        </w:rPr>
        <w:t>第三章 设计技</w:t>
      </w:r>
      <w:bookmarkStart w:id="9" w:name="_Hlt63287159"/>
      <w:bookmarkStart w:id="10" w:name="_Hlt63287158"/>
      <w:r>
        <w:rPr>
          <w:rStyle w:val="60"/>
          <w:rFonts w:hint="eastAsia" w:ascii="宋体" w:hAnsi="宋体" w:cs="宋体"/>
          <w:color w:val="auto"/>
          <w:sz w:val="24"/>
          <w:szCs w:val="24"/>
        </w:rPr>
        <w:t>术</w:t>
      </w:r>
      <w:bookmarkEnd w:id="9"/>
      <w:bookmarkEnd w:id="10"/>
      <w:r>
        <w:rPr>
          <w:rStyle w:val="60"/>
          <w:rFonts w:hint="eastAsia" w:ascii="宋体" w:hAnsi="宋体" w:cs="宋体"/>
          <w:color w:val="auto"/>
          <w:sz w:val="24"/>
          <w:szCs w:val="24"/>
        </w:rPr>
        <w:t>要求</w:t>
      </w:r>
      <w:r>
        <w:rPr>
          <w:rFonts w:hint="eastAsia" w:ascii="宋体" w:hAnsi="宋体" w:cs="宋体"/>
          <w:color w:val="auto"/>
          <w:sz w:val="24"/>
          <w:szCs w:val="24"/>
        </w:rPr>
        <w:tab/>
      </w:r>
      <w:r>
        <w:rPr>
          <w:rFonts w:hint="eastAsia" w:ascii="宋体" w:hAnsi="宋体" w:cs="宋体"/>
          <w:color w:val="auto"/>
          <w:sz w:val="24"/>
          <w:szCs w:val="24"/>
        </w:rPr>
        <w:t>24</w:t>
      </w:r>
      <w:r>
        <w:rPr>
          <w:rFonts w:hint="eastAsia" w:ascii="宋体" w:hAnsi="宋体" w:cs="宋体"/>
          <w:color w:val="auto"/>
          <w:sz w:val="24"/>
          <w:szCs w:val="24"/>
        </w:rPr>
        <w:fldChar w:fldCharType="end"/>
      </w:r>
    </w:p>
    <w:p>
      <w:pPr>
        <w:pStyle w:val="37"/>
        <w:tabs>
          <w:tab w:val="right" w:leader="dot" w:pos="9628"/>
        </w:tabs>
        <w:spacing w:line="480" w:lineRule="auto"/>
        <w:rPr>
          <w:rFonts w:hint="eastAsia" w:ascii="宋体" w:hAnsi="宋体" w:cs="宋体"/>
          <w:b w:val="0"/>
          <w:bCs w:val="0"/>
          <w:caps w:val="0"/>
          <w:color w:val="auto"/>
          <w:sz w:val="28"/>
          <w:szCs w:val="32"/>
        </w:rPr>
      </w:pPr>
      <w:r>
        <w:rPr>
          <w:rFonts w:hint="eastAsia" w:ascii="宋体" w:hAnsi="宋体" w:cs="宋体"/>
          <w:color w:val="auto"/>
          <w:sz w:val="24"/>
          <w:szCs w:val="24"/>
        </w:rPr>
        <w:fldChar w:fldCharType="begin"/>
      </w:r>
      <w:r>
        <w:rPr>
          <w:rStyle w:val="60"/>
          <w:rFonts w:hint="eastAsia" w:ascii="宋体" w:hAnsi="宋体" w:cs="宋体"/>
          <w:color w:val="auto"/>
          <w:sz w:val="24"/>
          <w:szCs w:val="24"/>
        </w:rPr>
        <w:instrText xml:space="preserve"> </w:instrText>
      </w:r>
      <w:r>
        <w:rPr>
          <w:rFonts w:hint="eastAsia" w:ascii="宋体" w:hAnsi="宋体" w:cs="宋体"/>
          <w:color w:val="auto"/>
          <w:sz w:val="24"/>
          <w:szCs w:val="24"/>
        </w:rPr>
        <w:instrText xml:space="preserve">HYPERLINK \l "_Toc499738086"</w:instrText>
      </w:r>
      <w:r>
        <w:rPr>
          <w:rStyle w:val="60"/>
          <w:rFonts w:hint="eastAsia" w:ascii="宋体" w:hAnsi="宋体" w:cs="宋体"/>
          <w:color w:val="auto"/>
          <w:sz w:val="24"/>
          <w:szCs w:val="24"/>
        </w:rPr>
        <w:instrText xml:space="preserve"> </w:instrText>
      </w:r>
      <w:r>
        <w:rPr>
          <w:rFonts w:hint="eastAsia" w:ascii="宋体" w:hAnsi="宋体" w:cs="宋体"/>
          <w:color w:val="auto"/>
          <w:sz w:val="24"/>
          <w:szCs w:val="24"/>
        </w:rPr>
        <w:fldChar w:fldCharType="separate"/>
      </w:r>
      <w:r>
        <w:rPr>
          <w:rStyle w:val="60"/>
          <w:rFonts w:hint="eastAsia" w:ascii="宋体" w:hAnsi="宋体" w:cs="宋体"/>
          <w:color w:val="auto"/>
          <w:sz w:val="24"/>
          <w:szCs w:val="24"/>
        </w:rPr>
        <w:t>第四章 评标办法（综合评估法）</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_Toc499738086 \h </w:instrText>
      </w:r>
      <w:r>
        <w:rPr>
          <w:rFonts w:hint="eastAsia" w:ascii="宋体" w:hAnsi="宋体" w:cs="宋体"/>
          <w:color w:val="auto"/>
          <w:sz w:val="24"/>
          <w:szCs w:val="24"/>
        </w:rPr>
        <w:fldChar w:fldCharType="separate"/>
      </w:r>
      <w:r>
        <w:rPr>
          <w:rFonts w:hint="eastAsia" w:ascii="宋体" w:hAnsi="宋体" w:cs="宋体"/>
          <w:color w:val="auto"/>
          <w:sz w:val="24"/>
          <w:szCs w:val="24"/>
        </w:rPr>
        <w:t>25</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37"/>
        <w:tabs>
          <w:tab w:val="right" w:leader="dot" w:pos="9628"/>
        </w:tabs>
        <w:spacing w:line="480" w:lineRule="auto"/>
        <w:rPr>
          <w:rFonts w:hint="eastAsia" w:ascii="宋体" w:hAnsi="宋体" w:cs="宋体"/>
          <w:b w:val="0"/>
          <w:bCs w:val="0"/>
          <w:caps w:val="0"/>
          <w:color w:val="auto"/>
          <w:sz w:val="28"/>
          <w:szCs w:val="32"/>
        </w:rPr>
      </w:pPr>
      <w:r>
        <w:rPr>
          <w:rFonts w:hint="eastAsia" w:ascii="宋体" w:hAnsi="宋体" w:cs="宋体"/>
          <w:color w:val="auto"/>
          <w:sz w:val="24"/>
          <w:szCs w:val="24"/>
        </w:rPr>
        <w:fldChar w:fldCharType="begin"/>
      </w:r>
      <w:r>
        <w:rPr>
          <w:rStyle w:val="60"/>
          <w:rFonts w:hint="eastAsia" w:ascii="宋体" w:hAnsi="宋体" w:cs="宋体"/>
          <w:color w:val="auto"/>
          <w:sz w:val="24"/>
          <w:szCs w:val="24"/>
        </w:rPr>
        <w:instrText xml:space="preserve"> </w:instrText>
      </w:r>
      <w:r>
        <w:rPr>
          <w:rFonts w:hint="eastAsia" w:ascii="宋体" w:hAnsi="宋体" w:cs="宋体"/>
          <w:color w:val="auto"/>
          <w:sz w:val="24"/>
          <w:szCs w:val="24"/>
        </w:rPr>
        <w:instrText xml:space="preserve">HYPERLINK \l "_Toc499738097"</w:instrText>
      </w:r>
      <w:r>
        <w:rPr>
          <w:rStyle w:val="60"/>
          <w:rFonts w:hint="eastAsia" w:ascii="宋体" w:hAnsi="宋体" w:cs="宋体"/>
          <w:color w:val="auto"/>
          <w:sz w:val="24"/>
          <w:szCs w:val="24"/>
        </w:rPr>
        <w:instrText xml:space="preserve"> </w:instrText>
      </w:r>
      <w:r>
        <w:rPr>
          <w:rFonts w:hint="eastAsia" w:ascii="宋体" w:hAnsi="宋体" w:cs="宋体"/>
          <w:color w:val="auto"/>
          <w:sz w:val="24"/>
          <w:szCs w:val="24"/>
        </w:rPr>
        <w:fldChar w:fldCharType="separate"/>
      </w:r>
      <w:r>
        <w:rPr>
          <w:rStyle w:val="60"/>
          <w:rFonts w:hint="eastAsia" w:ascii="宋体" w:hAnsi="宋体" w:cs="宋体"/>
          <w:color w:val="auto"/>
          <w:sz w:val="24"/>
          <w:szCs w:val="24"/>
        </w:rPr>
        <w:t>第五章 合同条款及</w:t>
      </w:r>
      <w:bookmarkStart w:id="11" w:name="_Hlt63287180"/>
      <w:r>
        <w:rPr>
          <w:rStyle w:val="60"/>
          <w:rFonts w:hint="eastAsia" w:ascii="宋体" w:hAnsi="宋体" w:cs="宋体"/>
          <w:color w:val="auto"/>
          <w:sz w:val="24"/>
          <w:szCs w:val="24"/>
        </w:rPr>
        <w:t>格</w:t>
      </w:r>
      <w:bookmarkEnd w:id="11"/>
      <w:r>
        <w:rPr>
          <w:rStyle w:val="60"/>
          <w:rFonts w:hint="eastAsia" w:ascii="宋体" w:hAnsi="宋体" w:cs="宋体"/>
          <w:color w:val="auto"/>
          <w:sz w:val="24"/>
          <w:szCs w:val="24"/>
        </w:rPr>
        <w:t>式</w:t>
      </w:r>
      <w:r>
        <w:rPr>
          <w:rFonts w:hint="eastAsia" w:ascii="宋体" w:hAnsi="宋体" w:cs="宋体"/>
          <w:color w:val="auto"/>
          <w:sz w:val="24"/>
          <w:szCs w:val="24"/>
        </w:rPr>
        <w:tab/>
      </w:r>
      <w:r>
        <w:rPr>
          <w:rFonts w:hint="eastAsia" w:ascii="宋体" w:hAnsi="宋体" w:cs="宋体"/>
          <w:color w:val="auto"/>
          <w:sz w:val="24"/>
          <w:szCs w:val="24"/>
        </w:rPr>
        <w:t>47</w:t>
      </w:r>
      <w:r>
        <w:rPr>
          <w:rFonts w:hint="eastAsia" w:ascii="宋体" w:hAnsi="宋体" w:cs="宋体"/>
          <w:color w:val="auto"/>
          <w:sz w:val="24"/>
          <w:szCs w:val="24"/>
        </w:rPr>
        <w:fldChar w:fldCharType="end"/>
      </w:r>
    </w:p>
    <w:p>
      <w:pPr>
        <w:pStyle w:val="37"/>
        <w:tabs>
          <w:tab w:val="right" w:leader="dot" w:pos="9628"/>
        </w:tabs>
        <w:spacing w:line="480" w:lineRule="auto"/>
        <w:rPr>
          <w:rFonts w:hint="eastAsia" w:ascii="宋体" w:hAnsi="宋体" w:cs="宋体"/>
          <w:b w:val="0"/>
          <w:bCs w:val="0"/>
          <w:caps w:val="0"/>
          <w:color w:val="auto"/>
          <w:sz w:val="28"/>
          <w:szCs w:val="32"/>
        </w:rPr>
      </w:pPr>
      <w:r>
        <w:rPr>
          <w:rFonts w:hint="eastAsia" w:ascii="宋体" w:hAnsi="宋体" w:cs="宋体"/>
          <w:color w:val="auto"/>
          <w:sz w:val="24"/>
          <w:szCs w:val="24"/>
        </w:rPr>
        <w:fldChar w:fldCharType="begin"/>
      </w:r>
      <w:r>
        <w:rPr>
          <w:rStyle w:val="60"/>
          <w:rFonts w:hint="eastAsia" w:ascii="宋体" w:hAnsi="宋体" w:cs="宋体"/>
          <w:color w:val="auto"/>
          <w:sz w:val="24"/>
          <w:szCs w:val="24"/>
        </w:rPr>
        <w:instrText xml:space="preserve"> </w:instrText>
      </w:r>
      <w:r>
        <w:rPr>
          <w:rFonts w:hint="eastAsia" w:ascii="宋体" w:hAnsi="宋体" w:cs="宋体"/>
          <w:color w:val="auto"/>
          <w:sz w:val="24"/>
          <w:szCs w:val="24"/>
        </w:rPr>
        <w:instrText xml:space="preserve">HYPERLINK \l "_Toc499738270"</w:instrText>
      </w:r>
      <w:r>
        <w:rPr>
          <w:rStyle w:val="60"/>
          <w:rFonts w:hint="eastAsia" w:ascii="宋体" w:hAnsi="宋体" w:cs="宋体"/>
          <w:color w:val="auto"/>
          <w:sz w:val="24"/>
          <w:szCs w:val="24"/>
        </w:rPr>
        <w:instrText xml:space="preserve"> </w:instrText>
      </w:r>
      <w:r>
        <w:rPr>
          <w:rFonts w:hint="eastAsia" w:ascii="宋体" w:hAnsi="宋体" w:cs="宋体"/>
          <w:color w:val="auto"/>
          <w:sz w:val="24"/>
          <w:szCs w:val="24"/>
        </w:rPr>
        <w:fldChar w:fldCharType="separate"/>
      </w:r>
      <w:r>
        <w:rPr>
          <w:rStyle w:val="60"/>
          <w:rFonts w:hint="eastAsia" w:ascii="宋体" w:hAnsi="宋体" w:cs="宋体"/>
          <w:color w:val="auto"/>
          <w:sz w:val="24"/>
          <w:szCs w:val="24"/>
        </w:rPr>
        <w:t>第六章 发包人提</w:t>
      </w:r>
      <w:bookmarkStart w:id="12" w:name="_Hlt63287193"/>
      <w:r>
        <w:rPr>
          <w:rStyle w:val="60"/>
          <w:rFonts w:hint="eastAsia" w:ascii="宋体" w:hAnsi="宋体" w:cs="宋体"/>
          <w:color w:val="auto"/>
          <w:sz w:val="24"/>
          <w:szCs w:val="24"/>
        </w:rPr>
        <w:t>供</w:t>
      </w:r>
      <w:bookmarkEnd w:id="12"/>
      <w:r>
        <w:rPr>
          <w:rStyle w:val="60"/>
          <w:rFonts w:hint="eastAsia" w:ascii="宋体" w:hAnsi="宋体" w:cs="宋体"/>
          <w:color w:val="auto"/>
          <w:sz w:val="24"/>
          <w:szCs w:val="24"/>
        </w:rPr>
        <w:t>的资料</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_Toc499738270 \h </w:instrText>
      </w:r>
      <w:r>
        <w:rPr>
          <w:rFonts w:hint="eastAsia" w:ascii="宋体" w:hAnsi="宋体" w:cs="宋体"/>
          <w:color w:val="auto"/>
          <w:sz w:val="24"/>
          <w:szCs w:val="24"/>
        </w:rPr>
        <w:fldChar w:fldCharType="separate"/>
      </w:r>
      <w:r>
        <w:rPr>
          <w:rFonts w:hint="eastAsia" w:ascii="宋体" w:hAnsi="宋体" w:cs="宋体"/>
          <w:color w:val="auto"/>
          <w:sz w:val="24"/>
          <w:szCs w:val="24"/>
        </w:rPr>
        <w:t>129</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37"/>
        <w:tabs>
          <w:tab w:val="right" w:leader="dot" w:pos="9628"/>
        </w:tabs>
        <w:spacing w:line="480" w:lineRule="auto"/>
        <w:rPr>
          <w:rFonts w:hint="eastAsia" w:ascii="宋体" w:hAnsi="宋体" w:cs="宋体"/>
          <w:b w:val="0"/>
          <w:bCs w:val="0"/>
          <w:caps w:val="0"/>
          <w:color w:val="auto"/>
          <w:sz w:val="28"/>
          <w:szCs w:val="32"/>
        </w:rPr>
      </w:pPr>
      <w:r>
        <w:rPr>
          <w:rFonts w:hint="eastAsia" w:ascii="宋体" w:hAnsi="宋体" w:cs="宋体"/>
          <w:color w:val="auto"/>
          <w:sz w:val="24"/>
          <w:szCs w:val="24"/>
        </w:rPr>
        <w:fldChar w:fldCharType="begin"/>
      </w:r>
      <w:r>
        <w:rPr>
          <w:rStyle w:val="60"/>
          <w:rFonts w:hint="eastAsia" w:ascii="宋体" w:hAnsi="宋体" w:cs="宋体"/>
          <w:color w:val="auto"/>
          <w:sz w:val="24"/>
          <w:szCs w:val="24"/>
        </w:rPr>
        <w:instrText xml:space="preserve"> </w:instrText>
      </w:r>
      <w:r>
        <w:rPr>
          <w:rFonts w:hint="eastAsia" w:ascii="宋体" w:hAnsi="宋体" w:cs="宋体"/>
          <w:color w:val="auto"/>
          <w:sz w:val="24"/>
          <w:szCs w:val="24"/>
        </w:rPr>
        <w:instrText xml:space="preserve">HYPERLINK \l "_Toc499738271"</w:instrText>
      </w:r>
      <w:r>
        <w:rPr>
          <w:rStyle w:val="60"/>
          <w:rFonts w:hint="eastAsia" w:ascii="宋体" w:hAnsi="宋体" w:cs="宋体"/>
          <w:color w:val="auto"/>
          <w:sz w:val="24"/>
          <w:szCs w:val="24"/>
        </w:rPr>
        <w:instrText xml:space="preserve"> </w:instrText>
      </w:r>
      <w:r>
        <w:rPr>
          <w:rFonts w:hint="eastAsia" w:ascii="宋体" w:hAnsi="宋体" w:cs="宋体"/>
          <w:color w:val="auto"/>
          <w:sz w:val="24"/>
          <w:szCs w:val="24"/>
        </w:rPr>
        <w:fldChar w:fldCharType="separate"/>
      </w:r>
      <w:r>
        <w:rPr>
          <w:rStyle w:val="60"/>
          <w:rFonts w:hint="eastAsia" w:ascii="宋体" w:hAnsi="宋体" w:cs="宋体"/>
          <w:color w:val="auto"/>
          <w:sz w:val="24"/>
          <w:szCs w:val="24"/>
        </w:rPr>
        <w:t>第七章 投标文</w:t>
      </w:r>
      <w:bookmarkStart w:id="13" w:name="_Hlt63287211"/>
      <w:r>
        <w:rPr>
          <w:rStyle w:val="60"/>
          <w:rFonts w:hint="eastAsia" w:ascii="宋体" w:hAnsi="宋体" w:cs="宋体"/>
          <w:color w:val="auto"/>
          <w:sz w:val="24"/>
          <w:szCs w:val="24"/>
        </w:rPr>
        <w:t>件</w:t>
      </w:r>
      <w:bookmarkEnd w:id="13"/>
      <w:r>
        <w:rPr>
          <w:rStyle w:val="60"/>
          <w:rFonts w:hint="eastAsia" w:ascii="宋体" w:hAnsi="宋体" w:cs="宋体"/>
          <w:color w:val="auto"/>
          <w:sz w:val="24"/>
          <w:szCs w:val="24"/>
        </w:rPr>
        <w:t>格式</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_Toc499738271 \h </w:instrText>
      </w:r>
      <w:r>
        <w:rPr>
          <w:rFonts w:hint="eastAsia" w:ascii="宋体" w:hAnsi="宋体" w:cs="宋体"/>
          <w:color w:val="auto"/>
          <w:sz w:val="24"/>
          <w:szCs w:val="24"/>
        </w:rPr>
        <w:fldChar w:fldCharType="separate"/>
      </w:r>
      <w:r>
        <w:rPr>
          <w:rFonts w:hint="eastAsia" w:ascii="宋体" w:hAnsi="宋体" w:cs="宋体"/>
          <w:color w:val="auto"/>
          <w:sz w:val="24"/>
          <w:szCs w:val="24"/>
        </w:rPr>
        <w:t>130</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5"/>
        <w:spacing w:line="480" w:lineRule="auto"/>
        <w:jc w:val="center"/>
        <w:rPr>
          <w:rFonts w:hint="eastAsia" w:ascii="宋体" w:hAnsi="宋体" w:cs="宋体"/>
          <w:color w:val="auto"/>
        </w:rPr>
        <w:sectPr>
          <w:footerReference r:id="rId4" w:type="default"/>
          <w:pgSz w:w="11906" w:h="16838"/>
          <w:pgMar w:top="1418" w:right="1134" w:bottom="1418" w:left="1134" w:header="851" w:footer="992" w:gutter="0"/>
          <w:pgNumType w:start="1"/>
          <w:cols w:space="720" w:num="1"/>
          <w:docGrid w:type="lines" w:linePitch="312" w:charSpace="0"/>
        </w:sectPr>
      </w:pPr>
      <w:r>
        <w:rPr>
          <w:rFonts w:hint="eastAsia" w:ascii="宋体" w:hAnsi="宋体" w:cs="宋体"/>
          <w:color w:val="auto"/>
          <w:sz w:val="56"/>
          <w:szCs w:val="56"/>
        </w:rPr>
        <w:fldChar w:fldCharType="end"/>
      </w:r>
    </w:p>
    <w:bookmarkEnd w:id="4"/>
    <w:bookmarkEnd w:id="5"/>
    <w:bookmarkEnd w:id="6"/>
    <w:bookmarkEnd w:id="7"/>
    <w:bookmarkEnd w:id="8"/>
    <w:p>
      <w:pPr>
        <w:pStyle w:val="5"/>
        <w:spacing w:before="0" w:after="0" w:line="360" w:lineRule="auto"/>
        <w:jc w:val="center"/>
        <w:rPr>
          <w:rFonts w:hint="eastAsia" w:ascii="宋体" w:hAnsi="宋体" w:cs="宋体"/>
          <w:color w:val="auto"/>
        </w:rPr>
      </w:pPr>
      <w:bookmarkStart w:id="14" w:name="_Toc152042294"/>
      <w:bookmarkStart w:id="15" w:name="_Toc247527542"/>
      <w:bookmarkStart w:id="16" w:name="_Toc152045518"/>
      <w:bookmarkStart w:id="17" w:name="_Toc144974486"/>
      <w:bookmarkStart w:id="18" w:name="_Toc247513941"/>
      <w:bookmarkStart w:id="19" w:name="_Toc499738014"/>
      <w:r>
        <w:rPr>
          <w:rFonts w:hint="eastAsia" w:ascii="宋体" w:hAnsi="宋体" w:cs="宋体"/>
          <w:color w:val="auto"/>
        </w:rPr>
        <w:t xml:space="preserve">第一章 </w:t>
      </w:r>
      <w:bookmarkEnd w:id="14"/>
      <w:bookmarkEnd w:id="15"/>
      <w:bookmarkEnd w:id="16"/>
      <w:bookmarkEnd w:id="17"/>
      <w:bookmarkEnd w:id="18"/>
      <w:r>
        <w:rPr>
          <w:rFonts w:hint="eastAsia" w:ascii="宋体" w:hAnsi="宋体" w:cs="宋体"/>
          <w:color w:val="auto"/>
        </w:rPr>
        <w:t>招标公告</w:t>
      </w:r>
      <w:bookmarkEnd w:id="19"/>
      <w:r>
        <w:rPr>
          <w:rFonts w:hint="eastAsia" w:ascii="宋体" w:hAnsi="宋体" w:cs="宋体"/>
          <w:color w:val="auto"/>
        </w:rPr>
        <w:t xml:space="preserve"> </w:t>
      </w:r>
    </w:p>
    <w:p>
      <w:pPr>
        <w:jc w:val="center"/>
        <w:rPr>
          <w:rFonts w:hint="eastAsia" w:ascii="宋体" w:hAnsi="宋体" w:cs="宋体"/>
          <w:b/>
          <w:color w:val="auto"/>
          <w:sz w:val="28"/>
          <w:szCs w:val="28"/>
        </w:rPr>
      </w:pPr>
      <w:r>
        <w:rPr>
          <w:rFonts w:hint="eastAsia" w:ascii="宋体" w:hAnsi="宋体" w:cs="宋体"/>
          <w:b/>
          <w:color w:val="auto"/>
          <w:sz w:val="28"/>
          <w:szCs w:val="28"/>
        </w:rPr>
        <w:t>杨树塘路道路工程建设项目设计施工总承包（EPC）</w:t>
      </w:r>
    </w:p>
    <w:p>
      <w:pPr>
        <w:jc w:val="center"/>
        <w:rPr>
          <w:rFonts w:hint="eastAsia" w:ascii="宋体" w:hAnsi="宋体" w:cs="宋体"/>
          <w:b/>
          <w:color w:val="auto"/>
          <w:sz w:val="28"/>
          <w:szCs w:val="28"/>
          <w:u w:val="single"/>
        </w:rPr>
      </w:pPr>
      <w:r>
        <w:rPr>
          <w:rFonts w:hint="eastAsia" w:ascii="宋体" w:hAnsi="宋体" w:cs="宋体"/>
          <w:b/>
          <w:color w:val="auto"/>
          <w:sz w:val="28"/>
          <w:szCs w:val="28"/>
        </w:rPr>
        <w:t>招标公告</w:t>
      </w:r>
    </w:p>
    <w:p>
      <w:pPr>
        <w:spacing w:line="360" w:lineRule="auto"/>
        <w:rPr>
          <w:rFonts w:hint="eastAsia" w:ascii="宋体" w:hAnsi="宋体" w:eastAsia="宋体" w:cs="宋体"/>
          <w:b/>
          <w:bCs/>
          <w:color w:val="auto"/>
          <w:sz w:val="24"/>
          <w:szCs w:val="24"/>
        </w:rPr>
      </w:pPr>
      <w:bookmarkStart w:id="20" w:name="_Toc247513950"/>
      <w:bookmarkStart w:id="21" w:name="_Toc152042303"/>
      <w:bookmarkStart w:id="22" w:name="_Toc152045527"/>
      <w:bookmarkStart w:id="23" w:name="_Toc144974495"/>
      <w:bookmarkStart w:id="24" w:name="_Toc247527551"/>
      <w:r>
        <w:rPr>
          <w:rFonts w:hint="eastAsia" w:ascii="宋体" w:hAnsi="宋体" w:eastAsia="宋体" w:cs="宋体"/>
          <w:b/>
          <w:bCs/>
          <w:color w:val="auto"/>
          <w:sz w:val="24"/>
          <w:szCs w:val="24"/>
          <w:lang w:val="en-US" w:eastAsia="zh-CN"/>
        </w:rPr>
        <w:t>一</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项目概况</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审批、核准或备案情况</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本招标项目杨树塘路道路工程建设项目设计施工总承包（EPC）</w:t>
      </w:r>
      <w:r>
        <w:rPr>
          <w:rFonts w:hint="eastAsia" w:ascii="宋体" w:hAnsi="宋体" w:eastAsia="宋体" w:cs="宋体"/>
          <w:color w:val="auto"/>
          <w:sz w:val="24"/>
          <w:szCs w:val="24"/>
          <w:lang w:eastAsia="zh-CN"/>
        </w:rPr>
        <w:t>已</w:t>
      </w:r>
      <w:r>
        <w:rPr>
          <w:rFonts w:hint="eastAsia" w:ascii="宋体" w:hAnsi="宋体" w:eastAsia="宋体" w:cs="宋体"/>
          <w:color w:val="auto"/>
          <w:sz w:val="24"/>
          <w:szCs w:val="24"/>
          <w:lang w:val="en-US" w:eastAsia="zh-CN"/>
        </w:rPr>
        <w:t>由岳阳市岳阳楼区发展和改革局以岳楼发改审【2020】44号文批准建设，</w:t>
      </w:r>
      <w:r>
        <w:rPr>
          <w:rFonts w:hint="eastAsia" w:ascii="宋体" w:hAnsi="宋体" w:eastAsia="宋体" w:cs="宋体"/>
          <w:color w:val="auto"/>
          <w:sz w:val="24"/>
          <w:szCs w:val="24"/>
        </w:rPr>
        <w:t>项目业主为</w:t>
      </w:r>
      <w:r>
        <w:rPr>
          <w:rFonts w:hint="eastAsia" w:ascii="宋体" w:hAnsi="宋体" w:eastAsia="宋体" w:cs="宋体"/>
          <w:color w:val="auto"/>
          <w:sz w:val="24"/>
          <w:szCs w:val="24"/>
          <w:lang w:eastAsia="zh-CN"/>
        </w:rPr>
        <w:t>岳阳市岳阳楼区住房和城乡建设局</w:t>
      </w:r>
      <w:r>
        <w:rPr>
          <w:rFonts w:hint="eastAsia" w:ascii="宋体" w:hAnsi="宋体" w:eastAsia="宋体" w:cs="宋体"/>
          <w:color w:val="auto"/>
          <w:sz w:val="24"/>
          <w:szCs w:val="24"/>
        </w:rPr>
        <w:t>，主要建设内容</w:t>
      </w:r>
      <w:r>
        <w:rPr>
          <w:rFonts w:hint="eastAsia" w:ascii="宋体" w:hAnsi="宋体" w:eastAsia="宋体" w:cs="宋体"/>
          <w:color w:val="auto"/>
          <w:sz w:val="24"/>
          <w:szCs w:val="24"/>
          <w:lang w:val="en-US" w:eastAsia="zh-CN"/>
        </w:rPr>
        <w:t>为杨树塘路道路工程建设项目设计施工总承包（EPC）</w:t>
      </w:r>
      <w:r>
        <w:rPr>
          <w:rFonts w:hint="eastAsia" w:ascii="宋体" w:hAnsi="宋体" w:eastAsia="宋体" w:cs="宋体"/>
          <w:color w:val="auto"/>
          <w:sz w:val="24"/>
          <w:szCs w:val="24"/>
          <w:lang w:eastAsia="zh-CN"/>
        </w:rPr>
        <w:t>建设</w:t>
      </w:r>
      <w:r>
        <w:rPr>
          <w:rFonts w:hint="eastAsia" w:ascii="宋体" w:hAnsi="宋体" w:eastAsia="宋体" w:cs="宋体"/>
          <w:color w:val="auto"/>
          <w:sz w:val="24"/>
          <w:szCs w:val="24"/>
        </w:rPr>
        <w:t>，项目总投资</w:t>
      </w:r>
      <w:r>
        <w:rPr>
          <w:rFonts w:hint="eastAsia" w:ascii="宋体" w:hAnsi="宋体" w:eastAsia="宋体" w:cs="宋体"/>
          <w:color w:val="auto"/>
          <w:sz w:val="24"/>
          <w:szCs w:val="24"/>
          <w:lang w:val="en-US" w:eastAsia="zh-CN"/>
        </w:rPr>
        <w:t>约</w:t>
      </w:r>
      <w:r>
        <w:rPr>
          <w:rFonts w:hint="eastAsia" w:ascii="宋体" w:hAnsi="宋体" w:eastAsia="宋体" w:cs="宋体"/>
          <w:color w:val="auto"/>
          <w:sz w:val="24"/>
          <w:szCs w:val="24"/>
        </w:rPr>
        <w:t>为</w:t>
      </w:r>
      <w:r>
        <w:rPr>
          <w:rFonts w:hint="eastAsia" w:ascii="宋体" w:hAnsi="宋体" w:eastAsia="宋体" w:cs="宋体"/>
          <w:color w:val="auto"/>
          <w:sz w:val="24"/>
          <w:szCs w:val="24"/>
          <w:lang w:val="en-US" w:eastAsia="zh-CN"/>
        </w:rPr>
        <w:t>1150.98</w:t>
      </w:r>
      <w:r>
        <w:rPr>
          <w:rFonts w:hint="eastAsia" w:ascii="宋体" w:hAnsi="宋体" w:eastAsia="宋体" w:cs="宋体"/>
          <w:color w:val="auto"/>
          <w:sz w:val="24"/>
          <w:szCs w:val="24"/>
        </w:rPr>
        <w:t>万元，资金来源</w:t>
      </w:r>
      <w:r>
        <w:rPr>
          <w:rFonts w:hint="eastAsia" w:ascii="宋体" w:hAnsi="宋体" w:eastAsia="宋体" w:cs="宋体"/>
          <w:color w:val="auto"/>
          <w:sz w:val="24"/>
          <w:szCs w:val="24"/>
          <w:lang w:val="en-US" w:eastAsia="zh-CN"/>
        </w:rPr>
        <w:t>为岳阳楼区财政资金</w:t>
      </w:r>
      <w:r>
        <w:rPr>
          <w:rFonts w:hint="eastAsia" w:ascii="宋体" w:hAnsi="宋体" w:eastAsia="宋体" w:cs="宋体"/>
          <w:color w:val="auto"/>
          <w:sz w:val="24"/>
          <w:szCs w:val="24"/>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招标项目概况</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招标项目名称：</w:t>
      </w:r>
      <w:r>
        <w:rPr>
          <w:rFonts w:hint="eastAsia" w:ascii="宋体" w:hAnsi="宋体" w:eastAsia="宋体" w:cs="宋体"/>
          <w:color w:val="auto"/>
          <w:sz w:val="24"/>
          <w:szCs w:val="24"/>
          <w:lang w:eastAsia="zh-CN"/>
        </w:rPr>
        <w:t>杨树塘路道路工程建设项目设计施工总承包（EPC）</w:t>
      </w:r>
      <w:r>
        <w:rPr>
          <w:rFonts w:hint="eastAsia" w:ascii="宋体" w:hAnsi="宋体" w:eastAsia="宋体" w:cs="宋体"/>
          <w:color w:val="auto"/>
          <w:sz w:val="24"/>
          <w:szCs w:val="24"/>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建设地点：岳阳楼区杨树塘片区，北起青年中路，南至财富路；</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2.3</w:t>
      </w:r>
      <w:r>
        <w:rPr>
          <w:rFonts w:hint="eastAsia" w:ascii="宋体" w:hAnsi="宋体" w:eastAsia="宋体" w:cs="宋体"/>
          <w:color w:val="auto"/>
          <w:sz w:val="24"/>
          <w:szCs w:val="24"/>
        </w:rPr>
        <w:t>项目基本情况</w:t>
      </w:r>
      <w:r>
        <w:rPr>
          <w:rFonts w:hint="eastAsia" w:ascii="宋体" w:hAnsi="宋体" w:eastAsia="宋体" w:cs="宋体"/>
          <w:color w:val="auto"/>
          <w:sz w:val="24"/>
          <w:szCs w:val="24"/>
          <w:lang w:eastAsia="zh-CN"/>
        </w:rPr>
        <w:t>：新建杨树塘路为城市支路，道路全长308米，道路红线宽度为17米，道路分幅为2.5米（人行道）+12米（车行道）+2.5米（人行道）=17米，计算行车速度为20Km/h。主要建设内容包括：路基工程、路面工程、交通工程、给水工程、排水工程、照明工程、绿化工程等。（具体详见工程量清单）</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本次招标金额为</w:t>
      </w:r>
      <w:r>
        <w:rPr>
          <w:rFonts w:hint="eastAsia" w:ascii="宋体" w:hAnsi="宋体" w:cs="宋体"/>
          <w:color w:val="auto"/>
          <w:sz w:val="24"/>
          <w:szCs w:val="24"/>
          <w:lang w:val="en-US" w:eastAsia="zh-CN"/>
        </w:rPr>
        <w:t>1048.76</w:t>
      </w:r>
      <w:r>
        <w:rPr>
          <w:rFonts w:hint="eastAsia" w:ascii="宋体" w:hAnsi="宋体" w:eastAsia="宋体" w:cs="宋体"/>
          <w:color w:val="auto"/>
          <w:sz w:val="24"/>
          <w:szCs w:val="24"/>
          <w:lang w:val="en-US" w:eastAsia="zh-CN"/>
        </w:rPr>
        <w:t>万元，其中工程费用为</w:t>
      </w:r>
      <w:r>
        <w:rPr>
          <w:rFonts w:hint="eastAsia" w:ascii="宋体" w:hAnsi="宋体" w:cs="宋体"/>
          <w:color w:val="auto"/>
          <w:sz w:val="24"/>
          <w:szCs w:val="24"/>
          <w:lang w:val="en-US" w:eastAsia="zh-CN"/>
        </w:rPr>
        <w:t>1018.21</w:t>
      </w:r>
      <w:r>
        <w:rPr>
          <w:rFonts w:hint="eastAsia" w:ascii="宋体" w:hAnsi="宋体" w:eastAsia="宋体" w:cs="宋体"/>
          <w:color w:val="auto"/>
          <w:sz w:val="24"/>
          <w:szCs w:val="24"/>
          <w:lang w:val="en-US" w:eastAsia="zh-CN"/>
        </w:rPr>
        <w:t xml:space="preserve">万元，设计费为 30.55万元。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2.4</w:t>
      </w:r>
      <w:r>
        <w:rPr>
          <w:rFonts w:hint="eastAsia" w:ascii="宋体" w:hAnsi="宋体" w:eastAsia="宋体" w:cs="宋体"/>
          <w:color w:val="auto"/>
          <w:sz w:val="24"/>
          <w:szCs w:val="24"/>
        </w:rPr>
        <w:t>工期要求：</w:t>
      </w:r>
      <w:r>
        <w:rPr>
          <w:rFonts w:hint="eastAsia" w:ascii="宋体" w:hAnsi="宋体" w:eastAsia="宋体" w:cs="宋体"/>
          <w:color w:val="auto"/>
          <w:sz w:val="24"/>
          <w:szCs w:val="24"/>
          <w:lang w:val="en-US" w:eastAsia="zh-CN"/>
        </w:rPr>
        <w:t>60日历天（其中设计工期为：7日历天；施工工期为：53日历天）</w:t>
      </w:r>
      <w:r>
        <w:rPr>
          <w:rFonts w:hint="eastAsia" w:ascii="宋体" w:hAnsi="宋体" w:eastAsia="宋体" w:cs="宋体"/>
          <w:color w:val="auto"/>
          <w:sz w:val="24"/>
          <w:szCs w:val="24"/>
          <w:lang w:eastAsia="zh-CN"/>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招标范围：建设规模范围内的设计、</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rPr>
        <w:t>施工总承包，主要包括</w:t>
      </w:r>
      <w:r>
        <w:rPr>
          <w:rFonts w:hint="eastAsia" w:ascii="宋体" w:hAnsi="宋体" w:eastAsia="宋体" w:cs="宋体"/>
          <w:color w:val="auto"/>
          <w:sz w:val="24"/>
          <w:szCs w:val="24"/>
          <w:lang w:eastAsia="zh-CN"/>
        </w:rPr>
        <w:t>杨树塘路道路工程建设项目设计施工总承包（EPC）项目</w:t>
      </w:r>
      <w:r>
        <w:rPr>
          <w:rFonts w:hint="eastAsia" w:ascii="宋体" w:hAnsi="宋体" w:eastAsia="宋体" w:cs="宋体"/>
          <w:color w:val="auto"/>
          <w:sz w:val="24"/>
          <w:szCs w:val="24"/>
          <w:lang w:val="en-US" w:eastAsia="zh-CN"/>
        </w:rPr>
        <w:t>的初步设计优化，</w:t>
      </w:r>
      <w:r>
        <w:rPr>
          <w:rFonts w:hint="eastAsia" w:ascii="宋体" w:hAnsi="宋体" w:eastAsia="宋体" w:cs="宋体"/>
          <w:color w:val="auto"/>
          <w:sz w:val="24"/>
          <w:szCs w:val="24"/>
        </w:rPr>
        <w:t>施工图设计</w:t>
      </w:r>
      <w:r>
        <w:rPr>
          <w:rFonts w:hint="eastAsia" w:ascii="宋体" w:hAnsi="宋体" w:eastAsia="宋体" w:cs="宋体"/>
          <w:color w:val="auto"/>
          <w:sz w:val="24"/>
          <w:szCs w:val="24"/>
          <w:lang w:eastAsia="zh-CN"/>
        </w:rPr>
        <w:t>及</w:t>
      </w:r>
      <w:r>
        <w:rPr>
          <w:rFonts w:hint="eastAsia" w:ascii="宋体" w:hAnsi="宋体" w:eastAsia="宋体" w:cs="宋体"/>
          <w:color w:val="auto"/>
          <w:sz w:val="24"/>
          <w:szCs w:val="24"/>
          <w:lang w:val="en-US" w:eastAsia="zh-CN"/>
        </w:rPr>
        <w:t>设备采购</w:t>
      </w:r>
      <w:r>
        <w:rPr>
          <w:rFonts w:hint="eastAsia" w:ascii="宋体" w:hAnsi="宋体" w:eastAsia="宋体" w:cs="宋体"/>
          <w:color w:val="auto"/>
          <w:sz w:val="24"/>
          <w:szCs w:val="24"/>
        </w:rPr>
        <w:t>及工程施工（具体以招标人按程序组织审定的施工图和预算清单为准）；</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2.6质量要求：</w:t>
      </w:r>
      <w:r>
        <w:rPr>
          <w:rFonts w:hint="eastAsia" w:ascii="宋体" w:hAnsi="宋体" w:eastAsia="宋体" w:cs="宋体"/>
          <w:color w:val="auto"/>
          <w:sz w:val="24"/>
          <w:szCs w:val="24"/>
          <w:lang w:val="zh-TW"/>
        </w:rPr>
        <w:t>设计要求的质量标准：设计成果应符合国家、行业及地方现行相关法律法规、规范及技术标准</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施工要求的质量标准：满足设计要求，符合《建筑工程施工质量统一验收标准》及相关技术标准、验收规定，分阶段一次性验收合格，并通过备案</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设备及材料采购部分质量标准：符合国家、行业及地方现行相关法律法规、规范及技术标准，主要设备须采用行业知名品牌。</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2.7保修要求：</w:t>
      </w:r>
      <w:r>
        <w:rPr>
          <w:rFonts w:hint="eastAsia" w:ascii="宋体" w:hAnsi="宋体" w:eastAsia="宋体" w:cs="宋体"/>
          <w:color w:val="auto"/>
          <w:sz w:val="24"/>
          <w:szCs w:val="24"/>
        </w:rPr>
        <w:t>国务院令第[2000]279号</w:t>
      </w:r>
      <w:r>
        <w:rPr>
          <w:rFonts w:hint="eastAsia" w:ascii="宋体" w:hAnsi="宋体" w:eastAsia="宋体" w:cs="宋体"/>
          <w:color w:val="auto"/>
          <w:sz w:val="24"/>
          <w:szCs w:val="24"/>
          <w:lang w:val="en-US" w:eastAsia="zh-CN"/>
        </w:rPr>
        <w:t>；</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2.8缺陷责任期：24个月。 </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2.9标段划分：本项目共分为一个标段。</w:t>
      </w:r>
    </w:p>
    <w:p>
      <w:pPr>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二、</w:t>
      </w:r>
      <w:r>
        <w:rPr>
          <w:rFonts w:hint="eastAsia" w:ascii="宋体" w:hAnsi="宋体" w:eastAsia="宋体" w:cs="宋体"/>
          <w:b/>
          <w:bCs/>
          <w:color w:val="auto"/>
          <w:sz w:val="24"/>
          <w:szCs w:val="24"/>
        </w:rPr>
        <w:t>资格要求</w:t>
      </w:r>
      <w:r>
        <w:rPr>
          <w:rFonts w:hint="eastAsia" w:ascii="宋体" w:hAnsi="宋体" w:eastAsia="宋体" w:cs="宋体"/>
          <w:b/>
          <w:bCs/>
          <w:color w:val="auto"/>
          <w:sz w:val="24"/>
          <w:szCs w:val="24"/>
          <w:lang w:val="en-US" w:eastAsia="zh-CN"/>
        </w:rPr>
        <w:t xml:space="preserve">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具有独立法人资格并依法取得企业营业执照，营业执照处于有效期；省外入湘企业在 “湖南省住房和城乡建设网” 进行了基本信息登记；</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2.投标人须同时具备住房城乡建设主管部门颁发的以下两项资质：</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①工程设计综合资质或市政行业(道路工程)专业乙级及以上设计资质；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②市政公用工程施工总承包叁级及以上资质</w:t>
      </w:r>
      <w:r>
        <w:rPr>
          <w:rFonts w:hint="eastAsia" w:ascii="宋体" w:hAnsi="宋体" w:eastAsia="宋体" w:cs="宋体"/>
          <w:color w:val="auto"/>
          <w:sz w:val="24"/>
          <w:szCs w:val="24"/>
        </w:rPr>
        <w:t>，安全生产许可证处于有效期；</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项目总负责人（即EPC项目经理）为施工项目部项目负责人，拟任项目经理具备</w:t>
      </w:r>
      <w:r>
        <w:rPr>
          <w:rFonts w:hint="eastAsia" w:ascii="宋体" w:hAnsi="宋体" w:eastAsia="宋体" w:cs="宋体"/>
          <w:color w:val="auto"/>
          <w:sz w:val="24"/>
          <w:szCs w:val="24"/>
          <w:lang w:val="en-US" w:eastAsia="zh-CN"/>
        </w:rPr>
        <w:t>市政公用工程</w:t>
      </w:r>
      <w:r>
        <w:rPr>
          <w:rFonts w:hint="eastAsia" w:ascii="宋体" w:hAnsi="宋体" w:eastAsia="宋体" w:cs="宋体"/>
          <w:color w:val="auto"/>
          <w:sz w:val="24"/>
          <w:szCs w:val="24"/>
        </w:rPr>
        <w:t>专业</w:t>
      </w:r>
      <w:r>
        <w:rPr>
          <w:rFonts w:hint="eastAsia" w:ascii="宋体" w:hAnsi="宋体" w:eastAsia="宋体" w:cs="宋体"/>
          <w:color w:val="auto"/>
          <w:sz w:val="24"/>
          <w:szCs w:val="24"/>
          <w:lang w:val="en-US" w:eastAsia="zh-CN"/>
        </w:rPr>
        <w:t>二级及以上注册建造师</w:t>
      </w:r>
      <w:r>
        <w:rPr>
          <w:rFonts w:hint="eastAsia" w:ascii="宋体" w:hAnsi="宋体" w:eastAsia="宋体" w:cs="宋体"/>
          <w:color w:val="auto"/>
          <w:sz w:val="24"/>
          <w:szCs w:val="24"/>
        </w:rPr>
        <w:t>资格，具备项目负责人安全生产考核合格证书，且未在其他</w:t>
      </w:r>
      <w:r>
        <w:rPr>
          <w:rFonts w:hint="eastAsia" w:ascii="宋体" w:hAnsi="宋体" w:eastAsia="宋体" w:cs="宋体"/>
          <w:color w:val="auto"/>
          <w:sz w:val="24"/>
          <w:szCs w:val="24"/>
          <w:lang w:eastAsia="zh-CN"/>
        </w:rPr>
        <w:t>在</w:t>
      </w:r>
      <w:r>
        <w:rPr>
          <w:rFonts w:hint="eastAsia" w:ascii="宋体" w:hAnsi="宋体" w:eastAsia="宋体" w:cs="宋体"/>
          <w:color w:val="auto"/>
          <w:sz w:val="24"/>
          <w:szCs w:val="24"/>
        </w:rPr>
        <w:t>建工程项目中担任同类职务；</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拟任</w:t>
      </w:r>
      <w:r>
        <w:rPr>
          <w:rFonts w:hint="eastAsia" w:ascii="宋体" w:hAnsi="宋体" w:eastAsia="宋体" w:cs="宋体"/>
          <w:color w:val="auto"/>
          <w:sz w:val="24"/>
          <w:szCs w:val="24"/>
          <w:lang w:val="en-US" w:eastAsia="zh-CN"/>
        </w:rPr>
        <w:t>施工</w:t>
      </w:r>
      <w:r>
        <w:rPr>
          <w:rFonts w:hint="eastAsia" w:ascii="宋体" w:hAnsi="宋体" w:eastAsia="宋体" w:cs="宋体"/>
          <w:color w:val="auto"/>
          <w:sz w:val="24"/>
          <w:szCs w:val="24"/>
        </w:rPr>
        <w:t>技术负责人具备</w:t>
      </w:r>
      <w:r>
        <w:rPr>
          <w:rFonts w:hint="eastAsia" w:ascii="宋体" w:hAnsi="宋体" w:eastAsia="宋体" w:cs="宋体"/>
          <w:color w:val="auto"/>
          <w:sz w:val="24"/>
          <w:szCs w:val="24"/>
          <w:lang w:val="en-US" w:eastAsia="zh-CN"/>
        </w:rPr>
        <w:t>市政公用工程相关</w:t>
      </w:r>
      <w:r>
        <w:rPr>
          <w:rFonts w:hint="eastAsia" w:ascii="宋体" w:hAnsi="宋体" w:eastAsia="宋体" w:cs="宋体"/>
          <w:color w:val="auto"/>
          <w:sz w:val="24"/>
          <w:szCs w:val="24"/>
        </w:rPr>
        <w:t>专业</w:t>
      </w:r>
      <w:r>
        <w:rPr>
          <w:rFonts w:hint="eastAsia" w:ascii="宋体" w:hAnsi="宋体" w:eastAsia="宋体" w:cs="宋体"/>
          <w:color w:val="auto"/>
          <w:sz w:val="24"/>
          <w:szCs w:val="24"/>
          <w:lang w:val="en-US" w:eastAsia="zh-CN"/>
        </w:rPr>
        <w:t>中级及以上</w:t>
      </w:r>
      <w:r>
        <w:rPr>
          <w:rFonts w:hint="eastAsia" w:ascii="宋体" w:hAnsi="宋体" w:eastAsia="宋体" w:cs="宋体"/>
          <w:color w:val="auto"/>
          <w:sz w:val="24"/>
          <w:szCs w:val="24"/>
        </w:rPr>
        <w:t>职称；</w:t>
      </w:r>
      <w:r>
        <w:rPr>
          <w:rFonts w:hint="eastAsia" w:ascii="宋体" w:hAnsi="宋体" w:eastAsia="宋体" w:cs="宋体"/>
          <w:color w:val="auto"/>
          <w:sz w:val="24"/>
          <w:szCs w:val="24"/>
          <w:lang w:val="en-US" w:eastAsia="zh-CN"/>
        </w:rPr>
        <w:t>拟任项目设计负责人应具有市政公用工程专业中级（含）及以上技术职称；</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5.拟任本次投标的项目总负责人，施工项目部相关岗位人员、项目设计负责人必须是本企业在职人员（提供近6个月劳动保障部门出具的连续缴纳社保证明），施工项目部相关岗位人员无在建项目；</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被工商行政管理机关在全国企业信用信息公示系统中列入严重违法企业名单（以全国企业信用信息公示系统查询为准）的或被最高人民法院在“信用中国网站”（www.creditchina.gov.cn）中列入失信被执行名单的，在惩戒期内不能参与投标。</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本次招标接受联合体投标。联合体成员不超过2家；联合体各成员间须签订联合体协议书，确定施工单位或设计单位的投标人为联合体牵头人代表联合体投标、签约与履行合同和协议中承担的义务和法律责任。非联合体牵头人不得另行单独与招标人签订合同；联合体投标人除了需满足上述要求以外，同时需满足以下资格条件：</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（1）联合体各成员都必须是财务自主、独立核算、有独立的经营权和决策权的独立法人。 </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联合体协议书中应明确联合体各方拟承担的工作和责任，联合体中标的，联合体各方应当共同与招标人签订合同，就中标项目向招标人承担连带责任。联合体各成员的法定代表人或其授权的委托代理人都应在联合体协议书上签署并加盖单位公章。</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（3）联合体协议书中必须明确联合体牵头人合法代表联合体各方成员负责本工程投标活动，并处理与投标和中标有关的一切事务。因此，本项目的法人授权委托书须由联合体各方的法定代表人签署并加盖公章。</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（4）以联合体形式投标的，应当以联合体中牵头人名义提交投标保证金，对联合体各成员均具有约束力。</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类似工程业绩要求：</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投标人近三年（投标截止时间前36个月）至少承担过单项合同工程费用不少于500万元的市政道路工程设计、施工或总承包项目业绩，同时提供中标通知书、合同协议书、竣工验收备案表（经建设工程质量监督部门签字确认）或竣工验收证明（由建设方、施工方、监理方、设计方盖章认可），时间以竣工验收备案登记表或竣工验收证明上建设单位签字的时间为准（设计业绩提供中标通知书、合同协议书）。</w:t>
      </w:r>
    </w:p>
    <w:p>
      <w:pPr>
        <w:spacing w:line="360" w:lineRule="auto"/>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三、</w:t>
      </w:r>
      <w:r>
        <w:rPr>
          <w:rFonts w:hint="eastAsia" w:ascii="宋体" w:hAnsi="宋体" w:eastAsia="宋体" w:cs="宋体"/>
          <w:b/>
          <w:bCs/>
          <w:color w:val="auto"/>
          <w:sz w:val="24"/>
          <w:szCs w:val="24"/>
        </w:rPr>
        <w:t>资格审查</w:t>
      </w:r>
      <w:r>
        <w:rPr>
          <w:rFonts w:hint="eastAsia" w:ascii="宋体" w:hAnsi="宋体" w:eastAsia="宋体" w:cs="宋体"/>
          <w:color w:val="auto"/>
          <w:sz w:val="24"/>
          <w:szCs w:val="24"/>
        </w:rPr>
        <w:t xml:space="preserve">    </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采用资格后审方式。</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四、</w:t>
      </w:r>
      <w:r>
        <w:rPr>
          <w:rFonts w:hint="eastAsia" w:ascii="宋体" w:hAnsi="宋体" w:eastAsia="宋体" w:cs="宋体"/>
          <w:b/>
          <w:bCs/>
          <w:color w:val="auto"/>
          <w:sz w:val="24"/>
          <w:szCs w:val="24"/>
        </w:rPr>
        <w:t>评标办法</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本招标项目采用</w:t>
      </w:r>
      <w:r>
        <w:rPr>
          <w:rFonts w:hint="eastAsia" w:ascii="宋体" w:hAnsi="宋体" w:eastAsia="宋体" w:cs="宋体"/>
          <w:color w:val="auto"/>
          <w:sz w:val="24"/>
          <w:szCs w:val="24"/>
          <w:lang w:val="en-US" w:eastAsia="zh-CN"/>
        </w:rPr>
        <w:t>综合评估法</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 </w:t>
      </w:r>
    </w:p>
    <w:p>
      <w:pPr>
        <w:numPr>
          <w:ilvl w:val="0"/>
          <w:numId w:val="0"/>
        </w:numPr>
        <w:spacing w:line="360" w:lineRule="auto"/>
        <w:rPr>
          <w:rFonts w:hint="eastAsia" w:ascii="宋体" w:hAnsi="宋体" w:eastAsia="宋体" w:cs="宋体"/>
          <w:b/>
          <w:bCs/>
          <w:color w:val="auto"/>
          <w:sz w:val="24"/>
          <w:szCs w:val="24"/>
          <w:lang w:val="en-US" w:eastAsia="zh-CN"/>
        </w:rPr>
      </w:pPr>
      <w:bookmarkStart w:id="25" w:name="_Toc26762"/>
      <w:bookmarkStart w:id="26" w:name="_Toc24857"/>
      <w:r>
        <w:rPr>
          <w:rFonts w:hint="eastAsia" w:ascii="宋体" w:hAnsi="宋体" w:eastAsia="宋体" w:cs="宋体"/>
          <w:b/>
          <w:bCs/>
          <w:color w:val="auto"/>
          <w:sz w:val="24"/>
          <w:szCs w:val="24"/>
          <w:lang w:val="en-US" w:eastAsia="zh-CN"/>
        </w:rPr>
        <w:t>五、投标保证</w:t>
      </w:r>
      <w:bookmarkEnd w:id="25"/>
      <w:bookmarkEnd w:id="26"/>
    </w:p>
    <w:p>
      <w:pPr>
        <w:numPr>
          <w:ilvl w:val="0"/>
          <w:numId w:val="0"/>
        </w:numPr>
        <w:spacing w:line="360" w:lineRule="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根据湘建监督【2018】244 号文件规定，本项目投标担保采用承诺形式。投标承诺格式见招标文件第七章投标文件格式。</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六、招标文件的获取及澄清答疑发布</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ascii="宋体" w:hAnsi="宋体" w:eastAsia="宋体" w:cs="宋体"/>
          <w:sz w:val="24"/>
          <w:szCs w:val="24"/>
        </w:rPr>
        <w:t>有投标意愿者，请在岳阳市住房和城乡建设局网下载招标文件及其相关资料或于2021年</w:t>
      </w:r>
      <w:r>
        <w:rPr>
          <w:rFonts w:hint="eastAsia" w:ascii="宋体" w:hAnsi="宋体" w:eastAsia="宋体" w:cs="宋体"/>
          <w:sz w:val="24"/>
          <w:szCs w:val="24"/>
          <w:lang w:val="en-US" w:eastAsia="zh-CN"/>
        </w:rPr>
        <w:t>3</w:t>
      </w:r>
      <w:r>
        <w:rPr>
          <w:rFonts w:ascii="宋体" w:hAnsi="宋体" w:eastAsia="宋体" w:cs="宋体"/>
          <w:sz w:val="24"/>
          <w:szCs w:val="24"/>
        </w:rPr>
        <w:t>月</w:t>
      </w:r>
      <w:r>
        <w:rPr>
          <w:rFonts w:hint="eastAsia" w:ascii="宋体" w:hAnsi="宋体" w:eastAsia="宋体" w:cs="宋体"/>
          <w:sz w:val="24"/>
          <w:szCs w:val="24"/>
          <w:lang w:val="en-US" w:eastAsia="zh-CN"/>
        </w:rPr>
        <w:t>11</w:t>
      </w:r>
      <w:r>
        <w:rPr>
          <w:rFonts w:ascii="宋体" w:hAnsi="宋体" w:eastAsia="宋体" w:cs="宋体"/>
          <w:sz w:val="24"/>
          <w:szCs w:val="24"/>
        </w:rPr>
        <w:t>日至2021年</w:t>
      </w:r>
      <w:r>
        <w:rPr>
          <w:rFonts w:hint="eastAsia" w:ascii="宋体" w:hAnsi="宋体" w:eastAsia="宋体" w:cs="宋体"/>
          <w:sz w:val="24"/>
          <w:szCs w:val="24"/>
          <w:lang w:val="en-US" w:eastAsia="zh-CN"/>
        </w:rPr>
        <w:t>3</w:t>
      </w:r>
      <w:r>
        <w:rPr>
          <w:rFonts w:ascii="宋体" w:hAnsi="宋体" w:eastAsia="宋体" w:cs="宋体"/>
          <w:sz w:val="24"/>
          <w:szCs w:val="24"/>
        </w:rPr>
        <w:t>月</w:t>
      </w:r>
      <w:r>
        <w:rPr>
          <w:rFonts w:hint="eastAsia" w:ascii="宋体" w:hAnsi="宋体" w:eastAsia="宋体" w:cs="宋体"/>
          <w:sz w:val="24"/>
          <w:szCs w:val="24"/>
          <w:lang w:val="en-US" w:eastAsia="zh-CN"/>
        </w:rPr>
        <w:t>18</w:t>
      </w:r>
      <w:r>
        <w:rPr>
          <w:rFonts w:ascii="宋体" w:hAnsi="宋体" w:eastAsia="宋体" w:cs="宋体"/>
          <w:sz w:val="24"/>
          <w:szCs w:val="24"/>
        </w:rPr>
        <w:t>日17时止（北京时间，下同）在岳阳市公共资源交易网上下载数据电文形式的招标文件及其它相关资料。招标人加载至招标投标交易平台的招标文件与其提供的书面招标文件具有同等效力。</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2、本招标项目采用电子招标投标方式，投标人应当在岳阳市公共资源交易中心进行注册登记和CA认证。按照相关要求完成本项目的网上投标确认。</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3、投标人须先登陆岳阳市公共资源交易网(</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"http://ggzy.yueyang.gov.cn/"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http://ggzy.yueyang.gov.cn/</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)按相关操作说明办理CA数字证书，填报企业基本信息完成注册后下载招标文件等相关资料；</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4、招标文件售价：人民币500元/本，只支持网银支付。</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澄清答疑采用网上发布方式。招标人对招标相关的修改以及澄清与答疑均在投标人须知前附表规定的网站上发布，投标人应自行下载/获取澄清答疑等相关招标资料，恕不另行通知。投标人应及时关注网上相关招标信息，如有遗漏（包括但不限于文件未下载或下载不完整）招标人概不负责，所造成的投标失败或损失由投标人自行负责</w:t>
      </w:r>
      <w:r>
        <w:rPr>
          <w:rFonts w:hint="eastAsia" w:ascii="宋体" w:hAnsi="宋体" w:cs="宋体"/>
          <w:color w:val="auto"/>
          <w:sz w:val="24"/>
          <w:szCs w:val="24"/>
          <w:lang w:eastAsia="zh-CN"/>
        </w:rPr>
        <w:t>。</w:t>
      </w:r>
    </w:p>
    <w:p>
      <w:pPr>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七、</w:t>
      </w:r>
      <w:r>
        <w:rPr>
          <w:rFonts w:hint="eastAsia" w:ascii="宋体" w:hAnsi="宋体" w:eastAsia="宋体" w:cs="宋体"/>
          <w:b/>
          <w:bCs/>
          <w:color w:val="auto"/>
          <w:sz w:val="24"/>
          <w:szCs w:val="24"/>
        </w:rPr>
        <w:t>投标文件的递交</w:t>
      </w:r>
      <w:r>
        <w:rPr>
          <w:rFonts w:hint="eastAsia" w:ascii="宋体" w:hAnsi="宋体" w:eastAsia="宋体" w:cs="宋体"/>
          <w:b/>
          <w:bCs/>
          <w:color w:val="auto"/>
          <w:sz w:val="24"/>
          <w:szCs w:val="24"/>
          <w:lang w:val="en-US" w:eastAsia="zh-CN"/>
        </w:rPr>
        <w:t>及解密</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1、电子投标文件递交的截止时间（即：投标截止时间，下同）及开标时间为2021年</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16</w:t>
      </w:r>
      <w:r>
        <w:rPr>
          <w:rFonts w:hint="eastAsia" w:ascii="宋体" w:hAnsi="宋体" w:eastAsia="宋体" w:cs="宋体"/>
          <w:color w:val="auto"/>
          <w:sz w:val="24"/>
          <w:szCs w:val="24"/>
        </w:rPr>
        <w:t>日</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时</w:t>
      </w:r>
      <w:r>
        <w:rPr>
          <w:rFonts w:hint="eastAsia" w:ascii="宋体" w:hAnsi="宋体" w:cs="宋体"/>
          <w:color w:val="auto"/>
          <w:sz w:val="24"/>
          <w:szCs w:val="24"/>
          <w:lang w:val="en-US" w:eastAsia="zh-CN"/>
        </w:rPr>
        <w:t>30</w:t>
      </w:r>
      <w:r>
        <w:rPr>
          <w:rFonts w:hint="eastAsia" w:ascii="宋体" w:hAnsi="宋体" w:eastAsia="宋体" w:cs="宋体"/>
          <w:color w:val="auto"/>
          <w:sz w:val="24"/>
          <w:szCs w:val="24"/>
        </w:rPr>
        <w:t>分。请投标人在岳阳市公共资源交易网（http://ggzy.yueyang.gov.cn）下载电子投标文件制作工具编制投标文件。投标人应在投标截止时间前通过电子招标投标交易平台递交数据电文形式的投标文件。逾期送达的投标文件，电子招标投标交易平台予以拒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2、电子投标文件的解密时间为投标解密开始后30分钟内。请投标人确保投标文件如期解密。在开标现场解密的，请投标人自备解密电脑和网络。</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3、投标人如遇到操作问题，请咨询市公共资源交易中心信息技术科0730-2966692。</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4、请投标人安排人员在投标截止时间前在线提交电子投标文件，并确保在规定时间内进行解密。</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八、</w:t>
      </w:r>
      <w:r>
        <w:rPr>
          <w:rFonts w:hint="eastAsia" w:ascii="宋体" w:hAnsi="宋体" w:eastAsia="宋体" w:cs="宋体"/>
          <w:b/>
          <w:bCs/>
          <w:color w:val="auto"/>
          <w:sz w:val="24"/>
          <w:szCs w:val="24"/>
        </w:rPr>
        <w:t>发布公告的媒介</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本次招标公告同时在湖南省招标投标监管网、岳阳市住房和城乡建设局网、岳阳市公共资源交易中心网上发布。</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九、</w:t>
      </w:r>
      <w:r>
        <w:rPr>
          <w:rFonts w:hint="eastAsia" w:ascii="宋体" w:hAnsi="宋体" w:eastAsia="宋体" w:cs="宋体"/>
          <w:b/>
          <w:bCs/>
          <w:color w:val="auto"/>
          <w:sz w:val="24"/>
          <w:szCs w:val="24"/>
        </w:rPr>
        <w:t>行政监督</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本次招标项目接受相关建设行政主管部门或其委托的招标投标监管机构监督。招标投标监督机构为岳阳市建设工程招标投标管理办公室，电话：0730-8216835。</w:t>
      </w:r>
    </w:p>
    <w:p>
      <w:pPr>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十、其它</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为切实做好疫情防控工作并确保本项目招投工作顺利进行，现采用电子投标文件方式组织开评标工作，各投标人须提交电子投标文件。安排人员在投标截止时间前在线提交电子投标文件，并确保在规定时间内进行解密。</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2、中标单位在领取中标通知书之前，需提供五套完整的纸质投标文件送至招标代理机构用于备案。当提供的纸质文件资料与岳阳市公共资源交易网记录的电子文件资料不一致时，以电子文件资料为准。</w:t>
      </w:r>
    </w:p>
    <w:p>
      <w:pPr>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十一、联系方式</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招 标 人：岳阳市岳阳楼区住房和城乡建设局</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    址：岳阳五里牌路</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联 系 人：李爱兵      </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电    话：18873009728     </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代理机构：湖南中谷项目管理有限公司</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    址：岳阳经济技术开发区大桥河小学旁</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联 系 人：冀杰      </w:t>
      </w:r>
    </w:p>
    <w:p>
      <w:pPr>
        <w:spacing w:line="360" w:lineRule="auto"/>
        <w:jc w:val="left"/>
        <w:rPr>
          <w:rFonts w:hint="eastAsia" w:ascii="宋体" w:hAnsi="宋体" w:eastAsia="宋体" w:cs="宋体"/>
          <w:b/>
          <w:bCs/>
          <w:color w:val="auto"/>
          <w:kern w:val="2"/>
          <w:sz w:val="32"/>
          <w:szCs w:val="32"/>
          <w:lang w:val="en-US" w:eastAsia="zh-CN" w:bidi="ar-SA"/>
        </w:rPr>
      </w:pPr>
      <w:r>
        <w:rPr>
          <w:rFonts w:hint="eastAsia" w:ascii="宋体" w:hAnsi="宋体" w:eastAsia="宋体" w:cs="宋体"/>
          <w:color w:val="auto"/>
          <w:sz w:val="24"/>
          <w:szCs w:val="24"/>
          <w:lang w:val="en-US" w:eastAsia="zh-CN"/>
        </w:rPr>
        <w:t>电    话：0730-2285518</w:t>
      </w:r>
      <w:r>
        <w:rPr>
          <w:rFonts w:hint="eastAsia" w:ascii="宋体" w:hAnsi="宋体" w:cs="宋体"/>
          <w:color w:val="auto"/>
        </w:rPr>
        <w:br w:type="page"/>
      </w:r>
      <w:bookmarkStart w:id="27" w:name="_Toc499738028"/>
      <w:r>
        <w:rPr>
          <w:rFonts w:hint="eastAsia" w:ascii="宋体" w:hAnsi="宋体" w:eastAsia="宋体" w:cs="宋体"/>
          <w:b/>
          <w:bCs/>
          <w:color w:val="auto"/>
          <w:kern w:val="2"/>
          <w:sz w:val="32"/>
          <w:szCs w:val="32"/>
          <w:lang w:val="en-US" w:eastAsia="zh-CN" w:bidi="ar-SA"/>
        </w:rPr>
        <w:t>第二章 投标人须知</w:t>
      </w:r>
      <w:bookmarkEnd w:id="20"/>
      <w:bookmarkEnd w:id="21"/>
      <w:bookmarkEnd w:id="22"/>
      <w:bookmarkEnd w:id="23"/>
      <w:bookmarkEnd w:id="24"/>
      <w:bookmarkEnd w:id="27"/>
    </w:p>
    <w:p>
      <w:pPr>
        <w:pStyle w:val="6"/>
        <w:spacing w:before="0" w:after="0"/>
        <w:jc w:val="center"/>
        <w:rPr>
          <w:rFonts w:hint="eastAsia" w:ascii="宋体" w:hAnsi="宋体" w:eastAsia="宋体" w:cs="宋体"/>
          <w:b/>
          <w:bCs/>
          <w:color w:val="auto"/>
          <w:kern w:val="2"/>
          <w:sz w:val="32"/>
          <w:szCs w:val="32"/>
          <w:lang w:val="en-US" w:eastAsia="zh-CN" w:bidi="ar-SA"/>
        </w:rPr>
      </w:pPr>
      <w:bookmarkStart w:id="28" w:name="_Toc152042304"/>
      <w:bookmarkStart w:id="29" w:name="_Toc247527552"/>
      <w:bookmarkStart w:id="30" w:name="_Toc152045528"/>
      <w:bookmarkStart w:id="31" w:name="_Toc247513951"/>
      <w:bookmarkStart w:id="32" w:name="_Toc499738029"/>
      <w:bookmarkStart w:id="33" w:name="_Toc144974496"/>
      <w:r>
        <w:rPr>
          <w:rFonts w:hint="eastAsia" w:ascii="宋体" w:hAnsi="宋体" w:eastAsia="宋体" w:cs="宋体"/>
          <w:b/>
          <w:bCs/>
          <w:color w:val="auto"/>
          <w:kern w:val="2"/>
          <w:sz w:val="32"/>
          <w:szCs w:val="32"/>
          <w:lang w:val="en-US" w:eastAsia="zh-CN" w:bidi="ar-SA"/>
        </w:rPr>
        <w:t>投标人须知前附表</w:t>
      </w:r>
      <w:bookmarkEnd w:id="28"/>
      <w:bookmarkEnd w:id="29"/>
      <w:bookmarkEnd w:id="30"/>
      <w:bookmarkEnd w:id="31"/>
      <w:bookmarkEnd w:id="32"/>
      <w:bookmarkEnd w:id="33"/>
    </w:p>
    <w:tbl>
      <w:tblPr>
        <w:tblStyle w:val="67"/>
        <w:tblW w:w="913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1"/>
        <w:gridCol w:w="2165"/>
        <w:gridCol w:w="5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b/>
                <w:color w:val="auto"/>
                <w:szCs w:val="21"/>
              </w:rPr>
            </w:pPr>
            <w:r>
              <w:rPr>
                <w:rFonts w:hint="eastAsia" w:ascii="宋体" w:hAnsi="宋体" w:cs="宋体"/>
                <w:b/>
                <w:color w:val="auto"/>
                <w:szCs w:val="21"/>
              </w:rPr>
              <w:t>条款号</w:t>
            </w:r>
          </w:p>
        </w:tc>
        <w:tc>
          <w:tcPr>
            <w:tcW w:w="2165" w:type="dxa"/>
            <w:vAlign w:val="center"/>
          </w:tcPr>
          <w:p>
            <w:pPr>
              <w:snapToGrid w:val="0"/>
              <w:jc w:val="center"/>
              <w:rPr>
                <w:rFonts w:hint="eastAsia" w:ascii="宋体" w:hAnsi="宋体" w:cs="宋体"/>
                <w:b/>
                <w:color w:val="auto"/>
                <w:szCs w:val="21"/>
              </w:rPr>
            </w:pPr>
            <w:r>
              <w:rPr>
                <w:rFonts w:hint="eastAsia" w:ascii="宋体" w:hAnsi="宋体" w:cs="宋体"/>
                <w:b/>
                <w:color w:val="auto"/>
                <w:szCs w:val="21"/>
              </w:rPr>
              <w:t>条  款  名  称</w:t>
            </w:r>
          </w:p>
        </w:tc>
        <w:tc>
          <w:tcPr>
            <w:tcW w:w="5835" w:type="dxa"/>
            <w:vAlign w:val="center"/>
          </w:tcPr>
          <w:p>
            <w:pPr>
              <w:snapToGrid w:val="0"/>
              <w:jc w:val="center"/>
              <w:rPr>
                <w:rFonts w:hint="eastAsia" w:ascii="宋体" w:hAnsi="宋体" w:cs="宋体"/>
                <w:b/>
                <w:color w:val="auto"/>
                <w:szCs w:val="21"/>
              </w:rPr>
            </w:pPr>
            <w:r>
              <w:rPr>
                <w:rFonts w:hint="eastAsia" w:ascii="宋体" w:hAnsi="宋体" w:cs="宋体"/>
                <w:b/>
                <w:color w:val="auto"/>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1.1.2</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招标人</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szCs w:val="21"/>
              </w:rPr>
              <w:t>招 标 人：岳阳市岳阳楼区住房和城乡建设局</w:t>
            </w:r>
          </w:p>
          <w:p>
            <w:pPr>
              <w:snapToGrid w:val="0"/>
              <w:rPr>
                <w:rFonts w:hint="eastAsia" w:ascii="宋体" w:hAnsi="宋体" w:cs="宋体"/>
                <w:color w:val="auto"/>
                <w:szCs w:val="21"/>
              </w:rPr>
            </w:pPr>
            <w:r>
              <w:rPr>
                <w:rFonts w:hint="eastAsia" w:ascii="宋体" w:hAnsi="宋体" w:cs="宋体"/>
                <w:color w:val="auto"/>
                <w:szCs w:val="21"/>
              </w:rPr>
              <w:t>地    址：岳阳五里牌路</w:t>
            </w:r>
          </w:p>
          <w:p>
            <w:pPr>
              <w:snapToGrid w:val="0"/>
              <w:rPr>
                <w:rFonts w:hint="eastAsia" w:ascii="宋体" w:hAnsi="宋体" w:cs="宋体"/>
                <w:color w:val="auto"/>
                <w:szCs w:val="21"/>
              </w:rPr>
            </w:pPr>
            <w:r>
              <w:rPr>
                <w:rFonts w:hint="eastAsia" w:ascii="宋体" w:hAnsi="宋体" w:cs="宋体"/>
                <w:color w:val="auto"/>
                <w:szCs w:val="21"/>
              </w:rPr>
              <w:t>联 系 人：李</w:t>
            </w:r>
            <w:r>
              <w:rPr>
                <w:rFonts w:hint="eastAsia" w:ascii="宋体" w:hAnsi="宋体" w:cs="宋体"/>
                <w:color w:val="auto"/>
                <w:szCs w:val="21"/>
                <w:lang w:eastAsia="zh-CN"/>
              </w:rPr>
              <w:t>爱兵</w:t>
            </w:r>
            <w:r>
              <w:rPr>
                <w:rFonts w:hint="eastAsia" w:ascii="宋体" w:hAnsi="宋体" w:cs="宋体"/>
                <w:color w:val="auto"/>
                <w:szCs w:val="21"/>
              </w:rPr>
              <w:t xml:space="preserve">      </w:t>
            </w:r>
          </w:p>
          <w:p>
            <w:pPr>
              <w:snapToGrid w:val="0"/>
              <w:rPr>
                <w:rFonts w:hint="eastAsia" w:ascii="宋体" w:hAnsi="宋体" w:cs="宋体"/>
                <w:color w:val="auto"/>
                <w:szCs w:val="21"/>
              </w:rPr>
            </w:pPr>
            <w:r>
              <w:rPr>
                <w:rFonts w:hint="eastAsia" w:ascii="宋体" w:hAnsi="宋体" w:cs="宋体"/>
                <w:color w:val="auto"/>
                <w:szCs w:val="21"/>
              </w:rPr>
              <w:t xml:space="preserve">电    话：18873009728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1.1.3</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招标代理机构</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szCs w:val="21"/>
                <w:lang w:val="en-US" w:eastAsia="zh-CN"/>
              </w:rPr>
              <w:t>代理机构</w:t>
            </w:r>
            <w:r>
              <w:rPr>
                <w:rFonts w:hint="eastAsia" w:ascii="宋体" w:hAnsi="宋体" w:cs="宋体"/>
                <w:color w:val="auto"/>
                <w:szCs w:val="21"/>
              </w:rPr>
              <w:t>：湖南中谷项目管理有限公司</w:t>
            </w:r>
          </w:p>
          <w:p>
            <w:pPr>
              <w:snapToGrid w:val="0"/>
              <w:rPr>
                <w:rFonts w:hint="eastAsia" w:ascii="宋体" w:hAnsi="宋体" w:cs="宋体"/>
                <w:color w:val="auto"/>
                <w:szCs w:val="21"/>
              </w:rPr>
            </w:pPr>
            <w:r>
              <w:rPr>
                <w:rFonts w:hint="eastAsia" w:ascii="宋体" w:hAnsi="宋体" w:cs="宋体"/>
                <w:color w:val="auto"/>
                <w:szCs w:val="21"/>
              </w:rPr>
              <w:t>地    址：岳阳经济技术开发区大桥河小学旁</w:t>
            </w:r>
          </w:p>
          <w:p>
            <w:pPr>
              <w:snapToGrid w:val="0"/>
              <w:rPr>
                <w:rFonts w:hint="eastAsia" w:ascii="宋体" w:hAnsi="宋体" w:cs="宋体"/>
                <w:color w:val="auto"/>
                <w:szCs w:val="21"/>
              </w:rPr>
            </w:pPr>
            <w:r>
              <w:rPr>
                <w:rFonts w:hint="eastAsia" w:ascii="宋体" w:hAnsi="宋体" w:cs="宋体"/>
                <w:color w:val="auto"/>
                <w:szCs w:val="21"/>
              </w:rPr>
              <w:t xml:space="preserve">联 系 人：冀杰      </w:t>
            </w:r>
          </w:p>
          <w:p>
            <w:pPr>
              <w:snapToGrid w:val="0"/>
              <w:rPr>
                <w:rFonts w:hint="eastAsia" w:ascii="宋体" w:hAnsi="宋体" w:cs="宋体"/>
                <w:color w:val="auto"/>
                <w:szCs w:val="21"/>
              </w:rPr>
            </w:pPr>
            <w:r>
              <w:rPr>
                <w:rFonts w:hint="eastAsia" w:ascii="宋体" w:hAnsi="宋体" w:cs="宋体"/>
                <w:color w:val="auto"/>
                <w:szCs w:val="21"/>
              </w:rPr>
              <w:t>电    话：0730-2285518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1.1.4</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项目名称</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szCs w:val="21"/>
              </w:rPr>
              <w:t>杨树塘路道路工程建设项目设计施工总承包（EPC）</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1.1.5</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建设地点</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szCs w:val="21"/>
              </w:rPr>
              <w:t>岳阳楼区杨树塘片区，北起青年中路，南至财富路。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1.2.1</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资金来源及比例</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kern w:val="0"/>
                <w:szCs w:val="21"/>
                <w:lang w:bidi="en-US"/>
              </w:rPr>
              <w:t>财政资金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1.2.2</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资金落实情况</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szCs w:val="21"/>
              </w:rPr>
              <w:t>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1.3.1</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招标范围</w:t>
            </w:r>
          </w:p>
        </w:tc>
        <w:tc>
          <w:tcPr>
            <w:tcW w:w="5835" w:type="dxa"/>
            <w:vAlign w:val="center"/>
          </w:tcPr>
          <w:p>
            <w:pPr>
              <w:ind w:firstLine="420" w:firstLineChars="200"/>
              <w:rPr>
                <w:rFonts w:hint="eastAsia" w:ascii="宋体" w:hAnsi="宋体" w:cs="宋体"/>
                <w:color w:val="auto"/>
                <w:szCs w:val="21"/>
              </w:rPr>
            </w:pPr>
            <w:r>
              <w:rPr>
                <w:rFonts w:hint="eastAsia" w:ascii="宋体" w:hAnsi="宋体" w:cs="宋体"/>
                <w:color w:val="auto"/>
                <w:szCs w:val="21"/>
              </w:rPr>
              <w:t>本项目初步设计已完成（施工图未做），投标人根据初步设计文本完成后续相关工作。具体范围如下：</w:t>
            </w:r>
          </w:p>
          <w:p>
            <w:pPr>
              <w:snapToGrid w:val="0"/>
              <w:rPr>
                <w:rFonts w:hint="eastAsia" w:ascii="宋体" w:hAnsi="宋体" w:cs="宋体"/>
                <w:color w:val="auto"/>
                <w:szCs w:val="21"/>
              </w:rPr>
            </w:pPr>
            <w:r>
              <w:rPr>
                <w:rFonts w:hint="eastAsia" w:ascii="宋体" w:hAnsi="宋体" w:cs="宋体"/>
                <w:color w:val="auto"/>
                <w:szCs w:val="21"/>
              </w:rPr>
              <w:t>设计部分（包括但不限于）：对招标人提供的建设前期资料的复核、补充和完善;本工程各专业的施工图设计及招标人书面委托的其它设计工作；根据初步设计文件编制施工图设计及相关专业全过程设计、施工图设计阶段预算的编制以及施工期间的后续服务（含各阶段的报批、报建、施工现场等配合工作）；采购部分：经评审通过后的设计范围内的采购内容；施工部分（包括但不限于）：新建杨树塘路为城市支路，道路全长308米，道路红线宽度为17米，道路分幅为2.5米（人行道）+12米（车行道）+2.5米（人行道）=17米，计算行车速度为20Km/h。主要建设内容包括：路基工程、路面工程、交通工程、给水工程、排水工程、照明工程、绿化工程等。（具体详见工程量清单）。经施工图审查通过后的设计施工图范围内的全部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1.3.2</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计划工期</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szCs w:val="21"/>
              </w:rPr>
              <w:t>60日历天（其中设计工期为：7日历天；施工工期为：53日历天）；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1.3.3</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质量标准</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szCs w:val="21"/>
              </w:rPr>
              <w:t>设计要求的质量标准：设计成果应符合国家、行业及地方现行相关法律法规、规范及技术标准；施工要求的质量标准：满足设计要求，符合《建筑工程施工质量统一验收标准》及相关技术标准、验收规定，分阶段一次性验收合格，并通过备案；设备及材料采购部分质量标准：符合国家、行业及地方现行相关法律法规、规范及技术标准，主要设备须采用行业知名品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1.4.1</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投标人资质条件、能力和  信誉</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szCs w:val="21"/>
              </w:rPr>
              <w:t>1.具有独立法人资格并依法取得企业营业执照，营业执照处于有效期；省外入湘企业在 “湖南省住房和城乡建设网” 进行了基本信息登记；</w:t>
            </w:r>
          </w:p>
          <w:p>
            <w:pPr>
              <w:snapToGrid w:val="0"/>
              <w:rPr>
                <w:rFonts w:hint="eastAsia" w:ascii="宋体" w:hAnsi="宋体" w:cs="宋体"/>
                <w:color w:val="auto"/>
                <w:szCs w:val="21"/>
              </w:rPr>
            </w:pPr>
            <w:r>
              <w:rPr>
                <w:rFonts w:hint="eastAsia" w:ascii="宋体" w:hAnsi="宋体" w:cs="宋体"/>
                <w:color w:val="auto"/>
                <w:szCs w:val="21"/>
              </w:rPr>
              <w:t>2.投标人须同时具备住房城乡建设主管部门颁发的以下两项资质：</w:t>
            </w:r>
          </w:p>
          <w:p>
            <w:pPr>
              <w:snapToGrid w:val="0"/>
              <w:rPr>
                <w:rFonts w:hint="eastAsia" w:ascii="宋体" w:hAnsi="宋体" w:cs="宋体"/>
                <w:color w:val="auto"/>
                <w:szCs w:val="21"/>
              </w:rPr>
            </w:pPr>
            <w:r>
              <w:rPr>
                <w:rFonts w:hint="eastAsia" w:ascii="宋体" w:hAnsi="宋体" w:cs="宋体"/>
                <w:color w:val="auto"/>
                <w:szCs w:val="21"/>
              </w:rPr>
              <w:t>①工程设计综合资质或市政行业(道路工程)专业乙级及以上设计资质；</w:t>
            </w:r>
          </w:p>
          <w:p>
            <w:pPr>
              <w:snapToGrid w:val="0"/>
              <w:rPr>
                <w:rFonts w:hint="eastAsia" w:ascii="宋体" w:hAnsi="宋体" w:cs="宋体"/>
                <w:color w:val="auto"/>
                <w:szCs w:val="21"/>
              </w:rPr>
            </w:pPr>
            <w:r>
              <w:rPr>
                <w:rFonts w:hint="eastAsia" w:ascii="宋体" w:hAnsi="宋体" w:cs="宋体"/>
                <w:color w:val="auto"/>
                <w:szCs w:val="21"/>
              </w:rPr>
              <w:t>②市政公用工程施工总承包叁级及以上资质，安全生产许可证处于有效期；</w:t>
            </w:r>
          </w:p>
          <w:p>
            <w:pPr>
              <w:snapToGrid w:val="0"/>
              <w:rPr>
                <w:rFonts w:hint="eastAsia" w:ascii="宋体" w:hAnsi="宋体" w:cs="宋体"/>
                <w:color w:val="auto"/>
                <w:szCs w:val="21"/>
              </w:rPr>
            </w:pPr>
            <w:r>
              <w:rPr>
                <w:rFonts w:hint="eastAsia" w:ascii="宋体" w:hAnsi="宋体" w:cs="宋体"/>
                <w:color w:val="auto"/>
                <w:szCs w:val="21"/>
              </w:rPr>
              <w:t>3.项目总负责人（即EPC项目经理）为施工项目部项目负责人，拟任项目经理具备市政公用工程专业二级及以上注册建造师资格，具备项目负责人安全生产考核合格证书，且未在其他在建工程项目中担任同类职务；</w:t>
            </w:r>
          </w:p>
          <w:p>
            <w:pPr>
              <w:snapToGrid w:val="0"/>
              <w:rPr>
                <w:rFonts w:hint="eastAsia" w:ascii="宋体" w:hAnsi="宋体" w:cs="宋体"/>
                <w:color w:val="auto"/>
                <w:szCs w:val="21"/>
              </w:rPr>
            </w:pPr>
            <w:r>
              <w:rPr>
                <w:rFonts w:hint="eastAsia" w:ascii="宋体" w:hAnsi="宋体" w:cs="宋体"/>
                <w:color w:val="auto"/>
                <w:szCs w:val="21"/>
              </w:rPr>
              <w:t>4.拟任施工技术负责人具备市政公用工程相关专业中级及以上职称；拟任项目设计负责人应具有市政公用工程专业中级（含）及以上技术职称；</w:t>
            </w:r>
          </w:p>
          <w:p>
            <w:pPr>
              <w:snapToGrid w:val="0"/>
              <w:rPr>
                <w:rFonts w:hint="eastAsia" w:ascii="宋体" w:hAnsi="宋体" w:cs="宋体"/>
                <w:color w:val="auto"/>
                <w:szCs w:val="21"/>
              </w:rPr>
            </w:pPr>
            <w:r>
              <w:rPr>
                <w:rFonts w:hint="eastAsia" w:ascii="宋体" w:hAnsi="宋体" w:cs="宋体"/>
                <w:color w:val="auto"/>
                <w:szCs w:val="21"/>
                <w:lang w:val="en-US" w:eastAsia="zh-CN"/>
              </w:rPr>
              <w:t>5</w:t>
            </w:r>
            <w:r>
              <w:rPr>
                <w:rFonts w:hint="eastAsia" w:ascii="宋体" w:hAnsi="宋体" w:cs="宋体"/>
                <w:color w:val="auto"/>
                <w:szCs w:val="21"/>
              </w:rPr>
              <w:t>.拟任本次投标的项目总负责人，施工项目部相关岗位人员、项目设计负责人必须是本企业在职人员（提供近6个月劳动保障部门出具的连续缴纳社保证明），施工项目部相关岗位人员无在建项目；</w:t>
            </w:r>
          </w:p>
          <w:p>
            <w:pPr>
              <w:snapToGrid w:val="0"/>
              <w:rPr>
                <w:rFonts w:hint="eastAsia" w:ascii="宋体" w:hAnsi="宋体" w:cs="宋体"/>
                <w:color w:val="auto"/>
                <w:szCs w:val="21"/>
              </w:rPr>
            </w:pPr>
            <w:r>
              <w:rPr>
                <w:rFonts w:hint="eastAsia" w:ascii="宋体" w:hAnsi="宋体" w:cs="宋体"/>
                <w:color w:val="auto"/>
                <w:szCs w:val="21"/>
                <w:lang w:val="en-US" w:eastAsia="zh-CN"/>
              </w:rPr>
              <w:t>6</w:t>
            </w:r>
            <w:r>
              <w:rPr>
                <w:rFonts w:hint="eastAsia" w:ascii="宋体" w:hAnsi="宋体" w:cs="宋体"/>
                <w:color w:val="auto"/>
                <w:szCs w:val="21"/>
              </w:rPr>
              <w:t>.被工商行政管理机关在全国企业信用信息公示系统中列入严重违法企业名单（以全国企业信用信息公示系统查询为准）的或被最高人民法院在“信用中国网站”（www.creditchina.gov.cn）中列入失信被执行名单的，在惩戒期内不能参与投标。</w:t>
            </w:r>
          </w:p>
          <w:p>
            <w:pPr>
              <w:snapToGrid w:val="0"/>
              <w:rPr>
                <w:rFonts w:hint="eastAsia" w:ascii="宋体" w:hAnsi="宋体" w:cs="宋体"/>
                <w:color w:val="auto"/>
                <w:szCs w:val="21"/>
              </w:rPr>
            </w:pPr>
            <w:r>
              <w:rPr>
                <w:rFonts w:hint="eastAsia" w:ascii="宋体" w:hAnsi="宋体" w:cs="宋体"/>
                <w:color w:val="auto"/>
                <w:szCs w:val="21"/>
                <w:lang w:val="en-US" w:eastAsia="zh-CN"/>
              </w:rPr>
              <w:t>7</w:t>
            </w:r>
            <w:r>
              <w:rPr>
                <w:rFonts w:hint="eastAsia" w:ascii="宋体" w:hAnsi="宋体" w:cs="宋体"/>
                <w:color w:val="auto"/>
                <w:szCs w:val="21"/>
              </w:rPr>
              <w:t>.本次招标接受联合体投标。联合体成员不超过2家；联合体各成员间须签订联合体协议书，</w:t>
            </w:r>
            <w:r>
              <w:rPr>
                <w:rFonts w:hint="eastAsia" w:ascii="宋体" w:hAnsi="宋体" w:cs="宋体"/>
                <w:color w:val="auto"/>
                <w:szCs w:val="21"/>
                <w:lang w:eastAsia="zh-CN"/>
              </w:rPr>
              <w:t>确定</w:t>
            </w:r>
            <w:r>
              <w:rPr>
                <w:rFonts w:hint="eastAsia" w:ascii="宋体" w:hAnsi="宋体" w:cs="宋体"/>
                <w:color w:val="auto"/>
                <w:szCs w:val="21"/>
              </w:rPr>
              <w:t>施工单位或设计单位的投标人为联合体牵头人代表联合体投标、签约与履行合同和协议中承担的义务和法律责任</w:t>
            </w:r>
            <w:r>
              <w:rPr>
                <w:rFonts w:hint="eastAsia" w:ascii="宋体" w:hAnsi="宋体" w:cs="宋体"/>
                <w:color w:val="auto"/>
                <w:szCs w:val="21"/>
                <w:lang w:eastAsia="zh-CN"/>
              </w:rPr>
              <w:t>。非联合体牵头人</w:t>
            </w:r>
            <w:r>
              <w:rPr>
                <w:rFonts w:hint="eastAsia" w:ascii="宋体" w:hAnsi="宋体" w:cs="宋体"/>
                <w:color w:val="auto"/>
                <w:szCs w:val="21"/>
              </w:rPr>
              <w:t>不得另行单独与招标人签订合同；联合体投标人除了需满足上述要求以外，同时需满足以下资格条件：</w:t>
            </w:r>
          </w:p>
          <w:p>
            <w:pPr>
              <w:snapToGrid w:val="0"/>
              <w:rPr>
                <w:rFonts w:hint="eastAsia" w:ascii="宋体" w:hAnsi="宋体" w:cs="宋体"/>
                <w:color w:val="auto"/>
                <w:szCs w:val="21"/>
              </w:rPr>
            </w:pPr>
            <w:r>
              <w:rPr>
                <w:rFonts w:hint="eastAsia" w:ascii="宋体" w:hAnsi="宋体" w:cs="宋体"/>
                <w:color w:val="auto"/>
                <w:szCs w:val="21"/>
              </w:rPr>
              <w:t xml:space="preserve">（1）联合体各成员都必须是财务自主、独立核算、有独立的经营权和决策权的独立法人。 </w:t>
            </w:r>
          </w:p>
          <w:p>
            <w:pPr>
              <w:snapToGrid w:val="0"/>
              <w:rPr>
                <w:rFonts w:hint="eastAsia" w:ascii="宋体" w:hAnsi="宋体" w:cs="宋体"/>
                <w:color w:val="auto"/>
                <w:szCs w:val="21"/>
              </w:rPr>
            </w:pPr>
            <w:r>
              <w:rPr>
                <w:rFonts w:hint="eastAsia" w:ascii="宋体" w:hAnsi="宋体" w:cs="宋体"/>
                <w:color w:val="auto"/>
                <w:szCs w:val="21"/>
              </w:rPr>
              <w:t>（2）联合体协议书中应明确联合体各方拟承担的工作和责任，联合体中标的，联合体各方应当共同与招标人签订合同，就中标项目向招标人承担连带责任。联合体各成员的法定代表人或其授权的委托代理人都应在联合体协议书上签署并加盖单位公章。</w:t>
            </w:r>
          </w:p>
          <w:p>
            <w:pPr>
              <w:snapToGrid w:val="0"/>
              <w:rPr>
                <w:rFonts w:hint="eastAsia" w:ascii="宋体" w:hAnsi="宋体" w:cs="宋体"/>
                <w:color w:val="auto"/>
                <w:szCs w:val="21"/>
              </w:rPr>
            </w:pPr>
            <w:r>
              <w:rPr>
                <w:rFonts w:hint="eastAsia" w:ascii="宋体" w:hAnsi="宋体" w:cs="宋体"/>
                <w:color w:val="auto"/>
                <w:szCs w:val="21"/>
              </w:rPr>
              <w:t>（3）联合体协议书中必须明确联合体牵头人合法代表联合体各方成员负责本工程投标活动，并处理与投标和中标有关的一切事务。因此，本项目的法人授权委托书须由联合体各方的法定代表人签署并加盖公章。</w:t>
            </w:r>
          </w:p>
          <w:p>
            <w:pPr>
              <w:snapToGrid w:val="0"/>
              <w:rPr>
                <w:rFonts w:hint="eastAsia" w:ascii="宋体" w:hAnsi="宋体" w:cs="宋体"/>
                <w:color w:val="auto"/>
                <w:szCs w:val="21"/>
              </w:rPr>
            </w:pPr>
            <w:r>
              <w:rPr>
                <w:rFonts w:hint="eastAsia" w:ascii="宋体" w:hAnsi="宋体" w:cs="宋体"/>
                <w:color w:val="auto"/>
                <w:szCs w:val="21"/>
              </w:rPr>
              <w:t>（4）以联合体形式投标的，应当以联合体中牵头人名义提交投标保证金，对联合体各成员均具有约束力。</w:t>
            </w:r>
          </w:p>
          <w:p>
            <w:pPr>
              <w:snapToGrid w:val="0"/>
              <w:rPr>
                <w:rFonts w:hint="eastAsia" w:ascii="宋体" w:hAnsi="宋体" w:cs="宋体"/>
                <w:color w:val="auto"/>
                <w:szCs w:val="21"/>
              </w:rPr>
            </w:pPr>
            <w:r>
              <w:rPr>
                <w:rFonts w:hint="eastAsia" w:ascii="宋体" w:hAnsi="宋体" w:cs="宋体"/>
                <w:color w:val="auto"/>
                <w:szCs w:val="21"/>
                <w:lang w:val="en-US" w:eastAsia="zh-CN"/>
              </w:rPr>
              <w:t>8</w:t>
            </w:r>
            <w:r>
              <w:rPr>
                <w:rFonts w:hint="eastAsia" w:ascii="宋体" w:hAnsi="宋体" w:cs="宋体"/>
                <w:color w:val="auto"/>
                <w:szCs w:val="21"/>
              </w:rPr>
              <w:t>.类似工程业绩要求：</w:t>
            </w:r>
          </w:p>
          <w:p>
            <w:pPr>
              <w:snapToGrid w:val="0"/>
              <w:rPr>
                <w:rFonts w:hint="eastAsia" w:ascii="宋体" w:hAnsi="宋体" w:cs="宋体"/>
                <w:color w:val="auto"/>
                <w:szCs w:val="21"/>
              </w:rPr>
            </w:pPr>
            <w:r>
              <w:rPr>
                <w:rFonts w:hint="eastAsia" w:ascii="宋体" w:hAnsi="宋体" w:cs="宋体"/>
                <w:color w:val="auto"/>
                <w:szCs w:val="21"/>
              </w:rPr>
              <w:t>投标人近三年（投标截止时间前36个月）至少承担过单项合同工程费用不少于</w:t>
            </w:r>
            <w:r>
              <w:rPr>
                <w:rFonts w:hint="eastAsia" w:ascii="宋体" w:hAnsi="宋体" w:cs="宋体"/>
                <w:color w:val="auto"/>
                <w:szCs w:val="21"/>
                <w:lang w:val="en-US" w:eastAsia="zh-CN"/>
              </w:rPr>
              <w:t>500</w:t>
            </w:r>
            <w:r>
              <w:rPr>
                <w:rFonts w:hint="eastAsia" w:ascii="宋体" w:hAnsi="宋体" w:cs="宋体"/>
                <w:color w:val="auto"/>
                <w:szCs w:val="21"/>
              </w:rPr>
              <w:t>万元的市政道路工程设计、施工或总承包项目业绩，同时提供中标通知书、合同协议书、竣工验收备案表（经建设工程质量监督部门签字确认）或竣工验收证明（由建设方、施工方、监理方、设计方盖章认可），时间以竣工验收备案登记表或竣工验收证明上建设单位签字的时间为准（设计业绩提供中标通知书、合同协议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1.4.2</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是否接受联合体投标</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kern w:val="0"/>
              </w:rPr>
              <w:t>■</w:t>
            </w:r>
            <w:r>
              <w:rPr>
                <w:rFonts w:hint="eastAsia" w:ascii="宋体" w:hAnsi="宋体" w:cs="宋体"/>
                <w:color w:val="auto"/>
                <w:szCs w:val="21"/>
              </w:rPr>
              <w:t>接受，详见招标公告。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 w:hRule="atLeast"/>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1.5</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费用承担和设计成果补偿</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kern w:val="0"/>
                <w:sz w:val="24"/>
              </w:rPr>
              <w:t>■</w:t>
            </w:r>
            <w:r>
              <w:rPr>
                <w:rFonts w:hint="eastAsia" w:ascii="宋体" w:hAnsi="宋体" w:cs="宋体"/>
                <w:color w:val="auto"/>
                <w:szCs w:val="21"/>
              </w:rPr>
              <w:t>不补偿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1.9.1</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踏勘</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kern w:val="0"/>
                <w:sz w:val="24"/>
              </w:rPr>
              <w:t>■</w:t>
            </w:r>
            <w:r>
              <w:rPr>
                <w:rFonts w:hint="eastAsia" w:ascii="宋体" w:hAnsi="宋体" w:cs="宋体"/>
                <w:color w:val="auto"/>
                <w:szCs w:val="21"/>
              </w:rPr>
              <w:t>不组织：投标人自行踏勘现场。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1.10.1</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投标预备会</w:t>
            </w:r>
          </w:p>
        </w:tc>
        <w:tc>
          <w:tcPr>
            <w:tcW w:w="5835" w:type="dxa"/>
            <w:vAlign w:val="center"/>
          </w:tcPr>
          <w:p>
            <w:pPr>
              <w:pStyle w:val="23"/>
              <w:topLinePunct/>
              <w:snapToGrid w:val="0"/>
              <w:rPr>
                <w:rFonts w:hint="eastAsia" w:hAnsi="宋体" w:cs="宋体"/>
                <w:color w:val="auto"/>
                <w:szCs w:val="21"/>
                <w:u w:val="single"/>
              </w:rPr>
            </w:pPr>
            <w:r>
              <w:rPr>
                <w:rFonts w:hint="eastAsia" w:hAnsi="宋体" w:cs="宋体"/>
                <w:color w:val="auto"/>
                <w:sz w:val="21"/>
                <w:szCs w:val="21"/>
              </w:rPr>
              <w:t>■不召开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1.10.2</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投标人提出问题的截止时间</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szCs w:val="21"/>
              </w:rPr>
              <w:t>截止时间：</w:t>
            </w:r>
            <w:r>
              <w:rPr>
                <w:color w:val="auto"/>
                <w:szCs w:val="21"/>
              </w:rPr>
              <w:t>截止时间：</w:t>
            </w:r>
            <w:r>
              <w:rPr>
                <w:rFonts w:hint="eastAsia"/>
                <w:color w:val="auto"/>
                <w:szCs w:val="21"/>
                <w:u w:val="single"/>
              </w:rPr>
              <w:t xml:space="preserve"> </w:t>
            </w:r>
            <w:r>
              <w:rPr>
                <w:rFonts w:hint="eastAsia" w:eastAsia="宋体"/>
                <w:b/>
                <w:bCs/>
                <w:color w:val="auto"/>
                <w:szCs w:val="21"/>
                <w:u w:val="single"/>
                <w:lang w:val="en-US" w:eastAsia="zh-CN"/>
              </w:rPr>
              <w:t>2021年</w:t>
            </w:r>
            <w:r>
              <w:rPr>
                <w:rFonts w:hint="eastAsia"/>
                <w:b/>
                <w:bCs/>
                <w:color w:val="auto"/>
                <w:szCs w:val="21"/>
                <w:u w:val="single"/>
                <w:lang w:val="en-US" w:eastAsia="zh-CN"/>
              </w:rPr>
              <w:t>4</w:t>
            </w:r>
            <w:r>
              <w:rPr>
                <w:rFonts w:hint="eastAsia" w:eastAsia="宋体"/>
                <w:b/>
                <w:bCs/>
                <w:color w:val="auto"/>
                <w:szCs w:val="21"/>
                <w:u w:val="single"/>
                <w:lang w:val="en-US" w:eastAsia="zh-CN"/>
              </w:rPr>
              <w:t>月</w:t>
            </w:r>
            <w:r>
              <w:rPr>
                <w:rFonts w:hint="eastAsia"/>
                <w:b/>
                <w:bCs/>
                <w:color w:val="auto"/>
                <w:szCs w:val="21"/>
                <w:u w:val="single"/>
                <w:lang w:val="en-US" w:eastAsia="zh-CN"/>
              </w:rPr>
              <w:t>5</w:t>
            </w:r>
            <w:r>
              <w:rPr>
                <w:rFonts w:hint="eastAsia" w:eastAsia="宋体"/>
                <w:b/>
                <w:bCs/>
                <w:color w:val="auto"/>
                <w:szCs w:val="21"/>
                <w:u w:val="single"/>
                <w:lang w:val="en-US" w:eastAsia="zh-CN"/>
              </w:rPr>
              <w:t>日17时00分</w:t>
            </w:r>
            <w:r>
              <w:rPr>
                <w:rFonts w:hint="eastAsia"/>
                <w:b/>
                <w:bCs/>
                <w:color w:val="auto"/>
                <w:szCs w:val="21"/>
                <w:u w:val="single"/>
              </w:rPr>
              <w:t xml:space="preserve"> </w:t>
            </w:r>
            <w:r>
              <w:rPr>
                <w:rFonts w:hint="eastAsia"/>
                <w:color w:val="auto"/>
                <w:szCs w:val="21"/>
              </w:rPr>
              <w:t xml:space="preserve"> </w:t>
            </w:r>
            <w:r>
              <w:rPr>
                <w:rFonts w:hint="eastAsia" w:ascii="宋体" w:hAnsi="宋体" w:cs="宋体"/>
                <w:color w:val="auto"/>
                <w:szCs w:val="21"/>
              </w:rPr>
              <w:t>在投标截止时间10天前</w:t>
            </w:r>
          </w:p>
          <w:p>
            <w:pPr>
              <w:snapToGrid w:val="0"/>
              <w:rPr>
                <w:rFonts w:hint="eastAsia" w:ascii="宋体" w:hAnsi="宋体" w:cs="宋体"/>
                <w:color w:val="auto"/>
                <w:szCs w:val="21"/>
              </w:rPr>
            </w:pPr>
            <w:r>
              <w:rPr>
                <w:rFonts w:hint="eastAsia" w:ascii="宋体" w:hAnsi="宋体" w:cs="宋体"/>
                <w:color w:val="auto"/>
                <w:szCs w:val="21"/>
              </w:rPr>
              <w:t>投标人要求澄清招标文件的提问方式：</w:t>
            </w:r>
          </w:p>
          <w:p>
            <w:pPr>
              <w:snapToGrid w:val="0"/>
              <w:rPr>
                <w:rFonts w:hint="eastAsia" w:ascii="宋体" w:hAnsi="宋体" w:cs="宋体"/>
                <w:color w:val="auto"/>
                <w:szCs w:val="21"/>
              </w:rPr>
            </w:pPr>
            <w:r>
              <w:rPr>
                <w:rFonts w:hint="eastAsia" w:ascii="宋体" w:hAnsi="宋体" w:cs="宋体"/>
                <w:color w:val="auto"/>
                <w:kern w:val="0"/>
                <w:sz w:val="24"/>
              </w:rPr>
              <w:t>■</w:t>
            </w:r>
            <w:r>
              <w:rPr>
                <w:rFonts w:hint="eastAsia" w:ascii="宋体" w:hAnsi="宋体" w:cs="宋体"/>
                <w:color w:val="auto"/>
                <w:szCs w:val="21"/>
              </w:rPr>
              <w:t>在《岳阳市住房和城乡建设局网、岳阳市公共资源交易网》上提问</w:t>
            </w:r>
          </w:p>
          <w:p>
            <w:pPr>
              <w:snapToGrid w:val="0"/>
              <w:rPr>
                <w:rFonts w:hint="eastAsia" w:ascii="宋体" w:hAnsi="宋体" w:cs="宋体"/>
                <w:color w:val="auto"/>
                <w:szCs w:val="21"/>
              </w:rPr>
            </w:pPr>
            <w:r>
              <w:rPr>
                <w:rFonts w:hint="eastAsia" w:ascii="宋体" w:hAnsi="宋体" w:cs="宋体"/>
                <w:color w:val="auto"/>
                <w:szCs w:val="21"/>
              </w:rPr>
              <w:sym w:font="Wingdings 2" w:char="00A3"/>
            </w:r>
            <w:r>
              <w:rPr>
                <w:rFonts w:hint="eastAsia" w:ascii="宋体" w:hAnsi="宋体" w:cs="宋体"/>
                <w:color w:val="auto"/>
                <w:szCs w:val="21"/>
              </w:rPr>
              <w:t>书面提问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1.10.3</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招标人书面澄清的时间</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szCs w:val="21"/>
              </w:rPr>
              <w:t>截止时间：</w:t>
            </w:r>
          </w:p>
          <w:p>
            <w:pPr>
              <w:snapToGrid w:val="0"/>
              <w:rPr>
                <w:rFonts w:hint="eastAsia" w:ascii="宋体" w:hAnsi="宋体" w:cs="宋体"/>
                <w:color w:val="auto"/>
                <w:szCs w:val="21"/>
              </w:rPr>
            </w:pPr>
            <w:r>
              <w:rPr>
                <w:rFonts w:hint="eastAsia" w:ascii="宋体" w:hAnsi="宋体" w:cs="宋体"/>
                <w:color w:val="auto"/>
                <w:szCs w:val="21"/>
              </w:rPr>
              <w:t>1、影响投标文件编制在投标截止时间15天前</w:t>
            </w:r>
          </w:p>
          <w:p>
            <w:pPr>
              <w:snapToGrid w:val="0"/>
              <w:rPr>
                <w:rFonts w:hint="eastAsia" w:ascii="宋体" w:hAnsi="宋体" w:cs="宋体"/>
                <w:color w:val="auto"/>
                <w:szCs w:val="21"/>
              </w:rPr>
            </w:pPr>
            <w:r>
              <w:rPr>
                <w:rFonts w:hint="eastAsia" w:ascii="宋体" w:hAnsi="宋体" w:cs="宋体"/>
                <w:color w:val="auto"/>
                <w:szCs w:val="21"/>
              </w:rPr>
              <w:t>2、不影响投标文件编制在投标截止时间3天前</w:t>
            </w:r>
          </w:p>
          <w:p>
            <w:pPr>
              <w:snapToGrid w:val="0"/>
              <w:rPr>
                <w:rFonts w:hint="eastAsia" w:ascii="宋体" w:hAnsi="宋体" w:cs="宋体"/>
                <w:color w:val="auto"/>
                <w:szCs w:val="21"/>
              </w:rPr>
            </w:pPr>
            <w:r>
              <w:rPr>
                <w:rFonts w:hint="eastAsia" w:ascii="宋体" w:hAnsi="宋体" w:cs="宋体"/>
                <w:color w:val="auto"/>
                <w:szCs w:val="21"/>
              </w:rPr>
              <w:t>招标人澄清文件发布方式：</w:t>
            </w:r>
          </w:p>
          <w:p>
            <w:pPr>
              <w:snapToGrid w:val="0"/>
              <w:rPr>
                <w:rFonts w:hint="eastAsia" w:ascii="宋体" w:hAnsi="宋体" w:cs="宋体"/>
                <w:color w:val="auto"/>
                <w:szCs w:val="21"/>
              </w:rPr>
            </w:pPr>
            <w:r>
              <w:rPr>
                <w:rFonts w:hint="eastAsia" w:ascii="宋体" w:hAnsi="宋体" w:cs="宋体"/>
                <w:color w:val="auto"/>
                <w:szCs w:val="21"/>
              </w:rPr>
              <w:t>■在《湖南省招标投标监管网、岳阳市住房和城乡建设局网及岳阳市公共资源交易网》上发布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1.11.1</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招标人规定由分包人      承担的工作</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1.11.2</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投标人拟分包的工作</w:t>
            </w:r>
          </w:p>
        </w:tc>
        <w:tc>
          <w:tcPr>
            <w:tcW w:w="5835" w:type="dxa"/>
            <w:vAlign w:val="center"/>
          </w:tcPr>
          <w:p>
            <w:pPr>
              <w:pStyle w:val="23"/>
              <w:topLinePunct/>
              <w:snapToGrid w:val="0"/>
              <w:rPr>
                <w:rFonts w:hint="eastAsia" w:hAnsi="宋体" w:cs="宋体"/>
                <w:color w:val="auto"/>
                <w:sz w:val="21"/>
                <w:szCs w:val="21"/>
              </w:rPr>
            </w:pPr>
            <w:r>
              <w:rPr>
                <w:rFonts w:hint="eastAsia" w:hAnsi="宋体" w:cs="宋体"/>
                <w:color w:val="auto"/>
                <w:kern w:val="0"/>
              </w:rPr>
              <w:t>■</w:t>
            </w:r>
            <w:r>
              <w:rPr>
                <w:rFonts w:hint="eastAsia" w:hAnsi="宋体" w:cs="宋体"/>
                <w:color w:val="auto"/>
                <w:sz w:val="21"/>
                <w:szCs w:val="21"/>
              </w:rPr>
              <w:t>不允许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1.12</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偏离</w:t>
            </w:r>
          </w:p>
        </w:tc>
        <w:tc>
          <w:tcPr>
            <w:tcW w:w="5835" w:type="dxa"/>
            <w:vAlign w:val="center"/>
          </w:tcPr>
          <w:p>
            <w:pPr>
              <w:pStyle w:val="23"/>
              <w:topLinePunct/>
              <w:snapToGrid w:val="0"/>
              <w:rPr>
                <w:rFonts w:hint="eastAsia" w:hAnsi="宋体" w:cs="宋体"/>
                <w:color w:val="auto"/>
                <w:sz w:val="21"/>
                <w:szCs w:val="21"/>
              </w:rPr>
            </w:pPr>
            <w:r>
              <w:rPr>
                <w:rFonts w:hint="eastAsia" w:hAnsi="宋体" w:cs="宋体"/>
                <w:color w:val="auto"/>
                <w:kern w:val="0"/>
              </w:rPr>
              <w:t>■</w:t>
            </w:r>
            <w:r>
              <w:rPr>
                <w:rFonts w:hint="eastAsia" w:hAnsi="宋体" w:cs="宋体"/>
                <w:color w:val="auto"/>
                <w:sz w:val="21"/>
                <w:szCs w:val="21"/>
              </w:rPr>
              <w:t>不允许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2.1</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构成招标文件的其他资料</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2.2.1</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投标人要求澄清招标文件的截止时间</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szCs w:val="21"/>
              </w:rPr>
              <w:t>截止时间：在投标截止时间10天前</w:t>
            </w:r>
          </w:p>
          <w:p>
            <w:pPr>
              <w:snapToGrid w:val="0"/>
              <w:rPr>
                <w:rFonts w:hint="eastAsia" w:ascii="宋体" w:hAnsi="宋体" w:cs="宋体"/>
                <w:color w:val="auto"/>
                <w:szCs w:val="21"/>
              </w:rPr>
            </w:pPr>
            <w:r>
              <w:rPr>
                <w:rFonts w:hint="eastAsia" w:ascii="宋体" w:hAnsi="宋体" w:cs="宋体"/>
                <w:color w:val="auto"/>
                <w:szCs w:val="21"/>
              </w:rPr>
              <w:t>投标人要求澄清招标文件的提问方式：</w:t>
            </w:r>
          </w:p>
          <w:p>
            <w:pPr>
              <w:snapToGrid w:val="0"/>
              <w:rPr>
                <w:rFonts w:hint="eastAsia" w:ascii="宋体" w:hAnsi="宋体" w:cs="宋体"/>
                <w:b/>
                <w:bCs/>
                <w:color w:val="auto"/>
                <w:szCs w:val="21"/>
              </w:rPr>
            </w:pPr>
            <w:r>
              <w:rPr>
                <w:rFonts w:hint="eastAsia" w:ascii="宋体" w:hAnsi="宋体" w:cs="宋体"/>
                <w:b/>
                <w:bCs/>
                <w:color w:val="auto"/>
                <w:szCs w:val="21"/>
              </w:rPr>
              <w:sym w:font="Wingdings 2" w:char="0052"/>
            </w:r>
            <w:r>
              <w:rPr>
                <w:rFonts w:hint="eastAsia" w:ascii="宋体" w:hAnsi="宋体" w:cs="宋体"/>
                <w:b/>
                <w:bCs/>
                <w:color w:val="auto"/>
                <w:szCs w:val="21"/>
              </w:rPr>
              <w:t>在《岳阳市住房和城乡建设局网、岳阳市公共资源交易网》上提问</w:t>
            </w:r>
          </w:p>
          <w:p>
            <w:pPr>
              <w:snapToGrid w:val="0"/>
              <w:rPr>
                <w:rFonts w:hint="eastAsia" w:ascii="宋体" w:hAnsi="宋体" w:cs="宋体"/>
                <w:color w:val="auto"/>
                <w:szCs w:val="21"/>
              </w:rPr>
            </w:pPr>
            <w:r>
              <w:rPr>
                <w:rFonts w:hint="eastAsia" w:ascii="宋体" w:hAnsi="宋体" w:cs="宋体"/>
                <w:color w:val="auto"/>
                <w:szCs w:val="21"/>
              </w:rPr>
              <w:sym w:font="Wingdings 2" w:char="00A3"/>
            </w:r>
            <w:r>
              <w:rPr>
                <w:rFonts w:hint="eastAsia" w:ascii="宋体" w:hAnsi="宋体" w:cs="宋体"/>
                <w:b/>
                <w:bCs/>
                <w:color w:val="auto"/>
                <w:szCs w:val="21"/>
              </w:rPr>
              <w:t>书面提问</w:t>
            </w:r>
            <w:r>
              <w:rPr>
                <w:rFonts w:hint="eastAsia" w:ascii="宋体" w:hAnsi="宋体" w:cs="宋体"/>
                <w:color w:val="auto"/>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2.2.2</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投标截止时间</w:t>
            </w:r>
          </w:p>
        </w:tc>
        <w:tc>
          <w:tcPr>
            <w:tcW w:w="5835" w:type="dxa"/>
            <w:vAlign w:val="center"/>
          </w:tcPr>
          <w:p>
            <w:pPr>
              <w:snapToGrid w:val="0"/>
              <w:rPr>
                <w:rFonts w:ascii="宋体" w:hAnsi="宋体" w:cs="宋体"/>
                <w:color w:val="auto"/>
                <w:szCs w:val="21"/>
              </w:rPr>
            </w:pPr>
            <w:r>
              <w:rPr>
                <w:rFonts w:hint="eastAsia" w:ascii="宋体" w:hAnsi="宋体" w:cs="宋体"/>
                <w:color w:val="auto"/>
                <w:szCs w:val="21"/>
              </w:rPr>
              <w:t>2021年</w:t>
            </w:r>
            <w:r>
              <w:rPr>
                <w:rFonts w:hint="eastAsia" w:ascii="宋体" w:hAnsi="宋体" w:cs="宋体"/>
                <w:color w:val="auto"/>
                <w:szCs w:val="21"/>
                <w:lang w:val="en-US" w:eastAsia="zh-CN"/>
              </w:rPr>
              <w:t>4</w:t>
            </w:r>
            <w:r>
              <w:rPr>
                <w:rFonts w:hint="eastAsia" w:ascii="宋体" w:hAnsi="宋体" w:cs="宋体"/>
                <w:color w:val="auto"/>
                <w:szCs w:val="21"/>
              </w:rPr>
              <w:t>月</w:t>
            </w:r>
            <w:r>
              <w:rPr>
                <w:rFonts w:hint="eastAsia" w:ascii="宋体" w:hAnsi="宋体" w:cs="宋体"/>
                <w:color w:val="auto"/>
                <w:szCs w:val="21"/>
                <w:lang w:val="en-US" w:eastAsia="zh-CN"/>
              </w:rPr>
              <w:t>16</w:t>
            </w:r>
            <w:r>
              <w:rPr>
                <w:rFonts w:hint="eastAsia" w:ascii="宋体" w:hAnsi="宋体" w:cs="宋体"/>
                <w:color w:val="auto"/>
                <w:szCs w:val="21"/>
              </w:rPr>
              <w:t>日</w:t>
            </w:r>
            <w:r>
              <w:rPr>
                <w:rFonts w:hint="eastAsia" w:ascii="宋体" w:hAnsi="宋体" w:cs="宋体"/>
                <w:color w:val="auto"/>
                <w:szCs w:val="21"/>
                <w:lang w:val="en-US" w:eastAsia="zh-CN"/>
              </w:rPr>
              <w:t>9</w:t>
            </w:r>
            <w:r>
              <w:rPr>
                <w:rFonts w:hint="eastAsia" w:ascii="宋体" w:hAnsi="宋体" w:cs="宋体"/>
                <w:color w:val="auto"/>
                <w:szCs w:val="21"/>
              </w:rPr>
              <w:t>时</w:t>
            </w:r>
            <w:r>
              <w:rPr>
                <w:rFonts w:hint="eastAsia" w:ascii="宋体" w:hAnsi="宋体" w:cs="宋体"/>
                <w:color w:val="auto"/>
                <w:szCs w:val="21"/>
                <w:lang w:val="en-US" w:eastAsia="zh-CN"/>
              </w:rPr>
              <w:t>30</w:t>
            </w:r>
            <w:r>
              <w:rPr>
                <w:rFonts w:hint="eastAsia" w:ascii="宋体" w:hAnsi="宋体" w:cs="宋体"/>
                <w:color w:val="auto"/>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2.2.3</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投标人确认收到招标文件澄清的时间</w:t>
            </w:r>
          </w:p>
        </w:tc>
        <w:tc>
          <w:tcPr>
            <w:tcW w:w="5835" w:type="dxa"/>
            <w:vAlign w:val="center"/>
          </w:tcPr>
          <w:p>
            <w:pPr>
              <w:snapToGrid w:val="0"/>
              <w:rPr>
                <w:rFonts w:hint="eastAsia" w:ascii="宋体" w:hAnsi="宋体" w:cs="宋体"/>
                <w:b/>
                <w:bCs/>
                <w:color w:val="auto"/>
                <w:szCs w:val="21"/>
              </w:rPr>
            </w:pPr>
            <w:r>
              <w:rPr>
                <w:rFonts w:hint="eastAsia" w:ascii="宋体" w:hAnsi="宋体" w:cs="宋体"/>
                <w:b/>
                <w:bCs/>
                <w:color w:val="auto"/>
                <w:szCs w:val="21"/>
              </w:rPr>
              <w:t>不需确认，投标单位自行在岳阳市住房和城乡建设局网、湖南省招标投标监管网、岳阳市公共资源交易网网上下载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2.3.2</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投标人确认收到招标文件修改的时间</w:t>
            </w:r>
          </w:p>
        </w:tc>
        <w:tc>
          <w:tcPr>
            <w:tcW w:w="5835" w:type="dxa"/>
            <w:vAlign w:val="center"/>
          </w:tcPr>
          <w:p>
            <w:pPr>
              <w:snapToGrid w:val="0"/>
              <w:rPr>
                <w:rFonts w:hint="eastAsia" w:ascii="宋体" w:hAnsi="宋体" w:cs="宋体"/>
                <w:b/>
                <w:bCs/>
                <w:color w:val="auto"/>
                <w:szCs w:val="21"/>
              </w:rPr>
            </w:pPr>
            <w:r>
              <w:rPr>
                <w:rFonts w:hint="eastAsia" w:ascii="宋体" w:hAnsi="宋体" w:cs="宋体"/>
                <w:b/>
                <w:bCs/>
                <w:color w:val="auto"/>
                <w:szCs w:val="21"/>
              </w:rPr>
              <w:t>不需确认，投标单位自行在湖南省招标投标监管网、岳阳市住房和城乡建设局网及岳阳市公共资源交易网网上下载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3.1.1</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构成投标文件的其他资料</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szCs w:val="21"/>
              </w:rPr>
              <w:t>投标人上传的投标文件相关证件应完整，清晰，如不完整，漏页或模糊不清，无法辨认等造成的投标失败或其它不利后果由投标单位自行负责。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rPr>
              <w:t>3.2.4</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最高投标限价</w:t>
            </w:r>
          </w:p>
        </w:tc>
        <w:tc>
          <w:tcPr>
            <w:tcW w:w="5835" w:type="dxa"/>
            <w:vAlign w:val="center"/>
          </w:tcPr>
          <w:p>
            <w:pPr>
              <w:pStyle w:val="17"/>
              <w:ind w:firstLine="0"/>
              <w:rPr>
                <w:rFonts w:hint="eastAsia" w:ascii="宋体" w:hAnsi="宋体" w:cs="宋体"/>
                <w:color w:val="auto"/>
                <w:szCs w:val="21"/>
              </w:rPr>
            </w:pPr>
            <w:r>
              <w:rPr>
                <w:rFonts w:hint="eastAsia"/>
                <w:color w:val="auto"/>
              </w:rPr>
              <w:t>本项目最高投标限价为：</w:t>
            </w:r>
            <w:r>
              <w:rPr>
                <w:rFonts w:hint="eastAsia"/>
                <w:color w:val="auto"/>
                <w:lang w:eastAsia="zh-CN"/>
              </w:rPr>
              <w:t>1048.76</w:t>
            </w:r>
            <w:r>
              <w:rPr>
                <w:rFonts w:hint="eastAsia"/>
                <w:color w:val="auto"/>
              </w:rPr>
              <w:t>万元，其中工程费用为</w:t>
            </w:r>
            <w:r>
              <w:rPr>
                <w:rFonts w:hint="eastAsia"/>
                <w:color w:val="auto"/>
                <w:lang w:eastAsia="zh-CN"/>
              </w:rPr>
              <w:t>1018.21</w:t>
            </w:r>
            <w:r>
              <w:rPr>
                <w:rFonts w:hint="eastAsia"/>
                <w:color w:val="auto"/>
              </w:rPr>
              <w:t>万元，设计费为 30.55万元。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rPr>
            </w:pPr>
            <w:r>
              <w:rPr>
                <w:rFonts w:hint="eastAsia" w:ascii="宋体" w:hAnsi="宋体" w:cs="宋体"/>
                <w:color w:val="auto"/>
              </w:rPr>
              <w:t>3.2.5</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投标报价要求</w:t>
            </w:r>
          </w:p>
        </w:tc>
        <w:tc>
          <w:tcPr>
            <w:tcW w:w="5835" w:type="dxa"/>
            <w:vAlign w:val="center"/>
          </w:tcPr>
          <w:p>
            <w:pPr>
              <w:snapToGrid w:val="0"/>
              <w:rPr>
                <w:rFonts w:ascii="宋体" w:hAnsi="宋体" w:cs="宋体"/>
                <w:color w:val="auto"/>
                <w:szCs w:val="21"/>
              </w:rPr>
            </w:pPr>
            <w:r>
              <w:rPr>
                <w:rFonts w:hint="eastAsia" w:ascii="宋体" w:hAnsi="宋体" w:cs="宋体"/>
                <w:color w:val="auto"/>
                <w:szCs w:val="21"/>
              </w:rPr>
              <w:t>1.本项目的投标报价采用总金额报价，投标人的投标报价不得高于招标人设定的最高投标限价，否则其投标作废标处理。</w:t>
            </w:r>
          </w:p>
          <w:p>
            <w:pPr>
              <w:snapToGrid w:val="0"/>
              <w:rPr>
                <w:rFonts w:hint="eastAsia" w:ascii="宋体" w:hAnsi="宋体" w:cs="宋体"/>
                <w:color w:val="auto"/>
                <w:szCs w:val="21"/>
              </w:rPr>
            </w:pPr>
            <w:r>
              <w:rPr>
                <w:rFonts w:hint="eastAsia" w:ascii="宋体" w:hAnsi="宋体" w:cs="宋体"/>
                <w:color w:val="auto"/>
                <w:szCs w:val="21"/>
              </w:rPr>
              <w:t>2.报价范围：完成招标范围内全部内容的全部费用</w:t>
            </w:r>
          </w:p>
          <w:p>
            <w:pPr>
              <w:snapToGrid w:val="0"/>
              <w:rPr>
                <w:rFonts w:hint="eastAsia" w:ascii="宋体" w:hAnsi="宋体" w:cs="宋体"/>
                <w:color w:val="auto"/>
                <w:szCs w:val="21"/>
              </w:rPr>
            </w:pPr>
            <w:r>
              <w:rPr>
                <w:rFonts w:hint="eastAsia" w:ascii="宋体" w:hAnsi="宋体" w:cs="宋体"/>
                <w:color w:val="auto"/>
                <w:szCs w:val="21"/>
              </w:rPr>
              <w:t>3.本项目投标应执行一般计税法计价规则</w:t>
            </w:r>
          </w:p>
          <w:p>
            <w:pPr>
              <w:snapToGrid w:val="0"/>
              <w:rPr>
                <w:rFonts w:hint="eastAsia" w:ascii="宋体" w:hAnsi="宋体" w:cs="宋体"/>
                <w:color w:val="auto"/>
                <w:szCs w:val="21"/>
              </w:rPr>
            </w:pPr>
            <w:r>
              <w:rPr>
                <w:rFonts w:hint="eastAsia" w:ascii="宋体" w:hAnsi="宋体" w:cs="宋体"/>
                <w:color w:val="auto"/>
                <w:szCs w:val="21"/>
              </w:rPr>
              <w:t>4.结算方式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3.3.1</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投标有效期</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rPr>
              <w:t>120日历天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3.4.1</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投标保证金</w:t>
            </w:r>
          </w:p>
        </w:tc>
        <w:tc>
          <w:tcPr>
            <w:tcW w:w="5835" w:type="dxa"/>
            <w:vAlign w:val="center"/>
          </w:tcPr>
          <w:p>
            <w:pPr>
              <w:pStyle w:val="71"/>
              <w:snapToGrid w:val="0"/>
              <w:rPr>
                <w:rFonts w:ascii="宋体" w:hAnsi="宋体" w:cs="宋体"/>
                <w:b/>
                <w:color w:val="auto"/>
              </w:rPr>
            </w:pPr>
            <w:r>
              <w:rPr>
                <w:rFonts w:hint="eastAsia" w:ascii="宋体" w:hAnsi="宋体" w:cs="宋体"/>
                <w:b/>
                <w:color w:val="auto"/>
              </w:rPr>
              <w:t>详见招标公告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3.5.2</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近年财务状况</w:t>
            </w:r>
          </w:p>
        </w:tc>
        <w:tc>
          <w:tcPr>
            <w:tcW w:w="5835" w:type="dxa"/>
            <w:vAlign w:val="center"/>
          </w:tcPr>
          <w:p>
            <w:pPr>
              <w:snapToGrid w:val="0"/>
              <w:rPr>
                <w:rFonts w:hint="eastAsia" w:ascii="宋体" w:hAnsi="宋体" w:cs="宋体"/>
                <w:bCs/>
                <w:color w:val="auto"/>
                <w:szCs w:val="21"/>
              </w:rPr>
            </w:pPr>
            <w:r>
              <w:rPr>
                <w:rFonts w:ascii="宋体" w:hAnsi="宋体" w:cs="宋体"/>
                <w:bCs/>
                <w:color w:val="auto"/>
                <w:szCs w:val="21"/>
              </w:rPr>
              <w:t xml:space="preserve">以投标人上一年度经会计事务所出具的审计报告提供为准；从每年的1月1日至4月30日，如投标人无法提供上一年度上述资料，则可以再上一年度的上述资料为准，否则相应评审项目不予计分；从每年的5月1日开始至12月31日，投标人应当提供上一年度上述资料，否则相应评审项目不予计分；如投标人能够提供上一年度的上述资料而没有提供，且造成评审计分有利于该投标人，应当按弄虚作假处理。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3.5.3</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近年完成的类似项目</w:t>
            </w:r>
          </w:p>
        </w:tc>
        <w:tc>
          <w:tcPr>
            <w:tcW w:w="5835" w:type="dxa"/>
            <w:vAlign w:val="center"/>
          </w:tcPr>
          <w:p>
            <w:pPr>
              <w:ind w:left="-103" w:leftChars="-49" w:firstLine="422" w:firstLineChars="201"/>
              <w:rPr>
                <w:rFonts w:hint="eastAsia"/>
                <w:color w:val="auto"/>
                <w:szCs w:val="21"/>
              </w:rPr>
            </w:pPr>
            <w:r>
              <w:rPr>
                <w:rFonts w:hint="eastAsia"/>
                <w:color w:val="auto"/>
                <w:szCs w:val="21"/>
              </w:rPr>
              <w:t>1.资格要求的类似工程业绩：</w:t>
            </w:r>
          </w:p>
          <w:p>
            <w:pPr>
              <w:ind w:left="-103" w:leftChars="-49" w:firstLine="422" w:firstLineChars="201"/>
              <w:rPr>
                <w:rFonts w:hint="eastAsia" w:ascii="宋体" w:hAnsi="宋体" w:cs="宋体"/>
                <w:color w:val="auto"/>
                <w:szCs w:val="21"/>
              </w:rPr>
            </w:pPr>
            <w:r>
              <w:rPr>
                <w:rFonts w:hint="eastAsia" w:ascii="宋体" w:hAnsi="宋体" w:cs="宋体"/>
                <w:color w:val="auto"/>
                <w:szCs w:val="21"/>
              </w:rPr>
              <w:t>投标人近三年（投标截止时间前36个月）至少承担过单项合同工程费用不少于</w:t>
            </w:r>
            <w:r>
              <w:rPr>
                <w:rFonts w:hint="eastAsia" w:ascii="宋体" w:hAnsi="宋体" w:cs="宋体"/>
                <w:color w:val="auto"/>
                <w:szCs w:val="21"/>
                <w:lang w:val="en-US" w:eastAsia="zh-CN"/>
              </w:rPr>
              <w:t>500</w:t>
            </w:r>
            <w:r>
              <w:rPr>
                <w:rFonts w:hint="eastAsia" w:ascii="宋体" w:hAnsi="宋体" w:cs="宋体"/>
                <w:color w:val="auto"/>
                <w:szCs w:val="21"/>
              </w:rPr>
              <w:t>万元的市政道路工程设计、施工或总承包项目业绩，同时提供中标通知书、合同协议书、竣工验收备案表（经建设工程质量监督部门签字确认）或竣工验收证明（由建设方、施工方、监理方、设计方盖章认可），时间以竣工验收备案登记表或竣工验收证明上建设单位签字的时间为准（设计业绩提供中标通知书、合同协议书）。</w:t>
            </w:r>
          </w:p>
          <w:p>
            <w:pPr>
              <w:ind w:left="-103" w:leftChars="-49" w:firstLine="422" w:firstLineChars="201"/>
              <w:rPr>
                <w:rFonts w:hint="eastAsia"/>
                <w:color w:val="auto"/>
                <w:szCs w:val="21"/>
              </w:rPr>
            </w:pPr>
            <w:r>
              <w:rPr>
                <w:rFonts w:hint="eastAsia"/>
                <w:color w:val="auto"/>
                <w:szCs w:val="21"/>
              </w:rPr>
              <w:t>2.评审加分要求的类似工程业绩：</w:t>
            </w:r>
          </w:p>
          <w:p>
            <w:pPr>
              <w:pStyle w:val="71"/>
              <w:snapToGrid w:val="0"/>
              <w:ind w:firstLine="210" w:firstLineChars="100"/>
              <w:rPr>
                <w:rFonts w:ascii="宋体" w:hAnsi="宋体" w:cs="宋体"/>
                <w:color w:val="auto"/>
              </w:rPr>
            </w:pPr>
            <w:r>
              <w:rPr>
                <w:rFonts w:hint="eastAsia" w:ascii="宋体" w:hAnsi="宋体" w:cs="宋体"/>
                <w:color w:val="auto"/>
                <w:szCs w:val="21"/>
              </w:rPr>
              <w:t>投标人近三年（投标截止时间前36个月）至少承担过单项合同工程费用不少于</w:t>
            </w:r>
            <w:r>
              <w:rPr>
                <w:rFonts w:hint="eastAsia" w:ascii="宋体" w:hAnsi="宋体" w:cs="宋体"/>
                <w:color w:val="auto"/>
                <w:szCs w:val="21"/>
                <w:lang w:val="en-US" w:eastAsia="zh-CN"/>
              </w:rPr>
              <w:t>700</w:t>
            </w:r>
            <w:r>
              <w:rPr>
                <w:rFonts w:hint="eastAsia" w:ascii="宋体" w:hAnsi="宋体" w:cs="宋体"/>
                <w:color w:val="auto"/>
                <w:szCs w:val="21"/>
              </w:rPr>
              <w:t>万元的市政道路工程设计、施工或总承包项目业绩，同时提供中标通知书、合同协议书、竣工验收备案表（经建设工程质量监督部门签字确认）或竣工验收证明（由建设方、施工方、监理方、设计方盖章认可），时间以竣工验收备案登记表或竣工验收证明上建设单位签字的时间为准（设计业绩提供中标通知书、合同协议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3.5.5</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近年发生的重大诉讼及仲裁情况</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szCs w:val="21"/>
              </w:rPr>
              <w:t>近3年（投标截止时间前1080天）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3.6</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是否允许递交备选投标方案</w:t>
            </w:r>
          </w:p>
        </w:tc>
        <w:tc>
          <w:tcPr>
            <w:tcW w:w="5835" w:type="dxa"/>
            <w:vAlign w:val="center"/>
          </w:tcPr>
          <w:p>
            <w:pPr>
              <w:pStyle w:val="23"/>
              <w:topLinePunct/>
              <w:snapToGrid w:val="0"/>
              <w:rPr>
                <w:rFonts w:hint="eastAsia" w:hAnsi="宋体" w:cs="宋体"/>
                <w:color w:val="auto"/>
                <w:szCs w:val="21"/>
              </w:rPr>
            </w:pPr>
            <w:r>
              <w:rPr>
                <w:rFonts w:hint="eastAsia" w:hAnsi="宋体" w:cs="宋体"/>
                <w:color w:val="auto"/>
                <w:kern w:val="0"/>
              </w:rPr>
              <w:t>■</w:t>
            </w:r>
            <w:r>
              <w:rPr>
                <w:rFonts w:hint="eastAsia" w:hAnsi="宋体" w:cs="宋体"/>
                <w:color w:val="auto"/>
                <w:sz w:val="21"/>
                <w:szCs w:val="21"/>
              </w:rPr>
              <w:t>不允许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3.7.3</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签字或盖章要求</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szCs w:val="21"/>
              </w:rPr>
              <w:t>投标文件按招标文件第七章“投标文件格式”规定处必须由投标人（联合体投标的，如无特别说明，只要联合体牵头人）的法定代表人或授权委托代理人签字（或盖章）和加盖单位公章。授权委托书和联合体协议须各方签字（或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3.7.4</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投标文件份数</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szCs w:val="21"/>
              </w:rPr>
              <w:t>投标人登录岳阳市公共资源交易网上传YYTF格式投标文件一份（中标单位在领取中标通知书之前，需提供四套完整的纸质投标文件用于备案。当提供的纸质文件资料与岳阳市公共资源交易网记录的电子文件资料不一致时，以电子文件资料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3.7.5</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装订要求</w:t>
            </w:r>
          </w:p>
        </w:tc>
        <w:tc>
          <w:tcPr>
            <w:tcW w:w="583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4.1.2</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封套上应载明的信息</w:t>
            </w:r>
          </w:p>
        </w:tc>
        <w:tc>
          <w:tcPr>
            <w:tcW w:w="5835" w:type="dxa"/>
            <w:vAlign w:val="center"/>
          </w:tcPr>
          <w:p>
            <w:pPr>
              <w:widowControl/>
              <w:snapToGrid w:val="0"/>
              <w:rPr>
                <w:rFonts w:hint="eastAsia" w:ascii="宋体" w:hAnsi="宋体" w:cs="宋体"/>
                <w:color w:val="auto"/>
                <w:kern w:val="0"/>
                <w:szCs w:val="21"/>
                <w:lang w:bidi="en-US"/>
              </w:rPr>
            </w:pPr>
            <w:r>
              <w:rPr>
                <w:rFonts w:hint="eastAsia" w:ascii="宋体" w:hAnsi="宋体" w:cs="宋体"/>
                <w:color w:val="auto"/>
                <w:kern w:val="0"/>
                <w:szCs w:val="21"/>
                <w:lang w:bidi="en-US"/>
              </w:rPr>
              <w:t>投标人名称：</w:t>
            </w:r>
          </w:p>
          <w:p>
            <w:pPr>
              <w:widowControl/>
              <w:snapToGrid w:val="0"/>
              <w:rPr>
                <w:rFonts w:hint="eastAsia" w:ascii="宋体" w:hAnsi="宋体" w:cs="宋体"/>
                <w:color w:val="auto"/>
                <w:kern w:val="0"/>
                <w:szCs w:val="21"/>
                <w:lang w:bidi="en-US"/>
              </w:rPr>
            </w:pPr>
            <w:r>
              <w:rPr>
                <w:rFonts w:hint="eastAsia" w:ascii="宋体" w:hAnsi="宋体" w:cs="宋体"/>
                <w:color w:val="auto"/>
                <w:kern w:val="0"/>
                <w:szCs w:val="21"/>
                <w:lang w:bidi="en-US"/>
              </w:rPr>
              <w:t>招标人名称：</w:t>
            </w:r>
          </w:p>
          <w:p>
            <w:pPr>
              <w:snapToGrid w:val="0"/>
              <w:jc w:val="left"/>
              <w:rPr>
                <w:rFonts w:hint="eastAsia" w:ascii="宋体" w:hAnsi="宋体" w:cs="宋体"/>
                <w:b/>
                <w:color w:val="auto"/>
                <w:szCs w:val="21"/>
              </w:rPr>
            </w:pPr>
            <w:r>
              <w:rPr>
                <w:rFonts w:hint="eastAsia" w:ascii="宋体" w:hAnsi="宋体" w:cs="宋体"/>
                <w:color w:val="auto"/>
                <w:kern w:val="0"/>
                <w:szCs w:val="21"/>
                <w:u w:val="single"/>
                <w:lang w:bidi="en-US"/>
              </w:rPr>
              <w:t xml:space="preserve">（项目名称）                       </w:t>
            </w:r>
            <w:r>
              <w:rPr>
                <w:rFonts w:hint="eastAsia" w:ascii="宋体" w:hAnsi="宋体" w:cs="宋体"/>
                <w:color w:val="auto"/>
                <w:kern w:val="0"/>
                <w:szCs w:val="21"/>
                <w:lang w:bidi="en-US"/>
              </w:rPr>
              <w:t>投标文件（投标函部分或技术部分在</w:t>
            </w:r>
            <w:r>
              <w:rPr>
                <w:rFonts w:hint="eastAsia" w:ascii="宋体" w:hAnsi="宋体" w:cs="宋体"/>
                <w:color w:val="auto"/>
                <w:kern w:val="0"/>
                <w:szCs w:val="21"/>
                <w:u w:val="single"/>
                <w:lang w:bidi="en-US"/>
              </w:rPr>
              <w:t xml:space="preserve">                     </w:t>
            </w:r>
            <w:r>
              <w:rPr>
                <w:rFonts w:hint="eastAsia" w:ascii="宋体" w:hAnsi="宋体" w:cs="宋体"/>
                <w:color w:val="auto"/>
                <w:kern w:val="0"/>
                <w:szCs w:val="21"/>
                <w:u w:val="single"/>
                <w:lang w:bidi="en-US"/>
              </w:rPr>
              <w:tab/>
            </w:r>
            <w:r>
              <w:rPr>
                <w:rFonts w:hint="eastAsia" w:ascii="宋体" w:hAnsi="宋体" w:cs="宋体"/>
                <w:color w:val="auto"/>
                <w:kern w:val="0"/>
                <w:szCs w:val="21"/>
                <w:u w:val="single"/>
                <w:lang w:bidi="en-US"/>
              </w:rPr>
              <w:t xml:space="preserve">          </w:t>
            </w:r>
            <w:r>
              <w:rPr>
                <w:rFonts w:hint="eastAsia" w:ascii="宋体" w:hAnsi="宋体" w:cs="宋体"/>
                <w:color w:val="auto"/>
                <w:kern w:val="0"/>
                <w:szCs w:val="21"/>
                <w:lang w:bidi="en-US"/>
              </w:rPr>
              <w:t>（投标截止时间）前不得开启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4.2.2</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递交投标文件地点</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szCs w:val="21"/>
              </w:rPr>
              <w:t>投标人自行登录岳阳市公共资源交易平台，在投标截止时间前递交。逾期送达的投标文件，电子招标投标交易平台予以拒收。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4.2.3</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是否退还投标文件</w:t>
            </w:r>
          </w:p>
        </w:tc>
        <w:tc>
          <w:tcPr>
            <w:tcW w:w="5835" w:type="dxa"/>
            <w:vAlign w:val="center"/>
          </w:tcPr>
          <w:p>
            <w:pPr>
              <w:pStyle w:val="23"/>
              <w:topLinePunct/>
              <w:snapToGrid w:val="0"/>
              <w:rPr>
                <w:rFonts w:hint="eastAsia" w:hAnsi="宋体" w:cs="宋体"/>
                <w:color w:val="auto"/>
                <w:szCs w:val="21"/>
              </w:rPr>
            </w:pPr>
            <w:r>
              <w:rPr>
                <w:rFonts w:hint="eastAsia" w:hAnsi="宋体" w:cs="宋体"/>
                <w:color w:val="auto"/>
                <w:kern w:val="0"/>
              </w:rPr>
              <w:t>■</w:t>
            </w:r>
            <w:r>
              <w:rPr>
                <w:rFonts w:hint="eastAsia" w:hAnsi="宋体" w:cs="宋体"/>
                <w:color w:val="auto"/>
                <w:sz w:val="21"/>
                <w:szCs w:val="21"/>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5.1</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开标时间和地点</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szCs w:val="21"/>
              </w:rPr>
              <w:t>开标时间：2021年</w:t>
            </w:r>
            <w:r>
              <w:rPr>
                <w:rFonts w:hint="eastAsia" w:ascii="宋体" w:hAnsi="宋体" w:cs="宋体"/>
                <w:color w:val="auto"/>
                <w:szCs w:val="21"/>
                <w:lang w:val="en-US" w:eastAsia="zh-CN"/>
              </w:rPr>
              <w:t xml:space="preserve">  </w:t>
            </w:r>
            <w:r>
              <w:rPr>
                <w:rFonts w:hint="eastAsia" w:ascii="宋体" w:hAnsi="宋体" w:cs="宋体"/>
                <w:color w:val="auto"/>
                <w:szCs w:val="21"/>
              </w:rPr>
              <w:t>月</w:t>
            </w:r>
            <w:r>
              <w:rPr>
                <w:rFonts w:hint="eastAsia" w:ascii="宋体" w:hAnsi="宋体" w:cs="宋体"/>
                <w:color w:val="auto"/>
                <w:szCs w:val="21"/>
                <w:lang w:val="en-US" w:eastAsia="zh-CN"/>
              </w:rPr>
              <w:t xml:space="preserve">  </w:t>
            </w:r>
            <w:r>
              <w:rPr>
                <w:rFonts w:hint="eastAsia" w:ascii="宋体" w:hAnsi="宋体" w:cs="宋体"/>
                <w:color w:val="auto"/>
                <w:szCs w:val="21"/>
              </w:rPr>
              <w:t>日</w:t>
            </w:r>
            <w:r>
              <w:rPr>
                <w:rFonts w:hint="eastAsia" w:ascii="宋体" w:hAnsi="宋体" w:cs="宋体"/>
                <w:color w:val="auto"/>
                <w:szCs w:val="21"/>
                <w:lang w:val="en-US" w:eastAsia="zh-CN"/>
              </w:rPr>
              <w:t xml:space="preserve">  </w:t>
            </w:r>
            <w:r>
              <w:rPr>
                <w:rFonts w:hint="eastAsia" w:ascii="宋体" w:hAnsi="宋体" w:cs="宋体"/>
                <w:color w:val="auto"/>
                <w:szCs w:val="21"/>
              </w:rPr>
              <w:t>时</w:t>
            </w:r>
            <w:r>
              <w:rPr>
                <w:rFonts w:hint="eastAsia" w:ascii="宋体" w:hAnsi="宋体" w:cs="宋体"/>
                <w:color w:val="auto"/>
                <w:szCs w:val="21"/>
                <w:lang w:val="en-US" w:eastAsia="zh-CN"/>
              </w:rPr>
              <w:t xml:space="preserve">  </w:t>
            </w:r>
            <w:r>
              <w:rPr>
                <w:rFonts w:hint="eastAsia" w:ascii="宋体" w:hAnsi="宋体" w:cs="宋体"/>
                <w:color w:val="auto"/>
                <w:szCs w:val="21"/>
              </w:rPr>
              <w:t>分</w:t>
            </w:r>
          </w:p>
          <w:p>
            <w:pPr>
              <w:snapToGrid w:val="0"/>
              <w:rPr>
                <w:rFonts w:hint="eastAsia" w:ascii="宋体" w:hAnsi="宋体" w:cs="宋体"/>
                <w:color w:val="auto"/>
                <w:szCs w:val="21"/>
              </w:rPr>
            </w:pPr>
            <w:r>
              <w:rPr>
                <w:rFonts w:hint="eastAsia" w:ascii="宋体" w:hAnsi="宋体" w:cs="宋体"/>
                <w:color w:val="auto"/>
                <w:szCs w:val="21"/>
              </w:rPr>
              <w:t>开标地点：岳阳市公共资源交易中心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0" w:hRule="atLeast"/>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6.1.1</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评标委员会的组建</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szCs w:val="21"/>
              </w:rPr>
              <w:t>评标委员会构成：7人或以上单数，</w:t>
            </w:r>
            <w:bookmarkStart w:id="34" w:name="_Toc189378458"/>
            <w:bookmarkStart w:id="35" w:name="_Toc189377224"/>
            <w:r>
              <w:rPr>
                <w:rFonts w:hint="eastAsia" w:ascii="宋体" w:hAnsi="宋体" w:cs="宋体"/>
                <w:color w:val="auto"/>
                <w:szCs w:val="21"/>
              </w:rPr>
              <w:t>从湖南省综合评标专家库中随机抽取</w:t>
            </w:r>
            <w:bookmarkEnd w:id="34"/>
            <w:bookmarkEnd w:id="35"/>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0" w:hRule="atLeast"/>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7.1</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是否授权评标委员会确定中标人</w:t>
            </w:r>
          </w:p>
        </w:tc>
        <w:tc>
          <w:tcPr>
            <w:tcW w:w="5835" w:type="dxa"/>
            <w:vAlign w:val="center"/>
          </w:tcPr>
          <w:p>
            <w:pPr>
              <w:snapToGrid w:val="0"/>
              <w:rPr>
                <w:rFonts w:hint="eastAsia" w:ascii="宋体" w:hAnsi="宋体" w:cs="宋体"/>
                <w:color w:val="auto"/>
                <w:szCs w:val="21"/>
              </w:rPr>
            </w:pPr>
            <w:r>
              <w:rPr>
                <w:rFonts w:hint="eastAsia" w:ascii="宋体" w:hAnsi="宋体" w:cs="宋体"/>
                <w:color w:val="auto"/>
                <w:kern w:val="0"/>
                <w:sz w:val="24"/>
              </w:rPr>
              <w:t>■</w:t>
            </w:r>
            <w:r>
              <w:rPr>
                <w:rFonts w:hint="eastAsia" w:ascii="宋体" w:hAnsi="宋体" w:cs="宋体"/>
                <w:color w:val="auto"/>
                <w:szCs w:val="21"/>
              </w:rPr>
              <w:t>否，推荐有排序的中标候选人数：1-3名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0" w:hRule="atLeast"/>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7.2</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中标候选人公示媒介</w:t>
            </w:r>
          </w:p>
        </w:tc>
        <w:tc>
          <w:tcPr>
            <w:tcW w:w="5835" w:type="dxa"/>
            <w:vAlign w:val="center"/>
          </w:tcPr>
          <w:p>
            <w:pPr>
              <w:pStyle w:val="242"/>
              <w:snapToGrid w:val="0"/>
              <w:ind w:firstLine="0" w:firstLineChars="0"/>
              <w:rPr>
                <w:rFonts w:hint="eastAsia" w:ascii="宋体" w:hAnsi="宋体" w:cs="宋体"/>
                <w:color w:val="auto"/>
              </w:rPr>
            </w:pPr>
            <w:r>
              <w:rPr>
                <w:rFonts w:hint="eastAsia" w:ascii="宋体" w:hAnsi="宋体" w:cs="宋体"/>
                <w:color w:val="auto"/>
                <w:szCs w:val="21"/>
              </w:rPr>
              <w:t>在中标通知书发出前，招标人将中标候选人的情况在本招标项目招标公告发布的同一媒介予以公示，公示期不少于3个工作日。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0" w:hRule="atLeast"/>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7.3</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工程预付款支付方式</w:t>
            </w:r>
          </w:p>
        </w:tc>
        <w:tc>
          <w:tcPr>
            <w:tcW w:w="5835" w:type="dxa"/>
            <w:vAlign w:val="center"/>
          </w:tcPr>
          <w:p>
            <w:pPr>
              <w:spacing w:line="320" w:lineRule="exact"/>
              <w:ind w:firstLine="420" w:firstLineChars="200"/>
              <w:rPr>
                <w:rFonts w:ascii="宋体" w:hAnsi="宋体" w:cs="宋体"/>
                <w:color w:val="auto"/>
                <w:szCs w:val="21"/>
              </w:rPr>
            </w:pPr>
            <w:r>
              <w:rPr>
                <w:rFonts w:hint="eastAsia" w:ascii="宋体" w:hAnsi="宋体" w:cs="宋体"/>
                <w:color w:val="auto"/>
                <w:szCs w:val="21"/>
                <w:highlight w:val="yellow"/>
              </w:rPr>
              <w:t>金额：中标合同金额的10%</w:t>
            </w:r>
          </w:p>
          <w:p>
            <w:pPr>
              <w:widowControl/>
              <w:shd w:val="clear" w:color="auto" w:fill="B2E2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inherit" w:hAnsi="inherit" w:cs="宋体"/>
                <w:color w:val="auto"/>
                <w:kern w:val="0"/>
                <w:sz w:val="18"/>
                <w:szCs w:val="18"/>
              </w:rPr>
            </w:pPr>
            <w:r>
              <w:rPr>
                <w:rFonts w:hint="eastAsia" w:ascii="宋体" w:hAnsi="宋体" w:cs="宋体"/>
                <w:color w:val="auto"/>
                <w:szCs w:val="21"/>
              </w:rPr>
              <w:t>招标人在收到履约担保及工程保险的同时，向中标人支付工程预付款，或者向中标人提供工程款支付担保，支付比例不低于10%。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7.4.1</w:t>
            </w: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履约担保</w:t>
            </w:r>
          </w:p>
        </w:tc>
        <w:tc>
          <w:tcPr>
            <w:tcW w:w="5835" w:type="dxa"/>
            <w:vAlign w:val="center"/>
          </w:tcPr>
          <w:p>
            <w:pPr>
              <w:pStyle w:val="242"/>
              <w:snapToGrid w:val="0"/>
              <w:ind w:firstLine="0" w:firstLineChars="0"/>
              <w:rPr>
                <w:rFonts w:hint="eastAsia" w:ascii="宋体" w:hAnsi="宋体" w:cs="宋体"/>
                <w:color w:val="auto"/>
                <w:szCs w:val="21"/>
              </w:rPr>
            </w:pPr>
            <w:r>
              <w:rPr>
                <w:rFonts w:hint="eastAsia" w:ascii="宋体" w:hAnsi="宋体" w:cs="宋体"/>
                <w:color w:val="auto"/>
                <w:szCs w:val="21"/>
              </w:rPr>
              <w:t>履约担保的形式：银行转账或银行保函形式</w:t>
            </w:r>
          </w:p>
          <w:p>
            <w:pPr>
              <w:pStyle w:val="242"/>
              <w:snapToGrid w:val="0"/>
              <w:ind w:firstLine="0" w:firstLineChars="0"/>
              <w:rPr>
                <w:rFonts w:hint="eastAsia" w:ascii="宋体" w:hAnsi="宋体" w:cs="宋体"/>
                <w:color w:val="auto"/>
                <w:szCs w:val="21"/>
                <w:highlight w:val="green"/>
              </w:rPr>
            </w:pPr>
            <w:r>
              <w:rPr>
                <w:rFonts w:hint="eastAsia" w:ascii="宋体" w:hAnsi="宋体" w:cs="宋体"/>
                <w:color w:val="auto"/>
                <w:szCs w:val="21"/>
              </w:rPr>
              <w:t>履约担保的金额：中标合同金额的10%</w:t>
            </w:r>
          </w:p>
          <w:p>
            <w:pPr>
              <w:pStyle w:val="242"/>
              <w:snapToGrid w:val="0"/>
              <w:ind w:firstLine="0" w:firstLineChars="0"/>
              <w:rPr>
                <w:rFonts w:hint="eastAsia" w:ascii="宋体" w:hAnsi="宋体" w:cs="宋体"/>
                <w:color w:val="auto"/>
                <w:szCs w:val="21"/>
              </w:rPr>
            </w:pPr>
            <w:r>
              <w:rPr>
                <w:rFonts w:hint="eastAsia" w:ascii="宋体" w:hAnsi="宋体" w:cs="宋体"/>
                <w:color w:val="auto"/>
                <w:szCs w:val="21"/>
              </w:rPr>
              <w:t>付款时间：签订合同前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2" w:hRule="atLeast"/>
          <w:jc w:val="center"/>
        </w:trPr>
        <w:tc>
          <w:tcPr>
            <w:tcW w:w="1131" w:type="dxa"/>
            <w:vMerge w:val="restart"/>
            <w:vAlign w:val="center"/>
          </w:tcPr>
          <w:p>
            <w:pPr>
              <w:snapToGrid w:val="0"/>
              <w:jc w:val="center"/>
              <w:rPr>
                <w:rFonts w:hint="eastAsia" w:ascii="宋体" w:hAnsi="宋体" w:cs="宋体"/>
                <w:color w:val="auto"/>
                <w:szCs w:val="21"/>
              </w:rPr>
            </w:pP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不良行为记录</w:t>
            </w:r>
          </w:p>
        </w:tc>
        <w:tc>
          <w:tcPr>
            <w:tcW w:w="5835" w:type="dxa"/>
            <w:vAlign w:val="center"/>
          </w:tcPr>
          <w:p>
            <w:pPr>
              <w:pStyle w:val="242"/>
              <w:snapToGrid w:val="0"/>
              <w:ind w:firstLine="0" w:firstLineChars="0"/>
              <w:rPr>
                <w:rFonts w:hint="eastAsia" w:ascii="宋体" w:hAnsi="宋体" w:cs="宋体"/>
                <w:color w:val="auto"/>
                <w:szCs w:val="21"/>
              </w:rPr>
            </w:pPr>
            <w:r>
              <w:rPr>
                <w:rFonts w:hint="eastAsia" w:ascii="宋体" w:hAnsi="宋体" w:cs="宋体"/>
                <w:color w:val="auto"/>
                <w:szCs w:val="21"/>
              </w:rPr>
              <w:t>不良行为记录包括工程质量、安全生产、市场行为等方面的情况。不良行为扣分有效期 180 天，自省厅公布之日起至提交投标文件截止之日止。外省区市公布的不良行为不计分。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4" w:hRule="atLeast"/>
          <w:jc w:val="center"/>
        </w:trPr>
        <w:tc>
          <w:tcPr>
            <w:tcW w:w="1131" w:type="dxa"/>
            <w:vMerge w:val="continue"/>
            <w:vAlign w:val="center"/>
          </w:tcPr>
          <w:p>
            <w:pPr>
              <w:snapToGrid w:val="0"/>
              <w:jc w:val="center"/>
              <w:rPr>
                <w:rFonts w:hint="eastAsia" w:ascii="宋体" w:hAnsi="宋体" w:cs="宋体"/>
                <w:color w:val="auto"/>
                <w:szCs w:val="21"/>
              </w:rPr>
            </w:pP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建设工程交易服务费和招标代理服务费</w:t>
            </w:r>
          </w:p>
        </w:tc>
        <w:tc>
          <w:tcPr>
            <w:tcW w:w="5835" w:type="dxa"/>
            <w:vAlign w:val="center"/>
          </w:tcPr>
          <w:p>
            <w:pPr>
              <w:pStyle w:val="242"/>
              <w:snapToGrid w:val="0"/>
              <w:ind w:firstLine="0" w:firstLineChars="0"/>
              <w:rPr>
                <w:rFonts w:hint="eastAsia" w:ascii="宋体" w:hAnsi="宋体" w:cs="宋体"/>
                <w:color w:val="auto"/>
                <w:szCs w:val="21"/>
              </w:rPr>
            </w:pPr>
            <w:r>
              <w:rPr>
                <w:rFonts w:hint="eastAsia" w:ascii="宋体" w:hAnsi="宋体" w:cs="宋体"/>
                <w:color w:val="auto"/>
                <w:szCs w:val="21"/>
              </w:rPr>
              <w:t>（1）招标人和中标人在中标通知书发出之前，招标人和中标人须向岳阳市公共资源交易中心交纳交易服务费，收费标准按湘发改价服〔2016〕711号文件规定；</w:t>
            </w:r>
          </w:p>
          <w:p>
            <w:pPr>
              <w:pStyle w:val="71"/>
              <w:widowControl w:val="0"/>
              <w:spacing w:line="300" w:lineRule="exact"/>
              <w:rPr>
                <w:rFonts w:hint="eastAsia" w:ascii="宋体" w:hAnsi="宋体" w:cs="宋体"/>
                <w:color w:val="auto"/>
              </w:rPr>
            </w:pPr>
            <w:r>
              <w:rPr>
                <w:rFonts w:hint="eastAsia" w:ascii="宋体" w:hAnsi="宋体" w:cs="宋体"/>
                <w:color w:val="auto"/>
              </w:rPr>
              <w:t>（2）招标代理服务费按照</w:t>
            </w:r>
            <w:r>
              <w:rPr>
                <w:rFonts w:hint="eastAsia" w:ascii="宋体" w:hAnsi="宋体" w:cs="宋体"/>
                <w:color w:val="auto"/>
                <w:lang w:val="en-US" w:eastAsia="zh-CN"/>
              </w:rPr>
              <w:t>计价格【2002】1980号文件收取</w:t>
            </w:r>
            <w:r>
              <w:rPr>
                <w:rFonts w:hint="eastAsia" w:ascii="宋体" w:hAnsi="宋体" w:cs="宋体"/>
                <w:color w:val="auto"/>
              </w:rPr>
              <w:t>；</w:t>
            </w:r>
          </w:p>
          <w:p>
            <w:pPr>
              <w:pStyle w:val="242"/>
              <w:snapToGrid w:val="0"/>
              <w:ind w:firstLine="0" w:firstLineChars="0"/>
              <w:rPr>
                <w:rFonts w:hint="eastAsia" w:ascii="宋体" w:hAnsi="宋体" w:cs="宋体"/>
                <w:color w:val="auto"/>
                <w:szCs w:val="21"/>
              </w:rPr>
            </w:pPr>
            <w:r>
              <w:rPr>
                <w:rFonts w:hint="eastAsia" w:ascii="宋体" w:hAnsi="宋体" w:cs="宋体"/>
                <w:color w:val="auto"/>
                <w:szCs w:val="21"/>
              </w:rPr>
              <w:t>由</w:t>
            </w:r>
            <w:r>
              <w:rPr>
                <w:rFonts w:hint="eastAsia" w:ascii="宋体" w:hAnsi="宋体" w:cs="宋体"/>
                <w:color w:val="auto"/>
                <w:szCs w:val="21"/>
                <w:lang w:val="en-US" w:eastAsia="zh-CN"/>
              </w:rPr>
              <w:t>中</w:t>
            </w:r>
            <w:r>
              <w:rPr>
                <w:rFonts w:hint="eastAsia" w:ascii="宋体" w:hAnsi="宋体" w:cs="宋体"/>
                <w:color w:val="auto"/>
                <w:szCs w:val="21"/>
              </w:rPr>
              <w:t>标人支付。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1131" w:type="dxa"/>
            <w:vMerge w:val="continue"/>
            <w:vAlign w:val="center"/>
          </w:tcPr>
          <w:p>
            <w:pPr>
              <w:snapToGrid w:val="0"/>
              <w:jc w:val="center"/>
              <w:rPr>
                <w:rFonts w:hint="eastAsia" w:ascii="宋体" w:hAnsi="宋体" w:cs="宋体"/>
                <w:color w:val="auto"/>
                <w:szCs w:val="21"/>
              </w:rPr>
            </w:pPr>
          </w:p>
        </w:tc>
        <w:tc>
          <w:tcPr>
            <w:tcW w:w="2165"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其它说明</w:t>
            </w:r>
          </w:p>
        </w:tc>
        <w:tc>
          <w:tcPr>
            <w:tcW w:w="5835" w:type="dxa"/>
            <w:vAlign w:val="center"/>
          </w:tcPr>
          <w:p>
            <w:pPr>
              <w:snapToGrid w:val="0"/>
              <w:rPr>
                <w:rFonts w:hint="eastAsia" w:ascii="宋体" w:hAnsi="宋体" w:cs="宋体"/>
                <w:b/>
                <w:color w:val="auto"/>
                <w:szCs w:val="21"/>
              </w:rPr>
            </w:pPr>
            <w:r>
              <w:rPr>
                <w:rFonts w:hint="eastAsia" w:ascii="宋体" w:hAnsi="宋体" w:cs="宋体"/>
                <w:color w:val="auto"/>
                <w:szCs w:val="21"/>
              </w:rPr>
              <w:t>（1）投标人在投标文件中有隐瞒事实、弄虚作假的行为，或有不按招标文件的要求如实提供有关情况、文件、证明等资料的行为，或有所提供的有关情况、文件、证明等资料与经查实的事实不符的行为，且上述行为对该投标人有利的，按照不合格投标人处理。已入围或被列为中标候选人的，取消其入围资格或中标候选人资格。已中标的，依据有关法律法规规章的规定处理；</w:t>
            </w:r>
          </w:p>
          <w:p>
            <w:pPr>
              <w:snapToGrid w:val="0"/>
              <w:rPr>
                <w:rFonts w:hint="eastAsia" w:ascii="宋体" w:hAnsi="宋体" w:cs="宋体"/>
                <w:color w:val="auto"/>
                <w:szCs w:val="21"/>
              </w:rPr>
            </w:pPr>
            <w:r>
              <w:rPr>
                <w:rFonts w:hint="eastAsia" w:ascii="宋体" w:hAnsi="宋体" w:cs="宋体"/>
                <w:color w:val="auto"/>
                <w:szCs w:val="21"/>
              </w:rPr>
              <w:t>（2）评标以前，投标人及其拟任建造师和及其他</w:t>
            </w:r>
            <w:r>
              <w:rPr>
                <w:rFonts w:hint="eastAsia" w:ascii="宋体" w:hAnsi="宋体" w:cs="宋体"/>
                <w:color w:val="auto"/>
                <w:szCs w:val="21"/>
                <w:lang w:eastAsia="zh-CN"/>
              </w:rPr>
              <w:t>相关</w:t>
            </w:r>
            <w:r>
              <w:rPr>
                <w:rFonts w:hint="eastAsia" w:ascii="宋体" w:hAnsi="宋体" w:cs="宋体"/>
                <w:color w:val="auto"/>
                <w:szCs w:val="21"/>
              </w:rPr>
              <w:t>岗位人员的情况发生变化，致使其达不到合格投标人资格条件的，按照不合格投标人处理；</w:t>
            </w:r>
          </w:p>
          <w:p>
            <w:pPr>
              <w:snapToGrid w:val="0"/>
              <w:rPr>
                <w:rFonts w:hint="eastAsia" w:ascii="宋体" w:hAnsi="宋体" w:cs="宋体"/>
                <w:color w:val="auto"/>
                <w:szCs w:val="21"/>
              </w:rPr>
            </w:pPr>
            <w:r>
              <w:rPr>
                <w:rFonts w:hint="eastAsia" w:ascii="宋体" w:hAnsi="宋体" w:cs="宋体"/>
                <w:color w:val="auto"/>
                <w:szCs w:val="21"/>
              </w:rPr>
              <w:t>（3）中标通知书发出以前，中标候选人及其拟任建造师和技术负责人的情况发生变化，致使其达不到合格投标人资格条件的，取消其中标候选人资格；</w:t>
            </w:r>
          </w:p>
          <w:p>
            <w:pPr>
              <w:snapToGrid w:val="0"/>
              <w:rPr>
                <w:rFonts w:hint="eastAsia" w:ascii="宋体" w:hAnsi="宋体" w:cs="宋体"/>
                <w:color w:val="auto"/>
                <w:szCs w:val="21"/>
              </w:rPr>
            </w:pPr>
            <w:r>
              <w:rPr>
                <w:rFonts w:hint="eastAsia" w:ascii="宋体" w:hAnsi="宋体" w:cs="宋体"/>
                <w:color w:val="auto"/>
                <w:szCs w:val="21"/>
              </w:rPr>
              <w:t>（4）本项目的原初步设计单位可以参与本项目施工总承包的投标，在购买招标文件的同时，应将与该招标工程相关的图纸及技术资料（含电子文件）等提交招标人发布，供所有投标人参考，否则不能参与本项目的投标或投标无效。</w:t>
            </w:r>
          </w:p>
          <w:p>
            <w:pPr>
              <w:snapToGrid w:val="0"/>
              <w:rPr>
                <w:rFonts w:hint="eastAsia" w:ascii="宋体" w:hAnsi="宋体" w:cs="宋体"/>
                <w:color w:val="auto"/>
                <w:szCs w:val="21"/>
              </w:rPr>
            </w:pPr>
            <w:r>
              <w:rPr>
                <w:rFonts w:hint="eastAsia" w:ascii="宋体" w:hAnsi="宋体" w:cs="宋体"/>
                <w:color w:val="auto"/>
                <w:szCs w:val="21"/>
              </w:rPr>
              <w:t>（5）拟任本次招标项目施工项目部相关岗位人员数量不得低于湘建建〔2015〕57号文件规定的最低配备标准，即至少项目负责人（即项目总负责人）1人、施工技术负责人1人、施工员1人、安全员1人、质量员1人，施工员、质量员需具有岗位资格证，安全员须具有岗位资格证和C类安全生产考核合格证；项目部相关岗位人员不得同时在其他在建工程项目中任职，不接受投标人的法定代表人和总经理作为本项目的</w:t>
            </w:r>
            <w:r>
              <w:rPr>
                <w:rFonts w:hint="eastAsia" w:ascii="宋体" w:hAnsi="宋体" w:cs="宋体"/>
                <w:color w:val="auto"/>
                <w:szCs w:val="21"/>
                <w:lang w:eastAsia="zh-CN"/>
              </w:rPr>
              <w:t>相关</w:t>
            </w:r>
            <w:r>
              <w:rPr>
                <w:rFonts w:hint="eastAsia" w:ascii="宋体" w:hAnsi="宋体" w:cs="宋体"/>
                <w:color w:val="auto"/>
                <w:szCs w:val="21"/>
              </w:rPr>
              <w:t>岗位人员；</w:t>
            </w:r>
          </w:p>
          <w:p>
            <w:pPr>
              <w:snapToGrid w:val="0"/>
              <w:rPr>
                <w:rFonts w:hint="eastAsia"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lang w:val="en-US" w:eastAsia="zh-CN"/>
              </w:rPr>
              <w:t>6</w:t>
            </w:r>
            <w:r>
              <w:rPr>
                <w:rFonts w:hint="eastAsia" w:ascii="宋体" w:hAnsi="宋体" w:cs="宋体"/>
                <w:color w:val="auto"/>
                <w:szCs w:val="21"/>
                <w:lang w:eastAsia="zh-CN"/>
              </w:rPr>
              <w:t>）</w:t>
            </w:r>
            <w:r>
              <w:rPr>
                <w:rFonts w:hint="eastAsia" w:ascii="宋体" w:hAnsi="宋体" w:cs="宋体"/>
                <w:color w:val="auto"/>
                <w:szCs w:val="21"/>
              </w:rPr>
              <w:t>招标文件中所设置的内容、条款及未尽事宜，均以国家、省市或建设行政主管部门颁发的招投标有关规定为准。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1131" w:type="dxa"/>
            <w:vAlign w:val="center"/>
          </w:tcPr>
          <w:p>
            <w:pPr>
              <w:snapToGrid w:val="0"/>
              <w:jc w:val="center"/>
              <w:rPr>
                <w:rFonts w:hint="eastAsia" w:ascii="宋体" w:hAnsi="宋体" w:cs="宋体"/>
                <w:color w:val="auto"/>
                <w:szCs w:val="21"/>
              </w:rPr>
            </w:pPr>
            <w:r>
              <w:rPr>
                <w:rFonts w:hint="eastAsia" w:ascii="宋体" w:hAnsi="宋体" w:cs="宋体"/>
                <w:color w:val="auto"/>
                <w:szCs w:val="21"/>
              </w:rPr>
              <w:t>8</w:t>
            </w:r>
          </w:p>
        </w:tc>
        <w:tc>
          <w:tcPr>
            <w:tcW w:w="2165" w:type="dxa"/>
            <w:vAlign w:val="center"/>
          </w:tcPr>
          <w:p>
            <w:pPr>
              <w:widowControl/>
              <w:snapToGrid w:val="0"/>
              <w:jc w:val="center"/>
              <w:rPr>
                <w:rFonts w:hint="eastAsia" w:ascii="宋体" w:hAnsi="宋体" w:cs="宋体"/>
                <w:color w:val="auto"/>
                <w:szCs w:val="21"/>
              </w:rPr>
            </w:pPr>
            <w:r>
              <w:rPr>
                <w:color w:val="auto"/>
                <w:szCs w:val="21"/>
              </w:rPr>
              <w:t>解释权</w:t>
            </w:r>
          </w:p>
        </w:tc>
        <w:tc>
          <w:tcPr>
            <w:tcW w:w="5835" w:type="dxa"/>
            <w:vAlign w:val="center"/>
          </w:tcPr>
          <w:p>
            <w:pPr>
              <w:widowControl/>
              <w:snapToGrid w:val="0"/>
              <w:jc w:val="left"/>
              <w:rPr>
                <w:rFonts w:hint="eastAsia" w:ascii="宋体" w:hAnsi="宋体" w:cs="宋体"/>
                <w:color w:val="auto"/>
                <w:szCs w:val="21"/>
              </w:rPr>
            </w:pPr>
            <w:r>
              <w:rPr>
                <w:color w:val="auto"/>
                <w:szCs w:val="21"/>
              </w:rPr>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bl>
    <w:p>
      <w:pPr>
        <w:rPr>
          <w:rFonts w:hint="eastAsia" w:ascii="宋体" w:hAnsi="宋体" w:cs="宋体"/>
          <w:color w:val="auto"/>
        </w:rPr>
      </w:pPr>
      <w:bookmarkStart w:id="36" w:name="_Toc247527553"/>
      <w:bookmarkStart w:id="37" w:name="_Toc152045529"/>
      <w:bookmarkStart w:id="38" w:name="_Toc152042305"/>
      <w:bookmarkStart w:id="39" w:name="_Toc144974497"/>
      <w:bookmarkStart w:id="40" w:name="_Toc247513952"/>
    </w:p>
    <w:p>
      <w:pPr>
        <w:rPr>
          <w:rFonts w:hint="eastAsia" w:ascii="宋体" w:hAnsi="宋体" w:cs="宋体"/>
          <w:color w:val="auto"/>
        </w:rPr>
      </w:pPr>
    </w:p>
    <w:p>
      <w:pPr>
        <w:pStyle w:val="7"/>
        <w:spacing w:before="120" w:beforeLines="50" w:line="360" w:lineRule="exact"/>
        <w:rPr>
          <w:rFonts w:hint="eastAsia" w:ascii="宋体" w:eastAsia="宋体" w:cs="宋体"/>
          <w:color w:val="auto"/>
        </w:rPr>
      </w:pPr>
      <w:bookmarkStart w:id="41" w:name="_Toc499738030"/>
      <w:r>
        <w:rPr>
          <w:rFonts w:hint="eastAsia" w:ascii="宋体" w:eastAsia="宋体" w:cs="宋体"/>
          <w:color w:val="auto"/>
        </w:rPr>
        <w:t>1. 总则</w:t>
      </w:r>
      <w:bookmarkEnd w:id="36"/>
      <w:bookmarkEnd w:id="37"/>
      <w:bookmarkEnd w:id="38"/>
      <w:bookmarkEnd w:id="39"/>
      <w:bookmarkEnd w:id="40"/>
      <w:bookmarkEnd w:id="41"/>
    </w:p>
    <w:p>
      <w:pPr>
        <w:pStyle w:val="7"/>
        <w:spacing w:before="120" w:beforeLines="50" w:line="360" w:lineRule="exact"/>
        <w:rPr>
          <w:rFonts w:hint="eastAsia" w:ascii="宋体" w:eastAsia="宋体" w:cs="宋体"/>
          <w:color w:val="auto"/>
        </w:rPr>
      </w:pPr>
      <w:bookmarkStart w:id="42" w:name="_Toc144974498"/>
      <w:bookmarkStart w:id="43" w:name="_Toc152045530"/>
      <w:bookmarkStart w:id="44" w:name="_Toc247527554"/>
      <w:bookmarkStart w:id="45" w:name="_Toc247513953"/>
      <w:bookmarkStart w:id="46" w:name="_Toc499738031"/>
      <w:bookmarkStart w:id="47" w:name="_Toc152042306"/>
      <w:r>
        <w:rPr>
          <w:rFonts w:hint="eastAsia" w:ascii="宋体" w:eastAsia="宋体" w:cs="宋体"/>
          <w:color w:val="auto"/>
        </w:rPr>
        <w:t>1.1 项目概况</w:t>
      </w:r>
      <w:bookmarkEnd w:id="42"/>
      <w:bookmarkEnd w:id="43"/>
      <w:bookmarkEnd w:id="44"/>
      <w:bookmarkEnd w:id="45"/>
      <w:bookmarkEnd w:id="46"/>
      <w:bookmarkEnd w:id="47"/>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1.1.1根据《中华人民共和国招标投标法》等有关法律、法规和规章的规定，本招标项目已具备招标条件，现对该项目设计施工工程总承包招标。</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1.1.2 招标人：见投标人须知前附表。</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1.1.3 招标代理机构：见投标人须知前附表。</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1.1.4 招标项目名称：见投标人须知前附表。</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1.1.5 项目建设地点：见投标人须知前附表。</w:t>
      </w:r>
    </w:p>
    <w:p>
      <w:pPr>
        <w:pStyle w:val="7"/>
        <w:spacing w:before="120" w:beforeLines="50" w:line="360" w:lineRule="exact"/>
        <w:rPr>
          <w:rFonts w:hint="eastAsia" w:ascii="宋体" w:eastAsia="宋体" w:cs="宋体"/>
          <w:color w:val="auto"/>
        </w:rPr>
      </w:pPr>
      <w:bookmarkStart w:id="48" w:name="_Toc499738032"/>
      <w:bookmarkStart w:id="49" w:name="_Toc144974499"/>
      <w:bookmarkStart w:id="50" w:name="_Toc247513954"/>
      <w:bookmarkStart w:id="51" w:name="_Toc152042307"/>
      <w:bookmarkStart w:id="52" w:name="_Toc152045531"/>
      <w:bookmarkStart w:id="53" w:name="_Toc247527555"/>
      <w:r>
        <w:rPr>
          <w:rFonts w:hint="eastAsia" w:ascii="宋体" w:eastAsia="宋体" w:cs="宋体"/>
          <w:color w:val="auto"/>
        </w:rPr>
        <w:t>1.2 项目的资金来源和落实情况</w:t>
      </w:r>
      <w:bookmarkEnd w:id="48"/>
      <w:bookmarkEnd w:id="49"/>
      <w:bookmarkEnd w:id="50"/>
      <w:bookmarkEnd w:id="51"/>
      <w:bookmarkEnd w:id="52"/>
      <w:bookmarkEnd w:id="53"/>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1.2.1 资金来源及比例：见投标人须知前附表。</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1.2.2 资金落实情况：见投标人须知前附表。</w:t>
      </w:r>
    </w:p>
    <w:p>
      <w:pPr>
        <w:pStyle w:val="7"/>
        <w:spacing w:before="120" w:beforeLines="50" w:line="360" w:lineRule="exact"/>
        <w:rPr>
          <w:rFonts w:hint="eastAsia" w:ascii="宋体" w:eastAsia="宋体" w:cs="宋体"/>
          <w:color w:val="auto"/>
        </w:rPr>
      </w:pPr>
      <w:bookmarkStart w:id="54" w:name="_Toc152045532"/>
      <w:bookmarkStart w:id="55" w:name="_Toc247527556"/>
      <w:bookmarkStart w:id="56" w:name="_Toc144974500"/>
      <w:bookmarkStart w:id="57" w:name="_Toc247513955"/>
      <w:bookmarkStart w:id="58" w:name="_Toc152042308"/>
      <w:bookmarkStart w:id="59" w:name="_Toc499738033"/>
      <w:r>
        <w:rPr>
          <w:rFonts w:hint="eastAsia" w:ascii="宋体" w:eastAsia="宋体" w:cs="宋体"/>
          <w:color w:val="auto"/>
        </w:rPr>
        <w:t>1.3 招标范围、计划工期和</w:t>
      </w:r>
      <w:bookmarkEnd w:id="54"/>
      <w:bookmarkEnd w:id="55"/>
      <w:bookmarkEnd w:id="56"/>
      <w:bookmarkEnd w:id="57"/>
      <w:bookmarkEnd w:id="58"/>
      <w:r>
        <w:rPr>
          <w:rFonts w:hint="eastAsia" w:ascii="宋体" w:eastAsia="宋体" w:cs="宋体"/>
          <w:color w:val="auto"/>
        </w:rPr>
        <w:t>质量标准</w:t>
      </w:r>
      <w:bookmarkEnd w:id="59"/>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1.3.1 招标范围：见投标人须知前附表。</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1.3.2 计划工期：见投标人须知前附表。</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1.3.3 质量标准：见投标人须知前附表。</w:t>
      </w:r>
    </w:p>
    <w:p>
      <w:pPr>
        <w:pStyle w:val="7"/>
        <w:spacing w:before="120" w:beforeLines="50" w:line="360" w:lineRule="exact"/>
        <w:rPr>
          <w:rFonts w:hint="eastAsia" w:ascii="宋体" w:eastAsia="宋体" w:cs="宋体"/>
          <w:color w:val="auto"/>
        </w:rPr>
      </w:pPr>
      <w:bookmarkStart w:id="60" w:name="_Toc247513957"/>
      <w:bookmarkStart w:id="61" w:name="_Toc247527558"/>
      <w:bookmarkStart w:id="62" w:name="_Toc152042310"/>
      <w:bookmarkStart w:id="63" w:name="_Toc499738034"/>
      <w:bookmarkStart w:id="64" w:name="_Toc144974502"/>
      <w:bookmarkStart w:id="65" w:name="_Toc152045534"/>
      <w:r>
        <w:rPr>
          <w:rFonts w:hint="eastAsia" w:ascii="宋体" w:eastAsia="宋体" w:cs="宋体"/>
          <w:color w:val="auto"/>
        </w:rPr>
        <w:t>1.4 投标人资格要求</w:t>
      </w:r>
      <w:bookmarkEnd w:id="60"/>
      <w:bookmarkEnd w:id="61"/>
      <w:bookmarkEnd w:id="62"/>
      <w:bookmarkEnd w:id="63"/>
      <w:bookmarkEnd w:id="64"/>
      <w:bookmarkEnd w:id="65"/>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1.4.1 投标人应具备承担本招标项目资质条件、能力和信誉。</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（1）资质要求：见投标人须知前附表；</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（2）财务要求：见投标人须知前附表；</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（3）业绩要求：见投标人须知前附表；</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（4）信誉要求：见投标人须知前附表；</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（5）项目经理的资格要求：具体要求见投标人须知前附表；</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（6）设计负责人的资格要求：具体要求见投标人须知前附表；</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（7）施工负责人的资格要求：具体要求见投标人须知前附表；</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（8）项目管理机构及人员：见投标人须知前附表；</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（9）其他要求：见投标人须知前附表。</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 xml:space="preserve">1.4.2 投标人须知前附表规定接受联合体投标的，除应符合本章第1.4.1项和投标人须知前附表的要求外，还应遵守以下规定： </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（1）联合体各方应按招标文件提供的格式签订联合体协议书，明确联合体牵头人和各方权利义务；</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（2）由同一专业的单位组成的联合体，按照资质等级较低的单位确定资质等级；</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（3）联合体各方不得再以自己名义单独或参加其他联合体在本招标项目中投标。</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1.4.3 投标人不得存在下列情形之一：</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 xml:space="preserve">（1）为招标人不具有独立法人资格的附属机构（单位）； </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（2）为招标项目前期工作提供咨询服务的；</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（3）为本招标项目的监理人；</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 xml:space="preserve">（4）为本招标项目的代建人； </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 xml:space="preserve">（5）为本招标项目提供招标代理服务的； </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 xml:space="preserve">（6）被责令停业的； </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 xml:space="preserve">（7）被暂停或取消投标资格的； </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（8）财产被接管或冻结的；</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（9）在最近三年内有骗取中标或严重违约或重大工程质量问题的；</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（10）与本招标项目的监理人或代建人或招标代理机构同为一个法定代表人的；</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（11）与本招标项目的监理人或代建人或招标代理机构相互控股或参股的；</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（12）与本招标项目的监理人或代建人或招标代理机构相互任职或工作的。</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1.4.4 单位负责人为同一人或者存在控股、管理关系的不同单位，不得同时参加本招标项目投标。</w:t>
      </w:r>
    </w:p>
    <w:p>
      <w:pPr>
        <w:pStyle w:val="7"/>
        <w:spacing w:before="120" w:beforeLines="50" w:line="360" w:lineRule="exact"/>
        <w:rPr>
          <w:rFonts w:hint="eastAsia" w:ascii="宋体" w:eastAsia="宋体" w:cs="宋体"/>
          <w:color w:val="auto"/>
        </w:rPr>
      </w:pPr>
      <w:bookmarkStart w:id="66" w:name="_Toc144974503"/>
      <w:bookmarkStart w:id="67" w:name="_Toc247527559"/>
      <w:bookmarkStart w:id="68" w:name="_Toc152045535"/>
      <w:bookmarkStart w:id="69" w:name="_Toc152042311"/>
      <w:bookmarkStart w:id="70" w:name="_Toc247513958"/>
      <w:bookmarkStart w:id="71" w:name="_Toc499738035"/>
      <w:bookmarkStart w:id="72" w:name="_Toc247527560"/>
      <w:bookmarkStart w:id="73" w:name="_Toc144974504"/>
      <w:bookmarkStart w:id="74" w:name="_Toc152042312"/>
      <w:bookmarkStart w:id="75" w:name="_Toc247513959"/>
      <w:bookmarkStart w:id="76" w:name="_Toc152045536"/>
      <w:r>
        <w:rPr>
          <w:rFonts w:hint="eastAsia" w:ascii="宋体" w:eastAsia="宋体" w:cs="宋体"/>
          <w:color w:val="auto"/>
        </w:rPr>
        <w:t>1.5 费用承担</w:t>
      </w:r>
      <w:bookmarkEnd w:id="66"/>
      <w:bookmarkEnd w:id="67"/>
      <w:bookmarkEnd w:id="68"/>
      <w:bookmarkEnd w:id="69"/>
      <w:bookmarkEnd w:id="70"/>
      <w:r>
        <w:rPr>
          <w:rFonts w:hint="eastAsia" w:ascii="宋体" w:eastAsia="宋体" w:cs="宋体"/>
          <w:color w:val="auto"/>
        </w:rPr>
        <w:t>和设计成果补偿</w:t>
      </w:r>
      <w:bookmarkEnd w:id="71"/>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1.5.1 投标人准备和参加投标活动发生的费用自理。</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1.5.2 招标人对符合招标文件规定的未中标人的设计成果进行补偿的，按投标人须知前附表规定给予补偿，并有权免费使用未中标人设计成果。本次招标项目对设计成果不补偿。</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①原则上评标委员推荐评选结果综合排名第一的投标人为中标人，对其他投标人方案不进行补偿。</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②排名第一的中标候选人一旦签定了承包服务合同，其进行施工图设计及施工全过程中的技术服务，招标人对此不再另行支付费用。若排名第一的中标候选人放弃与招标人签订服务承包合同，招标人将酌情确定是否重新招标或者依次确定排名第二的中标候选人为中标人，依此类推。</w:t>
      </w:r>
    </w:p>
    <w:p>
      <w:pPr>
        <w:pStyle w:val="7"/>
        <w:spacing w:before="120" w:beforeLines="50" w:line="360" w:lineRule="exact"/>
        <w:rPr>
          <w:rFonts w:hint="eastAsia" w:ascii="宋体" w:eastAsia="宋体" w:cs="宋体"/>
          <w:color w:val="auto"/>
        </w:rPr>
      </w:pPr>
      <w:bookmarkStart w:id="77" w:name="_Toc499738036"/>
      <w:r>
        <w:rPr>
          <w:rFonts w:hint="eastAsia" w:ascii="宋体" w:eastAsia="宋体" w:cs="宋体"/>
          <w:color w:val="auto"/>
        </w:rPr>
        <w:t>1.6 保密</w:t>
      </w:r>
      <w:bookmarkEnd w:id="72"/>
      <w:bookmarkEnd w:id="73"/>
      <w:bookmarkEnd w:id="74"/>
      <w:bookmarkEnd w:id="75"/>
      <w:bookmarkEnd w:id="76"/>
      <w:bookmarkEnd w:id="77"/>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 xml:space="preserve">参与招标投标活动的各方应对招标文件和投标文件中的商业和技术等秘密保密，否则应承担相应的法律责任。 </w:t>
      </w:r>
    </w:p>
    <w:p>
      <w:pPr>
        <w:pStyle w:val="7"/>
        <w:spacing w:before="120" w:beforeLines="50" w:line="360" w:lineRule="exact"/>
        <w:rPr>
          <w:rFonts w:hint="eastAsia" w:ascii="宋体" w:eastAsia="宋体" w:cs="宋体"/>
          <w:color w:val="auto"/>
        </w:rPr>
      </w:pPr>
      <w:bookmarkStart w:id="78" w:name="_Toc144974505"/>
      <w:bookmarkStart w:id="79" w:name="_Toc247513960"/>
      <w:bookmarkStart w:id="80" w:name="_Toc499738037"/>
      <w:bookmarkStart w:id="81" w:name="_Toc247527561"/>
      <w:bookmarkStart w:id="82" w:name="_Toc152045537"/>
      <w:bookmarkStart w:id="83" w:name="_Toc152042313"/>
      <w:r>
        <w:rPr>
          <w:rFonts w:hint="eastAsia" w:ascii="宋体" w:eastAsia="宋体" w:cs="宋体"/>
          <w:color w:val="auto"/>
        </w:rPr>
        <w:t>1.7 语言</w:t>
      </w:r>
      <w:bookmarkEnd w:id="78"/>
      <w:r>
        <w:rPr>
          <w:rFonts w:hint="eastAsia" w:ascii="宋体" w:eastAsia="宋体" w:cs="宋体"/>
          <w:color w:val="auto"/>
        </w:rPr>
        <w:t>文字</w:t>
      </w:r>
      <w:bookmarkEnd w:id="79"/>
      <w:bookmarkEnd w:id="80"/>
      <w:bookmarkEnd w:id="81"/>
      <w:bookmarkEnd w:id="82"/>
      <w:bookmarkEnd w:id="83"/>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招标投标文件使用的语言文字为中文。专用术语使用外文的，应附有中文注释。</w:t>
      </w:r>
    </w:p>
    <w:p>
      <w:pPr>
        <w:pStyle w:val="7"/>
        <w:spacing w:before="120" w:beforeLines="50" w:line="360" w:lineRule="exact"/>
        <w:rPr>
          <w:rFonts w:hint="eastAsia" w:ascii="宋体" w:eastAsia="宋体" w:cs="宋体"/>
          <w:color w:val="auto"/>
        </w:rPr>
      </w:pPr>
      <w:bookmarkStart w:id="84" w:name="_Toc247513961"/>
      <w:bookmarkStart w:id="85" w:name="_Toc152042314"/>
      <w:bookmarkStart w:id="86" w:name="_Toc144974506"/>
      <w:bookmarkStart w:id="87" w:name="_Toc247527562"/>
      <w:bookmarkStart w:id="88" w:name="_Toc152045538"/>
      <w:bookmarkStart w:id="89" w:name="_Toc499738038"/>
      <w:r>
        <w:rPr>
          <w:rFonts w:hint="eastAsia" w:ascii="宋体" w:eastAsia="宋体" w:cs="宋体"/>
          <w:color w:val="auto"/>
        </w:rPr>
        <w:t>1.8 计量单位</w:t>
      </w:r>
      <w:bookmarkEnd w:id="84"/>
      <w:bookmarkEnd w:id="85"/>
      <w:bookmarkEnd w:id="86"/>
      <w:bookmarkEnd w:id="87"/>
      <w:bookmarkEnd w:id="88"/>
      <w:bookmarkEnd w:id="89"/>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所有计量均采用中华人民共和国法定计量单位。</w:t>
      </w:r>
    </w:p>
    <w:p>
      <w:pPr>
        <w:pStyle w:val="7"/>
        <w:spacing w:before="120" w:beforeLines="50" w:line="360" w:lineRule="exact"/>
        <w:rPr>
          <w:rFonts w:hint="eastAsia" w:ascii="宋体" w:eastAsia="宋体" w:cs="宋体"/>
          <w:color w:val="auto"/>
        </w:rPr>
      </w:pPr>
      <w:bookmarkStart w:id="90" w:name="_Toc152045539"/>
      <w:bookmarkStart w:id="91" w:name="_Toc247513962"/>
      <w:bookmarkStart w:id="92" w:name="_Toc152042315"/>
      <w:bookmarkStart w:id="93" w:name="_Toc247527563"/>
      <w:bookmarkStart w:id="94" w:name="_Toc499738039"/>
      <w:bookmarkStart w:id="95" w:name="_Toc144974507"/>
      <w:r>
        <w:rPr>
          <w:rFonts w:hint="eastAsia" w:ascii="宋体" w:eastAsia="宋体" w:cs="宋体"/>
          <w:color w:val="auto"/>
        </w:rPr>
        <w:t>1.9 踏勘现场</w:t>
      </w:r>
      <w:bookmarkEnd w:id="90"/>
      <w:bookmarkEnd w:id="91"/>
      <w:bookmarkEnd w:id="92"/>
      <w:bookmarkEnd w:id="93"/>
      <w:bookmarkEnd w:id="94"/>
      <w:bookmarkEnd w:id="95"/>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 xml:space="preserve">1.9.1 投标人须知前附表规定组织踏勘现场的，招标人按投标人须知前附表规定的时间、地点组织投标人踏勘项目现场。 </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1.9.2 投标人踏勘现场发生的费用自理。</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1.9.3 除招标人的原因外，投标人自行负责在踏勘现场中所发生的人员伤亡和财产损失。</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1.9.4 招标人在踏勘现场中介绍的工程场地和相关的周边环境情况，供投标人在编制投标文件时参考，招标人不对投标人据此作出的判断和决策负责。</w:t>
      </w:r>
    </w:p>
    <w:p>
      <w:pPr>
        <w:pStyle w:val="7"/>
        <w:spacing w:before="120" w:beforeLines="50" w:line="360" w:lineRule="exact"/>
        <w:rPr>
          <w:rFonts w:hint="eastAsia" w:ascii="宋体" w:eastAsia="宋体" w:cs="宋体"/>
          <w:color w:val="auto"/>
        </w:rPr>
      </w:pPr>
      <w:bookmarkStart w:id="96" w:name="_Toc152045540"/>
      <w:bookmarkStart w:id="97" w:name="_Toc499738040"/>
      <w:bookmarkStart w:id="98" w:name="_Toc247513963"/>
      <w:bookmarkStart w:id="99" w:name="_Toc247527564"/>
      <w:bookmarkStart w:id="100" w:name="_Toc144974508"/>
      <w:bookmarkStart w:id="101" w:name="_Toc152042316"/>
      <w:r>
        <w:rPr>
          <w:rFonts w:hint="eastAsia" w:ascii="宋体" w:eastAsia="宋体" w:cs="宋体"/>
          <w:color w:val="auto"/>
        </w:rPr>
        <w:t>1.10 投标预备会</w:t>
      </w:r>
      <w:bookmarkEnd w:id="96"/>
      <w:bookmarkEnd w:id="97"/>
      <w:bookmarkEnd w:id="98"/>
      <w:bookmarkEnd w:id="99"/>
      <w:bookmarkEnd w:id="100"/>
      <w:bookmarkEnd w:id="101"/>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1.10.1 投标人须知前附表规定召开投标预备会的，招标人按投标人须知前附表规定的时间和地点召开投标预备会，澄清投标人提出的问题。</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1.10.2 投标人应在投标人须知前附表规定的时间前，以书面形式将提出的问题送达招标人，以便招标人在会议期间澄清。</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1.10.3 投标预备会后，招标人在投标人须知前附表规定的时间内，将对投标人所提问题的澄清，以书面形式通知所有购买招标文件的投标人。该澄清内容为招标文件的组成部分。</w:t>
      </w:r>
    </w:p>
    <w:p>
      <w:pPr>
        <w:pStyle w:val="7"/>
        <w:spacing w:before="120" w:beforeLines="50" w:line="360" w:lineRule="exact"/>
        <w:rPr>
          <w:rFonts w:hint="eastAsia" w:ascii="宋体" w:eastAsia="宋体" w:cs="宋体"/>
          <w:color w:val="auto"/>
        </w:rPr>
      </w:pPr>
      <w:bookmarkStart w:id="102" w:name="_Toc247527565"/>
      <w:bookmarkStart w:id="103" w:name="_Toc247513964"/>
      <w:bookmarkStart w:id="104" w:name="_Toc499738041"/>
      <w:bookmarkStart w:id="105" w:name="_Toc152045541"/>
      <w:bookmarkStart w:id="106" w:name="_Toc144974509"/>
      <w:bookmarkStart w:id="107" w:name="_Toc152042317"/>
      <w:r>
        <w:rPr>
          <w:rFonts w:hint="eastAsia" w:ascii="宋体" w:eastAsia="宋体" w:cs="宋体"/>
          <w:color w:val="auto"/>
        </w:rPr>
        <w:t>1.11 分包</w:t>
      </w:r>
      <w:bookmarkEnd w:id="102"/>
      <w:bookmarkEnd w:id="103"/>
      <w:bookmarkEnd w:id="104"/>
      <w:bookmarkEnd w:id="105"/>
      <w:bookmarkEnd w:id="106"/>
      <w:bookmarkEnd w:id="107"/>
    </w:p>
    <w:p>
      <w:pPr>
        <w:spacing w:before="120" w:beforeLines="50" w:line="360" w:lineRule="exact"/>
        <w:ind w:firstLine="567" w:firstLineChars="270"/>
        <w:rPr>
          <w:rFonts w:hint="eastAsia" w:ascii="宋体" w:hAnsi="宋体" w:cs="宋体"/>
          <w:color w:val="auto"/>
        </w:rPr>
      </w:pPr>
      <w:r>
        <w:rPr>
          <w:rFonts w:hint="eastAsia" w:ascii="宋体" w:hAnsi="宋体" w:cs="宋体"/>
          <w:color w:val="auto"/>
        </w:rPr>
        <w:t>1.11.1 投标人须知前附表规定应当由分包人实施的非主体、非关键性工作，投标人应当按照第五章“发包人要求”的规定提供分包人侯选名单及其相应资料。</w:t>
      </w:r>
    </w:p>
    <w:p>
      <w:pPr>
        <w:spacing w:before="120" w:beforeLines="50" w:line="360" w:lineRule="exact"/>
        <w:ind w:firstLine="567" w:firstLineChars="270"/>
        <w:rPr>
          <w:rFonts w:hint="eastAsia" w:ascii="宋体" w:hAnsi="宋体" w:cs="宋体"/>
          <w:color w:val="auto"/>
        </w:rPr>
      </w:pPr>
      <w:r>
        <w:rPr>
          <w:rFonts w:hint="eastAsia" w:ascii="宋体" w:hAnsi="宋体" w:cs="宋体"/>
          <w:color w:val="auto"/>
        </w:rPr>
        <w:t>1.11.2 投标人拟在中标后将中标项目的部分非主体、非关键性工作进行分包的，应符合投标人须知前附表规定的分包内容、分包金额和资质要求等限制性条件。</w:t>
      </w:r>
    </w:p>
    <w:p>
      <w:pPr>
        <w:pStyle w:val="7"/>
        <w:spacing w:before="120" w:beforeLines="50" w:line="360" w:lineRule="exact"/>
        <w:rPr>
          <w:rFonts w:hint="eastAsia" w:ascii="宋体" w:eastAsia="宋体" w:cs="宋体"/>
          <w:color w:val="auto"/>
        </w:rPr>
      </w:pPr>
      <w:bookmarkStart w:id="108" w:name="_Toc499738042"/>
      <w:bookmarkStart w:id="109" w:name="_Toc247513965"/>
      <w:bookmarkStart w:id="110" w:name="_Toc247527566"/>
      <w:r>
        <w:rPr>
          <w:rFonts w:hint="eastAsia" w:ascii="宋体" w:eastAsia="宋体" w:cs="宋体"/>
          <w:color w:val="auto"/>
        </w:rPr>
        <w:t>1.12 偏离</w:t>
      </w:r>
      <w:bookmarkEnd w:id="108"/>
      <w:bookmarkEnd w:id="109"/>
      <w:bookmarkEnd w:id="110"/>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投标人须知前附表允许投标文件偏离招标文件某些要求的，偏离应当符合招标文件规定的偏离范围和幅度。</w:t>
      </w:r>
    </w:p>
    <w:p>
      <w:pPr>
        <w:pStyle w:val="6"/>
        <w:spacing w:before="120" w:beforeLines="50" w:line="360" w:lineRule="exact"/>
        <w:rPr>
          <w:rFonts w:hint="eastAsia" w:ascii="宋体" w:hAnsi="宋体" w:eastAsia="宋体" w:cs="宋体"/>
          <w:color w:val="auto"/>
        </w:rPr>
      </w:pPr>
      <w:bookmarkStart w:id="111" w:name="_Toc247527567"/>
      <w:bookmarkStart w:id="112" w:name="_Toc144974510"/>
      <w:bookmarkStart w:id="113" w:name="_Toc152045542"/>
      <w:bookmarkStart w:id="114" w:name="_Toc152042318"/>
      <w:bookmarkStart w:id="115" w:name="_Toc499738043"/>
      <w:bookmarkStart w:id="116" w:name="_Toc247513966"/>
      <w:r>
        <w:rPr>
          <w:rFonts w:hint="eastAsia" w:ascii="宋体" w:hAnsi="宋体" w:eastAsia="宋体" w:cs="宋体"/>
          <w:color w:val="auto"/>
        </w:rPr>
        <w:t>2. 招标文件</w:t>
      </w:r>
      <w:bookmarkEnd w:id="111"/>
      <w:bookmarkEnd w:id="112"/>
      <w:bookmarkEnd w:id="113"/>
      <w:bookmarkEnd w:id="114"/>
      <w:bookmarkEnd w:id="115"/>
      <w:bookmarkEnd w:id="116"/>
    </w:p>
    <w:p>
      <w:pPr>
        <w:pStyle w:val="7"/>
        <w:spacing w:before="120" w:beforeLines="50" w:line="360" w:lineRule="exact"/>
        <w:rPr>
          <w:rFonts w:hint="eastAsia" w:ascii="宋体" w:eastAsia="宋体" w:cs="宋体"/>
          <w:color w:val="auto"/>
        </w:rPr>
      </w:pPr>
      <w:bookmarkStart w:id="117" w:name="_Toc247527568"/>
      <w:bookmarkStart w:id="118" w:name="_Toc247513967"/>
      <w:bookmarkStart w:id="119" w:name="_Toc152042319"/>
      <w:bookmarkStart w:id="120" w:name="_Toc499738044"/>
      <w:bookmarkStart w:id="121" w:name="_Toc144974511"/>
      <w:bookmarkStart w:id="122" w:name="_Toc152045543"/>
      <w:r>
        <w:rPr>
          <w:rFonts w:hint="eastAsia" w:ascii="宋体" w:eastAsia="宋体" w:cs="宋体"/>
          <w:color w:val="auto"/>
        </w:rPr>
        <w:t>2.1 招标文件的组成</w:t>
      </w:r>
      <w:bookmarkEnd w:id="117"/>
      <w:bookmarkEnd w:id="118"/>
      <w:bookmarkEnd w:id="119"/>
      <w:bookmarkEnd w:id="120"/>
      <w:bookmarkEnd w:id="121"/>
      <w:bookmarkEnd w:id="122"/>
    </w:p>
    <w:p>
      <w:pPr>
        <w:spacing w:before="120" w:beforeLines="50" w:line="360" w:lineRule="exact"/>
        <w:rPr>
          <w:rFonts w:hint="eastAsia" w:ascii="宋体" w:hAnsi="宋体" w:cs="宋体"/>
          <w:color w:val="auto"/>
        </w:rPr>
      </w:pPr>
      <w:r>
        <w:rPr>
          <w:rFonts w:hint="eastAsia" w:ascii="宋体" w:hAnsi="宋体" w:cs="宋体"/>
          <w:color w:val="auto"/>
        </w:rPr>
        <w:t>　　本招标文件包括：</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（1）招标公告；</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（2）投标人须知；</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（3）评标办法；</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（4）合同条款及格式；</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（5）发包人要求；</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（6）发包人提供的资料和条件；</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（7）投标文件格式；</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（8）投标人须知前附表规定的其他资料。</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根据本章第1.10款、第2.2款和第2.3款对招标文件所作的澄清、修改，构成招标文件的组成部分。</w:t>
      </w:r>
    </w:p>
    <w:p>
      <w:pPr>
        <w:pStyle w:val="7"/>
        <w:spacing w:before="120" w:beforeLines="50" w:line="360" w:lineRule="exact"/>
        <w:rPr>
          <w:rFonts w:hint="eastAsia" w:ascii="宋体" w:eastAsia="宋体" w:cs="宋体"/>
          <w:color w:val="auto"/>
        </w:rPr>
      </w:pPr>
      <w:bookmarkStart w:id="123" w:name="_Toc247513968"/>
      <w:bookmarkStart w:id="124" w:name="_Toc152042320"/>
      <w:bookmarkStart w:id="125" w:name="_Toc152045544"/>
      <w:bookmarkStart w:id="126" w:name="_Toc499738045"/>
      <w:bookmarkStart w:id="127" w:name="_Toc247527569"/>
      <w:bookmarkStart w:id="128" w:name="_Toc144974512"/>
      <w:r>
        <w:rPr>
          <w:rFonts w:hint="eastAsia" w:ascii="宋体" w:eastAsia="宋体" w:cs="宋体"/>
          <w:color w:val="auto"/>
        </w:rPr>
        <w:t>2.2 招标文件的澄清</w:t>
      </w:r>
      <w:bookmarkEnd w:id="123"/>
      <w:bookmarkEnd w:id="124"/>
      <w:bookmarkEnd w:id="125"/>
      <w:bookmarkEnd w:id="126"/>
      <w:bookmarkEnd w:id="127"/>
      <w:bookmarkEnd w:id="128"/>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2.2.1 投标人应仔细阅读和检查招标文件的全部内容。</w:t>
      </w:r>
      <w:r>
        <w:rPr>
          <w:rFonts w:hint="eastAsia" w:ascii="宋体" w:hAnsi="宋体" w:cs="宋体"/>
          <w:color w:val="auto"/>
          <w:szCs w:val="21"/>
        </w:rPr>
        <w:t>如发现缺页或附件不全，应及时向招标人提出，以便补齐。</w:t>
      </w:r>
      <w:r>
        <w:rPr>
          <w:rFonts w:hint="eastAsia" w:ascii="宋体" w:hAnsi="宋体" w:cs="宋体"/>
          <w:color w:val="auto"/>
        </w:rPr>
        <w:t>如有疑问，应按投标人须知前附表规定的时间及性形式，要求招标人对招标文件予以澄清。</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2.2.2招标人对招标文件的澄清答疑以书面形式发布，澄清发出的时间距投标人须知前附表规定的投标截止时间不足15天的，并且澄清内容影响投标文件编制的，将相应延长投标截止时间。澄清发出的内容</w:t>
      </w:r>
      <w:r>
        <w:rPr>
          <w:rFonts w:hint="eastAsia" w:ascii="宋体" w:hAnsi="宋体" w:cs="宋体"/>
          <w:color w:val="auto"/>
          <w:szCs w:val="21"/>
        </w:rPr>
        <w:t>不影响</w:t>
      </w:r>
      <w:r>
        <w:rPr>
          <w:rFonts w:hint="eastAsia" w:ascii="宋体" w:hAnsi="宋体" w:cs="宋体"/>
          <w:color w:val="auto"/>
        </w:rPr>
        <w:t>投标文件编制的距投标人须知前附表规定的投标截止时间不足</w:t>
      </w:r>
      <w:r>
        <w:rPr>
          <w:rFonts w:hint="eastAsia" w:ascii="宋体" w:hAnsi="宋体" w:cs="宋体"/>
          <w:color w:val="auto"/>
          <w:szCs w:val="21"/>
        </w:rPr>
        <w:t>3天的。</w:t>
      </w:r>
      <w:r>
        <w:rPr>
          <w:rFonts w:hint="eastAsia" w:ascii="宋体" w:hAnsi="宋体" w:cs="宋体"/>
          <w:color w:val="auto"/>
        </w:rPr>
        <w:t>将相应延长投标截止时间。</w:t>
      </w:r>
    </w:p>
    <w:p>
      <w:pPr>
        <w:pStyle w:val="7"/>
        <w:spacing w:before="120" w:beforeLines="50" w:line="360" w:lineRule="exact"/>
        <w:rPr>
          <w:rFonts w:hint="eastAsia" w:ascii="宋体" w:eastAsia="宋体" w:cs="宋体"/>
          <w:color w:val="auto"/>
        </w:rPr>
      </w:pPr>
      <w:bookmarkStart w:id="129" w:name="_Toc499738046"/>
      <w:bookmarkStart w:id="130" w:name="_Toc144974513"/>
      <w:bookmarkStart w:id="131" w:name="_Toc152045545"/>
      <w:bookmarkStart w:id="132" w:name="_Toc152042321"/>
      <w:bookmarkStart w:id="133" w:name="_Toc247513969"/>
      <w:bookmarkStart w:id="134" w:name="_Toc247527570"/>
      <w:r>
        <w:rPr>
          <w:rFonts w:hint="eastAsia" w:ascii="宋体" w:eastAsia="宋体" w:cs="宋体"/>
          <w:color w:val="auto"/>
        </w:rPr>
        <w:t>2.3 招标文件的修改</w:t>
      </w:r>
      <w:bookmarkEnd w:id="129"/>
      <w:bookmarkEnd w:id="130"/>
      <w:bookmarkEnd w:id="131"/>
      <w:bookmarkEnd w:id="132"/>
      <w:bookmarkEnd w:id="133"/>
      <w:bookmarkEnd w:id="134"/>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2.3.1 招标人可以修改招标文件，并将修改内容以书面形式发布。修改招标文件的时间距投标人须知前附表规定的投标截止时间不足15天的，并且澄清内容影响投标文件编制的，将相应延长投标截止时间。澄清发出的内容</w:t>
      </w:r>
      <w:r>
        <w:rPr>
          <w:rFonts w:hint="eastAsia" w:ascii="宋体" w:hAnsi="宋体" w:cs="宋体"/>
          <w:color w:val="auto"/>
          <w:szCs w:val="21"/>
        </w:rPr>
        <w:t>不影响</w:t>
      </w:r>
      <w:r>
        <w:rPr>
          <w:rFonts w:hint="eastAsia" w:ascii="宋体" w:hAnsi="宋体" w:cs="宋体"/>
          <w:color w:val="auto"/>
        </w:rPr>
        <w:t>投标文件编制的距投标人须知前附表规定的投标截止时间不足</w:t>
      </w:r>
      <w:r>
        <w:rPr>
          <w:rFonts w:hint="eastAsia" w:ascii="宋体" w:hAnsi="宋体" w:cs="宋体"/>
          <w:color w:val="auto"/>
          <w:szCs w:val="21"/>
        </w:rPr>
        <w:t>3天的，</w:t>
      </w:r>
      <w:r>
        <w:rPr>
          <w:rFonts w:hint="eastAsia" w:ascii="宋体" w:hAnsi="宋体" w:cs="宋体"/>
          <w:color w:val="auto"/>
        </w:rPr>
        <w:t>将相应延长投标截止时间。</w:t>
      </w:r>
    </w:p>
    <w:p>
      <w:pPr>
        <w:pStyle w:val="6"/>
        <w:spacing w:before="120" w:beforeLines="50" w:line="360" w:lineRule="exact"/>
        <w:rPr>
          <w:rFonts w:hint="eastAsia" w:ascii="宋体" w:hAnsi="宋体" w:eastAsia="宋体" w:cs="宋体"/>
          <w:color w:val="auto"/>
        </w:rPr>
      </w:pPr>
      <w:bookmarkStart w:id="135" w:name="_Toc144974514"/>
      <w:bookmarkStart w:id="136" w:name="_Toc152042322"/>
      <w:bookmarkStart w:id="137" w:name="_Toc152045546"/>
      <w:bookmarkStart w:id="138" w:name="_Toc499738047"/>
      <w:bookmarkStart w:id="139" w:name="_Toc247513970"/>
      <w:bookmarkStart w:id="140" w:name="_Toc247527571"/>
      <w:r>
        <w:rPr>
          <w:rFonts w:hint="eastAsia" w:ascii="宋体" w:hAnsi="宋体" w:eastAsia="宋体" w:cs="宋体"/>
          <w:color w:val="auto"/>
        </w:rPr>
        <w:t>3. 投标文件</w:t>
      </w:r>
      <w:bookmarkEnd w:id="135"/>
      <w:bookmarkEnd w:id="136"/>
      <w:bookmarkEnd w:id="137"/>
      <w:bookmarkEnd w:id="138"/>
      <w:bookmarkEnd w:id="139"/>
      <w:bookmarkEnd w:id="140"/>
    </w:p>
    <w:p>
      <w:pPr>
        <w:pStyle w:val="7"/>
        <w:spacing w:before="120" w:beforeLines="50" w:line="360" w:lineRule="exact"/>
        <w:rPr>
          <w:rFonts w:hint="eastAsia" w:ascii="宋体" w:eastAsia="宋体" w:cs="宋体"/>
          <w:color w:val="auto"/>
        </w:rPr>
      </w:pPr>
      <w:bookmarkStart w:id="141" w:name="_Toc152045547"/>
      <w:bookmarkStart w:id="142" w:name="_Toc144974515"/>
      <w:bookmarkStart w:id="143" w:name="_Toc247527572"/>
      <w:bookmarkStart w:id="144" w:name="_Toc247513971"/>
      <w:bookmarkStart w:id="145" w:name="_Toc152042323"/>
      <w:bookmarkStart w:id="146" w:name="_Toc499738048"/>
      <w:r>
        <w:rPr>
          <w:rFonts w:hint="eastAsia" w:ascii="宋体" w:eastAsia="宋体" w:cs="宋体"/>
          <w:color w:val="auto"/>
        </w:rPr>
        <w:t>3.1 投标文件的组成</w:t>
      </w:r>
      <w:bookmarkEnd w:id="141"/>
      <w:bookmarkEnd w:id="142"/>
      <w:bookmarkEnd w:id="143"/>
      <w:bookmarkEnd w:id="144"/>
      <w:bookmarkEnd w:id="145"/>
      <w:bookmarkEnd w:id="146"/>
    </w:p>
    <w:p>
      <w:pPr>
        <w:spacing w:before="120" w:beforeLines="50" w:line="360" w:lineRule="exact"/>
        <w:rPr>
          <w:rFonts w:hint="eastAsia" w:ascii="宋体" w:hAnsi="宋体" w:cs="宋体"/>
          <w:color w:val="auto"/>
        </w:rPr>
      </w:pPr>
      <w:r>
        <w:rPr>
          <w:rFonts w:hint="eastAsia" w:ascii="宋体" w:hAnsi="宋体" w:cs="宋体"/>
          <w:color w:val="auto"/>
        </w:rPr>
        <w:t>　　3.1.1 投标文件应包括下列内容：</w:t>
      </w:r>
    </w:p>
    <w:p>
      <w:pPr>
        <w:spacing w:before="120" w:beforeLines="50" w:line="360" w:lineRule="exact"/>
        <w:ind w:firstLine="361" w:firstLineChars="171"/>
        <w:rPr>
          <w:rFonts w:hint="eastAsia" w:ascii="宋体" w:hAnsi="宋体" w:cs="宋体"/>
          <w:b/>
          <w:color w:val="auto"/>
        </w:rPr>
      </w:pPr>
      <w:r>
        <w:rPr>
          <w:rFonts w:hint="eastAsia" w:ascii="宋体" w:hAnsi="宋体" w:cs="宋体"/>
          <w:b/>
          <w:color w:val="auto"/>
        </w:rPr>
        <w:t>一、投标函部分：</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（1）投标函和投标函附录；</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（2）法定代表人身份证明或附有法定代表人身份证明的授权委托书；</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（3）联合体协议书；</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（4）投标保证金；</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（5）投标人业绩及人员配置；</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（6）资格审查资料；</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（7）其他资料；</w:t>
      </w:r>
    </w:p>
    <w:p>
      <w:pPr>
        <w:spacing w:before="120" w:beforeLines="50" w:line="360" w:lineRule="exact"/>
        <w:ind w:firstLine="361" w:firstLineChars="171"/>
        <w:rPr>
          <w:rFonts w:hint="eastAsia" w:ascii="宋体" w:hAnsi="宋体" w:cs="宋体"/>
          <w:b/>
          <w:color w:val="auto"/>
        </w:rPr>
      </w:pPr>
      <w:r>
        <w:rPr>
          <w:rFonts w:hint="eastAsia" w:ascii="宋体" w:hAnsi="宋体" w:cs="宋体"/>
          <w:b/>
          <w:color w:val="auto"/>
        </w:rPr>
        <w:t>二、技术部分：</w:t>
      </w:r>
    </w:p>
    <w:p>
      <w:pPr>
        <w:spacing w:before="120" w:beforeLines="50" w:line="360" w:lineRule="exact"/>
        <w:ind w:firstLine="361" w:firstLineChars="171"/>
        <w:rPr>
          <w:rFonts w:hint="eastAsia" w:ascii="宋体" w:hAnsi="宋体" w:cs="宋体"/>
          <w:b/>
          <w:color w:val="auto"/>
        </w:rPr>
      </w:pPr>
      <w:r>
        <w:rPr>
          <w:rFonts w:hint="eastAsia" w:ascii="宋体" w:hAnsi="宋体" w:cs="宋体"/>
          <w:b/>
          <w:color w:val="auto"/>
        </w:rPr>
        <w:t>（1）承包人设计方案</w:t>
      </w:r>
    </w:p>
    <w:p>
      <w:pPr>
        <w:spacing w:before="120" w:beforeLines="50" w:line="360" w:lineRule="exact"/>
        <w:ind w:firstLine="361" w:firstLineChars="171"/>
        <w:rPr>
          <w:rFonts w:hint="eastAsia" w:ascii="宋体" w:hAnsi="宋体" w:cs="宋体"/>
          <w:b/>
          <w:color w:val="auto"/>
        </w:rPr>
      </w:pPr>
      <w:r>
        <w:rPr>
          <w:rFonts w:hint="eastAsia" w:ascii="宋体" w:hAnsi="宋体" w:cs="宋体"/>
          <w:b/>
          <w:color w:val="auto"/>
        </w:rPr>
        <w:t>（2）承包人实施方案</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 xml:space="preserve">3.1.2 投标人须知前附表规定不接受联合体投标的，或投标人没有组成联合体的，投标文件不包括本章第3.1.1（3）目所指的联合体协议书。 </w:t>
      </w:r>
    </w:p>
    <w:p>
      <w:pPr>
        <w:pStyle w:val="7"/>
        <w:spacing w:before="120" w:beforeLines="50" w:line="360" w:lineRule="exact"/>
        <w:rPr>
          <w:rFonts w:hint="eastAsia" w:ascii="宋体" w:eastAsia="宋体" w:cs="宋体"/>
          <w:color w:val="auto"/>
        </w:rPr>
      </w:pPr>
      <w:bookmarkStart w:id="147" w:name="_Toc152045548"/>
      <w:bookmarkStart w:id="148" w:name="_Toc499738049"/>
      <w:bookmarkStart w:id="149" w:name="_Toc247527573"/>
      <w:bookmarkStart w:id="150" w:name="_Toc144974516"/>
      <w:bookmarkStart w:id="151" w:name="_Toc247513972"/>
      <w:bookmarkStart w:id="152" w:name="_Toc152042324"/>
      <w:r>
        <w:rPr>
          <w:rFonts w:hint="eastAsia" w:ascii="宋体" w:eastAsia="宋体" w:cs="宋体"/>
          <w:color w:val="auto"/>
        </w:rPr>
        <w:t>3.2 投标报价</w:t>
      </w:r>
      <w:bookmarkEnd w:id="147"/>
      <w:bookmarkEnd w:id="148"/>
      <w:bookmarkEnd w:id="149"/>
      <w:bookmarkEnd w:id="150"/>
      <w:bookmarkEnd w:id="151"/>
      <w:bookmarkEnd w:id="152"/>
      <w:r>
        <w:rPr>
          <w:rFonts w:hint="eastAsia" w:ascii="宋体" w:eastAsia="宋体" w:cs="宋体"/>
          <w:color w:val="auto"/>
        </w:rPr>
        <w:t xml:space="preserve"> </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3.2.1 投标人应按第七章“投标文件格式”的要求填写价格清单。</w:t>
      </w:r>
    </w:p>
    <w:p>
      <w:pPr>
        <w:spacing w:before="120" w:beforeLines="50" w:line="360" w:lineRule="exact"/>
        <w:ind w:firstLine="420" w:firstLineChars="200"/>
        <w:rPr>
          <w:rFonts w:hint="eastAsia" w:ascii="宋体" w:hAnsi="宋体" w:cs="宋体"/>
          <w:color w:val="auto"/>
          <w:szCs w:val="21"/>
        </w:rPr>
      </w:pPr>
      <w:r>
        <w:rPr>
          <w:rFonts w:hint="eastAsia" w:ascii="宋体" w:hAnsi="宋体" w:cs="宋体"/>
          <w:color w:val="auto"/>
        </w:rPr>
        <w:t xml:space="preserve">3.2.2 </w:t>
      </w:r>
      <w:r>
        <w:rPr>
          <w:rFonts w:hint="eastAsia" w:ascii="宋体" w:hAnsi="宋体" w:cs="宋体"/>
          <w:color w:val="auto"/>
          <w:szCs w:val="21"/>
        </w:rPr>
        <w:t>投标人应充分了解施工场地的位置、周边环境、道路、装卸、保管、安装限制以及影响投标报价的其他要素。投标人根据投标设计，结合市场情况进行投标报价。</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3.2.3 投标人在投标截止时间前修改投标函中的投标报价总额，应同时修改投标文件“价格清单”中的相应报价，投标报价总额为各分项金额之和。此修改须符合本章第4.3款的有关要求。</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3.2.4 招标人设有最高投标限价的，投标人的投标报价不得超过最高投标限价，最高投标限价或其计算方法在投标人须知前附表中载明。</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3.2.5 投标报价的其他要求见投标人须知前附表。</w:t>
      </w:r>
    </w:p>
    <w:p>
      <w:pPr>
        <w:pStyle w:val="7"/>
        <w:spacing w:before="120" w:beforeLines="50" w:line="360" w:lineRule="exact"/>
        <w:rPr>
          <w:rFonts w:hint="eastAsia" w:ascii="宋体" w:eastAsia="宋体" w:cs="宋体"/>
          <w:color w:val="auto"/>
        </w:rPr>
      </w:pPr>
      <w:bookmarkStart w:id="153" w:name="_Toc247513973"/>
      <w:bookmarkStart w:id="154" w:name="_Toc144974517"/>
      <w:bookmarkStart w:id="155" w:name="_Toc247527574"/>
      <w:bookmarkStart w:id="156" w:name="_Toc152042325"/>
      <w:bookmarkStart w:id="157" w:name="_Toc152045549"/>
      <w:bookmarkStart w:id="158" w:name="_Toc499738050"/>
      <w:r>
        <w:rPr>
          <w:rFonts w:hint="eastAsia" w:ascii="宋体" w:eastAsia="宋体" w:cs="宋体"/>
          <w:color w:val="auto"/>
        </w:rPr>
        <w:t>3.3 投标有效期</w:t>
      </w:r>
      <w:bookmarkEnd w:id="153"/>
      <w:bookmarkEnd w:id="154"/>
      <w:bookmarkEnd w:id="155"/>
      <w:bookmarkEnd w:id="156"/>
      <w:bookmarkEnd w:id="157"/>
      <w:bookmarkEnd w:id="158"/>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3.3.1 除投标人须知前附表另有规定外，投标有效期为120天。</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3.3.2 在投标有效期内，投标人撤销或修改其投标文件的，应承担招标文件和法律规定的责任。</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 xml:space="preserve">3.3.3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7"/>
        <w:spacing w:before="120" w:beforeLines="50" w:line="360" w:lineRule="exact"/>
        <w:rPr>
          <w:rFonts w:hint="eastAsia" w:ascii="宋体" w:eastAsia="宋体" w:cs="宋体"/>
          <w:color w:val="auto"/>
        </w:rPr>
      </w:pPr>
      <w:bookmarkStart w:id="159" w:name="_Toc144974518"/>
      <w:bookmarkStart w:id="160" w:name="_Toc247513974"/>
      <w:bookmarkStart w:id="161" w:name="_Toc247527575"/>
      <w:bookmarkStart w:id="162" w:name="_Toc152042326"/>
      <w:bookmarkStart w:id="163" w:name="_Toc152045550"/>
      <w:bookmarkStart w:id="164" w:name="_Toc499738051"/>
      <w:r>
        <w:rPr>
          <w:rFonts w:hint="eastAsia" w:ascii="宋体" w:eastAsia="宋体" w:cs="宋体"/>
          <w:color w:val="auto"/>
        </w:rPr>
        <w:t>3.4 投标保证金</w:t>
      </w:r>
      <w:bookmarkEnd w:id="159"/>
      <w:bookmarkEnd w:id="160"/>
      <w:bookmarkEnd w:id="161"/>
      <w:bookmarkEnd w:id="162"/>
      <w:bookmarkEnd w:id="163"/>
      <w:bookmarkEnd w:id="164"/>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3.4.1 投标人在递交投标文件的同时，应按投标人须知前附表规定的金额、担保形式和第七章“投标文件格式”规定的投标保证金格式递交投标保证金，并作为其投标文件的组成部分。联合体投标的，其投标保证金由牵头人递交，并应符合投标人须知前附表的规定。</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3.4.2 投标人不按本章第3.4.1项要求提交投标保证金的，评标委员会将否决其投标。</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3.4.3未中标人的投标保证金，将在中标通知书发出后5日内退还。</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3.3.4招标人与中标人签订合同后5日内，向中标人退还投标保证金。</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 xml:space="preserve">3.4.5 有下列情形之一的，投标保证金将不予退还： </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（1）投标人在规定的投标有效期内撤销或修改其投标文件；</w:t>
      </w:r>
    </w:p>
    <w:p>
      <w:pPr>
        <w:spacing w:before="120" w:beforeLines="50" w:line="360" w:lineRule="exact"/>
        <w:ind w:firstLine="315" w:firstLineChars="150"/>
        <w:rPr>
          <w:rFonts w:hint="eastAsia" w:ascii="宋体" w:hAnsi="宋体" w:cs="宋体"/>
          <w:color w:val="auto"/>
        </w:rPr>
      </w:pPr>
      <w:r>
        <w:rPr>
          <w:rFonts w:hint="eastAsia" w:ascii="宋体" w:hAnsi="宋体" w:cs="宋体"/>
          <w:color w:val="auto"/>
        </w:rPr>
        <w:t>（2）中标人在收到中标通知书后，无正当理由拒签合同或未按招标文件规定提交履约担保。</w:t>
      </w:r>
    </w:p>
    <w:p>
      <w:pPr>
        <w:pStyle w:val="7"/>
        <w:spacing w:before="120" w:beforeLines="50" w:line="360" w:lineRule="exact"/>
        <w:rPr>
          <w:rFonts w:hint="eastAsia" w:ascii="宋体" w:eastAsia="宋体" w:cs="宋体"/>
          <w:color w:val="auto"/>
        </w:rPr>
      </w:pPr>
      <w:bookmarkStart w:id="165" w:name="_Toc247513976"/>
      <w:bookmarkStart w:id="166" w:name="_Toc144974520"/>
      <w:bookmarkStart w:id="167" w:name="_Toc247527577"/>
      <w:bookmarkStart w:id="168" w:name="_Toc499738052"/>
      <w:bookmarkStart w:id="169" w:name="_Toc152045552"/>
      <w:bookmarkStart w:id="170" w:name="_Toc152042328"/>
      <w:r>
        <w:rPr>
          <w:rFonts w:hint="eastAsia" w:ascii="宋体" w:eastAsia="宋体" w:cs="宋体"/>
          <w:color w:val="auto"/>
        </w:rPr>
        <w:t>3.5证明资料</w:t>
      </w:r>
      <w:bookmarkEnd w:id="165"/>
      <w:bookmarkEnd w:id="166"/>
      <w:bookmarkEnd w:id="167"/>
      <w:bookmarkEnd w:id="168"/>
      <w:bookmarkEnd w:id="169"/>
      <w:bookmarkEnd w:id="170"/>
      <w:r>
        <w:rPr>
          <w:rFonts w:hint="eastAsia" w:ascii="宋体" w:eastAsia="宋体" w:cs="宋体"/>
          <w:color w:val="auto"/>
        </w:rPr>
        <w:t xml:space="preserve"> </w:t>
      </w:r>
    </w:p>
    <w:p>
      <w:pPr>
        <w:spacing w:before="120" w:beforeLines="50" w:line="360" w:lineRule="exact"/>
        <w:ind w:firstLine="420" w:firstLineChars="200"/>
        <w:rPr>
          <w:rFonts w:hint="eastAsia" w:ascii="宋体" w:hAnsi="宋体" w:cs="宋体"/>
          <w:b/>
          <w:color w:val="auto"/>
          <w:u w:val="single"/>
        </w:rPr>
      </w:pPr>
      <w:r>
        <w:rPr>
          <w:rFonts w:hint="eastAsia" w:ascii="宋体" w:hAnsi="宋体" w:cs="宋体"/>
          <w:color w:val="auto"/>
        </w:rPr>
        <w:t>3.5.1 “投标人基本情况表”应附投标人营业执照、资质证书副本、安全生产许可证等材料的复印件。</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3.5.2 “近年财务状况表”应附经会计师事务所或审计机构审计的财务会计报表，包括资产负债表、现金流量表、利润表和财务情况说明书等复印件，具体年份要求见投标人须知前附表。</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3.5.3 “近年完成的类似工程总承包项目情况表”应附中</w:t>
      </w:r>
      <w:r>
        <w:rPr>
          <w:rFonts w:hint="eastAsia" w:ascii="宋体" w:hAnsi="宋体" w:cs="宋体"/>
          <w:color w:val="auto"/>
          <w:szCs w:val="21"/>
        </w:rPr>
        <w:t>标通知书、合同、竣工验收资料等复印件</w:t>
      </w:r>
      <w:r>
        <w:rPr>
          <w:rFonts w:hint="eastAsia" w:ascii="宋体" w:hAnsi="宋体" w:cs="宋体"/>
          <w:color w:val="auto"/>
        </w:rPr>
        <w:t>；或“近年完成的类似工程设计项目情况表”应附中标通知书和合同协议书等复印件；“近年完成的类似施工项目情况表”应附</w:t>
      </w:r>
      <w:r>
        <w:rPr>
          <w:rFonts w:hint="eastAsia" w:ascii="宋体" w:hAnsi="宋体" w:cs="宋体"/>
          <w:color w:val="auto"/>
          <w:szCs w:val="21"/>
        </w:rPr>
        <w:t>中标通知书、合同、竣工验收资料等</w:t>
      </w:r>
      <w:r>
        <w:rPr>
          <w:rFonts w:hint="eastAsia" w:ascii="宋体" w:hAnsi="宋体" w:cs="宋体"/>
          <w:color w:val="auto"/>
        </w:rPr>
        <w:t>复印件。具体年份要求见投标人须知前附表，每张表格只填写一个项目，并标明序号。</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3.5.4 “正在实施和新承接的项目情况表”应附中标通知书或合同协议书复印件。每张表格只填写一个项目，并标明序号。</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3.5.5 “近年发生的重大诉讼及仲裁情况”应说明相关情况，并附法院或仲裁机构作出的判决、裁决等有关法律文书复印件，具体年份要求见投标人须知前附表。</w:t>
      </w:r>
    </w:p>
    <w:p>
      <w:pPr>
        <w:pStyle w:val="7"/>
        <w:spacing w:before="120" w:beforeLines="50" w:line="360" w:lineRule="exact"/>
        <w:rPr>
          <w:rFonts w:hint="eastAsia" w:ascii="宋体" w:eastAsia="宋体" w:cs="宋体"/>
          <w:color w:val="auto"/>
        </w:rPr>
      </w:pPr>
      <w:bookmarkStart w:id="171" w:name="_Toc247513977"/>
      <w:bookmarkStart w:id="172" w:name="_Toc499738053"/>
      <w:bookmarkStart w:id="173" w:name="_Toc152042329"/>
      <w:bookmarkStart w:id="174" w:name="_Toc144974521"/>
      <w:bookmarkStart w:id="175" w:name="_Toc247527578"/>
      <w:bookmarkStart w:id="176" w:name="_Toc152045553"/>
      <w:r>
        <w:rPr>
          <w:rFonts w:hint="eastAsia" w:ascii="宋体" w:eastAsia="宋体" w:cs="宋体"/>
          <w:color w:val="auto"/>
        </w:rPr>
        <w:t>3.6 备选投标方案</w:t>
      </w:r>
      <w:bookmarkEnd w:id="171"/>
      <w:bookmarkEnd w:id="172"/>
      <w:bookmarkEnd w:id="173"/>
      <w:bookmarkEnd w:id="174"/>
      <w:bookmarkEnd w:id="175"/>
      <w:bookmarkEnd w:id="176"/>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7"/>
        <w:spacing w:before="120" w:beforeLines="50" w:line="360" w:lineRule="exact"/>
        <w:rPr>
          <w:rFonts w:hint="eastAsia" w:ascii="宋体" w:eastAsia="宋体" w:cs="宋体"/>
          <w:color w:val="auto"/>
        </w:rPr>
      </w:pPr>
      <w:bookmarkStart w:id="177" w:name="_Toc499738054"/>
      <w:bookmarkStart w:id="178" w:name="_Toc247513978"/>
      <w:bookmarkStart w:id="179" w:name="_Toc152042330"/>
      <w:bookmarkStart w:id="180" w:name="_Toc144974522"/>
      <w:bookmarkStart w:id="181" w:name="_Toc247527579"/>
      <w:bookmarkStart w:id="182" w:name="_Toc152045554"/>
      <w:r>
        <w:rPr>
          <w:rFonts w:hint="eastAsia" w:ascii="宋体" w:eastAsia="宋体" w:cs="宋体"/>
          <w:color w:val="auto"/>
        </w:rPr>
        <w:t>3.7 投标文件的编制</w:t>
      </w:r>
      <w:bookmarkEnd w:id="177"/>
      <w:bookmarkEnd w:id="178"/>
      <w:bookmarkEnd w:id="179"/>
      <w:bookmarkEnd w:id="180"/>
      <w:bookmarkEnd w:id="181"/>
      <w:bookmarkEnd w:id="182"/>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3.7.1 投标文件应按第七章“投标文件格式”进行编写，如有必要，可以增加附页，作为投标文件的组成部分。其中，投标函附录在满足招标文件实质性要求的基础上，可以提出比招标文件要求更有利于招标人的承诺。</w:t>
      </w:r>
    </w:p>
    <w:p>
      <w:pPr>
        <w:spacing w:before="120" w:beforeLines="50" w:line="360" w:lineRule="exact"/>
        <w:ind w:firstLine="420" w:firstLineChars="200"/>
        <w:rPr>
          <w:rFonts w:hint="eastAsia" w:ascii="宋体" w:hAnsi="宋体" w:cs="宋体"/>
          <w:color w:val="auto"/>
          <w:szCs w:val="21"/>
        </w:rPr>
      </w:pPr>
      <w:r>
        <w:rPr>
          <w:rFonts w:hint="eastAsia" w:ascii="宋体" w:hAnsi="宋体" w:cs="宋体"/>
          <w:color w:val="auto"/>
        </w:rPr>
        <w:t>3.7.2 投标文件应当对招标文件有关</w:t>
      </w:r>
      <w:r>
        <w:rPr>
          <w:rFonts w:hint="eastAsia" w:ascii="宋体" w:hAnsi="宋体" w:cs="宋体"/>
          <w:color w:val="auto"/>
          <w:szCs w:val="21"/>
        </w:rPr>
        <w:t>招标范围、投标有效期、工期、质量标准、发包人要求等实质性内容作出响应。</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 xml:space="preserve">3.7.3 投标文件应用不褪色的材料书写或打印，并由投标人的法定代表人或授权代理人签字或盖单位章。投标人的法定代表人授权代理人签字的，投标文件应附由法定代表人签署的授权委托书。投标文件应尽量避免涂改、行间插字或删除。如果出现上述情况，改动之处应加盖单位章或由投标人的法定代表人或其授权的代理人签字确认。签字或盖章的具体要求见投标人须知前附表。 </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3.7.4 投标文件分投标函部分和技术部分。投标函部分正本一份，副本份数见投标人须知前附表，正本和副本的封面上应清楚地标记“正本”或“副本”的字样，副本可为正本复印件，当副本和正本不一致时，以正本为准。技术部分不分正副本。</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3.7.5 投标文件的正本与副本应分别装订成册，具体装订要求见投标人须知前附表规定。</w:t>
      </w:r>
    </w:p>
    <w:p>
      <w:pPr>
        <w:pStyle w:val="6"/>
        <w:spacing w:before="120" w:beforeLines="50" w:line="360" w:lineRule="exact"/>
        <w:rPr>
          <w:rFonts w:hint="eastAsia" w:ascii="宋体" w:hAnsi="宋体" w:eastAsia="宋体" w:cs="宋体"/>
          <w:color w:val="auto"/>
        </w:rPr>
      </w:pPr>
      <w:bookmarkStart w:id="183" w:name="_Toc499738055"/>
      <w:bookmarkStart w:id="184" w:name="_Toc152045555"/>
      <w:bookmarkStart w:id="185" w:name="_Toc144974523"/>
      <w:bookmarkStart w:id="186" w:name="_Toc247527580"/>
      <w:bookmarkStart w:id="187" w:name="_Toc152042331"/>
      <w:bookmarkStart w:id="188" w:name="_Toc247513979"/>
      <w:r>
        <w:rPr>
          <w:rFonts w:hint="eastAsia" w:ascii="宋体" w:hAnsi="宋体" w:eastAsia="宋体" w:cs="宋体"/>
          <w:color w:val="auto"/>
        </w:rPr>
        <w:t>4. 投标</w:t>
      </w:r>
      <w:bookmarkEnd w:id="183"/>
      <w:bookmarkEnd w:id="184"/>
      <w:bookmarkEnd w:id="185"/>
      <w:bookmarkEnd w:id="186"/>
      <w:bookmarkEnd w:id="187"/>
      <w:bookmarkEnd w:id="188"/>
    </w:p>
    <w:p>
      <w:pPr>
        <w:pStyle w:val="7"/>
        <w:spacing w:before="120" w:beforeLines="50" w:line="360" w:lineRule="exact"/>
        <w:rPr>
          <w:rFonts w:hint="eastAsia" w:ascii="宋体" w:eastAsia="宋体" w:cs="宋体"/>
          <w:color w:val="auto"/>
        </w:rPr>
      </w:pPr>
      <w:bookmarkStart w:id="189" w:name="_Toc152042332"/>
      <w:bookmarkStart w:id="190" w:name="_Toc144974524"/>
      <w:bookmarkStart w:id="191" w:name="_Toc247513980"/>
      <w:bookmarkStart w:id="192" w:name="_Toc247527581"/>
      <w:bookmarkStart w:id="193" w:name="_Toc152045556"/>
      <w:bookmarkStart w:id="194" w:name="_Toc499738056"/>
      <w:r>
        <w:rPr>
          <w:rFonts w:hint="eastAsia" w:ascii="宋体" w:eastAsia="宋体" w:cs="宋体"/>
          <w:color w:val="auto"/>
        </w:rPr>
        <w:t>4.1 投标文件的密封和标记</w:t>
      </w:r>
      <w:bookmarkEnd w:id="189"/>
      <w:bookmarkEnd w:id="190"/>
      <w:bookmarkEnd w:id="191"/>
      <w:bookmarkEnd w:id="192"/>
      <w:bookmarkEnd w:id="193"/>
      <w:bookmarkEnd w:id="194"/>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4.1.1 投标文件应进行包装、加贴封条，并在封套的封口处加盖投标人单位章。</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4.1.2 投标文件封套上应写明的内容见投标人须知前附表。</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4.1.3 未按本章第4.1.1项或第4.1.2项要求密封和加写标记的投标文件，招标人不予受理。</w:t>
      </w:r>
    </w:p>
    <w:p>
      <w:pPr>
        <w:pStyle w:val="7"/>
        <w:spacing w:before="120" w:beforeLines="50" w:line="360" w:lineRule="exact"/>
        <w:rPr>
          <w:rFonts w:hint="eastAsia" w:ascii="宋体" w:eastAsia="宋体" w:cs="宋体"/>
          <w:color w:val="auto"/>
        </w:rPr>
      </w:pPr>
      <w:bookmarkStart w:id="195" w:name="_Toc144974525"/>
      <w:bookmarkStart w:id="196" w:name="_Toc247527582"/>
      <w:bookmarkStart w:id="197" w:name="_Toc247513981"/>
      <w:bookmarkStart w:id="198" w:name="_Toc152042333"/>
      <w:bookmarkStart w:id="199" w:name="_Toc499738057"/>
      <w:bookmarkStart w:id="200" w:name="_Toc152045557"/>
      <w:r>
        <w:rPr>
          <w:rFonts w:hint="eastAsia" w:ascii="宋体" w:eastAsia="宋体" w:cs="宋体"/>
          <w:color w:val="auto"/>
        </w:rPr>
        <w:t>4.2 投标文件的递交</w:t>
      </w:r>
      <w:bookmarkEnd w:id="195"/>
      <w:bookmarkEnd w:id="196"/>
      <w:bookmarkEnd w:id="197"/>
      <w:bookmarkEnd w:id="198"/>
      <w:bookmarkEnd w:id="199"/>
      <w:bookmarkEnd w:id="200"/>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4.2.1 投标人应在第2.2.2项规定的投标截止时间前递交投标文件。</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4.2.2 投标人递交投标文件的地点：见投标人须知前附表。</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 xml:space="preserve">4.2.3 除投标人须知前附表另有规定外，投标人所递交的投标文件不予退还。  </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4.2.4 招标人收到投标文件后，向投标人出具签收凭证。</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4.2.5 逾期送达的或者未送达指定地点的投标文件，招标人不予受理。</w:t>
      </w:r>
    </w:p>
    <w:p>
      <w:pPr>
        <w:pStyle w:val="7"/>
        <w:spacing w:before="120" w:beforeLines="50" w:line="360" w:lineRule="exact"/>
        <w:rPr>
          <w:rFonts w:hint="eastAsia" w:ascii="宋体" w:eastAsia="宋体" w:cs="宋体"/>
          <w:color w:val="auto"/>
        </w:rPr>
      </w:pPr>
      <w:bookmarkStart w:id="201" w:name="_Toc152042334"/>
      <w:bookmarkStart w:id="202" w:name="_Toc144974526"/>
      <w:bookmarkStart w:id="203" w:name="_Toc247513982"/>
      <w:bookmarkStart w:id="204" w:name="_Toc152045558"/>
      <w:bookmarkStart w:id="205" w:name="_Toc247527583"/>
      <w:bookmarkStart w:id="206" w:name="_Toc499738058"/>
      <w:r>
        <w:rPr>
          <w:rFonts w:hint="eastAsia" w:ascii="宋体" w:eastAsia="宋体" w:cs="宋体"/>
          <w:color w:val="auto"/>
        </w:rPr>
        <w:t>4.3 投标文件的修改与撤回</w:t>
      </w:r>
      <w:bookmarkEnd w:id="201"/>
      <w:bookmarkEnd w:id="202"/>
      <w:bookmarkEnd w:id="203"/>
      <w:bookmarkEnd w:id="204"/>
      <w:bookmarkEnd w:id="205"/>
      <w:bookmarkEnd w:id="206"/>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4.3.1 在本章第2.2.2项规定的投标截止时间前，投标人可以修改或撤回已递交的投标文件，但应以书面形式通知招标人。</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4.3.2 投标人修改或撤回已递交投标文件的书面通知应按照本章第3.7.3项的要求签字或盖章。招标人收到书面通知后，向投标人出具签收凭证。</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4.3.3 投标人撤回投标文件的，招标人自收到投标人书面撤回通知之日起5日内退还已收取的投标保证金。</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4.3.4 修改的内容为投标文件的组成部分。修改的投标文件应按照本章第3条、第4条规定进行编制、密封、标记和递交，并标明“修改”字样。</w:t>
      </w:r>
    </w:p>
    <w:p>
      <w:pPr>
        <w:pStyle w:val="6"/>
        <w:spacing w:before="120" w:beforeLines="50" w:line="360" w:lineRule="exact"/>
        <w:rPr>
          <w:rFonts w:hint="eastAsia" w:ascii="宋体" w:hAnsi="宋体" w:eastAsia="宋体" w:cs="宋体"/>
          <w:color w:val="auto"/>
        </w:rPr>
      </w:pPr>
      <w:bookmarkStart w:id="207" w:name="_Toc152045559"/>
      <w:bookmarkStart w:id="208" w:name="_Toc152042335"/>
      <w:bookmarkStart w:id="209" w:name="_Toc247513983"/>
      <w:bookmarkStart w:id="210" w:name="_Toc144974527"/>
      <w:bookmarkStart w:id="211" w:name="_Toc247527584"/>
      <w:bookmarkStart w:id="212" w:name="_Toc499738059"/>
      <w:r>
        <w:rPr>
          <w:rFonts w:hint="eastAsia" w:ascii="宋体" w:hAnsi="宋体" w:eastAsia="宋体" w:cs="宋体"/>
          <w:color w:val="auto"/>
        </w:rPr>
        <w:t>5. 开标</w:t>
      </w:r>
      <w:bookmarkEnd w:id="207"/>
      <w:bookmarkEnd w:id="208"/>
      <w:bookmarkEnd w:id="209"/>
      <w:bookmarkEnd w:id="210"/>
      <w:bookmarkEnd w:id="211"/>
      <w:bookmarkEnd w:id="212"/>
    </w:p>
    <w:p>
      <w:pPr>
        <w:pStyle w:val="7"/>
        <w:spacing w:before="120" w:beforeLines="50" w:line="360" w:lineRule="exact"/>
        <w:rPr>
          <w:rFonts w:hint="eastAsia" w:ascii="宋体" w:eastAsia="宋体" w:cs="宋体"/>
          <w:color w:val="auto"/>
        </w:rPr>
      </w:pPr>
      <w:bookmarkStart w:id="213" w:name="_Toc152045560"/>
      <w:bookmarkStart w:id="214" w:name="_Toc144974528"/>
      <w:bookmarkStart w:id="215" w:name="_Toc247527585"/>
      <w:bookmarkStart w:id="216" w:name="_Toc499738060"/>
      <w:bookmarkStart w:id="217" w:name="_Toc247513984"/>
      <w:bookmarkStart w:id="218" w:name="_Toc152042336"/>
      <w:r>
        <w:rPr>
          <w:rFonts w:hint="eastAsia" w:ascii="宋体" w:eastAsia="宋体" w:cs="宋体"/>
          <w:color w:val="auto"/>
        </w:rPr>
        <w:t>5.1 开标时间和地点</w:t>
      </w:r>
      <w:bookmarkEnd w:id="213"/>
      <w:bookmarkEnd w:id="214"/>
      <w:bookmarkEnd w:id="215"/>
      <w:bookmarkEnd w:id="216"/>
      <w:bookmarkEnd w:id="217"/>
      <w:bookmarkEnd w:id="218"/>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招标人在本章第2.2.2项规定的投标截止时间（开标时间）和投标人须知前附表规定的地点公开开标。</w:t>
      </w:r>
    </w:p>
    <w:p>
      <w:pPr>
        <w:pStyle w:val="7"/>
        <w:spacing w:before="120" w:beforeLines="50" w:line="360" w:lineRule="exact"/>
        <w:rPr>
          <w:rFonts w:hint="eastAsia" w:ascii="宋体" w:eastAsia="宋体" w:cs="宋体"/>
          <w:color w:val="auto"/>
        </w:rPr>
      </w:pPr>
      <w:bookmarkStart w:id="219" w:name="_Toc247527586"/>
      <w:bookmarkStart w:id="220" w:name="_Toc499738061"/>
      <w:bookmarkStart w:id="221" w:name="_Toc152042337"/>
      <w:bookmarkStart w:id="222" w:name="_Toc152045561"/>
      <w:bookmarkStart w:id="223" w:name="_Toc144974529"/>
      <w:bookmarkStart w:id="224" w:name="_Toc247513985"/>
      <w:r>
        <w:rPr>
          <w:rFonts w:hint="eastAsia" w:ascii="宋体" w:eastAsia="宋体" w:cs="宋体"/>
          <w:color w:val="auto"/>
        </w:rPr>
        <w:t>5.2 开标程序</w:t>
      </w:r>
      <w:bookmarkEnd w:id="219"/>
      <w:bookmarkEnd w:id="220"/>
      <w:bookmarkEnd w:id="221"/>
      <w:bookmarkEnd w:id="222"/>
      <w:bookmarkEnd w:id="223"/>
      <w:bookmarkEnd w:id="224"/>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主持人按下列程序进行开标：</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（1）宣布开标纪律；</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（2）公布在投标截止时间前递交投标文件的投标人名称，并点名确认投标人是否派人到场；</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（3）宣布开标人、唱标人、记录人、监标人等有关人员姓名；</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（4）按照投标人须知前附表规定检查投标文件的密封情况；</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（5）按照投标人须知前附表的规定确定并宣布投标文件开标顺序；</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 xml:space="preserve">（6）设有标底的，公布标底； </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（7）按照宣布的开标顺序当众开标，公布投标人名称、项目名称、投标保证金的递交情况、投标报价、质量目标、工期及其他内容，并记录在案；</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（8）规定最高投标限价计算方法的，计算并公布最高投标限价；</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（9）投标人代表、招标人代表、监标人、记录人等有关人员在开标记录上签字确认；</w:t>
      </w:r>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（10）开标结束。</w:t>
      </w:r>
    </w:p>
    <w:p>
      <w:pPr>
        <w:pStyle w:val="7"/>
        <w:spacing w:before="120" w:beforeLines="50" w:line="360" w:lineRule="exact"/>
        <w:rPr>
          <w:rFonts w:hint="eastAsia" w:ascii="宋体" w:eastAsia="宋体" w:cs="宋体"/>
          <w:color w:val="auto"/>
        </w:rPr>
      </w:pPr>
      <w:bookmarkStart w:id="225" w:name="_Toc499738062"/>
      <w:r>
        <w:rPr>
          <w:rFonts w:hint="eastAsia" w:ascii="宋体" w:eastAsia="宋体" w:cs="宋体"/>
          <w:color w:val="auto"/>
        </w:rPr>
        <w:t>5.3 开标异议</w:t>
      </w:r>
      <w:bookmarkEnd w:id="225"/>
    </w:p>
    <w:p>
      <w:pPr>
        <w:spacing w:before="120" w:beforeLines="50" w:line="360" w:lineRule="exact"/>
        <w:ind w:firstLine="359" w:firstLineChars="171"/>
        <w:rPr>
          <w:rFonts w:hint="eastAsia" w:ascii="宋体" w:hAnsi="宋体" w:cs="宋体"/>
          <w:color w:val="auto"/>
        </w:rPr>
      </w:pPr>
      <w:r>
        <w:rPr>
          <w:rFonts w:hint="eastAsia" w:ascii="宋体" w:hAnsi="宋体" w:cs="宋体"/>
          <w:color w:val="auto"/>
        </w:rPr>
        <w:t>投标人对开标有异议的，应当在开标现场提出，招标人当场作出答复，并制作记录。</w:t>
      </w:r>
    </w:p>
    <w:p>
      <w:pPr>
        <w:pStyle w:val="6"/>
        <w:spacing w:before="120" w:beforeLines="50" w:line="360" w:lineRule="exact"/>
        <w:rPr>
          <w:rFonts w:hint="eastAsia" w:ascii="宋体" w:hAnsi="宋体" w:eastAsia="宋体" w:cs="宋体"/>
          <w:color w:val="auto"/>
        </w:rPr>
      </w:pPr>
      <w:bookmarkStart w:id="226" w:name="_Toc247527587"/>
      <w:bookmarkStart w:id="227" w:name="_Toc247513986"/>
      <w:bookmarkStart w:id="228" w:name="_Toc499738063"/>
      <w:bookmarkStart w:id="229" w:name="_Toc144974530"/>
      <w:bookmarkStart w:id="230" w:name="_Toc152045562"/>
      <w:bookmarkStart w:id="231" w:name="_Toc152042338"/>
      <w:r>
        <w:rPr>
          <w:rFonts w:hint="eastAsia" w:ascii="宋体" w:hAnsi="宋体" w:eastAsia="宋体" w:cs="宋体"/>
          <w:color w:val="auto"/>
        </w:rPr>
        <w:t>6. 评标</w:t>
      </w:r>
      <w:bookmarkEnd w:id="226"/>
      <w:bookmarkEnd w:id="227"/>
      <w:bookmarkEnd w:id="228"/>
      <w:bookmarkEnd w:id="229"/>
      <w:bookmarkEnd w:id="230"/>
      <w:bookmarkEnd w:id="231"/>
    </w:p>
    <w:p>
      <w:pPr>
        <w:pStyle w:val="7"/>
        <w:spacing w:before="120" w:beforeLines="50" w:line="360" w:lineRule="exact"/>
        <w:rPr>
          <w:rFonts w:hint="eastAsia" w:ascii="宋体" w:eastAsia="宋体" w:cs="宋体"/>
          <w:color w:val="auto"/>
        </w:rPr>
      </w:pPr>
      <w:bookmarkStart w:id="232" w:name="_Toc499738064"/>
      <w:bookmarkStart w:id="233" w:name="_Toc247527588"/>
      <w:bookmarkStart w:id="234" w:name="_Toc144974531"/>
      <w:bookmarkStart w:id="235" w:name="_Toc247513987"/>
      <w:bookmarkStart w:id="236" w:name="_Toc152045563"/>
      <w:bookmarkStart w:id="237" w:name="_Toc152042339"/>
      <w:r>
        <w:rPr>
          <w:rFonts w:hint="eastAsia" w:ascii="宋体" w:eastAsia="宋体" w:cs="宋体"/>
          <w:color w:val="auto"/>
        </w:rPr>
        <w:t>6.1 评标委员会</w:t>
      </w:r>
      <w:bookmarkEnd w:id="232"/>
      <w:bookmarkEnd w:id="233"/>
      <w:bookmarkEnd w:id="234"/>
      <w:bookmarkEnd w:id="235"/>
      <w:bookmarkEnd w:id="236"/>
      <w:bookmarkEnd w:id="237"/>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6.1.2 评标委员会成员有下列情形之一的，应当回避：</w:t>
      </w:r>
    </w:p>
    <w:p>
      <w:pPr>
        <w:spacing w:before="120" w:beforeLines="50" w:line="360" w:lineRule="exact"/>
        <w:ind w:firstLine="718" w:firstLineChars="342"/>
        <w:rPr>
          <w:rFonts w:hint="eastAsia" w:ascii="宋体" w:hAnsi="宋体" w:cs="宋体"/>
          <w:color w:val="auto"/>
        </w:rPr>
      </w:pPr>
      <w:r>
        <w:rPr>
          <w:rFonts w:hint="eastAsia" w:ascii="宋体" w:hAnsi="宋体" w:cs="宋体"/>
          <w:color w:val="auto"/>
        </w:rPr>
        <w:t>（1）投标人或投标人主要负责人的近亲属；</w:t>
      </w:r>
    </w:p>
    <w:p>
      <w:pPr>
        <w:spacing w:before="120" w:beforeLines="50" w:line="360" w:lineRule="exact"/>
        <w:ind w:firstLine="718" w:firstLineChars="342"/>
        <w:rPr>
          <w:rFonts w:hint="eastAsia" w:ascii="宋体" w:hAnsi="宋体" w:cs="宋体"/>
          <w:color w:val="auto"/>
        </w:rPr>
      </w:pPr>
      <w:r>
        <w:rPr>
          <w:rFonts w:hint="eastAsia" w:ascii="宋体" w:hAnsi="宋体" w:cs="宋体"/>
          <w:color w:val="auto"/>
        </w:rPr>
        <w:t>（2）项目主管部门或者行政监督部门的人员；</w:t>
      </w:r>
    </w:p>
    <w:p>
      <w:pPr>
        <w:spacing w:before="120" w:beforeLines="50" w:line="360" w:lineRule="exact"/>
        <w:ind w:firstLine="718" w:firstLineChars="342"/>
        <w:rPr>
          <w:rFonts w:hint="eastAsia" w:ascii="宋体" w:hAnsi="宋体" w:cs="宋体"/>
          <w:color w:val="auto"/>
        </w:rPr>
      </w:pPr>
      <w:r>
        <w:rPr>
          <w:rFonts w:hint="eastAsia" w:ascii="宋体" w:hAnsi="宋体" w:cs="宋体"/>
          <w:color w:val="auto"/>
        </w:rPr>
        <w:t>（3）与投标人有经济利益关系，可能影响对投标公正评审的；</w:t>
      </w:r>
    </w:p>
    <w:p>
      <w:pPr>
        <w:spacing w:before="120" w:beforeLines="50" w:line="360" w:lineRule="exact"/>
        <w:ind w:firstLine="718" w:firstLineChars="342"/>
        <w:rPr>
          <w:rFonts w:hint="eastAsia" w:ascii="宋体" w:hAnsi="宋体" w:cs="宋体"/>
          <w:color w:val="auto"/>
        </w:rPr>
      </w:pPr>
      <w:r>
        <w:rPr>
          <w:rFonts w:hint="eastAsia" w:ascii="宋体" w:hAnsi="宋体" w:cs="宋体"/>
          <w:color w:val="auto"/>
        </w:rPr>
        <w:t>（4）曾因在招标、评标以及其他与招标投标有关活动中从事违法行为而受过行政处罚或刑事处罚的；</w:t>
      </w:r>
    </w:p>
    <w:p>
      <w:pPr>
        <w:spacing w:before="120" w:beforeLines="50" w:line="360" w:lineRule="exact"/>
        <w:ind w:firstLine="718" w:firstLineChars="342"/>
        <w:rPr>
          <w:rFonts w:hint="eastAsia" w:ascii="宋体" w:hAnsi="宋体" w:cs="宋体"/>
          <w:color w:val="auto"/>
        </w:rPr>
      </w:pPr>
      <w:r>
        <w:rPr>
          <w:rFonts w:hint="eastAsia" w:ascii="宋体" w:hAnsi="宋体" w:cs="宋体"/>
          <w:color w:val="auto"/>
        </w:rPr>
        <w:t>（5）与投标人有其他利害关系。</w:t>
      </w:r>
    </w:p>
    <w:p>
      <w:pPr>
        <w:pStyle w:val="7"/>
        <w:spacing w:before="120" w:beforeLines="50" w:line="360" w:lineRule="exact"/>
        <w:rPr>
          <w:rFonts w:hint="eastAsia" w:ascii="宋体" w:eastAsia="宋体" w:cs="宋体"/>
          <w:color w:val="auto"/>
        </w:rPr>
      </w:pPr>
      <w:bookmarkStart w:id="238" w:name="_Toc247527589"/>
      <w:bookmarkStart w:id="239" w:name="_Toc247513988"/>
      <w:bookmarkStart w:id="240" w:name="_Toc152042340"/>
      <w:bookmarkStart w:id="241" w:name="_Toc499738065"/>
      <w:bookmarkStart w:id="242" w:name="_Toc152045564"/>
      <w:bookmarkStart w:id="243" w:name="_Toc144974532"/>
      <w:r>
        <w:rPr>
          <w:rFonts w:hint="eastAsia" w:ascii="宋体" w:eastAsia="宋体" w:cs="宋体"/>
          <w:color w:val="auto"/>
        </w:rPr>
        <w:t>6.2 评标原则</w:t>
      </w:r>
      <w:bookmarkEnd w:id="238"/>
      <w:bookmarkEnd w:id="239"/>
      <w:bookmarkEnd w:id="240"/>
      <w:bookmarkEnd w:id="241"/>
      <w:bookmarkEnd w:id="242"/>
      <w:bookmarkEnd w:id="243"/>
      <w:r>
        <w:rPr>
          <w:rFonts w:hint="eastAsia" w:ascii="宋体" w:eastAsia="宋体" w:cs="宋体"/>
          <w:color w:val="auto"/>
        </w:rPr>
        <w:tab/>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评标活动遵循公平、公正、科学和择优的原则。</w:t>
      </w:r>
    </w:p>
    <w:p>
      <w:pPr>
        <w:pStyle w:val="7"/>
        <w:spacing w:before="120" w:beforeLines="50" w:line="360" w:lineRule="exact"/>
        <w:rPr>
          <w:rFonts w:hint="eastAsia" w:ascii="宋体" w:eastAsia="宋体" w:cs="宋体"/>
          <w:color w:val="auto"/>
        </w:rPr>
      </w:pPr>
      <w:bookmarkStart w:id="244" w:name="_Toc152045565"/>
      <w:bookmarkStart w:id="245" w:name="_Toc144974533"/>
      <w:bookmarkStart w:id="246" w:name="_Toc247527590"/>
      <w:bookmarkStart w:id="247" w:name="_Toc152042341"/>
      <w:bookmarkStart w:id="248" w:name="_Toc499738066"/>
      <w:bookmarkStart w:id="249" w:name="_Toc247513989"/>
      <w:r>
        <w:rPr>
          <w:rFonts w:hint="eastAsia" w:ascii="宋体" w:eastAsia="宋体" w:cs="宋体"/>
          <w:color w:val="auto"/>
        </w:rPr>
        <w:t>6.3 评标</w:t>
      </w:r>
      <w:bookmarkEnd w:id="244"/>
      <w:bookmarkEnd w:id="245"/>
      <w:bookmarkEnd w:id="246"/>
      <w:bookmarkEnd w:id="247"/>
      <w:bookmarkEnd w:id="248"/>
      <w:bookmarkEnd w:id="249"/>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评标委员会按照第四章“评标办法”规定的方法、评审因素、标准和程序对投标文件进行评审。第四章“评标办法”没有规定的方法、评审因素和标准，不作为评标依据。</w:t>
      </w:r>
    </w:p>
    <w:p>
      <w:pPr>
        <w:pStyle w:val="6"/>
        <w:spacing w:before="120" w:beforeLines="50" w:line="360" w:lineRule="exact"/>
        <w:rPr>
          <w:rFonts w:hint="eastAsia" w:ascii="宋体" w:hAnsi="宋体" w:eastAsia="宋体" w:cs="宋体"/>
          <w:color w:val="auto"/>
        </w:rPr>
      </w:pPr>
      <w:bookmarkStart w:id="250" w:name="_Toc152045566"/>
      <w:bookmarkStart w:id="251" w:name="_Toc499738067"/>
      <w:bookmarkStart w:id="252" w:name="_Toc247527591"/>
      <w:bookmarkStart w:id="253" w:name="_Toc152042342"/>
      <w:bookmarkStart w:id="254" w:name="_Toc247513990"/>
      <w:bookmarkStart w:id="255" w:name="_Toc144974534"/>
      <w:r>
        <w:rPr>
          <w:rFonts w:hint="eastAsia" w:ascii="宋体" w:hAnsi="宋体" w:eastAsia="宋体" w:cs="宋体"/>
          <w:color w:val="auto"/>
        </w:rPr>
        <w:t>7. 合同授予</w:t>
      </w:r>
      <w:bookmarkEnd w:id="250"/>
      <w:bookmarkEnd w:id="251"/>
      <w:bookmarkEnd w:id="252"/>
      <w:bookmarkEnd w:id="253"/>
      <w:bookmarkEnd w:id="254"/>
      <w:bookmarkEnd w:id="255"/>
    </w:p>
    <w:p>
      <w:pPr>
        <w:pStyle w:val="7"/>
        <w:spacing w:before="120" w:beforeLines="50" w:line="360" w:lineRule="exact"/>
        <w:rPr>
          <w:rFonts w:hint="eastAsia" w:ascii="宋体" w:eastAsia="宋体" w:cs="宋体"/>
          <w:color w:val="auto"/>
        </w:rPr>
      </w:pPr>
      <w:bookmarkStart w:id="256" w:name="_Toc152045567"/>
      <w:bookmarkStart w:id="257" w:name="_Toc499738068"/>
      <w:bookmarkStart w:id="258" w:name="_Toc144974535"/>
      <w:bookmarkStart w:id="259" w:name="_Toc247527592"/>
      <w:bookmarkStart w:id="260" w:name="_Toc152042343"/>
      <w:bookmarkStart w:id="261" w:name="_Toc247513991"/>
      <w:r>
        <w:rPr>
          <w:rFonts w:hint="eastAsia" w:ascii="宋体" w:eastAsia="宋体" w:cs="宋体"/>
          <w:color w:val="auto"/>
        </w:rPr>
        <w:t>7.1 定标方式</w:t>
      </w:r>
      <w:bookmarkEnd w:id="256"/>
      <w:bookmarkEnd w:id="257"/>
      <w:bookmarkEnd w:id="258"/>
      <w:bookmarkEnd w:id="259"/>
      <w:bookmarkEnd w:id="260"/>
      <w:bookmarkEnd w:id="261"/>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除投标人须知前附表规定评标委员会直接确定中标人外，招标人依据评标委员会推荐的中标候选人确定中标人，评标委员会推荐中标候选人的人数见投标人须知前附表。</w:t>
      </w:r>
    </w:p>
    <w:p>
      <w:pPr>
        <w:pStyle w:val="7"/>
        <w:spacing w:before="120" w:beforeLines="50" w:line="360" w:lineRule="exact"/>
        <w:rPr>
          <w:rFonts w:hint="eastAsia" w:ascii="宋体" w:eastAsia="宋体" w:cs="宋体"/>
          <w:color w:val="auto"/>
        </w:rPr>
      </w:pPr>
      <w:bookmarkStart w:id="262" w:name="_Toc499738069"/>
      <w:r>
        <w:rPr>
          <w:rFonts w:hint="eastAsia" w:ascii="宋体" w:eastAsia="宋体" w:cs="宋体"/>
          <w:color w:val="auto"/>
        </w:rPr>
        <w:t>7.2 中标候选人公示</w:t>
      </w:r>
      <w:bookmarkEnd w:id="262"/>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招标人在投标人须知前附表规定的媒介公示中标候选人。</w:t>
      </w:r>
    </w:p>
    <w:p>
      <w:pPr>
        <w:pStyle w:val="7"/>
        <w:spacing w:before="120" w:beforeLines="50" w:line="360" w:lineRule="exact"/>
        <w:rPr>
          <w:rFonts w:hint="eastAsia" w:ascii="宋体" w:eastAsia="宋体" w:cs="宋体"/>
          <w:color w:val="auto"/>
        </w:rPr>
      </w:pPr>
      <w:bookmarkStart w:id="263" w:name="_Toc152045568"/>
      <w:bookmarkStart w:id="264" w:name="_Toc152042344"/>
      <w:bookmarkStart w:id="265" w:name="_Toc144974536"/>
      <w:bookmarkStart w:id="266" w:name="_Toc247513992"/>
      <w:bookmarkStart w:id="267" w:name="_Toc499738070"/>
      <w:bookmarkStart w:id="268" w:name="_Toc247527593"/>
      <w:r>
        <w:rPr>
          <w:rFonts w:hint="eastAsia" w:ascii="宋体" w:eastAsia="宋体" w:cs="宋体"/>
          <w:color w:val="auto"/>
        </w:rPr>
        <w:t>7.3 中标通知</w:t>
      </w:r>
      <w:bookmarkEnd w:id="263"/>
      <w:bookmarkEnd w:id="264"/>
      <w:bookmarkEnd w:id="265"/>
      <w:bookmarkEnd w:id="266"/>
      <w:bookmarkEnd w:id="267"/>
      <w:bookmarkEnd w:id="268"/>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在本章第3.3款规定的投标有效期内，招标人以书面形式向中标人发出中标通知书。</w:t>
      </w:r>
    </w:p>
    <w:p>
      <w:pPr>
        <w:pStyle w:val="7"/>
        <w:spacing w:before="120" w:beforeLines="50" w:line="360" w:lineRule="exact"/>
        <w:rPr>
          <w:rFonts w:hint="eastAsia" w:ascii="宋体" w:eastAsia="宋体" w:cs="宋体"/>
          <w:color w:val="auto"/>
        </w:rPr>
      </w:pPr>
      <w:bookmarkStart w:id="269" w:name="_Toc499738071"/>
      <w:bookmarkStart w:id="270" w:name="_Toc152042345"/>
      <w:bookmarkStart w:id="271" w:name="_Toc247513993"/>
      <w:bookmarkStart w:id="272" w:name="_Toc144974537"/>
      <w:bookmarkStart w:id="273" w:name="_Toc247527594"/>
      <w:bookmarkStart w:id="274" w:name="_Toc152045569"/>
      <w:r>
        <w:rPr>
          <w:rFonts w:hint="eastAsia" w:ascii="宋体" w:eastAsia="宋体" w:cs="宋体"/>
          <w:color w:val="auto"/>
        </w:rPr>
        <w:t>7.4 履约担保</w:t>
      </w:r>
      <w:bookmarkEnd w:id="269"/>
      <w:bookmarkEnd w:id="270"/>
      <w:bookmarkEnd w:id="271"/>
      <w:bookmarkEnd w:id="272"/>
      <w:bookmarkEnd w:id="273"/>
      <w:bookmarkEnd w:id="274"/>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7.4.1 在签订合同前，中标人应按投标人须知前附表规定的担保形式和招标文件第五章“合同条款及格式”规定的或者事先经过招标人书面认可的履约担保格式向招标人提交履约担保。除投标人须知前附表另有规定外，履约担保金额为中标合同金额的10%。</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7.4.2 中标人不能按本章第7.4.1项要求提交履约担保的，视为放弃中标，其投标保证金不予退还，给招标人造成的损失超过投标保证金数额的，中标人还应当对超过部分予以赔偿。</w:t>
      </w:r>
    </w:p>
    <w:p>
      <w:pPr>
        <w:pStyle w:val="7"/>
        <w:spacing w:before="120" w:beforeLines="50" w:line="360" w:lineRule="exact"/>
        <w:rPr>
          <w:rFonts w:hint="eastAsia" w:ascii="宋体" w:eastAsia="宋体" w:cs="宋体"/>
          <w:color w:val="auto"/>
        </w:rPr>
      </w:pPr>
      <w:bookmarkStart w:id="275" w:name="_Toc144974538"/>
      <w:bookmarkStart w:id="276" w:name="_Toc247513994"/>
      <w:bookmarkStart w:id="277" w:name="_Toc152045570"/>
      <w:bookmarkStart w:id="278" w:name="_Toc499738072"/>
      <w:bookmarkStart w:id="279" w:name="_Toc152042346"/>
      <w:bookmarkStart w:id="280" w:name="_Toc247527595"/>
      <w:r>
        <w:rPr>
          <w:rFonts w:hint="eastAsia" w:ascii="宋体" w:eastAsia="宋体" w:cs="宋体"/>
          <w:color w:val="auto"/>
        </w:rPr>
        <w:t>7.5 签订合同</w:t>
      </w:r>
      <w:bookmarkEnd w:id="275"/>
      <w:bookmarkEnd w:id="276"/>
      <w:bookmarkEnd w:id="277"/>
      <w:bookmarkEnd w:id="278"/>
      <w:bookmarkEnd w:id="279"/>
      <w:bookmarkEnd w:id="280"/>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 xml:space="preserve">7.5.1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 xml:space="preserve">7.5.2 发出中标通知书后，招标人无正当理由拒签合同的，招标人向中标人退还投标保证金；给中标人造成损失的，还应当赔偿损失。 </w:t>
      </w:r>
    </w:p>
    <w:p>
      <w:pPr>
        <w:pStyle w:val="6"/>
        <w:spacing w:before="120" w:beforeLines="50" w:line="360" w:lineRule="exact"/>
        <w:rPr>
          <w:rFonts w:hint="eastAsia" w:ascii="宋体" w:hAnsi="宋体" w:eastAsia="宋体" w:cs="宋体"/>
          <w:color w:val="auto"/>
        </w:rPr>
      </w:pPr>
      <w:bookmarkStart w:id="281" w:name="_Toc144974539"/>
      <w:bookmarkStart w:id="282" w:name="_Toc247513995"/>
      <w:bookmarkStart w:id="283" w:name="_Toc152045571"/>
      <w:bookmarkStart w:id="284" w:name="_Toc152042347"/>
      <w:bookmarkStart w:id="285" w:name="_Toc247527596"/>
      <w:bookmarkStart w:id="286" w:name="_Toc499738073"/>
      <w:r>
        <w:rPr>
          <w:rFonts w:hint="eastAsia" w:ascii="宋体" w:hAnsi="宋体" w:eastAsia="宋体" w:cs="宋体"/>
          <w:color w:val="auto"/>
        </w:rPr>
        <w:t>8.</w:t>
      </w:r>
      <w:bookmarkEnd w:id="281"/>
      <w:bookmarkEnd w:id="282"/>
      <w:bookmarkEnd w:id="283"/>
      <w:bookmarkEnd w:id="284"/>
      <w:bookmarkEnd w:id="285"/>
      <w:bookmarkStart w:id="287" w:name="_Toc144974542"/>
      <w:bookmarkStart w:id="288" w:name="_Toc247527599"/>
      <w:bookmarkStart w:id="289" w:name="_Toc247513998"/>
      <w:bookmarkStart w:id="290" w:name="_Toc152045574"/>
      <w:bookmarkStart w:id="291" w:name="_Toc152042350"/>
      <w:r>
        <w:rPr>
          <w:rFonts w:hint="eastAsia" w:ascii="宋体" w:hAnsi="宋体" w:eastAsia="宋体" w:cs="宋体"/>
          <w:color w:val="auto"/>
        </w:rPr>
        <w:t xml:space="preserve"> 纪律和监督</w:t>
      </w:r>
      <w:bookmarkEnd w:id="286"/>
      <w:bookmarkEnd w:id="287"/>
      <w:bookmarkEnd w:id="288"/>
      <w:bookmarkEnd w:id="289"/>
      <w:bookmarkEnd w:id="290"/>
      <w:bookmarkEnd w:id="291"/>
    </w:p>
    <w:p>
      <w:pPr>
        <w:pStyle w:val="7"/>
        <w:spacing w:before="120" w:beforeLines="50" w:line="360" w:lineRule="exact"/>
        <w:rPr>
          <w:rFonts w:hint="eastAsia" w:ascii="宋体" w:eastAsia="宋体" w:cs="宋体"/>
          <w:color w:val="auto"/>
        </w:rPr>
      </w:pPr>
      <w:bookmarkStart w:id="292" w:name="_Toc247513999"/>
      <w:bookmarkStart w:id="293" w:name="_Toc152045575"/>
      <w:bookmarkStart w:id="294" w:name="_Toc247527600"/>
      <w:bookmarkStart w:id="295" w:name="_Toc499738074"/>
      <w:bookmarkStart w:id="296" w:name="_Toc152042351"/>
      <w:bookmarkStart w:id="297" w:name="_Toc144974543"/>
      <w:r>
        <w:rPr>
          <w:rFonts w:hint="eastAsia" w:ascii="宋体" w:eastAsia="宋体" w:cs="宋体"/>
          <w:color w:val="auto"/>
        </w:rPr>
        <w:t>8.1 对招标人的纪律要求</w:t>
      </w:r>
      <w:bookmarkEnd w:id="292"/>
      <w:bookmarkEnd w:id="293"/>
      <w:bookmarkEnd w:id="294"/>
      <w:bookmarkEnd w:id="295"/>
      <w:bookmarkEnd w:id="296"/>
      <w:bookmarkEnd w:id="297"/>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招标人不得泄漏招标投标活动中应当保密的情况和资料，不得与投标人串通损害国家利益、社会公共利益或者他人合法权益。</w:t>
      </w:r>
    </w:p>
    <w:p>
      <w:pPr>
        <w:pStyle w:val="7"/>
        <w:spacing w:before="120" w:beforeLines="50" w:line="360" w:lineRule="exact"/>
        <w:rPr>
          <w:rFonts w:hint="eastAsia" w:ascii="宋体" w:eastAsia="宋体" w:cs="宋体"/>
          <w:color w:val="auto"/>
        </w:rPr>
      </w:pPr>
      <w:bookmarkStart w:id="298" w:name="_Toc152042352"/>
      <w:bookmarkStart w:id="299" w:name="_Toc144974544"/>
      <w:bookmarkStart w:id="300" w:name="_Toc152045576"/>
      <w:bookmarkStart w:id="301" w:name="_Toc499738075"/>
      <w:bookmarkStart w:id="302" w:name="_Toc247527601"/>
      <w:bookmarkStart w:id="303" w:name="_Toc247514000"/>
      <w:r>
        <w:rPr>
          <w:rFonts w:hint="eastAsia" w:ascii="宋体" w:eastAsia="宋体" w:cs="宋体"/>
          <w:color w:val="auto"/>
        </w:rPr>
        <w:t>8.2 对投标人的纪律要求</w:t>
      </w:r>
      <w:bookmarkEnd w:id="298"/>
      <w:bookmarkEnd w:id="299"/>
      <w:bookmarkEnd w:id="300"/>
      <w:bookmarkEnd w:id="301"/>
      <w:bookmarkEnd w:id="302"/>
      <w:bookmarkEnd w:id="303"/>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7"/>
        <w:spacing w:before="120" w:beforeLines="50" w:line="360" w:lineRule="exact"/>
        <w:rPr>
          <w:rFonts w:hint="eastAsia" w:ascii="宋体" w:eastAsia="宋体" w:cs="宋体"/>
          <w:color w:val="auto"/>
        </w:rPr>
      </w:pPr>
      <w:bookmarkStart w:id="304" w:name="_Toc152045577"/>
      <w:bookmarkStart w:id="305" w:name="_Toc499738076"/>
      <w:bookmarkStart w:id="306" w:name="_Toc247514001"/>
      <w:bookmarkStart w:id="307" w:name="_Toc152042353"/>
      <w:bookmarkStart w:id="308" w:name="_Toc247527602"/>
      <w:bookmarkStart w:id="309" w:name="_Toc144974545"/>
      <w:r>
        <w:rPr>
          <w:rFonts w:hint="eastAsia" w:ascii="宋体" w:eastAsia="宋体" w:cs="宋体"/>
          <w:color w:val="auto"/>
        </w:rPr>
        <w:t>8.3 对评标委员会成员的纪律要求</w:t>
      </w:r>
      <w:bookmarkEnd w:id="304"/>
      <w:bookmarkEnd w:id="305"/>
      <w:bookmarkEnd w:id="306"/>
      <w:bookmarkEnd w:id="307"/>
      <w:bookmarkEnd w:id="308"/>
      <w:bookmarkEnd w:id="309"/>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四章“评标办法”没有规定的评审因素和标准进行评标。</w:t>
      </w:r>
    </w:p>
    <w:p>
      <w:pPr>
        <w:pStyle w:val="7"/>
        <w:spacing w:before="120" w:beforeLines="50" w:line="360" w:lineRule="exact"/>
        <w:rPr>
          <w:rFonts w:hint="eastAsia" w:ascii="宋体" w:eastAsia="宋体" w:cs="宋体"/>
          <w:color w:val="auto"/>
        </w:rPr>
      </w:pPr>
      <w:bookmarkStart w:id="310" w:name="_Toc247527603"/>
      <w:bookmarkStart w:id="311" w:name="_Toc152042354"/>
      <w:bookmarkStart w:id="312" w:name="_Toc152045578"/>
      <w:bookmarkStart w:id="313" w:name="_Toc247514002"/>
      <w:bookmarkStart w:id="314" w:name="_Toc499738077"/>
      <w:bookmarkStart w:id="315" w:name="_Toc144974546"/>
      <w:r>
        <w:rPr>
          <w:rFonts w:hint="eastAsia" w:ascii="宋体" w:eastAsia="宋体" w:cs="宋体"/>
          <w:color w:val="auto"/>
        </w:rPr>
        <w:t>8.4 对与评标活动有关的工作人员的纪律要求</w:t>
      </w:r>
      <w:bookmarkEnd w:id="310"/>
      <w:bookmarkEnd w:id="311"/>
      <w:bookmarkEnd w:id="312"/>
      <w:bookmarkEnd w:id="313"/>
      <w:bookmarkEnd w:id="314"/>
    </w:p>
    <w:p>
      <w:pPr>
        <w:spacing w:before="120" w:beforeLines="50" w:line="360" w:lineRule="exact"/>
        <w:ind w:firstLine="420" w:firstLineChars="200"/>
        <w:rPr>
          <w:rFonts w:hint="eastAsia" w:ascii="宋体" w:hAnsi="宋体" w:cs="宋体"/>
          <w:color w:val="auto"/>
        </w:rPr>
      </w:pPr>
      <w:bookmarkStart w:id="316" w:name="_Toc152042355"/>
      <w:r>
        <w:rPr>
          <w:rFonts w:hint="eastAsia" w:ascii="宋体" w:hAnsi="宋体" w:cs="宋体"/>
          <w:color w:val="auto"/>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16"/>
    </w:p>
    <w:p>
      <w:pPr>
        <w:pStyle w:val="7"/>
        <w:spacing w:before="120" w:beforeLines="50" w:line="360" w:lineRule="exact"/>
        <w:rPr>
          <w:rFonts w:hint="eastAsia" w:ascii="宋体" w:eastAsia="宋体" w:cs="宋体"/>
          <w:color w:val="auto"/>
        </w:rPr>
      </w:pPr>
      <w:bookmarkStart w:id="317" w:name="_Toc499738078"/>
      <w:bookmarkStart w:id="318" w:name="_Toc247514003"/>
      <w:bookmarkStart w:id="319" w:name="_Toc152042356"/>
      <w:bookmarkStart w:id="320" w:name="_Toc152045579"/>
      <w:bookmarkStart w:id="321" w:name="_Toc247527604"/>
      <w:r>
        <w:rPr>
          <w:rFonts w:hint="eastAsia" w:ascii="宋体" w:eastAsia="宋体" w:cs="宋体"/>
          <w:color w:val="auto"/>
        </w:rPr>
        <w:t>8.5 投诉</w:t>
      </w:r>
      <w:bookmarkEnd w:id="315"/>
      <w:bookmarkEnd w:id="317"/>
      <w:bookmarkEnd w:id="318"/>
      <w:bookmarkEnd w:id="319"/>
      <w:bookmarkEnd w:id="320"/>
      <w:bookmarkEnd w:id="321"/>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投标人和其他利害关系人认为本次招标活动违反法律、法规和规章规定的，有权向有关行政监督部门投诉。</w:t>
      </w:r>
    </w:p>
    <w:p>
      <w:pPr>
        <w:snapToGrid w:val="0"/>
        <w:spacing w:line="360" w:lineRule="auto"/>
        <w:jc w:val="left"/>
        <w:rPr>
          <w:rStyle w:val="469"/>
          <w:rFonts w:ascii="Times New Roman" w:hAnsi="Times New Roman"/>
          <w:b w:val="0"/>
          <w:bCs w:val="0"/>
          <w:color w:val="auto"/>
        </w:rPr>
      </w:pPr>
      <w:r>
        <w:rPr>
          <w:rFonts w:hint="eastAsia" w:ascii="宋体" w:hAnsi="宋体" w:cs="宋体"/>
          <w:color w:val="auto"/>
        </w:rPr>
        <w:br w:type="page"/>
      </w:r>
      <w:r>
        <w:rPr>
          <w:rStyle w:val="469"/>
          <w:rFonts w:ascii="Times New Roman" w:hAnsi="Times New Roman"/>
          <w:b w:val="0"/>
          <w:bCs w:val="0"/>
          <w:color w:val="auto"/>
        </w:rPr>
        <w:t>附件2-1：电子投标文件编制及报送要求</w:t>
      </w:r>
    </w:p>
    <w:p>
      <w:pPr>
        <w:spacing w:before="360" w:beforeLines="150" w:after="360" w:afterLines="150" w:line="420" w:lineRule="exact"/>
        <w:jc w:val="center"/>
        <w:rPr>
          <w:rFonts w:eastAsia="黑体"/>
          <w:color w:val="auto"/>
          <w:sz w:val="28"/>
          <w:szCs w:val="28"/>
        </w:rPr>
      </w:pPr>
      <w:r>
        <w:rPr>
          <w:rFonts w:eastAsia="黑体"/>
          <w:color w:val="auto"/>
          <w:sz w:val="28"/>
          <w:szCs w:val="28"/>
        </w:rPr>
        <w:t>电子投标文件编制及报送要求</w:t>
      </w:r>
    </w:p>
    <w:p>
      <w:pPr>
        <w:pStyle w:val="6"/>
        <w:keepNext w:val="0"/>
        <w:keepLines w:val="0"/>
        <w:widowControl/>
        <w:shd w:val="clear" w:color="auto" w:fill="FFFFFF"/>
        <w:spacing w:before="0" w:after="0" w:line="600" w:lineRule="atLeast"/>
        <w:jc w:val="center"/>
        <w:rPr>
          <w:rFonts w:hint="eastAsia"/>
          <w:b w:val="0"/>
          <w:bCs w:val="0"/>
          <w:color w:val="auto"/>
          <w:sz w:val="18"/>
          <w:szCs w:val="18"/>
        </w:rPr>
      </w:pPr>
      <w:r>
        <w:rPr>
          <w:rFonts w:hint="eastAsia"/>
          <w:b w:val="0"/>
          <w:bCs w:val="0"/>
          <w:color w:val="auto"/>
          <w:sz w:val="18"/>
          <w:szCs w:val="18"/>
        </w:rPr>
        <w:t>说明</w:t>
      </w:r>
      <w:r>
        <w:rPr>
          <w:b w:val="0"/>
          <w:bCs w:val="0"/>
          <w:color w:val="auto"/>
          <w:sz w:val="18"/>
          <w:szCs w:val="18"/>
        </w:rPr>
        <w:t>：</w:t>
      </w:r>
      <w:r>
        <w:rPr>
          <w:rFonts w:hint="eastAsia"/>
          <w:b w:val="0"/>
          <w:bCs w:val="0"/>
          <w:color w:val="auto"/>
          <w:sz w:val="18"/>
          <w:szCs w:val="18"/>
        </w:rPr>
        <w:t>具体要求见岳阳市公共资源交易中心网</w:t>
      </w:r>
      <w:r>
        <w:rPr>
          <w:rFonts w:hint="eastAsia"/>
          <w:b w:val="0"/>
          <w:bCs w:val="0"/>
          <w:color w:val="auto"/>
          <w:sz w:val="18"/>
          <w:szCs w:val="18"/>
          <w:shd w:val="clear" w:color="auto" w:fill="FFFFFF"/>
        </w:rPr>
        <w:t>全流程电子化招投标操作手册</w:t>
      </w:r>
      <w:r>
        <w:rPr>
          <w:rFonts w:hint="eastAsia"/>
          <w:b w:val="0"/>
          <w:bCs w:val="0"/>
          <w:color w:val="auto"/>
          <w:sz w:val="18"/>
          <w:szCs w:val="18"/>
        </w:rPr>
        <w:t>。</w:t>
      </w:r>
    </w:p>
    <w:p>
      <w:pPr>
        <w:pStyle w:val="6"/>
        <w:keepNext w:val="0"/>
        <w:keepLines w:val="0"/>
        <w:widowControl/>
        <w:shd w:val="clear" w:color="auto" w:fill="FFFFFF"/>
        <w:spacing w:line="600" w:lineRule="atLeast"/>
        <w:jc w:val="center"/>
        <w:rPr>
          <w:rFonts w:ascii="Times New Roman" w:hAnsi="Times New Roman"/>
          <w:b w:val="0"/>
          <w:bCs w:val="0"/>
          <w:color w:val="auto"/>
          <w:sz w:val="24"/>
        </w:rPr>
      </w:pPr>
      <w:r>
        <w:rPr>
          <w:rFonts w:hint="eastAsia"/>
          <w:b w:val="0"/>
          <w:bCs w:val="0"/>
          <w:color w:val="auto"/>
          <w:sz w:val="18"/>
          <w:szCs w:val="18"/>
        </w:rPr>
        <w:br w:type="page"/>
      </w:r>
      <w:r>
        <w:rPr>
          <w:rFonts w:ascii="Times New Roman" w:hAnsi="Times New Roman"/>
          <w:b w:val="0"/>
          <w:bCs w:val="0"/>
          <w:color w:val="auto"/>
          <w:sz w:val="24"/>
        </w:rPr>
        <w:t>附件2-2：否决投标</w:t>
      </w:r>
      <w:r>
        <w:rPr>
          <w:rFonts w:hint="eastAsia" w:ascii="Times New Roman" w:hAnsi="Times New Roman"/>
          <w:b w:val="0"/>
          <w:bCs w:val="0"/>
          <w:color w:val="auto"/>
          <w:sz w:val="24"/>
        </w:rPr>
        <w:t>的</w:t>
      </w:r>
      <w:r>
        <w:rPr>
          <w:rFonts w:ascii="Times New Roman" w:hAnsi="Times New Roman"/>
          <w:b w:val="0"/>
          <w:bCs w:val="0"/>
          <w:color w:val="auto"/>
          <w:sz w:val="24"/>
        </w:rPr>
        <w:t>情形</w:t>
      </w:r>
    </w:p>
    <w:p>
      <w:pPr>
        <w:pStyle w:val="8"/>
        <w:ind w:firstLine="3609" w:firstLineChars="1289"/>
        <w:rPr>
          <w:rFonts w:ascii="Times New Roman" w:hAnsi="Times New Roman"/>
          <w:b w:val="0"/>
          <w:bCs w:val="0"/>
          <w:color w:val="auto"/>
        </w:rPr>
      </w:pPr>
      <w:r>
        <w:rPr>
          <w:rFonts w:ascii="Times New Roman" w:hAnsi="Times New Roman"/>
          <w:b w:val="0"/>
          <w:bCs w:val="0"/>
          <w:color w:val="auto"/>
          <w:sz w:val="28"/>
        </w:rPr>
        <w:t>否决投标</w:t>
      </w:r>
      <w:r>
        <w:rPr>
          <w:rFonts w:hint="eastAsia" w:ascii="Times New Roman" w:hAnsi="Times New Roman"/>
          <w:b w:val="0"/>
          <w:bCs w:val="0"/>
          <w:color w:val="auto"/>
          <w:sz w:val="28"/>
        </w:rPr>
        <w:t>的</w:t>
      </w:r>
      <w:r>
        <w:rPr>
          <w:rFonts w:ascii="Times New Roman" w:hAnsi="Times New Roman"/>
          <w:b w:val="0"/>
          <w:bCs w:val="0"/>
          <w:color w:val="auto"/>
          <w:sz w:val="28"/>
        </w:rPr>
        <w:t>情形</w:t>
      </w:r>
    </w:p>
    <w:p>
      <w:pPr>
        <w:adjustRightInd w:val="0"/>
        <w:snapToGrid w:val="0"/>
        <w:spacing w:line="360" w:lineRule="auto"/>
        <w:ind w:firstLine="420" w:firstLineChars="200"/>
        <w:rPr>
          <w:color w:val="auto"/>
          <w:szCs w:val="21"/>
        </w:rPr>
      </w:pPr>
      <w:r>
        <w:rPr>
          <w:color w:val="auto"/>
          <w:szCs w:val="21"/>
        </w:rPr>
        <w:t>本附件所集中列示的否决投标情形，是“评标办法”的组成部分，是对“投标人须知”和评标办法规定的否决投标情形的总结和补充，如果出现相互矛盾的情况，以“投标人须知”和评标办法正文部分的规定为准。</w:t>
      </w:r>
    </w:p>
    <w:p>
      <w:pPr>
        <w:pStyle w:val="242"/>
        <w:adjustRightInd w:val="0"/>
        <w:snapToGrid w:val="0"/>
        <w:spacing w:line="360" w:lineRule="auto"/>
        <w:ind w:firstLineChars="0"/>
        <w:rPr>
          <w:color w:val="auto"/>
          <w:szCs w:val="21"/>
        </w:rPr>
      </w:pPr>
      <w:r>
        <w:rPr>
          <w:color w:val="auto"/>
          <w:szCs w:val="21"/>
        </w:rPr>
        <w:t>投标人或其投标文件有下列情形之一的，其投标应当予以否决：</w:t>
      </w:r>
    </w:p>
    <w:p>
      <w:pPr>
        <w:adjustRightInd w:val="0"/>
        <w:snapToGrid w:val="0"/>
        <w:spacing w:line="360" w:lineRule="auto"/>
        <w:ind w:left="404"/>
        <w:rPr>
          <w:color w:val="auto"/>
          <w:szCs w:val="21"/>
        </w:rPr>
      </w:pPr>
      <w:r>
        <w:rPr>
          <w:color w:val="auto"/>
        </w:rPr>
        <w:t>1.1 有本章“投标人须知”第1.4.3项规定的任何一种情形的；</w:t>
      </w:r>
    </w:p>
    <w:p>
      <w:pPr>
        <w:adjustRightInd w:val="0"/>
        <w:snapToGrid w:val="0"/>
        <w:spacing w:line="360" w:lineRule="auto"/>
        <w:ind w:left="404"/>
        <w:rPr>
          <w:color w:val="auto"/>
        </w:rPr>
      </w:pPr>
      <w:r>
        <w:rPr>
          <w:color w:val="auto"/>
        </w:rPr>
        <w:t>1.2 投标人以他人名义投标、串通投标、以行贿手段谋取中标的；</w:t>
      </w:r>
    </w:p>
    <w:p>
      <w:pPr>
        <w:adjustRightInd w:val="0"/>
        <w:snapToGrid w:val="0"/>
        <w:spacing w:line="360" w:lineRule="auto"/>
        <w:ind w:firstLine="420" w:firstLineChars="200"/>
        <w:rPr>
          <w:color w:val="auto"/>
          <w:szCs w:val="21"/>
        </w:rPr>
      </w:pPr>
      <w:r>
        <w:rPr>
          <w:color w:val="auto"/>
        </w:rPr>
        <w:t xml:space="preserve">1.3 </w:t>
      </w:r>
      <w:r>
        <w:rPr>
          <w:rFonts w:hint="eastAsia"/>
          <w:color w:val="auto"/>
        </w:rPr>
        <w:t>资格评审时，投标人资格条件不符合国家有关规定或者招标文件要求的，或者拒不按照要求对投标文件</w:t>
      </w:r>
      <w:r>
        <w:rPr>
          <w:color w:val="auto"/>
        </w:rPr>
        <w:t>进行澄清、说明或补正，或者其说明补正无法证明其为合格投标人的；</w:t>
      </w:r>
    </w:p>
    <w:p>
      <w:pPr>
        <w:adjustRightInd w:val="0"/>
        <w:snapToGrid w:val="0"/>
        <w:spacing w:line="360" w:lineRule="auto"/>
        <w:ind w:firstLine="420" w:firstLineChars="200"/>
        <w:rPr>
          <w:color w:val="auto"/>
          <w:szCs w:val="21"/>
        </w:rPr>
      </w:pPr>
      <w:r>
        <w:rPr>
          <w:color w:val="auto"/>
        </w:rPr>
        <w:t>1.4 在形式评审、资格评审、响应性评审中，评标委员会认定投标文件不符合评标办法前附表规定</w:t>
      </w:r>
      <w:r>
        <w:rPr>
          <w:rFonts w:hint="eastAsia"/>
          <w:color w:val="auto"/>
        </w:rPr>
        <w:t>的任何一项</w:t>
      </w:r>
      <w:r>
        <w:rPr>
          <w:color w:val="auto"/>
        </w:rPr>
        <w:t>评审标准的；</w:t>
      </w:r>
    </w:p>
    <w:p>
      <w:pPr>
        <w:adjustRightInd w:val="0"/>
        <w:snapToGrid w:val="0"/>
        <w:spacing w:line="360" w:lineRule="auto"/>
        <w:ind w:firstLine="420" w:firstLineChars="200"/>
        <w:rPr>
          <w:color w:val="auto"/>
          <w:szCs w:val="21"/>
        </w:rPr>
      </w:pPr>
      <w:r>
        <w:rPr>
          <w:color w:val="auto"/>
        </w:rPr>
        <w:t>1.5 已进行资格预审的，当投标人资格申请文件的内容发生重大变化时，其在投标文件中更新的资料，未能通过资格评审的；</w:t>
      </w:r>
    </w:p>
    <w:p>
      <w:pPr>
        <w:adjustRightInd w:val="0"/>
        <w:snapToGrid w:val="0"/>
        <w:spacing w:line="360" w:lineRule="auto"/>
        <w:ind w:firstLine="420" w:firstLineChars="200"/>
        <w:rPr>
          <w:color w:val="auto"/>
          <w:szCs w:val="21"/>
        </w:rPr>
      </w:pPr>
      <w:r>
        <w:rPr>
          <w:color w:val="auto"/>
        </w:rPr>
        <w:t>1.</w:t>
      </w:r>
      <w:r>
        <w:rPr>
          <w:rFonts w:hint="eastAsia"/>
          <w:color w:val="auto"/>
        </w:rPr>
        <w:t>7电子评标时，未按规定时间解密的</w:t>
      </w:r>
      <w:r>
        <w:rPr>
          <w:color w:val="auto"/>
        </w:rPr>
        <w:t>；</w:t>
      </w:r>
    </w:p>
    <w:p>
      <w:pPr>
        <w:adjustRightInd w:val="0"/>
        <w:snapToGrid w:val="0"/>
        <w:spacing w:line="360" w:lineRule="auto"/>
        <w:ind w:firstLine="420" w:firstLineChars="200"/>
        <w:rPr>
          <w:color w:val="auto"/>
          <w:szCs w:val="21"/>
        </w:rPr>
      </w:pPr>
      <w:r>
        <w:rPr>
          <w:color w:val="auto"/>
        </w:rPr>
        <w:t>1.</w:t>
      </w:r>
      <w:r>
        <w:rPr>
          <w:rFonts w:hint="eastAsia"/>
          <w:color w:val="auto"/>
        </w:rPr>
        <w:t>8</w:t>
      </w:r>
      <w:r>
        <w:rPr>
          <w:color w:val="auto"/>
        </w:rPr>
        <w:t>投标报价有错误的，评标委员会按评标办法的有关规定对投标报价进行修正，并要求投标人</w:t>
      </w:r>
      <w:r>
        <w:rPr>
          <w:rFonts w:hint="eastAsia"/>
          <w:color w:val="auto"/>
        </w:rPr>
        <w:t>作出</w:t>
      </w:r>
      <w:r>
        <w:rPr>
          <w:color w:val="auto"/>
        </w:rPr>
        <w:t>书面澄清</w:t>
      </w:r>
      <w:r>
        <w:rPr>
          <w:rFonts w:hint="eastAsia"/>
          <w:color w:val="auto"/>
        </w:rPr>
        <w:t>说明和</w:t>
      </w:r>
      <w:r>
        <w:rPr>
          <w:color w:val="auto"/>
        </w:rPr>
        <w:t>确认</w:t>
      </w:r>
      <w:r>
        <w:rPr>
          <w:rFonts w:hint="eastAsia"/>
          <w:color w:val="auto"/>
        </w:rPr>
        <w:t>，</w:t>
      </w:r>
      <w:r>
        <w:rPr>
          <w:color w:val="auto"/>
        </w:rPr>
        <w:t>投标人拒不</w:t>
      </w:r>
      <w:r>
        <w:rPr>
          <w:rFonts w:hint="eastAsia"/>
          <w:color w:val="auto"/>
        </w:rPr>
        <w:t>作出</w:t>
      </w:r>
      <w:r>
        <w:rPr>
          <w:color w:val="auto"/>
        </w:rPr>
        <w:t>澄清</w:t>
      </w:r>
      <w:r>
        <w:rPr>
          <w:rFonts w:hint="eastAsia"/>
          <w:color w:val="auto"/>
        </w:rPr>
        <w:t>说明和</w:t>
      </w:r>
      <w:r>
        <w:rPr>
          <w:color w:val="auto"/>
        </w:rPr>
        <w:t>确认的；</w:t>
      </w:r>
    </w:p>
    <w:p>
      <w:pPr>
        <w:adjustRightInd w:val="0"/>
        <w:snapToGrid w:val="0"/>
        <w:spacing w:line="360" w:lineRule="auto"/>
        <w:ind w:firstLine="420" w:firstLineChars="200"/>
        <w:rPr>
          <w:rFonts w:hint="eastAsia"/>
          <w:color w:val="auto"/>
        </w:rPr>
      </w:pPr>
      <w:r>
        <w:rPr>
          <w:color w:val="auto"/>
        </w:rPr>
        <w:t>1.</w:t>
      </w:r>
      <w:r>
        <w:rPr>
          <w:rFonts w:hint="eastAsia"/>
          <w:color w:val="auto"/>
        </w:rPr>
        <w:t>9</w:t>
      </w:r>
      <w:r>
        <w:rPr>
          <w:color w:val="auto"/>
        </w:rPr>
        <w:t xml:space="preserve"> </w:t>
      </w:r>
      <w:r>
        <w:rPr>
          <w:rFonts w:hint="eastAsia"/>
          <w:color w:val="auto"/>
        </w:rPr>
        <w:t>投标文件存在弄虚作假或者隐瞒事实，或者未按照招标文件要求如实提供有关情况</w:t>
      </w:r>
    </w:p>
    <w:p>
      <w:pPr>
        <w:adjustRightInd w:val="0"/>
        <w:snapToGrid w:val="0"/>
        <w:spacing w:line="360" w:lineRule="auto"/>
        <w:rPr>
          <w:rFonts w:hint="eastAsia"/>
          <w:color w:val="auto"/>
        </w:rPr>
      </w:pPr>
      <w:r>
        <w:rPr>
          <w:rFonts w:hint="eastAsia"/>
          <w:color w:val="auto"/>
        </w:rPr>
        <w:t>和文件，以及证明资料且对投标人有利的，应当否决其投标。被列为中标候选人的，应当取消其中标候选人资格。</w:t>
      </w:r>
    </w:p>
    <w:p>
      <w:pPr>
        <w:spacing w:line="360" w:lineRule="auto"/>
        <w:ind w:firstLine="420" w:firstLineChars="200"/>
        <w:rPr>
          <w:color w:val="auto"/>
        </w:rPr>
      </w:pPr>
    </w:p>
    <w:p>
      <w:pPr>
        <w:adjustRightInd w:val="0"/>
        <w:snapToGrid w:val="0"/>
        <w:spacing w:line="440" w:lineRule="exact"/>
        <w:ind w:left="-441" w:leftChars="-210" w:right="-798" w:rightChars="-380" w:firstLine="441" w:firstLineChars="210"/>
        <w:jc w:val="left"/>
        <w:rPr>
          <w:rFonts w:ascii="Times New Roman" w:hAnsi="Times New Roman" w:eastAsia="黑体" w:cs="Times New Roman"/>
          <w:bCs/>
          <w:color w:val="auto"/>
          <w:sz w:val="24"/>
        </w:rPr>
      </w:pPr>
      <w:r>
        <w:rPr>
          <w:rFonts w:eastAsia="楷体_GB2312"/>
          <w:color w:val="auto"/>
          <w:szCs w:val="21"/>
        </w:rPr>
        <w:br w:type="page"/>
      </w:r>
      <w:r>
        <w:rPr>
          <w:rFonts w:ascii="Times New Roman" w:hAnsi="Times New Roman" w:eastAsia="黑体" w:cs="Times New Roman"/>
          <w:bCs/>
          <w:color w:val="auto"/>
          <w:sz w:val="24"/>
        </w:rPr>
        <w:t>附件2-3：投标报价成本评审办法</w:t>
      </w:r>
    </w:p>
    <w:p>
      <w:pPr>
        <w:spacing w:before="240" w:beforeLines="100" w:after="120" w:afterLines="50" w:line="430" w:lineRule="exact"/>
        <w:jc w:val="center"/>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投标报价成本评审办法</w:t>
      </w:r>
    </w:p>
    <w:p>
      <w:pPr>
        <w:spacing w:before="240" w:beforeLines="100" w:after="120" w:afterLines="50" w:line="430" w:lineRule="exact"/>
        <w:jc w:val="center"/>
        <w:rPr>
          <w:rFonts w:ascii="黑体" w:hAnsi="宋体" w:eastAsia="黑体" w:cs="Times New Roman"/>
          <w:color w:val="auto"/>
          <w:sz w:val="28"/>
          <w:szCs w:val="28"/>
        </w:rPr>
      </w:pPr>
    </w:p>
    <w:p>
      <w:pPr>
        <w:spacing w:line="360" w:lineRule="auto"/>
        <w:rPr>
          <w:rFonts w:ascii="黑体" w:hAnsi="宋体" w:eastAsia="黑体" w:cs="Times New Roman"/>
          <w:color w:val="auto"/>
          <w:sz w:val="24"/>
        </w:rPr>
      </w:pPr>
      <w:r>
        <w:rPr>
          <w:rFonts w:hint="eastAsia" w:ascii="黑体" w:hAnsi="宋体" w:eastAsia="黑体" w:cs="Times New Roman"/>
          <w:color w:val="auto"/>
          <w:sz w:val="24"/>
        </w:rPr>
        <w:t>D0.总  则</w:t>
      </w:r>
    </w:p>
    <w:p>
      <w:pPr>
        <w:spacing w:line="360" w:lineRule="auto"/>
        <w:ind w:firstLine="420" w:firstLineChars="200"/>
        <w:rPr>
          <w:rFonts w:ascii="宋体" w:hAnsi="宋体" w:eastAsia="宋体" w:cs="Times New Roman"/>
          <w:color w:val="auto"/>
        </w:rPr>
      </w:pPr>
      <w:r>
        <w:rPr>
          <w:rFonts w:hint="eastAsia" w:ascii="宋体" w:hAnsi="宋体" w:eastAsia="宋体" w:cs="Times New Roman"/>
          <w:color w:val="auto"/>
        </w:rPr>
        <w:t>本附件是本章“评标办法”的组成部分，评标委员会按照本章第3.2.2项的规定，对投标人投标报价是否低于其成本进行评审和判断时，适用本附件所规定的办法。</w:t>
      </w:r>
    </w:p>
    <w:p>
      <w:pPr>
        <w:spacing w:line="360" w:lineRule="auto"/>
        <w:rPr>
          <w:rFonts w:ascii="黑体" w:hAnsi="宋体" w:eastAsia="黑体" w:cs="Times New Roman"/>
          <w:color w:val="auto"/>
          <w:sz w:val="24"/>
        </w:rPr>
      </w:pPr>
      <w:r>
        <w:rPr>
          <w:rFonts w:hint="eastAsia" w:ascii="黑体" w:hAnsi="宋体" w:eastAsia="黑体" w:cs="Times New Roman"/>
          <w:color w:val="auto"/>
          <w:sz w:val="24"/>
        </w:rPr>
        <w:t>D1.评审程序</w:t>
      </w:r>
    </w:p>
    <w:p>
      <w:pPr>
        <w:spacing w:line="360" w:lineRule="auto"/>
        <w:rPr>
          <w:rFonts w:ascii="宋体" w:hAnsi="宋体" w:eastAsia="宋体" w:cs="Times New Roman"/>
          <w:bCs/>
          <w:color w:val="auto"/>
        </w:rPr>
      </w:pPr>
      <w:r>
        <w:rPr>
          <w:rFonts w:hint="eastAsia" w:ascii="宋体" w:hAnsi="宋体" w:eastAsia="宋体" w:cs="Times New Roman"/>
          <w:bCs/>
          <w:color w:val="auto"/>
        </w:rPr>
        <w:t>D1.1 启动成本评审工作的前提条件</w:t>
      </w:r>
    </w:p>
    <w:p>
      <w:pPr>
        <w:spacing w:line="360" w:lineRule="auto"/>
        <w:ind w:firstLine="420" w:firstLineChars="200"/>
        <w:rPr>
          <w:rFonts w:ascii="宋体" w:hAnsi="宋体" w:eastAsia="宋体" w:cs="Times New Roman"/>
          <w:color w:val="auto"/>
        </w:rPr>
      </w:pPr>
      <w:r>
        <w:rPr>
          <w:rFonts w:hint="eastAsia" w:ascii="宋体" w:hAnsi="宋体" w:eastAsia="宋体" w:cs="Times New Roman"/>
          <w:color w:val="auto"/>
        </w:rPr>
        <w:t>在满足下列两项条件的前提下，评标委员会应当启动并进行本办法所规定的评审，以判别投标人的投标报价是否低于其成本：</w:t>
      </w:r>
    </w:p>
    <w:p>
      <w:pPr>
        <w:spacing w:line="360" w:lineRule="auto"/>
        <w:ind w:firstLine="420" w:firstLineChars="200"/>
        <w:rPr>
          <w:rFonts w:ascii="宋体" w:hAnsi="宋体" w:eastAsia="宋体" w:cs="Times New Roman"/>
          <w:color w:val="auto"/>
        </w:rPr>
      </w:pPr>
      <w:r>
        <w:rPr>
          <w:rFonts w:hint="eastAsia" w:ascii="宋体" w:hAnsi="宋体" w:eastAsia="宋体" w:cs="Times New Roman"/>
          <w:color w:val="auto"/>
        </w:rPr>
        <w:t>D1.1.1 投标人的投标文件已经通过本章“评标办法”规定的“初步评审”，不存在应当废标的情形；</w:t>
      </w:r>
    </w:p>
    <w:p>
      <w:pPr>
        <w:spacing w:line="360" w:lineRule="auto"/>
        <w:ind w:firstLine="420" w:firstLineChars="200"/>
        <w:rPr>
          <w:rFonts w:ascii="宋体" w:hAnsi="宋体" w:eastAsia="宋体" w:cs="Times New Roman"/>
          <w:color w:val="auto"/>
        </w:rPr>
      </w:pPr>
      <w:r>
        <w:rPr>
          <w:rFonts w:hint="eastAsia" w:ascii="宋体" w:hAnsi="宋体" w:eastAsia="宋体" w:cs="Times New Roman"/>
          <w:color w:val="auto"/>
        </w:rPr>
        <w:t>D1.1.2 投标人的投标报价下浮以下限度的（以下二种情形由招标人根据情况选择）：</w:t>
      </w:r>
    </w:p>
    <w:p>
      <w:pPr>
        <w:spacing w:line="360" w:lineRule="auto"/>
        <w:rPr>
          <w:rFonts w:ascii="宋体" w:hAnsi="宋体" w:eastAsia="宋体" w:cs="Times New Roman"/>
          <w:color w:val="auto"/>
          <w:kern w:val="0"/>
          <w:highlight w:val="yellow"/>
        </w:rPr>
      </w:pPr>
      <w:r>
        <w:rPr>
          <w:rFonts w:hint="eastAsia" w:ascii="宋体" w:hAnsi="宋体" w:eastAsia="宋体" w:cs="Times New Roman"/>
          <w:color w:val="auto"/>
          <w:kern w:val="0"/>
          <w:highlight w:val="yellow"/>
        </w:rPr>
        <w:t>（1）有效投标报价算术平均值5%</w:t>
      </w:r>
    </w:p>
    <w:p>
      <w:pPr>
        <w:spacing w:line="360" w:lineRule="auto"/>
        <w:rPr>
          <w:rFonts w:ascii="宋体" w:hAnsi="宋体" w:eastAsia="宋体" w:cs="Times New Roman"/>
          <w:bCs/>
          <w:color w:val="auto"/>
        </w:rPr>
      </w:pPr>
      <w:r>
        <w:rPr>
          <w:rFonts w:hint="eastAsia" w:ascii="宋体" w:hAnsi="宋体" w:eastAsia="宋体" w:cs="Times New Roman"/>
          <w:bCs/>
          <w:color w:val="auto"/>
        </w:rPr>
        <w:t>D1.2判断投标报价是否低于成本</w:t>
      </w:r>
    </w:p>
    <w:p>
      <w:pPr>
        <w:adjustRightInd w:val="0"/>
        <w:snapToGrid w:val="0"/>
        <w:spacing w:line="360" w:lineRule="auto"/>
        <w:ind w:firstLine="420" w:firstLineChars="200"/>
        <w:rPr>
          <w:rFonts w:ascii="宋体" w:hAnsi="宋体" w:eastAsia="宋体" w:cs="Times New Roman"/>
          <w:color w:val="auto"/>
          <w:szCs w:val="21"/>
        </w:rPr>
      </w:pPr>
      <w:r>
        <w:rPr>
          <w:rFonts w:hint="eastAsia" w:ascii="宋体" w:hAnsi="宋体" w:eastAsia="宋体" w:cs="Times New Roman"/>
          <w:color w:val="auto"/>
          <w:kern w:val="0"/>
        </w:rPr>
        <w:t>对下浮低于有效投标报价算术平均值5%的投标报价，评标委员会可以通过以下方法对投标报价作出评审结论：</w:t>
      </w:r>
    </w:p>
    <w:p>
      <w:pPr>
        <w:spacing w:line="360" w:lineRule="auto"/>
        <w:rPr>
          <w:rFonts w:hint="eastAsia" w:ascii="宋体" w:hAnsi="宋体" w:eastAsia="宋体" w:cs="Times New Roman"/>
          <w:b/>
          <w:bCs/>
          <w:color w:val="auto"/>
          <w:kern w:val="0"/>
        </w:rPr>
      </w:pPr>
      <w:r>
        <w:rPr>
          <w:rFonts w:hint="eastAsia" w:ascii="宋体" w:hAnsi="宋体" w:eastAsia="宋体" w:cs="Times New Roman"/>
          <w:b/>
          <w:bCs/>
          <w:color w:val="auto"/>
          <w:kern w:val="0"/>
        </w:rPr>
        <w:t>（一）对下浮低于有效投标报价算术平均值5%的投标报价，确定</w:t>
      </w:r>
      <w:r>
        <w:rPr>
          <w:rFonts w:hint="eastAsia" w:ascii="宋体" w:hAnsi="宋体" w:eastAsia="宋体" w:cs="宋体"/>
          <w:b/>
          <w:bCs/>
          <w:color w:val="auto"/>
          <w:kern w:val="0"/>
        </w:rPr>
        <w:t>为无效报价，计0分。</w:t>
      </w:r>
    </w:p>
    <w:p>
      <w:pPr>
        <w:widowControl/>
        <w:jc w:val="left"/>
        <w:rPr>
          <w:rFonts w:hint="eastAsia" w:ascii="宋体" w:hAnsi="宋体" w:cs="宋体"/>
          <w:color w:val="auto"/>
          <w:szCs w:val="21"/>
        </w:rPr>
      </w:pPr>
    </w:p>
    <w:p>
      <w:pPr>
        <w:adjustRightInd w:val="0"/>
        <w:snapToGrid w:val="0"/>
        <w:spacing w:line="360" w:lineRule="auto"/>
        <w:ind w:firstLine="420" w:firstLineChars="200"/>
        <w:rPr>
          <w:rFonts w:ascii="宋体" w:hAnsi="宋体"/>
          <w:color w:val="auto"/>
          <w:kern w:val="0"/>
        </w:rPr>
      </w:pPr>
      <w:r>
        <w:rPr>
          <w:rFonts w:hint="eastAsia" w:ascii="宋体" w:hAnsi="宋体" w:cs="宋体"/>
          <w:color w:val="auto"/>
          <w:szCs w:val="21"/>
        </w:rPr>
        <w:br w:type="page"/>
      </w:r>
    </w:p>
    <w:p>
      <w:pPr>
        <w:spacing w:line="400" w:lineRule="exact"/>
        <w:ind w:firstLine="420" w:firstLineChars="200"/>
        <w:rPr>
          <w:rFonts w:hint="eastAsia" w:ascii="宋体" w:hAnsi="宋体" w:cs="宋体"/>
          <w:color w:val="auto"/>
        </w:rPr>
      </w:pPr>
    </w:p>
    <w:p>
      <w:pPr>
        <w:spacing w:line="440" w:lineRule="exact"/>
        <w:rPr>
          <w:rFonts w:hint="eastAsia" w:ascii="宋体" w:hAnsi="宋体" w:cs="宋体"/>
          <w:color w:val="auto"/>
        </w:rPr>
      </w:pPr>
    </w:p>
    <w:p>
      <w:pPr>
        <w:spacing w:line="440" w:lineRule="exact"/>
        <w:rPr>
          <w:rFonts w:hint="eastAsia" w:ascii="宋体" w:hAnsi="宋体" w:cs="宋体"/>
          <w:color w:val="auto"/>
        </w:rPr>
      </w:pPr>
    </w:p>
    <w:p>
      <w:pPr>
        <w:spacing w:line="440" w:lineRule="exact"/>
        <w:rPr>
          <w:rFonts w:hint="eastAsia" w:ascii="宋体" w:hAnsi="宋体" w:cs="宋体"/>
          <w:color w:val="auto"/>
        </w:rPr>
      </w:pPr>
    </w:p>
    <w:p>
      <w:pPr>
        <w:spacing w:line="440" w:lineRule="exact"/>
        <w:rPr>
          <w:rFonts w:hint="eastAsia" w:ascii="宋体" w:hAnsi="宋体" w:cs="宋体"/>
          <w:color w:val="auto"/>
        </w:rPr>
      </w:pPr>
    </w:p>
    <w:p>
      <w:pPr>
        <w:spacing w:line="440" w:lineRule="exact"/>
        <w:rPr>
          <w:rFonts w:hint="eastAsia" w:ascii="宋体" w:hAnsi="宋体" w:cs="宋体"/>
          <w:color w:val="auto"/>
        </w:rPr>
      </w:pPr>
    </w:p>
    <w:p>
      <w:pPr>
        <w:spacing w:line="440" w:lineRule="exact"/>
        <w:rPr>
          <w:rFonts w:hint="eastAsia" w:ascii="宋体" w:hAnsi="宋体" w:cs="宋体"/>
          <w:color w:val="auto"/>
        </w:rPr>
      </w:pPr>
    </w:p>
    <w:p>
      <w:pPr>
        <w:spacing w:line="440" w:lineRule="exact"/>
        <w:rPr>
          <w:rFonts w:hint="eastAsia" w:ascii="宋体" w:hAnsi="宋体" w:cs="宋体"/>
          <w:color w:val="auto"/>
        </w:rPr>
      </w:pPr>
    </w:p>
    <w:p>
      <w:pPr>
        <w:spacing w:line="440" w:lineRule="exact"/>
        <w:rPr>
          <w:rFonts w:hint="eastAsia" w:ascii="宋体" w:hAnsi="宋体" w:cs="宋体"/>
          <w:color w:val="auto"/>
        </w:rPr>
      </w:pPr>
    </w:p>
    <w:p>
      <w:pPr>
        <w:spacing w:line="440" w:lineRule="exact"/>
        <w:rPr>
          <w:rFonts w:hint="eastAsia" w:ascii="宋体" w:hAnsi="宋体" w:cs="宋体"/>
          <w:color w:val="auto"/>
        </w:rPr>
      </w:pPr>
    </w:p>
    <w:p>
      <w:pPr>
        <w:spacing w:line="440" w:lineRule="exact"/>
        <w:rPr>
          <w:rFonts w:hint="eastAsia" w:ascii="宋体" w:hAnsi="宋体" w:cs="宋体"/>
          <w:color w:val="auto"/>
          <w:szCs w:val="32"/>
        </w:rPr>
      </w:pPr>
    </w:p>
    <w:p>
      <w:pPr>
        <w:pStyle w:val="5"/>
        <w:numPr>
          <w:ilvl w:val="0"/>
          <w:numId w:val="8"/>
        </w:numPr>
        <w:jc w:val="center"/>
        <w:rPr>
          <w:rFonts w:hint="eastAsia" w:ascii="宋体" w:hAnsi="宋体" w:cs="宋体"/>
          <w:color w:val="auto"/>
        </w:rPr>
      </w:pPr>
      <w:bookmarkStart w:id="322" w:name="_Toc499738085"/>
      <w:r>
        <w:rPr>
          <w:rFonts w:hint="eastAsia" w:ascii="宋体" w:hAnsi="宋体" w:cs="宋体"/>
          <w:color w:val="auto"/>
        </w:rPr>
        <w:t>设计技术要求</w:t>
      </w:r>
      <w:bookmarkEnd w:id="322"/>
    </w:p>
    <w:p>
      <w:pPr>
        <w:jc w:val="center"/>
        <w:rPr>
          <w:rFonts w:hint="eastAsia"/>
          <w:color w:val="auto"/>
        </w:rPr>
      </w:pPr>
      <w:r>
        <w:rPr>
          <w:rFonts w:hint="eastAsia" w:ascii="宋体" w:hAnsi="宋体" w:cs="宋体"/>
          <w:color w:val="auto"/>
          <w:sz w:val="32"/>
          <w:szCs w:val="40"/>
        </w:rPr>
        <w:t>详见初步设计文件及相关概算（另册）</w:t>
      </w:r>
    </w:p>
    <w:p>
      <w:pPr>
        <w:jc w:val="center"/>
        <w:rPr>
          <w:rFonts w:hint="eastAsia" w:ascii="宋体" w:hAnsi="宋体" w:cs="宋体"/>
          <w:color w:val="auto"/>
        </w:rPr>
      </w:pPr>
      <w:r>
        <w:rPr>
          <w:rFonts w:hint="eastAsia" w:ascii="宋体" w:hAnsi="宋体" w:cs="宋体"/>
          <w:color w:val="auto"/>
          <w:szCs w:val="21"/>
        </w:rPr>
        <w:br w:type="page"/>
      </w:r>
      <w:bookmarkStart w:id="323" w:name="_Toc152042375"/>
      <w:bookmarkStart w:id="324" w:name="_Toc499738086"/>
      <w:bookmarkStart w:id="325" w:name="_Toc247527623"/>
      <w:bookmarkStart w:id="326" w:name="_Toc144974565"/>
      <w:bookmarkStart w:id="327" w:name="_Toc247514022"/>
      <w:bookmarkStart w:id="328" w:name="_Toc152045598"/>
      <w:r>
        <w:rPr>
          <w:rFonts w:hint="eastAsia" w:ascii="宋体" w:hAnsi="宋体" w:cs="宋体"/>
          <w:b/>
          <w:bCs/>
          <w:color w:val="auto"/>
          <w:sz w:val="36"/>
          <w:szCs w:val="44"/>
        </w:rPr>
        <w:t>第四章 评标办法（综合评估法）</w:t>
      </w:r>
      <w:bookmarkEnd w:id="323"/>
      <w:bookmarkEnd w:id="324"/>
      <w:bookmarkEnd w:id="325"/>
      <w:bookmarkEnd w:id="326"/>
      <w:bookmarkEnd w:id="327"/>
      <w:bookmarkEnd w:id="328"/>
    </w:p>
    <w:p>
      <w:pPr>
        <w:pStyle w:val="6"/>
        <w:jc w:val="center"/>
        <w:rPr>
          <w:rFonts w:hint="eastAsia" w:ascii="宋体" w:hAnsi="宋体" w:eastAsia="宋体" w:cs="宋体"/>
          <w:color w:val="auto"/>
        </w:rPr>
      </w:pPr>
      <w:bookmarkStart w:id="329" w:name="_Toc152045599"/>
      <w:bookmarkStart w:id="330" w:name="_Toc152042376"/>
      <w:bookmarkStart w:id="331" w:name="_Toc144974566"/>
      <w:bookmarkStart w:id="332" w:name="_Toc247527624"/>
      <w:bookmarkStart w:id="333" w:name="_Toc247514023"/>
      <w:bookmarkStart w:id="334" w:name="_Toc499738087"/>
      <w:r>
        <w:rPr>
          <w:rFonts w:hint="eastAsia" w:ascii="宋体" w:hAnsi="宋体" w:eastAsia="宋体" w:cs="宋体"/>
          <w:color w:val="auto"/>
        </w:rPr>
        <w:t>评标办法前附表</w:t>
      </w:r>
      <w:bookmarkEnd w:id="329"/>
      <w:bookmarkEnd w:id="330"/>
      <w:bookmarkEnd w:id="331"/>
      <w:bookmarkEnd w:id="332"/>
      <w:bookmarkEnd w:id="333"/>
      <w:bookmarkEnd w:id="334"/>
    </w:p>
    <w:tbl>
      <w:tblPr>
        <w:tblStyle w:val="67"/>
        <w:tblW w:w="988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8"/>
        <w:gridCol w:w="1125"/>
        <w:gridCol w:w="2751"/>
        <w:gridCol w:w="2520"/>
        <w:gridCol w:w="25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2093" w:type="dxa"/>
            <w:gridSpan w:val="2"/>
            <w:vAlign w:val="center"/>
          </w:tcPr>
          <w:p>
            <w:pPr>
              <w:spacing w:before="120" w:beforeLines="50" w:after="120" w:afterLines="50" w:line="280" w:lineRule="exact"/>
              <w:jc w:val="center"/>
              <w:rPr>
                <w:rFonts w:hint="eastAsia" w:ascii="宋体" w:hAnsi="宋体" w:cs="宋体"/>
                <w:b/>
                <w:color w:val="auto"/>
                <w:szCs w:val="21"/>
              </w:rPr>
            </w:pPr>
            <w:r>
              <w:rPr>
                <w:rFonts w:hint="eastAsia" w:ascii="宋体" w:hAnsi="宋体" w:cs="宋体"/>
                <w:b/>
                <w:color w:val="auto"/>
                <w:szCs w:val="21"/>
              </w:rPr>
              <w:t>条款号</w:t>
            </w:r>
          </w:p>
        </w:tc>
        <w:tc>
          <w:tcPr>
            <w:tcW w:w="2751" w:type="dxa"/>
            <w:vAlign w:val="center"/>
          </w:tcPr>
          <w:p>
            <w:pPr>
              <w:spacing w:before="120" w:beforeLines="50" w:after="120" w:afterLines="50" w:line="280" w:lineRule="exact"/>
              <w:jc w:val="center"/>
              <w:rPr>
                <w:rFonts w:hint="eastAsia" w:ascii="宋体" w:hAnsi="宋体" w:cs="宋体"/>
                <w:b/>
                <w:color w:val="auto"/>
                <w:szCs w:val="21"/>
              </w:rPr>
            </w:pPr>
            <w:r>
              <w:rPr>
                <w:rFonts w:hint="eastAsia" w:ascii="宋体" w:hAnsi="宋体" w:cs="宋体"/>
                <w:b/>
                <w:color w:val="auto"/>
                <w:szCs w:val="21"/>
              </w:rPr>
              <w:t>评审因素</w:t>
            </w:r>
          </w:p>
        </w:tc>
        <w:tc>
          <w:tcPr>
            <w:tcW w:w="5038" w:type="dxa"/>
            <w:gridSpan w:val="2"/>
            <w:vAlign w:val="center"/>
          </w:tcPr>
          <w:p>
            <w:pPr>
              <w:spacing w:before="120" w:beforeLines="50" w:after="120" w:afterLines="50" w:line="280" w:lineRule="exact"/>
              <w:jc w:val="center"/>
              <w:rPr>
                <w:rFonts w:hint="eastAsia" w:ascii="宋体" w:hAnsi="宋体" w:cs="宋体"/>
                <w:b/>
                <w:color w:val="auto"/>
                <w:szCs w:val="21"/>
              </w:rPr>
            </w:pPr>
            <w:r>
              <w:rPr>
                <w:rFonts w:hint="eastAsia" w:ascii="宋体" w:hAnsi="宋体" w:cs="宋体"/>
                <w:b/>
                <w:color w:val="auto"/>
                <w:szCs w:val="21"/>
              </w:rPr>
              <w:t>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8" w:type="dxa"/>
            <w:vMerge w:val="restart"/>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2.1.1</w:t>
            </w:r>
          </w:p>
        </w:tc>
        <w:tc>
          <w:tcPr>
            <w:tcW w:w="1125" w:type="dxa"/>
            <w:vMerge w:val="restart"/>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形式评审标准</w:t>
            </w:r>
          </w:p>
        </w:tc>
        <w:tc>
          <w:tcPr>
            <w:tcW w:w="2751" w:type="dxa"/>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投标人名称</w:t>
            </w:r>
          </w:p>
        </w:tc>
        <w:tc>
          <w:tcPr>
            <w:tcW w:w="5038" w:type="dxa"/>
            <w:gridSpan w:val="2"/>
            <w:vAlign w:val="center"/>
          </w:tcPr>
          <w:p>
            <w:pPr>
              <w:spacing w:before="120" w:beforeLines="50" w:after="120" w:afterLines="50" w:line="280" w:lineRule="exact"/>
              <w:jc w:val="left"/>
              <w:rPr>
                <w:rFonts w:hint="eastAsia" w:ascii="宋体" w:hAnsi="宋体" w:cs="宋体"/>
                <w:color w:val="auto"/>
                <w:szCs w:val="21"/>
              </w:rPr>
            </w:pPr>
            <w:r>
              <w:rPr>
                <w:rFonts w:hint="eastAsia" w:ascii="宋体" w:hAnsi="宋体" w:cs="宋体"/>
                <w:color w:val="auto"/>
                <w:szCs w:val="21"/>
              </w:rPr>
              <w:t>与营业执照、资质证书等资料一致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8"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1125"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2751" w:type="dxa"/>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投标函签字盖章</w:t>
            </w:r>
          </w:p>
        </w:tc>
        <w:tc>
          <w:tcPr>
            <w:tcW w:w="5038" w:type="dxa"/>
            <w:gridSpan w:val="2"/>
            <w:vAlign w:val="center"/>
          </w:tcPr>
          <w:p>
            <w:pPr>
              <w:spacing w:before="120" w:beforeLines="50" w:after="120" w:afterLines="50" w:line="280" w:lineRule="exact"/>
              <w:rPr>
                <w:rFonts w:hint="eastAsia" w:ascii="宋体" w:hAnsi="宋体" w:cs="宋体"/>
                <w:color w:val="auto"/>
                <w:szCs w:val="21"/>
              </w:rPr>
            </w:pPr>
            <w:r>
              <w:rPr>
                <w:rFonts w:hint="eastAsia" w:ascii="宋体" w:hAnsi="宋体" w:cs="宋体"/>
                <w:color w:val="auto"/>
                <w:szCs w:val="21"/>
              </w:rPr>
              <w:t>有法定代表人或其委托代理人签字或加盖单位章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8"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1125"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2751" w:type="dxa"/>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投标文件格式</w:t>
            </w:r>
          </w:p>
        </w:tc>
        <w:tc>
          <w:tcPr>
            <w:tcW w:w="5038" w:type="dxa"/>
            <w:gridSpan w:val="2"/>
            <w:vAlign w:val="center"/>
          </w:tcPr>
          <w:p>
            <w:pPr>
              <w:spacing w:before="120" w:beforeLines="50" w:after="120" w:afterLines="50" w:line="280" w:lineRule="exact"/>
              <w:rPr>
                <w:rFonts w:hint="eastAsia" w:ascii="宋体" w:hAnsi="宋体" w:cs="宋体"/>
                <w:color w:val="auto"/>
                <w:szCs w:val="21"/>
              </w:rPr>
            </w:pPr>
            <w:r>
              <w:rPr>
                <w:rFonts w:hint="eastAsia" w:ascii="宋体" w:hAnsi="宋体" w:cs="宋体"/>
                <w:color w:val="auto"/>
                <w:szCs w:val="21"/>
              </w:rPr>
              <w:t>符合第七章“投标文件格式”的要求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8"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1125"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2751" w:type="dxa"/>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联合体投标人</w:t>
            </w:r>
          </w:p>
        </w:tc>
        <w:tc>
          <w:tcPr>
            <w:tcW w:w="5038" w:type="dxa"/>
            <w:gridSpan w:val="2"/>
            <w:vAlign w:val="center"/>
          </w:tcPr>
          <w:p>
            <w:pPr>
              <w:spacing w:before="120" w:beforeLines="50" w:after="120" w:afterLines="50" w:line="280" w:lineRule="exact"/>
              <w:rPr>
                <w:rFonts w:hint="eastAsia" w:ascii="宋体" w:hAnsi="宋体" w:cs="宋体"/>
                <w:color w:val="auto"/>
                <w:szCs w:val="21"/>
              </w:rPr>
            </w:pPr>
            <w:r>
              <w:rPr>
                <w:rFonts w:hint="eastAsia" w:ascii="宋体" w:hAnsi="宋体" w:cs="宋体"/>
                <w:color w:val="auto"/>
                <w:szCs w:val="21"/>
              </w:rPr>
              <w:t>提交联合体协议书，并明确联合体牵头人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8"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1125"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2751" w:type="dxa"/>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报价唯一</w:t>
            </w:r>
          </w:p>
        </w:tc>
        <w:tc>
          <w:tcPr>
            <w:tcW w:w="5038" w:type="dxa"/>
            <w:gridSpan w:val="2"/>
            <w:vAlign w:val="center"/>
          </w:tcPr>
          <w:p>
            <w:pPr>
              <w:spacing w:before="120" w:beforeLines="50" w:after="120" w:afterLines="50" w:line="280" w:lineRule="exact"/>
              <w:rPr>
                <w:rFonts w:hint="eastAsia" w:ascii="宋体" w:hAnsi="宋体" w:cs="宋体"/>
                <w:color w:val="auto"/>
                <w:szCs w:val="21"/>
              </w:rPr>
            </w:pPr>
            <w:r>
              <w:rPr>
                <w:rFonts w:hint="eastAsia" w:ascii="宋体" w:hAnsi="宋体" w:cs="宋体"/>
                <w:color w:val="auto"/>
                <w:szCs w:val="21"/>
              </w:rPr>
              <w:t>只能有一个有效报价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1" w:hRule="atLeast"/>
          <w:jc w:val="center"/>
        </w:trPr>
        <w:tc>
          <w:tcPr>
            <w:tcW w:w="968"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1125"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2751" w:type="dxa"/>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w:t>
            </w:r>
          </w:p>
        </w:tc>
        <w:tc>
          <w:tcPr>
            <w:tcW w:w="5038" w:type="dxa"/>
            <w:gridSpan w:val="2"/>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1" w:hRule="atLeast"/>
          <w:jc w:val="center"/>
        </w:trPr>
        <w:tc>
          <w:tcPr>
            <w:tcW w:w="968"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1125"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7789" w:type="dxa"/>
            <w:gridSpan w:val="3"/>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详见本章附表3-1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8" w:type="dxa"/>
            <w:vMerge w:val="restart"/>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2.1.2</w:t>
            </w:r>
          </w:p>
        </w:tc>
        <w:tc>
          <w:tcPr>
            <w:tcW w:w="1125" w:type="dxa"/>
            <w:vMerge w:val="restart"/>
            <w:vAlign w:val="center"/>
          </w:tcPr>
          <w:p>
            <w:pPr>
              <w:spacing w:before="120" w:beforeLines="50" w:after="120" w:afterLines="50" w:line="280" w:lineRule="exact"/>
              <w:jc w:val="center"/>
              <w:rPr>
                <w:rFonts w:ascii="宋体" w:hAnsi="宋体" w:cs="宋体"/>
                <w:color w:val="auto"/>
                <w:szCs w:val="21"/>
              </w:rPr>
            </w:pPr>
            <w:r>
              <w:rPr>
                <w:rFonts w:hint="eastAsia" w:ascii="宋体" w:hAnsi="宋体" w:cs="宋体"/>
                <w:color w:val="auto"/>
                <w:szCs w:val="21"/>
              </w:rPr>
              <w:t>资格性评审</w:t>
            </w:r>
          </w:p>
        </w:tc>
        <w:tc>
          <w:tcPr>
            <w:tcW w:w="2751" w:type="dxa"/>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营业执照副本</w:t>
            </w:r>
          </w:p>
        </w:tc>
        <w:tc>
          <w:tcPr>
            <w:tcW w:w="5038" w:type="dxa"/>
            <w:gridSpan w:val="2"/>
            <w:vAlign w:val="top"/>
          </w:tcPr>
          <w:p>
            <w:pPr>
              <w:spacing w:before="120" w:beforeLines="50" w:after="120" w:afterLines="50" w:line="280" w:lineRule="exact"/>
              <w:jc w:val="left"/>
              <w:rPr>
                <w:rFonts w:hint="eastAsia" w:ascii="宋体" w:hAnsi="宋体" w:cs="宋体"/>
                <w:color w:val="auto"/>
                <w:szCs w:val="21"/>
              </w:rPr>
            </w:pPr>
            <w:r>
              <w:rPr>
                <w:rFonts w:hint="eastAsia" w:ascii="宋体" w:hAnsi="宋体" w:cs="宋体"/>
                <w:color w:val="auto"/>
                <w:szCs w:val="21"/>
              </w:rPr>
              <w:t>具备有效的营业执照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8"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1125"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2751" w:type="dxa"/>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资质等级证书副本</w:t>
            </w:r>
          </w:p>
        </w:tc>
        <w:tc>
          <w:tcPr>
            <w:tcW w:w="5038" w:type="dxa"/>
            <w:gridSpan w:val="2"/>
            <w:vAlign w:val="center"/>
          </w:tcPr>
          <w:p>
            <w:pPr>
              <w:spacing w:before="120" w:beforeLines="50" w:after="120" w:afterLines="50" w:line="280" w:lineRule="exact"/>
              <w:jc w:val="left"/>
              <w:rPr>
                <w:rFonts w:hint="eastAsia" w:ascii="宋体" w:hAnsi="宋体" w:cs="宋体"/>
                <w:color w:val="auto"/>
                <w:szCs w:val="21"/>
              </w:rPr>
            </w:pPr>
            <w:r>
              <w:rPr>
                <w:rFonts w:hint="eastAsia" w:ascii="宋体" w:hAnsi="宋体" w:cs="宋体"/>
                <w:color w:val="auto"/>
                <w:szCs w:val="21"/>
              </w:rPr>
              <w:t>符合第二章“投标人须知”的规定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8"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1125"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2751" w:type="dxa"/>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企业安全生产许可证副本</w:t>
            </w:r>
          </w:p>
        </w:tc>
        <w:tc>
          <w:tcPr>
            <w:tcW w:w="5038" w:type="dxa"/>
            <w:gridSpan w:val="2"/>
            <w:vAlign w:val="top"/>
          </w:tcPr>
          <w:p>
            <w:pPr>
              <w:spacing w:before="120" w:beforeLines="50" w:after="120" w:afterLines="50" w:line="280" w:lineRule="exact"/>
              <w:jc w:val="left"/>
              <w:rPr>
                <w:rFonts w:hint="eastAsia" w:ascii="宋体" w:hAnsi="宋体" w:cs="宋体"/>
                <w:color w:val="auto"/>
                <w:szCs w:val="21"/>
              </w:rPr>
            </w:pPr>
            <w:r>
              <w:rPr>
                <w:rFonts w:hint="eastAsia" w:ascii="宋体" w:hAnsi="宋体" w:cs="宋体"/>
                <w:color w:val="auto"/>
                <w:szCs w:val="21"/>
              </w:rPr>
              <w:t>具备有效的企业安全生产许可证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8"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1125"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2751" w:type="dxa"/>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拟任项目经理资格</w:t>
            </w:r>
          </w:p>
        </w:tc>
        <w:tc>
          <w:tcPr>
            <w:tcW w:w="5038" w:type="dxa"/>
            <w:gridSpan w:val="2"/>
            <w:vAlign w:val="center"/>
          </w:tcPr>
          <w:p>
            <w:pPr>
              <w:spacing w:before="120" w:beforeLines="50" w:after="120" w:afterLines="50" w:line="280" w:lineRule="exact"/>
              <w:jc w:val="left"/>
              <w:rPr>
                <w:rFonts w:hint="eastAsia" w:ascii="宋体" w:hAnsi="宋体" w:cs="宋体"/>
                <w:color w:val="auto"/>
                <w:szCs w:val="21"/>
              </w:rPr>
            </w:pPr>
            <w:r>
              <w:rPr>
                <w:rFonts w:hint="eastAsia" w:ascii="宋体" w:hAnsi="宋体" w:cs="宋体"/>
                <w:color w:val="auto"/>
                <w:szCs w:val="21"/>
              </w:rPr>
              <w:t>符合第二章“投标人须知”的规定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8"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1125"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2751" w:type="dxa"/>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拟任设计负责人资格</w:t>
            </w:r>
          </w:p>
        </w:tc>
        <w:tc>
          <w:tcPr>
            <w:tcW w:w="5038" w:type="dxa"/>
            <w:gridSpan w:val="2"/>
            <w:vAlign w:val="top"/>
          </w:tcPr>
          <w:p>
            <w:pPr>
              <w:spacing w:before="120" w:beforeLines="50" w:after="120" w:afterLines="50" w:line="280" w:lineRule="exact"/>
              <w:jc w:val="left"/>
              <w:rPr>
                <w:rFonts w:hint="eastAsia" w:ascii="宋体" w:hAnsi="宋体" w:cs="宋体"/>
                <w:color w:val="auto"/>
                <w:szCs w:val="21"/>
              </w:rPr>
            </w:pPr>
            <w:r>
              <w:rPr>
                <w:rFonts w:hint="eastAsia" w:ascii="宋体" w:hAnsi="宋体" w:cs="宋体"/>
                <w:color w:val="auto"/>
                <w:szCs w:val="21"/>
              </w:rPr>
              <w:t>符合第二章“投标人须知”的规定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8"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1125"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2751" w:type="dxa"/>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拟任技术负责人资格</w:t>
            </w:r>
          </w:p>
        </w:tc>
        <w:tc>
          <w:tcPr>
            <w:tcW w:w="5038" w:type="dxa"/>
            <w:gridSpan w:val="2"/>
            <w:vAlign w:val="top"/>
          </w:tcPr>
          <w:p>
            <w:pPr>
              <w:spacing w:before="120" w:beforeLines="50" w:after="120" w:afterLines="50" w:line="280" w:lineRule="exact"/>
              <w:jc w:val="left"/>
              <w:rPr>
                <w:rFonts w:hint="eastAsia" w:ascii="宋体" w:hAnsi="宋体" w:cs="宋体"/>
                <w:color w:val="auto"/>
                <w:szCs w:val="21"/>
              </w:rPr>
            </w:pPr>
            <w:r>
              <w:rPr>
                <w:rFonts w:hint="eastAsia" w:ascii="宋体" w:hAnsi="宋体" w:cs="宋体"/>
                <w:color w:val="auto"/>
                <w:szCs w:val="21"/>
              </w:rPr>
              <w:t>符合第二章“投标人须知”的规定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8"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1125"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2751" w:type="dxa"/>
            <w:vAlign w:val="center"/>
          </w:tcPr>
          <w:p>
            <w:pPr>
              <w:spacing w:before="120" w:beforeLines="50" w:after="120" w:afterLines="50" w:line="280" w:lineRule="exact"/>
              <w:jc w:val="center"/>
              <w:rPr>
                <w:rFonts w:ascii="宋体" w:hAnsi="宋体" w:cs="宋体"/>
                <w:color w:val="auto"/>
                <w:szCs w:val="21"/>
              </w:rPr>
            </w:pPr>
            <w:r>
              <w:rPr>
                <w:rFonts w:hint="eastAsia" w:ascii="宋体" w:hAnsi="宋体" w:cs="宋体"/>
                <w:color w:val="auto"/>
                <w:szCs w:val="21"/>
              </w:rPr>
              <w:t>....</w:t>
            </w:r>
          </w:p>
        </w:tc>
        <w:tc>
          <w:tcPr>
            <w:tcW w:w="5038" w:type="dxa"/>
            <w:gridSpan w:val="2"/>
            <w:vAlign w:val="top"/>
          </w:tcPr>
          <w:p>
            <w:pPr>
              <w:spacing w:before="120" w:beforeLines="50" w:after="120" w:afterLines="50" w:line="280" w:lineRule="exact"/>
              <w:jc w:val="left"/>
              <w:rPr>
                <w:rFonts w:ascii="宋体" w:hAnsi="宋体" w:cs="宋体"/>
                <w:color w:val="auto"/>
                <w:szCs w:val="21"/>
              </w:rPr>
            </w:pP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8"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1125"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2751" w:type="dxa"/>
            <w:vAlign w:val="center"/>
          </w:tcPr>
          <w:p>
            <w:pPr>
              <w:spacing w:before="120" w:beforeLines="50" w:after="120" w:afterLines="50" w:line="280" w:lineRule="exact"/>
              <w:jc w:val="center"/>
              <w:rPr>
                <w:rFonts w:ascii="宋体" w:hAnsi="宋体" w:cs="宋体"/>
                <w:color w:val="auto"/>
                <w:szCs w:val="21"/>
              </w:rPr>
            </w:pPr>
            <w:r>
              <w:rPr>
                <w:rFonts w:hint="eastAsia" w:ascii="宋体" w:hAnsi="宋体" w:cs="宋体"/>
                <w:color w:val="auto"/>
                <w:szCs w:val="21"/>
              </w:rPr>
              <w:t>其他要求</w:t>
            </w:r>
          </w:p>
        </w:tc>
        <w:tc>
          <w:tcPr>
            <w:tcW w:w="5038" w:type="dxa"/>
            <w:gridSpan w:val="2"/>
            <w:vAlign w:val="top"/>
          </w:tcPr>
          <w:p>
            <w:pPr>
              <w:spacing w:before="120" w:beforeLines="50" w:after="120" w:afterLines="50" w:line="280" w:lineRule="exact"/>
              <w:jc w:val="left"/>
              <w:rPr>
                <w:rFonts w:hint="eastAsia" w:ascii="宋体" w:hAnsi="宋体" w:cs="宋体"/>
                <w:color w:val="auto"/>
                <w:szCs w:val="21"/>
              </w:rPr>
            </w:pPr>
            <w:r>
              <w:rPr>
                <w:rFonts w:hint="eastAsia" w:ascii="宋体" w:hAnsi="宋体" w:cs="宋体"/>
                <w:color w:val="auto"/>
                <w:szCs w:val="21"/>
              </w:rPr>
              <w:t>符合第二章“投标人须知”的规定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8"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1125"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7789" w:type="dxa"/>
            <w:gridSpan w:val="3"/>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详见本章附表3-2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8"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1125"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7789" w:type="dxa"/>
            <w:gridSpan w:val="3"/>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详见本章附表3-3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8" w:type="dxa"/>
            <w:vMerge w:val="restart"/>
            <w:vAlign w:val="center"/>
          </w:tcPr>
          <w:p>
            <w:pPr>
              <w:spacing w:before="120" w:beforeLines="50" w:after="120" w:afterLines="50" w:line="280" w:lineRule="exact"/>
              <w:jc w:val="center"/>
              <w:rPr>
                <w:rFonts w:hint="eastAsia" w:ascii="宋体" w:hAnsi="宋体" w:cs="宋体"/>
                <w:color w:val="auto"/>
                <w:szCs w:val="21"/>
              </w:rPr>
            </w:pPr>
          </w:p>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2.1.3</w:t>
            </w:r>
          </w:p>
        </w:tc>
        <w:tc>
          <w:tcPr>
            <w:tcW w:w="1125" w:type="dxa"/>
            <w:vMerge w:val="restart"/>
            <w:vAlign w:val="center"/>
          </w:tcPr>
          <w:p>
            <w:pPr>
              <w:spacing w:before="120" w:beforeLines="50" w:after="120" w:afterLines="50" w:line="280" w:lineRule="exact"/>
              <w:jc w:val="center"/>
              <w:rPr>
                <w:rFonts w:hint="eastAsia" w:ascii="宋体" w:hAnsi="宋体" w:cs="宋体"/>
                <w:color w:val="auto"/>
                <w:szCs w:val="21"/>
              </w:rPr>
            </w:pPr>
          </w:p>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响应性评审标准</w:t>
            </w:r>
          </w:p>
        </w:tc>
        <w:tc>
          <w:tcPr>
            <w:tcW w:w="2751" w:type="dxa"/>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投标报价</w:t>
            </w:r>
          </w:p>
        </w:tc>
        <w:tc>
          <w:tcPr>
            <w:tcW w:w="5038" w:type="dxa"/>
            <w:gridSpan w:val="2"/>
            <w:vAlign w:val="center"/>
          </w:tcPr>
          <w:p>
            <w:pPr>
              <w:spacing w:before="120" w:beforeLines="50" w:after="120" w:afterLines="50" w:line="280" w:lineRule="exact"/>
              <w:rPr>
                <w:rFonts w:hint="eastAsia" w:ascii="宋体" w:hAnsi="宋体" w:cs="宋体"/>
                <w:color w:val="auto"/>
                <w:szCs w:val="21"/>
              </w:rPr>
            </w:pPr>
            <w:r>
              <w:rPr>
                <w:rFonts w:hint="eastAsia" w:ascii="宋体" w:hAnsi="宋体" w:cs="宋体"/>
                <w:color w:val="auto"/>
                <w:szCs w:val="21"/>
              </w:rPr>
              <w:t>符合第二章“投标人须知”第3.2.4项规定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8"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1125"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2751" w:type="dxa"/>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投标内容</w:t>
            </w:r>
          </w:p>
        </w:tc>
        <w:tc>
          <w:tcPr>
            <w:tcW w:w="5038" w:type="dxa"/>
            <w:gridSpan w:val="2"/>
            <w:vAlign w:val="center"/>
          </w:tcPr>
          <w:p>
            <w:pPr>
              <w:spacing w:before="120" w:beforeLines="50" w:after="120" w:afterLines="50" w:line="280" w:lineRule="exact"/>
              <w:rPr>
                <w:rFonts w:hint="eastAsia" w:ascii="宋体" w:hAnsi="宋体" w:cs="宋体"/>
                <w:color w:val="auto"/>
                <w:szCs w:val="21"/>
              </w:rPr>
            </w:pPr>
            <w:r>
              <w:rPr>
                <w:rFonts w:hint="eastAsia" w:ascii="宋体" w:hAnsi="宋体" w:cs="宋体"/>
                <w:color w:val="auto"/>
                <w:szCs w:val="21"/>
              </w:rPr>
              <w:t>符合第二章“投标人须知”第1.3.1项规定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8"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1125"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2751" w:type="dxa"/>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工期</w:t>
            </w:r>
          </w:p>
        </w:tc>
        <w:tc>
          <w:tcPr>
            <w:tcW w:w="5038" w:type="dxa"/>
            <w:gridSpan w:val="2"/>
            <w:vAlign w:val="center"/>
          </w:tcPr>
          <w:p>
            <w:pPr>
              <w:spacing w:before="120" w:beforeLines="50" w:after="120" w:afterLines="50" w:line="280" w:lineRule="exact"/>
              <w:rPr>
                <w:rFonts w:hint="eastAsia" w:ascii="宋体" w:hAnsi="宋体" w:cs="宋体"/>
                <w:color w:val="auto"/>
                <w:szCs w:val="21"/>
              </w:rPr>
            </w:pPr>
            <w:r>
              <w:rPr>
                <w:rFonts w:hint="eastAsia" w:ascii="宋体" w:hAnsi="宋体" w:cs="宋体"/>
                <w:color w:val="auto"/>
                <w:szCs w:val="21"/>
              </w:rPr>
              <w:t>符合第二章“投标人须知”第1.3.2项规定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8"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1125"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2751" w:type="dxa"/>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质量标准</w:t>
            </w:r>
          </w:p>
        </w:tc>
        <w:tc>
          <w:tcPr>
            <w:tcW w:w="5038" w:type="dxa"/>
            <w:gridSpan w:val="2"/>
            <w:vAlign w:val="center"/>
          </w:tcPr>
          <w:p>
            <w:pPr>
              <w:spacing w:before="120" w:beforeLines="50" w:after="120" w:afterLines="50" w:line="280" w:lineRule="exact"/>
              <w:rPr>
                <w:rFonts w:hint="eastAsia" w:ascii="宋体" w:hAnsi="宋体" w:cs="宋体"/>
                <w:color w:val="auto"/>
                <w:szCs w:val="21"/>
              </w:rPr>
            </w:pPr>
            <w:r>
              <w:rPr>
                <w:rFonts w:hint="eastAsia" w:ascii="宋体" w:hAnsi="宋体" w:cs="宋体"/>
                <w:color w:val="auto"/>
                <w:szCs w:val="21"/>
              </w:rPr>
              <w:t>符合第二章“投标人须知”第1.3.3项规定</w:t>
            </w:r>
          </w:p>
        </w:tc>
      </w:tr>
      <w:tr>
        <w:tblPrEx>
          <w:tblLayout w:type="fixed"/>
          <w:tblCellMar>
            <w:top w:w="0" w:type="dxa"/>
            <w:left w:w="108" w:type="dxa"/>
            <w:bottom w:w="0" w:type="dxa"/>
            <w:right w:w="108" w:type="dxa"/>
          </w:tblCellMar>
        </w:tblPrEx>
        <w:trPr>
          <w:jc w:val="center"/>
        </w:trPr>
        <w:tc>
          <w:tcPr>
            <w:tcW w:w="968"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1125"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2751" w:type="dxa"/>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投标有效期</w:t>
            </w:r>
          </w:p>
        </w:tc>
        <w:tc>
          <w:tcPr>
            <w:tcW w:w="5038" w:type="dxa"/>
            <w:gridSpan w:val="2"/>
            <w:vAlign w:val="center"/>
          </w:tcPr>
          <w:p>
            <w:pPr>
              <w:spacing w:before="120" w:beforeLines="50" w:after="120" w:afterLines="50" w:line="280" w:lineRule="exact"/>
              <w:rPr>
                <w:rFonts w:hint="eastAsia" w:ascii="宋体" w:hAnsi="宋体" w:cs="宋体"/>
                <w:color w:val="auto"/>
                <w:szCs w:val="21"/>
              </w:rPr>
            </w:pPr>
            <w:r>
              <w:rPr>
                <w:rFonts w:hint="eastAsia" w:ascii="宋体" w:hAnsi="宋体" w:cs="宋体"/>
                <w:color w:val="auto"/>
                <w:szCs w:val="21"/>
              </w:rPr>
              <w:t>符合第二章“投标人须知”第3.3.1项规定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8"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1125"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2751" w:type="dxa"/>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投标保证金</w:t>
            </w:r>
          </w:p>
        </w:tc>
        <w:tc>
          <w:tcPr>
            <w:tcW w:w="5038" w:type="dxa"/>
            <w:gridSpan w:val="2"/>
            <w:vAlign w:val="center"/>
          </w:tcPr>
          <w:p>
            <w:pPr>
              <w:spacing w:before="120" w:beforeLines="50" w:after="120" w:afterLines="50" w:line="280" w:lineRule="exact"/>
              <w:rPr>
                <w:rFonts w:hint="eastAsia" w:ascii="宋体" w:hAnsi="宋体" w:cs="宋体"/>
                <w:color w:val="auto"/>
                <w:szCs w:val="21"/>
              </w:rPr>
            </w:pPr>
            <w:r>
              <w:rPr>
                <w:rFonts w:hint="eastAsia" w:ascii="宋体" w:hAnsi="宋体" w:cs="宋体"/>
                <w:color w:val="auto"/>
                <w:szCs w:val="21"/>
              </w:rPr>
              <w:t>符合第二章“投标人须知”第3.4款规定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8"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1125"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2751" w:type="dxa"/>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权利义务</w:t>
            </w:r>
          </w:p>
        </w:tc>
        <w:tc>
          <w:tcPr>
            <w:tcW w:w="5038" w:type="dxa"/>
            <w:gridSpan w:val="2"/>
            <w:vAlign w:val="center"/>
          </w:tcPr>
          <w:p>
            <w:pPr>
              <w:spacing w:before="120" w:beforeLines="50" w:after="120" w:afterLines="50" w:line="280" w:lineRule="exact"/>
              <w:rPr>
                <w:rFonts w:hint="eastAsia" w:ascii="宋体" w:hAnsi="宋体" w:cs="宋体"/>
                <w:color w:val="auto"/>
                <w:szCs w:val="21"/>
              </w:rPr>
            </w:pPr>
            <w:r>
              <w:rPr>
                <w:rFonts w:hint="eastAsia" w:ascii="宋体" w:hAnsi="宋体" w:cs="宋体"/>
                <w:color w:val="auto"/>
                <w:szCs w:val="21"/>
              </w:rPr>
              <w:t>符合第五章“合同条款及格式”规定的权利义务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8" w:type="dxa"/>
            <w:vMerge w:val="continue"/>
            <w:vAlign w:val="center"/>
          </w:tcPr>
          <w:p>
            <w:pPr>
              <w:spacing w:before="120" w:beforeLines="50" w:after="120" w:afterLines="50" w:line="280" w:lineRule="exact"/>
              <w:rPr>
                <w:rFonts w:hint="eastAsia" w:ascii="宋体" w:hAnsi="宋体" w:cs="宋体"/>
                <w:color w:val="auto"/>
                <w:szCs w:val="21"/>
              </w:rPr>
            </w:pPr>
          </w:p>
        </w:tc>
        <w:tc>
          <w:tcPr>
            <w:tcW w:w="1125"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2751" w:type="dxa"/>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w:t>
            </w:r>
          </w:p>
        </w:tc>
        <w:tc>
          <w:tcPr>
            <w:tcW w:w="5038" w:type="dxa"/>
            <w:gridSpan w:val="2"/>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8" w:type="dxa"/>
            <w:vMerge w:val="continue"/>
            <w:vAlign w:val="center"/>
          </w:tcPr>
          <w:p>
            <w:pPr>
              <w:spacing w:before="120" w:beforeLines="50" w:after="120" w:afterLines="50" w:line="280" w:lineRule="exact"/>
              <w:rPr>
                <w:rFonts w:hint="eastAsia" w:ascii="宋体" w:hAnsi="宋体" w:cs="宋体"/>
                <w:color w:val="auto"/>
                <w:szCs w:val="21"/>
              </w:rPr>
            </w:pPr>
          </w:p>
        </w:tc>
        <w:tc>
          <w:tcPr>
            <w:tcW w:w="1125"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7789" w:type="dxa"/>
            <w:gridSpan w:val="3"/>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详见本章附表3-3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093" w:type="dxa"/>
            <w:gridSpan w:val="2"/>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b/>
                <w:color w:val="auto"/>
                <w:szCs w:val="21"/>
              </w:rPr>
              <w:t>条款号</w:t>
            </w:r>
          </w:p>
        </w:tc>
        <w:tc>
          <w:tcPr>
            <w:tcW w:w="2751" w:type="dxa"/>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条款内容</w:t>
            </w:r>
          </w:p>
        </w:tc>
        <w:tc>
          <w:tcPr>
            <w:tcW w:w="5038" w:type="dxa"/>
            <w:gridSpan w:val="2"/>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8" w:hRule="atLeast"/>
          <w:jc w:val="center"/>
        </w:trPr>
        <w:tc>
          <w:tcPr>
            <w:tcW w:w="2093" w:type="dxa"/>
            <w:gridSpan w:val="2"/>
            <w:vMerge w:val="restart"/>
            <w:vAlign w:val="center"/>
          </w:tcPr>
          <w:p>
            <w:pPr>
              <w:spacing w:before="120" w:beforeLines="50" w:after="120" w:afterLines="50" w:line="280" w:lineRule="exact"/>
              <w:jc w:val="center"/>
              <w:rPr>
                <w:rFonts w:hint="eastAsia" w:ascii="宋体" w:hAnsi="宋体" w:cs="宋体"/>
                <w:b/>
                <w:color w:val="auto"/>
                <w:szCs w:val="21"/>
              </w:rPr>
            </w:pPr>
            <w:r>
              <w:rPr>
                <w:rFonts w:hint="eastAsia" w:ascii="宋体" w:hAnsi="宋体" w:cs="宋体"/>
                <w:b/>
                <w:color w:val="auto"/>
                <w:szCs w:val="21"/>
              </w:rPr>
              <w:t>2.2.1</w:t>
            </w:r>
          </w:p>
        </w:tc>
        <w:tc>
          <w:tcPr>
            <w:tcW w:w="2751" w:type="dxa"/>
            <w:vMerge w:val="restart"/>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分值构成</w:t>
            </w:r>
          </w:p>
        </w:tc>
        <w:tc>
          <w:tcPr>
            <w:tcW w:w="2520" w:type="dxa"/>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项目</w:t>
            </w:r>
          </w:p>
        </w:tc>
        <w:tc>
          <w:tcPr>
            <w:tcW w:w="2518" w:type="dxa"/>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具体权数取值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9" w:hRule="atLeast"/>
          <w:jc w:val="center"/>
        </w:trPr>
        <w:tc>
          <w:tcPr>
            <w:tcW w:w="2093" w:type="dxa"/>
            <w:gridSpan w:val="2"/>
            <w:vMerge w:val="continue"/>
            <w:vAlign w:val="center"/>
          </w:tcPr>
          <w:p>
            <w:pPr>
              <w:spacing w:before="120" w:beforeLines="50" w:after="120" w:afterLines="50" w:line="280" w:lineRule="exact"/>
              <w:jc w:val="center"/>
              <w:rPr>
                <w:rFonts w:hint="eastAsia" w:ascii="宋体" w:hAnsi="宋体" w:cs="宋体"/>
                <w:b/>
                <w:color w:val="auto"/>
                <w:szCs w:val="21"/>
              </w:rPr>
            </w:pPr>
          </w:p>
        </w:tc>
        <w:tc>
          <w:tcPr>
            <w:tcW w:w="2751"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2520" w:type="dxa"/>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承包人设计方案</w:t>
            </w:r>
          </w:p>
        </w:tc>
        <w:tc>
          <w:tcPr>
            <w:tcW w:w="2518"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0.</w:t>
            </w:r>
            <w:r>
              <w:rPr>
                <w:rFonts w:hint="eastAsia" w:ascii="宋体" w:hAnsi="宋体" w:cs="宋体"/>
                <w:color w:val="auto"/>
                <w:szCs w:val="21"/>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2093" w:type="dxa"/>
            <w:gridSpan w:val="2"/>
            <w:vMerge w:val="continue"/>
            <w:vAlign w:val="center"/>
          </w:tcPr>
          <w:p>
            <w:pPr>
              <w:spacing w:before="120" w:beforeLines="50" w:after="120" w:afterLines="50" w:line="280" w:lineRule="exact"/>
              <w:jc w:val="center"/>
              <w:rPr>
                <w:rFonts w:hint="eastAsia" w:ascii="宋体" w:hAnsi="宋体" w:cs="宋体"/>
                <w:b/>
                <w:color w:val="auto"/>
                <w:szCs w:val="21"/>
              </w:rPr>
            </w:pPr>
          </w:p>
        </w:tc>
        <w:tc>
          <w:tcPr>
            <w:tcW w:w="2751"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2520" w:type="dxa"/>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承包人实施方案</w:t>
            </w:r>
          </w:p>
        </w:tc>
        <w:tc>
          <w:tcPr>
            <w:tcW w:w="2518"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0.2</w:t>
            </w:r>
            <w:r>
              <w:rPr>
                <w:rFonts w:hint="eastAsia" w:ascii="宋体" w:hAnsi="宋体" w:cs="宋体"/>
                <w:color w:val="auto"/>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2093" w:type="dxa"/>
            <w:gridSpan w:val="2"/>
            <w:vMerge w:val="continue"/>
            <w:vAlign w:val="center"/>
          </w:tcPr>
          <w:p>
            <w:pPr>
              <w:spacing w:before="120" w:beforeLines="50" w:after="120" w:afterLines="50" w:line="280" w:lineRule="exact"/>
              <w:jc w:val="center"/>
              <w:rPr>
                <w:rFonts w:hint="eastAsia" w:ascii="宋体" w:hAnsi="宋体" w:cs="宋体"/>
                <w:b/>
                <w:color w:val="auto"/>
                <w:szCs w:val="21"/>
              </w:rPr>
            </w:pPr>
          </w:p>
        </w:tc>
        <w:tc>
          <w:tcPr>
            <w:tcW w:w="2751"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2520" w:type="dxa"/>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资信业绩</w:t>
            </w:r>
          </w:p>
        </w:tc>
        <w:tc>
          <w:tcPr>
            <w:tcW w:w="2518"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0.40</w:t>
            </w:r>
          </w:p>
        </w:tc>
      </w:tr>
      <w:tr>
        <w:tblPrEx>
          <w:tblLayout w:type="fixed"/>
          <w:tblCellMar>
            <w:top w:w="0" w:type="dxa"/>
            <w:left w:w="108" w:type="dxa"/>
            <w:bottom w:w="0" w:type="dxa"/>
            <w:right w:w="108" w:type="dxa"/>
          </w:tblCellMar>
        </w:tblPrEx>
        <w:trPr>
          <w:trHeight w:val="307" w:hRule="atLeast"/>
          <w:jc w:val="center"/>
        </w:trPr>
        <w:tc>
          <w:tcPr>
            <w:tcW w:w="2093" w:type="dxa"/>
            <w:gridSpan w:val="2"/>
            <w:vMerge w:val="continue"/>
            <w:vAlign w:val="center"/>
          </w:tcPr>
          <w:p>
            <w:pPr>
              <w:spacing w:before="120" w:beforeLines="50" w:after="120" w:afterLines="50" w:line="280" w:lineRule="exact"/>
              <w:jc w:val="center"/>
              <w:rPr>
                <w:rFonts w:hint="eastAsia" w:ascii="宋体" w:hAnsi="宋体" w:cs="宋体"/>
                <w:b/>
                <w:color w:val="auto"/>
                <w:szCs w:val="21"/>
              </w:rPr>
            </w:pPr>
          </w:p>
        </w:tc>
        <w:tc>
          <w:tcPr>
            <w:tcW w:w="2751" w:type="dxa"/>
            <w:vMerge w:val="continue"/>
            <w:vAlign w:val="center"/>
          </w:tcPr>
          <w:p>
            <w:pPr>
              <w:spacing w:before="120" w:beforeLines="50" w:after="120" w:afterLines="50" w:line="280" w:lineRule="exact"/>
              <w:jc w:val="center"/>
              <w:rPr>
                <w:rFonts w:hint="eastAsia" w:ascii="宋体" w:hAnsi="宋体" w:cs="宋体"/>
                <w:color w:val="auto"/>
                <w:szCs w:val="21"/>
              </w:rPr>
            </w:pPr>
          </w:p>
        </w:tc>
        <w:tc>
          <w:tcPr>
            <w:tcW w:w="2520" w:type="dxa"/>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投标报价</w:t>
            </w:r>
          </w:p>
        </w:tc>
        <w:tc>
          <w:tcPr>
            <w:tcW w:w="2518" w:type="dxa"/>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2093" w:type="dxa"/>
            <w:gridSpan w:val="2"/>
            <w:vAlign w:val="top"/>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2.2.1</w:t>
            </w:r>
          </w:p>
        </w:tc>
        <w:tc>
          <w:tcPr>
            <w:tcW w:w="2751" w:type="dxa"/>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承包人设计方案</w:t>
            </w:r>
          </w:p>
        </w:tc>
        <w:tc>
          <w:tcPr>
            <w:tcW w:w="5038" w:type="dxa"/>
            <w:gridSpan w:val="2"/>
            <w:vAlign w:val="center"/>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详见本章附表3-4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2093" w:type="dxa"/>
            <w:gridSpan w:val="2"/>
            <w:vAlign w:val="top"/>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2.2.1</w:t>
            </w:r>
          </w:p>
        </w:tc>
        <w:tc>
          <w:tcPr>
            <w:tcW w:w="2751" w:type="dxa"/>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承包人实施方案</w:t>
            </w:r>
          </w:p>
        </w:tc>
        <w:tc>
          <w:tcPr>
            <w:tcW w:w="5038" w:type="dxa"/>
            <w:gridSpan w:val="2"/>
            <w:vAlign w:val="top"/>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详见本章附表3-5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2093" w:type="dxa"/>
            <w:gridSpan w:val="2"/>
            <w:vAlign w:val="top"/>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2.2.1</w:t>
            </w:r>
          </w:p>
        </w:tc>
        <w:tc>
          <w:tcPr>
            <w:tcW w:w="2751" w:type="dxa"/>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资信业绩</w:t>
            </w:r>
          </w:p>
        </w:tc>
        <w:tc>
          <w:tcPr>
            <w:tcW w:w="5038" w:type="dxa"/>
            <w:gridSpan w:val="2"/>
            <w:vAlign w:val="top"/>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详见本章附表3-6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2093" w:type="dxa"/>
            <w:gridSpan w:val="2"/>
            <w:vAlign w:val="top"/>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2.2.1</w:t>
            </w:r>
          </w:p>
        </w:tc>
        <w:tc>
          <w:tcPr>
            <w:tcW w:w="2751" w:type="dxa"/>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投标报价</w:t>
            </w:r>
          </w:p>
        </w:tc>
        <w:tc>
          <w:tcPr>
            <w:tcW w:w="5038" w:type="dxa"/>
            <w:gridSpan w:val="2"/>
            <w:vAlign w:val="top"/>
          </w:tcPr>
          <w:p>
            <w:pPr>
              <w:spacing w:before="120" w:beforeLines="50" w:after="120" w:afterLines="50" w:line="280" w:lineRule="exact"/>
              <w:jc w:val="center"/>
              <w:rPr>
                <w:rFonts w:hint="eastAsia" w:ascii="宋体" w:hAnsi="宋体" w:cs="宋体"/>
                <w:color w:val="auto"/>
                <w:szCs w:val="21"/>
              </w:rPr>
            </w:pPr>
            <w:r>
              <w:rPr>
                <w:rFonts w:hint="eastAsia" w:ascii="宋体" w:hAnsi="宋体" w:cs="宋体"/>
                <w:color w:val="auto"/>
                <w:szCs w:val="21"/>
              </w:rPr>
              <w:t>详见本章附表3-7</w:t>
            </w:r>
          </w:p>
        </w:tc>
      </w:tr>
    </w:tbl>
    <w:p>
      <w:pPr>
        <w:rPr>
          <w:rFonts w:hint="eastAsia" w:ascii="宋体" w:hAnsi="宋体" w:cs="宋体"/>
          <w:vanish/>
          <w:color w:val="auto"/>
        </w:rPr>
      </w:pPr>
    </w:p>
    <w:p>
      <w:pPr>
        <w:spacing w:line="400" w:lineRule="exact"/>
        <w:rPr>
          <w:rFonts w:hint="eastAsia" w:ascii="宋体" w:hAnsi="宋体" w:cs="宋体"/>
          <w:color w:val="auto"/>
        </w:rPr>
      </w:pPr>
    </w:p>
    <w:p>
      <w:pPr>
        <w:pStyle w:val="6"/>
        <w:spacing w:before="120" w:beforeLines="50" w:line="360" w:lineRule="exact"/>
        <w:rPr>
          <w:rFonts w:hint="eastAsia" w:ascii="宋体" w:hAnsi="宋体" w:eastAsia="宋体" w:cs="宋体"/>
          <w:color w:val="auto"/>
        </w:rPr>
      </w:pPr>
      <w:bookmarkStart w:id="335" w:name="_Toc152045600"/>
      <w:bookmarkStart w:id="336" w:name="_Toc247527625"/>
      <w:bookmarkStart w:id="337" w:name="_Toc144974567"/>
      <w:bookmarkStart w:id="338" w:name="_Toc152042377"/>
      <w:bookmarkStart w:id="339" w:name="_Toc247514024"/>
      <w:bookmarkStart w:id="340" w:name="_Toc499738088"/>
      <w:r>
        <w:rPr>
          <w:rFonts w:hint="eastAsia" w:ascii="宋体" w:hAnsi="宋体" w:eastAsia="宋体" w:cs="宋体"/>
          <w:color w:val="auto"/>
        </w:rPr>
        <w:t>1. 评标方法</w:t>
      </w:r>
      <w:bookmarkEnd w:id="335"/>
      <w:bookmarkEnd w:id="336"/>
      <w:bookmarkEnd w:id="337"/>
      <w:bookmarkEnd w:id="338"/>
      <w:bookmarkEnd w:id="339"/>
      <w:bookmarkEnd w:id="340"/>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本次评标采用综合评估法。评标委员会对满足招标文件实质性要求的投标文件，按照本章第2.2款规定的评分标准进行打分，并按得分由高到低顺序推荐中标候选人。综合评分相等时，以承包人实施方案得分高的优先，承包人实施方案得分也相同的以承包人设计方案优先；承包人设计方案也相等的，由招标人或者经招标人授权评标委员会自行确定。</w:t>
      </w:r>
    </w:p>
    <w:p>
      <w:pPr>
        <w:pStyle w:val="6"/>
        <w:spacing w:before="120" w:beforeLines="50" w:line="360" w:lineRule="exact"/>
        <w:rPr>
          <w:rFonts w:hint="eastAsia" w:ascii="宋体" w:hAnsi="宋体" w:eastAsia="宋体" w:cs="宋体"/>
          <w:color w:val="auto"/>
        </w:rPr>
      </w:pPr>
      <w:bookmarkStart w:id="341" w:name="_Toc152042378"/>
      <w:bookmarkStart w:id="342" w:name="_Toc152045601"/>
      <w:bookmarkStart w:id="343" w:name="_Toc247527626"/>
      <w:bookmarkStart w:id="344" w:name="_Toc144974568"/>
      <w:bookmarkStart w:id="345" w:name="_Toc499738089"/>
      <w:bookmarkStart w:id="346" w:name="_Toc247514025"/>
      <w:r>
        <w:rPr>
          <w:rFonts w:hint="eastAsia" w:ascii="宋体" w:hAnsi="宋体" w:eastAsia="宋体" w:cs="宋体"/>
          <w:color w:val="auto"/>
        </w:rPr>
        <w:t>2. 评审标准</w:t>
      </w:r>
      <w:bookmarkEnd w:id="341"/>
      <w:bookmarkEnd w:id="342"/>
      <w:bookmarkEnd w:id="343"/>
      <w:bookmarkEnd w:id="344"/>
      <w:bookmarkEnd w:id="345"/>
      <w:bookmarkEnd w:id="346"/>
    </w:p>
    <w:p>
      <w:pPr>
        <w:pStyle w:val="7"/>
        <w:spacing w:before="120" w:beforeLines="50" w:line="360" w:lineRule="exact"/>
        <w:rPr>
          <w:rFonts w:hint="eastAsia" w:ascii="宋体" w:eastAsia="宋体" w:cs="宋体"/>
          <w:color w:val="auto"/>
        </w:rPr>
      </w:pPr>
      <w:bookmarkStart w:id="347" w:name="_Toc152042379"/>
      <w:bookmarkStart w:id="348" w:name="_Toc247514026"/>
      <w:bookmarkStart w:id="349" w:name="_Toc152045602"/>
      <w:bookmarkStart w:id="350" w:name="_Toc499738090"/>
      <w:bookmarkStart w:id="351" w:name="_Toc144974569"/>
      <w:bookmarkStart w:id="352" w:name="_Toc247527627"/>
      <w:r>
        <w:rPr>
          <w:rFonts w:hint="eastAsia" w:ascii="宋体" w:eastAsia="宋体" w:cs="宋体"/>
          <w:color w:val="auto"/>
        </w:rPr>
        <w:t>2.1 初步评审标准</w:t>
      </w:r>
      <w:bookmarkEnd w:id="347"/>
      <w:bookmarkEnd w:id="348"/>
      <w:bookmarkEnd w:id="349"/>
      <w:bookmarkEnd w:id="350"/>
      <w:bookmarkEnd w:id="351"/>
      <w:bookmarkEnd w:id="352"/>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2.1.1 形式评审标准：见评标办法前附表。</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2.1.2原件与复印件核验：详见评标办法前附表。</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2.1.3 资格评审标准：见评标办法前附表。</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2.1.4 响应性评审标准：见评标办法前附表。</w:t>
      </w:r>
    </w:p>
    <w:p>
      <w:pPr>
        <w:pStyle w:val="7"/>
        <w:spacing w:before="120" w:beforeLines="50" w:line="360" w:lineRule="exact"/>
        <w:rPr>
          <w:rFonts w:hint="eastAsia" w:ascii="宋体" w:eastAsia="宋体" w:cs="宋体"/>
          <w:color w:val="auto"/>
        </w:rPr>
      </w:pPr>
      <w:bookmarkStart w:id="353" w:name="_Toc144974570"/>
      <w:bookmarkStart w:id="354" w:name="_Toc499738091"/>
      <w:bookmarkStart w:id="355" w:name="_Toc247527628"/>
      <w:bookmarkStart w:id="356" w:name="_Toc247514027"/>
      <w:bookmarkStart w:id="357" w:name="_Toc152042380"/>
      <w:bookmarkStart w:id="358" w:name="_Toc152045603"/>
      <w:r>
        <w:rPr>
          <w:rFonts w:hint="eastAsia" w:ascii="宋体" w:eastAsia="宋体" w:cs="宋体"/>
          <w:color w:val="auto"/>
        </w:rPr>
        <w:t>2.2 分值构成与评分标准</w:t>
      </w:r>
      <w:bookmarkEnd w:id="353"/>
      <w:bookmarkEnd w:id="354"/>
      <w:bookmarkEnd w:id="355"/>
      <w:bookmarkEnd w:id="356"/>
      <w:bookmarkEnd w:id="357"/>
      <w:bookmarkEnd w:id="358"/>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2.2.1 分值构成</w:t>
      </w:r>
    </w:p>
    <w:tbl>
      <w:tblPr>
        <w:tblStyle w:val="67"/>
        <w:tblW w:w="8362" w:type="dxa"/>
        <w:tblInd w:w="67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66"/>
        <w:gridCol w:w="40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2" w:hRule="atLeast"/>
        </w:trPr>
        <w:tc>
          <w:tcPr>
            <w:tcW w:w="4266" w:type="dxa"/>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项目</w:t>
            </w:r>
          </w:p>
        </w:tc>
        <w:tc>
          <w:tcPr>
            <w:tcW w:w="4096" w:type="dxa"/>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具体权数取值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trPr>
        <w:tc>
          <w:tcPr>
            <w:tcW w:w="4266" w:type="dxa"/>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承包人设计方案</w:t>
            </w:r>
          </w:p>
        </w:tc>
        <w:tc>
          <w:tcPr>
            <w:tcW w:w="4096"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0.</w:t>
            </w:r>
            <w:r>
              <w:rPr>
                <w:rFonts w:hint="eastAsia" w:ascii="宋体" w:hAnsi="宋体" w:cs="宋体"/>
                <w:color w:val="auto"/>
                <w:szCs w:val="21"/>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4" w:hRule="atLeast"/>
        </w:trPr>
        <w:tc>
          <w:tcPr>
            <w:tcW w:w="4266" w:type="dxa"/>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承包人实施方案</w:t>
            </w:r>
          </w:p>
        </w:tc>
        <w:tc>
          <w:tcPr>
            <w:tcW w:w="4096"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0.2</w:t>
            </w:r>
            <w:r>
              <w:rPr>
                <w:rFonts w:hint="eastAsia" w:ascii="宋体" w:hAnsi="宋体" w:cs="宋体"/>
                <w:color w:val="auto"/>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4" w:hRule="atLeast"/>
        </w:trPr>
        <w:tc>
          <w:tcPr>
            <w:tcW w:w="4266" w:type="dxa"/>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资信业绩</w:t>
            </w:r>
          </w:p>
        </w:tc>
        <w:tc>
          <w:tcPr>
            <w:tcW w:w="4096"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4" w:hRule="atLeast"/>
        </w:trPr>
        <w:tc>
          <w:tcPr>
            <w:tcW w:w="4266" w:type="dxa"/>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投标报价</w:t>
            </w:r>
          </w:p>
        </w:tc>
        <w:tc>
          <w:tcPr>
            <w:tcW w:w="4096" w:type="dxa"/>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0.15</w:t>
            </w:r>
          </w:p>
        </w:tc>
      </w:tr>
    </w:tbl>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2.2.2 评分标准</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（1）承包人设计方案：详见本章附表3-5；</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（2）承包人实施方案：详见本章附表3-6</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（2）</w:t>
      </w:r>
      <w:r>
        <w:rPr>
          <w:rFonts w:hint="eastAsia" w:ascii="宋体" w:hAnsi="宋体" w:cs="宋体"/>
          <w:color w:val="auto"/>
          <w:szCs w:val="21"/>
        </w:rPr>
        <w:t>资信业绩</w:t>
      </w:r>
      <w:r>
        <w:rPr>
          <w:rFonts w:hint="eastAsia" w:ascii="宋体" w:hAnsi="宋体" w:cs="宋体"/>
          <w:color w:val="auto"/>
        </w:rPr>
        <w:t>：</w:t>
      </w:r>
      <w:r>
        <w:rPr>
          <w:rFonts w:hint="eastAsia" w:ascii="宋体" w:hAnsi="宋体" w:cs="宋体"/>
          <w:color w:val="auto"/>
          <w:szCs w:val="21"/>
        </w:rPr>
        <w:t>详见本章附表3-7</w:t>
      </w:r>
      <w:r>
        <w:rPr>
          <w:rFonts w:hint="eastAsia" w:ascii="宋体" w:hAnsi="宋体" w:cs="宋体"/>
          <w:color w:val="auto"/>
        </w:rPr>
        <w:t>；</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w:t>
      </w:r>
      <w:r>
        <w:rPr>
          <w:rFonts w:hint="eastAsia" w:ascii="宋体" w:hAnsi="宋体" w:cs="宋体"/>
          <w:color w:val="auto"/>
          <w:szCs w:val="21"/>
        </w:rPr>
        <w:t>投标报价</w:t>
      </w:r>
      <w:r>
        <w:rPr>
          <w:rFonts w:hint="eastAsia" w:ascii="宋体" w:hAnsi="宋体" w:cs="宋体"/>
          <w:color w:val="auto"/>
        </w:rPr>
        <w:t>：</w:t>
      </w:r>
      <w:r>
        <w:rPr>
          <w:rFonts w:hint="eastAsia" w:ascii="宋体" w:hAnsi="宋体" w:cs="宋体"/>
          <w:color w:val="auto"/>
          <w:szCs w:val="21"/>
        </w:rPr>
        <w:t>详见本章附表3-8</w:t>
      </w:r>
      <w:r>
        <w:rPr>
          <w:rFonts w:hint="eastAsia" w:ascii="宋体" w:hAnsi="宋体" w:cs="宋体"/>
          <w:color w:val="auto"/>
        </w:rPr>
        <w:t>；</w:t>
      </w:r>
    </w:p>
    <w:p>
      <w:pPr>
        <w:pStyle w:val="6"/>
        <w:spacing w:before="120" w:beforeLines="50" w:line="360" w:lineRule="exact"/>
        <w:rPr>
          <w:rFonts w:hint="eastAsia" w:ascii="宋体" w:hAnsi="宋体" w:eastAsia="宋体" w:cs="宋体"/>
          <w:color w:val="auto"/>
        </w:rPr>
      </w:pPr>
      <w:bookmarkStart w:id="359" w:name="_Toc247514028"/>
      <w:bookmarkStart w:id="360" w:name="_Toc247527629"/>
      <w:bookmarkStart w:id="361" w:name="_Toc144974571"/>
      <w:bookmarkStart w:id="362" w:name="_Toc499738092"/>
      <w:bookmarkStart w:id="363" w:name="_Toc152042381"/>
      <w:bookmarkStart w:id="364" w:name="_Toc152045604"/>
      <w:r>
        <w:rPr>
          <w:rFonts w:hint="eastAsia" w:ascii="宋体" w:hAnsi="宋体" w:eastAsia="宋体" w:cs="宋体"/>
          <w:color w:val="auto"/>
        </w:rPr>
        <w:t>3. 评标程序</w:t>
      </w:r>
      <w:bookmarkEnd w:id="359"/>
      <w:bookmarkEnd w:id="360"/>
      <w:bookmarkEnd w:id="361"/>
      <w:bookmarkEnd w:id="362"/>
      <w:bookmarkEnd w:id="363"/>
      <w:bookmarkEnd w:id="364"/>
    </w:p>
    <w:p>
      <w:pPr>
        <w:pStyle w:val="7"/>
        <w:spacing w:before="120" w:beforeLines="50" w:line="360" w:lineRule="exact"/>
        <w:rPr>
          <w:rFonts w:hint="eastAsia" w:ascii="宋体" w:eastAsia="宋体" w:cs="宋体"/>
          <w:color w:val="auto"/>
        </w:rPr>
      </w:pPr>
      <w:bookmarkStart w:id="365" w:name="_Toc247514029"/>
      <w:bookmarkStart w:id="366" w:name="_Toc152045605"/>
      <w:bookmarkStart w:id="367" w:name="_Toc152042382"/>
      <w:bookmarkStart w:id="368" w:name="_Toc499738093"/>
      <w:bookmarkStart w:id="369" w:name="_Toc144974572"/>
      <w:bookmarkStart w:id="370" w:name="_Toc247527630"/>
      <w:r>
        <w:rPr>
          <w:rFonts w:hint="eastAsia" w:ascii="宋体" w:eastAsia="宋体" w:cs="宋体"/>
          <w:color w:val="auto"/>
        </w:rPr>
        <w:t>3.1 初步评审</w:t>
      </w:r>
      <w:bookmarkEnd w:id="365"/>
      <w:bookmarkEnd w:id="366"/>
      <w:bookmarkEnd w:id="367"/>
      <w:bookmarkEnd w:id="368"/>
      <w:bookmarkEnd w:id="369"/>
      <w:bookmarkEnd w:id="370"/>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3.1.1评标委员会依据本章第2.1款规定的标准对投标文件进行初步评审。有一项不符合评审标准的，评标委员会应当否决其投标。</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3.1.2 投标人有以下情形之一的，评标委员会应当否决其投标：</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（1）第二章“投标人须知”第1.4.3项、第1.4.4项规定的任何一种情形的；</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（2）串通投标或弄虚作假或有其他违法行为的；</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（3）不按评标委员会要求澄清、说明或补正的。</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投标人有下列情况之一的，投标文件作废标处理：</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（1）投标文件未按规定密封、签字盖章的；</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（2）投标文件上的印鉴与资质证书上的名称、名字不符及投标人提供的有关资料、证书、证明材料有假或伪造的；</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（3）投标人未按要求参加开标会议的；</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（4）未按招标文件的规定交纳投标保证金；</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（5）未响应招标文件要求的；</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（6）符合法律法规规定的其他废标情形的。</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3.1.3 投标报价有算术错误的，评标委员会按以下原则对投标报价进行修正，修正的价格经投标人书面确认后具有约束力。投标人不接受修正价格的，评标委员会应当否决其投标。</w:t>
      </w:r>
    </w:p>
    <w:p>
      <w:pPr>
        <w:spacing w:before="120" w:beforeLines="50" w:line="360" w:lineRule="exact"/>
        <w:ind w:firstLine="420" w:firstLineChars="200"/>
        <w:rPr>
          <w:rFonts w:hint="eastAsia" w:ascii="宋体" w:hAnsi="宋体" w:cs="宋体"/>
          <w:color w:val="auto"/>
        </w:rPr>
      </w:pPr>
      <w:bookmarkStart w:id="371" w:name="_Toc152042383"/>
      <w:r>
        <w:rPr>
          <w:rFonts w:hint="eastAsia" w:ascii="宋体" w:hAnsi="宋体" w:cs="宋体"/>
          <w:color w:val="auto"/>
        </w:rPr>
        <w:t>（1）投标文件中的大写金额与小写金额不一致的，以大写金额为准；</w:t>
      </w:r>
      <w:bookmarkEnd w:id="371"/>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（2）总价金额与依据单价计算出的结果不一致的，以单价金额为准修正总价，但单价金额小数点有明显错误的除外。</w:t>
      </w:r>
    </w:p>
    <w:p>
      <w:pPr>
        <w:pStyle w:val="7"/>
        <w:spacing w:before="120" w:beforeLines="50" w:line="360" w:lineRule="exact"/>
        <w:rPr>
          <w:rFonts w:hint="eastAsia" w:ascii="宋体" w:eastAsia="宋体" w:cs="宋体"/>
          <w:color w:val="auto"/>
        </w:rPr>
      </w:pPr>
      <w:bookmarkStart w:id="372" w:name="_Toc144974573"/>
      <w:bookmarkStart w:id="373" w:name="_Toc152042384"/>
      <w:bookmarkStart w:id="374" w:name="_Toc247527631"/>
      <w:bookmarkStart w:id="375" w:name="_Toc247514030"/>
      <w:bookmarkStart w:id="376" w:name="_Toc499738094"/>
      <w:bookmarkStart w:id="377" w:name="_Toc152045606"/>
      <w:r>
        <w:rPr>
          <w:rFonts w:hint="eastAsia" w:ascii="宋体" w:eastAsia="宋体" w:cs="宋体"/>
          <w:color w:val="auto"/>
        </w:rPr>
        <w:t>3.2 详细评审</w:t>
      </w:r>
      <w:bookmarkEnd w:id="372"/>
      <w:bookmarkEnd w:id="373"/>
      <w:bookmarkEnd w:id="374"/>
      <w:bookmarkEnd w:id="375"/>
      <w:bookmarkEnd w:id="376"/>
      <w:bookmarkEnd w:id="377"/>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3.2.1 评标委员会按本章第2.2款规定的量化因素和分值进行打分，并计算出综合评估得分。</w:t>
      </w:r>
    </w:p>
    <w:p>
      <w:pPr>
        <w:spacing w:before="120" w:beforeLines="50" w:line="360" w:lineRule="exact"/>
        <w:ind w:firstLine="420" w:firstLineChars="200"/>
        <w:rPr>
          <w:rFonts w:hint="eastAsia" w:ascii="宋体" w:hAnsi="宋体" w:cs="宋体"/>
          <w:b/>
          <w:color w:val="auto"/>
        </w:rPr>
      </w:pPr>
      <w:r>
        <w:rPr>
          <w:rFonts w:hint="eastAsia" w:ascii="宋体" w:hAnsi="宋体" w:cs="宋体"/>
          <w:color w:val="auto"/>
        </w:rPr>
        <w:t>（1）按本章第2.2.2（1）目规定的评审因素和分值对</w:t>
      </w:r>
      <w:r>
        <w:rPr>
          <w:rFonts w:hint="eastAsia" w:ascii="宋体" w:hAnsi="宋体" w:cs="宋体"/>
          <w:color w:val="auto"/>
          <w:szCs w:val="21"/>
        </w:rPr>
        <w:t>承包人设计方案</w:t>
      </w:r>
      <w:r>
        <w:rPr>
          <w:rFonts w:hint="eastAsia" w:ascii="宋体" w:hAnsi="宋体" w:cs="宋体"/>
          <w:color w:val="auto"/>
        </w:rPr>
        <w:t>部分计算出得分A</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（2）按本章第2.2.2（2）目规定的评审因素和分值对承包人实施方案计算出得分B</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（3）按本章第2.2.2（3）目规定的评审因素和分值对</w:t>
      </w:r>
      <w:r>
        <w:rPr>
          <w:rFonts w:hint="eastAsia" w:ascii="宋体" w:hAnsi="宋体" w:cs="宋体"/>
          <w:color w:val="auto"/>
          <w:szCs w:val="21"/>
        </w:rPr>
        <w:t>资信业绩</w:t>
      </w:r>
      <w:r>
        <w:rPr>
          <w:rFonts w:hint="eastAsia" w:ascii="宋体" w:hAnsi="宋体" w:cs="宋体"/>
          <w:color w:val="auto"/>
        </w:rPr>
        <w:t>计算出得分C；</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（4）按本章第2.2.2（4）目规定的评审因素和分值对投标报价计算出得分D；</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3.2.2 评分分值计算保留小数点后两位，小数点后第三位“四舍五入”。</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3.2.3 投标人得分=A+B+C+D。</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应当否决其投标。</w:t>
      </w:r>
    </w:p>
    <w:p>
      <w:pPr>
        <w:pStyle w:val="7"/>
        <w:spacing w:before="120" w:beforeLines="50" w:line="360" w:lineRule="exact"/>
        <w:rPr>
          <w:rFonts w:hint="eastAsia" w:ascii="宋体" w:eastAsia="宋体" w:cs="宋体"/>
          <w:color w:val="auto"/>
        </w:rPr>
      </w:pPr>
      <w:bookmarkStart w:id="378" w:name="_Toc144974575"/>
      <w:bookmarkStart w:id="379" w:name="_Toc152045607"/>
      <w:bookmarkStart w:id="380" w:name="_Toc499738095"/>
      <w:bookmarkStart w:id="381" w:name="_Toc247527632"/>
      <w:bookmarkStart w:id="382" w:name="_Toc247514031"/>
      <w:bookmarkStart w:id="383" w:name="_Toc152042385"/>
      <w:r>
        <w:rPr>
          <w:rFonts w:hint="eastAsia" w:ascii="宋体" w:eastAsia="宋体" w:cs="宋体"/>
          <w:color w:val="auto"/>
        </w:rPr>
        <w:t>3.3 投标文件的澄清</w:t>
      </w:r>
      <w:bookmarkEnd w:id="378"/>
      <w:r>
        <w:rPr>
          <w:rFonts w:hint="eastAsia" w:ascii="宋体" w:eastAsia="宋体" w:cs="宋体"/>
          <w:color w:val="auto"/>
        </w:rPr>
        <w:t>和补正</w:t>
      </w:r>
      <w:bookmarkEnd w:id="379"/>
      <w:bookmarkEnd w:id="380"/>
      <w:bookmarkEnd w:id="381"/>
      <w:bookmarkEnd w:id="382"/>
      <w:bookmarkEnd w:id="383"/>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3.3.1 在评标过程中，评标委员会可以书面形式要求投标人对所提交投标文件中不明确的内容进行书面澄清或说明，或者对细微偏差进行补正。评标委员会不接受投标人主动提出的澄清、说明或补正。</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3.3.2 澄清、说明和补正不得改变投标文件的实质性内容。投标人的书面澄清、说明和补正属于投标文件的组成部分。</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3.3.3 评标委员会对投标人提交的澄清、说明或补正有疑问的，可以要求投标人进一步澄清、说明或补正，直至满足评标委员会的要求。</w:t>
      </w:r>
    </w:p>
    <w:p>
      <w:pPr>
        <w:pStyle w:val="7"/>
        <w:spacing w:before="120" w:beforeLines="50" w:line="360" w:lineRule="exact"/>
        <w:rPr>
          <w:rFonts w:hint="eastAsia" w:ascii="宋体" w:eastAsia="宋体" w:cs="宋体"/>
          <w:color w:val="auto"/>
        </w:rPr>
      </w:pPr>
      <w:bookmarkStart w:id="384" w:name="_Toc499738096"/>
      <w:bookmarkStart w:id="385" w:name="_Toc144974576"/>
      <w:bookmarkStart w:id="386" w:name="_Toc152042386"/>
      <w:bookmarkStart w:id="387" w:name="_Toc152045608"/>
      <w:bookmarkStart w:id="388" w:name="_Toc247514032"/>
      <w:bookmarkStart w:id="389" w:name="_Toc247527633"/>
      <w:r>
        <w:rPr>
          <w:rFonts w:hint="eastAsia" w:ascii="宋体" w:eastAsia="宋体" w:cs="宋体"/>
          <w:color w:val="auto"/>
        </w:rPr>
        <w:t>3.4 评标结果</w:t>
      </w:r>
      <w:bookmarkEnd w:id="384"/>
      <w:bookmarkEnd w:id="385"/>
      <w:bookmarkEnd w:id="386"/>
      <w:bookmarkEnd w:id="387"/>
      <w:bookmarkEnd w:id="388"/>
      <w:bookmarkEnd w:id="389"/>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3.4.1 除第二章“投标人须知”前附表授权直接确定中标人外，评标委员会按照得分由高到低的顺序推荐中标候选人。</w:t>
      </w:r>
    </w:p>
    <w:p>
      <w:pPr>
        <w:spacing w:before="120" w:beforeLines="50" w:line="360" w:lineRule="exact"/>
        <w:ind w:firstLine="420" w:firstLineChars="200"/>
        <w:rPr>
          <w:rFonts w:hint="eastAsia" w:ascii="宋体" w:hAnsi="宋体" w:cs="宋体"/>
          <w:color w:val="auto"/>
        </w:rPr>
      </w:pPr>
      <w:r>
        <w:rPr>
          <w:rFonts w:hint="eastAsia" w:ascii="宋体" w:hAnsi="宋体" w:cs="宋体"/>
          <w:color w:val="auto"/>
        </w:rPr>
        <w:t>3.4.2 评标委员会完成评标后，应当向招标人提交书面评标报告。</w:t>
      </w:r>
    </w:p>
    <w:p>
      <w:pPr>
        <w:spacing w:before="120" w:beforeLines="50" w:line="360" w:lineRule="exact"/>
        <w:ind w:firstLine="420" w:firstLineChars="200"/>
        <w:rPr>
          <w:rFonts w:hint="eastAsia" w:ascii="宋体" w:hAnsi="宋体" w:cs="宋体"/>
          <w:color w:val="auto"/>
        </w:rPr>
        <w:sectPr>
          <w:headerReference r:id="rId5" w:type="default"/>
          <w:footerReference r:id="rId6" w:type="default"/>
          <w:pgSz w:w="11920" w:h="16840"/>
          <w:pgMar w:top="1304" w:right="1304" w:bottom="1304" w:left="1701" w:header="1020" w:footer="720" w:gutter="0"/>
          <w:cols w:space="720" w:num="1"/>
          <w:docGrid w:linePitch="286" w:charSpace="0"/>
        </w:sectPr>
      </w:pPr>
    </w:p>
    <w:p>
      <w:pPr>
        <w:pStyle w:val="8"/>
        <w:spacing w:line="460" w:lineRule="exact"/>
        <w:rPr>
          <w:rFonts w:hint="eastAsia" w:ascii="宋体" w:hAnsi="宋体" w:eastAsia="宋体" w:cs="宋体"/>
          <w:b w:val="0"/>
          <w:bCs w:val="0"/>
          <w:color w:val="auto"/>
        </w:rPr>
      </w:pPr>
      <w:bookmarkStart w:id="390" w:name="_Toc300678143"/>
      <w:r>
        <w:rPr>
          <w:rFonts w:hint="eastAsia" w:ascii="宋体" w:hAnsi="宋体" w:eastAsia="宋体" w:cs="宋体"/>
          <w:b w:val="0"/>
          <w:bCs w:val="0"/>
          <w:color w:val="auto"/>
        </w:rPr>
        <w:t>附表3-1：形式评审记录表</w:t>
      </w:r>
      <w:bookmarkEnd w:id="390"/>
    </w:p>
    <w:p>
      <w:pPr>
        <w:spacing w:before="120" w:beforeLines="50" w:after="120" w:afterLines="50" w:line="460" w:lineRule="exact"/>
        <w:jc w:val="center"/>
        <w:rPr>
          <w:rFonts w:hint="eastAsia" w:ascii="宋体" w:hAnsi="宋体" w:cs="宋体"/>
          <w:color w:val="auto"/>
          <w:sz w:val="28"/>
          <w:szCs w:val="28"/>
        </w:rPr>
      </w:pPr>
      <w:r>
        <w:rPr>
          <w:rFonts w:hint="eastAsia" w:ascii="宋体" w:hAnsi="宋体" w:cs="宋体"/>
          <w:color w:val="auto"/>
          <w:sz w:val="28"/>
          <w:szCs w:val="28"/>
        </w:rPr>
        <w:t>形式评审记录表</w:t>
      </w:r>
    </w:p>
    <w:p>
      <w:pPr>
        <w:spacing w:after="72" w:afterLines="30" w:line="460" w:lineRule="exact"/>
        <w:rPr>
          <w:rFonts w:hint="eastAsia" w:ascii="宋体" w:hAnsi="宋体" w:cs="宋体"/>
          <w:color w:val="auto"/>
        </w:rPr>
      </w:pPr>
      <w:r>
        <w:rPr>
          <w:rFonts w:hint="eastAsia" w:ascii="宋体" w:hAnsi="宋体" w:cs="宋体"/>
          <w:color w:val="auto"/>
        </w:rPr>
        <w:t xml:space="preserve"> 工程名称：</w:t>
      </w:r>
      <w:r>
        <w:rPr>
          <w:rFonts w:hint="eastAsia" w:ascii="宋体" w:hAnsi="宋体" w:cs="宋体"/>
          <w:color w:val="auto"/>
          <w:u w:val="single"/>
        </w:rPr>
        <w:t xml:space="preserve">             </w:t>
      </w:r>
      <w:r>
        <w:rPr>
          <w:rFonts w:hint="eastAsia" w:ascii="宋体" w:hAnsi="宋体" w:cs="宋体"/>
          <w:color w:val="auto"/>
        </w:rPr>
        <w:t>（项目名称）</w:t>
      </w:r>
      <w:r>
        <w:rPr>
          <w:rFonts w:hint="eastAsia" w:ascii="宋体" w:hAnsi="宋体" w:cs="宋体"/>
          <w:color w:val="auto"/>
          <w:u w:val="single"/>
        </w:rPr>
        <w:t xml:space="preserve">    </w:t>
      </w:r>
      <w:r>
        <w:rPr>
          <w:rFonts w:hint="eastAsia" w:ascii="宋体" w:hAnsi="宋体" w:cs="宋体"/>
          <w:color w:val="auto"/>
        </w:rPr>
        <w:t>标段</w:t>
      </w:r>
    </w:p>
    <w:tbl>
      <w:tblPr>
        <w:tblStyle w:val="67"/>
        <w:tblW w:w="1451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773"/>
        <w:gridCol w:w="4138"/>
        <w:gridCol w:w="850"/>
        <w:gridCol w:w="1013"/>
        <w:gridCol w:w="987"/>
        <w:gridCol w:w="987"/>
        <w:gridCol w:w="987"/>
        <w:gridCol w:w="987"/>
        <w:gridCol w:w="987"/>
        <w:gridCol w:w="10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45" w:type="dxa"/>
            <w:vMerge w:val="restart"/>
            <w:vAlign w:val="center"/>
          </w:tcPr>
          <w:p>
            <w:pPr>
              <w:snapToGrid w:val="0"/>
              <w:jc w:val="center"/>
              <w:rPr>
                <w:rFonts w:hint="eastAsia" w:ascii="宋体" w:hAnsi="宋体" w:cs="宋体"/>
                <w:color w:val="auto"/>
                <w:sz w:val="18"/>
              </w:rPr>
            </w:pPr>
            <w:r>
              <w:rPr>
                <w:rFonts w:hint="eastAsia" w:ascii="宋体" w:hAnsi="宋体" w:cs="宋体"/>
                <w:color w:val="auto"/>
                <w:sz w:val="18"/>
              </w:rPr>
              <w:t>序号</w:t>
            </w:r>
          </w:p>
        </w:tc>
        <w:tc>
          <w:tcPr>
            <w:tcW w:w="5911" w:type="dxa"/>
            <w:gridSpan w:val="2"/>
            <w:vMerge w:val="restart"/>
            <w:vAlign w:val="center"/>
          </w:tcPr>
          <w:p>
            <w:pPr>
              <w:spacing w:line="440" w:lineRule="exact"/>
              <w:jc w:val="center"/>
              <w:rPr>
                <w:rFonts w:hint="eastAsia" w:ascii="宋体" w:hAnsi="宋体" w:cs="宋体"/>
                <w:color w:val="auto"/>
                <w:sz w:val="18"/>
              </w:rPr>
            </w:pPr>
            <w:r>
              <w:rPr>
                <w:rFonts w:hint="eastAsia" w:ascii="宋体" w:hAnsi="宋体" w:cs="宋体"/>
                <w:color w:val="auto"/>
                <w:sz w:val="18"/>
              </w:rPr>
              <w:t>评审因素</w:t>
            </w:r>
          </w:p>
        </w:tc>
        <w:tc>
          <w:tcPr>
            <w:tcW w:w="7854" w:type="dxa"/>
            <w:gridSpan w:val="8"/>
            <w:vAlign w:val="center"/>
          </w:tcPr>
          <w:p>
            <w:pPr>
              <w:spacing w:line="440" w:lineRule="exact"/>
              <w:jc w:val="center"/>
              <w:rPr>
                <w:rFonts w:hint="eastAsia" w:ascii="宋体" w:hAnsi="宋体" w:cs="宋体"/>
                <w:color w:val="auto"/>
                <w:sz w:val="18"/>
              </w:rPr>
            </w:pPr>
            <w:r>
              <w:rPr>
                <w:rFonts w:hint="eastAsia" w:ascii="宋体" w:hAnsi="宋体" w:cs="宋体"/>
                <w:color w:val="auto"/>
                <w:sz w:val="18"/>
              </w:rPr>
              <w:t>投标人名称及评审意见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0" w:hRule="exact"/>
          <w:jc w:val="center"/>
        </w:trPr>
        <w:tc>
          <w:tcPr>
            <w:tcW w:w="745" w:type="dxa"/>
            <w:vMerge w:val="continue"/>
            <w:vAlign w:val="center"/>
          </w:tcPr>
          <w:p>
            <w:pPr>
              <w:spacing w:line="440" w:lineRule="exact"/>
              <w:jc w:val="center"/>
              <w:rPr>
                <w:rFonts w:hint="eastAsia" w:ascii="宋体" w:hAnsi="宋体" w:cs="宋体"/>
                <w:color w:val="auto"/>
                <w:sz w:val="18"/>
              </w:rPr>
            </w:pPr>
          </w:p>
        </w:tc>
        <w:tc>
          <w:tcPr>
            <w:tcW w:w="5911" w:type="dxa"/>
            <w:gridSpan w:val="2"/>
            <w:vMerge w:val="continue"/>
            <w:vAlign w:val="center"/>
          </w:tcPr>
          <w:p>
            <w:pPr>
              <w:spacing w:line="440" w:lineRule="exact"/>
              <w:jc w:val="center"/>
              <w:rPr>
                <w:rFonts w:hint="eastAsia" w:ascii="宋体" w:hAnsi="宋体" w:cs="宋体"/>
                <w:color w:val="auto"/>
                <w:sz w:val="18"/>
              </w:rPr>
            </w:pPr>
          </w:p>
        </w:tc>
        <w:tc>
          <w:tcPr>
            <w:tcW w:w="850" w:type="dxa"/>
            <w:vAlign w:val="center"/>
          </w:tcPr>
          <w:p>
            <w:pPr>
              <w:spacing w:line="440" w:lineRule="exact"/>
              <w:jc w:val="center"/>
              <w:rPr>
                <w:rFonts w:hint="eastAsia" w:ascii="宋体" w:hAnsi="宋体" w:cs="宋体"/>
                <w:color w:val="auto"/>
                <w:sz w:val="18"/>
              </w:rPr>
            </w:pPr>
          </w:p>
        </w:tc>
        <w:tc>
          <w:tcPr>
            <w:tcW w:w="1013"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1056" w:type="dxa"/>
            <w:vAlign w:val="center"/>
          </w:tcPr>
          <w:p>
            <w:pPr>
              <w:spacing w:line="440" w:lineRule="exact"/>
              <w:jc w:val="center"/>
              <w:rPr>
                <w:rFonts w:hint="eastAsia" w:ascii="宋体" w:hAnsi="宋体" w:cs="宋体"/>
                <w:color w:val="auto"/>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94" w:hRule="exact"/>
          <w:jc w:val="center"/>
        </w:trPr>
        <w:tc>
          <w:tcPr>
            <w:tcW w:w="745" w:type="dxa"/>
            <w:vAlign w:val="center"/>
          </w:tcPr>
          <w:p>
            <w:pPr>
              <w:spacing w:line="440" w:lineRule="exact"/>
              <w:jc w:val="center"/>
              <w:rPr>
                <w:rFonts w:hint="eastAsia" w:ascii="宋体" w:hAnsi="宋体" w:cs="宋体"/>
                <w:color w:val="auto"/>
                <w:sz w:val="18"/>
              </w:rPr>
            </w:pPr>
            <w:r>
              <w:rPr>
                <w:rFonts w:hint="eastAsia" w:ascii="宋体" w:hAnsi="宋体" w:cs="宋体"/>
                <w:color w:val="auto"/>
                <w:sz w:val="18"/>
              </w:rPr>
              <w:t>1</w:t>
            </w:r>
          </w:p>
        </w:tc>
        <w:tc>
          <w:tcPr>
            <w:tcW w:w="1773" w:type="dxa"/>
            <w:vAlign w:val="center"/>
          </w:tcPr>
          <w:p>
            <w:pPr>
              <w:jc w:val="center"/>
              <w:rPr>
                <w:rFonts w:hint="eastAsia" w:ascii="宋体" w:hAnsi="宋体" w:cs="宋体"/>
                <w:color w:val="auto"/>
                <w:sz w:val="18"/>
              </w:rPr>
            </w:pPr>
            <w:r>
              <w:rPr>
                <w:rFonts w:hint="eastAsia" w:ascii="宋体" w:hAnsi="宋体" w:cs="宋体"/>
                <w:color w:val="auto"/>
                <w:sz w:val="18"/>
                <w:szCs w:val="21"/>
              </w:rPr>
              <w:t>投标人名称</w:t>
            </w:r>
          </w:p>
        </w:tc>
        <w:tc>
          <w:tcPr>
            <w:tcW w:w="4138" w:type="dxa"/>
            <w:vAlign w:val="center"/>
          </w:tcPr>
          <w:p>
            <w:pPr>
              <w:jc w:val="left"/>
              <w:rPr>
                <w:rFonts w:hint="eastAsia" w:ascii="宋体" w:hAnsi="宋体" w:cs="宋体"/>
                <w:color w:val="auto"/>
                <w:sz w:val="18"/>
                <w:szCs w:val="21"/>
              </w:rPr>
            </w:pPr>
            <w:r>
              <w:rPr>
                <w:rFonts w:hint="eastAsia" w:ascii="宋体" w:hAnsi="宋体" w:cs="宋体"/>
                <w:color w:val="auto"/>
                <w:sz w:val="18"/>
                <w:szCs w:val="21"/>
              </w:rPr>
              <w:t>与营业执照、资质证书、安全生产许可证、省外建筑企业与在“湖南省住房和城乡建设网”查询的名称【或省外企业入湘登记证上的名称】（仅省外企业，如联合体双方都为省外企业，均需办理省外入湘企业基本情况登记或具有入湘登记证）是否一致，否则为不合格投标人</w:t>
            </w:r>
          </w:p>
        </w:tc>
        <w:tc>
          <w:tcPr>
            <w:tcW w:w="850" w:type="dxa"/>
            <w:vAlign w:val="center"/>
          </w:tcPr>
          <w:p>
            <w:pPr>
              <w:spacing w:line="440" w:lineRule="exact"/>
              <w:jc w:val="center"/>
              <w:rPr>
                <w:rFonts w:hint="eastAsia" w:ascii="宋体" w:hAnsi="宋体" w:cs="宋体"/>
                <w:color w:val="auto"/>
                <w:sz w:val="18"/>
              </w:rPr>
            </w:pPr>
          </w:p>
        </w:tc>
        <w:tc>
          <w:tcPr>
            <w:tcW w:w="1013"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1056" w:type="dxa"/>
            <w:vAlign w:val="center"/>
          </w:tcPr>
          <w:p>
            <w:pPr>
              <w:spacing w:line="440" w:lineRule="exact"/>
              <w:jc w:val="center"/>
              <w:rPr>
                <w:rFonts w:hint="eastAsia" w:ascii="宋体" w:hAnsi="宋体" w:cs="宋体"/>
                <w:color w:val="auto"/>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exact"/>
          <w:jc w:val="center"/>
        </w:trPr>
        <w:tc>
          <w:tcPr>
            <w:tcW w:w="745" w:type="dxa"/>
            <w:vAlign w:val="center"/>
          </w:tcPr>
          <w:p>
            <w:pPr>
              <w:spacing w:line="440" w:lineRule="exact"/>
              <w:jc w:val="center"/>
              <w:rPr>
                <w:rFonts w:hint="eastAsia" w:ascii="宋体" w:hAnsi="宋体" w:cs="宋体"/>
                <w:color w:val="auto"/>
                <w:sz w:val="18"/>
              </w:rPr>
            </w:pPr>
            <w:r>
              <w:rPr>
                <w:rFonts w:hint="eastAsia" w:ascii="宋体" w:hAnsi="宋体" w:cs="宋体"/>
                <w:color w:val="auto"/>
                <w:sz w:val="18"/>
              </w:rPr>
              <w:t>2</w:t>
            </w:r>
          </w:p>
        </w:tc>
        <w:tc>
          <w:tcPr>
            <w:tcW w:w="1773" w:type="dxa"/>
            <w:vAlign w:val="center"/>
          </w:tcPr>
          <w:p>
            <w:pPr>
              <w:jc w:val="center"/>
              <w:rPr>
                <w:rFonts w:hint="eastAsia" w:ascii="宋体" w:hAnsi="宋体" w:cs="宋体"/>
                <w:color w:val="auto"/>
                <w:sz w:val="18"/>
              </w:rPr>
            </w:pPr>
            <w:r>
              <w:rPr>
                <w:rFonts w:hint="eastAsia" w:ascii="宋体" w:hAnsi="宋体" w:cs="宋体"/>
                <w:color w:val="auto"/>
                <w:sz w:val="18"/>
                <w:szCs w:val="21"/>
              </w:rPr>
              <w:t>投标文件签字盖章</w:t>
            </w:r>
          </w:p>
        </w:tc>
        <w:tc>
          <w:tcPr>
            <w:tcW w:w="4138" w:type="dxa"/>
            <w:vAlign w:val="center"/>
          </w:tcPr>
          <w:p>
            <w:pPr>
              <w:snapToGrid w:val="0"/>
              <w:rPr>
                <w:rFonts w:hint="eastAsia" w:ascii="宋体" w:hAnsi="宋体" w:cs="宋体"/>
                <w:color w:val="auto"/>
                <w:sz w:val="18"/>
                <w:szCs w:val="21"/>
              </w:rPr>
            </w:pPr>
            <w:r>
              <w:rPr>
                <w:rFonts w:hint="eastAsia" w:ascii="宋体" w:hAnsi="宋体" w:cs="宋体"/>
                <w:color w:val="auto"/>
                <w:sz w:val="18"/>
                <w:szCs w:val="21"/>
              </w:rPr>
              <w:t>是否符合第二章“投标人须知前附表”第3.7.3项签字盖章要求</w:t>
            </w:r>
          </w:p>
        </w:tc>
        <w:tc>
          <w:tcPr>
            <w:tcW w:w="850" w:type="dxa"/>
            <w:vAlign w:val="center"/>
          </w:tcPr>
          <w:p>
            <w:pPr>
              <w:spacing w:line="440" w:lineRule="exact"/>
              <w:jc w:val="center"/>
              <w:rPr>
                <w:rFonts w:hint="eastAsia" w:ascii="宋体" w:hAnsi="宋体" w:cs="宋体"/>
                <w:color w:val="auto"/>
                <w:sz w:val="18"/>
              </w:rPr>
            </w:pPr>
          </w:p>
        </w:tc>
        <w:tc>
          <w:tcPr>
            <w:tcW w:w="1013"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1056" w:type="dxa"/>
            <w:vAlign w:val="center"/>
          </w:tcPr>
          <w:p>
            <w:pPr>
              <w:spacing w:line="440" w:lineRule="exact"/>
              <w:jc w:val="center"/>
              <w:rPr>
                <w:rFonts w:hint="eastAsia" w:ascii="宋体" w:hAnsi="宋体" w:cs="宋体"/>
                <w:color w:val="auto"/>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60" w:hRule="exact"/>
          <w:jc w:val="center"/>
        </w:trPr>
        <w:tc>
          <w:tcPr>
            <w:tcW w:w="745" w:type="dxa"/>
            <w:vAlign w:val="center"/>
          </w:tcPr>
          <w:p>
            <w:pPr>
              <w:spacing w:line="440" w:lineRule="exact"/>
              <w:jc w:val="center"/>
              <w:rPr>
                <w:rFonts w:hint="eastAsia" w:ascii="宋体" w:hAnsi="宋体" w:cs="宋体"/>
                <w:color w:val="auto"/>
                <w:sz w:val="18"/>
              </w:rPr>
            </w:pPr>
            <w:r>
              <w:rPr>
                <w:rFonts w:hint="eastAsia" w:ascii="宋体" w:hAnsi="宋体" w:cs="宋体"/>
                <w:color w:val="auto"/>
                <w:sz w:val="18"/>
              </w:rPr>
              <w:t>3</w:t>
            </w:r>
          </w:p>
        </w:tc>
        <w:tc>
          <w:tcPr>
            <w:tcW w:w="1773" w:type="dxa"/>
            <w:vAlign w:val="center"/>
          </w:tcPr>
          <w:p>
            <w:pPr>
              <w:jc w:val="center"/>
              <w:rPr>
                <w:rFonts w:hint="eastAsia" w:ascii="宋体" w:hAnsi="宋体" w:cs="宋体"/>
                <w:color w:val="auto"/>
                <w:sz w:val="18"/>
              </w:rPr>
            </w:pPr>
            <w:r>
              <w:rPr>
                <w:rFonts w:hint="eastAsia" w:ascii="宋体" w:hAnsi="宋体" w:cs="宋体"/>
                <w:color w:val="auto"/>
                <w:sz w:val="18"/>
                <w:szCs w:val="21"/>
              </w:rPr>
              <w:t>投标文件格式</w:t>
            </w:r>
          </w:p>
        </w:tc>
        <w:tc>
          <w:tcPr>
            <w:tcW w:w="4138" w:type="dxa"/>
            <w:vAlign w:val="center"/>
          </w:tcPr>
          <w:p>
            <w:pPr>
              <w:snapToGrid w:val="0"/>
              <w:rPr>
                <w:rFonts w:hint="eastAsia" w:ascii="宋体" w:hAnsi="宋体" w:cs="宋体"/>
                <w:color w:val="auto"/>
                <w:sz w:val="18"/>
                <w:szCs w:val="21"/>
              </w:rPr>
            </w:pPr>
            <w:r>
              <w:rPr>
                <w:rFonts w:hint="eastAsia" w:ascii="宋体" w:hAnsi="宋体" w:cs="宋体"/>
                <w:color w:val="auto"/>
                <w:sz w:val="18"/>
                <w:szCs w:val="21"/>
              </w:rPr>
              <w:t>是否符合第七章“投标文件格式”的要求。投标文件未按规定的格式填写的，内容不全或关键字迹模糊、无法辨认的，</w:t>
            </w:r>
            <w:r>
              <w:rPr>
                <w:rFonts w:hint="eastAsia" w:ascii="宋体" w:hAnsi="宋体" w:cs="宋体"/>
                <w:color w:val="auto"/>
                <w:kern w:val="0"/>
                <w:sz w:val="18"/>
              </w:rPr>
              <w:t>为不合格的投标人</w:t>
            </w:r>
          </w:p>
        </w:tc>
        <w:tc>
          <w:tcPr>
            <w:tcW w:w="850" w:type="dxa"/>
            <w:vAlign w:val="center"/>
          </w:tcPr>
          <w:p>
            <w:pPr>
              <w:spacing w:line="440" w:lineRule="exact"/>
              <w:jc w:val="center"/>
              <w:rPr>
                <w:rFonts w:hint="eastAsia" w:ascii="宋体" w:hAnsi="宋体" w:cs="宋体"/>
                <w:color w:val="auto"/>
                <w:sz w:val="18"/>
              </w:rPr>
            </w:pPr>
          </w:p>
        </w:tc>
        <w:tc>
          <w:tcPr>
            <w:tcW w:w="1013"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1056" w:type="dxa"/>
            <w:vAlign w:val="center"/>
          </w:tcPr>
          <w:p>
            <w:pPr>
              <w:spacing w:line="440" w:lineRule="exact"/>
              <w:jc w:val="center"/>
              <w:rPr>
                <w:rFonts w:hint="eastAsia" w:ascii="宋体" w:hAnsi="宋体" w:cs="宋体"/>
                <w:color w:val="auto"/>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0" w:hRule="exact"/>
          <w:jc w:val="center"/>
        </w:trPr>
        <w:tc>
          <w:tcPr>
            <w:tcW w:w="745" w:type="dxa"/>
            <w:vAlign w:val="center"/>
          </w:tcPr>
          <w:p>
            <w:pPr>
              <w:spacing w:line="440" w:lineRule="exact"/>
              <w:jc w:val="center"/>
              <w:rPr>
                <w:rFonts w:hint="eastAsia" w:ascii="宋体" w:hAnsi="宋体" w:cs="宋体"/>
                <w:color w:val="auto"/>
                <w:sz w:val="18"/>
              </w:rPr>
            </w:pPr>
            <w:r>
              <w:rPr>
                <w:rFonts w:hint="eastAsia" w:ascii="宋体" w:hAnsi="宋体" w:cs="宋体"/>
                <w:color w:val="auto"/>
                <w:sz w:val="18"/>
              </w:rPr>
              <w:t>4</w:t>
            </w:r>
          </w:p>
        </w:tc>
        <w:tc>
          <w:tcPr>
            <w:tcW w:w="1773" w:type="dxa"/>
            <w:vAlign w:val="center"/>
          </w:tcPr>
          <w:p>
            <w:pPr>
              <w:jc w:val="center"/>
              <w:rPr>
                <w:rFonts w:hint="eastAsia" w:ascii="宋体" w:hAnsi="宋体" w:cs="宋体"/>
                <w:color w:val="auto"/>
                <w:sz w:val="18"/>
              </w:rPr>
            </w:pPr>
            <w:r>
              <w:rPr>
                <w:rFonts w:hint="eastAsia" w:ascii="宋体" w:hAnsi="宋体" w:cs="宋体"/>
                <w:color w:val="auto"/>
                <w:sz w:val="18"/>
              </w:rPr>
              <w:t>联合体协议书</w:t>
            </w:r>
          </w:p>
          <w:p>
            <w:pPr>
              <w:jc w:val="center"/>
              <w:rPr>
                <w:rFonts w:hint="eastAsia" w:ascii="宋体" w:hAnsi="宋体" w:cs="宋体"/>
                <w:color w:val="auto"/>
                <w:sz w:val="18"/>
                <w:szCs w:val="21"/>
              </w:rPr>
            </w:pPr>
            <w:r>
              <w:rPr>
                <w:rFonts w:hint="eastAsia" w:ascii="宋体" w:hAnsi="宋体" w:cs="宋体"/>
                <w:color w:val="auto"/>
                <w:sz w:val="18"/>
              </w:rPr>
              <w:t>（联合体投标提供）</w:t>
            </w:r>
          </w:p>
        </w:tc>
        <w:tc>
          <w:tcPr>
            <w:tcW w:w="4138" w:type="dxa"/>
            <w:vAlign w:val="center"/>
          </w:tcPr>
          <w:p>
            <w:pPr>
              <w:spacing w:line="400" w:lineRule="exact"/>
              <w:rPr>
                <w:rFonts w:hint="eastAsia" w:ascii="宋体" w:hAnsi="宋体" w:cs="宋体"/>
                <w:color w:val="auto"/>
                <w:sz w:val="18"/>
                <w:szCs w:val="21"/>
              </w:rPr>
            </w:pPr>
            <w:r>
              <w:rPr>
                <w:rFonts w:hint="eastAsia" w:ascii="宋体" w:hAnsi="宋体" w:cs="宋体"/>
                <w:color w:val="auto"/>
                <w:sz w:val="18"/>
                <w:szCs w:val="21"/>
              </w:rPr>
              <w:t>是否符合第二章第1.4.2条的要求</w:t>
            </w:r>
          </w:p>
        </w:tc>
        <w:tc>
          <w:tcPr>
            <w:tcW w:w="850" w:type="dxa"/>
            <w:vAlign w:val="center"/>
          </w:tcPr>
          <w:p>
            <w:pPr>
              <w:spacing w:line="440" w:lineRule="exact"/>
              <w:jc w:val="center"/>
              <w:rPr>
                <w:rFonts w:hint="eastAsia" w:ascii="宋体" w:hAnsi="宋体" w:cs="宋体"/>
                <w:color w:val="auto"/>
                <w:sz w:val="18"/>
              </w:rPr>
            </w:pPr>
          </w:p>
        </w:tc>
        <w:tc>
          <w:tcPr>
            <w:tcW w:w="1013"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1056" w:type="dxa"/>
            <w:vAlign w:val="center"/>
          </w:tcPr>
          <w:p>
            <w:pPr>
              <w:spacing w:line="440" w:lineRule="exact"/>
              <w:jc w:val="center"/>
              <w:rPr>
                <w:rFonts w:hint="eastAsia" w:ascii="宋体" w:hAnsi="宋体" w:cs="宋体"/>
                <w:color w:val="auto"/>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45" w:type="dxa"/>
            <w:vAlign w:val="center"/>
          </w:tcPr>
          <w:p>
            <w:pPr>
              <w:spacing w:line="440" w:lineRule="exact"/>
              <w:jc w:val="center"/>
              <w:rPr>
                <w:rFonts w:hint="eastAsia" w:ascii="宋体" w:hAnsi="宋体" w:cs="宋体"/>
                <w:color w:val="auto"/>
                <w:sz w:val="18"/>
              </w:rPr>
            </w:pPr>
            <w:r>
              <w:rPr>
                <w:rFonts w:hint="eastAsia" w:ascii="宋体" w:hAnsi="宋体" w:cs="宋体"/>
                <w:color w:val="auto"/>
                <w:sz w:val="18"/>
              </w:rPr>
              <w:t>5</w:t>
            </w:r>
          </w:p>
        </w:tc>
        <w:tc>
          <w:tcPr>
            <w:tcW w:w="1773" w:type="dxa"/>
            <w:vAlign w:val="center"/>
          </w:tcPr>
          <w:p>
            <w:pPr>
              <w:jc w:val="center"/>
              <w:rPr>
                <w:rFonts w:hint="eastAsia" w:ascii="宋体" w:hAnsi="宋体" w:cs="宋体"/>
                <w:color w:val="auto"/>
                <w:sz w:val="18"/>
              </w:rPr>
            </w:pPr>
            <w:r>
              <w:rPr>
                <w:rFonts w:hint="eastAsia" w:ascii="宋体" w:hAnsi="宋体" w:cs="宋体"/>
                <w:color w:val="auto"/>
                <w:sz w:val="18"/>
                <w:szCs w:val="21"/>
              </w:rPr>
              <w:t>报价唯一</w:t>
            </w:r>
          </w:p>
        </w:tc>
        <w:tc>
          <w:tcPr>
            <w:tcW w:w="4138" w:type="dxa"/>
            <w:vAlign w:val="center"/>
          </w:tcPr>
          <w:p>
            <w:pPr>
              <w:spacing w:line="440" w:lineRule="exact"/>
              <w:jc w:val="left"/>
              <w:rPr>
                <w:rFonts w:hint="eastAsia" w:ascii="宋体" w:hAnsi="宋体" w:cs="宋体"/>
                <w:color w:val="auto"/>
                <w:sz w:val="18"/>
              </w:rPr>
            </w:pPr>
            <w:r>
              <w:rPr>
                <w:rFonts w:hint="eastAsia" w:ascii="宋体" w:hAnsi="宋体" w:cs="宋体"/>
                <w:color w:val="auto"/>
                <w:sz w:val="18"/>
                <w:szCs w:val="21"/>
              </w:rPr>
              <w:t>是否只有一个有效报价</w:t>
            </w:r>
          </w:p>
        </w:tc>
        <w:tc>
          <w:tcPr>
            <w:tcW w:w="850" w:type="dxa"/>
            <w:vAlign w:val="center"/>
          </w:tcPr>
          <w:p>
            <w:pPr>
              <w:spacing w:line="440" w:lineRule="exact"/>
              <w:jc w:val="center"/>
              <w:rPr>
                <w:rFonts w:hint="eastAsia" w:ascii="宋体" w:hAnsi="宋体" w:cs="宋体"/>
                <w:color w:val="auto"/>
                <w:sz w:val="18"/>
              </w:rPr>
            </w:pPr>
          </w:p>
        </w:tc>
        <w:tc>
          <w:tcPr>
            <w:tcW w:w="1013"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1056" w:type="dxa"/>
            <w:vAlign w:val="center"/>
          </w:tcPr>
          <w:p>
            <w:pPr>
              <w:spacing w:line="440" w:lineRule="exact"/>
              <w:jc w:val="center"/>
              <w:rPr>
                <w:rFonts w:hint="eastAsia" w:ascii="宋体" w:hAnsi="宋体" w:cs="宋体"/>
                <w:color w:val="auto"/>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45" w:type="dxa"/>
            <w:vAlign w:val="center"/>
          </w:tcPr>
          <w:p>
            <w:pPr>
              <w:spacing w:line="440" w:lineRule="exact"/>
              <w:jc w:val="center"/>
              <w:rPr>
                <w:rFonts w:hint="eastAsia" w:ascii="宋体" w:hAnsi="宋体" w:cs="宋体"/>
                <w:color w:val="auto"/>
                <w:sz w:val="18"/>
              </w:rPr>
            </w:pPr>
          </w:p>
        </w:tc>
        <w:tc>
          <w:tcPr>
            <w:tcW w:w="1773" w:type="dxa"/>
            <w:vAlign w:val="center"/>
          </w:tcPr>
          <w:p>
            <w:pPr>
              <w:spacing w:line="440" w:lineRule="exact"/>
              <w:jc w:val="center"/>
              <w:rPr>
                <w:rFonts w:hint="eastAsia" w:ascii="宋体" w:hAnsi="宋体" w:cs="宋体"/>
                <w:color w:val="auto"/>
                <w:sz w:val="18"/>
              </w:rPr>
            </w:pPr>
            <w:r>
              <w:rPr>
                <w:rFonts w:hint="eastAsia" w:ascii="宋体" w:hAnsi="宋体" w:cs="宋体"/>
                <w:color w:val="auto"/>
                <w:sz w:val="18"/>
              </w:rPr>
              <w:t>评审结论</w:t>
            </w:r>
          </w:p>
        </w:tc>
        <w:tc>
          <w:tcPr>
            <w:tcW w:w="4138" w:type="dxa"/>
            <w:vAlign w:val="center"/>
          </w:tcPr>
          <w:p>
            <w:pPr>
              <w:spacing w:line="440" w:lineRule="exact"/>
              <w:jc w:val="center"/>
              <w:rPr>
                <w:rFonts w:hint="eastAsia" w:ascii="宋体" w:hAnsi="宋体" w:cs="宋体"/>
                <w:color w:val="auto"/>
                <w:sz w:val="18"/>
              </w:rPr>
            </w:pPr>
            <w:r>
              <w:rPr>
                <w:rFonts w:hint="eastAsia" w:ascii="宋体" w:hAnsi="宋体" w:cs="宋体"/>
                <w:color w:val="auto"/>
                <w:sz w:val="18"/>
              </w:rPr>
              <w:t>合格或不合格</w:t>
            </w:r>
          </w:p>
        </w:tc>
        <w:tc>
          <w:tcPr>
            <w:tcW w:w="850" w:type="dxa"/>
            <w:vAlign w:val="center"/>
          </w:tcPr>
          <w:p>
            <w:pPr>
              <w:spacing w:line="440" w:lineRule="exact"/>
              <w:jc w:val="center"/>
              <w:rPr>
                <w:rFonts w:hint="eastAsia" w:ascii="宋体" w:hAnsi="宋体" w:cs="宋体"/>
                <w:color w:val="auto"/>
                <w:sz w:val="18"/>
              </w:rPr>
            </w:pPr>
          </w:p>
        </w:tc>
        <w:tc>
          <w:tcPr>
            <w:tcW w:w="1013"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987" w:type="dxa"/>
            <w:vAlign w:val="center"/>
          </w:tcPr>
          <w:p>
            <w:pPr>
              <w:spacing w:line="440" w:lineRule="exact"/>
              <w:jc w:val="center"/>
              <w:rPr>
                <w:rFonts w:hint="eastAsia" w:ascii="宋体" w:hAnsi="宋体" w:cs="宋体"/>
                <w:color w:val="auto"/>
                <w:sz w:val="18"/>
              </w:rPr>
            </w:pPr>
          </w:p>
        </w:tc>
        <w:tc>
          <w:tcPr>
            <w:tcW w:w="1056" w:type="dxa"/>
            <w:vAlign w:val="center"/>
          </w:tcPr>
          <w:p>
            <w:pPr>
              <w:spacing w:line="440" w:lineRule="exact"/>
              <w:jc w:val="center"/>
              <w:rPr>
                <w:rFonts w:hint="eastAsia" w:ascii="宋体" w:hAnsi="宋体" w:cs="宋体"/>
                <w:color w:val="auto"/>
                <w:sz w:val="18"/>
              </w:rPr>
            </w:pPr>
          </w:p>
        </w:tc>
      </w:tr>
    </w:tbl>
    <w:p>
      <w:pPr>
        <w:spacing w:before="120" w:beforeLines="50" w:line="360" w:lineRule="exact"/>
        <w:ind w:firstLine="420" w:firstLineChars="200"/>
        <w:rPr>
          <w:rFonts w:hint="eastAsia" w:ascii="宋体" w:hAnsi="宋体" w:cs="宋体"/>
          <w:color w:val="auto"/>
        </w:rPr>
        <w:sectPr>
          <w:headerReference r:id="rId7" w:type="default"/>
          <w:pgSz w:w="16840" w:h="11920" w:orient="landscape"/>
          <w:pgMar w:top="1123" w:right="1412" w:bottom="1134" w:left="1134" w:header="720" w:footer="720" w:gutter="0"/>
          <w:cols w:space="720" w:num="1"/>
        </w:sectPr>
      </w:pPr>
      <w:r>
        <w:rPr>
          <w:rFonts w:hint="eastAsia" w:ascii="宋体" w:hAnsi="宋体" w:cs="宋体"/>
          <w:color w:val="auto"/>
          <w:szCs w:val="21"/>
        </w:rPr>
        <w:t>评标委员会全体成员签字：</w:t>
      </w:r>
      <w:r>
        <w:rPr>
          <w:rFonts w:hint="eastAsia" w:ascii="宋体" w:hAnsi="宋体" w:cs="宋体"/>
          <w:color w:val="auto"/>
        </w:rPr>
        <w:t xml:space="preserve">  </w:t>
      </w:r>
    </w:p>
    <w:p>
      <w:pPr>
        <w:tabs>
          <w:tab w:val="left" w:pos="1652"/>
        </w:tabs>
        <w:rPr>
          <w:rFonts w:hint="eastAsia" w:ascii="宋体" w:hAnsi="宋体" w:cs="宋体"/>
          <w:color w:val="auto"/>
        </w:rPr>
      </w:pPr>
    </w:p>
    <w:p>
      <w:pPr>
        <w:pStyle w:val="8"/>
        <w:spacing w:line="460" w:lineRule="exact"/>
        <w:rPr>
          <w:rFonts w:hint="eastAsia" w:ascii="宋体" w:hAnsi="宋体" w:eastAsia="宋体" w:cs="宋体"/>
          <w:b w:val="0"/>
          <w:bCs w:val="0"/>
          <w:color w:val="auto"/>
        </w:rPr>
      </w:pPr>
      <w:bookmarkStart w:id="391" w:name="_Toc300678144"/>
      <w:r>
        <w:rPr>
          <w:rFonts w:hint="eastAsia" w:ascii="宋体" w:hAnsi="宋体" w:eastAsia="宋体" w:cs="宋体"/>
          <w:b w:val="0"/>
          <w:bCs w:val="0"/>
          <w:color w:val="auto"/>
        </w:rPr>
        <w:t>附表3-2：</w:t>
      </w:r>
      <w:bookmarkEnd w:id="391"/>
      <w:r>
        <w:rPr>
          <w:rFonts w:hint="eastAsia" w:ascii="宋体" w:hAnsi="宋体" w:eastAsia="宋体" w:cs="宋体"/>
          <w:b w:val="0"/>
          <w:bCs w:val="0"/>
          <w:color w:val="auto"/>
        </w:rPr>
        <w:t>资格评审记录表</w:t>
      </w:r>
    </w:p>
    <w:p>
      <w:pPr>
        <w:snapToGrid w:val="0"/>
        <w:spacing w:before="120" w:beforeLines="50" w:after="120" w:afterLines="50" w:line="360" w:lineRule="exact"/>
        <w:jc w:val="center"/>
        <w:rPr>
          <w:rFonts w:hint="eastAsia" w:ascii="宋体" w:hAnsi="宋体" w:cs="宋体"/>
          <w:color w:val="auto"/>
          <w:sz w:val="28"/>
          <w:szCs w:val="28"/>
        </w:rPr>
      </w:pPr>
      <w:r>
        <w:rPr>
          <w:rFonts w:hint="eastAsia" w:ascii="宋体" w:hAnsi="宋体" w:cs="宋体"/>
          <w:color w:val="auto"/>
          <w:sz w:val="28"/>
          <w:szCs w:val="28"/>
        </w:rPr>
        <w:t>资格评审记录表</w:t>
      </w:r>
    </w:p>
    <w:p>
      <w:pPr>
        <w:spacing w:after="72" w:afterLines="30" w:line="360" w:lineRule="exact"/>
        <w:rPr>
          <w:rFonts w:hint="eastAsia" w:ascii="宋体" w:hAnsi="宋体" w:cs="宋体"/>
          <w:color w:val="auto"/>
        </w:rPr>
      </w:pPr>
      <w:r>
        <w:rPr>
          <w:rFonts w:hint="eastAsia" w:ascii="宋体" w:hAnsi="宋体" w:cs="宋体"/>
          <w:color w:val="auto"/>
        </w:rPr>
        <w:t>工程名称：</w:t>
      </w:r>
      <w:r>
        <w:rPr>
          <w:rFonts w:hint="eastAsia" w:ascii="宋体" w:hAnsi="宋体" w:cs="宋体"/>
          <w:color w:val="auto"/>
          <w:u w:val="single"/>
        </w:rPr>
        <w:t xml:space="preserve">             </w:t>
      </w:r>
      <w:r>
        <w:rPr>
          <w:rFonts w:hint="eastAsia" w:ascii="宋体" w:hAnsi="宋体" w:cs="宋体"/>
          <w:color w:val="auto"/>
        </w:rPr>
        <w:t>（项目名称）</w:t>
      </w:r>
    </w:p>
    <w:tbl>
      <w:tblPr>
        <w:tblStyle w:val="67"/>
        <w:tblW w:w="993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2"/>
        <w:gridCol w:w="425"/>
        <w:gridCol w:w="1843"/>
        <w:gridCol w:w="4819"/>
        <w:gridCol w:w="519"/>
        <w:gridCol w:w="970"/>
        <w:gridCol w:w="7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562" w:type="dxa"/>
            <w:vAlign w:val="center"/>
          </w:tcPr>
          <w:p>
            <w:pPr>
              <w:jc w:val="center"/>
              <w:rPr>
                <w:rFonts w:hint="eastAsia" w:ascii="宋体" w:hAnsi="宋体" w:cs="宋体"/>
                <w:color w:val="auto"/>
                <w:sz w:val="18"/>
                <w:szCs w:val="21"/>
              </w:rPr>
            </w:pPr>
            <w:r>
              <w:rPr>
                <w:rFonts w:hint="eastAsia" w:ascii="宋体" w:hAnsi="宋体" w:cs="宋体"/>
                <w:color w:val="auto"/>
                <w:sz w:val="18"/>
                <w:szCs w:val="21"/>
              </w:rPr>
              <w:t>序号</w:t>
            </w:r>
          </w:p>
        </w:tc>
        <w:tc>
          <w:tcPr>
            <w:tcW w:w="7087" w:type="dxa"/>
            <w:gridSpan w:val="3"/>
            <w:vAlign w:val="center"/>
          </w:tcPr>
          <w:p>
            <w:pPr>
              <w:jc w:val="center"/>
              <w:rPr>
                <w:rFonts w:hint="eastAsia" w:ascii="宋体" w:hAnsi="宋体" w:cs="宋体"/>
                <w:color w:val="auto"/>
                <w:sz w:val="18"/>
                <w:szCs w:val="21"/>
              </w:rPr>
            </w:pPr>
            <w:r>
              <w:rPr>
                <w:rFonts w:hint="eastAsia" w:ascii="宋体" w:hAnsi="宋体" w:cs="宋体"/>
                <w:color w:val="auto"/>
                <w:sz w:val="18"/>
                <w:szCs w:val="21"/>
              </w:rPr>
              <w:t>评审因素</w:t>
            </w:r>
          </w:p>
        </w:tc>
        <w:tc>
          <w:tcPr>
            <w:tcW w:w="2288" w:type="dxa"/>
            <w:gridSpan w:val="3"/>
            <w:vAlign w:val="center"/>
          </w:tcPr>
          <w:p>
            <w:pPr>
              <w:snapToGrid w:val="0"/>
              <w:jc w:val="center"/>
              <w:rPr>
                <w:rFonts w:hint="eastAsia" w:ascii="宋体" w:hAnsi="宋体" w:cs="宋体"/>
                <w:color w:val="auto"/>
                <w:sz w:val="18"/>
                <w:szCs w:val="21"/>
              </w:rPr>
            </w:pPr>
            <w:r>
              <w:rPr>
                <w:rFonts w:hint="eastAsia" w:ascii="宋体" w:hAnsi="宋体" w:cs="宋体"/>
                <w:color w:val="auto"/>
                <w:sz w:val="18"/>
                <w:szCs w:val="21"/>
              </w:rPr>
              <w:t>投标人名称及评审意见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562" w:type="dxa"/>
            <w:vAlign w:val="center"/>
          </w:tcPr>
          <w:p>
            <w:pPr>
              <w:snapToGrid w:val="0"/>
              <w:jc w:val="center"/>
              <w:rPr>
                <w:rFonts w:hint="eastAsia" w:ascii="宋体" w:hAnsi="宋体" w:cs="宋体"/>
                <w:color w:val="auto"/>
                <w:sz w:val="18"/>
                <w:szCs w:val="21"/>
              </w:rPr>
            </w:pPr>
            <w:r>
              <w:rPr>
                <w:rFonts w:hint="eastAsia" w:ascii="宋体" w:hAnsi="宋体" w:cs="宋体"/>
                <w:color w:val="auto"/>
                <w:sz w:val="18"/>
                <w:szCs w:val="21"/>
              </w:rPr>
              <w:t>1</w:t>
            </w:r>
          </w:p>
        </w:tc>
        <w:tc>
          <w:tcPr>
            <w:tcW w:w="2268" w:type="dxa"/>
            <w:gridSpan w:val="2"/>
            <w:vAlign w:val="center"/>
          </w:tcPr>
          <w:p>
            <w:pPr>
              <w:snapToGrid w:val="0"/>
              <w:jc w:val="center"/>
              <w:rPr>
                <w:rFonts w:hint="eastAsia" w:ascii="宋体" w:hAnsi="宋体" w:cs="宋体"/>
                <w:color w:val="auto"/>
                <w:sz w:val="18"/>
                <w:szCs w:val="21"/>
              </w:rPr>
            </w:pPr>
            <w:r>
              <w:rPr>
                <w:rFonts w:hint="eastAsia" w:ascii="宋体" w:hAnsi="宋体" w:cs="宋体"/>
                <w:color w:val="auto"/>
                <w:sz w:val="18"/>
                <w:szCs w:val="21"/>
              </w:rPr>
              <w:t>营业执照</w:t>
            </w:r>
          </w:p>
        </w:tc>
        <w:tc>
          <w:tcPr>
            <w:tcW w:w="4819" w:type="dxa"/>
            <w:vAlign w:val="center"/>
          </w:tcPr>
          <w:p>
            <w:pPr>
              <w:snapToGrid w:val="0"/>
              <w:rPr>
                <w:rFonts w:hint="eastAsia" w:ascii="宋体" w:hAnsi="宋体" w:cs="宋体"/>
                <w:color w:val="auto"/>
                <w:sz w:val="18"/>
                <w:szCs w:val="21"/>
              </w:rPr>
            </w:pPr>
            <w:r>
              <w:rPr>
                <w:rFonts w:hint="eastAsia" w:ascii="宋体" w:hAnsi="宋体" w:cs="宋体"/>
                <w:color w:val="auto"/>
                <w:sz w:val="18"/>
                <w:szCs w:val="21"/>
              </w:rPr>
              <w:t>是否具备有效的营业执照</w:t>
            </w:r>
          </w:p>
        </w:tc>
        <w:tc>
          <w:tcPr>
            <w:tcW w:w="519" w:type="dxa"/>
            <w:vAlign w:val="center"/>
          </w:tcPr>
          <w:p>
            <w:pPr>
              <w:snapToGrid w:val="0"/>
              <w:rPr>
                <w:rFonts w:hint="eastAsia" w:ascii="宋体" w:hAnsi="宋体" w:cs="宋体"/>
                <w:color w:val="auto"/>
                <w:sz w:val="18"/>
                <w:szCs w:val="21"/>
              </w:rPr>
            </w:pPr>
          </w:p>
        </w:tc>
        <w:tc>
          <w:tcPr>
            <w:tcW w:w="970" w:type="dxa"/>
            <w:vAlign w:val="center"/>
          </w:tcPr>
          <w:p>
            <w:pPr>
              <w:snapToGrid w:val="0"/>
              <w:rPr>
                <w:rFonts w:hint="eastAsia" w:ascii="宋体" w:hAnsi="宋体" w:cs="宋体"/>
                <w:color w:val="auto"/>
                <w:sz w:val="18"/>
                <w:szCs w:val="21"/>
              </w:rPr>
            </w:pPr>
          </w:p>
        </w:tc>
        <w:tc>
          <w:tcPr>
            <w:tcW w:w="799" w:type="dxa"/>
            <w:vAlign w:val="center"/>
          </w:tcPr>
          <w:p>
            <w:pPr>
              <w:snapToGrid w:val="0"/>
              <w:rPr>
                <w:rFonts w:hint="eastAsia" w:ascii="宋体" w:hAnsi="宋体" w:cs="宋体"/>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562" w:type="dxa"/>
            <w:vAlign w:val="center"/>
          </w:tcPr>
          <w:p>
            <w:pPr>
              <w:snapToGrid w:val="0"/>
              <w:jc w:val="center"/>
              <w:rPr>
                <w:rFonts w:hint="eastAsia" w:ascii="宋体" w:hAnsi="宋体" w:cs="宋体"/>
                <w:color w:val="auto"/>
                <w:sz w:val="18"/>
                <w:szCs w:val="21"/>
              </w:rPr>
            </w:pPr>
            <w:r>
              <w:rPr>
                <w:rFonts w:hint="eastAsia" w:ascii="宋体" w:hAnsi="宋体" w:cs="宋体"/>
                <w:color w:val="auto"/>
                <w:sz w:val="18"/>
                <w:szCs w:val="21"/>
              </w:rPr>
              <w:t>2</w:t>
            </w:r>
          </w:p>
        </w:tc>
        <w:tc>
          <w:tcPr>
            <w:tcW w:w="2268" w:type="dxa"/>
            <w:gridSpan w:val="2"/>
            <w:vAlign w:val="center"/>
          </w:tcPr>
          <w:p>
            <w:pPr>
              <w:snapToGrid w:val="0"/>
              <w:jc w:val="center"/>
              <w:rPr>
                <w:rFonts w:hint="eastAsia" w:ascii="宋体" w:hAnsi="宋体" w:cs="宋体"/>
                <w:color w:val="auto"/>
                <w:sz w:val="18"/>
                <w:szCs w:val="21"/>
              </w:rPr>
            </w:pPr>
            <w:r>
              <w:rPr>
                <w:rFonts w:hint="eastAsia" w:ascii="宋体" w:hAnsi="宋体" w:cs="宋体"/>
                <w:color w:val="auto"/>
                <w:sz w:val="18"/>
                <w:szCs w:val="21"/>
              </w:rPr>
              <w:t>企业资质等级</w:t>
            </w:r>
          </w:p>
        </w:tc>
        <w:tc>
          <w:tcPr>
            <w:tcW w:w="4819" w:type="dxa"/>
            <w:vAlign w:val="center"/>
          </w:tcPr>
          <w:p>
            <w:pPr>
              <w:snapToGrid w:val="0"/>
              <w:rPr>
                <w:rFonts w:hint="eastAsia" w:ascii="宋体" w:hAnsi="宋体" w:cs="宋体"/>
                <w:color w:val="auto"/>
                <w:sz w:val="18"/>
                <w:szCs w:val="21"/>
              </w:rPr>
            </w:pPr>
            <w:r>
              <w:rPr>
                <w:rFonts w:hint="eastAsia" w:ascii="宋体" w:hAnsi="宋体" w:cs="宋体"/>
                <w:color w:val="auto"/>
                <w:sz w:val="18"/>
                <w:szCs w:val="21"/>
              </w:rPr>
              <w:t>是否具备招标文件要求的资质等级</w:t>
            </w:r>
          </w:p>
        </w:tc>
        <w:tc>
          <w:tcPr>
            <w:tcW w:w="519" w:type="dxa"/>
            <w:vAlign w:val="center"/>
          </w:tcPr>
          <w:p>
            <w:pPr>
              <w:snapToGrid w:val="0"/>
              <w:rPr>
                <w:rFonts w:hint="eastAsia" w:ascii="宋体" w:hAnsi="宋体" w:cs="宋体"/>
                <w:color w:val="auto"/>
                <w:sz w:val="18"/>
                <w:szCs w:val="21"/>
              </w:rPr>
            </w:pPr>
          </w:p>
        </w:tc>
        <w:tc>
          <w:tcPr>
            <w:tcW w:w="970" w:type="dxa"/>
            <w:vAlign w:val="center"/>
          </w:tcPr>
          <w:p>
            <w:pPr>
              <w:snapToGrid w:val="0"/>
              <w:rPr>
                <w:rFonts w:hint="eastAsia" w:ascii="宋体" w:hAnsi="宋体" w:cs="宋体"/>
                <w:color w:val="auto"/>
                <w:sz w:val="18"/>
                <w:szCs w:val="21"/>
              </w:rPr>
            </w:pPr>
          </w:p>
        </w:tc>
        <w:tc>
          <w:tcPr>
            <w:tcW w:w="799" w:type="dxa"/>
            <w:vAlign w:val="center"/>
          </w:tcPr>
          <w:p>
            <w:pPr>
              <w:snapToGrid w:val="0"/>
              <w:rPr>
                <w:rFonts w:hint="eastAsia" w:ascii="宋体" w:hAnsi="宋体" w:cs="宋体"/>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562" w:type="dxa"/>
            <w:vAlign w:val="center"/>
          </w:tcPr>
          <w:p>
            <w:pPr>
              <w:snapToGrid w:val="0"/>
              <w:jc w:val="center"/>
              <w:rPr>
                <w:rFonts w:hint="eastAsia" w:ascii="宋体" w:hAnsi="宋体" w:cs="宋体"/>
                <w:color w:val="auto"/>
                <w:sz w:val="18"/>
                <w:szCs w:val="21"/>
              </w:rPr>
            </w:pPr>
            <w:r>
              <w:rPr>
                <w:rFonts w:hint="eastAsia" w:ascii="宋体" w:hAnsi="宋体" w:cs="宋体"/>
                <w:color w:val="auto"/>
                <w:sz w:val="18"/>
                <w:szCs w:val="21"/>
              </w:rPr>
              <w:t>3</w:t>
            </w:r>
          </w:p>
        </w:tc>
        <w:tc>
          <w:tcPr>
            <w:tcW w:w="2268" w:type="dxa"/>
            <w:gridSpan w:val="2"/>
            <w:vAlign w:val="center"/>
          </w:tcPr>
          <w:p>
            <w:pPr>
              <w:snapToGrid w:val="0"/>
              <w:jc w:val="center"/>
              <w:rPr>
                <w:rFonts w:hint="eastAsia" w:ascii="宋体" w:hAnsi="宋体" w:cs="宋体"/>
                <w:color w:val="auto"/>
                <w:sz w:val="18"/>
                <w:szCs w:val="21"/>
              </w:rPr>
            </w:pPr>
            <w:r>
              <w:rPr>
                <w:rFonts w:hint="eastAsia" w:ascii="宋体" w:hAnsi="宋体" w:cs="宋体"/>
                <w:color w:val="auto"/>
                <w:sz w:val="18"/>
                <w:szCs w:val="21"/>
              </w:rPr>
              <w:t>企业安全生产许可证</w:t>
            </w:r>
          </w:p>
        </w:tc>
        <w:tc>
          <w:tcPr>
            <w:tcW w:w="4819" w:type="dxa"/>
            <w:vAlign w:val="center"/>
          </w:tcPr>
          <w:p>
            <w:pPr>
              <w:snapToGrid w:val="0"/>
              <w:rPr>
                <w:rFonts w:hint="eastAsia" w:ascii="宋体" w:hAnsi="宋体" w:cs="宋体"/>
                <w:color w:val="auto"/>
                <w:sz w:val="18"/>
                <w:szCs w:val="21"/>
              </w:rPr>
            </w:pPr>
            <w:r>
              <w:rPr>
                <w:rFonts w:hint="eastAsia" w:ascii="宋体" w:hAnsi="宋体" w:cs="宋体"/>
                <w:color w:val="auto"/>
                <w:sz w:val="18"/>
                <w:szCs w:val="21"/>
              </w:rPr>
              <w:t>是否具备有效的安全生产许可证</w:t>
            </w:r>
          </w:p>
        </w:tc>
        <w:tc>
          <w:tcPr>
            <w:tcW w:w="519" w:type="dxa"/>
            <w:vAlign w:val="center"/>
          </w:tcPr>
          <w:p>
            <w:pPr>
              <w:snapToGrid w:val="0"/>
              <w:rPr>
                <w:rFonts w:hint="eastAsia" w:ascii="宋体" w:hAnsi="宋体" w:cs="宋体"/>
                <w:color w:val="auto"/>
                <w:sz w:val="18"/>
                <w:szCs w:val="21"/>
              </w:rPr>
            </w:pPr>
          </w:p>
        </w:tc>
        <w:tc>
          <w:tcPr>
            <w:tcW w:w="970" w:type="dxa"/>
            <w:vAlign w:val="center"/>
          </w:tcPr>
          <w:p>
            <w:pPr>
              <w:jc w:val="center"/>
              <w:rPr>
                <w:rFonts w:hint="eastAsia" w:ascii="宋体" w:hAnsi="宋体" w:cs="宋体"/>
                <w:color w:val="auto"/>
                <w:sz w:val="18"/>
                <w:szCs w:val="21"/>
              </w:rPr>
            </w:pPr>
          </w:p>
        </w:tc>
        <w:tc>
          <w:tcPr>
            <w:tcW w:w="799" w:type="dxa"/>
            <w:vAlign w:val="center"/>
          </w:tcPr>
          <w:p>
            <w:pPr>
              <w:jc w:val="center"/>
              <w:rPr>
                <w:rFonts w:hint="eastAsia" w:ascii="宋体" w:hAnsi="宋体" w:cs="宋体"/>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562" w:type="dxa"/>
            <w:vAlign w:val="center"/>
          </w:tcPr>
          <w:p>
            <w:pPr>
              <w:snapToGrid w:val="0"/>
              <w:jc w:val="center"/>
              <w:rPr>
                <w:rFonts w:hint="eastAsia" w:ascii="宋体" w:hAnsi="宋体" w:cs="宋体"/>
                <w:color w:val="auto"/>
                <w:sz w:val="18"/>
                <w:szCs w:val="21"/>
              </w:rPr>
            </w:pPr>
            <w:r>
              <w:rPr>
                <w:rFonts w:hint="eastAsia" w:ascii="宋体" w:hAnsi="宋体" w:cs="宋体"/>
                <w:color w:val="auto"/>
                <w:sz w:val="18"/>
                <w:szCs w:val="21"/>
              </w:rPr>
              <w:t>4</w:t>
            </w:r>
          </w:p>
        </w:tc>
        <w:tc>
          <w:tcPr>
            <w:tcW w:w="2268" w:type="dxa"/>
            <w:gridSpan w:val="2"/>
            <w:vAlign w:val="center"/>
          </w:tcPr>
          <w:p>
            <w:pPr>
              <w:spacing w:line="360" w:lineRule="auto"/>
              <w:jc w:val="left"/>
              <w:rPr>
                <w:rFonts w:hint="eastAsia" w:ascii="宋体" w:hAnsi="宋体" w:cs="宋体"/>
                <w:color w:val="auto"/>
                <w:sz w:val="18"/>
                <w:szCs w:val="21"/>
              </w:rPr>
            </w:pPr>
            <w:r>
              <w:rPr>
                <w:rFonts w:hint="eastAsia"/>
                <w:color w:val="auto"/>
                <w:sz w:val="18"/>
                <w:szCs w:val="18"/>
              </w:rPr>
              <w:t>省外企业入湘登记</w:t>
            </w:r>
          </w:p>
        </w:tc>
        <w:tc>
          <w:tcPr>
            <w:tcW w:w="4819" w:type="dxa"/>
            <w:vAlign w:val="center"/>
          </w:tcPr>
          <w:p>
            <w:pPr>
              <w:spacing w:line="360" w:lineRule="auto"/>
              <w:jc w:val="left"/>
              <w:rPr>
                <w:rFonts w:hint="eastAsia" w:ascii="宋体" w:hAnsi="宋体" w:cs="宋体"/>
                <w:color w:val="auto"/>
                <w:sz w:val="18"/>
                <w:szCs w:val="21"/>
              </w:rPr>
            </w:pPr>
            <w:r>
              <w:rPr>
                <w:rFonts w:hint="eastAsia"/>
                <w:color w:val="auto"/>
                <w:sz w:val="18"/>
                <w:szCs w:val="18"/>
              </w:rPr>
              <w:t>省外入湘企业在 “湖南省住房和城乡建设网” 进行了基本信息登记</w:t>
            </w:r>
          </w:p>
        </w:tc>
        <w:tc>
          <w:tcPr>
            <w:tcW w:w="519" w:type="dxa"/>
            <w:vAlign w:val="center"/>
          </w:tcPr>
          <w:p>
            <w:pPr>
              <w:snapToGrid w:val="0"/>
              <w:rPr>
                <w:rFonts w:hint="eastAsia" w:ascii="宋体" w:hAnsi="宋体" w:cs="宋体"/>
                <w:color w:val="auto"/>
                <w:sz w:val="18"/>
                <w:szCs w:val="21"/>
              </w:rPr>
            </w:pPr>
          </w:p>
        </w:tc>
        <w:tc>
          <w:tcPr>
            <w:tcW w:w="970" w:type="dxa"/>
            <w:vAlign w:val="center"/>
          </w:tcPr>
          <w:p>
            <w:pPr>
              <w:jc w:val="center"/>
              <w:rPr>
                <w:rFonts w:hint="eastAsia" w:ascii="宋体" w:hAnsi="宋体" w:cs="宋体"/>
                <w:color w:val="auto"/>
                <w:sz w:val="18"/>
                <w:szCs w:val="21"/>
              </w:rPr>
            </w:pPr>
          </w:p>
        </w:tc>
        <w:tc>
          <w:tcPr>
            <w:tcW w:w="799" w:type="dxa"/>
            <w:vAlign w:val="center"/>
          </w:tcPr>
          <w:p>
            <w:pPr>
              <w:jc w:val="center"/>
              <w:rPr>
                <w:rFonts w:hint="eastAsia" w:ascii="宋体" w:hAnsi="宋体" w:cs="宋体"/>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562" w:type="dxa"/>
            <w:vMerge w:val="restart"/>
            <w:vAlign w:val="center"/>
          </w:tcPr>
          <w:p>
            <w:pPr>
              <w:snapToGrid w:val="0"/>
              <w:jc w:val="center"/>
              <w:rPr>
                <w:rFonts w:hint="eastAsia" w:ascii="宋体" w:hAnsi="宋体" w:cs="宋体"/>
                <w:color w:val="auto"/>
                <w:sz w:val="18"/>
                <w:szCs w:val="21"/>
              </w:rPr>
            </w:pPr>
            <w:r>
              <w:rPr>
                <w:rFonts w:hint="eastAsia" w:ascii="宋体" w:hAnsi="宋体" w:cs="宋体"/>
                <w:color w:val="auto"/>
                <w:sz w:val="18"/>
                <w:szCs w:val="21"/>
              </w:rPr>
              <w:t>5</w:t>
            </w:r>
          </w:p>
        </w:tc>
        <w:tc>
          <w:tcPr>
            <w:tcW w:w="425" w:type="dxa"/>
            <w:vMerge w:val="restart"/>
            <w:vAlign w:val="center"/>
          </w:tcPr>
          <w:p>
            <w:pPr>
              <w:snapToGrid w:val="0"/>
              <w:jc w:val="center"/>
              <w:rPr>
                <w:rFonts w:hint="eastAsia" w:ascii="宋体" w:hAnsi="宋体" w:cs="宋体"/>
                <w:color w:val="auto"/>
                <w:sz w:val="18"/>
                <w:szCs w:val="21"/>
              </w:rPr>
            </w:pPr>
            <w:r>
              <w:rPr>
                <w:rFonts w:hint="eastAsia" w:ascii="宋体" w:hAnsi="宋体" w:cs="宋体"/>
                <w:color w:val="auto"/>
                <w:sz w:val="18"/>
                <w:szCs w:val="18"/>
                <w:lang w:eastAsia="zh-CN"/>
              </w:rPr>
              <w:t>相关</w:t>
            </w:r>
            <w:r>
              <w:rPr>
                <w:rFonts w:hint="eastAsia" w:ascii="宋体" w:hAnsi="宋体" w:cs="宋体"/>
                <w:color w:val="auto"/>
                <w:sz w:val="18"/>
                <w:szCs w:val="21"/>
              </w:rPr>
              <w:t>岗位人员</w:t>
            </w:r>
          </w:p>
        </w:tc>
        <w:tc>
          <w:tcPr>
            <w:tcW w:w="1843" w:type="dxa"/>
            <w:vAlign w:val="center"/>
          </w:tcPr>
          <w:p>
            <w:pPr>
              <w:snapToGrid w:val="0"/>
              <w:jc w:val="center"/>
              <w:rPr>
                <w:rFonts w:hint="eastAsia" w:ascii="宋体" w:hAnsi="宋体" w:cs="宋体"/>
                <w:color w:val="auto"/>
                <w:sz w:val="18"/>
                <w:szCs w:val="21"/>
              </w:rPr>
            </w:pPr>
            <w:r>
              <w:rPr>
                <w:rFonts w:hint="eastAsia" w:ascii="宋体" w:hAnsi="宋体" w:cs="宋体"/>
                <w:color w:val="auto"/>
                <w:sz w:val="18"/>
                <w:szCs w:val="21"/>
              </w:rPr>
              <w:t>项目负责人</w:t>
            </w:r>
          </w:p>
        </w:tc>
        <w:tc>
          <w:tcPr>
            <w:tcW w:w="4819" w:type="dxa"/>
            <w:vAlign w:val="center"/>
          </w:tcPr>
          <w:p>
            <w:pPr>
              <w:snapToGrid w:val="0"/>
              <w:rPr>
                <w:rFonts w:hint="eastAsia" w:ascii="宋体" w:hAnsi="宋体" w:cs="宋体"/>
                <w:color w:val="auto"/>
                <w:sz w:val="18"/>
                <w:szCs w:val="21"/>
              </w:rPr>
            </w:pPr>
            <w:r>
              <w:rPr>
                <w:rFonts w:hint="eastAsia" w:ascii="宋体" w:hAnsi="宋体" w:cs="宋体"/>
                <w:color w:val="auto"/>
                <w:sz w:val="18"/>
              </w:rPr>
              <w:t>项目负责人是否具备招标公告中要求的资格证书和省级住房和城乡建设主管部门颁发的项目负责人安全生产考核合格证</w:t>
            </w:r>
          </w:p>
        </w:tc>
        <w:tc>
          <w:tcPr>
            <w:tcW w:w="519" w:type="dxa"/>
            <w:vAlign w:val="center"/>
          </w:tcPr>
          <w:p>
            <w:pPr>
              <w:snapToGrid w:val="0"/>
              <w:rPr>
                <w:rFonts w:hint="eastAsia" w:ascii="宋体" w:hAnsi="宋体" w:cs="宋体"/>
                <w:color w:val="auto"/>
                <w:sz w:val="18"/>
                <w:szCs w:val="21"/>
              </w:rPr>
            </w:pPr>
          </w:p>
        </w:tc>
        <w:tc>
          <w:tcPr>
            <w:tcW w:w="970" w:type="dxa"/>
            <w:vAlign w:val="center"/>
          </w:tcPr>
          <w:p>
            <w:pPr>
              <w:jc w:val="center"/>
              <w:rPr>
                <w:rFonts w:hint="eastAsia" w:ascii="宋体" w:hAnsi="宋体" w:cs="宋体"/>
                <w:color w:val="auto"/>
                <w:sz w:val="18"/>
                <w:szCs w:val="21"/>
              </w:rPr>
            </w:pPr>
          </w:p>
        </w:tc>
        <w:tc>
          <w:tcPr>
            <w:tcW w:w="799" w:type="dxa"/>
            <w:vAlign w:val="center"/>
          </w:tcPr>
          <w:p>
            <w:pPr>
              <w:jc w:val="center"/>
              <w:rPr>
                <w:rFonts w:hint="eastAsia" w:ascii="宋体" w:hAnsi="宋体" w:cs="宋体"/>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562" w:type="dxa"/>
            <w:vMerge w:val="continue"/>
            <w:vAlign w:val="center"/>
          </w:tcPr>
          <w:p>
            <w:pPr>
              <w:snapToGrid w:val="0"/>
              <w:jc w:val="center"/>
              <w:rPr>
                <w:rFonts w:hint="eastAsia" w:ascii="宋体" w:hAnsi="宋体" w:cs="宋体"/>
                <w:color w:val="auto"/>
                <w:sz w:val="18"/>
                <w:szCs w:val="21"/>
              </w:rPr>
            </w:pPr>
          </w:p>
        </w:tc>
        <w:tc>
          <w:tcPr>
            <w:tcW w:w="425" w:type="dxa"/>
            <w:vMerge w:val="continue"/>
            <w:vAlign w:val="center"/>
          </w:tcPr>
          <w:p>
            <w:pPr>
              <w:snapToGrid w:val="0"/>
              <w:jc w:val="center"/>
              <w:rPr>
                <w:rFonts w:hint="eastAsia" w:ascii="宋体" w:hAnsi="宋体" w:cs="宋体"/>
                <w:color w:val="auto"/>
                <w:sz w:val="18"/>
                <w:szCs w:val="21"/>
              </w:rPr>
            </w:pPr>
          </w:p>
        </w:tc>
        <w:tc>
          <w:tcPr>
            <w:tcW w:w="1843" w:type="dxa"/>
            <w:vAlign w:val="center"/>
          </w:tcPr>
          <w:p>
            <w:pPr>
              <w:snapToGrid w:val="0"/>
              <w:jc w:val="center"/>
              <w:rPr>
                <w:rFonts w:hint="eastAsia" w:ascii="宋体" w:hAnsi="宋体" w:cs="宋体"/>
                <w:color w:val="auto"/>
                <w:sz w:val="18"/>
                <w:szCs w:val="21"/>
              </w:rPr>
            </w:pPr>
            <w:r>
              <w:rPr>
                <w:rFonts w:hint="eastAsia" w:ascii="宋体" w:hAnsi="宋体" w:cs="宋体"/>
                <w:color w:val="auto"/>
                <w:sz w:val="18"/>
                <w:szCs w:val="21"/>
              </w:rPr>
              <w:t>项目设计负责人</w:t>
            </w:r>
          </w:p>
        </w:tc>
        <w:tc>
          <w:tcPr>
            <w:tcW w:w="4819" w:type="dxa"/>
            <w:vAlign w:val="center"/>
          </w:tcPr>
          <w:p>
            <w:pPr>
              <w:snapToGrid w:val="0"/>
              <w:rPr>
                <w:rFonts w:hint="eastAsia" w:ascii="宋体" w:hAnsi="宋体" w:cs="宋体"/>
                <w:color w:val="auto"/>
                <w:sz w:val="18"/>
              </w:rPr>
            </w:pPr>
            <w:r>
              <w:rPr>
                <w:rFonts w:hint="eastAsia" w:ascii="宋体" w:hAnsi="宋体" w:cs="宋体"/>
                <w:color w:val="auto"/>
                <w:sz w:val="18"/>
              </w:rPr>
              <w:t>拟任本项目的设计负责人是否具有招标公告中要求的资格</w:t>
            </w:r>
          </w:p>
        </w:tc>
        <w:tc>
          <w:tcPr>
            <w:tcW w:w="519" w:type="dxa"/>
            <w:vAlign w:val="center"/>
          </w:tcPr>
          <w:p>
            <w:pPr>
              <w:snapToGrid w:val="0"/>
              <w:rPr>
                <w:rFonts w:hint="eastAsia" w:ascii="宋体" w:hAnsi="宋体" w:cs="宋体"/>
                <w:color w:val="auto"/>
                <w:sz w:val="18"/>
                <w:szCs w:val="21"/>
              </w:rPr>
            </w:pPr>
          </w:p>
        </w:tc>
        <w:tc>
          <w:tcPr>
            <w:tcW w:w="970" w:type="dxa"/>
            <w:vAlign w:val="center"/>
          </w:tcPr>
          <w:p>
            <w:pPr>
              <w:jc w:val="center"/>
              <w:rPr>
                <w:rFonts w:hint="eastAsia" w:ascii="宋体" w:hAnsi="宋体" w:cs="宋体"/>
                <w:color w:val="auto"/>
                <w:sz w:val="18"/>
                <w:szCs w:val="21"/>
              </w:rPr>
            </w:pPr>
          </w:p>
        </w:tc>
        <w:tc>
          <w:tcPr>
            <w:tcW w:w="799" w:type="dxa"/>
            <w:vAlign w:val="center"/>
          </w:tcPr>
          <w:p>
            <w:pPr>
              <w:jc w:val="center"/>
              <w:rPr>
                <w:rFonts w:hint="eastAsia" w:ascii="宋体" w:hAnsi="宋体" w:cs="宋体"/>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562" w:type="dxa"/>
            <w:vMerge w:val="continue"/>
            <w:vAlign w:val="center"/>
          </w:tcPr>
          <w:p>
            <w:pPr>
              <w:snapToGrid w:val="0"/>
              <w:jc w:val="center"/>
              <w:rPr>
                <w:rFonts w:hint="eastAsia" w:ascii="宋体" w:hAnsi="宋体" w:cs="宋体"/>
                <w:color w:val="auto"/>
                <w:sz w:val="18"/>
                <w:szCs w:val="21"/>
              </w:rPr>
            </w:pPr>
          </w:p>
        </w:tc>
        <w:tc>
          <w:tcPr>
            <w:tcW w:w="425" w:type="dxa"/>
            <w:vMerge w:val="continue"/>
            <w:vAlign w:val="center"/>
          </w:tcPr>
          <w:p>
            <w:pPr>
              <w:snapToGrid w:val="0"/>
              <w:jc w:val="center"/>
              <w:rPr>
                <w:rFonts w:hint="eastAsia" w:ascii="宋体" w:hAnsi="宋体" w:cs="宋体"/>
                <w:color w:val="auto"/>
                <w:sz w:val="18"/>
                <w:szCs w:val="21"/>
              </w:rPr>
            </w:pPr>
          </w:p>
        </w:tc>
        <w:tc>
          <w:tcPr>
            <w:tcW w:w="1843" w:type="dxa"/>
            <w:vAlign w:val="center"/>
          </w:tcPr>
          <w:p>
            <w:pPr>
              <w:snapToGrid w:val="0"/>
              <w:jc w:val="center"/>
              <w:rPr>
                <w:rFonts w:hint="eastAsia" w:ascii="宋体" w:hAnsi="宋体" w:cs="宋体"/>
                <w:color w:val="auto"/>
                <w:sz w:val="18"/>
              </w:rPr>
            </w:pPr>
            <w:r>
              <w:rPr>
                <w:rFonts w:hint="eastAsia" w:ascii="宋体" w:hAnsi="宋体" w:cs="宋体"/>
                <w:color w:val="auto"/>
                <w:sz w:val="18"/>
              </w:rPr>
              <w:t>项目技术负责人</w:t>
            </w:r>
          </w:p>
        </w:tc>
        <w:tc>
          <w:tcPr>
            <w:tcW w:w="4819" w:type="dxa"/>
            <w:vAlign w:val="center"/>
          </w:tcPr>
          <w:p>
            <w:pPr>
              <w:snapToGrid w:val="0"/>
              <w:rPr>
                <w:rFonts w:hint="eastAsia" w:ascii="宋体" w:hAnsi="宋体" w:cs="宋体"/>
                <w:color w:val="auto"/>
                <w:sz w:val="18"/>
              </w:rPr>
            </w:pPr>
            <w:r>
              <w:rPr>
                <w:rFonts w:hint="eastAsia" w:ascii="宋体" w:hAnsi="宋体" w:cs="宋体"/>
                <w:color w:val="auto"/>
                <w:sz w:val="18"/>
              </w:rPr>
              <w:t xml:space="preserve">技术负责人是否具有招标公告中要求的职称资格要求 </w:t>
            </w:r>
          </w:p>
        </w:tc>
        <w:tc>
          <w:tcPr>
            <w:tcW w:w="519" w:type="dxa"/>
            <w:vAlign w:val="center"/>
          </w:tcPr>
          <w:p>
            <w:pPr>
              <w:snapToGrid w:val="0"/>
              <w:rPr>
                <w:rFonts w:hint="eastAsia" w:ascii="宋体" w:hAnsi="宋体" w:cs="宋体"/>
                <w:color w:val="auto"/>
                <w:sz w:val="18"/>
                <w:szCs w:val="21"/>
              </w:rPr>
            </w:pPr>
          </w:p>
        </w:tc>
        <w:tc>
          <w:tcPr>
            <w:tcW w:w="970" w:type="dxa"/>
            <w:vAlign w:val="center"/>
          </w:tcPr>
          <w:p>
            <w:pPr>
              <w:jc w:val="center"/>
              <w:rPr>
                <w:rFonts w:hint="eastAsia" w:ascii="宋体" w:hAnsi="宋体" w:cs="宋体"/>
                <w:color w:val="auto"/>
                <w:sz w:val="18"/>
                <w:szCs w:val="21"/>
              </w:rPr>
            </w:pPr>
          </w:p>
        </w:tc>
        <w:tc>
          <w:tcPr>
            <w:tcW w:w="799" w:type="dxa"/>
            <w:vAlign w:val="center"/>
          </w:tcPr>
          <w:p>
            <w:pPr>
              <w:jc w:val="center"/>
              <w:rPr>
                <w:rFonts w:hint="eastAsia" w:ascii="宋体" w:hAnsi="宋体" w:cs="宋体"/>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562" w:type="dxa"/>
            <w:vMerge w:val="continue"/>
            <w:vAlign w:val="center"/>
          </w:tcPr>
          <w:p>
            <w:pPr>
              <w:snapToGrid w:val="0"/>
              <w:jc w:val="center"/>
              <w:rPr>
                <w:rFonts w:hint="eastAsia" w:ascii="宋体" w:hAnsi="宋体" w:cs="宋体"/>
                <w:color w:val="auto"/>
                <w:sz w:val="18"/>
                <w:szCs w:val="21"/>
              </w:rPr>
            </w:pPr>
          </w:p>
        </w:tc>
        <w:tc>
          <w:tcPr>
            <w:tcW w:w="425" w:type="dxa"/>
            <w:vMerge w:val="continue"/>
            <w:vAlign w:val="center"/>
          </w:tcPr>
          <w:p>
            <w:pPr>
              <w:snapToGrid w:val="0"/>
              <w:jc w:val="center"/>
              <w:rPr>
                <w:rFonts w:hint="eastAsia" w:ascii="宋体" w:hAnsi="宋体" w:cs="宋体"/>
                <w:color w:val="auto"/>
                <w:sz w:val="18"/>
                <w:szCs w:val="21"/>
              </w:rPr>
            </w:pPr>
          </w:p>
        </w:tc>
        <w:tc>
          <w:tcPr>
            <w:tcW w:w="1843" w:type="dxa"/>
            <w:vAlign w:val="center"/>
          </w:tcPr>
          <w:p>
            <w:pPr>
              <w:snapToGrid w:val="0"/>
              <w:jc w:val="center"/>
              <w:rPr>
                <w:rFonts w:hint="eastAsia" w:ascii="宋体" w:hAnsi="宋体" w:cs="宋体"/>
                <w:color w:val="auto"/>
                <w:sz w:val="18"/>
                <w:szCs w:val="21"/>
              </w:rPr>
            </w:pPr>
            <w:r>
              <w:rPr>
                <w:rFonts w:hint="eastAsia" w:ascii="宋体" w:hAnsi="宋体" w:cs="宋体"/>
                <w:color w:val="auto"/>
                <w:sz w:val="18"/>
                <w:szCs w:val="18"/>
              </w:rPr>
              <w:t>社保证明材料</w:t>
            </w:r>
          </w:p>
        </w:tc>
        <w:tc>
          <w:tcPr>
            <w:tcW w:w="4819" w:type="dxa"/>
            <w:vAlign w:val="center"/>
          </w:tcPr>
          <w:p>
            <w:pPr>
              <w:snapToGrid w:val="0"/>
              <w:rPr>
                <w:rFonts w:hint="eastAsia" w:ascii="宋体" w:hAnsi="宋体" w:cs="宋体"/>
                <w:color w:val="auto"/>
                <w:sz w:val="18"/>
              </w:rPr>
            </w:pPr>
            <w:r>
              <w:rPr>
                <w:rFonts w:hint="eastAsia" w:ascii="宋体" w:hAnsi="宋体" w:cs="宋体"/>
                <w:color w:val="auto"/>
                <w:sz w:val="18"/>
              </w:rPr>
              <w:t>是否提供</w:t>
            </w:r>
            <w:r>
              <w:rPr>
                <w:rFonts w:hint="eastAsia" w:ascii="宋体" w:hAnsi="宋体" w:cs="宋体"/>
                <w:color w:val="auto"/>
                <w:sz w:val="18"/>
                <w:szCs w:val="18"/>
              </w:rPr>
              <w:t>施工项目</w:t>
            </w:r>
            <w:r>
              <w:rPr>
                <w:rFonts w:hint="eastAsia" w:ascii="宋体" w:hAnsi="宋体" w:cs="宋体"/>
                <w:color w:val="auto"/>
                <w:sz w:val="18"/>
                <w:szCs w:val="18"/>
                <w:lang w:eastAsia="zh-CN"/>
              </w:rPr>
              <w:t>相关</w:t>
            </w:r>
            <w:r>
              <w:rPr>
                <w:rFonts w:hint="eastAsia" w:ascii="宋体" w:hAnsi="宋体" w:cs="宋体"/>
                <w:color w:val="auto"/>
                <w:sz w:val="18"/>
                <w:szCs w:val="18"/>
              </w:rPr>
              <w:t>岗位人员、设计负责人</w:t>
            </w:r>
            <w:r>
              <w:rPr>
                <w:rFonts w:hint="eastAsia" w:ascii="宋体" w:hAnsi="宋体" w:cs="宋体"/>
                <w:color w:val="auto"/>
                <w:sz w:val="18"/>
              </w:rPr>
              <w:t>由劳动保障部门出具的投标截止时间前近半年由本单位办理的的社保证明材料</w:t>
            </w:r>
          </w:p>
        </w:tc>
        <w:tc>
          <w:tcPr>
            <w:tcW w:w="519" w:type="dxa"/>
            <w:vAlign w:val="center"/>
          </w:tcPr>
          <w:p>
            <w:pPr>
              <w:snapToGrid w:val="0"/>
              <w:rPr>
                <w:rFonts w:hint="eastAsia" w:ascii="宋体" w:hAnsi="宋体" w:cs="宋体"/>
                <w:color w:val="auto"/>
                <w:sz w:val="18"/>
                <w:szCs w:val="21"/>
              </w:rPr>
            </w:pPr>
          </w:p>
        </w:tc>
        <w:tc>
          <w:tcPr>
            <w:tcW w:w="970" w:type="dxa"/>
            <w:vAlign w:val="center"/>
          </w:tcPr>
          <w:p>
            <w:pPr>
              <w:jc w:val="center"/>
              <w:rPr>
                <w:rFonts w:hint="eastAsia" w:ascii="宋体" w:hAnsi="宋体" w:cs="宋体"/>
                <w:color w:val="auto"/>
                <w:sz w:val="18"/>
                <w:szCs w:val="21"/>
              </w:rPr>
            </w:pPr>
          </w:p>
        </w:tc>
        <w:tc>
          <w:tcPr>
            <w:tcW w:w="799" w:type="dxa"/>
            <w:vAlign w:val="center"/>
          </w:tcPr>
          <w:p>
            <w:pPr>
              <w:jc w:val="center"/>
              <w:rPr>
                <w:rFonts w:hint="eastAsia" w:ascii="宋体" w:hAnsi="宋体" w:cs="宋体"/>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562" w:type="dxa"/>
            <w:vMerge w:val="continue"/>
            <w:vAlign w:val="center"/>
          </w:tcPr>
          <w:p>
            <w:pPr>
              <w:snapToGrid w:val="0"/>
              <w:jc w:val="center"/>
              <w:rPr>
                <w:rFonts w:hint="eastAsia" w:ascii="宋体" w:hAnsi="宋体" w:cs="宋体"/>
                <w:color w:val="auto"/>
                <w:sz w:val="18"/>
                <w:szCs w:val="21"/>
              </w:rPr>
            </w:pPr>
          </w:p>
        </w:tc>
        <w:tc>
          <w:tcPr>
            <w:tcW w:w="425" w:type="dxa"/>
            <w:vMerge w:val="continue"/>
            <w:vAlign w:val="center"/>
          </w:tcPr>
          <w:p>
            <w:pPr>
              <w:snapToGrid w:val="0"/>
              <w:jc w:val="center"/>
              <w:rPr>
                <w:rFonts w:hint="eastAsia" w:ascii="宋体" w:hAnsi="宋体" w:cs="宋体"/>
                <w:color w:val="auto"/>
                <w:sz w:val="18"/>
                <w:szCs w:val="21"/>
              </w:rPr>
            </w:pPr>
          </w:p>
        </w:tc>
        <w:tc>
          <w:tcPr>
            <w:tcW w:w="1843" w:type="dxa"/>
            <w:vAlign w:val="center"/>
          </w:tcPr>
          <w:p>
            <w:pPr>
              <w:snapToGrid w:val="0"/>
              <w:jc w:val="center"/>
              <w:rPr>
                <w:rFonts w:hint="eastAsia" w:ascii="宋体" w:hAnsi="宋体" w:cs="宋体"/>
                <w:color w:val="auto"/>
                <w:sz w:val="18"/>
              </w:rPr>
            </w:pPr>
            <w:r>
              <w:rPr>
                <w:rFonts w:hint="eastAsia" w:ascii="宋体" w:hAnsi="宋体" w:cs="宋体"/>
                <w:color w:val="auto"/>
                <w:sz w:val="18"/>
              </w:rPr>
              <w:t>省外企业证书真实性</w:t>
            </w:r>
          </w:p>
        </w:tc>
        <w:tc>
          <w:tcPr>
            <w:tcW w:w="4819" w:type="dxa"/>
            <w:vAlign w:val="center"/>
          </w:tcPr>
          <w:p>
            <w:pPr>
              <w:snapToGrid w:val="0"/>
              <w:rPr>
                <w:rFonts w:hint="eastAsia" w:ascii="宋体" w:hAnsi="宋体" w:cs="宋体"/>
                <w:color w:val="auto"/>
                <w:sz w:val="18"/>
              </w:rPr>
            </w:pPr>
            <w:r>
              <w:rPr>
                <w:rFonts w:hint="eastAsia" w:ascii="宋体" w:hAnsi="宋体" w:cs="宋体"/>
                <w:color w:val="auto"/>
                <w:sz w:val="18"/>
              </w:rPr>
              <w:t>省外企业岗位资格证书（由省外建设主管部门颁发的）是否提供由省级住房和城乡建设主管部门出具的证书真实性证明（如不能提供真实性证明的，则在投标函部分规定处是否提供证书真伪查询官方查询网址及结果）。</w:t>
            </w:r>
          </w:p>
        </w:tc>
        <w:tc>
          <w:tcPr>
            <w:tcW w:w="519" w:type="dxa"/>
            <w:vAlign w:val="center"/>
          </w:tcPr>
          <w:p>
            <w:pPr>
              <w:snapToGrid w:val="0"/>
              <w:rPr>
                <w:rFonts w:hint="eastAsia" w:ascii="宋体" w:hAnsi="宋体" w:cs="宋体"/>
                <w:color w:val="auto"/>
                <w:sz w:val="18"/>
                <w:szCs w:val="21"/>
              </w:rPr>
            </w:pPr>
          </w:p>
        </w:tc>
        <w:tc>
          <w:tcPr>
            <w:tcW w:w="970" w:type="dxa"/>
            <w:vAlign w:val="center"/>
          </w:tcPr>
          <w:p>
            <w:pPr>
              <w:jc w:val="center"/>
              <w:rPr>
                <w:rFonts w:hint="eastAsia" w:ascii="宋体" w:hAnsi="宋体" w:cs="宋体"/>
                <w:color w:val="auto"/>
                <w:sz w:val="18"/>
                <w:szCs w:val="21"/>
              </w:rPr>
            </w:pPr>
          </w:p>
        </w:tc>
        <w:tc>
          <w:tcPr>
            <w:tcW w:w="799" w:type="dxa"/>
            <w:vAlign w:val="center"/>
          </w:tcPr>
          <w:p>
            <w:pPr>
              <w:jc w:val="center"/>
              <w:rPr>
                <w:rFonts w:hint="eastAsia" w:ascii="宋体" w:hAnsi="宋体" w:cs="宋体"/>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562" w:type="dxa"/>
            <w:vAlign w:val="center"/>
          </w:tcPr>
          <w:p>
            <w:pPr>
              <w:snapToGrid w:val="0"/>
              <w:jc w:val="center"/>
              <w:rPr>
                <w:rFonts w:hint="eastAsia" w:ascii="宋体" w:hAnsi="宋体" w:cs="宋体"/>
                <w:color w:val="auto"/>
                <w:sz w:val="18"/>
                <w:szCs w:val="21"/>
              </w:rPr>
            </w:pPr>
            <w:r>
              <w:rPr>
                <w:rFonts w:hint="eastAsia" w:ascii="宋体" w:hAnsi="宋体" w:cs="宋体"/>
                <w:color w:val="auto"/>
                <w:sz w:val="18"/>
                <w:szCs w:val="21"/>
              </w:rPr>
              <w:t>6</w:t>
            </w:r>
          </w:p>
        </w:tc>
        <w:tc>
          <w:tcPr>
            <w:tcW w:w="2268" w:type="dxa"/>
            <w:gridSpan w:val="2"/>
            <w:vAlign w:val="center"/>
          </w:tcPr>
          <w:p>
            <w:pPr>
              <w:jc w:val="center"/>
              <w:rPr>
                <w:rFonts w:hint="eastAsia" w:ascii="宋体" w:hAnsi="宋体" w:cs="宋体"/>
                <w:color w:val="auto"/>
                <w:sz w:val="18"/>
              </w:rPr>
            </w:pPr>
            <w:r>
              <w:rPr>
                <w:rFonts w:hint="eastAsia" w:ascii="宋体" w:hAnsi="宋体" w:cs="宋体"/>
                <w:color w:val="auto"/>
                <w:sz w:val="18"/>
              </w:rPr>
              <w:t>投标保证金</w:t>
            </w:r>
          </w:p>
        </w:tc>
        <w:tc>
          <w:tcPr>
            <w:tcW w:w="4819" w:type="dxa"/>
            <w:vAlign w:val="center"/>
          </w:tcPr>
          <w:p>
            <w:pPr>
              <w:pStyle w:val="71"/>
              <w:rPr>
                <w:rFonts w:hint="eastAsia" w:ascii="宋体" w:hAnsi="宋体" w:cs="宋体"/>
                <w:color w:val="auto"/>
                <w:sz w:val="18"/>
              </w:rPr>
            </w:pPr>
            <w:r>
              <w:rPr>
                <w:rFonts w:hint="eastAsia" w:ascii="宋体" w:hAnsi="宋体" w:cs="宋体"/>
                <w:color w:val="auto"/>
                <w:sz w:val="18"/>
              </w:rPr>
              <w:t>是否符合招标文件要求。</w:t>
            </w:r>
          </w:p>
        </w:tc>
        <w:tc>
          <w:tcPr>
            <w:tcW w:w="519" w:type="dxa"/>
            <w:vAlign w:val="center"/>
          </w:tcPr>
          <w:p>
            <w:pPr>
              <w:snapToGrid w:val="0"/>
              <w:rPr>
                <w:rFonts w:hint="eastAsia" w:ascii="宋体" w:hAnsi="宋体" w:cs="宋体"/>
                <w:color w:val="auto"/>
                <w:sz w:val="18"/>
              </w:rPr>
            </w:pPr>
          </w:p>
        </w:tc>
        <w:tc>
          <w:tcPr>
            <w:tcW w:w="970" w:type="dxa"/>
            <w:vAlign w:val="center"/>
          </w:tcPr>
          <w:p>
            <w:pPr>
              <w:pStyle w:val="71"/>
              <w:rPr>
                <w:rFonts w:hint="eastAsia" w:ascii="宋体" w:hAnsi="宋体" w:cs="宋体"/>
                <w:color w:val="auto"/>
                <w:sz w:val="18"/>
              </w:rPr>
            </w:pPr>
          </w:p>
        </w:tc>
        <w:tc>
          <w:tcPr>
            <w:tcW w:w="799" w:type="dxa"/>
            <w:vAlign w:val="center"/>
          </w:tcPr>
          <w:p>
            <w:pPr>
              <w:jc w:val="center"/>
              <w:rPr>
                <w:rFonts w:hint="eastAsia" w:ascii="宋体" w:hAnsi="宋体" w:cs="宋体"/>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562" w:type="dxa"/>
            <w:vAlign w:val="center"/>
          </w:tcPr>
          <w:p>
            <w:pPr>
              <w:snapToGrid w:val="0"/>
              <w:jc w:val="center"/>
              <w:rPr>
                <w:rFonts w:hint="eastAsia" w:ascii="宋体" w:hAnsi="宋体" w:cs="宋体"/>
                <w:color w:val="auto"/>
                <w:sz w:val="18"/>
                <w:szCs w:val="21"/>
              </w:rPr>
            </w:pPr>
            <w:r>
              <w:rPr>
                <w:rFonts w:hint="eastAsia" w:ascii="宋体" w:hAnsi="宋体" w:cs="宋体"/>
                <w:color w:val="auto"/>
                <w:sz w:val="18"/>
                <w:szCs w:val="21"/>
              </w:rPr>
              <w:t>7</w:t>
            </w:r>
          </w:p>
        </w:tc>
        <w:tc>
          <w:tcPr>
            <w:tcW w:w="2268" w:type="dxa"/>
            <w:gridSpan w:val="2"/>
            <w:vAlign w:val="center"/>
          </w:tcPr>
          <w:p>
            <w:pPr>
              <w:jc w:val="center"/>
              <w:rPr>
                <w:rFonts w:hint="eastAsia" w:ascii="宋体" w:hAnsi="宋体" w:cs="宋体"/>
                <w:color w:val="auto"/>
                <w:sz w:val="18"/>
              </w:rPr>
            </w:pPr>
            <w:r>
              <w:rPr>
                <w:rFonts w:hint="eastAsia" w:ascii="宋体" w:hAnsi="宋体" w:cs="宋体"/>
                <w:color w:val="auto"/>
                <w:sz w:val="18"/>
              </w:rPr>
              <w:t>其它</w:t>
            </w:r>
          </w:p>
        </w:tc>
        <w:tc>
          <w:tcPr>
            <w:tcW w:w="4819" w:type="dxa"/>
            <w:vAlign w:val="center"/>
          </w:tcPr>
          <w:p>
            <w:pPr>
              <w:pStyle w:val="71"/>
              <w:rPr>
                <w:rFonts w:hint="eastAsia" w:ascii="宋体" w:hAnsi="宋体" w:cs="宋体"/>
                <w:color w:val="auto"/>
                <w:sz w:val="18"/>
              </w:rPr>
            </w:pPr>
            <w:r>
              <w:rPr>
                <w:rFonts w:hint="eastAsia" w:ascii="宋体" w:hAnsi="宋体" w:cs="宋体"/>
                <w:color w:val="auto"/>
                <w:sz w:val="18"/>
              </w:rPr>
              <w:t>其它不符合法律法规及招标文件实质性规定的要求。</w:t>
            </w:r>
          </w:p>
        </w:tc>
        <w:tc>
          <w:tcPr>
            <w:tcW w:w="519" w:type="dxa"/>
            <w:vAlign w:val="center"/>
          </w:tcPr>
          <w:p>
            <w:pPr>
              <w:snapToGrid w:val="0"/>
              <w:rPr>
                <w:rFonts w:hint="eastAsia" w:ascii="宋体" w:hAnsi="宋体" w:cs="宋体"/>
                <w:color w:val="auto"/>
                <w:sz w:val="18"/>
              </w:rPr>
            </w:pPr>
          </w:p>
        </w:tc>
        <w:tc>
          <w:tcPr>
            <w:tcW w:w="970" w:type="dxa"/>
            <w:vAlign w:val="center"/>
          </w:tcPr>
          <w:p>
            <w:pPr>
              <w:pStyle w:val="71"/>
              <w:rPr>
                <w:rFonts w:hint="eastAsia" w:ascii="宋体" w:hAnsi="宋体" w:cs="宋体"/>
                <w:color w:val="auto"/>
                <w:sz w:val="18"/>
              </w:rPr>
            </w:pPr>
          </w:p>
        </w:tc>
        <w:tc>
          <w:tcPr>
            <w:tcW w:w="799" w:type="dxa"/>
            <w:vAlign w:val="center"/>
          </w:tcPr>
          <w:p>
            <w:pPr>
              <w:jc w:val="center"/>
              <w:rPr>
                <w:rFonts w:hint="eastAsia" w:ascii="宋体" w:hAnsi="宋体" w:cs="宋体"/>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7649" w:type="dxa"/>
            <w:gridSpan w:val="4"/>
            <w:vAlign w:val="center"/>
          </w:tcPr>
          <w:p>
            <w:pPr>
              <w:snapToGrid w:val="0"/>
              <w:rPr>
                <w:rFonts w:hint="eastAsia" w:ascii="宋体" w:hAnsi="宋体" w:cs="宋体"/>
                <w:color w:val="auto"/>
                <w:sz w:val="18"/>
                <w:szCs w:val="21"/>
              </w:rPr>
            </w:pPr>
            <w:r>
              <w:rPr>
                <w:rFonts w:hint="eastAsia" w:ascii="宋体" w:hAnsi="宋体" w:cs="宋体"/>
                <w:color w:val="auto"/>
                <w:sz w:val="18"/>
              </w:rPr>
              <w:t>评审结论（合格或不合格）</w:t>
            </w:r>
          </w:p>
        </w:tc>
        <w:tc>
          <w:tcPr>
            <w:tcW w:w="519" w:type="dxa"/>
            <w:vAlign w:val="center"/>
          </w:tcPr>
          <w:p>
            <w:pPr>
              <w:snapToGrid w:val="0"/>
              <w:rPr>
                <w:rFonts w:hint="eastAsia" w:ascii="宋体" w:hAnsi="宋体" w:cs="宋体"/>
                <w:color w:val="auto"/>
                <w:sz w:val="18"/>
                <w:szCs w:val="21"/>
              </w:rPr>
            </w:pPr>
          </w:p>
        </w:tc>
        <w:tc>
          <w:tcPr>
            <w:tcW w:w="970" w:type="dxa"/>
            <w:vAlign w:val="center"/>
          </w:tcPr>
          <w:p>
            <w:pPr>
              <w:jc w:val="center"/>
              <w:rPr>
                <w:rFonts w:hint="eastAsia" w:ascii="宋体" w:hAnsi="宋体" w:cs="宋体"/>
                <w:color w:val="auto"/>
                <w:sz w:val="18"/>
                <w:szCs w:val="21"/>
              </w:rPr>
            </w:pPr>
          </w:p>
        </w:tc>
        <w:tc>
          <w:tcPr>
            <w:tcW w:w="799" w:type="dxa"/>
            <w:vAlign w:val="center"/>
          </w:tcPr>
          <w:p>
            <w:pPr>
              <w:jc w:val="center"/>
              <w:rPr>
                <w:rFonts w:hint="eastAsia" w:ascii="宋体" w:hAnsi="宋体" w:cs="宋体"/>
                <w:color w:val="auto"/>
                <w:sz w:val="18"/>
                <w:szCs w:val="21"/>
              </w:rPr>
            </w:pPr>
          </w:p>
        </w:tc>
      </w:tr>
    </w:tbl>
    <w:p>
      <w:pPr>
        <w:spacing w:before="120" w:beforeLines="50" w:after="120" w:afterLines="50" w:line="440" w:lineRule="exact"/>
        <w:jc w:val="left"/>
        <w:rPr>
          <w:rFonts w:hint="eastAsia" w:ascii="宋体" w:hAnsi="宋体" w:cs="宋体"/>
          <w:color w:val="auto"/>
          <w:szCs w:val="21"/>
        </w:rPr>
        <w:sectPr>
          <w:headerReference r:id="rId8" w:type="default"/>
          <w:pgSz w:w="11920" w:h="16840"/>
          <w:pgMar w:top="1123" w:right="1412" w:bottom="1134" w:left="1134" w:header="907" w:footer="720" w:gutter="0"/>
          <w:cols w:space="720" w:num="1"/>
          <w:docGrid w:linePitch="286" w:charSpace="0"/>
        </w:sectPr>
      </w:pPr>
      <w:r>
        <w:rPr>
          <w:rFonts w:hint="eastAsia" w:ascii="宋体" w:hAnsi="宋体" w:cs="宋体"/>
          <w:color w:val="auto"/>
          <w:szCs w:val="21"/>
        </w:rPr>
        <w:t>评标委员会全体成员签字：</w:t>
      </w:r>
    </w:p>
    <w:p>
      <w:pPr>
        <w:pStyle w:val="8"/>
        <w:spacing w:line="460" w:lineRule="exact"/>
        <w:rPr>
          <w:rFonts w:hint="eastAsia" w:ascii="宋体" w:hAnsi="宋体" w:eastAsia="宋体" w:cs="宋体"/>
          <w:b w:val="0"/>
          <w:bCs w:val="0"/>
          <w:color w:val="auto"/>
        </w:rPr>
      </w:pPr>
      <w:bookmarkStart w:id="392" w:name="_Toc300678146"/>
      <w:r>
        <w:rPr>
          <w:rFonts w:hint="eastAsia" w:ascii="宋体" w:hAnsi="宋体" w:eastAsia="宋体" w:cs="宋体"/>
          <w:b w:val="0"/>
          <w:bCs w:val="0"/>
          <w:color w:val="auto"/>
        </w:rPr>
        <w:t>附表3-4：响应性评审记录表</w:t>
      </w:r>
      <w:bookmarkEnd w:id="392"/>
    </w:p>
    <w:p>
      <w:pPr>
        <w:spacing w:before="120" w:beforeLines="50" w:after="120" w:afterLines="50" w:line="460" w:lineRule="exact"/>
        <w:jc w:val="center"/>
        <w:rPr>
          <w:rFonts w:hint="eastAsia" w:ascii="宋体" w:hAnsi="宋体" w:cs="宋体"/>
          <w:color w:val="auto"/>
          <w:sz w:val="28"/>
          <w:szCs w:val="28"/>
        </w:rPr>
      </w:pPr>
      <w:r>
        <w:rPr>
          <w:rFonts w:hint="eastAsia" w:ascii="宋体" w:hAnsi="宋体" w:cs="宋体"/>
          <w:color w:val="auto"/>
          <w:sz w:val="28"/>
          <w:szCs w:val="28"/>
        </w:rPr>
        <w:t>响应性评审记录表</w:t>
      </w:r>
    </w:p>
    <w:p>
      <w:pPr>
        <w:spacing w:after="72" w:afterLines="30" w:line="460" w:lineRule="exact"/>
        <w:rPr>
          <w:rFonts w:hint="eastAsia" w:ascii="宋体" w:hAnsi="宋体" w:cs="宋体"/>
          <w:color w:val="auto"/>
        </w:rPr>
      </w:pPr>
      <w:r>
        <w:rPr>
          <w:rFonts w:hint="eastAsia" w:ascii="宋体" w:hAnsi="宋体" w:cs="宋体"/>
          <w:color w:val="auto"/>
        </w:rPr>
        <w:t>工程名称：</w:t>
      </w:r>
      <w:r>
        <w:rPr>
          <w:rFonts w:hint="eastAsia" w:ascii="宋体" w:hAnsi="宋体" w:cs="宋体"/>
          <w:color w:val="auto"/>
          <w:u w:val="single"/>
        </w:rPr>
        <w:t xml:space="preserve">             </w:t>
      </w:r>
      <w:r>
        <w:rPr>
          <w:rFonts w:hint="eastAsia" w:ascii="宋体" w:hAnsi="宋体" w:cs="宋体"/>
          <w:color w:val="auto"/>
        </w:rPr>
        <w:t>（项目名称）</w:t>
      </w:r>
      <w:r>
        <w:rPr>
          <w:rFonts w:hint="eastAsia" w:ascii="宋体" w:hAnsi="宋体" w:cs="宋体"/>
          <w:color w:val="auto"/>
          <w:u w:val="single"/>
        </w:rPr>
        <w:t xml:space="preserve">    </w:t>
      </w:r>
      <w:r>
        <w:rPr>
          <w:rFonts w:hint="eastAsia" w:ascii="宋体" w:hAnsi="宋体" w:cs="宋体"/>
          <w:color w:val="auto"/>
        </w:rPr>
        <w:t>标段</w:t>
      </w:r>
    </w:p>
    <w:tbl>
      <w:tblPr>
        <w:tblStyle w:val="67"/>
        <w:tblW w:w="1348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360"/>
        <w:gridCol w:w="4154"/>
        <w:gridCol w:w="815"/>
        <w:gridCol w:w="922"/>
        <w:gridCol w:w="922"/>
        <w:gridCol w:w="922"/>
        <w:gridCol w:w="921"/>
        <w:gridCol w:w="922"/>
        <w:gridCol w:w="921"/>
        <w:gridCol w:w="9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4" w:hRule="exact"/>
          <w:jc w:val="center"/>
        </w:trPr>
        <w:tc>
          <w:tcPr>
            <w:tcW w:w="698" w:type="dxa"/>
            <w:vMerge w:val="restart"/>
            <w:vAlign w:val="center"/>
          </w:tcPr>
          <w:p>
            <w:pPr>
              <w:snapToGrid w:val="0"/>
              <w:jc w:val="center"/>
              <w:rPr>
                <w:rFonts w:hint="eastAsia" w:ascii="宋体" w:hAnsi="宋体" w:cs="宋体"/>
                <w:color w:val="auto"/>
                <w:sz w:val="18"/>
              </w:rPr>
            </w:pPr>
            <w:r>
              <w:rPr>
                <w:rFonts w:hint="eastAsia" w:ascii="宋体" w:hAnsi="宋体" w:cs="宋体"/>
                <w:color w:val="auto"/>
                <w:sz w:val="18"/>
              </w:rPr>
              <w:t>序号</w:t>
            </w:r>
          </w:p>
        </w:tc>
        <w:tc>
          <w:tcPr>
            <w:tcW w:w="5514" w:type="dxa"/>
            <w:gridSpan w:val="2"/>
            <w:vMerge w:val="restart"/>
            <w:vAlign w:val="center"/>
          </w:tcPr>
          <w:p>
            <w:pPr>
              <w:spacing w:line="440" w:lineRule="exact"/>
              <w:jc w:val="center"/>
              <w:rPr>
                <w:rFonts w:hint="eastAsia" w:ascii="宋体" w:hAnsi="宋体" w:cs="宋体"/>
                <w:color w:val="auto"/>
                <w:sz w:val="18"/>
              </w:rPr>
            </w:pPr>
            <w:r>
              <w:rPr>
                <w:rFonts w:hint="eastAsia" w:ascii="宋体" w:hAnsi="宋体" w:cs="宋体"/>
                <w:color w:val="auto"/>
                <w:sz w:val="18"/>
              </w:rPr>
              <w:t>评审因素</w:t>
            </w:r>
          </w:p>
        </w:tc>
        <w:tc>
          <w:tcPr>
            <w:tcW w:w="7268" w:type="dxa"/>
            <w:gridSpan w:val="8"/>
            <w:vAlign w:val="center"/>
          </w:tcPr>
          <w:p>
            <w:pPr>
              <w:spacing w:line="440" w:lineRule="exact"/>
              <w:jc w:val="center"/>
              <w:rPr>
                <w:rFonts w:hint="eastAsia" w:ascii="宋体" w:hAnsi="宋体" w:cs="宋体"/>
                <w:color w:val="auto"/>
                <w:sz w:val="18"/>
              </w:rPr>
            </w:pPr>
            <w:r>
              <w:rPr>
                <w:rFonts w:hint="eastAsia" w:ascii="宋体" w:hAnsi="宋体" w:cs="宋体"/>
                <w:color w:val="auto"/>
                <w:sz w:val="18"/>
              </w:rPr>
              <w:t>投标人名称及评审意见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4" w:hRule="exact"/>
          <w:jc w:val="center"/>
        </w:trPr>
        <w:tc>
          <w:tcPr>
            <w:tcW w:w="698" w:type="dxa"/>
            <w:vMerge w:val="continue"/>
            <w:vAlign w:val="center"/>
          </w:tcPr>
          <w:p>
            <w:pPr>
              <w:spacing w:line="440" w:lineRule="exact"/>
              <w:jc w:val="center"/>
              <w:rPr>
                <w:rFonts w:hint="eastAsia" w:ascii="宋体" w:hAnsi="宋体" w:cs="宋体"/>
                <w:color w:val="auto"/>
                <w:sz w:val="18"/>
              </w:rPr>
            </w:pPr>
          </w:p>
        </w:tc>
        <w:tc>
          <w:tcPr>
            <w:tcW w:w="5514" w:type="dxa"/>
            <w:gridSpan w:val="2"/>
            <w:vMerge w:val="continue"/>
            <w:vAlign w:val="center"/>
          </w:tcPr>
          <w:p>
            <w:pPr>
              <w:spacing w:line="440" w:lineRule="exact"/>
              <w:jc w:val="center"/>
              <w:rPr>
                <w:rFonts w:hint="eastAsia" w:ascii="宋体" w:hAnsi="宋体" w:cs="宋体"/>
                <w:color w:val="auto"/>
                <w:sz w:val="18"/>
              </w:rPr>
            </w:pPr>
          </w:p>
        </w:tc>
        <w:tc>
          <w:tcPr>
            <w:tcW w:w="815"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1"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1" w:type="dxa"/>
            <w:vAlign w:val="center"/>
          </w:tcPr>
          <w:p>
            <w:pPr>
              <w:spacing w:line="440" w:lineRule="exact"/>
              <w:jc w:val="center"/>
              <w:rPr>
                <w:rFonts w:hint="eastAsia" w:ascii="宋体" w:hAnsi="宋体" w:cs="宋体"/>
                <w:color w:val="auto"/>
                <w:sz w:val="18"/>
              </w:rPr>
            </w:pPr>
          </w:p>
        </w:tc>
        <w:tc>
          <w:tcPr>
            <w:tcW w:w="923" w:type="dxa"/>
            <w:vAlign w:val="center"/>
          </w:tcPr>
          <w:p>
            <w:pPr>
              <w:spacing w:line="440" w:lineRule="exact"/>
              <w:jc w:val="center"/>
              <w:rPr>
                <w:rFonts w:hint="eastAsia" w:ascii="宋体" w:hAnsi="宋体" w:cs="宋体"/>
                <w:color w:val="auto"/>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49" w:hRule="exact"/>
          <w:jc w:val="center"/>
        </w:trPr>
        <w:tc>
          <w:tcPr>
            <w:tcW w:w="698" w:type="dxa"/>
            <w:vAlign w:val="center"/>
          </w:tcPr>
          <w:p>
            <w:pPr>
              <w:spacing w:line="440" w:lineRule="exact"/>
              <w:jc w:val="center"/>
              <w:rPr>
                <w:rFonts w:hint="eastAsia" w:ascii="宋体" w:hAnsi="宋体" w:cs="宋体"/>
                <w:color w:val="auto"/>
                <w:sz w:val="18"/>
              </w:rPr>
            </w:pPr>
            <w:r>
              <w:rPr>
                <w:rFonts w:hint="eastAsia" w:ascii="宋体" w:hAnsi="宋体" w:cs="宋体"/>
                <w:color w:val="auto"/>
                <w:sz w:val="18"/>
              </w:rPr>
              <w:t>1</w:t>
            </w:r>
          </w:p>
        </w:tc>
        <w:tc>
          <w:tcPr>
            <w:tcW w:w="1360" w:type="dxa"/>
            <w:vAlign w:val="center"/>
          </w:tcPr>
          <w:p>
            <w:pPr>
              <w:adjustRightInd w:val="0"/>
              <w:snapToGrid w:val="0"/>
              <w:jc w:val="center"/>
              <w:rPr>
                <w:rFonts w:hint="eastAsia" w:ascii="宋体" w:hAnsi="宋体" w:cs="宋体"/>
                <w:color w:val="auto"/>
                <w:sz w:val="18"/>
              </w:rPr>
            </w:pPr>
            <w:r>
              <w:rPr>
                <w:rFonts w:hint="eastAsia" w:ascii="宋体" w:hAnsi="宋体" w:cs="宋体"/>
                <w:color w:val="auto"/>
                <w:sz w:val="18"/>
              </w:rPr>
              <w:t>投标报价</w:t>
            </w:r>
          </w:p>
        </w:tc>
        <w:tc>
          <w:tcPr>
            <w:tcW w:w="4154" w:type="dxa"/>
            <w:vAlign w:val="center"/>
          </w:tcPr>
          <w:p>
            <w:pPr>
              <w:adjustRightInd w:val="0"/>
              <w:snapToGrid w:val="0"/>
              <w:jc w:val="center"/>
              <w:rPr>
                <w:rFonts w:hint="eastAsia" w:ascii="宋体" w:hAnsi="宋体" w:cs="宋体"/>
                <w:color w:val="auto"/>
                <w:sz w:val="18"/>
              </w:rPr>
            </w:pPr>
            <w:r>
              <w:rPr>
                <w:rFonts w:hint="eastAsia" w:ascii="宋体" w:hAnsi="宋体" w:cs="宋体"/>
                <w:color w:val="auto"/>
                <w:sz w:val="18"/>
              </w:rPr>
              <w:t>是否超过招标控制价</w:t>
            </w:r>
          </w:p>
        </w:tc>
        <w:tc>
          <w:tcPr>
            <w:tcW w:w="815"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1"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1" w:type="dxa"/>
            <w:vAlign w:val="center"/>
          </w:tcPr>
          <w:p>
            <w:pPr>
              <w:spacing w:line="440" w:lineRule="exact"/>
              <w:jc w:val="center"/>
              <w:rPr>
                <w:rFonts w:hint="eastAsia" w:ascii="宋体" w:hAnsi="宋体" w:cs="宋体"/>
                <w:color w:val="auto"/>
                <w:sz w:val="18"/>
              </w:rPr>
            </w:pPr>
          </w:p>
        </w:tc>
        <w:tc>
          <w:tcPr>
            <w:tcW w:w="923" w:type="dxa"/>
            <w:vAlign w:val="center"/>
          </w:tcPr>
          <w:p>
            <w:pPr>
              <w:spacing w:line="440" w:lineRule="exact"/>
              <w:jc w:val="center"/>
              <w:rPr>
                <w:rFonts w:hint="eastAsia" w:ascii="宋体" w:hAnsi="宋体" w:cs="宋体"/>
                <w:color w:val="auto"/>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4" w:hRule="exact"/>
          <w:jc w:val="center"/>
        </w:trPr>
        <w:tc>
          <w:tcPr>
            <w:tcW w:w="698" w:type="dxa"/>
            <w:vAlign w:val="center"/>
          </w:tcPr>
          <w:p>
            <w:pPr>
              <w:spacing w:line="440" w:lineRule="exact"/>
              <w:jc w:val="center"/>
              <w:rPr>
                <w:rFonts w:hint="eastAsia" w:ascii="宋体" w:hAnsi="宋体" w:cs="宋体"/>
                <w:color w:val="auto"/>
                <w:sz w:val="18"/>
              </w:rPr>
            </w:pPr>
            <w:r>
              <w:rPr>
                <w:rFonts w:hint="eastAsia" w:ascii="宋体" w:hAnsi="宋体" w:cs="宋体"/>
                <w:color w:val="auto"/>
                <w:sz w:val="18"/>
              </w:rPr>
              <w:t>2</w:t>
            </w:r>
          </w:p>
        </w:tc>
        <w:tc>
          <w:tcPr>
            <w:tcW w:w="1360" w:type="dxa"/>
            <w:vAlign w:val="center"/>
          </w:tcPr>
          <w:p>
            <w:pPr>
              <w:spacing w:line="240" w:lineRule="exact"/>
              <w:jc w:val="center"/>
              <w:rPr>
                <w:rFonts w:hint="eastAsia" w:ascii="宋体" w:hAnsi="宋体" w:cs="宋体"/>
                <w:color w:val="auto"/>
                <w:sz w:val="18"/>
              </w:rPr>
            </w:pPr>
            <w:r>
              <w:rPr>
                <w:rFonts w:hint="eastAsia" w:ascii="宋体" w:hAnsi="宋体" w:cs="宋体"/>
                <w:color w:val="auto"/>
                <w:sz w:val="18"/>
              </w:rPr>
              <w:t>投标内容</w:t>
            </w:r>
          </w:p>
        </w:tc>
        <w:tc>
          <w:tcPr>
            <w:tcW w:w="4154" w:type="dxa"/>
            <w:vAlign w:val="center"/>
          </w:tcPr>
          <w:p>
            <w:pPr>
              <w:adjustRightInd w:val="0"/>
              <w:snapToGrid w:val="0"/>
              <w:rPr>
                <w:rFonts w:hint="eastAsia" w:ascii="宋体" w:hAnsi="宋体" w:cs="宋体"/>
                <w:color w:val="auto"/>
                <w:sz w:val="18"/>
              </w:rPr>
            </w:pPr>
            <w:r>
              <w:rPr>
                <w:rFonts w:hint="eastAsia" w:ascii="宋体" w:hAnsi="宋体" w:cs="宋体"/>
                <w:color w:val="auto"/>
                <w:sz w:val="18"/>
              </w:rPr>
              <w:t>投标文件载明的投标范围是否小于招标文件规定的招标范围</w:t>
            </w:r>
          </w:p>
        </w:tc>
        <w:tc>
          <w:tcPr>
            <w:tcW w:w="815"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1"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1" w:type="dxa"/>
            <w:vAlign w:val="center"/>
          </w:tcPr>
          <w:p>
            <w:pPr>
              <w:spacing w:line="440" w:lineRule="exact"/>
              <w:jc w:val="center"/>
              <w:rPr>
                <w:rFonts w:hint="eastAsia" w:ascii="宋体" w:hAnsi="宋体" w:cs="宋体"/>
                <w:color w:val="auto"/>
                <w:sz w:val="18"/>
              </w:rPr>
            </w:pPr>
          </w:p>
        </w:tc>
        <w:tc>
          <w:tcPr>
            <w:tcW w:w="923" w:type="dxa"/>
            <w:vAlign w:val="center"/>
          </w:tcPr>
          <w:p>
            <w:pPr>
              <w:spacing w:line="440" w:lineRule="exact"/>
              <w:jc w:val="center"/>
              <w:rPr>
                <w:rFonts w:hint="eastAsia" w:ascii="宋体" w:hAnsi="宋体" w:cs="宋体"/>
                <w:color w:val="auto"/>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4" w:hRule="exact"/>
          <w:jc w:val="center"/>
        </w:trPr>
        <w:tc>
          <w:tcPr>
            <w:tcW w:w="698" w:type="dxa"/>
            <w:vAlign w:val="center"/>
          </w:tcPr>
          <w:p>
            <w:pPr>
              <w:spacing w:line="440" w:lineRule="exact"/>
              <w:jc w:val="center"/>
              <w:rPr>
                <w:rFonts w:hint="eastAsia" w:ascii="宋体" w:hAnsi="宋体" w:cs="宋体"/>
                <w:color w:val="auto"/>
                <w:sz w:val="18"/>
              </w:rPr>
            </w:pPr>
            <w:r>
              <w:rPr>
                <w:rFonts w:hint="eastAsia" w:ascii="宋体" w:hAnsi="宋体" w:cs="宋体"/>
                <w:color w:val="auto"/>
                <w:sz w:val="18"/>
              </w:rPr>
              <w:t>3</w:t>
            </w:r>
          </w:p>
        </w:tc>
        <w:tc>
          <w:tcPr>
            <w:tcW w:w="1360" w:type="dxa"/>
            <w:vAlign w:val="center"/>
          </w:tcPr>
          <w:p>
            <w:pPr>
              <w:spacing w:line="240" w:lineRule="exact"/>
              <w:jc w:val="center"/>
              <w:rPr>
                <w:rFonts w:hint="eastAsia" w:ascii="宋体" w:hAnsi="宋体" w:cs="宋体"/>
                <w:color w:val="auto"/>
                <w:sz w:val="18"/>
              </w:rPr>
            </w:pPr>
            <w:r>
              <w:rPr>
                <w:rFonts w:hint="eastAsia" w:ascii="宋体" w:hAnsi="宋体" w:cs="宋体"/>
                <w:color w:val="auto"/>
                <w:sz w:val="18"/>
              </w:rPr>
              <w:t>工期</w:t>
            </w:r>
          </w:p>
        </w:tc>
        <w:tc>
          <w:tcPr>
            <w:tcW w:w="4154" w:type="dxa"/>
            <w:vAlign w:val="center"/>
          </w:tcPr>
          <w:p>
            <w:pPr>
              <w:snapToGrid w:val="0"/>
              <w:rPr>
                <w:rFonts w:hint="eastAsia" w:ascii="宋体" w:hAnsi="宋体" w:cs="宋体"/>
                <w:color w:val="auto"/>
                <w:sz w:val="18"/>
                <w:szCs w:val="21"/>
              </w:rPr>
            </w:pPr>
            <w:r>
              <w:rPr>
                <w:rFonts w:hint="eastAsia" w:ascii="宋体" w:hAnsi="宋体" w:cs="宋体"/>
                <w:color w:val="auto"/>
                <w:sz w:val="18"/>
                <w:szCs w:val="21"/>
              </w:rPr>
              <w:t>投标文件载明的工期超过招标文件规定是否提供正当理由说明</w:t>
            </w:r>
          </w:p>
        </w:tc>
        <w:tc>
          <w:tcPr>
            <w:tcW w:w="815"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1"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1" w:type="dxa"/>
            <w:vAlign w:val="center"/>
          </w:tcPr>
          <w:p>
            <w:pPr>
              <w:spacing w:line="440" w:lineRule="exact"/>
              <w:jc w:val="center"/>
              <w:rPr>
                <w:rFonts w:hint="eastAsia" w:ascii="宋体" w:hAnsi="宋体" w:cs="宋体"/>
                <w:color w:val="auto"/>
                <w:sz w:val="18"/>
              </w:rPr>
            </w:pPr>
          </w:p>
        </w:tc>
        <w:tc>
          <w:tcPr>
            <w:tcW w:w="923" w:type="dxa"/>
            <w:vAlign w:val="center"/>
          </w:tcPr>
          <w:p>
            <w:pPr>
              <w:spacing w:line="440" w:lineRule="exact"/>
              <w:jc w:val="center"/>
              <w:rPr>
                <w:rFonts w:hint="eastAsia" w:ascii="宋体" w:hAnsi="宋体" w:cs="宋体"/>
                <w:color w:val="auto"/>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4" w:hRule="exact"/>
          <w:jc w:val="center"/>
        </w:trPr>
        <w:tc>
          <w:tcPr>
            <w:tcW w:w="698" w:type="dxa"/>
            <w:vAlign w:val="center"/>
          </w:tcPr>
          <w:p>
            <w:pPr>
              <w:spacing w:line="440" w:lineRule="exact"/>
              <w:jc w:val="center"/>
              <w:rPr>
                <w:rFonts w:hint="eastAsia" w:ascii="宋体" w:hAnsi="宋体" w:cs="宋体"/>
                <w:color w:val="auto"/>
                <w:sz w:val="18"/>
              </w:rPr>
            </w:pPr>
            <w:r>
              <w:rPr>
                <w:rFonts w:hint="eastAsia" w:ascii="宋体" w:hAnsi="宋体" w:cs="宋体"/>
                <w:color w:val="auto"/>
                <w:sz w:val="18"/>
              </w:rPr>
              <w:t>4</w:t>
            </w:r>
          </w:p>
        </w:tc>
        <w:tc>
          <w:tcPr>
            <w:tcW w:w="1360" w:type="dxa"/>
            <w:vAlign w:val="center"/>
          </w:tcPr>
          <w:p>
            <w:pPr>
              <w:spacing w:line="240" w:lineRule="exact"/>
              <w:jc w:val="center"/>
              <w:rPr>
                <w:rFonts w:hint="eastAsia" w:ascii="宋体" w:hAnsi="宋体" w:cs="宋体"/>
                <w:color w:val="auto"/>
                <w:sz w:val="18"/>
              </w:rPr>
            </w:pPr>
            <w:r>
              <w:rPr>
                <w:rFonts w:hint="eastAsia" w:ascii="宋体" w:hAnsi="宋体" w:cs="宋体"/>
                <w:color w:val="auto"/>
                <w:sz w:val="18"/>
              </w:rPr>
              <w:t>工程质量</w:t>
            </w:r>
          </w:p>
        </w:tc>
        <w:tc>
          <w:tcPr>
            <w:tcW w:w="4154" w:type="dxa"/>
            <w:vAlign w:val="center"/>
          </w:tcPr>
          <w:p>
            <w:pPr>
              <w:snapToGrid w:val="0"/>
              <w:rPr>
                <w:rFonts w:hint="eastAsia" w:ascii="宋体" w:hAnsi="宋体" w:cs="宋体"/>
                <w:color w:val="auto"/>
                <w:sz w:val="18"/>
                <w:szCs w:val="21"/>
              </w:rPr>
            </w:pPr>
            <w:r>
              <w:rPr>
                <w:rFonts w:hint="eastAsia" w:ascii="宋体" w:hAnsi="宋体" w:cs="宋体"/>
                <w:color w:val="auto"/>
                <w:sz w:val="18"/>
                <w:szCs w:val="21"/>
              </w:rPr>
              <w:t>投标文件载明的质量标准是否低于招标文件规定</w:t>
            </w:r>
          </w:p>
        </w:tc>
        <w:tc>
          <w:tcPr>
            <w:tcW w:w="815"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1"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1" w:type="dxa"/>
            <w:vAlign w:val="center"/>
          </w:tcPr>
          <w:p>
            <w:pPr>
              <w:spacing w:line="440" w:lineRule="exact"/>
              <w:jc w:val="center"/>
              <w:rPr>
                <w:rFonts w:hint="eastAsia" w:ascii="宋体" w:hAnsi="宋体" w:cs="宋体"/>
                <w:color w:val="auto"/>
                <w:sz w:val="18"/>
              </w:rPr>
            </w:pPr>
          </w:p>
        </w:tc>
        <w:tc>
          <w:tcPr>
            <w:tcW w:w="923" w:type="dxa"/>
            <w:vAlign w:val="center"/>
          </w:tcPr>
          <w:p>
            <w:pPr>
              <w:spacing w:line="440" w:lineRule="exact"/>
              <w:jc w:val="center"/>
              <w:rPr>
                <w:rFonts w:hint="eastAsia" w:ascii="宋体" w:hAnsi="宋体" w:cs="宋体"/>
                <w:color w:val="auto"/>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4" w:hRule="exact"/>
          <w:jc w:val="center"/>
        </w:trPr>
        <w:tc>
          <w:tcPr>
            <w:tcW w:w="698" w:type="dxa"/>
            <w:vAlign w:val="center"/>
          </w:tcPr>
          <w:p>
            <w:pPr>
              <w:spacing w:line="440" w:lineRule="exact"/>
              <w:jc w:val="center"/>
              <w:rPr>
                <w:rFonts w:hint="eastAsia" w:ascii="宋体" w:hAnsi="宋体" w:cs="宋体"/>
                <w:color w:val="auto"/>
                <w:sz w:val="18"/>
              </w:rPr>
            </w:pPr>
            <w:r>
              <w:rPr>
                <w:rFonts w:hint="eastAsia" w:ascii="宋体" w:hAnsi="宋体" w:cs="宋体"/>
                <w:color w:val="auto"/>
                <w:sz w:val="18"/>
              </w:rPr>
              <w:t>5</w:t>
            </w:r>
          </w:p>
        </w:tc>
        <w:tc>
          <w:tcPr>
            <w:tcW w:w="1360" w:type="dxa"/>
            <w:vAlign w:val="center"/>
          </w:tcPr>
          <w:p>
            <w:pPr>
              <w:spacing w:line="240" w:lineRule="exact"/>
              <w:jc w:val="center"/>
              <w:rPr>
                <w:rFonts w:hint="eastAsia" w:ascii="宋体" w:hAnsi="宋体" w:cs="宋体"/>
                <w:color w:val="auto"/>
                <w:sz w:val="18"/>
                <w:szCs w:val="21"/>
              </w:rPr>
            </w:pPr>
            <w:r>
              <w:rPr>
                <w:rFonts w:hint="eastAsia" w:ascii="宋体" w:hAnsi="宋体" w:cs="宋体"/>
                <w:color w:val="auto"/>
                <w:sz w:val="18"/>
                <w:szCs w:val="21"/>
              </w:rPr>
              <w:t>投标有效期</w:t>
            </w:r>
          </w:p>
        </w:tc>
        <w:tc>
          <w:tcPr>
            <w:tcW w:w="4154" w:type="dxa"/>
            <w:vAlign w:val="center"/>
          </w:tcPr>
          <w:p>
            <w:pPr>
              <w:spacing w:line="400" w:lineRule="exact"/>
              <w:rPr>
                <w:rFonts w:hint="eastAsia" w:ascii="宋体" w:hAnsi="宋体" w:cs="宋体"/>
                <w:color w:val="auto"/>
                <w:sz w:val="18"/>
                <w:szCs w:val="21"/>
              </w:rPr>
            </w:pPr>
            <w:r>
              <w:rPr>
                <w:rFonts w:hint="eastAsia" w:ascii="宋体" w:hAnsi="宋体" w:cs="宋体"/>
                <w:color w:val="auto"/>
                <w:sz w:val="18"/>
                <w:szCs w:val="21"/>
              </w:rPr>
              <w:t>投标有效期是否短于招标文件规定</w:t>
            </w:r>
          </w:p>
        </w:tc>
        <w:tc>
          <w:tcPr>
            <w:tcW w:w="815"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1"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1" w:type="dxa"/>
            <w:vAlign w:val="center"/>
          </w:tcPr>
          <w:p>
            <w:pPr>
              <w:spacing w:line="440" w:lineRule="exact"/>
              <w:jc w:val="center"/>
              <w:rPr>
                <w:rFonts w:hint="eastAsia" w:ascii="宋体" w:hAnsi="宋体" w:cs="宋体"/>
                <w:color w:val="auto"/>
                <w:sz w:val="18"/>
              </w:rPr>
            </w:pPr>
          </w:p>
        </w:tc>
        <w:tc>
          <w:tcPr>
            <w:tcW w:w="923" w:type="dxa"/>
            <w:vAlign w:val="center"/>
          </w:tcPr>
          <w:p>
            <w:pPr>
              <w:spacing w:line="440" w:lineRule="exact"/>
              <w:jc w:val="center"/>
              <w:rPr>
                <w:rFonts w:hint="eastAsia" w:ascii="宋体" w:hAnsi="宋体" w:cs="宋体"/>
                <w:color w:val="auto"/>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4" w:hRule="exact"/>
          <w:jc w:val="center"/>
        </w:trPr>
        <w:tc>
          <w:tcPr>
            <w:tcW w:w="698" w:type="dxa"/>
            <w:vAlign w:val="center"/>
          </w:tcPr>
          <w:p>
            <w:pPr>
              <w:spacing w:line="440" w:lineRule="exact"/>
              <w:jc w:val="center"/>
              <w:rPr>
                <w:rFonts w:hint="eastAsia" w:ascii="宋体" w:hAnsi="宋体" w:cs="宋体"/>
                <w:color w:val="auto"/>
                <w:sz w:val="18"/>
              </w:rPr>
            </w:pPr>
            <w:r>
              <w:rPr>
                <w:rFonts w:hint="eastAsia" w:ascii="宋体" w:hAnsi="宋体" w:cs="宋体"/>
                <w:color w:val="auto"/>
                <w:sz w:val="18"/>
              </w:rPr>
              <w:t>6</w:t>
            </w:r>
          </w:p>
        </w:tc>
        <w:tc>
          <w:tcPr>
            <w:tcW w:w="1360" w:type="dxa"/>
            <w:vAlign w:val="center"/>
          </w:tcPr>
          <w:p>
            <w:pPr>
              <w:spacing w:line="240" w:lineRule="exact"/>
              <w:jc w:val="center"/>
              <w:rPr>
                <w:rFonts w:hint="eastAsia" w:ascii="宋体" w:hAnsi="宋体" w:cs="宋体"/>
                <w:color w:val="auto"/>
                <w:sz w:val="18"/>
              </w:rPr>
            </w:pPr>
            <w:r>
              <w:rPr>
                <w:rFonts w:hint="eastAsia" w:ascii="宋体" w:hAnsi="宋体" w:cs="宋体"/>
                <w:color w:val="auto"/>
                <w:sz w:val="18"/>
              </w:rPr>
              <w:t>权利义务</w:t>
            </w:r>
          </w:p>
        </w:tc>
        <w:tc>
          <w:tcPr>
            <w:tcW w:w="4154" w:type="dxa"/>
            <w:vAlign w:val="center"/>
          </w:tcPr>
          <w:p>
            <w:pPr>
              <w:spacing w:line="240" w:lineRule="exact"/>
              <w:rPr>
                <w:rFonts w:hint="eastAsia" w:ascii="宋体" w:hAnsi="宋体" w:cs="宋体"/>
                <w:color w:val="auto"/>
                <w:sz w:val="18"/>
              </w:rPr>
            </w:pPr>
            <w:r>
              <w:rPr>
                <w:rFonts w:hint="eastAsia" w:ascii="宋体" w:hAnsi="宋体" w:cs="宋体"/>
                <w:color w:val="auto"/>
                <w:sz w:val="18"/>
              </w:rPr>
              <w:t>投标函附录中的相关承诺是否符合或优于第五章“合同条款及格式”的相关规定</w:t>
            </w:r>
          </w:p>
        </w:tc>
        <w:tc>
          <w:tcPr>
            <w:tcW w:w="815"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1"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1" w:type="dxa"/>
            <w:vAlign w:val="center"/>
          </w:tcPr>
          <w:p>
            <w:pPr>
              <w:spacing w:line="440" w:lineRule="exact"/>
              <w:jc w:val="center"/>
              <w:rPr>
                <w:rFonts w:hint="eastAsia" w:ascii="宋体" w:hAnsi="宋体" w:cs="宋体"/>
                <w:color w:val="auto"/>
                <w:sz w:val="18"/>
              </w:rPr>
            </w:pPr>
          </w:p>
        </w:tc>
        <w:tc>
          <w:tcPr>
            <w:tcW w:w="923" w:type="dxa"/>
            <w:vAlign w:val="center"/>
          </w:tcPr>
          <w:p>
            <w:pPr>
              <w:spacing w:line="440" w:lineRule="exact"/>
              <w:jc w:val="center"/>
              <w:rPr>
                <w:rFonts w:hint="eastAsia" w:ascii="宋体" w:hAnsi="宋体" w:cs="宋体"/>
                <w:color w:val="auto"/>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4" w:hRule="exact"/>
          <w:jc w:val="center"/>
        </w:trPr>
        <w:tc>
          <w:tcPr>
            <w:tcW w:w="698" w:type="dxa"/>
            <w:vAlign w:val="center"/>
          </w:tcPr>
          <w:p>
            <w:pPr>
              <w:spacing w:line="440" w:lineRule="exact"/>
              <w:jc w:val="center"/>
              <w:rPr>
                <w:rFonts w:hint="eastAsia" w:ascii="宋体" w:hAnsi="宋体" w:cs="宋体"/>
                <w:color w:val="auto"/>
                <w:sz w:val="18"/>
              </w:rPr>
            </w:pPr>
            <w:r>
              <w:rPr>
                <w:rFonts w:hint="eastAsia" w:ascii="宋体" w:hAnsi="宋体" w:cs="宋体"/>
                <w:color w:val="auto"/>
                <w:sz w:val="18"/>
              </w:rPr>
              <w:t>7</w:t>
            </w:r>
          </w:p>
        </w:tc>
        <w:tc>
          <w:tcPr>
            <w:tcW w:w="1360" w:type="dxa"/>
            <w:vAlign w:val="center"/>
          </w:tcPr>
          <w:p>
            <w:pPr>
              <w:spacing w:line="440" w:lineRule="exact"/>
              <w:jc w:val="center"/>
              <w:rPr>
                <w:rFonts w:hint="eastAsia" w:ascii="宋体" w:hAnsi="宋体" w:cs="宋体"/>
                <w:color w:val="auto"/>
                <w:sz w:val="18"/>
              </w:rPr>
            </w:pPr>
            <w:r>
              <w:rPr>
                <w:rFonts w:hint="eastAsia" w:ascii="宋体" w:hAnsi="宋体" w:cs="宋体"/>
                <w:color w:val="auto"/>
                <w:sz w:val="18"/>
              </w:rPr>
              <w:t>评审结论</w:t>
            </w:r>
          </w:p>
        </w:tc>
        <w:tc>
          <w:tcPr>
            <w:tcW w:w="4154" w:type="dxa"/>
            <w:vAlign w:val="center"/>
          </w:tcPr>
          <w:p>
            <w:pPr>
              <w:spacing w:line="440" w:lineRule="exact"/>
              <w:jc w:val="center"/>
              <w:rPr>
                <w:rFonts w:hint="eastAsia" w:ascii="宋体" w:hAnsi="宋体" w:cs="宋体"/>
                <w:color w:val="auto"/>
                <w:sz w:val="18"/>
              </w:rPr>
            </w:pPr>
            <w:r>
              <w:rPr>
                <w:rFonts w:hint="eastAsia" w:ascii="宋体" w:hAnsi="宋体" w:cs="宋体"/>
                <w:color w:val="auto"/>
                <w:sz w:val="18"/>
              </w:rPr>
              <w:t>合格或不合格</w:t>
            </w:r>
          </w:p>
        </w:tc>
        <w:tc>
          <w:tcPr>
            <w:tcW w:w="815"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1" w:type="dxa"/>
            <w:vAlign w:val="center"/>
          </w:tcPr>
          <w:p>
            <w:pPr>
              <w:spacing w:line="440" w:lineRule="exact"/>
              <w:jc w:val="center"/>
              <w:rPr>
                <w:rFonts w:hint="eastAsia" w:ascii="宋体" w:hAnsi="宋体" w:cs="宋体"/>
                <w:color w:val="auto"/>
                <w:sz w:val="18"/>
              </w:rPr>
            </w:pPr>
          </w:p>
        </w:tc>
        <w:tc>
          <w:tcPr>
            <w:tcW w:w="922" w:type="dxa"/>
            <w:vAlign w:val="center"/>
          </w:tcPr>
          <w:p>
            <w:pPr>
              <w:spacing w:line="440" w:lineRule="exact"/>
              <w:jc w:val="center"/>
              <w:rPr>
                <w:rFonts w:hint="eastAsia" w:ascii="宋体" w:hAnsi="宋体" w:cs="宋体"/>
                <w:color w:val="auto"/>
                <w:sz w:val="18"/>
              </w:rPr>
            </w:pPr>
          </w:p>
        </w:tc>
        <w:tc>
          <w:tcPr>
            <w:tcW w:w="921" w:type="dxa"/>
            <w:vAlign w:val="center"/>
          </w:tcPr>
          <w:p>
            <w:pPr>
              <w:spacing w:line="440" w:lineRule="exact"/>
              <w:jc w:val="center"/>
              <w:rPr>
                <w:rFonts w:hint="eastAsia" w:ascii="宋体" w:hAnsi="宋体" w:cs="宋体"/>
                <w:color w:val="auto"/>
                <w:sz w:val="18"/>
              </w:rPr>
            </w:pPr>
          </w:p>
        </w:tc>
        <w:tc>
          <w:tcPr>
            <w:tcW w:w="923" w:type="dxa"/>
            <w:vAlign w:val="center"/>
          </w:tcPr>
          <w:p>
            <w:pPr>
              <w:spacing w:line="440" w:lineRule="exact"/>
              <w:jc w:val="center"/>
              <w:rPr>
                <w:rFonts w:hint="eastAsia" w:ascii="宋体" w:hAnsi="宋体" w:cs="宋体"/>
                <w:color w:val="auto"/>
                <w:sz w:val="18"/>
              </w:rPr>
            </w:pPr>
          </w:p>
        </w:tc>
      </w:tr>
    </w:tbl>
    <w:p>
      <w:pPr>
        <w:spacing w:line="440" w:lineRule="exact"/>
        <w:ind w:firstLine="630" w:firstLineChars="300"/>
        <w:rPr>
          <w:rFonts w:hint="eastAsia" w:ascii="宋体" w:hAnsi="宋体" w:cs="宋体"/>
          <w:color w:val="auto"/>
        </w:rPr>
        <w:sectPr>
          <w:headerReference r:id="rId9" w:type="default"/>
          <w:pgSz w:w="16840" w:h="11920" w:orient="landscape"/>
          <w:pgMar w:top="1123" w:right="1412" w:bottom="1134" w:left="1134" w:header="907" w:footer="720" w:gutter="0"/>
          <w:cols w:space="720" w:num="1"/>
          <w:docGrid w:linePitch="286" w:charSpace="0"/>
        </w:sectPr>
      </w:pPr>
      <w:r>
        <w:rPr>
          <w:rFonts w:hint="eastAsia" w:ascii="宋体" w:hAnsi="宋体" w:cs="宋体"/>
          <w:color w:val="auto"/>
          <w:szCs w:val="21"/>
        </w:rPr>
        <w:t>评标委员会全体成员签字</w:t>
      </w:r>
      <w:r>
        <w:rPr>
          <w:rFonts w:hint="eastAsia" w:ascii="宋体" w:hAnsi="宋体" w:cs="宋体"/>
          <w:color w:val="auto"/>
        </w:rPr>
        <w:t>：</w:t>
      </w:r>
    </w:p>
    <w:p>
      <w:pPr>
        <w:pStyle w:val="8"/>
        <w:spacing w:before="0" w:line="460" w:lineRule="exact"/>
        <w:jc w:val="center"/>
        <w:rPr>
          <w:rFonts w:hint="eastAsia" w:ascii="宋体" w:hAnsi="宋体" w:eastAsia="宋体" w:cs="宋体"/>
          <w:bCs w:val="0"/>
          <w:color w:val="auto"/>
          <w:szCs w:val="24"/>
        </w:rPr>
      </w:pPr>
      <w:r>
        <w:rPr>
          <w:rFonts w:hint="eastAsia" w:ascii="宋体" w:hAnsi="宋体" w:eastAsia="宋体" w:cs="宋体"/>
          <w:bCs w:val="0"/>
          <w:color w:val="auto"/>
          <w:szCs w:val="24"/>
        </w:rPr>
        <w:t>附表3-5：承包人设计优化方案评审计分表（权数：0.2</w:t>
      </w:r>
      <w:r>
        <w:rPr>
          <w:rFonts w:hint="eastAsia" w:ascii="宋体" w:hAnsi="宋体" w:eastAsia="宋体" w:cs="宋体"/>
          <w:bCs w:val="0"/>
          <w:color w:val="auto"/>
          <w:szCs w:val="24"/>
          <w:lang w:val="en-US" w:eastAsia="zh-CN"/>
        </w:rPr>
        <w:t>0</w:t>
      </w:r>
      <w:r>
        <w:rPr>
          <w:rFonts w:hint="eastAsia" w:ascii="宋体" w:hAnsi="宋体" w:eastAsia="宋体" w:cs="宋体"/>
          <w:bCs w:val="0"/>
          <w:color w:val="auto"/>
          <w:szCs w:val="24"/>
        </w:rPr>
        <w:t>）</w:t>
      </w:r>
    </w:p>
    <w:tbl>
      <w:tblPr>
        <w:tblStyle w:val="67"/>
        <w:tblW w:w="99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7"/>
        <w:gridCol w:w="1113"/>
        <w:gridCol w:w="1650"/>
        <w:gridCol w:w="4035"/>
        <w:gridCol w:w="798"/>
        <w:gridCol w:w="8"/>
        <w:gridCol w:w="818"/>
        <w:gridCol w:w="15"/>
        <w:gridCol w:w="10"/>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exact"/>
          <w:jc w:val="center"/>
        </w:trPr>
        <w:tc>
          <w:tcPr>
            <w:tcW w:w="727" w:type="dxa"/>
            <w:vMerge w:val="restart"/>
            <w:vAlign w:val="center"/>
          </w:tcPr>
          <w:p>
            <w:pPr>
              <w:jc w:val="center"/>
              <w:rPr>
                <w:rFonts w:ascii="宋体" w:hAnsi="宋体" w:cs="宋体"/>
                <w:b/>
                <w:color w:val="auto"/>
                <w:sz w:val="18"/>
                <w:szCs w:val="18"/>
              </w:rPr>
            </w:pPr>
            <w:r>
              <w:rPr>
                <w:rFonts w:hint="eastAsia" w:ascii="宋体" w:hAnsi="宋体" w:cs="宋体"/>
                <w:b/>
                <w:color w:val="auto"/>
                <w:sz w:val="18"/>
                <w:szCs w:val="18"/>
              </w:rPr>
              <w:t>序号</w:t>
            </w:r>
          </w:p>
        </w:tc>
        <w:tc>
          <w:tcPr>
            <w:tcW w:w="6798" w:type="dxa"/>
            <w:gridSpan w:val="3"/>
            <w:vMerge w:val="restart"/>
            <w:vAlign w:val="center"/>
          </w:tcPr>
          <w:p>
            <w:pPr>
              <w:pStyle w:val="255"/>
              <w:tabs>
                <w:tab w:val="left" w:pos="455"/>
              </w:tabs>
              <w:spacing w:after="120" w:line="353" w:lineRule="exact"/>
              <w:ind w:firstLine="442"/>
              <w:jc w:val="center"/>
              <w:rPr>
                <w:b/>
                <w:color w:val="auto"/>
                <w:sz w:val="18"/>
                <w:szCs w:val="18"/>
              </w:rPr>
            </w:pPr>
            <w:r>
              <w:rPr>
                <w:rFonts w:hint="eastAsia"/>
                <w:b/>
                <w:color w:val="auto"/>
                <w:sz w:val="18"/>
                <w:szCs w:val="18"/>
              </w:rPr>
              <w:t>项</w:t>
            </w:r>
            <w:r>
              <w:rPr>
                <w:rFonts w:hint="eastAsia"/>
                <w:b/>
                <w:color w:val="auto"/>
                <w:sz w:val="18"/>
                <w:szCs w:val="18"/>
              </w:rPr>
              <w:tab/>
            </w:r>
            <w:r>
              <w:rPr>
                <w:rFonts w:hint="eastAsia"/>
                <w:b/>
                <w:color w:val="auto"/>
                <w:sz w:val="18"/>
                <w:szCs w:val="18"/>
              </w:rPr>
              <w:t>目</w:t>
            </w:r>
          </w:p>
        </w:tc>
        <w:tc>
          <w:tcPr>
            <w:tcW w:w="2420" w:type="dxa"/>
            <w:gridSpan w:val="6"/>
            <w:vAlign w:val="center"/>
          </w:tcPr>
          <w:p>
            <w:pPr>
              <w:pStyle w:val="255"/>
              <w:tabs>
                <w:tab w:val="left" w:pos="556"/>
              </w:tabs>
              <w:spacing w:after="120" w:line="353" w:lineRule="exact"/>
              <w:jc w:val="center"/>
              <w:rPr>
                <w:b/>
                <w:color w:val="auto"/>
                <w:sz w:val="18"/>
                <w:szCs w:val="18"/>
              </w:rPr>
            </w:pPr>
            <w:r>
              <w:rPr>
                <w:rFonts w:hint="eastAsia"/>
                <w:color w:val="auto"/>
                <w:sz w:val="18"/>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4" w:hRule="exact"/>
          <w:jc w:val="center"/>
        </w:trPr>
        <w:tc>
          <w:tcPr>
            <w:tcW w:w="727" w:type="dxa"/>
            <w:vMerge w:val="continue"/>
            <w:vAlign w:val="center"/>
          </w:tcPr>
          <w:p>
            <w:pPr>
              <w:jc w:val="center"/>
              <w:rPr>
                <w:rFonts w:hint="eastAsia" w:ascii="宋体" w:hAnsi="宋体"/>
                <w:color w:val="auto"/>
                <w:sz w:val="18"/>
                <w:szCs w:val="18"/>
              </w:rPr>
            </w:pPr>
          </w:p>
        </w:tc>
        <w:tc>
          <w:tcPr>
            <w:tcW w:w="6798" w:type="dxa"/>
            <w:gridSpan w:val="3"/>
            <w:vMerge w:val="continue"/>
            <w:vAlign w:val="center"/>
          </w:tcPr>
          <w:p>
            <w:pPr>
              <w:pStyle w:val="255"/>
              <w:tabs>
                <w:tab w:val="left" w:pos="455"/>
              </w:tabs>
              <w:spacing w:after="120" w:line="353" w:lineRule="exact"/>
              <w:ind w:firstLine="442"/>
              <w:jc w:val="center"/>
              <w:rPr>
                <w:rFonts w:hint="eastAsia"/>
                <w:b/>
                <w:color w:val="auto"/>
                <w:sz w:val="18"/>
                <w:szCs w:val="18"/>
              </w:rPr>
            </w:pPr>
          </w:p>
        </w:tc>
        <w:tc>
          <w:tcPr>
            <w:tcW w:w="798" w:type="dxa"/>
            <w:vAlign w:val="center"/>
          </w:tcPr>
          <w:p>
            <w:pPr>
              <w:pStyle w:val="255"/>
              <w:tabs>
                <w:tab w:val="left" w:pos="556"/>
              </w:tabs>
              <w:spacing w:after="120" w:line="353" w:lineRule="exact"/>
              <w:ind w:firstLine="442"/>
              <w:jc w:val="center"/>
              <w:rPr>
                <w:b/>
                <w:color w:val="auto"/>
                <w:sz w:val="18"/>
                <w:szCs w:val="18"/>
              </w:rPr>
            </w:pPr>
          </w:p>
        </w:tc>
        <w:tc>
          <w:tcPr>
            <w:tcW w:w="851" w:type="dxa"/>
            <w:gridSpan w:val="4"/>
            <w:vAlign w:val="center"/>
          </w:tcPr>
          <w:p>
            <w:pPr>
              <w:pStyle w:val="255"/>
              <w:tabs>
                <w:tab w:val="left" w:pos="556"/>
              </w:tabs>
              <w:spacing w:after="120" w:line="353" w:lineRule="exact"/>
              <w:ind w:firstLine="442"/>
              <w:jc w:val="center"/>
              <w:rPr>
                <w:b/>
                <w:color w:val="auto"/>
                <w:sz w:val="18"/>
                <w:szCs w:val="18"/>
              </w:rPr>
            </w:pPr>
          </w:p>
        </w:tc>
        <w:tc>
          <w:tcPr>
            <w:tcW w:w="771" w:type="dxa"/>
            <w:vAlign w:val="center"/>
          </w:tcPr>
          <w:p>
            <w:pPr>
              <w:pStyle w:val="255"/>
              <w:tabs>
                <w:tab w:val="left" w:pos="556"/>
              </w:tabs>
              <w:spacing w:after="120" w:line="353" w:lineRule="exact"/>
              <w:ind w:firstLine="442"/>
              <w:jc w:val="center"/>
              <w:rPr>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4" w:hRule="exact"/>
          <w:jc w:val="center"/>
        </w:trPr>
        <w:tc>
          <w:tcPr>
            <w:tcW w:w="727" w:type="dxa"/>
            <w:vAlign w:val="center"/>
          </w:tcPr>
          <w:p>
            <w:pPr>
              <w:pStyle w:val="255"/>
              <w:spacing w:after="120"/>
              <w:ind w:firstLine="440"/>
              <w:jc w:val="center"/>
              <w:rPr>
                <w:color w:val="auto"/>
                <w:sz w:val="18"/>
                <w:szCs w:val="18"/>
              </w:rPr>
            </w:pPr>
            <w:r>
              <w:rPr>
                <w:rFonts w:hint="eastAsia"/>
                <w:color w:val="auto"/>
                <w:sz w:val="18"/>
                <w:szCs w:val="18"/>
              </w:rPr>
              <w:t>1</w:t>
            </w:r>
          </w:p>
        </w:tc>
        <w:tc>
          <w:tcPr>
            <w:tcW w:w="1113" w:type="dxa"/>
            <w:vAlign w:val="center"/>
          </w:tcPr>
          <w:p>
            <w:pPr>
              <w:jc w:val="center"/>
              <w:rPr>
                <w:rFonts w:ascii="宋体" w:hAnsi="宋体"/>
                <w:color w:val="auto"/>
                <w:sz w:val="18"/>
                <w:szCs w:val="18"/>
              </w:rPr>
            </w:pPr>
            <w:r>
              <w:rPr>
                <w:rFonts w:hint="eastAsia" w:ascii="宋体" w:hAnsi="宋体"/>
                <w:color w:val="auto"/>
                <w:sz w:val="18"/>
                <w:szCs w:val="18"/>
              </w:rPr>
              <w:t>投标文件</w:t>
            </w:r>
          </w:p>
          <w:p>
            <w:pPr>
              <w:jc w:val="center"/>
              <w:rPr>
                <w:rFonts w:ascii="宋体" w:hAnsi="宋体"/>
                <w:color w:val="auto"/>
                <w:sz w:val="18"/>
                <w:szCs w:val="18"/>
              </w:rPr>
            </w:pPr>
            <w:r>
              <w:rPr>
                <w:rFonts w:hint="eastAsia" w:ascii="宋体" w:hAnsi="宋体"/>
                <w:color w:val="auto"/>
                <w:sz w:val="18"/>
                <w:szCs w:val="18"/>
              </w:rPr>
              <w:t>制作情况</w:t>
            </w:r>
          </w:p>
          <w:p>
            <w:pPr>
              <w:jc w:val="center"/>
              <w:rPr>
                <w:rFonts w:ascii="宋体" w:hAnsi="宋体" w:cs="宋体"/>
                <w:color w:val="auto"/>
                <w:sz w:val="18"/>
                <w:szCs w:val="18"/>
              </w:rPr>
            </w:pPr>
            <w:r>
              <w:rPr>
                <w:rFonts w:hint="eastAsia" w:ascii="宋体" w:hAnsi="宋体"/>
                <w:color w:val="auto"/>
                <w:sz w:val="18"/>
                <w:szCs w:val="18"/>
              </w:rPr>
              <w:t>（5分）</w:t>
            </w:r>
          </w:p>
        </w:tc>
        <w:tc>
          <w:tcPr>
            <w:tcW w:w="5685" w:type="dxa"/>
            <w:gridSpan w:val="2"/>
            <w:vAlign w:val="center"/>
          </w:tcPr>
          <w:p>
            <w:pPr>
              <w:rPr>
                <w:rFonts w:ascii="宋体" w:hAnsi="宋体"/>
                <w:color w:val="auto"/>
                <w:sz w:val="18"/>
                <w:szCs w:val="18"/>
              </w:rPr>
            </w:pPr>
            <w:r>
              <w:rPr>
                <w:rFonts w:hint="eastAsia" w:ascii="宋体" w:hAnsi="宋体"/>
                <w:color w:val="auto"/>
                <w:sz w:val="18"/>
                <w:szCs w:val="18"/>
              </w:rPr>
              <w:t>根据设计技术文件质量进行评分，设计技术文件编制规范、设计内容完整、施工图内容清晰、重点突出、专业齐全，满足招标文件要求，得5分；每出现一处细微偏差或质量问题扣1分，最多扣2分。</w:t>
            </w:r>
          </w:p>
        </w:tc>
        <w:tc>
          <w:tcPr>
            <w:tcW w:w="798" w:type="dxa"/>
            <w:vAlign w:val="center"/>
          </w:tcPr>
          <w:p>
            <w:pPr>
              <w:pStyle w:val="255"/>
              <w:spacing w:after="120"/>
              <w:jc w:val="center"/>
              <w:rPr>
                <w:color w:val="auto"/>
                <w:sz w:val="18"/>
                <w:szCs w:val="18"/>
              </w:rPr>
            </w:pPr>
          </w:p>
        </w:tc>
        <w:tc>
          <w:tcPr>
            <w:tcW w:w="841" w:type="dxa"/>
            <w:gridSpan w:val="3"/>
            <w:vAlign w:val="center"/>
          </w:tcPr>
          <w:p>
            <w:pPr>
              <w:pStyle w:val="255"/>
              <w:spacing w:after="120"/>
              <w:jc w:val="center"/>
              <w:rPr>
                <w:color w:val="auto"/>
                <w:sz w:val="18"/>
                <w:szCs w:val="18"/>
              </w:rPr>
            </w:pPr>
          </w:p>
        </w:tc>
        <w:tc>
          <w:tcPr>
            <w:tcW w:w="781" w:type="dxa"/>
            <w:gridSpan w:val="2"/>
            <w:vAlign w:val="center"/>
          </w:tcPr>
          <w:p>
            <w:pPr>
              <w:pStyle w:val="255"/>
              <w:spacing w:after="12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0" w:hRule="exact"/>
          <w:jc w:val="center"/>
        </w:trPr>
        <w:tc>
          <w:tcPr>
            <w:tcW w:w="727" w:type="dxa"/>
            <w:vAlign w:val="center"/>
          </w:tcPr>
          <w:p>
            <w:pPr>
              <w:pStyle w:val="255"/>
              <w:spacing w:after="120"/>
              <w:ind w:firstLine="440"/>
              <w:jc w:val="center"/>
              <w:rPr>
                <w:color w:val="auto"/>
                <w:sz w:val="18"/>
                <w:szCs w:val="18"/>
              </w:rPr>
            </w:pPr>
            <w:r>
              <w:rPr>
                <w:rFonts w:hint="eastAsia"/>
                <w:color w:val="auto"/>
                <w:sz w:val="18"/>
                <w:szCs w:val="18"/>
              </w:rPr>
              <w:t>2</w:t>
            </w:r>
          </w:p>
        </w:tc>
        <w:tc>
          <w:tcPr>
            <w:tcW w:w="1113" w:type="dxa"/>
            <w:vAlign w:val="center"/>
          </w:tcPr>
          <w:p>
            <w:pPr>
              <w:jc w:val="center"/>
              <w:rPr>
                <w:rFonts w:hint="eastAsia"/>
                <w:color w:val="auto"/>
                <w:sz w:val="18"/>
                <w:szCs w:val="18"/>
              </w:rPr>
            </w:pPr>
            <w:r>
              <w:rPr>
                <w:rFonts w:hint="eastAsia"/>
                <w:color w:val="auto"/>
                <w:sz w:val="18"/>
                <w:szCs w:val="18"/>
              </w:rPr>
              <w:t>设计优化</w:t>
            </w:r>
          </w:p>
          <w:p>
            <w:pPr>
              <w:jc w:val="center"/>
              <w:rPr>
                <w:color w:val="auto"/>
                <w:sz w:val="18"/>
                <w:szCs w:val="18"/>
              </w:rPr>
            </w:pPr>
            <w:r>
              <w:rPr>
                <w:rFonts w:hint="eastAsia" w:ascii="宋体" w:hAnsi="宋体" w:cs="宋体"/>
                <w:color w:val="auto"/>
                <w:sz w:val="18"/>
                <w:szCs w:val="18"/>
              </w:rPr>
              <w:t>（5分）</w:t>
            </w:r>
          </w:p>
        </w:tc>
        <w:tc>
          <w:tcPr>
            <w:tcW w:w="5685" w:type="dxa"/>
            <w:gridSpan w:val="2"/>
            <w:vAlign w:val="center"/>
          </w:tcPr>
          <w:p>
            <w:pPr>
              <w:rPr>
                <w:rFonts w:ascii="宋体" w:hAnsi="宋体"/>
                <w:color w:val="auto"/>
                <w:sz w:val="18"/>
                <w:szCs w:val="18"/>
              </w:rPr>
            </w:pPr>
            <w:r>
              <w:rPr>
                <w:rFonts w:hint="eastAsia" w:ascii="宋体" w:hAnsi="宋体"/>
                <w:color w:val="auto"/>
                <w:sz w:val="18"/>
                <w:szCs w:val="18"/>
              </w:rPr>
              <w:t>设计优化符合国家、省市级地方对设计优化要求的规定：（一般3分，较好 4 分，优秀5分）。</w:t>
            </w:r>
          </w:p>
        </w:tc>
        <w:tc>
          <w:tcPr>
            <w:tcW w:w="806" w:type="dxa"/>
            <w:gridSpan w:val="2"/>
            <w:vAlign w:val="center"/>
          </w:tcPr>
          <w:p>
            <w:pPr>
              <w:pStyle w:val="255"/>
              <w:spacing w:after="120"/>
              <w:ind w:firstLine="440"/>
              <w:jc w:val="center"/>
              <w:rPr>
                <w:color w:val="auto"/>
                <w:sz w:val="18"/>
                <w:szCs w:val="18"/>
              </w:rPr>
            </w:pPr>
          </w:p>
        </w:tc>
        <w:tc>
          <w:tcPr>
            <w:tcW w:w="833" w:type="dxa"/>
            <w:gridSpan w:val="2"/>
            <w:vAlign w:val="center"/>
          </w:tcPr>
          <w:p>
            <w:pPr>
              <w:pStyle w:val="255"/>
              <w:spacing w:after="120"/>
              <w:ind w:firstLine="440"/>
              <w:jc w:val="center"/>
              <w:rPr>
                <w:color w:val="auto"/>
                <w:sz w:val="18"/>
                <w:szCs w:val="18"/>
              </w:rPr>
            </w:pPr>
          </w:p>
        </w:tc>
        <w:tc>
          <w:tcPr>
            <w:tcW w:w="781" w:type="dxa"/>
            <w:gridSpan w:val="2"/>
            <w:vAlign w:val="center"/>
          </w:tcPr>
          <w:p>
            <w:pPr>
              <w:pStyle w:val="255"/>
              <w:spacing w:after="120"/>
              <w:ind w:firstLine="44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6" w:hRule="exact"/>
          <w:jc w:val="center"/>
        </w:trPr>
        <w:tc>
          <w:tcPr>
            <w:tcW w:w="727" w:type="dxa"/>
            <w:vAlign w:val="center"/>
          </w:tcPr>
          <w:p>
            <w:pPr>
              <w:pStyle w:val="255"/>
              <w:spacing w:after="120"/>
              <w:ind w:firstLine="440"/>
              <w:jc w:val="center"/>
              <w:rPr>
                <w:color w:val="auto"/>
                <w:sz w:val="18"/>
                <w:szCs w:val="18"/>
              </w:rPr>
            </w:pPr>
            <w:r>
              <w:rPr>
                <w:rFonts w:hint="eastAsia"/>
                <w:color w:val="auto"/>
                <w:sz w:val="18"/>
                <w:szCs w:val="18"/>
                <w:lang w:val="en-US"/>
              </w:rPr>
              <w:t>3</w:t>
            </w:r>
          </w:p>
        </w:tc>
        <w:tc>
          <w:tcPr>
            <w:tcW w:w="1113" w:type="dxa"/>
            <w:vAlign w:val="center"/>
          </w:tcPr>
          <w:p>
            <w:pPr>
              <w:jc w:val="center"/>
              <w:rPr>
                <w:rFonts w:ascii="宋体" w:hAnsi="宋体"/>
                <w:color w:val="auto"/>
                <w:sz w:val="18"/>
                <w:szCs w:val="18"/>
              </w:rPr>
            </w:pPr>
            <w:r>
              <w:rPr>
                <w:rFonts w:hint="eastAsia" w:ascii="宋体" w:hAnsi="宋体"/>
                <w:color w:val="auto"/>
                <w:sz w:val="18"/>
                <w:szCs w:val="18"/>
              </w:rPr>
              <w:t>各个功能及分项设计优化（35分）</w:t>
            </w:r>
          </w:p>
        </w:tc>
        <w:tc>
          <w:tcPr>
            <w:tcW w:w="5685" w:type="dxa"/>
            <w:gridSpan w:val="2"/>
            <w:vAlign w:val="center"/>
          </w:tcPr>
          <w:p>
            <w:pPr>
              <w:rPr>
                <w:rFonts w:ascii="宋体" w:hAnsi="宋体"/>
                <w:color w:val="auto"/>
                <w:sz w:val="18"/>
                <w:szCs w:val="18"/>
              </w:rPr>
            </w:pPr>
            <w:r>
              <w:rPr>
                <w:rFonts w:hint="eastAsia" w:ascii="宋体" w:hAnsi="宋体"/>
                <w:color w:val="auto"/>
                <w:sz w:val="18"/>
                <w:szCs w:val="18"/>
              </w:rPr>
              <w:t>环境景观、交通功能、亮化照明、配套设施及空间整体形象设计优化合理、科学的计35分；</w:t>
            </w:r>
          </w:p>
          <w:p>
            <w:pPr>
              <w:rPr>
                <w:rFonts w:ascii="宋体" w:hAnsi="宋体"/>
                <w:color w:val="auto"/>
                <w:sz w:val="18"/>
                <w:szCs w:val="18"/>
              </w:rPr>
            </w:pPr>
            <w:r>
              <w:rPr>
                <w:rFonts w:hint="eastAsia" w:ascii="宋体" w:hAnsi="宋体"/>
                <w:color w:val="auto"/>
                <w:sz w:val="18"/>
                <w:szCs w:val="18"/>
              </w:rPr>
              <w:t>环境景观、交通功能、亮化照明、配套设施及空间整体形象设计优化较合理、较科学的计32分；</w:t>
            </w:r>
          </w:p>
          <w:p>
            <w:pPr>
              <w:rPr>
                <w:rFonts w:ascii="宋体" w:hAnsi="宋体"/>
                <w:color w:val="auto"/>
                <w:sz w:val="18"/>
                <w:szCs w:val="18"/>
              </w:rPr>
            </w:pPr>
            <w:r>
              <w:rPr>
                <w:rFonts w:hint="eastAsia" w:ascii="宋体" w:hAnsi="宋体"/>
                <w:color w:val="auto"/>
                <w:sz w:val="18"/>
                <w:szCs w:val="18"/>
              </w:rPr>
              <w:t>环境景观、交通功能、亮化照明、配套设施及空间整体形象设计优化欠合理、欠科学的计27分。</w:t>
            </w:r>
          </w:p>
        </w:tc>
        <w:tc>
          <w:tcPr>
            <w:tcW w:w="806" w:type="dxa"/>
            <w:gridSpan w:val="2"/>
            <w:vAlign w:val="center"/>
          </w:tcPr>
          <w:p>
            <w:pPr>
              <w:pStyle w:val="255"/>
              <w:spacing w:after="120"/>
              <w:ind w:firstLine="440"/>
              <w:jc w:val="center"/>
              <w:rPr>
                <w:color w:val="auto"/>
                <w:sz w:val="18"/>
                <w:szCs w:val="18"/>
              </w:rPr>
            </w:pPr>
          </w:p>
        </w:tc>
        <w:tc>
          <w:tcPr>
            <w:tcW w:w="833" w:type="dxa"/>
            <w:gridSpan w:val="2"/>
            <w:vAlign w:val="center"/>
          </w:tcPr>
          <w:p>
            <w:pPr>
              <w:pStyle w:val="255"/>
              <w:spacing w:after="120"/>
              <w:ind w:firstLine="440"/>
              <w:jc w:val="center"/>
              <w:rPr>
                <w:color w:val="auto"/>
                <w:sz w:val="18"/>
                <w:szCs w:val="18"/>
              </w:rPr>
            </w:pPr>
          </w:p>
        </w:tc>
        <w:tc>
          <w:tcPr>
            <w:tcW w:w="781" w:type="dxa"/>
            <w:gridSpan w:val="2"/>
            <w:vAlign w:val="center"/>
          </w:tcPr>
          <w:p>
            <w:pPr>
              <w:pStyle w:val="255"/>
              <w:spacing w:after="120"/>
              <w:ind w:firstLine="44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2" w:hRule="exact"/>
          <w:jc w:val="center"/>
        </w:trPr>
        <w:tc>
          <w:tcPr>
            <w:tcW w:w="727" w:type="dxa"/>
            <w:vAlign w:val="center"/>
          </w:tcPr>
          <w:p>
            <w:pPr>
              <w:jc w:val="center"/>
              <w:rPr>
                <w:rFonts w:ascii="宋体" w:hAnsi="宋体" w:cs="宋体"/>
                <w:color w:val="auto"/>
                <w:sz w:val="18"/>
                <w:szCs w:val="18"/>
              </w:rPr>
            </w:pPr>
            <w:r>
              <w:rPr>
                <w:rFonts w:hint="eastAsia" w:ascii="宋体" w:hAnsi="宋体" w:cs="宋体"/>
                <w:color w:val="auto"/>
                <w:sz w:val="18"/>
                <w:szCs w:val="18"/>
              </w:rPr>
              <w:t>4</w:t>
            </w:r>
          </w:p>
        </w:tc>
        <w:tc>
          <w:tcPr>
            <w:tcW w:w="1113" w:type="dxa"/>
            <w:vAlign w:val="center"/>
          </w:tcPr>
          <w:p>
            <w:pPr>
              <w:jc w:val="center"/>
              <w:rPr>
                <w:rFonts w:ascii="宋体" w:hAnsi="宋体"/>
                <w:color w:val="auto"/>
                <w:sz w:val="18"/>
                <w:szCs w:val="18"/>
              </w:rPr>
            </w:pPr>
            <w:r>
              <w:rPr>
                <w:rFonts w:hint="eastAsia" w:ascii="宋体" w:hAnsi="宋体"/>
                <w:color w:val="auto"/>
                <w:sz w:val="18"/>
                <w:szCs w:val="18"/>
              </w:rPr>
              <w:t>技术可行性</w:t>
            </w:r>
          </w:p>
          <w:p>
            <w:pPr>
              <w:jc w:val="center"/>
              <w:rPr>
                <w:color w:val="auto"/>
                <w:sz w:val="18"/>
                <w:szCs w:val="18"/>
              </w:rPr>
            </w:pPr>
            <w:r>
              <w:rPr>
                <w:rFonts w:hint="eastAsia" w:ascii="宋体" w:hAnsi="宋体"/>
                <w:color w:val="auto"/>
                <w:sz w:val="18"/>
                <w:szCs w:val="18"/>
              </w:rPr>
              <w:t>（15分）</w:t>
            </w:r>
          </w:p>
        </w:tc>
        <w:tc>
          <w:tcPr>
            <w:tcW w:w="5685" w:type="dxa"/>
            <w:gridSpan w:val="2"/>
            <w:vAlign w:val="center"/>
          </w:tcPr>
          <w:p>
            <w:pPr>
              <w:rPr>
                <w:rFonts w:ascii="宋体" w:hAnsi="宋体"/>
                <w:color w:val="auto"/>
                <w:sz w:val="18"/>
                <w:szCs w:val="18"/>
              </w:rPr>
            </w:pPr>
            <w:r>
              <w:rPr>
                <w:rFonts w:hint="eastAsia"/>
                <w:color w:val="auto"/>
                <w:sz w:val="18"/>
                <w:szCs w:val="18"/>
              </w:rPr>
              <w:t>道路工程相关设计优化内容充分结合现状的实际需求及道路定位，得</w:t>
            </w:r>
            <w:r>
              <w:rPr>
                <w:rFonts w:hint="eastAsia" w:ascii="宋体" w:hAnsi="宋体"/>
                <w:color w:val="auto"/>
                <w:sz w:val="18"/>
                <w:szCs w:val="18"/>
              </w:rPr>
              <w:t>15分；</w:t>
            </w:r>
          </w:p>
          <w:p>
            <w:pPr>
              <w:rPr>
                <w:rFonts w:ascii="宋体" w:hAnsi="宋体"/>
                <w:color w:val="auto"/>
                <w:sz w:val="18"/>
                <w:szCs w:val="18"/>
              </w:rPr>
            </w:pPr>
            <w:r>
              <w:rPr>
                <w:rFonts w:hint="eastAsia" w:ascii="宋体" w:hAnsi="宋体"/>
                <w:color w:val="auto"/>
                <w:sz w:val="18"/>
                <w:szCs w:val="18"/>
              </w:rPr>
              <w:t>道路工程相关设计优化内容基本满足现场实际需要10分；</w:t>
            </w:r>
          </w:p>
          <w:p>
            <w:pPr>
              <w:rPr>
                <w:color w:val="auto"/>
                <w:sz w:val="18"/>
                <w:szCs w:val="18"/>
              </w:rPr>
            </w:pPr>
            <w:r>
              <w:rPr>
                <w:rFonts w:hint="eastAsia" w:ascii="宋体" w:hAnsi="宋体"/>
                <w:color w:val="auto"/>
                <w:sz w:val="18"/>
                <w:szCs w:val="18"/>
              </w:rPr>
              <w:t>道路工程相关设计优化内容未结合现场实际需要3分。</w:t>
            </w:r>
          </w:p>
        </w:tc>
        <w:tc>
          <w:tcPr>
            <w:tcW w:w="806" w:type="dxa"/>
            <w:gridSpan w:val="2"/>
            <w:vAlign w:val="center"/>
          </w:tcPr>
          <w:p>
            <w:pPr>
              <w:pStyle w:val="255"/>
              <w:spacing w:after="120"/>
              <w:ind w:firstLine="440"/>
              <w:jc w:val="center"/>
              <w:rPr>
                <w:color w:val="auto"/>
                <w:sz w:val="18"/>
                <w:szCs w:val="18"/>
              </w:rPr>
            </w:pPr>
          </w:p>
        </w:tc>
        <w:tc>
          <w:tcPr>
            <w:tcW w:w="833" w:type="dxa"/>
            <w:gridSpan w:val="2"/>
            <w:vAlign w:val="center"/>
          </w:tcPr>
          <w:p>
            <w:pPr>
              <w:pStyle w:val="255"/>
              <w:spacing w:after="120"/>
              <w:ind w:firstLine="440"/>
              <w:jc w:val="center"/>
              <w:rPr>
                <w:color w:val="auto"/>
                <w:sz w:val="18"/>
                <w:szCs w:val="18"/>
              </w:rPr>
            </w:pPr>
          </w:p>
        </w:tc>
        <w:tc>
          <w:tcPr>
            <w:tcW w:w="781" w:type="dxa"/>
            <w:gridSpan w:val="2"/>
            <w:vAlign w:val="center"/>
          </w:tcPr>
          <w:p>
            <w:pPr>
              <w:pStyle w:val="255"/>
              <w:spacing w:after="120"/>
              <w:ind w:firstLine="44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2" w:hRule="exact"/>
          <w:jc w:val="center"/>
        </w:trPr>
        <w:tc>
          <w:tcPr>
            <w:tcW w:w="727" w:type="dxa"/>
            <w:vAlign w:val="center"/>
          </w:tcPr>
          <w:p>
            <w:pPr>
              <w:jc w:val="center"/>
              <w:rPr>
                <w:rFonts w:ascii="宋体" w:hAnsi="宋体"/>
                <w:color w:val="auto"/>
                <w:sz w:val="18"/>
                <w:szCs w:val="18"/>
              </w:rPr>
            </w:pPr>
            <w:r>
              <w:rPr>
                <w:rFonts w:hint="eastAsia" w:ascii="宋体" w:hAnsi="宋体"/>
                <w:color w:val="auto"/>
                <w:sz w:val="18"/>
                <w:szCs w:val="18"/>
              </w:rPr>
              <w:t>5</w:t>
            </w:r>
          </w:p>
        </w:tc>
        <w:tc>
          <w:tcPr>
            <w:tcW w:w="1113" w:type="dxa"/>
            <w:vAlign w:val="center"/>
          </w:tcPr>
          <w:p>
            <w:pPr>
              <w:jc w:val="center"/>
              <w:rPr>
                <w:rFonts w:ascii="宋体" w:hAnsi="宋体"/>
                <w:color w:val="auto"/>
                <w:sz w:val="18"/>
                <w:szCs w:val="18"/>
              </w:rPr>
            </w:pPr>
            <w:r>
              <w:rPr>
                <w:rFonts w:hint="eastAsia" w:ascii="宋体" w:hAnsi="宋体"/>
                <w:color w:val="auto"/>
                <w:sz w:val="18"/>
                <w:szCs w:val="18"/>
              </w:rPr>
              <w:t>对本工程设计重点、难点的认识及对策</w:t>
            </w:r>
          </w:p>
          <w:p>
            <w:pPr>
              <w:jc w:val="center"/>
              <w:rPr>
                <w:rFonts w:ascii="宋体" w:hAnsi="宋体"/>
                <w:color w:val="auto"/>
                <w:sz w:val="18"/>
                <w:szCs w:val="18"/>
              </w:rPr>
            </w:pPr>
            <w:r>
              <w:rPr>
                <w:rFonts w:hint="eastAsia" w:ascii="宋体" w:hAnsi="宋体"/>
                <w:color w:val="auto"/>
                <w:sz w:val="18"/>
                <w:szCs w:val="18"/>
              </w:rPr>
              <w:t>（10分）</w:t>
            </w:r>
          </w:p>
        </w:tc>
        <w:tc>
          <w:tcPr>
            <w:tcW w:w="5685" w:type="dxa"/>
            <w:gridSpan w:val="2"/>
            <w:vAlign w:val="center"/>
          </w:tcPr>
          <w:p>
            <w:pPr>
              <w:rPr>
                <w:rFonts w:ascii="宋体" w:hAnsi="宋体"/>
                <w:color w:val="auto"/>
                <w:sz w:val="18"/>
                <w:szCs w:val="18"/>
              </w:rPr>
            </w:pPr>
            <w:r>
              <w:rPr>
                <w:rFonts w:hint="eastAsia" w:ascii="宋体" w:hAnsi="宋体"/>
                <w:color w:val="auto"/>
                <w:sz w:val="18"/>
                <w:szCs w:val="18"/>
              </w:rPr>
              <w:t>对本工程设计优化重点和难点的认识全面透彻，采取的对策先进、合理、可行，得10分；</w:t>
            </w:r>
          </w:p>
          <w:p>
            <w:pPr>
              <w:rPr>
                <w:rFonts w:ascii="宋体" w:hAnsi="宋体"/>
                <w:color w:val="auto"/>
                <w:sz w:val="18"/>
                <w:szCs w:val="18"/>
              </w:rPr>
            </w:pPr>
            <w:r>
              <w:rPr>
                <w:rFonts w:hint="eastAsia" w:ascii="宋体" w:hAnsi="宋体"/>
                <w:color w:val="auto"/>
                <w:sz w:val="18"/>
                <w:szCs w:val="18"/>
              </w:rPr>
              <w:t>对本工程设计优化重点和难点的认识比较全面，采取的对策基本可行，得8分；</w:t>
            </w:r>
          </w:p>
          <w:p>
            <w:pPr>
              <w:rPr>
                <w:rFonts w:ascii="宋体" w:hAnsi="宋体"/>
                <w:color w:val="auto"/>
                <w:sz w:val="18"/>
                <w:szCs w:val="18"/>
              </w:rPr>
            </w:pPr>
            <w:r>
              <w:rPr>
                <w:rFonts w:hint="eastAsia" w:ascii="宋体" w:hAnsi="宋体"/>
                <w:color w:val="auto"/>
                <w:sz w:val="18"/>
                <w:szCs w:val="18"/>
              </w:rPr>
              <w:t>对本工程设计优化重点和难点的认识不全面，采取的对策欠合理，得6分。</w:t>
            </w:r>
          </w:p>
        </w:tc>
        <w:tc>
          <w:tcPr>
            <w:tcW w:w="806" w:type="dxa"/>
            <w:gridSpan w:val="2"/>
            <w:vAlign w:val="center"/>
          </w:tcPr>
          <w:p>
            <w:pPr>
              <w:pStyle w:val="255"/>
              <w:spacing w:after="120"/>
              <w:ind w:firstLine="440"/>
              <w:jc w:val="center"/>
              <w:rPr>
                <w:color w:val="auto"/>
                <w:sz w:val="18"/>
                <w:szCs w:val="18"/>
              </w:rPr>
            </w:pPr>
          </w:p>
        </w:tc>
        <w:tc>
          <w:tcPr>
            <w:tcW w:w="833" w:type="dxa"/>
            <w:gridSpan w:val="2"/>
            <w:vAlign w:val="center"/>
          </w:tcPr>
          <w:p>
            <w:pPr>
              <w:pStyle w:val="255"/>
              <w:spacing w:after="120"/>
              <w:ind w:firstLine="440"/>
              <w:jc w:val="center"/>
              <w:rPr>
                <w:color w:val="auto"/>
                <w:sz w:val="18"/>
                <w:szCs w:val="18"/>
              </w:rPr>
            </w:pPr>
          </w:p>
        </w:tc>
        <w:tc>
          <w:tcPr>
            <w:tcW w:w="781" w:type="dxa"/>
            <w:gridSpan w:val="2"/>
            <w:vAlign w:val="center"/>
          </w:tcPr>
          <w:p>
            <w:pPr>
              <w:pStyle w:val="255"/>
              <w:spacing w:after="120"/>
              <w:ind w:firstLine="44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4" w:hRule="exact"/>
          <w:jc w:val="center"/>
        </w:trPr>
        <w:tc>
          <w:tcPr>
            <w:tcW w:w="727" w:type="dxa"/>
            <w:vMerge w:val="restart"/>
            <w:vAlign w:val="center"/>
          </w:tcPr>
          <w:p>
            <w:pPr>
              <w:jc w:val="center"/>
              <w:rPr>
                <w:rFonts w:ascii="宋体" w:hAnsi="宋体"/>
                <w:color w:val="auto"/>
                <w:sz w:val="18"/>
                <w:szCs w:val="18"/>
              </w:rPr>
            </w:pPr>
            <w:r>
              <w:rPr>
                <w:rFonts w:hint="eastAsia" w:ascii="宋体" w:hAnsi="宋体"/>
                <w:color w:val="auto"/>
                <w:sz w:val="18"/>
                <w:szCs w:val="18"/>
              </w:rPr>
              <w:t>6</w:t>
            </w:r>
          </w:p>
        </w:tc>
        <w:tc>
          <w:tcPr>
            <w:tcW w:w="1113" w:type="dxa"/>
            <w:vMerge w:val="restart"/>
            <w:vAlign w:val="center"/>
          </w:tcPr>
          <w:p>
            <w:pPr>
              <w:jc w:val="center"/>
              <w:rPr>
                <w:rFonts w:ascii="宋体" w:hAnsi="宋体"/>
                <w:color w:val="auto"/>
                <w:sz w:val="18"/>
                <w:szCs w:val="18"/>
              </w:rPr>
            </w:pPr>
          </w:p>
          <w:p>
            <w:pPr>
              <w:jc w:val="center"/>
              <w:rPr>
                <w:rFonts w:ascii="宋体" w:hAnsi="宋体"/>
                <w:color w:val="auto"/>
                <w:sz w:val="18"/>
                <w:szCs w:val="18"/>
              </w:rPr>
            </w:pPr>
          </w:p>
          <w:p>
            <w:pPr>
              <w:jc w:val="center"/>
              <w:rPr>
                <w:rFonts w:ascii="宋体" w:hAnsi="宋体"/>
                <w:color w:val="auto"/>
                <w:sz w:val="18"/>
                <w:szCs w:val="18"/>
              </w:rPr>
            </w:pPr>
            <w:r>
              <w:rPr>
                <w:rFonts w:hint="eastAsia" w:ascii="宋体" w:hAnsi="宋体"/>
                <w:color w:val="auto"/>
                <w:sz w:val="18"/>
                <w:szCs w:val="18"/>
              </w:rPr>
              <w:t>设计组织安排（10分）</w:t>
            </w:r>
          </w:p>
        </w:tc>
        <w:tc>
          <w:tcPr>
            <w:tcW w:w="1650" w:type="dxa"/>
            <w:vAlign w:val="center"/>
          </w:tcPr>
          <w:p>
            <w:pPr>
              <w:rPr>
                <w:rFonts w:ascii="宋体" w:hAnsi="宋体"/>
                <w:color w:val="auto"/>
                <w:sz w:val="18"/>
                <w:szCs w:val="18"/>
              </w:rPr>
            </w:pPr>
            <w:r>
              <w:rPr>
                <w:rFonts w:hint="eastAsia" w:ascii="宋体" w:hAnsi="宋体"/>
                <w:color w:val="auto"/>
                <w:sz w:val="18"/>
                <w:szCs w:val="18"/>
              </w:rPr>
              <w:t>设计进度保证措施</w:t>
            </w:r>
          </w:p>
        </w:tc>
        <w:tc>
          <w:tcPr>
            <w:tcW w:w="4035" w:type="dxa"/>
            <w:vAlign w:val="center"/>
          </w:tcPr>
          <w:p>
            <w:pPr>
              <w:rPr>
                <w:rFonts w:ascii="宋体" w:hAnsi="宋体"/>
                <w:color w:val="auto"/>
                <w:sz w:val="18"/>
                <w:szCs w:val="18"/>
              </w:rPr>
            </w:pPr>
            <w:r>
              <w:rPr>
                <w:rFonts w:hint="eastAsia" w:ascii="宋体" w:hAnsi="宋体"/>
                <w:color w:val="auto"/>
                <w:sz w:val="18"/>
                <w:szCs w:val="18"/>
              </w:rPr>
              <w:t>设计进度安排合理紧凑，保障措施全面计4分；设计进度安排较合理，保障措施较全面计3分；设计进度安排欠合理，保障措施不够全面，得2分。</w:t>
            </w:r>
          </w:p>
        </w:tc>
        <w:tc>
          <w:tcPr>
            <w:tcW w:w="806" w:type="dxa"/>
            <w:gridSpan w:val="2"/>
            <w:vAlign w:val="center"/>
          </w:tcPr>
          <w:p>
            <w:pPr>
              <w:pStyle w:val="255"/>
              <w:spacing w:after="120"/>
              <w:ind w:firstLine="440"/>
              <w:jc w:val="center"/>
              <w:rPr>
                <w:color w:val="auto"/>
                <w:sz w:val="18"/>
                <w:szCs w:val="18"/>
              </w:rPr>
            </w:pPr>
          </w:p>
        </w:tc>
        <w:tc>
          <w:tcPr>
            <w:tcW w:w="833" w:type="dxa"/>
            <w:gridSpan w:val="2"/>
            <w:vAlign w:val="center"/>
          </w:tcPr>
          <w:p>
            <w:pPr>
              <w:pStyle w:val="255"/>
              <w:spacing w:after="120"/>
              <w:ind w:firstLine="440"/>
              <w:jc w:val="center"/>
              <w:rPr>
                <w:color w:val="auto"/>
                <w:sz w:val="18"/>
                <w:szCs w:val="18"/>
              </w:rPr>
            </w:pPr>
          </w:p>
        </w:tc>
        <w:tc>
          <w:tcPr>
            <w:tcW w:w="781" w:type="dxa"/>
            <w:gridSpan w:val="2"/>
            <w:vAlign w:val="center"/>
          </w:tcPr>
          <w:p>
            <w:pPr>
              <w:pStyle w:val="255"/>
              <w:spacing w:after="120"/>
              <w:ind w:firstLine="44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6" w:hRule="exact"/>
          <w:jc w:val="center"/>
        </w:trPr>
        <w:tc>
          <w:tcPr>
            <w:tcW w:w="727" w:type="dxa"/>
            <w:vMerge w:val="continue"/>
            <w:vAlign w:val="center"/>
          </w:tcPr>
          <w:p>
            <w:pPr>
              <w:jc w:val="center"/>
              <w:rPr>
                <w:rFonts w:ascii="宋体" w:hAnsi="宋体"/>
                <w:color w:val="auto"/>
                <w:sz w:val="18"/>
                <w:szCs w:val="18"/>
              </w:rPr>
            </w:pPr>
          </w:p>
        </w:tc>
        <w:tc>
          <w:tcPr>
            <w:tcW w:w="1113" w:type="dxa"/>
            <w:vMerge w:val="continue"/>
            <w:vAlign w:val="center"/>
          </w:tcPr>
          <w:p>
            <w:pPr>
              <w:jc w:val="center"/>
              <w:rPr>
                <w:rFonts w:ascii="宋体" w:hAnsi="宋体"/>
                <w:color w:val="auto"/>
                <w:sz w:val="18"/>
                <w:szCs w:val="18"/>
              </w:rPr>
            </w:pPr>
          </w:p>
        </w:tc>
        <w:tc>
          <w:tcPr>
            <w:tcW w:w="1650" w:type="dxa"/>
            <w:vAlign w:val="center"/>
          </w:tcPr>
          <w:p>
            <w:pPr>
              <w:rPr>
                <w:rFonts w:ascii="宋体" w:hAnsi="宋体"/>
                <w:color w:val="auto"/>
                <w:sz w:val="18"/>
                <w:szCs w:val="18"/>
              </w:rPr>
            </w:pPr>
            <w:r>
              <w:rPr>
                <w:rFonts w:hint="eastAsia" w:ascii="宋体" w:hAnsi="宋体"/>
                <w:color w:val="auto"/>
                <w:sz w:val="18"/>
                <w:szCs w:val="18"/>
              </w:rPr>
              <w:t>设计质量保证措施</w:t>
            </w:r>
          </w:p>
        </w:tc>
        <w:tc>
          <w:tcPr>
            <w:tcW w:w="4035" w:type="dxa"/>
            <w:vAlign w:val="center"/>
          </w:tcPr>
          <w:p>
            <w:pPr>
              <w:rPr>
                <w:rFonts w:ascii="宋体" w:hAnsi="宋体"/>
                <w:color w:val="auto"/>
                <w:sz w:val="18"/>
                <w:szCs w:val="18"/>
              </w:rPr>
            </w:pPr>
            <w:r>
              <w:rPr>
                <w:rFonts w:hint="eastAsia" w:ascii="宋体" w:hAnsi="宋体"/>
                <w:color w:val="auto"/>
                <w:sz w:val="18"/>
                <w:szCs w:val="18"/>
              </w:rPr>
              <w:t>设计质量保证措施最优的，得3分；一般的，得2分；较差的，得1分。</w:t>
            </w:r>
          </w:p>
        </w:tc>
        <w:tc>
          <w:tcPr>
            <w:tcW w:w="806" w:type="dxa"/>
            <w:gridSpan w:val="2"/>
            <w:vAlign w:val="center"/>
          </w:tcPr>
          <w:p>
            <w:pPr>
              <w:pStyle w:val="255"/>
              <w:spacing w:after="120"/>
              <w:ind w:firstLine="440"/>
              <w:jc w:val="center"/>
              <w:rPr>
                <w:color w:val="auto"/>
                <w:sz w:val="18"/>
                <w:szCs w:val="18"/>
              </w:rPr>
            </w:pPr>
          </w:p>
        </w:tc>
        <w:tc>
          <w:tcPr>
            <w:tcW w:w="833" w:type="dxa"/>
            <w:gridSpan w:val="2"/>
            <w:vAlign w:val="center"/>
          </w:tcPr>
          <w:p>
            <w:pPr>
              <w:pStyle w:val="255"/>
              <w:spacing w:after="120"/>
              <w:ind w:firstLine="440"/>
              <w:jc w:val="center"/>
              <w:rPr>
                <w:color w:val="auto"/>
                <w:sz w:val="18"/>
                <w:szCs w:val="18"/>
              </w:rPr>
            </w:pPr>
          </w:p>
        </w:tc>
        <w:tc>
          <w:tcPr>
            <w:tcW w:w="781" w:type="dxa"/>
            <w:gridSpan w:val="2"/>
            <w:vAlign w:val="center"/>
          </w:tcPr>
          <w:p>
            <w:pPr>
              <w:pStyle w:val="255"/>
              <w:spacing w:after="120"/>
              <w:ind w:firstLine="44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8" w:hRule="exact"/>
          <w:jc w:val="center"/>
        </w:trPr>
        <w:tc>
          <w:tcPr>
            <w:tcW w:w="727" w:type="dxa"/>
            <w:vMerge w:val="continue"/>
            <w:vAlign w:val="center"/>
          </w:tcPr>
          <w:p>
            <w:pPr>
              <w:jc w:val="center"/>
              <w:rPr>
                <w:rFonts w:ascii="宋体" w:hAnsi="宋体"/>
                <w:color w:val="auto"/>
                <w:sz w:val="18"/>
                <w:szCs w:val="18"/>
              </w:rPr>
            </w:pPr>
          </w:p>
        </w:tc>
        <w:tc>
          <w:tcPr>
            <w:tcW w:w="1113" w:type="dxa"/>
            <w:vMerge w:val="continue"/>
            <w:vAlign w:val="center"/>
          </w:tcPr>
          <w:p>
            <w:pPr>
              <w:jc w:val="center"/>
              <w:rPr>
                <w:rFonts w:ascii="宋体" w:hAnsi="宋体"/>
                <w:color w:val="auto"/>
                <w:sz w:val="18"/>
                <w:szCs w:val="18"/>
              </w:rPr>
            </w:pPr>
          </w:p>
        </w:tc>
        <w:tc>
          <w:tcPr>
            <w:tcW w:w="1650" w:type="dxa"/>
            <w:vAlign w:val="center"/>
          </w:tcPr>
          <w:p>
            <w:pPr>
              <w:rPr>
                <w:rFonts w:ascii="宋体" w:hAnsi="宋体"/>
                <w:color w:val="auto"/>
                <w:sz w:val="18"/>
                <w:szCs w:val="18"/>
              </w:rPr>
            </w:pPr>
            <w:r>
              <w:rPr>
                <w:rFonts w:hint="eastAsia" w:ascii="宋体" w:hAnsi="宋体"/>
                <w:color w:val="auto"/>
                <w:sz w:val="18"/>
                <w:szCs w:val="18"/>
              </w:rPr>
              <w:t>后期服务计划及保障措施</w:t>
            </w:r>
          </w:p>
        </w:tc>
        <w:tc>
          <w:tcPr>
            <w:tcW w:w="4035" w:type="dxa"/>
            <w:vAlign w:val="center"/>
          </w:tcPr>
          <w:p>
            <w:pPr>
              <w:rPr>
                <w:rFonts w:ascii="宋体" w:hAnsi="宋体"/>
                <w:color w:val="auto"/>
                <w:sz w:val="18"/>
                <w:szCs w:val="18"/>
              </w:rPr>
            </w:pPr>
            <w:r>
              <w:rPr>
                <w:rFonts w:hint="eastAsia" w:ascii="宋体" w:hAnsi="宋体"/>
                <w:color w:val="auto"/>
                <w:sz w:val="18"/>
                <w:szCs w:val="18"/>
              </w:rPr>
              <w:t>后续服务计划及保障措施考虑全面合理，完全满足项目需求，得3分；后续服务计划及保障措施较合理，基本满足项目需求，得2分；后续服务计划及保障措施欠合理，得1分。</w:t>
            </w:r>
          </w:p>
        </w:tc>
        <w:tc>
          <w:tcPr>
            <w:tcW w:w="806" w:type="dxa"/>
            <w:gridSpan w:val="2"/>
            <w:vAlign w:val="center"/>
          </w:tcPr>
          <w:p>
            <w:pPr>
              <w:pStyle w:val="255"/>
              <w:spacing w:after="120"/>
              <w:ind w:firstLine="440"/>
              <w:jc w:val="center"/>
              <w:rPr>
                <w:color w:val="auto"/>
                <w:sz w:val="18"/>
                <w:szCs w:val="18"/>
              </w:rPr>
            </w:pPr>
          </w:p>
        </w:tc>
        <w:tc>
          <w:tcPr>
            <w:tcW w:w="818" w:type="dxa"/>
            <w:vAlign w:val="center"/>
          </w:tcPr>
          <w:p>
            <w:pPr>
              <w:pStyle w:val="255"/>
              <w:spacing w:after="120"/>
              <w:ind w:firstLine="440"/>
              <w:jc w:val="center"/>
              <w:rPr>
                <w:color w:val="auto"/>
                <w:sz w:val="18"/>
                <w:szCs w:val="18"/>
              </w:rPr>
            </w:pPr>
          </w:p>
        </w:tc>
        <w:tc>
          <w:tcPr>
            <w:tcW w:w="796" w:type="dxa"/>
            <w:gridSpan w:val="3"/>
            <w:vAlign w:val="center"/>
          </w:tcPr>
          <w:p>
            <w:pPr>
              <w:pStyle w:val="255"/>
              <w:spacing w:after="120"/>
              <w:ind w:firstLine="44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7" w:hRule="exact"/>
          <w:jc w:val="center"/>
        </w:trPr>
        <w:tc>
          <w:tcPr>
            <w:tcW w:w="727" w:type="dxa"/>
            <w:vAlign w:val="center"/>
          </w:tcPr>
          <w:p>
            <w:pPr>
              <w:jc w:val="center"/>
              <w:rPr>
                <w:rFonts w:ascii="宋体" w:hAnsi="宋体"/>
                <w:color w:val="auto"/>
                <w:sz w:val="18"/>
                <w:szCs w:val="18"/>
              </w:rPr>
            </w:pPr>
            <w:r>
              <w:rPr>
                <w:rFonts w:hint="eastAsia" w:ascii="宋体" w:hAnsi="宋体"/>
                <w:color w:val="auto"/>
                <w:sz w:val="18"/>
                <w:szCs w:val="18"/>
              </w:rPr>
              <w:t>7</w:t>
            </w:r>
          </w:p>
        </w:tc>
        <w:tc>
          <w:tcPr>
            <w:tcW w:w="1113" w:type="dxa"/>
            <w:vAlign w:val="center"/>
          </w:tcPr>
          <w:p>
            <w:pPr>
              <w:jc w:val="center"/>
              <w:rPr>
                <w:rFonts w:ascii="宋体" w:hAnsi="宋体"/>
                <w:color w:val="auto"/>
                <w:sz w:val="18"/>
                <w:szCs w:val="18"/>
              </w:rPr>
            </w:pPr>
            <w:r>
              <w:rPr>
                <w:rFonts w:hint="eastAsia" w:ascii="宋体" w:hAnsi="宋体"/>
                <w:color w:val="auto"/>
                <w:sz w:val="18"/>
                <w:szCs w:val="18"/>
              </w:rPr>
              <w:t>设计完整性</w:t>
            </w:r>
          </w:p>
          <w:p>
            <w:pPr>
              <w:jc w:val="center"/>
              <w:rPr>
                <w:rFonts w:ascii="宋体" w:hAnsi="宋体"/>
                <w:color w:val="auto"/>
                <w:sz w:val="18"/>
                <w:szCs w:val="18"/>
              </w:rPr>
            </w:pPr>
            <w:r>
              <w:rPr>
                <w:rFonts w:hint="eastAsia" w:ascii="宋体" w:hAnsi="宋体"/>
                <w:color w:val="auto"/>
                <w:sz w:val="18"/>
                <w:szCs w:val="18"/>
              </w:rPr>
              <w:t>（10分）</w:t>
            </w:r>
          </w:p>
        </w:tc>
        <w:tc>
          <w:tcPr>
            <w:tcW w:w="5685" w:type="dxa"/>
            <w:gridSpan w:val="2"/>
            <w:vAlign w:val="center"/>
          </w:tcPr>
          <w:p>
            <w:pPr>
              <w:rPr>
                <w:rFonts w:hint="eastAsia" w:ascii="宋体" w:hAnsi="宋体" w:eastAsia="宋体"/>
                <w:color w:val="auto"/>
                <w:sz w:val="18"/>
                <w:szCs w:val="18"/>
                <w:lang w:eastAsia="zh-CN"/>
              </w:rPr>
            </w:pPr>
            <w:r>
              <w:rPr>
                <w:rFonts w:hint="eastAsia" w:ascii="宋体" w:hAnsi="宋体"/>
                <w:color w:val="auto"/>
                <w:sz w:val="18"/>
                <w:szCs w:val="18"/>
              </w:rPr>
              <w:t>节点设计的完整性是否符合规范和现场具体要求</w:t>
            </w:r>
            <w:r>
              <w:rPr>
                <w:rFonts w:hint="eastAsia" w:ascii="宋体" w:hAnsi="宋体"/>
                <w:color w:val="auto"/>
                <w:sz w:val="18"/>
                <w:szCs w:val="18"/>
                <w:lang w:eastAsia="zh-CN"/>
              </w:rPr>
              <w:t>，</w:t>
            </w:r>
            <w:r>
              <w:rPr>
                <w:rFonts w:hint="eastAsia" w:ascii="宋体" w:hAnsi="宋体"/>
                <w:color w:val="auto"/>
                <w:sz w:val="18"/>
                <w:szCs w:val="18"/>
              </w:rPr>
              <w:t>最多计10分。</w:t>
            </w:r>
          </w:p>
        </w:tc>
        <w:tc>
          <w:tcPr>
            <w:tcW w:w="806" w:type="dxa"/>
            <w:gridSpan w:val="2"/>
            <w:vAlign w:val="center"/>
          </w:tcPr>
          <w:p>
            <w:pPr>
              <w:pStyle w:val="255"/>
              <w:spacing w:after="120"/>
              <w:ind w:firstLine="440"/>
              <w:jc w:val="center"/>
              <w:rPr>
                <w:color w:val="auto"/>
                <w:sz w:val="18"/>
                <w:szCs w:val="18"/>
              </w:rPr>
            </w:pPr>
          </w:p>
        </w:tc>
        <w:tc>
          <w:tcPr>
            <w:tcW w:w="818" w:type="dxa"/>
            <w:vAlign w:val="center"/>
          </w:tcPr>
          <w:p>
            <w:pPr>
              <w:pStyle w:val="255"/>
              <w:spacing w:after="120"/>
              <w:ind w:firstLine="440"/>
              <w:jc w:val="center"/>
              <w:rPr>
                <w:color w:val="auto"/>
                <w:sz w:val="18"/>
                <w:szCs w:val="18"/>
              </w:rPr>
            </w:pPr>
          </w:p>
        </w:tc>
        <w:tc>
          <w:tcPr>
            <w:tcW w:w="796" w:type="dxa"/>
            <w:gridSpan w:val="3"/>
            <w:vAlign w:val="center"/>
          </w:tcPr>
          <w:p>
            <w:pPr>
              <w:pStyle w:val="255"/>
              <w:spacing w:after="120"/>
              <w:ind w:firstLine="44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3" w:hRule="exact"/>
          <w:jc w:val="center"/>
        </w:trPr>
        <w:tc>
          <w:tcPr>
            <w:tcW w:w="727" w:type="dxa"/>
            <w:vAlign w:val="center"/>
          </w:tcPr>
          <w:p>
            <w:pPr>
              <w:jc w:val="center"/>
              <w:rPr>
                <w:rFonts w:ascii="宋体" w:hAnsi="宋体"/>
                <w:color w:val="auto"/>
                <w:sz w:val="18"/>
                <w:szCs w:val="18"/>
              </w:rPr>
            </w:pPr>
            <w:r>
              <w:rPr>
                <w:rFonts w:hint="eastAsia" w:ascii="宋体" w:hAnsi="宋体"/>
                <w:color w:val="auto"/>
                <w:sz w:val="18"/>
                <w:szCs w:val="18"/>
              </w:rPr>
              <w:t>8</w:t>
            </w:r>
          </w:p>
        </w:tc>
        <w:tc>
          <w:tcPr>
            <w:tcW w:w="1113" w:type="dxa"/>
            <w:vAlign w:val="center"/>
          </w:tcPr>
          <w:p>
            <w:pPr>
              <w:rPr>
                <w:rFonts w:hint="eastAsia" w:ascii="宋体" w:hAnsi="宋体"/>
                <w:color w:val="auto"/>
                <w:sz w:val="18"/>
                <w:szCs w:val="18"/>
              </w:rPr>
            </w:pPr>
            <w:r>
              <w:rPr>
                <w:rFonts w:hint="eastAsia" w:ascii="宋体" w:hAnsi="宋体"/>
                <w:color w:val="auto"/>
                <w:sz w:val="18"/>
                <w:szCs w:val="18"/>
              </w:rPr>
              <w:t>合理化建议</w:t>
            </w:r>
          </w:p>
          <w:p>
            <w:pPr>
              <w:rPr>
                <w:rFonts w:hint="eastAsia" w:ascii="宋体" w:hAnsi="宋体"/>
                <w:color w:val="auto"/>
                <w:sz w:val="18"/>
                <w:szCs w:val="18"/>
              </w:rPr>
            </w:pPr>
            <w:r>
              <w:rPr>
                <w:rFonts w:hint="eastAsia" w:ascii="宋体" w:hAnsi="宋体"/>
                <w:color w:val="auto"/>
                <w:sz w:val="18"/>
                <w:szCs w:val="18"/>
              </w:rPr>
              <w:t>（10分）</w:t>
            </w:r>
          </w:p>
        </w:tc>
        <w:tc>
          <w:tcPr>
            <w:tcW w:w="5685" w:type="dxa"/>
            <w:gridSpan w:val="2"/>
            <w:vAlign w:val="center"/>
          </w:tcPr>
          <w:p>
            <w:pPr>
              <w:rPr>
                <w:rFonts w:hint="eastAsia" w:ascii="宋体" w:hAnsi="宋体"/>
                <w:color w:val="auto"/>
                <w:sz w:val="18"/>
                <w:szCs w:val="18"/>
              </w:rPr>
            </w:pPr>
            <w:r>
              <w:rPr>
                <w:rFonts w:hint="eastAsia" w:ascii="宋体" w:hAnsi="宋体"/>
                <w:color w:val="auto"/>
                <w:sz w:val="18"/>
                <w:szCs w:val="18"/>
                <w:lang w:eastAsia="zh-CN"/>
              </w:rPr>
              <w:t>具</w:t>
            </w:r>
            <w:r>
              <w:rPr>
                <w:rFonts w:hint="eastAsia" w:ascii="宋体" w:hAnsi="宋体"/>
                <w:color w:val="auto"/>
                <w:sz w:val="18"/>
                <w:szCs w:val="18"/>
              </w:rPr>
              <w:t>有针对性</w:t>
            </w:r>
            <w:r>
              <w:rPr>
                <w:rFonts w:hint="eastAsia" w:ascii="宋体" w:hAnsi="宋体"/>
                <w:color w:val="auto"/>
                <w:sz w:val="18"/>
                <w:szCs w:val="18"/>
                <w:lang w:eastAsia="zh-CN"/>
              </w:rPr>
              <w:t>并切实可行的合理化建议</w:t>
            </w:r>
            <w:r>
              <w:rPr>
                <w:rFonts w:hint="eastAsia" w:ascii="宋体" w:hAnsi="宋体"/>
                <w:color w:val="auto"/>
                <w:sz w:val="18"/>
                <w:szCs w:val="18"/>
              </w:rPr>
              <w:t>，最多计10分。</w:t>
            </w:r>
          </w:p>
        </w:tc>
        <w:tc>
          <w:tcPr>
            <w:tcW w:w="806" w:type="dxa"/>
            <w:gridSpan w:val="2"/>
            <w:vAlign w:val="center"/>
          </w:tcPr>
          <w:p>
            <w:pPr>
              <w:pStyle w:val="255"/>
              <w:spacing w:after="120"/>
              <w:ind w:firstLine="440"/>
              <w:jc w:val="center"/>
              <w:rPr>
                <w:color w:val="auto"/>
                <w:sz w:val="18"/>
                <w:szCs w:val="18"/>
              </w:rPr>
            </w:pPr>
          </w:p>
        </w:tc>
        <w:tc>
          <w:tcPr>
            <w:tcW w:w="818" w:type="dxa"/>
            <w:vAlign w:val="center"/>
          </w:tcPr>
          <w:p>
            <w:pPr>
              <w:pStyle w:val="255"/>
              <w:spacing w:after="120"/>
              <w:ind w:firstLine="440"/>
              <w:jc w:val="center"/>
              <w:rPr>
                <w:color w:val="auto"/>
                <w:sz w:val="18"/>
                <w:szCs w:val="18"/>
              </w:rPr>
            </w:pPr>
          </w:p>
        </w:tc>
        <w:tc>
          <w:tcPr>
            <w:tcW w:w="796" w:type="dxa"/>
            <w:gridSpan w:val="3"/>
            <w:vAlign w:val="center"/>
          </w:tcPr>
          <w:p>
            <w:pPr>
              <w:pStyle w:val="255"/>
              <w:spacing w:after="120"/>
              <w:ind w:firstLine="44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exact"/>
          <w:jc w:val="center"/>
        </w:trPr>
        <w:tc>
          <w:tcPr>
            <w:tcW w:w="7525" w:type="dxa"/>
            <w:gridSpan w:val="4"/>
            <w:vAlign w:val="center"/>
          </w:tcPr>
          <w:p>
            <w:pPr>
              <w:pStyle w:val="255"/>
              <w:spacing w:after="120"/>
              <w:ind w:firstLine="442"/>
              <w:jc w:val="center"/>
              <w:rPr>
                <w:b/>
                <w:color w:val="auto"/>
                <w:sz w:val="18"/>
                <w:szCs w:val="18"/>
              </w:rPr>
            </w:pPr>
            <w:r>
              <w:rPr>
                <w:rFonts w:hint="eastAsia"/>
                <w:b/>
                <w:color w:val="auto"/>
                <w:sz w:val="18"/>
                <w:szCs w:val="18"/>
              </w:rPr>
              <w:t>得分合计</w:t>
            </w:r>
          </w:p>
        </w:tc>
        <w:tc>
          <w:tcPr>
            <w:tcW w:w="806" w:type="dxa"/>
            <w:gridSpan w:val="2"/>
            <w:vAlign w:val="center"/>
          </w:tcPr>
          <w:p>
            <w:pPr>
              <w:pStyle w:val="255"/>
              <w:spacing w:after="120"/>
              <w:ind w:firstLine="440"/>
              <w:jc w:val="center"/>
              <w:rPr>
                <w:color w:val="auto"/>
                <w:sz w:val="18"/>
                <w:szCs w:val="18"/>
              </w:rPr>
            </w:pPr>
          </w:p>
        </w:tc>
        <w:tc>
          <w:tcPr>
            <w:tcW w:w="818" w:type="dxa"/>
            <w:vAlign w:val="center"/>
          </w:tcPr>
          <w:p>
            <w:pPr>
              <w:pStyle w:val="255"/>
              <w:spacing w:after="120"/>
              <w:ind w:firstLine="440"/>
              <w:jc w:val="center"/>
              <w:rPr>
                <w:color w:val="auto"/>
                <w:sz w:val="18"/>
                <w:szCs w:val="18"/>
              </w:rPr>
            </w:pPr>
          </w:p>
        </w:tc>
        <w:tc>
          <w:tcPr>
            <w:tcW w:w="796" w:type="dxa"/>
            <w:gridSpan w:val="3"/>
            <w:vAlign w:val="center"/>
          </w:tcPr>
          <w:p>
            <w:pPr>
              <w:pStyle w:val="255"/>
              <w:spacing w:after="120"/>
              <w:ind w:firstLine="440"/>
              <w:jc w:val="center"/>
              <w:rPr>
                <w:color w:val="auto"/>
                <w:sz w:val="18"/>
                <w:szCs w:val="18"/>
              </w:rPr>
            </w:pPr>
          </w:p>
        </w:tc>
      </w:tr>
    </w:tbl>
    <w:p>
      <w:pPr>
        <w:rPr>
          <w:rFonts w:hint="eastAsia" w:ascii="宋体" w:hAnsi="宋体" w:cs="宋体"/>
          <w:color w:val="auto"/>
        </w:rPr>
      </w:pPr>
    </w:p>
    <w:p>
      <w:pPr>
        <w:rPr>
          <w:rFonts w:hint="eastAsia" w:ascii="宋体" w:hAnsi="宋体" w:cs="宋体"/>
          <w:color w:val="auto"/>
          <w:sz w:val="18"/>
          <w:szCs w:val="18"/>
        </w:rPr>
      </w:pPr>
      <w:r>
        <w:rPr>
          <w:rFonts w:hint="eastAsia" w:ascii="宋体" w:hAnsi="宋体" w:cs="宋体"/>
          <w:color w:val="auto"/>
          <w:sz w:val="18"/>
          <w:szCs w:val="18"/>
        </w:rPr>
        <w:t>注：1、承包人设计方案基本分100分。评委评分须在每项分值以内的方为有效评分。</w:t>
      </w:r>
    </w:p>
    <w:p>
      <w:pPr>
        <w:ind w:firstLine="360" w:firstLineChars="200"/>
        <w:rPr>
          <w:rFonts w:hint="eastAsia" w:ascii="宋体" w:hAnsi="宋体" w:cs="宋体"/>
          <w:color w:val="auto"/>
          <w:sz w:val="18"/>
          <w:szCs w:val="18"/>
        </w:rPr>
      </w:pPr>
      <w:r>
        <w:rPr>
          <w:rFonts w:hint="eastAsia" w:ascii="宋体" w:hAnsi="宋体" w:cs="宋体"/>
          <w:color w:val="auto"/>
          <w:sz w:val="18"/>
          <w:szCs w:val="18"/>
        </w:rPr>
        <w:t>2、承包人设计方案为评委单独计分，承包人设计方案最终得分为评标委员会成员个人评审计分的算术平均值。</w:t>
      </w:r>
    </w:p>
    <w:p>
      <w:pPr>
        <w:ind w:firstLine="315" w:firstLineChars="150"/>
        <w:rPr>
          <w:rFonts w:hint="eastAsia" w:ascii="宋体" w:hAnsi="宋体" w:cs="宋体"/>
          <w:color w:val="auto"/>
          <w:szCs w:val="21"/>
        </w:rPr>
      </w:pPr>
    </w:p>
    <w:p>
      <w:pPr>
        <w:ind w:firstLine="360" w:firstLineChars="200"/>
        <w:rPr>
          <w:rFonts w:hint="eastAsia" w:ascii="宋体" w:hAnsi="宋体" w:cs="宋体"/>
          <w:color w:val="auto"/>
          <w:sz w:val="18"/>
          <w:szCs w:val="18"/>
        </w:rPr>
      </w:pPr>
      <w:r>
        <w:rPr>
          <w:rFonts w:hint="eastAsia" w:ascii="宋体" w:hAnsi="宋体" w:cs="宋体"/>
          <w:color w:val="auto"/>
          <w:sz w:val="18"/>
          <w:szCs w:val="18"/>
        </w:rPr>
        <w:t>评委签字：</w:t>
      </w:r>
      <w:r>
        <w:rPr>
          <w:rFonts w:hint="eastAsia" w:ascii="宋体" w:hAnsi="宋体" w:cs="宋体"/>
          <w:b/>
          <w:bCs/>
          <w:color w:val="auto"/>
        </w:rPr>
        <w:br w:type="page"/>
      </w:r>
      <w:r>
        <w:rPr>
          <w:rFonts w:hint="eastAsia" w:ascii="宋体" w:hAnsi="宋体" w:cs="宋体"/>
          <w:b/>
          <w:bCs/>
          <w:color w:val="auto"/>
        </w:rPr>
        <w:t>附表3-6：承包人实施方案评审计分表</w:t>
      </w:r>
    </w:p>
    <w:p>
      <w:pPr>
        <w:adjustRightInd w:val="0"/>
        <w:snapToGrid w:val="0"/>
        <w:spacing w:line="360" w:lineRule="auto"/>
        <w:jc w:val="center"/>
        <w:outlineLvl w:val="3"/>
        <w:rPr>
          <w:rFonts w:hint="eastAsia" w:ascii="宋体" w:hAnsi="宋体" w:cs="宋体"/>
          <w:b/>
          <w:color w:val="auto"/>
          <w:sz w:val="24"/>
        </w:rPr>
      </w:pPr>
      <w:r>
        <w:rPr>
          <w:rFonts w:hint="eastAsia" w:ascii="宋体" w:hAnsi="宋体" w:cs="宋体"/>
          <w:b/>
          <w:color w:val="auto"/>
          <w:sz w:val="24"/>
        </w:rPr>
        <w:t>承包人实施方案评审表（权数：0.2</w:t>
      </w:r>
      <w:r>
        <w:rPr>
          <w:rFonts w:hint="eastAsia" w:ascii="宋体" w:hAnsi="宋体" w:cs="宋体"/>
          <w:b/>
          <w:color w:val="auto"/>
          <w:sz w:val="24"/>
          <w:lang w:val="en-US" w:eastAsia="zh-CN"/>
        </w:rPr>
        <w:t>5</w:t>
      </w:r>
      <w:r>
        <w:rPr>
          <w:rFonts w:hint="eastAsia" w:ascii="宋体" w:hAnsi="宋体" w:cs="宋体"/>
          <w:b/>
          <w:color w:val="auto"/>
          <w:sz w:val="24"/>
        </w:rPr>
        <w:t>）</w:t>
      </w:r>
    </w:p>
    <w:tbl>
      <w:tblPr>
        <w:tblStyle w:val="67"/>
        <w:tblW w:w="890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2614"/>
        <w:gridCol w:w="2849"/>
        <w:gridCol w:w="922"/>
        <w:gridCol w:w="636"/>
        <w:gridCol w:w="645"/>
        <w:gridCol w:w="9"/>
        <w:gridCol w:w="5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6" w:hRule="exact"/>
          <w:jc w:val="center"/>
        </w:trPr>
        <w:tc>
          <w:tcPr>
            <w:tcW w:w="704" w:type="dxa"/>
            <w:vMerge w:val="restart"/>
            <w:tcBorders>
              <w:top w:val="single" w:color="auto" w:sz="12" w:space="0"/>
              <w:left w:val="single" w:color="auto" w:sz="12"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序号</w:t>
            </w:r>
          </w:p>
        </w:tc>
        <w:tc>
          <w:tcPr>
            <w:tcW w:w="2614" w:type="dxa"/>
            <w:vMerge w:val="restart"/>
            <w:tcBorders>
              <w:top w:val="single" w:color="auto" w:sz="12" w:space="0"/>
              <w:left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项  目</w:t>
            </w:r>
          </w:p>
        </w:tc>
        <w:tc>
          <w:tcPr>
            <w:tcW w:w="3771" w:type="dxa"/>
            <w:gridSpan w:val="2"/>
            <w:vMerge w:val="restart"/>
            <w:tcBorders>
              <w:top w:val="single" w:color="auto" w:sz="12" w:space="0"/>
              <w:left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评   审  标   准</w:t>
            </w:r>
          </w:p>
        </w:tc>
        <w:tc>
          <w:tcPr>
            <w:tcW w:w="1815" w:type="dxa"/>
            <w:gridSpan w:val="4"/>
            <w:tcBorders>
              <w:top w:val="single" w:color="auto" w:sz="12" w:space="0"/>
              <w:left w:val="single" w:color="auto" w:sz="8" w:space="0"/>
              <w:bottom w:val="single" w:color="auto" w:sz="4" w:space="0"/>
              <w:right w:val="single" w:color="auto" w:sz="12" w:space="0"/>
            </w:tcBorders>
            <w:vAlign w:val="center"/>
          </w:tcPr>
          <w:p>
            <w:pPr>
              <w:jc w:val="center"/>
              <w:rPr>
                <w:rFonts w:hint="eastAsia" w:ascii="宋体" w:hAnsi="宋体" w:cs="宋体"/>
                <w:color w:val="auto"/>
                <w:sz w:val="18"/>
                <w:szCs w:val="21"/>
              </w:rPr>
            </w:pPr>
            <w:r>
              <w:rPr>
                <w:rFonts w:hint="eastAsia" w:ascii="宋体" w:hAnsi="宋体" w:cs="宋体"/>
                <w:color w:val="auto"/>
                <w:sz w:val="18"/>
              </w:rPr>
              <w:t>投标人名称及评审意见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3" w:hRule="exact"/>
          <w:jc w:val="center"/>
        </w:trPr>
        <w:tc>
          <w:tcPr>
            <w:tcW w:w="704" w:type="dxa"/>
            <w:vMerge w:val="continue"/>
            <w:tcBorders>
              <w:left w:val="single" w:color="auto" w:sz="12" w:space="0"/>
              <w:bottom w:val="single" w:color="auto" w:sz="8" w:space="0"/>
              <w:right w:val="single" w:color="auto" w:sz="8" w:space="0"/>
            </w:tcBorders>
            <w:vAlign w:val="center"/>
          </w:tcPr>
          <w:p>
            <w:pPr>
              <w:jc w:val="center"/>
              <w:rPr>
                <w:rFonts w:hint="eastAsia" w:ascii="宋体" w:hAnsi="宋体" w:cs="宋体"/>
                <w:color w:val="auto"/>
                <w:sz w:val="18"/>
                <w:szCs w:val="21"/>
              </w:rPr>
            </w:pPr>
          </w:p>
        </w:tc>
        <w:tc>
          <w:tcPr>
            <w:tcW w:w="2614" w:type="dxa"/>
            <w:vMerge w:val="continue"/>
            <w:tcBorders>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p>
        </w:tc>
        <w:tc>
          <w:tcPr>
            <w:tcW w:w="3771" w:type="dxa"/>
            <w:gridSpan w:val="2"/>
            <w:vMerge w:val="continue"/>
            <w:tcBorders>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p>
        </w:tc>
        <w:tc>
          <w:tcPr>
            <w:tcW w:w="636" w:type="dxa"/>
            <w:tcBorders>
              <w:top w:val="single" w:color="auto" w:sz="4" w:space="0"/>
              <w:left w:val="single" w:color="auto" w:sz="8" w:space="0"/>
              <w:bottom w:val="single" w:color="auto" w:sz="8" w:space="0"/>
              <w:right w:val="single" w:color="auto" w:sz="4" w:space="0"/>
            </w:tcBorders>
            <w:vAlign w:val="center"/>
          </w:tcPr>
          <w:p>
            <w:pPr>
              <w:jc w:val="center"/>
              <w:rPr>
                <w:rFonts w:hint="eastAsia" w:ascii="宋体" w:hAnsi="宋体" w:cs="宋体"/>
                <w:color w:val="auto"/>
                <w:sz w:val="18"/>
                <w:szCs w:val="21"/>
              </w:rPr>
            </w:pPr>
          </w:p>
        </w:tc>
        <w:tc>
          <w:tcPr>
            <w:tcW w:w="654" w:type="dxa"/>
            <w:gridSpan w:val="2"/>
            <w:tcBorders>
              <w:top w:val="single" w:color="auto" w:sz="4" w:space="0"/>
              <w:left w:val="single" w:color="auto" w:sz="4" w:space="0"/>
              <w:bottom w:val="single" w:color="auto" w:sz="8" w:space="0"/>
              <w:right w:val="single" w:color="auto" w:sz="4" w:space="0"/>
            </w:tcBorders>
            <w:vAlign w:val="center"/>
          </w:tcPr>
          <w:p>
            <w:pPr>
              <w:jc w:val="center"/>
              <w:rPr>
                <w:rFonts w:hint="eastAsia" w:ascii="宋体" w:hAnsi="宋体" w:cs="宋体"/>
                <w:color w:val="auto"/>
                <w:sz w:val="18"/>
                <w:szCs w:val="21"/>
              </w:rPr>
            </w:pPr>
          </w:p>
        </w:tc>
        <w:tc>
          <w:tcPr>
            <w:tcW w:w="525" w:type="dxa"/>
            <w:tcBorders>
              <w:top w:val="single" w:color="auto" w:sz="4" w:space="0"/>
              <w:left w:val="single" w:color="auto" w:sz="4" w:space="0"/>
              <w:bottom w:val="single" w:color="auto" w:sz="8" w:space="0"/>
              <w:right w:val="single" w:color="auto" w:sz="12" w:space="0"/>
            </w:tcBorders>
            <w:vAlign w:val="center"/>
          </w:tcPr>
          <w:p>
            <w:pPr>
              <w:jc w:val="center"/>
              <w:rPr>
                <w:rFonts w:hint="eastAsia" w:ascii="宋体" w:hAnsi="宋体" w:cs="宋体"/>
                <w:color w:val="auto"/>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exact"/>
          <w:jc w:val="center"/>
        </w:trPr>
        <w:tc>
          <w:tcPr>
            <w:tcW w:w="704" w:type="dxa"/>
            <w:vMerge w:val="restart"/>
            <w:tcBorders>
              <w:top w:val="single" w:color="auto" w:sz="8" w:space="0"/>
              <w:left w:val="single" w:color="auto" w:sz="12"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1</w:t>
            </w:r>
          </w:p>
        </w:tc>
        <w:tc>
          <w:tcPr>
            <w:tcW w:w="2614"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项目概述及特点分析</w:t>
            </w:r>
          </w:p>
        </w:tc>
        <w:tc>
          <w:tcPr>
            <w:tcW w:w="284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了解项目情况、分析科学到位</w:t>
            </w:r>
          </w:p>
        </w:tc>
        <w:tc>
          <w:tcPr>
            <w:tcW w:w="92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10</w:t>
            </w:r>
          </w:p>
        </w:tc>
        <w:tc>
          <w:tcPr>
            <w:tcW w:w="636" w:type="dxa"/>
            <w:vMerge w:val="restart"/>
            <w:tcBorders>
              <w:top w:val="single" w:color="auto" w:sz="8" w:space="0"/>
              <w:left w:val="single" w:color="auto" w:sz="8" w:space="0"/>
              <w:right w:val="single" w:color="auto" w:sz="4" w:space="0"/>
            </w:tcBorders>
            <w:vAlign w:val="center"/>
          </w:tcPr>
          <w:p>
            <w:pPr>
              <w:jc w:val="center"/>
              <w:rPr>
                <w:rFonts w:hint="eastAsia" w:ascii="宋体" w:hAnsi="宋体" w:cs="宋体"/>
                <w:color w:val="auto"/>
                <w:sz w:val="18"/>
                <w:szCs w:val="21"/>
              </w:rPr>
            </w:pPr>
          </w:p>
        </w:tc>
        <w:tc>
          <w:tcPr>
            <w:tcW w:w="645" w:type="dxa"/>
            <w:vMerge w:val="restart"/>
            <w:tcBorders>
              <w:top w:val="single" w:color="auto" w:sz="8" w:space="0"/>
              <w:left w:val="single" w:color="auto" w:sz="4" w:space="0"/>
              <w:right w:val="single" w:color="auto" w:sz="4" w:space="0"/>
            </w:tcBorders>
            <w:vAlign w:val="center"/>
          </w:tcPr>
          <w:p>
            <w:pPr>
              <w:jc w:val="center"/>
              <w:rPr>
                <w:rFonts w:hint="eastAsia" w:ascii="宋体" w:hAnsi="宋体" w:cs="宋体"/>
                <w:color w:val="auto"/>
                <w:sz w:val="18"/>
                <w:szCs w:val="21"/>
              </w:rPr>
            </w:pPr>
          </w:p>
        </w:tc>
        <w:tc>
          <w:tcPr>
            <w:tcW w:w="534" w:type="dxa"/>
            <w:gridSpan w:val="2"/>
            <w:vMerge w:val="restart"/>
            <w:tcBorders>
              <w:top w:val="single" w:color="auto" w:sz="8" w:space="0"/>
              <w:left w:val="single" w:color="auto" w:sz="4" w:space="0"/>
              <w:right w:val="single" w:color="auto" w:sz="12" w:space="0"/>
            </w:tcBorders>
            <w:vAlign w:val="center"/>
          </w:tcPr>
          <w:p>
            <w:pPr>
              <w:jc w:val="center"/>
              <w:rPr>
                <w:rFonts w:hint="eastAsia" w:ascii="宋体" w:hAnsi="宋体" w:cs="宋体"/>
                <w:color w:val="auto"/>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exact"/>
          <w:jc w:val="center"/>
        </w:trPr>
        <w:tc>
          <w:tcPr>
            <w:tcW w:w="704" w:type="dxa"/>
            <w:vMerge w:val="continue"/>
            <w:tcBorders>
              <w:top w:val="single" w:color="auto" w:sz="8" w:space="0"/>
              <w:left w:val="single" w:color="auto" w:sz="12" w:space="0"/>
              <w:bottom w:val="single" w:color="auto" w:sz="8" w:space="0"/>
              <w:right w:val="single" w:color="auto" w:sz="8" w:space="0"/>
            </w:tcBorders>
            <w:vAlign w:val="center"/>
          </w:tcPr>
          <w:p>
            <w:pPr>
              <w:widowControl/>
              <w:jc w:val="left"/>
              <w:rPr>
                <w:rFonts w:hint="eastAsia" w:ascii="宋体" w:hAnsi="宋体" w:cs="宋体"/>
                <w:color w:val="auto"/>
                <w:sz w:val="18"/>
                <w:szCs w:val="21"/>
              </w:rPr>
            </w:pPr>
          </w:p>
        </w:tc>
        <w:tc>
          <w:tcPr>
            <w:tcW w:w="261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cs="宋体"/>
                <w:color w:val="auto"/>
                <w:sz w:val="18"/>
                <w:szCs w:val="21"/>
              </w:rPr>
            </w:pPr>
          </w:p>
        </w:tc>
        <w:tc>
          <w:tcPr>
            <w:tcW w:w="284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对项目情况了解、分析不足</w:t>
            </w:r>
          </w:p>
        </w:tc>
        <w:tc>
          <w:tcPr>
            <w:tcW w:w="92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5</w:t>
            </w:r>
          </w:p>
        </w:tc>
        <w:tc>
          <w:tcPr>
            <w:tcW w:w="636" w:type="dxa"/>
            <w:vMerge w:val="continue"/>
            <w:tcBorders>
              <w:left w:val="single" w:color="auto" w:sz="8" w:space="0"/>
              <w:bottom w:val="single" w:color="auto" w:sz="8" w:space="0"/>
              <w:right w:val="single" w:color="auto" w:sz="4" w:space="0"/>
            </w:tcBorders>
            <w:vAlign w:val="center"/>
          </w:tcPr>
          <w:p>
            <w:pPr>
              <w:widowControl/>
              <w:jc w:val="left"/>
              <w:rPr>
                <w:rFonts w:hint="eastAsia" w:ascii="宋体" w:hAnsi="宋体" w:cs="宋体"/>
                <w:color w:val="auto"/>
                <w:sz w:val="18"/>
                <w:szCs w:val="21"/>
              </w:rPr>
            </w:pPr>
          </w:p>
        </w:tc>
        <w:tc>
          <w:tcPr>
            <w:tcW w:w="645" w:type="dxa"/>
            <w:vMerge w:val="continue"/>
            <w:tcBorders>
              <w:left w:val="single" w:color="auto" w:sz="4" w:space="0"/>
              <w:bottom w:val="single" w:color="auto" w:sz="8" w:space="0"/>
              <w:right w:val="single" w:color="auto" w:sz="4" w:space="0"/>
            </w:tcBorders>
            <w:vAlign w:val="center"/>
          </w:tcPr>
          <w:p>
            <w:pPr>
              <w:widowControl/>
              <w:jc w:val="left"/>
              <w:rPr>
                <w:rFonts w:hint="eastAsia" w:ascii="宋体" w:hAnsi="宋体" w:cs="宋体"/>
                <w:color w:val="auto"/>
                <w:sz w:val="18"/>
                <w:szCs w:val="21"/>
              </w:rPr>
            </w:pPr>
          </w:p>
        </w:tc>
        <w:tc>
          <w:tcPr>
            <w:tcW w:w="534" w:type="dxa"/>
            <w:gridSpan w:val="2"/>
            <w:vMerge w:val="continue"/>
            <w:tcBorders>
              <w:left w:val="single" w:color="auto" w:sz="4" w:space="0"/>
              <w:bottom w:val="single" w:color="auto" w:sz="8" w:space="0"/>
              <w:right w:val="single" w:color="auto" w:sz="12" w:space="0"/>
            </w:tcBorders>
            <w:vAlign w:val="center"/>
          </w:tcPr>
          <w:p>
            <w:pPr>
              <w:widowControl/>
              <w:jc w:val="left"/>
              <w:rPr>
                <w:rFonts w:hint="eastAsia" w:ascii="宋体" w:hAnsi="宋体" w:cs="宋体"/>
                <w:color w:val="auto"/>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26" w:hRule="exact"/>
          <w:jc w:val="center"/>
        </w:trPr>
        <w:tc>
          <w:tcPr>
            <w:tcW w:w="704" w:type="dxa"/>
            <w:vMerge w:val="restart"/>
            <w:tcBorders>
              <w:top w:val="single" w:color="auto" w:sz="8" w:space="0"/>
              <w:left w:val="single" w:color="auto" w:sz="12"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2</w:t>
            </w:r>
          </w:p>
        </w:tc>
        <w:tc>
          <w:tcPr>
            <w:tcW w:w="2614" w:type="dxa"/>
            <w:vMerge w:val="restart"/>
            <w:tcBorders>
              <w:top w:val="single" w:color="auto" w:sz="8" w:space="0"/>
              <w:left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总体实施方案</w:t>
            </w:r>
          </w:p>
        </w:tc>
        <w:tc>
          <w:tcPr>
            <w:tcW w:w="284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方案设计好、针对性强、计划完善、划分合理、方案新颖</w:t>
            </w:r>
          </w:p>
        </w:tc>
        <w:tc>
          <w:tcPr>
            <w:tcW w:w="92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30</w:t>
            </w:r>
          </w:p>
        </w:tc>
        <w:tc>
          <w:tcPr>
            <w:tcW w:w="636" w:type="dxa"/>
            <w:vMerge w:val="restart"/>
            <w:tcBorders>
              <w:top w:val="single" w:color="auto" w:sz="8" w:space="0"/>
              <w:left w:val="single" w:color="auto" w:sz="8" w:space="0"/>
              <w:right w:val="single" w:color="auto" w:sz="4" w:space="0"/>
            </w:tcBorders>
            <w:vAlign w:val="center"/>
          </w:tcPr>
          <w:p>
            <w:pPr>
              <w:jc w:val="center"/>
              <w:rPr>
                <w:rFonts w:hint="eastAsia" w:ascii="宋体" w:hAnsi="宋体" w:cs="宋体"/>
                <w:color w:val="auto"/>
                <w:sz w:val="18"/>
                <w:szCs w:val="21"/>
              </w:rPr>
            </w:pPr>
          </w:p>
        </w:tc>
        <w:tc>
          <w:tcPr>
            <w:tcW w:w="645" w:type="dxa"/>
            <w:vMerge w:val="restart"/>
            <w:tcBorders>
              <w:top w:val="single" w:color="auto" w:sz="8" w:space="0"/>
              <w:left w:val="single" w:color="auto" w:sz="4" w:space="0"/>
              <w:right w:val="single" w:color="auto" w:sz="4" w:space="0"/>
            </w:tcBorders>
            <w:vAlign w:val="center"/>
          </w:tcPr>
          <w:p>
            <w:pPr>
              <w:jc w:val="center"/>
              <w:rPr>
                <w:rFonts w:hint="eastAsia" w:ascii="宋体" w:hAnsi="宋体" w:cs="宋体"/>
                <w:color w:val="auto"/>
                <w:sz w:val="18"/>
                <w:szCs w:val="21"/>
              </w:rPr>
            </w:pPr>
          </w:p>
        </w:tc>
        <w:tc>
          <w:tcPr>
            <w:tcW w:w="534" w:type="dxa"/>
            <w:gridSpan w:val="2"/>
            <w:vMerge w:val="restart"/>
            <w:tcBorders>
              <w:top w:val="single" w:color="auto" w:sz="8" w:space="0"/>
              <w:left w:val="single" w:color="auto" w:sz="4" w:space="0"/>
              <w:right w:val="single" w:color="auto" w:sz="12" w:space="0"/>
            </w:tcBorders>
            <w:vAlign w:val="center"/>
          </w:tcPr>
          <w:p>
            <w:pPr>
              <w:jc w:val="center"/>
              <w:rPr>
                <w:rFonts w:hint="eastAsia" w:ascii="宋体" w:hAnsi="宋体" w:cs="宋体"/>
                <w:color w:val="auto"/>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92" w:hRule="exact"/>
          <w:jc w:val="center"/>
        </w:trPr>
        <w:tc>
          <w:tcPr>
            <w:tcW w:w="704" w:type="dxa"/>
            <w:vMerge w:val="continue"/>
            <w:tcBorders>
              <w:left w:val="single" w:color="auto" w:sz="12" w:space="0"/>
              <w:right w:val="single" w:color="auto" w:sz="8" w:space="0"/>
            </w:tcBorders>
            <w:vAlign w:val="center"/>
          </w:tcPr>
          <w:p>
            <w:pPr>
              <w:widowControl/>
              <w:jc w:val="left"/>
              <w:rPr>
                <w:rFonts w:hint="eastAsia" w:ascii="宋体" w:hAnsi="宋体" w:cs="宋体"/>
                <w:color w:val="auto"/>
                <w:sz w:val="18"/>
                <w:szCs w:val="21"/>
              </w:rPr>
            </w:pPr>
          </w:p>
        </w:tc>
        <w:tc>
          <w:tcPr>
            <w:tcW w:w="2614" w:type="dxa"/>
            <w:vMerge w:val="continue"/>
            <w:tcBorders>
              <w:left w:val="single" w:color="auto" w:sz="8" w:space="0"/>
              <w:right w:val="single" w:color="auto" w:sz="8" w:space="0"/>
            </w:tcBorders>
            <w:vAlign w:val="center"/>
          </w:tcPr>
          <w:p>
            <w:pPr>
              <w:widowControl/>
              <w:jc w:val="left"/>
              <w:rPr>
                <w:rFonts w:hint="eastAsia" w:ascii="宋体" w:hAnsi="宋体" w:cs="宋体"/>
                <w:color w:val="auto"/>
                <w:sz w:val="18"/>
                <w:szCs w:val="21"/>
              </w:rPr>
            </w:pPr>
          </w:p>
        </w:tc>
        <w:tc>
          <w:tcPr>
            <w:tcW w:w="284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方案设计可行、较有针对性、计划较完善、划分较合理、方案较新颖</w:t>
            </w:r>
          </w:p>
        </w:tc>
        <w:tc>
          <w:tcPr>
            <w:tcW w:w="92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25</w:t>
            </w:r>
          </w:p>
        </w:tc>
        <w:tc>
          <w:tcPr>
            <w:tcW w:w="636" w:type="dxa"/>
            <w:vMerge w:val="continue"/>
            <w:tcBorders>
              <w:left w:val="single" w:color="auto" w:sz="8" w:space="0"/>
              <w:right w:val="single" w:color="auto" w:sz="4" w:space="0"/>
            </w:tcBorders>
            <w:vAlign w:val="center"/>
          </w:tcPr>
          <w:p>
            <w:pPr>
              <w:widowControl/>
              <w:jc w:val="left"/>
              <w:rPr>
                <w:rFonts w:hint="eastAsia" w:ascii="宋体" w:hAnsi="宋体" w:cs="宋体"/>
                <w:color w:val="auto"/>
                <w:sz w:val="18"/>
                <w:szCs w:val="21"/>
              </w:rPr>
            </w:pPr>
          </w:p>
        </w:tc>
        <w:tc>
          <w:tcPr>
            <w:tcW w:w="645" w:type="dxa"/>
            <w:vMerge w:val="continue"/>
            <w:tcBorders>
              <w:left w:val="single" w:color="auto" w:sz="4" w:space="0"/>
              <w:right w:val="single" w:color="auto" w:sz="4" w:space="0"/>
            </w:tcBorders>
            <w:vAlign w:val="center"/>
          </w:tcPr>
          <w:p>
            <w:pPr>
              <w:widowControl/>
              <w:jc w:val="left"/>
              <w:rPr>
                <w:rFonts w:hint="eastAsia" w:ascii="宋体" w:hAnsi="宋体" w:cs="宋体"/>
                <w:color w:val="auto"/>
                <w:sz w:val="18"/>
                <w:szCs w:val="21"/>
              </w:rPr>
            </w:pPr>
          </w:p>
        </w:tc>
        <w:tc>
          <w:tcPr>
            <w:tcW w:w="534" w:type="dxa"/>
            <w:gridSpan w:val="2"/>
            <w:vMerge w:val="continue"/>
            <w:tcBorders>
              <w:left w:val="single" w:color="auto" w:sz="4" w:space="0"/>
              <w:right w:val="single" w:color="auto" w:sz="12" w:space="0"/>
            </w:tcBorders>
            <w:vAlign w:val="center"/>
          </w:tcPr>
          <w:p>
            <w:pPr>
              <w:widowControl/>
              <w:jc w:val="left"/>
              <w:rPr>
                <w:rFonts w:hint="eastAsia" w:ascii="宋体" w:hAnsi="宋体" w:cs="宋体"/>
                <w:color w:val="auto"/>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4" w:hRule="exact"/>
          <w:jc w:val="center"/>
        </w:trPr>
        <w:tc>
          <w:tcPr>
            <w:tcW w:w="704" w:type="dxa"/>
            <w:vMerge w:val="continue"/>
            <w:tcBorders>
              <w:left w:val="single" w:color="auto" w:sz="12" w:space="0"/>
              <w:right w:val="single" w:color="auto" w:sz="8" w:space="0"/>
            </w:tcBorders>
            <w:vAlign w:val="center"/>
          </w:tcPr>
          <w:p>
            <w:pPr>
              <w:widowControl/>
              <w:jc w:val="left"/>
              <w:rPr>
                <w:rFonts w:hint="eastAsia" w:ascii="宋体" w:hAnsi="宋体" w:cs="宋体"/>
                <w:color w:val="auto"/>
                <w:sz w:val="18"/>
                <w:szCs w:val="21"/>
              </w:rPr>
            </w:pPr>
          </w:p>
        </w:tc>
        <w:tc>
          <w:tcPr>
            <w:tcW w:w="2614" w:type="dxa"/>
            <w:vMerge w:val="continue"/>
            <w:tcBorders>
              <w:left w:val="single" w:color="auto" w:sz="8" w:space="0"/>
              <w:right w:val="single" w:color="auto" w:sz="8" w:space="0"/>
            </w:tcBorders>
            <w:vAlign w:val="center"/>
          </w:tcPr>
          <w:p>
            <w:pPr>
              <w:widowControl/>
              <w:jc w:val="left"/>
              <w:rPr>
                <w:rFonts w:hint="eastAsia" w:ascii="宋体" w:hAnsi="宋体" w:cs="宋体"/>
                <w:color w:val="auto"/>
                <w:sz w:val="18"/>
                <w:szCs w:val="21"/>
              </w:rPr>
            </w:pPr>
          </w:p>
        </w:tc>
        <w:tc>
          <w:tcPr>
            <w:tcW w:w="284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方案设计一般、针对性一般、计划较欠完善、划分欠合理</w:t>
            </w:r>
          </w:p>
        </w:tc>
        <w:tc>
          <w:tcPr>
            <w:tcW w:w="92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20</w:t>
            </w:r>
          </w:p>
        </w:tc>
        <w:tc>
          <w:tcPr>
            <w:tcW w:w="636" w:type="dxa"/>
            <w:vMerge w:val="continue"/>
            <w:tcBorders>
              <w:left w:val="single" w:color="auto" w:sz="8" w:space="0"/>
              <w:right w:val="single" w:color="auto" w:sz="4" w:space="0"/>
            </w:tcBorders>
            <w:vAlign w:val="center"/>
          </w:tcPr>
          <w:p>
            <w:pPr>
              <w:widowControl/>
              <w:jc w:val="left"/>
              <w:rPr>
                <w:rFonts w:hint="eastAsia" w:ascii="宋体" w:hAnsi="宋体" w:cs="宋体"/>
                <w:color w:val="auto"/>
                <w:sz w:val="18"/>
                <w:szCs w:val="21"/>
              </w:rPr>
            </w:pPr>
          </w:p>
        </w:tc>
        <w:tc>
          <w:tcPr>
            <w:tcW w:w="645" w:type="dxa"/>
            <w:vMerge w:val="continue"/>
            <w:tcBorders>
              <w:left w:val="single" w:color="auto" w:sz="4" w:space="0"/>
              <w:right w:val="single" w:color="auto" w:sz="4" w:space="0"/>
            </w:tcBorders>
            <w:vAlign w:val="center"/>
          </w:tcPr>
          <w:p>
            <w:pPr>
              <w:widowControl/>
              <w:jc w:val="left"/>
              <w:rPr>
                <w:rFonts w:hint="eastAsia" w:ascii="宋体" w:hAnsi="宋体" w:cs="宋体"/>
                <w:color w:val="auto"/>
                <w:sz w:val="18"/>
                <w:szCs w:val="21"/>
              </w:rPr>
            </w:pPr>
          </w:p>
        </w:tc>
        <w:tc>
          <w:tcPr>
            <w:tcW w:w="534" w:type="dxa"/>
            <w:gridSpan w:val="2"/>
            <w:vMerge w:val="continue"/>
            <w:tcBorders>
              <w:left w:val="single" w:color="auto" w:sz="4" w:space="0"/>
              <w:right w:val="single" w:color="auto" w:sz="12" w:space="0"/>
            </w:tcBorders>
            <w:vAlign w:val="center"/>
          </w:tcPr>
          <w:p>
            <w:pPr>
              <w:widowControl/>
              <w:jc w:val="left"/>
              <w:rPr>
                <w:rFonts w:hint="eastAsia" w:ascii="宋体" w:hAnsi="宋体" w:cs="宋体"/>
                <w:color w:val="auto"/>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0" w:hRule="exact"/>
          <w:jc w:val="center"/>
        </w:trPr>
        <w:tc>
          <w:tcPr>
            <w:tcW w:w="704" w:type="dxa"/>
            <w:vMerge w:val="continue"/>
            <w:tcBorders>
              <w:left w:val="single" w:color="auto" w:sz="12" w:space="0"/>
              <w:right w:val="single" w:color="auto" w:sz="8" w:space="0"/>
            </w:tcBorders>
            <w:vAlign w:val="center"/>
          </w:tcPr>
          <w:p>
            <w:pPr>
              <w:widowControl/>
              <w:jc w:val="left"/>
              <w:rPr>
                <w:rFonts w:hint="eastAsia" w:ascii="宋体" w:hAnsi="宋体" w:cs="宋体"/>
                <w:color w:val="auto"/>
                <w:sz w:val="18"/>
                <w:szCs w:val="21"/>
              </w:rPr>
            </w:pPr>
          </w:p>
        </w:tc>
        <w:tc>
          <w:tcPr>
            <w:tcW w:w="2614" w:type="dxa"/>
            <w:vMerge w:val="continue"/>
            <w:tcBorders>
              <w:left w:val="single" w:color="auto" w:sz="8" w:space="0"/>
              <w:right w:val="single" w:color="auto" w:sz="8" w:space="0"/>
            </w:tcBorders>
            <w:vAlign w:val="center"/>
          </w:tcPr>
          <w:p>
            <w:pPr>
              <w:widowControl/>
              <w:jc w:val="left"/>
              <w:rPr>
                <w:rFonts w:hint="eastAsia" w:ascii="宋体" w:hAnsi="宋体" w:cs="宋体"/>
                <w:color w:val="auto"/>
                <w:sz w:val="18"/>
                <w:szCs w:val="21"/>
              </w:rPr>
            </w:pPr>
          </w:p>
        </w:tc>
        <w:tc>
          <w:tcPr>
            <w:tcW w:w="284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方案设计不好、针对性不强、计划较不完善、划分不合理</w:t>
            </w:r>
          </w:p>
        </w:tc>
        <w:tc>
          <w:tcPr>
            <w:tcW w:w="92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15</w:t>
            </w:r>
          </w:p>
        </w:tc>
        <w:tc>
          <w:tcPr>
            <w:tcW w:w="636" w:type="dxa"/>
            <w:vMerge w:val="continue"/>
            <w:tcBorders>
              <w:left w:val="single" w:color="auto" w:sz="8" w:space="0"/>
              <w:bottom w:val="single" w:color="auto" w:sz="8" w:space="0"/>
              <w:right w:val="single" w:color="auto" w:sz="4" w:space="0"/>
            </w:tcBorders>
            <w:vAlign w:val="center"/>
          </w:tcPr>
          <w:p>
            <w:pPr>
              <w:widowControl/>
              <w:jc w:val="left"/>
              <w:rPr>
                <w:rFonts w:hint="eastAsia" w:ascii="宋体" w:hAnsi="宋体" w:cs="宋体"/>
                <w:color w:val="auto"/>
                <w:sz w:val="18"/>
                <w:szCs w:val="21"/>
              </w:rPr>
            </w:pPr>
          </w:p>
        </w:tc>
        <w:tc>
          <w:tcPr>
            <w:tcW w:w="645" w:type="dxa"/>
            <w:vMerge w:val="continue"/>
            <w:tcBorders>
              <w:left w:val="single" w:color="auto" w:sz="4" w:space="0"/>
              <w:bottom w:val="single" w:color="auto" w:sz="8" w:space="0"/>
              <w:right w:val="single" w:color="auto" w:sz="4" w:space="0"/>
            </w:tcBorders>
            <w:vAlign w:val="center"/>
          </w:tcPr>
          <w:p>
            <w:pPr>
              <w:widowControl/>
              <w:jc w:val="left"/>
              <w:rPr>
                <w:rFonts w:hint="eastAsia" w:ascii="宋体" w:hAnsi="宋体" w:cs="宋体"/>
                <w:color w:val="auto"/>
                <w:sz w:val="18"/>
                <w:szCs w:val="21"/>
              </w:rPr>
            </w:pPr>
          </w:p>
        </w:tc>
        <w:tc>
          <w:tcPr>
            <w:tcW w:w="534" w:type="dxa"/>
            <w:gridSpan w:val="2"/>
            <w:vMerge w:val="continue"/>
            <w:tcBorders>
              <w:left w:val="single" w:color="auto" w:sz="4" w:space="0"/>
              <w:bottom w:val="single" w:color="auto" w:sz="8" w:space="0"/>
              <w:right w:val="single" w:color="auto" w:sz="12" w:space="0"/>
            </w:tcBorders>
            <w:vAlign w:val="center"/>
          </w:tcPr>
          <w:p>
            <w:pPr>
              <w:widowControl/>
              <w:jc w:val="left"/>
              <w:rPr>
                <w:rFonts w:hint="eastAsia" w:ascii="宋体" w:hAnsi="宋体" w:cs="宋体"/>
                <w:color w:val="auto"/>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exact"/>
          <w:jc w:val="center"/>
        </w:trPr>
        <w:tc>
          <w:tcPr>
            <w:tcW w:w="704" w:type="dxa"/>
            <w:vMerge w:val="restart"/>
            <w:tcBorders>
              <w:top w:val="single" w:color="auto" w:sz="8" w:space="0"/>
              <w:left w:val="single" w:color="auto" w:sz="12"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3</w:t>
            </w:r>
          </w:p>
        </w:tc>
        <w:tc>
          <w:tcPr>
            <w:tcW w:w="2614" w:type="dxa"/>
            <w:vMerge w:val="restart"/>
            <w:tcBorders>
              <w:top w:val="single" w:color="auto" w:sz="8" w:space="0"/>
              <w:left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项目实施要点</w:t>
            </w:r>
          </w:p>
        </w:tc>
        <w:tc>
          <w:tcPr>
            <w:tcW w:w="284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对各阶段要点分析准确、到位</w:t>
            </w:r>
          </w:p>
        </w:tc>
        <w:tc>
          <w:tcPr>
            <w:tcW w:w="92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30</w:t>
            </w:r>
          </w:p>
        </w:tc>
        <w:tc>
          <w:tcPr>
            <w:tcW w:w="636" w:type="dxa"/>
            <w:vMerge w:val="restart"/>
            <w:tcBorders>
              <w:top w:val="single" w:color="auto" w:sz="8" w:space="0"/>
              <w:left w:val="single" w:color="auto" w:sz="8" w:space="0"/>
              <w:right w:val="single" w:color="auto" w:sz="4" w:space="0"/>
            </w:tcBorders>
            <w:vAlign w:val="center"/>
          </w:tcPr>
          <w:p>
            <w:pPr>
              <w:jc w:val="center"/>
              <w:rPr>
                <w:rFonts w:hint="eastAsia" w:ascii="宋体" w:hAnsi="宋体" w:cs="宋体"/>
                <w:color w:val="auto"/>
                <w:sz w:val="18"/>
                <w:szCs w:val="21"/>
              </w:rPr>
            </w:pPr>
          </w:p>
        </w:tc>
        <w:tc>
          <w:tcPr>
            <w:tcW w:w="645" w:type="dxa"/>
            <w:vMerge w:val="restart"/>
            <w:tcBorders>
              <w:top w:val="single" w:color="auto" w:sz="8" w:space="0"/>
              <w:left w:val="single" w:color="auto" w:sz="4" w:space="0"/>
              <w:right w:val="single" w:color="auto" w:sz="4" w:space="0"/>
            </w:tcBorders>
            <w:vAlign w:val="center"/>
          </w:tcPr>
          <w:p>
            <w:pPr>
              <w:jc w:val="center"/>
              <w:rPr>
                <w:rFonts w:hint="eastAsia" w:ascii="宋体" w:hAnsi="宋体" w:cs="宋体"/>
                <w:color w:val="auto"/>
                <w:sz w:val="18"/>
                <w:szCs w:val="21"/>
              </w:rPr>
            </w:pPr>
          </w:p>
        </w:tc>
        <w:tc>
          <w:tcPr>
            <w:tcW w:w="534" w:type="dxa"/>
            <w:gridSpan w:val="2"/>
            <w:vMerge w:val="restart"/>
            <w:tcBorders>
              <w:top w:val="single" w:color="auto" w:sz="8" w:space="0"/>
              <w:left w:val="single" w:color="auto" w:sz="4" w:space="0"/>
              <w:right w:val="single" w:color="auto" w:sz="12" w:space="0"/>
            </w:tcBorders>
            <w:vAlign w:val="center"/>
          </w:tcPr>
          <w:p>
            <w:pPr>
              <w:jc w:val="center"/>
              <w:rPr>
                <w:rFonts w:hint="eastAsia" w:ascii="宋体" w:hAnsi="宋体" w:cs="宋体"/>
                <w:color w:val="auto"/>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exact"/>
          <w:jc w:val="center"/>
        </w:trPr>
        <w:tc>
          <w:tcPr>
            <w:tcW w:w="704" w:type="dxa"/>
            <w:vMerge w:val="continue"/>
            <w:tcBorders>
              <w:left w:val="single" w:color="auto" w:sz="12" w:space="0"/>
              <w:right w:val="single" w:color="auto" w:sz="8" w:space="0"/>
            </w:tcBorders>
            <w:vAlign w:val="center"/>
          </w:tcPr>
          <w:p>
            <w:pPr>
              <w:widowControl/>
              <w:jc w:val="left"/>
              <w:rPr>
                <w:rFonts w:hint="eastAsia" w:ascii="宋体" w:hAnsi="宋体" w:cs="宋体"/>
                <w:color w:val="auto"/>
                <w:sz w:val="18"/>
                <w:szCs w:val="21"/>
              </w:rPr>
            </w:pPr>
          </w:p>
        </w:tc>
        <w:tc>
          <w:tcPr>
            <w:tcW w:w="2614" w:type="dxa"/>
            <w:vMerge w:val="continue"/>
            <w:tcBorders>
              <w:left w:val="single" w:color="auto" w:sz="8" w:space="0"/>
              <w:right w:val="single" w:color="auto" w:sz="8" w:space="0"/>
            </w:tcBorders>
            <w:vAlign w:val="center"/>
          </w:tcPr>
          <w:p>
            <w:pPr>
              <w:widowControl/>
              <w:jc w:val="left"/>
              <w:rPr>
                <w:rFonts w:hint="eastAsia" w:ascii="宋体" w:hAnsi="宋体" w:cs="宋体"/>
                <w:color w:val="auto"/>
                <w:sz w:val="18"/>
                <w:szCs w:val="21"/>
              </w:rPr>
            </w:pPr>
          </w:p>
        </w:tc>
        <w:tc>
          <w:tcPr>
            <w:tcW w:w="284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对各阶段要点分析较合理</w:t>
            </w:r>
          </w:p>
        </w:tc>
        <w:tc>
          <w:tcPr>
            <w:tcW w:w="92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25</w:t>
            </w:r>
          </w:p>
        </w:tc>
        <w:tc>
          <w:tcPr>
            <w:tcW w:w="636" w:type="dxa"/>
            <w:vMerge w:val="continue"/>
            <w:tcBorders>
              <w:left w:val="single" w:color="auto" w:sz="8" w:space="0"/>
              <w:right w:val="single" w:color="auto" w:sz="4" w:space="0"/>
            </w:tcBorders>
            <w:vAlign w:val="center"/>
          </w:tcPr>
          <w:p>
            <w:pPr>
              <w:widowControl/>
              <w:jc w:val="left"/>
              <w:rPr>
                <w:rFonts w:hint="eastAsia" w:ascii="宋体" w:hAnsi="宋体" w:cs="宋体"/>
                <w:color w:val="auto"/>
                <w:sz w:val="18"/>
                <w:szCs w:val="21"/>
              </w:rPr>
            </w:pPr>
          </w:p>
        </w:tc>
        <w:tc>
          <w:tcPr>
            <w:tcW w:w="645" w:type="dxa"/>
            <w:vMerge w:val="continue"/>
            <w:tcBorders>
              <w:left w:val="single" w:color="auto" w:sz="4" w:space="0"/>
              <w:right w:val="single" w:color="auto" w:sz="4" w:space="0"/>
            </w:tcBorders>
            <w:vAlign w:val="center"/>
          </w:tcPr>
          <w:p>
            <w:pPr>
              <w:widowControl/>
              <w:jc w:val="left"/>
              <w:rPr>
                <w:rFonts w:hint="eastAsia" w:ascii="宋体" w:hAnsi="宋体" w:cs="宋体"/>
                <w:color w:val="auto"/>
                <w:sz w:val="18"/>
                <w:szCs w:val="21"/>
              </w:rPr>
            </w:pPr>
          </w:p>
        </w:tc>
        <w:tc>
          <w:tcPr>
            <w:tcW w:w="534" w:type="dxa"/>
            <w:gridSpan w:val="2"/>
            <w:vMerge w:val="continue"/>
            <w:tcBorders>
              <w:left w:val="single" w:color="auto" w:sz="4" w:space="0"/>
              <w:right w:val="single" w:color="auto" w:sz="12" w:space="0"/>
            </w:tcBorders>
            <w:vAlign w:val="center"/>
          </w:tcPr>
          <w:p>
            <w:pPr>
              <w:widowControl/>
              <w:jc w:val="left"/>
              <w:rPr>
                <w:rFonts w:hint="eastAsia" w:ascii="宋体" w:hAnsi="宋体" w:cs="宋体"/>
                <w:color w:val="auto"/>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exact"/>
          <w:jc w:val="center"/>
        </w:trPr>
        <w:tc>
          <w:tcPr>
            <w:tcW w:w="704" w:type="dxa"/>
            <w:vMerge w:val="continue"/>
            <w:tcBorders>
              <w:left w:val="single" w:color="auto" w:sz="12" w:space="0"/>
              <w:right w:val="single" w:color="auto" w:sz="8" w:space="0"/>
            </w:tcBorders>
            <w:vAlign w:val="center"/>
          </w:tcPr>
          <w:p>
            <w:pPr>
              <w:widowControl/>
              <w:jc w:val="left"/>
              <w:rPr>
                <w:rFonts w:hint="eastAsia" w:ascii="宋体" w:hAnsi="宋体" w:cs="宋体"/>
                <w:color w:val="auto"/>
                <w:sz w:val="18"/>
                <w:szCs w:val="21"/>
              </w:rPr>
            </w:pPr>
          </w:p>
        </w:tc>
        <w:tc>
          <w:tcPr>
            <w:tcW w:w="2614" w:type="dxa"/>
            <w:vMerge w:val="continue"/>
            <w:tcBorders>
              <w:left w:val="single" w:color="auto" w:sz="8" w:space="0"/>
              <w:right w:val="single" w:color="auto" w:sz="8" w:space="0"/>
            </w:tcBorders>
            <w:vAlign w:val="center"/>
          </w:tcPr>
          <w:p>
            <w:pPr>
              <w:widowControl/>
              <w:jc w:val="left"/>
              <w:rPr>
                <w:rFonts w:hint="eastAsia" w:ascii="宋体" w:hAnsi="宋体" w:cs="宋体"/>
                <w:color w:val="auto"/>
                <w:sz w:val="18"/>
                <w:szCs w:val="21"/>
              </w:rPr>
            </w:pPr>
          </w:p>
        </w:tc>
        <w:tc>
          <w:tcPr>
            <w:tcW w:w="284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对各阶段要点分析一般</w:t>
            </w:r>
          </w:p>
        </w:tc>
        <w:tc>
          <w:tcPr>
            <w:tcW w:w="92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20</w:t>
            </w:r>
          </w:p>
        </w:tc>
        <w:tc>
          <w:tcPr>
            <w:tcW w:w="636" w:type="dxa"/>
            <w:vMerge w:val="continue"/>
            <w:tcBorders>
              <w:left w:val="single" w:color="auto" w:sz="8" w:space="0"/>
              <w:right w:val="single" w:color="auto" w:sz="4" w:space="0"/>
            </w:tcBorders>
            <w:vAlign w:val="center"/>
          </w:tcPr>
          <w:p>
            <w:pPr>
              <w:widowControl/>
              <w:jc w:val="left"/>
              <w:rPr>
                <w:rFonts w:hint="eastAsia" w:ascii="宋体" w:hAnsi="宋体" w:cs="宋体"/>
                <w:color w:val="auto"/>
                <w:sz w:val="18"/>
                <w:szCs w:val="21"/>
              </w:rPr>
            </w:pPr>
          </w:p>
        </w:tc>
        <w:tc>
          <w:tcPr>
            <w:tcW w:w="645" w:type="dxa"/>
            <w:vMerge w:val="continue"/>
            <w:tcBorders>
              <w:left w:val="single" w:color="auto" w:sz="4" w:space="0"/>
              <w:right w:val="single" w:color="auto" w:sz="4" w:space="0"/>
            </w:tcBorders>
            <w:vAlign w:val="center"/>
          </w:tcPr>
          <w:p>
            <w:pPr>
              <w:widowControl/>
              <w:jc w:val="left"/>
              <w:rPr>
                <w:rFonts w:hint="eastAsia" w:ascii="宋体" w:hAnsi="宋体" w:cs="宋体"/>
                <w:color w:val="auto"/>
                <w:sz w:val="18"/>
                <w:szCs w:val="21"/>
              </w:rPr>
            </w:pPr>
          </w:p>
        </w:tc>
        <w:tc>
          <w:tcPr>
            <w:tcW w:w="534" w:type="dxa"/>
            <w:gridSpan w:val="2"/>
            <w:vMerge w:val="continue"/>
            <w:tcBorders>
              <w:left w:val="single" w:color="auto" w:sz="4" w:space="0"/>
              <w:right w:val="single" w:color="auto" w:sz="12" w:space="0"/>
            </w:tcBorders>
            <w:vAlign w:val="center"/>
          </w:tcPr>
          <w:p>
            <w:pPr>
              <w:widowControl/>
              <w:jc w:val="left"/>
              <w:rPr>
                <w:rFonts w:hint="eastAsia" w:ascii="宋体" w:hAnsi="宋体" w:cs="宋体"/>
                <w:color w:val="auto"/>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exact"/>
          <w:jc w:val="center"/>
        </w:trPr>
        <w:tc>
          <w:tcPr>
            <w:tcW w:w="704" w:type="dxa"/>
            <w:vMerge w:val="continue"/>
            <w:tcBorders>
              <w:left w:val="single" w:color="auto" w:sz="12" w:space="0"/>
              <w:bottom w:val="single" w:color="auto" w:sz="8" w:space="0"/>
              <w:right w:val="single" w:color="auto" w:sz="8" w:space="0"/>
            </w:tcBorders>
            <w:vAlign w:val="center"/>
          </w:tcPr>
          <w:p>
            <w:pPr>
              <w:widowControl/>
              <w:jc w:val="left"/>
              <w:rPr>
                <w:rFonts w:hint="eastAsia" w:ascii="宋体" w:hAnsi="宋体" w:cs="宋体"/>
                <w:color w:val="auto"/>
                <w:sz w:val="18"/>
                <w:szCs w:val="21"/>
              </w:rPr>
            </w:pPr>
          </w:p>
        </w:tc>
        <w:tc>
          <w:tcPr>
            <w:tcW w:w="2614"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cs="宋体"/>
                <w:color w:val="auto"/>
                <w:sz w:val="18"/>
                <w:szCs w:val="21"/>
              </w:rPr>
            </w:pPr>
          </w:p>
        </w:tc>
        <w:tc>
          <w:tcPr>
            <w:tcW w:w="284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对各阶段要点分析差</w:t>
            </w:r>
          </w:p>
        </w:tc>
        <w:tc>
          <w:tcPr>
            <w:tcW w:w="92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15</w:t>
            </w:r>
          </w:p>
        </w:tc>
        <w:tc>
          <w:tcPr>
            <w:tcW w:w="636" w:type="dxa"/>
            <w:vMerge w:val="continue"/>
            <w:tcBorders>
              <w:left w:val="single" w:color="auto" w:sz="8" w:space="0"/>
              <w:bottom w:val="single" w:color="auto" w:sz="8" w:space="0"/>
              <w:right w:val="single" w:color="auto" w:sz="4" w:space="0"/>
            </w:tcBorders>
            <w:vAlign w:val="center"/>
          </w:tcPr>
          <w:p>
            <w:pPr>
              <w:widowControl/>
              <w:jc w:val="left"/>
              <w:rPr>
                <w:rFonts w:hint="eastAsia" w:ascii="宋体" w:hAnsi="宋体" w:cs="宋体"/>
                <w:color w:val="auto"/>
                <w:sz w:val="18"/>
                <w:szCs w:val="21"/>
              </w:rPr>
            </w:pPr>
          </w:p>
        </w:tc>
        <w:tc>
          <w:tcPr>
            <w:tcW w:w="645" w:type="dxa"/>
            <w:vMerge w:val="continue"/>
            <w:tcBorders>
              <w:left w:val="single" w:color="auto" w:sz="4" w:space="0"/>
              <w:bottom w:val="single" w:color="auto" w:sz="8" w:space="0"/>
              <w:right w:val="single" w:color="auto" w:sz="4" w:space="0"/>
            </w:tcBorders>
            <w:vAlign w:val="center"/>
          </w:tcPr>
          <w:p>
            <w:pPr>
              <w:widowControl/>
              <w:jc w:val="left"/>
              <w:rPr>
                <w:rFonts w:hint="eastAsia" w:ascii="宋体" w:hAnsi="宋体" w:cs="宋体"/>
                <w:color w:val="auto"/>
                <w:sz w:val="18"/>
                <w:szCs w:val="21"/>
              </w:rPr>
            </w:pPr>
          </w:p>
        </w:tc>
        <w:tc>
          <w:tcPr>
            <w:tcW w:w="534" w:type="dxa"/>
            <w:gridSpan w:val="2"/>
            <w:vMerge w:val="continue"/>
            <w:tcBorders>
              <w:left w:val="single" w:color="auto" w:sz="4" w:space="0"/>
              <w:bottom w:val="single" w:color="auto" w:sz="8" w:space="0"/>
              <w:right w:val="single" w:color="auto" w:sz="12" w:space="0"/>
            </w:tcBorders>
            <w:vAlign w:val="center"/>
          </w:tcPr>
          <w:p>
            <w:pPr>
              <w:widowControl/>
              <w:jc w:val="left"/>
              <w:rPr>
                <w:rFonts w:hint="eastAsia" w:ascii="宋体" w:hAnsi="宋体" w:cs="宋体"/>
                <w:color w:val="auto"/>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exact"/>
          <w:jc w:val="center"/>
        </w:trPr>
        <w:tc>
          <w:tcPr>
            <w:tcW w:w="704" w:type="dxa"/>
            <w:vMerge w:val="restart"/>
            <w:tcBorders>
              <w:top w:val="single" w:color="auto" w:sz="8" w:space="0"/>
              <w:left w:val="single" w:color="auto" w:sz="12"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4</w:t>
            </w:r>
          </w:p>
        </w:tc>
        <w:tc>
          <w:tcPr>
            <w:tcW w:w="2614" w:type="dxa"/>
            <w:vMerge w:val="restart"/>
            <w:tcBorders>
              <w:top w:val="single" w:color="auto" w:sz="8" w:space="0"/>
              <w:left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项目管理要点</w:t>
            </w:r>
          </w:p>
        </w:tc>
        <w:tc>
          <w:tcPr>
            <w:tcW w:w="284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管理制度完善</w:t>
            </w:r>
          </w:p>
        </w:tc>
        <w:tc>
          <w:tcPr>
            <w:tcW w:w="92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30</w:t>
            </w:r>
          </w:p>
        </w:tc>
        <w:tc>
          <w:tcPr>
            <w:tcW w:w="636" w:type="dxa"/>
            <w:vMerge w:val="restart"/>
            <w:tcBorders>
              <w:top w:val="single" w:color="auto" w:sz="8" w:space="0"/>
              <w:left w:val="single" w:color="auto" w:sz="8" w:space="0"/>
              <w:right w:val="single" w:color="auto" w:sz="4" w:space="0"/>
            </w:tcBorders>
            <w:vAlign w:val="center"/>
          </w:tcPr>
          <w:p>
            <w:pPr>
              <w:jc w:val="center"/>
              <w:rPr>
                <w:rFonts w:hint="eastAsia" w:ascii="宋体" w:hAnsi="宋体" w:cs="宋体"/>
                <w:color w:val="auto"/>
                <w:sz w:val="18"/>
                <w:szCs w:val="21"/>
              </w:rPr>
            </w:pPr>
          </w:p>
        </w:tc>
        <w:tc>
          <w:tcPr>
            <w:tcW w:w="645" w:type="dxa"/>
            <w:vMerge w:val="restart"/>
            <w:tcBorders>
              <w:top w:val="single" w:color="auto" w:sz="8" w:space="0"/>
              <w:left w:val="single" w:color="auto" w:sz="4" w:space="0"/>
              <w:right w:val="single" w:color="auto" w:sz="4" w:space="0"/>
            </w:tcBorders>
            <w:vAlign w:val="center"/>
          </w:tcPr>
          <w:p>
            <w:pPr>
              <w:jc w:val="center"/>
              <w:rPr>
                <w:rFonts w:hint="eastAsia" w:ascii="宋体" w:hAnsi="宋体" w:cs="宋体"/>
                <w:color w:val="auto"/>
                <w:sz w:val="18"/>
                <w:szCs w:val="21"/>
              </w:rPr>
            </w:pPr>
          </w:p>
        </w:tc>
        <w:tc>
          <w:tcPr>
            <w:tcW w:w="534" w:type="dxa"/>
            <w:gridSpan w:val="2"/>
            <w:vMerge w:val="restart"/>
            <w:tcBorders>
              <w:top w:val="single" w:color="auto" w:sz="8" w:space="0"/>
              <w:left w:val="single" w:color="auto" w:sz="4" w:space="0"/>
              <w:right w:val="single" w:color="auto" w:sz="12" w:space="0"/>
            </w:tcBorders>
            <w:vAlign w:val="center"/>
          </w:tcPr>
          <w:p>
            <w:pPr>
              <w:jc w:val="center"/>
              <w:rPr>
                <w:rFonts w:hint="eastAsia" w:ascii="宋体" w:hAnsi="宋体" w:cs="宋体"/>
                <w:color w:val="auto"/>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exact"/>
          <w:jc w:val="center"/>
        </w:trPr>
        <w:tc>
          <w:tcPr>
            <w:tcW w:w="704" w:type="dxa"/>
            <w:vMerge w:val="continue"/>
            <w:tcBorders>
              <w:left w:val="single" w:color="auto" w:sz="12" w:space="0"/>
              <w:right w:val="single" w:color="auto" w:sz="8" w:space="0"/>
            </w:tcBorders>
            <w:vAlign w:val="center"/>
          </w:tcPr>
          <w:p>
            <w:pPr>
              <w:widowControl/>
              <w:jc w:val="left"/>
              <w:rPr>
                <w:rFonts w:hint="eastAsia" w:ascii="宋体" w:hAnsi="宋体" w:cs="宋体"/>
                <w:color w:val="auto"/>
                <w:sz w:val="18"/>
                <w:szCs w:val="21"/>
              </w:rPr>
            </w:pPr>
          </w:p>
        </w:tc>
        <w:tc>
          <w:tcPr>
            <w:tcW w:w="2614" w:type="dxa"/>
            <w:vMerge w:val="continue"/>
            <w:tcBorders>
              <w:left w:val="single" w:color="auto" w:sz="8" w:space="0"/>
              <w:right w:val="single" w:color="auto" w:sz="8" w:space="0"/>
            </w:tcBorders>
            <w:vAlign w:val="center"/>
          </w:tcPr>
          <w:p>
            <w:pPr>
              <w:widowControl/>
              <w:jc w:val="left"/>
              <w:rPr>
                <w:rFonts w:hint="eastAsia" w:ascii="宋体" w:hAnsi="宋体" w:cs="宋体"/>
                <w:color w:val="auto"/>
                <w:sz w:val="18"/>
                <w:szCs w:val="21"/>
              </w:rPr>
            </w:pPr>
          </w:p>
        </w:tc>
        <w:tc>
          <w:tcPr>
            <w:tcW w:w="284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管理制度较完善</w:t>
            </w:r>
          </w:p>
        </w:tc>
        <w:tc>
          <w:tcPr>
            <w:tcW w:w="92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25</w:t>
            </w:r>
          </w:p>
        </w:tc>
        <w:tc>
          <w:tcPr>
            <w:tcW w:w="636" w:type="dxa"/>
            <w:vMerge w:val="continue"/>
            <w:tcBorders>
              <w:left w:val="single" w:color="auto" w:sz="8" w:space="0"/>
              <w:right w:val="single" w:color="auto" w:sz="4" w:space="0"/>
            </w:tcBorders>
            <w:vAlign w:val="center"/>
          </w:tcPr>
          <w:p>
            <w:pPr>
              <w:widowControl/>
              <w:jc w:val="left"/>
              <w:rPr>
                <w:rFonts w:hint="eastAsia" w:ascii="宋体" w:hAnsi="宋体" w:cs="宋体"/>
                <w:color w:val="auto"/>
                <w:sz w:val="18"/>
                <w:szCs w:val="21"/>
              </w:rPr>
            </w:pPr>
          </w:p>
        </w:tc>
        <w:tc>
          <w:tcPr>
            <w:tcW w:w="645" w:type="dxa"/>
            <w:vMerge w:val="continue"/>
            <w:tcBorders>
              <w:left w:val="single" w:color="auto" w:sz="4" w:space="0"/>
              <w:right w:val="single" w:color="auto" w:sz="4" w:space="0"/>
            </w:tcBorders>
            <w:vAlign w:val="center"/>
          </w:tcPr>
          <w:p>
            <w:pPr>
              <w:widowControl/>
              <w:jc w:val="left"/>
              <w:rPr>
                <w:rFonts w:hint="eastAsia" w:ascii="宋体" w:hAnsi="宋体" w:cs="宋体"/>
                <w:color w:val="auto"/>
                <w:sz w:val="18"/>
                <w:szCs w:val="21"/>
              </w:rPr>
            </w:pPr>
          </w:p>
        </w:tc>
        <w:tc>
          <w:tcPr>
            <w:tcW w:w="534" w:type="dxa"/>
            <w:gridSpan w:val="2"/>
            <w:vMerge w:val="continue"/>
            <w:tcBorders>
              <w:left w:val="single" w:color="auto" w:sz="4" w:space="0"/>
              <w:right w:val="single" w:color="auto" w:sz="12" w:space="0"/>
            </w:tcBorders>
            <w:vAlign w:val="center"/>
          </w:tcPr>
          <w:p>
            <w:pPr>
              <w:widowControl/>
              <w:jc w:val="left"/>
              <w:rPr>
                <w:rFonts w:hint="eastAsia" w:ascii="宋体" w:hAnsi="宋体" w:cs="宋体"/>
                <w:color w:val="auto"/>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exact"/>
          <w:jc w:val="center"/>
        </w:trPr>
        <w:tc>
          <w:tcPr>
            <w:tcW w:w="704" w:type="dxa"/>
            <w:vMerge w:val="continue"/>
            <w:tcBorders>
              <w:left w:val="single" w:color="auto" w:sz="12" w:space="0"/>
              <w:right w:val="single" w:color="auto" w:sz="8" w:space="0"/>
            </w:tcBorders>
            <w:vAlign w:val="center"/>
          </w:tcPr>
          <w:p>
            <w:pPr>
              <w:widowControl/>
              <w:jc w:val="left"/>
              <w:rPr>
                <w:rFonts w:hint="eastAsia" w:ascii="宋体" w:hAnsi="宋体" w:cs="宋体"/>
                <w:color w:val="auto"/>
                <w:sz w:val="18"/>
                <w:szCs w:val="21"/>
              </w:rPr>
            </w:pPr>
          </w:p>
        </w:tc>
        <w:tc>
          <w:tcPr>
            <w:tcW w:w="2614" w:type="dxa"/>
            <w:vMerge w:val="continue"/>
            <w:tcBorders>
              <w:left w:val="single" w:color="auto" w:sz="8" w:space="0"/>
              <w:right w:val="single" w:color="auto" w:sz="8" w:space="0"/>
            </w:tcBorders>
            <w:vAlign w:val="center"/>
          </w:tcPr>
          <w:p>
            <w:pPr>
              <w:widowControl/>
              <w:jc w:val="left"/>
              <w:rPr>
                <w:rFonts w:hint="eastAsia" w:ascii="宋体" w:hAnsi="宋体" w:cs="宋体"/>
                <w:color w:val="auto"/>
                <w:sz w:val="18"/>
                <w:szCs w:val="21"/>
              </w:rPr>
            </w:pPr>
          </w:p>
        </w:tc>
        <w:tc>
          <w:tcPr>
            <w:tcW w:w="284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管理制度一般</w:t>
            </w:r>
          </w:p>
        </w:tc>
        <w:tc>
          <w:tcPr>
            <w:tcW w:w="92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20</w:t>
            </w:r>
          </w:p>
        </w:tc>
        <w:tc>
          <w:tcPr>
            <w:tcW w:w="636" w:type="dxa"/>
            <w:vMerge w:val="continue"/>
            <w:tcBorders>
              <w:left w:val="single" w:color="auto" w:sz="8" w:space="0"/>
              <w:right w:val="single" w:color="auto" w:sz="4" w:space="0"/>
            </w:tcBorders>
            <w:vAlign w:val="center"/>
          </w:tcPr>
          <w:p>
            <w:pPr>
              <w:widowControl/>
              <w:jc w:val="left"/>
              <w:rPr>
                <w:rFonts w:hint="eastAsia" w:ascii="宋体" w:hAnsi="宋体" w:cs="宋体"/>
                <w:color w:val="auto"/>
                <w:sz w:val="18"/>
                <w:szCs w:val="21"/>
              </w:rPr>
            </w:pPr>
          </w:p>
        </w:tc>
        <w:tc>
          <w:tcPr>
            <w:tcW w:w="645" w:type="dxa"/>
            <w:vMerge w:val="continue"/>
            <w:tcBorders>
              <w:left w:val="single" w:color="auto" w:sz="4" w:space="0"/>
              <w:right w:val="single" w:color="auto" w:sz="4" w:space="0"/>
            </w:tcBorders>
            <w:vAlign w:val="center"/>
          </w:tcPr>
          <w:p>
            <w:pPr>
              <w:widowControl/>
              <w:jc w:val="left"/>
              <w:rPr>
                <w:rFonts w:hint="eastAsia" w:ascii="宋体" w:hAnsi="宋体" w:cs="宋体"/>
                <w:color w:val="auto"/>
                <w:sz w:val="18"/>
                <w:szCs w:val="21"/>
              </w:rPr>
            </w:pPr>
          </w:p>
        </w:tc>
        <w:tc>
          <w:tcPr>
            <w:tcW w:w="534" w:type="dxa"/>
            <w:gridSpan w:val="2"/>
            <w:vMerge w:val="continue"/>
            <w:tcBorders>
              <w:left w:val="single" w:color="auto" w:sz="4" w:space="0"/>
              <w:right w:val="single" w:color="auto" w:sz="12" w:space="0"/>
            </w:tcBorders>
            <w:vAlign w:val="center"/>
          </w:tcPr>
          <w:p>
            <w:pPr>
              <w:widowControl/>
              <w:jc w:val="left"/>
              <w:rPr>
                <w:rFonts w:hint="eastAsia" w:ascii="宋体" w:hAnsi="宋体" w:cs="宋体"/>
                <w:color w:val="auto"/>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exact"/>
          <w:jc w:val="center"/>
        </w:trPr>
        <w:tc>
          <w:tcPr>
            <w:tcW w:w="704" w:type="dxa"/>
            <w:vMerge w:val="continue"/>
            <w:tcBorders>
              <w:left w:val="single" w:color="auto" w:sz="12" w:space="0"/>
              <w:bottom w:val="single" w:color="auto" w:sz="8" w:space="0"/>
              <w:right w:val="single" w:color="auto" w:sz="8" w:space="0"/>
            </w:tcBorders>
            <w:vAlign w:val="center"/>
          </w:tcPr>
          <w:p>
            <w:pPr>
              <w:widowControl/>
              <w:jc w:val="left"/>
              <w:rPr>
                <w:rFonts w:hint="eastAsia" w:ascii="宋体" w:hAnsi="宋体" w:cs="宋体"/>
                <w:color w:val="auto"/>
                <w:sz w:val="18"/>
                <w:szCs w:val="21"/>
              </w:rPr>
            </w:pPr>
          </w:p>
        </w:tc>
        <w:tc>
          <w:tcPr>
            <w:tcW w:w="2614"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cs="宋体"/>
                <w:color w:val="auto"/>
                <w:sz w:val="18"/>
                <w:szCs w:val="21"/>
              </w:rPr>
            </w:pPr>
          </w:p>
        </w:tc>
        <w:tc>
          <w:tcPr>
            <w:tcW w:w="284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管理制差</w:t>
            </w:r>
          </w:p>
        </w:tc>
        <w:tc>
          <w:tcPr>
            <w:tcW w:w="92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15</w:t>
            </w:r>
          </w:p>
        </w:tc>
        <w:tc>
          <w:tcPr>
            <w:tcW w:w="636" w:type="dxa"/>
            <w:vMerge w:val="continue"/>
            <w:tcBorders>
              <w:left w:val="single" w:color="auto" w:sz="8" w:space="0"/>
              <w:bottom w:val="single" w:color="auto" w:sz="8" w:space="0"/>
              <w:right w:val="single" w:color="auto" w:sz="4" w:space="0"/>
            </w:tcBorders>
            <w:vAlign w:val="center"/>
          </w:tcPr>
          <w:p>
            <w:pPr>
              <w:widowControl/>
              <w:jc w:val="left"/>
              <w:rPr>
                <w:rFonts w:hint="eastAsia" w:ascii="宋体" w:hAnsi="宋体" w:cs="宋体"/>
                <w:color w:val="auto"/>
                <w:sz w:val="18"/>
                <w:szCs w:val="21"/>
              </w:rPr>
            </w:pPr>
          </w:p>
        </w:tc>
        <w:tc>
          <w:tcPr>
            <w:tcW w:w="645" w:type="dxa"/>
            <w:vMerge w:val="continue"/>
            <w:tcBorders>
              <w:left w:val="single" w:color="auto" w:sz="4" w:space="0"/>
              <w:bottom w:val="single" w:color="auto" w:sz="8" w:space="0"/>
              <w:right w:val="single" w:color="auto" w:sz="4" w:space="0"/>
            </w:tcBorders>
            <w:vAlign w:val="center"/>
          </w:tcPr>
          <w:p>
            <w:pPr>
              <w:widowControl/>
              <w:jc w:val="left"/>
              <w:rPr>
                <w:rFonts w:hint="eastAsia" w:ascii="宋体" w:hAnsi="宋体" w:cs="宋体"/>
                <w:color w:val="auto"/>
                <w:sz w:val="18"/>
                <w:szCs w:val="21"/>
              </w:rPr>
            </w:pPr>
          </w:p>
        </w:tc>
        <w:tc>
          <w:tcPr>
            <w:tcW w:w="534" w:type="dxa"/>
            <w:gridSpan w:val="2"/>
            <w:vMerge w:val="continue"/>
            <w:tcBorders>
              <w:left w:val="single" w:color="auto" w:sz="4" w:space="0"/>
              <w:bottom w:val="single" w:color="auto" w:sz="8" w:space="0"/>
              <w:right w:val="single" w:color="auto" w:sz="12" w:space="0"/>
            </w:tcBorders>
            <w:vAlign w:val="center"/>
          </w:tcPr>
          <w:p>
            <w:pPr>
              <w:widowControl/>
              <w:jc w:val="left"/>
              <w:rPr>
                <w:rFonts w:hint="eastAsia" w:ascii="宋体" w:hAnsi="宋体" w:cs="宋体"/>
                <w:color w:val="auto"/>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exact"/>
          <w:jc w:val="center"/>
        </w:trPr>
        <w:tc>
          <w:tcPr>
            <w:tcW w:w="704" w:type="dxa"/>
            <w:tcBorders>
              <w:top w:val="single" w:color="auto" w:sz="8" w:space="0"/>
              <w:left w:val="single" w:color="auto" w:sz="12" w:space="0"/>
              <w:bottom w:val="single" w:color="auto" w:sz="12" w:space="0"/>
              <w:right w:val="single" w:color="auto" w:sz="8" w:space="0"/>
            </w:tcBorders>
            <w:vAlign w:val="center"/>
          </w:tcPr>
          <w:p>
            <w:pPr>
              <w:widowControl/>
              <w:jc w:val="center"/>
              <w:rPr>
                <w:rFonts w:hint="eastAsia" w:ascii="宋体" w:hAnsi="宋体" w:cs="宋体"/>
                <w:color w:val="auto"/>
                <w:sz w:val="18"/>
                <w:szCs w:val="21"/>
              </w:rPr>
            </w:pPr>
            <w:r>
              <w:rPr>
                <w:rFonts w:hint="eastAsia" w:ascii="宋体" w:hAnsi="宋体" w:cs="宋体"/>
                <w:color w:val="auto"/>
                <w:sz w:val="18"/>
                <w:szCs w:val="21"/>
              </w:rPr>
              <w:t>8</w:t>
            </w:r>
          </w:p>
        </w:tc>
        <w:tc>
          <w:tcPr>
            <w:tcW w:w="6385" w:type="dxa"/>
            <w:gridSpan w:val="3"/>
            <w:tcBorders>
              <w:top w:val="single" w:color="auto" w:sz="8" w:space="0"/>
              <w:left w:val="single" w:color="auto" w:sz="8" w:space="0"/>
              <w:bottom w:val="single" w:color="auto" w:sz="12" w:space="0"/>
              <w:right w:val="single" w:color="auto" w:sz="8"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合  计</w:t>
            </w:r>
          </w:p>
        </w:tc>
        <w:tc>
          <w:tcPr>
            <w:tcW w:w="636" w:type="dxa"/>
            <w:tcBorders>
              <w:top w:val="single" w:color="auto" w:sz="8" w:space="0"/>
              <w:left w:val="single" w:color="auto" w:sz="8" w:space="0"/>
              <w:bottom w:val="single" w:color="auto" w:sz="12" w:space="0"/>
              <w:right w:val="single" w:color="auto" w:sz="4" w:space="0"/>
            </w:tcBorders>
            <w:vAlign w:val="center"/>
          </w:tcPr>
          <w:p>
            <w:pPr>
              <w:widowControl/>
              <w:jc w:val="left"/>
              <w:rPr>
                <w:rFonts w:hint="eastAsia" w:ascii="宋体" w:hAnsi="宋体" w:cs="宋体"/>
                <w:color w:val="auto"/>
                <w:sz w:val="18"/>
                <w:szCs w:val="21"/>
              </w:rPr>
            </w:pPr>
          </w:p>
        </w:tc>
        <w:tc>
          <w:tcPr>
            <w:tcW w:w="645" w:type="dxa"/>
            <w:tcBorders>
              <w:top w:val="single" w:color="auto" w:sz="8" w:space="0"/>
              <w:left w:val="single" w:color="auto" w:sz="4" w:space="0"/>
              <w:bottom w:val="single" w:color="auto" w:sz="12" w:space="0"/>
              <w:right w:val="single" w:color="auto" w:sz="4" w:space="0"/>
            </w:tcBorders>
            <w:vAlign w:val="center"/>
          </w:tcPr>
          <w:p>
            <w:pPr>
              <w:widowControl/>
              <w:jc w:val="left"/>
              <w:rPr>
                <w:rFonts w:hint="eastAsia" w:ascii="宋体" w:hAnsi="宋体" w:cs="宋体"/>
                <w:color w:val="auto"/>
                <w:sz w:val="18"/>
                <w:szCs w:val="21"/>
              </w:rPr>
            </w:pPr>
          </w:p>
        </w:tc>
        <w:tc>
          <w:tcPr>
            <w:tcW w:w="534" w:type="dxa"/>
            <w:gridSpan w:val="2"/>
            <w:tcBorders>
              <w:top w:val="single" w:color="auto" w:sz="8" w:space="0"/>
              <w:left w:val="single" w:color="auto" w:sz="4" w:space="0"/>
              <w:bottom w:val="single" w:color="auto" w:sz="12" w:space="0"/>
              <w:right w:val="single" w:color="auto" w:sz="12" w:space="0"/>
            </w:tcBorders>
            <w:vAlign w:val="center"/>
          </w:tcPr>
          <w:p>
            <w:pPr>
              <w:widowControl/>
              <w:jc w:val="left"/>
              <w:rPr>
                <w:rFonts w:hint="eastAsia" w:ascii="宋体" w:hAnsi="宋体" w:cs="宋体"/>
                <w:color w:val="auto"/>
                <w:sz w:val="18"/>
                <w:szCs w:val="21"/>
              </w:rPr>
            </w:pPr>
          </w:p>
        </w:tc>
      </w:tr>
    </w:tbl>
    <w:p>
      <w:pPr>
        <w:rPr>
          <w:rFonts w:hint="eastAsia" w:ascii="宋体" w:hAnsi="宋体" w:cs="宋体"/>
          <w:color w:val="auto"/>
        </w:rPr>
      </w:pPr>
    </w:p>
    <w:p>
      <w:pPr>
        <w:rPr>
          <w:rFonts w:hint="eastAsia" w:ascii="宋体" w:hAnsi="宋体" w:cs="宋体"/>
          <w:color w:val="auto"/>
          <w:sz w:val="18"/>
          <w:szCs w:val="18"/>
        </w:rPr>
      </w:pPr>
      <w:r>
        <w:rPr>
          <w:rFonts w:hint="eastAsia" w:ascii="宋体" w:hAnsi="宋体" w:cs="宋体"/>
          <w:color w:val="auto"/>
          <w:sz w:val="18"/>
          <w:szCs w:val="18"/>
        </w:rPr>
        <w:t>注：1、承包人实施方案基本分100分。评委评分须在每项分值以内的方为有效评分。</w:t>
      </w:r>
    </w:p>
    <w:p>
      <w:pPr>
        <w:ind w:firstLine="360" w:firstLineChars="200"/>
        <w:rPr>
          <w:rFonts w:hint="eastAsia" w:ascii="宋体" w:hAnsi="宋体" w:cs="宋体"/>
          <w:color w:val="auto"/>
          <w:sz w:val="18"/>
          <w:szCs w:val="18"/>
        </w:rPr>
      </w:pPr>
      <w:r>
        <w:rPr>
          <w:rFonts w:hint="eastAsia" w:ascii="宋体" w:hAnsi="宋体" w:cs="宋体"/>
          <w:color w:val="auto"/>
          <w:sz w:val="18"/>
          <w:szCs w:val="18"/>
        </w:rPr>
        <w:t>2、承包人实施方案为评委单独计分，承包人实施方案最终得分为评标委员会成员个人评审计分的算术平均值。</w:t>
      </w:r>
    </w:p>
    <w:p>
      <w:pPr>
        <w:ind w:firstLine="315" w:firstLineChars="150"/>
        <w:rPr>
          <w:rFonts w:hint="eastAsia" w:ascii="宋体" w:hAnsi="宋体" w:cs="宋体"/>
          <w:color w:val="auto"/>
          <w:szCs w:val="21"/>
        </w:rPr>
      </w:pPr>
    </w:p>
    <w:p>
      <w:pPr>
        <w:ind w:firstLine="360" w:firstLineChars="200"/>
        <w:rPr>
          <w:rFonts w:hint="eastAsia" w:ascii="宋体" w:hAnsi="宋体" w:cs="宋体"/>
          <w:color w:val="auto"/>
          <w:sz w:val="18"/>
          <w:szCs w:val="18"/>
        </w:rPr>
      </w:pPr>
      <w:r>
        <w:rPr>
          <w:rFonts w:hint="eastAsia" w:ascii="宋体" w:hAnsi="宋体" w:cs="宋体"/>
          <w:color w:val="auto"/>
          <w:sz w:val="18"/>
          <w:szCs w:val="18"/>
        </w:rPr>
        <w:t>评委签字：</w:t>
      </w:r>
    </w:p>
    <w:p>
      <w:pPr>
        <w:rPr>
          <w:rFonts w:hint="eastAsia" w:ascii="宋体" w:hAnsi="宋体" w:cs="宋体"/>
          <w:b/>
          <w:bCs/>
          <w:color w:val="auto"/>
          <w:sz w:val="24"/>
        </w:rPr>
      </w:pPr>
      <w:r>
        <w:rPr>
          <w:rFonts w:hint="eastAsia" w:ascii="宋体" w:hAnsi="宋体" w:cs="宋体"/>
          <w:b/>
          <w:bCs/>
          <w:color w:val="auto"/>
          <w:sz w:val="24"/>
        </w:rPr>
        <w:br w:type="page"/>
      </w:r>
      <w:r>
        <w:rPr>
          <w:rFonts w:hint="eastAsia" w:ascii="宋体" w:hAnsi="宋体" w:cs="宋体"/>
          <w:b/>
          <w:bCs/>
          <w:color w:val="auto"/>
          <w:sz w:val="24"/>
        </w:rPr>
        <w:t>附表3-7：资信业绩评审计分表</w:t>
      </w:r>
    </w:p>
    <w:p>
      <w:pPr>
        <w:jc w:val="center"/>
        <w:rPr>
          <w:rFonts w:hint="eastAsia" w:ascii="宋体" w:hAnsi="宋体" w:cs="宋体"/>
          <w:b/>
          <w:color w:val="auto"/>
          <w:sz w:val="24"/>
        </w:rPr>
      </w:pPr>
      <w:r>
        <w:rPr>
          <w:rFonts w:hint="eastAsia" w:ascii="宋体" w:hAnsi="宋体" w:cs="宋体"/>
          <w:b/>
          <w:color w:val="auto"/>
          <w:sz w:val="24"/>
        </w:rPr>
        <w:t>资信业绩评审计分表（权数：0.40）</w:t>
      </w:r>
    </w:p>
    <w:tbl>
      <w:tblPr>
        <w:tblStyle w:val="67"/>
        <w:tblW w:w="887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788"/>
        <w:gridCol w:w="1285"/>
        <w:gridCol w:w="3700"/>
        <w:gridCol w:w="570"/>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exact"/>
        </w:trPr>
        <w:tc>
          <w:tcPr>
            <w:tcW w:w="701" w:type="dxa"/>
            <w:vAlign w:val="center"/>
          </w:tcPr>
          <w:p>
            <w:pPr>
              <w:snapToGrid w:val="0"/>
              <w:spacing w:line="240" w:lineRule="exact"/>
              <w:jc w:val="center"/>
              <w:rPr>
                <w:rFonts w:ascii="宋体"/>
                <w:color w:val="auto"/>
              </w:rPr>
            </w:pPr>
            <w:r>
              <w:rPr>
                <w:rFonts w:hint="eastAsia" w:ascii="宋体" w:hAnsi="宋体" w:cs="宋体"/>
                <w:color w:val="auto"/>
              </w:rPr>
              <w:t>序号</w:t>
            </w:r>
          </w:p>
        </w:tc>
        <w:tc>
          <w:tcPr>
            <w:tcW w:w="1788" w:type="dxa"/>
            <w:vAlign w:val="center"/>
          </w:tcPr>
          <w:p>
            <w:pPr>
              <w:snapToGrid w:val="0"/>
              <w:spacing w:line="240" w:lineRule="exact"/>
              <w:jc w:val="center"/>
              <w:rPr>
                <w:rFonts w:ascii="宋体"/>
                <w:color w:val="auto"/>
              </w:rPr>
            </w:pPr>
            <w:r>
              <w:rPr>
                <w:rFonts w:hint="eastAsia" w:ascii="宋体" w:hAnsi="宋体" w:cs="宋体"/>
                <w:color w:val="auto"/>
              </w:rPr>
              <w:t>项目</w:t>
            </w:r>
          </w:p>
        </w:tc>
        <w:tc>
          <w:tcPr>
            <w:tcW w:w="5555" w:type="dxa"/>
            <w:gridSpan w:val="3"/>
            <w:vAlign w:val="center"/>
          </w:tcPr>
          <w:p>
            <w:pPr>
              <w:snapToGrid w:val="0"/>
              <w:spacing w:line="240" w:lineRule="exact"/>
              <w:ind w:right="-212"/>
              <w:jc w:val="center"/>
              <w:rPr>
                <w:rFonts w:ascii="宋体"/>
                <w:color w:val="auto"/>
              </w:rPr>
            </w:pPr>
            <w:r>
              <w:rPr>
                <w:rFonts w:hint="eastAsia" w:ascii="宋体" w:hAnsi="宋体" w:cs="宋体"/>
                <w:color w:val="auto"/>
              </w:rPr>
              <w:t>评审标准</w:t>
            </w:r>
          </w:p>
        </w:tc>
        <w:tc>
          <w:tcPr>
            <w:tcW w:w="834" w:type="dxa"/>
            <w:vAlign w:val="center"/>
          </w:tcPr>
          <w:p>
            <w:pPr>
              <w:widowControl/>
              <w:snapToGrid w:val="0"/>
              <w:spacing w:line="240" w:lineRule="exact"/>
              <w:jc w:val="center"/>
              <w:rPr>
                <w:rFonts w:ascii="宋体"/>
                <w:color w:val="auto"/>
                <w:kern w:val="0"/>
              </w:rPr>
            </w:pPr>
            <w:r>
              <w:rPr>
                <w:rFonts w:hint="eastAsia" w:ascii="宋体" w:hAnsi="宋体" w:cs="宋体"/>
                <w:color w:val="auto"/>
                <w:kern w:val="0"/>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trPr>
        <w:tc>
          <w:tcPr>
            <w:tcW w:w="701" w:type="dxa"/>
            <w:vAlign w:val="center"/>
          </w:tcPr>
          <w:p>
            <w:pPr>
              <w:snapToGrid w:val="0"/>
              <w:spacing w:line="240" w:lineRule="exact"/>
              <w:jc w:val="center"/>
              <w:rPr>
                <w:rFonts w:ascii="宋体" w:hAnsi="宋体" w:cs="宋体"/>
                <w:color w:val="auto"/>
              </w:rPr>
            </w:pPr>
            <w:r>
              <w:rPr>
                <w:rFonts w:ascii="宋体" w:hAnsi="宋体" w:cs="宋体"/>
                <w:color w:val="auto"/>
              </w:rPr>
              <w:t>1</w:t>
            </w:r>
          </w:p>
        </w:tc>
        <w:tc>
          <w:tcPr>
            <w:tcW w:w="1788" w:type="dxa"/>
            <w:vAlign w:val="center"/>
          </w:tcPr>
          <w:p>
            <w:pPr>
              <w:widowControl/>
              <w:spacing w:line="240" w:lineRule="exact"/>
              <w:jc w:val="center"/>
              <w:rPr>
                <w:rFonts w:ascii="宋体" w:hAnsi="宋体"/>
                <w:color w:val="auto"/>
              </w:rPr>
            </w:pPr>
            <w:r>
              <w:rPr>
                <w:rFonts w:hint="eastAsia" w:ascii="宋体" w:hAnsi="宋体" w:cs="宋体"/>
                <w:color w:val="auto"/>
              </w:rPr>
              <w:t>类似项目业绩</w:t>
            </w:r>
            <w:r>
              <w:rPr>
                <w:rFonts w:hint="eastAsia" w:ascii="宋体" w:hAnsi="宋体" w:cs="宋体"/>
                <w:color w:val="auto"/>
                <w:szCs w:val="21"/>
              </w:rPr>
              <w:t>（联合体任何一方）</w:t>
            </w:r>
          </w:p>
          <w:p>
            <w:pPr>
              <w:snapToGrid w:val="0"/>
              <w:spacing w:line="240" w:lineRule="exact"/>
              <w:jc w:val="center"/>
              <w:rPr>
                <w:rFonts w:ascii="宋体"/>
                <w:color w:val="auto"/>
              </w:rPr>
            </w:pPr>
          </w:p>
        </w:tc>
        <w:tc>
          <w:tcPr>
            <w:tcW w:w="4985" w:type="dxa"/>
            <w:gridSpan w:val="2"/>
            <w:vAlign w:val="center"/>
          </w:tcPr>
          <w:p>
            <w:pPr>
              <w:widowControl/>
              <w:spacing w:line="240" w:lineRule="exact"/>
              <w:jc w:val="center"/>
              <w:rPr>
                <w:rFonts w:ascii="宋体" w:hAnsi="宋体"/>
                <w:color w:val="auto"/>
              </w:rPr>
            </w:pPr>
            <w:r>
              <w:rPr>
                <w:rFonts w:hint="eastAsia" w:ascii="宋体" w:hAnsi="宋体"/>
                <w:color w:val="auto"/>
              </w:rPr>
              <w:t>业绩要求：每项业绩加</w:t>
            </w:r>
            <w:r>
              <w:rPr>
                <w:rFonts w:ascii="宋体" w:hAnsi="宋体"/>
                <w:color w:val="auto"/>
              </w:rPr>
              <w:t>5分</w:t>
            </w:r>
            <w:r>
              <w:rPr>
                <w:rFonts w:hint="eastAsia" w:ascii="宋体" w:hAnsi="宋体"/>
                <w:color w:val="auto"/>
              </w:rPr>
              <w:t>，最多合计加两项工程。</w:t>
            </w:r>
          </w:p>
          <w:p>
            <w:pPr>
              <w:snapToGrid w:val="0"/>
              <w:spacing w:line="240" w:lineRule="exact"/>
              <w:rPr>
                <w:rFonts w:ascii="宋体" w:hAnsi="宋体"/>
                <w:color w:val="auto"/>
              </w:rPr>
            </w:pPr>
            <w:r>
              <w:rPr>
                <w:rFonts w:hint="eastAsia" w:ascii="宋体" w:hAnsi="宋体"/>
                <w:color w:val="auto"/>
              </w:rPr>
              <w:t>（提供原件扫描件，并在投标文件中提供复印件加盖公章，否则不加分）</w:t>
            </w:r>
          </w:p>
        </w:tc>
        <w:tc>
          <w:tcPr>
            <w:tcW w:w="570" w:type="dxa"/>
            <w:vAlign w:val="center"/>
          </w:tcPr>
          <w:p>
            <w:pPr>
              <w:snapToGrid w:val="0"/>
              <w:spacing w:line="240" w:lineRule="exact"/>
              <w:jc w:val="center"/>
              <w:rPr>
                <w:rFonts w:ascii="宋体" w:hAnsi="宋体"/>
                <w:color w:val="auto"/>
              </w:rPr>
            </w:pPr>
            <w:r>
              <w:rPr>
                <w:rFonts w:hint="eastAsia" w:ascii="宋体" w:hAnsi="宋体"/>
                <w:color w:val="auto"/>
              </w:rPr>
              <w:t>10</w:t>
            </w:r>
          </w:p>
        </w:tc>
        <w:tc>
          <w:tcPr>
            <w:tcW w:w="834" w:type="dxa"/>
            <w:vAlign w:val="center"/>
          </w:tcPr>
          <w:p>
            <w:pPr>
              <w:widowControl/>
              <w:snapToGrid w:val="0"/>
              <w:spacing w:line="240" w:lineRule="exact"/>
              <w:jc w:val="center"/>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3" w:hRule="atLeast"/>
        </w:trPr>
        <w:tc>
          <w:tcPr>
            <w:tcW w:w="701" w:type="dxa"/>
            <w:vMerge w:val="restart"/>
            <w:vAlign w:val="center"/>
          </w:tcPr>
          <w:p>
            <w:pPr>
              <w:snapToGrid w:val="0"/>
              <w:spacing w:line="240" w:lineRule="exact"/>
              <w:jc w:val="center"/>
              <w:rPr>
                <w:rFonts w:ascii="宋体" w:hAnsi="宋体" w:cs="宋体"/>
                <w:color w:val="auto"/>
              </w:rPr>
            </w:pPr>
            <w:r>
              <w:rPr>
                <w:rFonts w:hint="eastAsia" w:ascii="宋体" w:hAnsi="宋体" w:cs="宋体"/>
                <w:color w:val="auto"/>
              </w:rPr>
              <w:t>2</w:t>
            </w:r>
          </w:p>
        </w:tc>
        <w:tc>
          <w:tcPr>
            <w:tcW w:w="1788" w:type="dxa"/>
            <w:vMerge w:val="restart"/>
            <w:vAlign w:val="center"/>
          </w:tcPr>
          <w:p>
            <w:pPr>
              <w:spacing w:line="280" w:lineRule="exact"/>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企业获奖及信用情况</w:t>
            </w:r>
          </w:p>
        </w:tc>
        <w:tc>
          <w:tcPr>
            <w:tcW w:w="4985" w:type="dxa"/>
            <w:gridSpan w:val="2"/>
            <w:vAlign w:val="bottom"/>
          </w:tcPr>
          <w:p>
            <w:pPr>
              <w:widowControl/>
              <w:jc w:val="left"/>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投标人同时获得上年度省建筑施工安全生产标准化年度考评优良企业和质量管理标准化企业考评优良企业的计10分。</w:t>
            </w:r>
          </w:p>
        </w:tc>
        <w:tc>
          <w:tcPr>
            <w:tcW w:w="570" w:type="dxa"/>
            <w:vAlign w:val="center"/>
          </w:tcPr>
          <w:p>
            <w:pPr>
              <w:snapToGrid w:val="0"/>
              <w:spacing w:line="240" w:lineRule="exact"/>
              <w:jc w:val="center"/>
              <w:rPr>
                <w:rFonts w:ascii="宋体" w:hAnsi="宋体"/>
                <w:color w:val="auto"/>
              </w:rPr>
            </w:pPr>
            <w:r>
              <w:rPr>
                <w:rFonts w:hint="eastAsia" w:ascii="宋体" w:hAnsi="宋体"/>
                <w:color w:val="auto"/>
              </w:rPr>
              <w:t>10</w:t>
            </w:r>
          </w:p>
        </w:tc>
        <w:tc>
          <w:tcPr>
            <w:tcW w:w="834" w:type="dxa"/>
            <w:vMerge w:val="restart"/>
            <w:vAlign w:val="center"/>
          </w:tcPr>
          <w:p>
            <w:pPr>
              <w:widowControl/>
              <w:snapToGrid w:val="0"/>
              <w:spacing w:line="240" w:lineRule="exact"/>
              <w:jc w:val="center"/>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atLeast"/>
        </w:trPr>
        <w:tc>
          <w:tcPr>
            <w:tcW w:w="701" w:type="dxa"/>
            <w:vMerge w:val="continue"/>
            <w:vAlign w:val="center"/>
          </w:tcPr>
          <w:p>
            <w:pPr>
              <w:snapToGrid w:val="0"/>
              <w:spacing w:line="240" w:lineRule="exact"/>
              <w:jc w:val="center"/>
              <w:rPr>
                <w:rFonts w:ascii="宋体" w:hAnsi="宋体" w:cs="宋体"/>
                <w:color w:val="auto"/>
              </w:rPr>
            </w:pPr>
          </w:p>
        </w:tc>
        <w:tc>
          <w:tcPr>
            <w:tcW w:w="1788" w:type="dxa"/>
            <w:vMerge w:val="continue"/>
            <w:vAlign w:val="center"/>
          </w:tcPr>
          <w:p>
            <w:pPr>
              <w:spacing w:line="280" w:lineRule="exact"/>
              <w:jc w:val="center"/>
              <w:rPr>
                <w:rFonts w:hint="eastAsia" w:ascii="Times New Roman" w:hAnsi="Times New Roman" w:eastAsia="宋体" w:cs="Times New Roman"/>
                <w:color w:val="auto"/>
                <w:kern w:val="2"/>
                <w:sz w:val="21"/>
                <w:szCs w:val="22"/>
                <w:lang w:val="en-US" w:eastAsia="zh-CN" w:bidi="ar-SA"/>
              </w:rPr>
            </w:pPr>
          </w:p>
        </w:tc>
        <w:tc>
          <w:tcPr>
            <w:tcW w:w="4985" w:type="dxa"/>
            <w:gridSpan w:val="2"/>
            <w:vAlign w:val="center"/>
          </w:tcPr>
          <w:p>
            <w:pPr>
              <w:pStyle w:val="158"/>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投标人获得近年度中国建筑协会AAA信用的计15分，提供相关证明文件原件扫描件，否则不计分。</w:t>
            </w:r>
          </w:p>
        </w:tc>
        <w:tc>
          <w:tcPr>
            <w:tcW w:w="570" w:type="dxa"/>
            <w:vAlign w:val="center"/>
          </w:tcPr>
          <w:p>
            <w:pPr>
              <w:snapToGrid w:val="0"/>
              <w:spacing w:line="240" w:lineRule="exact"/>
              <w:jc w:val="center"/>
              <w:rPr>
                <w:rFonts w:hint="eastAsia" w:ascii="宋体" w:hAnsi="宋体"/>
                <w:color w:val="auto"/>
                <w:lang w:eastAsia="zh-CN"/>
              </w:rPr>
            </w:pPr>
            <w:r>
              <w:rPr>
                <w:rFonts w:hint="eastAsia" w:ascii="宋体" w:hAnsi="宋体"/>
                <w:color w:val="auto"/>
              </w:rPr>
              <w:t>1</w:t>
            </w:r>
            <w:r>
              <w:rPr>
                <w:rFonts w:hint="eastAsia" w:ascii="宋体" w:hAnsi="宋体"/>
                <w:color w:val="auto"/>
                <w:lang w:val="en-US" w:eastAsia="zh-CN"/>
              </w:rPr>
              <w:t>5</w:t>
            </w:r>
          </w:p>
        </w:tc>
        <w:tc>
          <w:tcPr>
            <w:tcW w:w="834" w:type="dxa"/>
            <w:vMerge w:val="continue"/>
            <w:vAlign w:val="center"/>
          </w:tcPr>
          <w:p>
            <w:pPr>
              <w:widowControl/>
              <w:snapToGrid w:val="0"/>
              <w:spacing w:line="240" w:lineRule="exact"/>
              <w:jc w:val="center"/>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trPr>
        <w:tc>
          <w:tcPr>
            <w:tcW w:w="701" w:type="dxa"/>
            <w:vMerge w:val="continue"/>
            <w:vAlign w:val="center"/>
          </w:tcPr>
          <w:p>
            <w:pPr>
              <w:snapToGrid w:val="0"/>
              <w:spacing w:line="240" w:lineRule="exact"/>
              <w:jc w:val="center"/>
              <w:rPr>
                <w:rFonts w:ascii="宋体" w:hAnsi="宋体" w:cs="宋体"/>
                <w:color w:val="auto"/>
              </w:rPr>
            </w:pPr>
          </w:p>
        </w:tc>
        <w:tc>
          <w:tcPr>
            <w:tcW w:w="1788" w:type="dxa"/>
            <w:vMerge w:val="continue"/>
            <w:vAlign w:val="center"/>
          </w:tcPr>
          <w:p>
            <w:pPr>
              <w:spacing w:line="280" w:lineRule="exact"/>
              <w:jc w:val="center"/>
              <w:rPr>
                <w:rFonts w:hint="eastAsia" w:ascii="Times New Roman" w:hAnsi="Times New Roman" w:eastAsia="宋体" w:cs="Times New Roman"/>
                <w:color w:val="auto"/>
                <w:kern w:val="2"/>
                <w:sz w:val="21"/>
                <w:szCs w:val="22"/>
                <w:lang w:val="en-US" w:eastAsia="zh-CN" w:bidi="ar-SA"/>
              </w:rPr>
            </w:pPr>
          </w:p>
        </w:tc>
        <w:tc>
          <w:tcPr>
            <w:tcW w:w="4985" w:type="dxa"/>
            <w:gridSpan w:val="2"/>
            <w:vAlign w:val="center"/>
          </w:tcPr>
          <w:p>
            <w:pPr>
              <w:pStyle w:val="17"/>
              <w:spacing w:line="240" w:lineRule="auto"/>
              <w:ind w:firstLine="0"/>
              <w:jc w:val="left"/>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投标人获得过</w:t>
            </w:r>
            <w:r>
              <w:rPr>
                <w:rFonts w:hint="eastAsia" w:cs="Times New Roman"/>
                <w:color w:val="auto"/>
                <w:kern w:val="2"/>
                <w:sz w:val="21"/>
                <w:szCs w:val="22"/>
                <w:lang w:val="en-US" w:eastAsia="zh-CN" w:bidi="ar-SA"/>
              </w:rPr>
              <w:t>市级及以上</w:t>
            </w:r>
            <w:r>
              <w:rPr>
                <w:rFonts w:hint="eastAsia" w:ascii="Times New Roman" w:hAnsi="Times New Roman" w:eastAsia="宋体" w:cs="Times New Roman"/>
                <w:color w:val="auto"/>
                <w:kern w:val="2"/>
                <w:sz w:val="21"/>
                <w:szCs w:val="22"/>
                <w:lang w:val="en-US" w:eastAsia="zh-CN" w:bidi="ar-SA"/>
              </w:rPr>
              <w:t>建筑协会颁发的“优质工程”的加5分，否则不计分。</w:t>
            </w:r>
          </w:p>
        </w:tc>
        <w:tc>
          <w:tcPr>
            <w:tcW w:w="570" w:type="dxa"/>
            <w:vAlign w:val="center"/>
          </w:tcPr>
          <w:p>
            <w:pPr>
              <w:snapToGrid w:val="0"/>
              <w:spacing w:line="240" w:lineRule="exact"/>
              <w:jc w:val="center"/>
              <w:rPr>
                <w:rFonts w:hint="eastAsia" w:ascii="宋体" w:hAnsi="宋体"/>
                <w:color w:val="auto"/>
                <w:lang w:val="en-US" w:eastAsia="zh-CN"/>
              </w:rPr>
            </w:pPr>
            <w:r>
              <w:rPr>
                <w:rFonts w:hint="eastAsia" w:ascii="宋体" w:hAnsi="宋体"/>
                <w:color w:val="auto"/>
                <w:lang w:val="en-US" w:eastAsia="zh-CN"/>
              </w:rPr>
              <w:t>5</w:t>
            </w:r>
          </w:p>
        </w:tc>
        <w:tc>
          <w:tcPr>
            <w:tcW w:w="834" w:type="dxa"/>
            <w:vMerge w:val="continue"/>
            <w:vAlign w:val="center"/>
          </w:tcPr>
          <w:p>
            <w:pPr>
              <w:widowControl/>
              <w:snapToGrid w:val="0"/>
              <w:spacing w:line="240" w:lineRule="exact"/>
              <w:jc w:val="center"/>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701" w:type="dxa"/>
            <w:vMerge w:val="continue"/>
            <w:vAlign w:val="center"/>
          </w:tcPr>
          <w:p>
            <w:pPr>
              <w:snapToGrid w:val="0"/>
              <w:spacing w:line="240" w:lineRule="exact"/>
              <w:jc w:val="center"/>
              <w:rPr>
                <w:rFonts w:ascii="宋体" w:hAnsi="宋体" w:cs="宋体"/>
                <w:color w:val="auto"/>
              </w:rPr>
            </w:pPr>
          </w:p>
        </w:tc>
        <w:tc>
          <w:tcPr>
            <w:tcW w:w="1788" w:type="dxa"/>
            <w:vMerge w:val="continue"/>
            <w:vAlign w:val="center"/>
          </w:tcPr>
          <w:p>
            <w:pPr>
              <w:spacing w:line="280" w:lineRule="exact"/>
              <w:jc w:val="center"/>
              <w:rPr>
                <w:rFonts w:hint="eastAsia" w:ascii="Times New Roman" w:hAnsi="Times New Roman" w:eastAsia="宋体" w:cs="Times New Roman"/>
                <w:color w:val="auto"/>
                <w:kern w:val="2"/>
                <w:sz w:val="21"/>
                <w:szCs w:val="22"/>
                <w:lang w:val="en-US" w:eastAsia="zh-CN" w:bidi="ar-SA"/>
              </w:rPr>
            </w:pPr>
          </w:p>
        </w:tc>
        <w:tc>
          <w:tcPr>
            <w:tcW w:w="4985" w:type="dxa"/>
            <w:gridSpan w:val="2"/>
            <w:vAlign w:val="center"/>
          </w:tcPr>
          <w:p>
            <w:pPr>
              <w:pStyle w:val="17"/>
              <w:spacing w:line="240" w:lineRule="auto"/>
              <w:ind w:firstLine="0"/>
              <w:jc w:val="left"/>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投标人获得上一年度获得国家税务总局公示的纳税信用</w:t>
            </w:r>
            <w:r>
              <w:rPr>
                <w:rFonts w:hint="eastAsia" w:cs="Times New Roman"/>
                <w:color w:val="auto"/>
                <w:kern w:val="2"/>
                <w:sz w:val="21"/>
                <w:szCs w:val="22"/>
                <w:lang w:val="en-US" w:eastAsia="zh-CN" w:bidi="ar-SA"/>
              </w:rPr>
              <w:t>B</w:t>
            </w:r>
            <w:r>
              <w:rPr>
                <w:rFonts w:hint="eastAsia" w:ascii="Times New Roman" w:hAnsi="Times New Roman" w:eastAsia="宋体" w:cs="Times New Roman"/>
                <w:color w:val="auto"/>
                <w:kern w:val="2"/>
                <w:sz w:val="21"/>
                <w:szCs w:val="22"/>
                <w:lang w:val="en-US" w:eastAsia="zh-CN" w:bidi="ar-SA"/>
              </w:rPr>
              <w:t>级</w:t>
            </w:r>
            <w:r>
              <w:rPr>
                <w:rFonts w:hint="eastAsia" w:cs="Times New Roman"/>
                <w:color w:val="auto"/>
                <w:kern w:val="2"/>
                <w:sz w:val="21"/>
                <w:szCs w:val="22"/>
                <w:lang w:val="en-US" w:eastAsia="zh-CN" w:bidi="ar-SA"/>
              </w:rPr>
              <w:t>及以上</w:t>
            </w:r>
            <w:r>
              <w:rPr>
                <w:rFonts w:hint="eastAsia" w:ascii="Times New Roman" w:hAnsi="Times New Roman" w:eastAsia="宋体" w:cs="Times New Roman"/>
                <w:color w:val="auto"/>
                <w:kern w:val="2"/>
                <w:sz w:val="21"/>
                <w:szCs w:val="22"/>
                <w:lang w:val="en-US" w:eastAsia="zh-CN" w:bidi="ar-SA"/>
              </w:rPr>
              <w:t>纳税人评价的计5分。提供税务局官方网站查询结果截图，否则不予计分。</w:t>
            </w:r>
          </w:p>
        </w:tc>
        <w:tc>
          <w:tcPr>
            <w:tcW w:w="570" w:type="dxa"/>
            <w:vAlign w:val="center"/>
          </w:tcPr>
          <w:p>
            <w:pPr>
              <w:snapToGrid w:val="0"/>
              <w:spacing w:line="240" w:lineRule="exact"/>
              <w:jc w:val="center"/>
              <w:rPr>
                <w:rFonts w:hint="default" w:ascii="宋体" w:hAnsi="宋体"/>
                <w:color w:val="auto"/>
                <w:lang w:val="en-US" w:eastAsia="zh-CN"/>
              </w:rPr>
            </w:pPr>
            <w:r>
              <w:rPr>
                <w:rFonts w:hint="eastAsia" w:ascii="宋体" w:hAnsi="宋体"/>
                <w:color w:val="auto"/>
                <w:lang w:val="en-US" w:eastAsia="zh-CN"/>
              </w:rPr>
              <w:t>5</w:t>
            </w:r>
          </w:p>
        </w:tc>
        <w:tc>
          <w:tcPr>
            <w:tcW w:w="834" w:type="dxa"/>
            <w:vAlign w:val="center"/>
          </w:tcPr>
          <w:p>
            <w:pPr>
              <w:widowControl/>
              <w:snapToGrid w:val="0"/>
              <w:spacing w:line="240" w:lineRule="exact"/>
              <w:jc w:val="center"/>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701" w:type="dxa"/>
            <w:vAlign w:val="center"/>
          </w:tcPr>
          <w:p>
            <w:pPr>
              <w:widowControl/>
              <w:spacing w:line="240" w:lineRule="exact"/>
              <w:jc w:val="center"/>
              <w:rPr>
                <w:rFonts w:ascii="宋体"/>
                <w:color w:val="auto"/>
              </w:rPr>
            </w:pPr>
            <w:r>
              <w:rPr>
                <w:rFonts w:hint="eastAsia" w:ascii="宋体"/>
                <w:color w:val="auto"/>
              </w:rPr>
              <w:t>3</w:t>
            </w:r>
          </w:p>
        </w:tc>
        <w:tc>
          <w:tcPr>
            <w:tcW w:w="1788" w:type="dxa"/>
            <w:vAlign w:val="center"/>
          </w:tcPr>
          <w:p>
            <w:pPr>
              <w:widowControl/>
              <w:spacing w:line="240" w:lineRule="exact"/>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企业安全认证</w:t>
            </w:r>
          </w:p>
          <w:p>
            <w:pPr>
              <w:widowControl/>
              <w:spacing w:line="240" w:lineRule="exact"/>
              <w:jc w:val="center"/>
              <w:rPr>
                <w:rFonts w:hint="eastAsia" w:ascii="Times New Roman" w:hAnsi="Times New Roman" w:eastAsia="宋体" w:cs="Times New Roman"/>
                <w:color w:val="auto"/>
                <w:kern w:val="2"/>
                <w:sz w:val="21"/>
                <w:szCs w:val="22"/>
                <w:lang w:val="en-US" w:eastAsia="zh-CN" w:bidi="ar-SA"/>
              </w:rPr>
            </w:pPr>
          </w:p>
        </w:tc>
        <w:tc>
          <w:tcPr>
            <w:tcW w:w="4985" w:type="dxa"/>
            <w:gridSpan w:val="2"/>
            <w:vAlign w:val="center"/>
          </w:tcPr>
          <w:p>
            <w:pPr>
              <w:pStyle w:val="17"/>
              <w:spacing w:line="240" w:lineRule="auto"/>
              <w:ind w:firstLine="0"/>
              <w:jc w:val="left"/>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投标人具有省级安全认证证书的计10分；市级安全认证证书的计5分；提供相关证明、文件等资料，否则不计分。</w:t>
            </w:r>
          </w:p>
        </w:tc>
        <w:tc>
          <w:tcPr>
            <w:tcW w:w="570" w:type="dxa"/>
            <w:vAlign w:val="center"/>
          </w:tcPr>
          <w:p>
            <w:pPr>
              <w:snapToGrid w:val="0"/>
              <w:spacing w:line="240" w:lineRule="exact"/>
              <w:jc w:val="center"/>
              <w:rPr>
                <w:rFonts w:hint="eastAsia" w:ascii="宋体" w:hAnsi="宋体"/>
                <w:color w:val="auto"/>
                <w:lang w:val="en-US" w:eastAsia="zh-CN"/>
              </w:rPr>
            </w:pPr>
            <w:r>
              <w:rPr>
                <w:rFonts w:hint="eastAsia" w:ascii="宋体" w:hAnsi="宋体"/>
                <w:color w:val="auto"/>
                <w:lang w:val="en-US" w:eastAsia="zh-CN"/>
              </w:rPr>
              <w:t>10</w:t>
            </w:r>
          </w:p>
        </w:tc>
        <w:tc>
          <w:tcPr>
            <w:tcW w:w="834" w:type="dxa"/>
            <w:vAlign w:val="center"/>
          </w:tcPr>
          <w:p>
            <w:pPr>
              <w:snapToGrid w:val="0"/>
              <w:spacing w:line="240" w:lineRule="exact"/>
              <w:jc w:val="center"/>
              <w:rPr>
                <w:rFonts w:ascii="宋体" w:hAnsi="宋体" w:cs="宋体"/>
                <w:color w:val="auto"/>
              </w:rPr>
            </w:pPr>
          </w:p>
          <w:p>
            <w:pPr>
              <w:snapToGrid w:val="0"/>
              <w:spacing w:line="24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7" w:hRule="atLeast"/>
        </w:trPr>
        <w:tc>
          <w:tcPr>
            <w:tcW w:w="701" w:type="dxa"/>
            <w:vAlign w:val="center"/>
          </w:tcPr>
          <w:p>
            <w:pPr>
              <w:snapToGrid w:val="0"/>
              <w:spacing w:line="240" w:lineRule="exact"/>
              <w:jc w:val="center"/>
              <w:rPr>
                <w:rFonts w:ascii="宋体" w:hAnsi="宋体" w:cs="宋体"/>
                <w:color w:val="auto"/>
              </w:rPr>
            </w:pPr>
            <w:r>
              <w:rPr>
                <w:rFonts w:hint="eastAsia" w:ascii="宋体" w:hAnsi="宋体" w:cs="宋体"/>
                <w:color w:val="auto"/>
              </w:rPr>
              <w:t>5</w:t>
            </w:r>
          </w:p>
        </w:tc>
        <w:tc>
          <w:tcPr>
            <w:tcW w:w="1788" w:type="dxa"/>
            <w:vAlign w:val="center"/>
          </w:tcPr>
          <w:p>
            <w:pPr>
              <w:spacing w:line="280" w:lineRule="exact"/>
              <w:jc w:val="center"/>
              <w:rPr>
                <w:color w:val="auto"/>
                <w:szCs w:val="21"/>
              </w:rPr>
            </w:pPr>
            <w:r>
              <w:rPr>
                <w:rFonts w:hint="eastAsia"/>
                <w:color w:val="auto"/>
                <w:szCs w:val="21"/>
              </w:rPr>
              <w:t>企业体系认证情况</w:t>
            </w:r>
          </w:p>
        </w:tc>
        <w:tc>
          <w:tcPr>
            <w:tcW w:w="4985" w:type="dxa"/>
            <w:gridSpan w:val="2"/>
            <w:vAlign w:val="center"/>
          </w:tcPr>
          <w:p>
            <w:pPr>
              <w:pStyle w:val="308"/>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投标人同时具备有效的ISO9001质量管理体系、ISO14001环境管理体系、GB/T28001职业健康安全管理体系、GB/T29490-2013知识产权管理体系认证的计15分。提供证书原件扫描件，否则不计分。</w:t>
            </w:r>
          </w:p>
        </w:tc>
        <w:tc>
          <w:tcPr>
            <w:tcW w:w="570" w:type="dxa"/>
            <w:vAlign w:val="center"/>
          </w:tcPr>
          <w:p>
            <w:pPr>
              <w:snapToGrid w:val="0"/>
              <w:spacing w:line="240" w:lineRule="exact"/>
              <w:jc w:val="center"/>
              <w:rPr>
                <w:rFonts w:hint="default" w:ascii="宋体" w:hAnsi="宋体"/>
                <w:color w:val="auto"/>
                <w:lang w:val="en-US" w:eastAsia="zh-CN"/>
              </w:rPr>
            </w:pPr>
            <w:r>
              <w:rPr>
                <w:rFonts w:hint="eastAsia" w:ascii="宋体" w:hAnsi="宋体"/>
                <w:color w:val="auto"/>
                <w:lang w:val="en-US" w:eastAsia="zh-CN"/>
              </w:rPr>
              <w:t>15</w:t>
            </w:r>
          </w:p>
        </w:tc>
        <w:tc>
          <w:tcPr>
            <w:tcW w:w="834" w:type="dxa"/>
            <w:vAlign w:val="center"/>
          </w:tcPr>
          <w:p>
            <w:pPr>
              <w:snapToGrid w:val="0"/>
              <w:spacing w:line="24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trPr>
        <w:tc>
          <w:tcPr>
            <w:tcW w:w="701" w:type="dxa"/>
            <w:vMerge w:val="restart"/>
            <w:vAlign w:val="center"/>
          </w:tcPr>
          <w:p>
            <w:pPr>
              <w:snapToGrid w:val="0"/>
              <w:spacing w:line="240" w:lineRule="exact"/>
              <w:jc w:val="center"/>
              <w:rPr>
                <w:rFonts w:ascii="宋体" w:hAnsi="宋体" w:cs="宋体"/>
                <w:color w:val="auto"/>
              </w:rPr>
            </w:pPr>
            <w:r>
              <w:rPr>
                <w:rFonts w:hint="eastAsia" w:ascii="宋体" w:hAnsi="宋体" w:cs="宋体"/>
                <w:color w:val="auto"/>
              </w:rPr>
              <w:t>6</w:t>
            </w:r>
          </w:p>
        </w:tc>
        <w:tc>
          <w:tcPr>
            <w:tcW w:w="1788" w:type="dxa"/>
            <w:vMerge w:val="restart"/>
            <w:vAlign w:val="center"/>
          </w:tcPr>
          <w:p>
            <w:pPr>
              <w:snapToGrid w:val="0"/>
              <w:spacing w:line="240" w:lineRule="exact"/>
              <w:jc w:val="center"/>
              <w:rPr>
                <w:rFonts w:ascii="宋体"/>
                <w:color w:val="auto"/>
                <w:spacing w:val="-12"/>
              </w:rPr>
            </w:pPr>
            <w:r>
              <w:rPr>
                <w:rFonts w:hint="eastAsia" w:ascii="宋体" w:hAnsi="宋体" w:cs="宋体"/>
                <w:color w:val="auto"/>
                <w:spacing w:val="-12"/>
              </w:rPr>
              <w:t>不良行为记录情况</w:t>
            </w:r>
          </w:p>
        </w:tc>
        <w:tc>
          <w:tcPr>
            <w:tcW w:w="1285" w:type="dxa"/>
            <w:vMerge w:val="restart"/>
            <w:vAlign w:val="center"/>
          </w:tcPr>
          <w:p>
            <w:pPr>
              <w:snapToGrid w:val="0"/>
              <w:spacing w:line="240" w:lineRule="exact"/>
              <w:jc w:val="center"/>
              <w:rPr>
                <w:rFonts w:ascii="宋体"/>
                <w:color w:val="auto"/>
                <w:spacing w:val="-12"/>
              </w:rPr>
            </w:pPr>
            <w:r>
              <w:rPr>
                <w:rFonts w:hint="eastAsia" w:ascii="宋体" w:hAnsi="宋体" w:cs="宋体"/>
                <w:color w:val="auto"/>
              </w:rPr>
              <w:t>拟任项目经理</w:t>
            </w:r>
          </w:p>
        </w:tc>
        <w:tc>
          <w:tcPr>
            <w:tcW w:w="3700" w:type="dxa"/>
            <w:vAlign w:val="center"/>
          </w:tcPr>
          <w:p>
            <w:pPr>
              <w:snapToGrid w:val="0"/>
              <w:spacing w:line="240" w:lineRule="exact"/>
              <w:rPr>
                <w:rFonts w:ascii="宋体"/>
                <w:color w:val="auto"/>
              </w:rPr>
            </w:pPr>
            <w:r>
              <w:rPr>
                <w:rFonts w:hint="eastAsia" w:ascii="宋体" w:hAnsi="宋体" w:cs="宋体"/>
                <w:color w:val="auto"/>
              </w:rPr>
              <w:t>没有不良行为记录</w:t>
            </w:r>
          </w:p>
        </w:tc>
        <w:tc>
          <w:tcPr>
            <w:tcW w:w="570" w:type="dxa"/>
            <w:vAlign w:val="center"/>
          </w:tcPr>
          <w:p>
            <w:pPr>
              <w:snapToGrid w:val="0"/>
              <w:spacing w:line="240" w:lineRule="exact"/>
              <w:jc w:val="center"/>
              <w:rPr>
                <w:rFonts w:ascii="宋体" w:hAnsi="宋体" w:cs="宋体"/>
                <w:color w:val="auto"/>
              </w:rPr>
            </w:pPr>
            <w:r>
              <w:rPr>
                <w:rFonts w:hint="eastAsia" w:ascii="宋体" w:hAnsi="宋体" w:cs="宋体"/>
                <w:color w:val="auto"/>
              </w:rPr>
              <w:t>20</w:t>
            </w:r>
          </w:p>
        </w:tc>
        <w:tc>
          <w:tcPr>
            <w:tcW w:w="834" w:type="dxa"/>
            <w:vMerge w:val="restart"/>
            <w:vAlign w:val="center"/>
          </w:tcPr>
          <w:p>
            <w:pPr>
              <w:snapToGrid w:val="0"/>
              <w:spacing w:line="24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701" w:type="dxa"/>
            <w:vMerge w:val="continue"/>
            <w:vAlign w:val="center"/>
          </w:tcPr>
          <w:p>
            <w:pPr>
              <w:widowControl/>
              <w:spacing w:line="240" w:lineRule="exact"/>
              <w:jc w:val="left"/>
              <w:rPr>
                <w:rFonts w:ascii="宋体"/>
                <w:color w:val="auto"/>
              </w:rPr>
            </w:pPr>
          </w:p>
        </w:tc>
        <w:tc>
          <w:tcPr>
            <w:tcW w:w="1788" w:type="dxa"/>
            <w:vMerge w:val="continue"/>
            <w:vAlign w:val="center"/>
          </w:tcPr>
          <w:p>
            <w:pPr>
              <w:widowControl/>
              <w:spacing w:line="240" w:lineRule="exact"/>
              <w:jc w:val="left"/>
              <w:rPr>
                <w:rFonts w:ascii="宋体"/>
                <w:color w:val="auto"/>
                <w:spacing w:val="-12"/>
              </w:rPr>
            </w:pPr>
          </w:p>
        </w:tc>
        <w:tc>
          <w:tcPr>
            <w:tcW w:w="1285" w:type="dxa"/>
            <w:vMerge w:val="continue"/>
            <w:vAlign w:val="center"/>
          </w:tcPr>
          <w:p>
            <w:pPr>
              <w:widowControl/>
              <w:spacing w:line="240" w:lineRule="exact"/>
              <w:jc w:val="left"/>
              <w:rPr>
                <w:rFonts w:ascii="宋体"/>
                <w:color w:val="auto"/>
                <w:spacing w:val="-12"/>
              </w:rPr>
            </w:pPr>
          </w:p>
        </w:tc>
        <w:tc>
          <w:tcPr>
            <w:tcW w:w="4270" w:type="dxa"/>
            <w:gridSpan w:val="2"/>
            <w:vAlign w:val="center"/>
          </w:tcPr>
          <w:p>
            <w:pPr>
              <w:snapToGrid w:val="0"/>
              <w:spacing w:line="240" w:lineRule="exact"/>
              <w:rPr>
                <w:rFonts w:ascii="宋体"/>
                <w:color w:val="auto"/>
              </w:rPr>
            </w:pPr>
            <w:r>
              <w:rPr>
                <w:rFonts w:hint="eastAsia" w:ascii="宋体" w:hAnsi="宋体" w:cs="宋体"/>
                <w:color w:val="auto"/>
              </w:rPr>
              <w:t>每发生一次一般不良行为记录扣4分</w:t>
            </w:r>
          </w:p>
        </w:tc>
        <w:tc>
          <w:tcPr>
            <w:tcW w:w="834" w:type="dxa"/>
            <w:vMerge w:val="continue"/>
            <w:vAlign w:val="center"/>
          </w:tcPr>
          <w:p>
            <w:pPr>
              <w:snapToGrid w:val="0"/>
              <w:spacing w:line="24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701" w:type="dxa"/>
            <w:vMerge w:val="continue"/>
            <w:vAlign w:val="center"/>
          </w:tcPr>
          <w:p>
            <w:pPr>
              <w:widowControl/>
              <w:spacing w:line="240" w:lineRule="exact"/>
              <w:jc w:val="left"/>
              <w:rPr>
                <w:rFonts w:ascii="宋体"/>
                <w:color w:val="auto"/>
              </w:rPr>
            </w:pPr>
          </w:p>
        </w:tc>
        <w:tc>
          <w:tcPr>
            <w:tcW w:w="1788" w:type="dxa"/>
            <w:vMerge w:val="continue"/>
            <w:vAlign w:val="center"/>
          </w:tcPr>
          <w:p>
            <w:pPr>
              <w:widowControl/>
              <w:spacing w:line="240" w:lineRule="exact"/>
              <w:jc w:val="left"/>
              <w:rPr>
                <w:rFonts w:ascii="宋体"/>
                <w:color w:val="auto"/>
                <w:spacing w:val="-12"/>
              </w:rPr>
            </w:pPr>
          </w:p>
        </w:tc>
        <w:tc>
          <w:tcPr>
            <w:tcW w:w="1285" w:type="dxa"/>
            <w:vMerge w:val="continue"/>
            <w:vAlign w:val="center"/>
          </w:tcPr>
          <w:p>
            <w:pPr>
              <w:widowControl/>
              <w:spacing w:line="240" w:lineRule="exact"/>
              <w:jc w:val="left"/>
              <w:rPr>
                <w:rFonts w:ascii="宋体"/>
                <w:color w:val="auto"/>
                <w:spacing w:val="-12"/>
              </w:rPr>
            </w:pPr>
          </w:p>
        </w:tc>
        <w:tc>
          <w:tcPr>
            <w:tcW w:w="4270" w:type="dxa"/>
            <w:gridSpan w:val="2"/>
            <w:vAlign w:val="center"/>
          </w:tcPr>
          <w:p>
            <w:pPr>
              <w:snapToGrid w:val="0"/>
              <w:spacing w:line="240" w:lineRule="exact"/>
              <w:rPr>
                <w:rFonts w:ascii="宋体"/>
                <w:color w:val="auto"/>
              </w:rPr>
            </w:pPr>
            <w:r>
              <w:rPr>
                <w:rFonts w:hint="eastAsia" w:ascii="宋体" w:hAnsi="宋体" w:cs="宋体"/>
                <w:color w:val="auto"/>
              </w:rPr>
              <w:t>每发生一次严重不良行为记录扣8分</w:t>
            </w:r>
          </w:p>
        </w:tc>
        <w:tc>
          <w:tcPr>
            <w:tcW w:w="834" w:type="dxa"/>
            <w:vMerge w:val="continue"/>
            <w:vAlign w:val="center"/>
          </w:tcPr>
          <w:p>
            <w:pPr>
              <w:snapToGrid w:val="0"/>
              <w:spacing w:line="24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trPr>
        <w:tc>
          <w:tcPr>
            <w:tcW w:w="701" w:type="dxa"/>
            <w:vMerge w:val="continue"/>
            <w:vAlign w:val="center"/>
          </w:tcPr>
          <w:p>
            <w:pPr>
              <w:widowControl/>
              <w:spacing w:line="240" w:lineRule="exact"/>
              <w:jc w:val="left"/>
              <w:rPr>
                <w:rFonts w:ascii="宋体"/>
                <w:color w:val="auto"/>
              </w:rPr>
            </w:pPr>
          </w:p>
        </w:tc>
        <w:tc>
          <w:tcPr>
            <w:tcW w:w="1788" w:type="dxa"/>
            <w:vMerge w:val="continue"/>
            <w:vAlign w:val="center"/>
          </w:tcPr>
          <w:p>
            <w:pPr>
              <w:widowControl/>
              <w:spacing w:line="240" w:lineRule="exact"/>
              <w:jc w:val="left"/>
              <w:rPr>
                <w:rFonts w:ascii="宋体"/>
                <w:color w:val="auto"/>
                <w:spacing w:val="-12"/>
              </w:rPr>
            </w:pPr>
          </w:p>
        </w:tc>
        <w:tc>
          <w:tcPr>
            <w:tcW w:w="1285" w:type="dxa"/>
            <w:vMerge w:val="restart"/>
            <w:vAlign w:val="center"/>
          </w:tcPr>
          <w:p>
            <w:pPr>
              <w:snapToGrid w:val="0"/>
              <w:spacing w:line="240" w:lineRule="exact"/>
              <w:jc w:val="center"/>
              <w:rPr>
                <w:rFonts w:ascii="宋体"/>
                <w:color w:val="auto"/>
                <w:spacing w:val="-8"/>
              </w:rPr>
            </w:pPr>
            <w:r>
              <w:rPr>
                <w:rFonts w:hint="eastAsia" w:ascii="宋体" w:hAnsi="宋体" w:cs="宋体"/>
                <w:color w:val="auto"/>
                <w:spacing w:val="-8"/>
              </w:rPr>
              <w:t>投标人</w:t>
            </w:r>
          </w:p>
        </w:tc>
        <w:tc>
          <w:tcPr>
            <w:tcW w:w="3700" w:type="dxa"/>
            <w:vAlign w:val="center"/>
          </w:tcPr>
          <w:p>
            <w:pPr>
              <w:snapToGrid w:val="0"/>
              <w:spacing w:line="240" w:lineRule="exact"/>
              <w:rPr>
                <w:rFonts w:ascii="宋体"/>
                <w:color w:val="auto"/>
              </w:rPr>
            </w:pPr>
            <w:r>
              <w:rPr>
                <w:rFonts w:hint="eastAsia" w:ascii="宋体" w:hAnsi="宋体" w:cs="宋体"/>
                <w:color w:val="auto"/>
              </w:rPr>
              <w:t>没有不良行为记录</w:t>
            </w:r>
          </w:p>
        </w:tc>
        <w:tc>
          <w:tcPr>
            <w:tcW w:w="570" w:type="dxa"/>
            <w:vAlign w:val="center"/>
          </w:tcPr>
          <w:p>
            <w:pPr>
              <w:snapToGrid w:val="0"/>
              <w:spacing w:line="240" w:lineRule="exact"/>
              <w:jc w:val="center"/>
              <w:rPr>
                <w:rFonts w:ascii="宋体" w:hAnsi="宋体" w:cs="宋体"/>
                <w:color w:val="auto"/>
              </w:rPr>
            </w:pPr>
            <w:r>
              <w:rPr>
                <w:rFonts w:hint="eastAsia" w:ascii="宋体" w:hAnsi="宋体" w:cs="宋体"/>
                <w:color w:val="auto"/>
              </w:rPr>
              <w:t>10</w:t>
            </w:r>
          </w:p>
        </w:tc>
        <w:tc>
          <w:tcPr>
            <w:tcW w:w="834" w:type="dxa"/>
            <w:vMerge w:val="restart"/>
            <w:vAlign w:val="center"/>
          </w:tcPr>
          <w:p>
            <w:pPr>
              <w:snapToGrid w:val="0"/>
              <w:spacing w:line="24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701" w:type="dxa"/>
            <w:vMerge w:val="continue"/>
            <w:vAlign w:val="center"/>
          </w:tcPr>
          <w:p>
            <w:pPr>
              <w:widowControl/>
              <w:spacing w:line="240" w:lineRule="exact"/>
              <w:jc w:val="left"/>
              <w:rPr>
                <w:rFonts w:ascii="宋体"/>
                <w:color w:val="auto"/>
              </w:rPr>
            </w:pPr>
          </w:p>
        </w:tc>
        <w:tc>
          <w:tcPr>
            <w:tcW w:w="1788" w:type="dxa"/>
            <w:vMerge w:val="continue"/>
            <w:vAlign w:val="center"/>
          </w:tcPr>
          <w:p>
            <w:pPr>
              <w:widowControl/>
              <w:spacing w:line="240" w:lineRule="exact"/>
              <w:jc w:val="left"/>
              <w:rPr>
                <w:rFonts w:ascii="宋体"/>
                <w:color w:val="auto"/>
                <w:spacing w:val="-12"/>
              </w:rPr>
            </w:pPr>
          </w:p>
        </w:tc>
        <w:tc>
          <w:tcPr>
            <w:tcW w:w="1285" w:type="dxa"/>
            <w:vMerge w:val="continue"/>
            <w:vAlign w:val="center"/>
          </w:tcPr>
          <w:p>
            <w:pPr>
              <w:widowControl/>
              <w:spacing w:line="240" w:lineRule="exact"/>
              <w:jc w:val="left"/>
              <w:rPr>
                <w:rFonts w:ascii="宋体"/>
                <w:color w:val="auto"/>
                <w:spacing w:val="-8"/>
              </w:rPr>
            </w:pPr>
          </w:p>
        </w:tc>
        <w:tc>
          <w:tcPr>
            <w:tcW w:w="4270" w:type="dxa"/>
            <w:gridSpan w:val="2"/>
            <w:vAlign w:val="center"/>
          </w:tcPr>
          <w:p>
            <w:pPr>
              <w:snapToGrid w:val="0"/>
              <w:spacing w:line="240" w:lineRule="exact"/>
              <w:rPr>
                <w:rFonts w:ascii="宋体"/>
                <w:color w:val="auto"/>
              </w:rPr>
            </w:pPr>
            <w:r>
              <w:rPr>
                <w:rFonts w:hint="eastAsia" w:ascii="宋体" w:hAnsi="宋体" w:cs="宋体"/>
                <w:color w:val="auto"/>
              </w:rPr>
              <w:t>每发生一次一般不良行为记录扣3分</w:t>
            </w:r>
          </w:p>
        </w:tc>
        <w:tc>
          <w:tcPr>
            <w:tcW w:w="834" w:type="dxa"/>
            <w:vMerge w:val="continue"/>
            <w:vAlign w:val="center"/>
          </w:tcPr>
          <w:p>
            <w:pPr>
              <w:snapToGrid w:val="0"/>
              <w:spacing w:line="24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701" w:type="dxa"/>
            <w:vMerge w:val="continue"/>
            <w:vAlign w:val="center"/>
          </w:tcPr>
          <w:p>
            <w:pPr>
              <w:widowControl/>
              <w:spacing w:line="240" w:lineRule="exact"/>
              <w:jc w:val="left"/>
              <w:rPr>
                <w:rFonts w:ascii="宋体"/>
                <w:color w:val="auto"/>
              </w:rPr>
            </w:pPr>
          </w:p>
        </w:tc>
        <w:tc>
          <w:tcPr>
            <w:tcW w:w="1788" w:type="dxa"/>
            <w:vMerge w:val="continue"/>
            <w:vAlign w:val="center"/>
          </w:tcPr>
          <w:p>
            <w:pPr>
              <w:widowControl/>
              <w:spacing w:line="240" w:lineRule="exact"/>
              <w:jc w:val="left"/>
              <w:rPr>
                <w:rFonts w:ascii="宋体"/>
                <w:color w:val="auto"/>
                <w:spacing w:val="-12"/>
              </w:rPr>
            </w:pPr>
          </w:p>
        </w:tc>
        <w:tc>
          <w:tcPr>
            <w:tcW w:w="1285" w:type="dxa"/>
            <w:vMerge w:val="continue"/>
            <w:vAlign w:val="center"/>
          </w:tcPr>
          <w:p>
            <w:pPr>
              <w:widowControl/>
              <w:spacing w:line="240" w:lineRule="exact"/>
              <w:jc w:val="left"/>
              <w:rPr>
                <w:rFonts w:ascii="宋体"/>
                <w:color w:val="auto"/>
                <w:spacing w:val="-8"/>
              </w:rPr>
            </w:pPr>
          </w:p>
        </w:tc>
        <w:tc>
          <w:tcPr>
            <w:tcW w:w="4270" w:type="dxa"/>
            <w:gridSpan w:val="2"/>
            <w:vAlign w:val="center"/>
          </w:tcPr>
          <w:p>
            <w:pPr>
              <w:snapToGrid w:val="0"/>
              <w:spacing w:line="240" w:lineRule="exact"/>
              <w:rPr>
                <w:rFonts w:ascii="宋体"/>
                <w:color w:val="auto"/>
              </w:rPr>
            </w:pPr>
            <w:r>
              <w:rPr>
                <w:rFonts w:hint="eastAsia" w:ascii="宋体" w:hAnsi="宋体" w:cs="宋体"/>
                <w:color w:val="auto"/>
              </w:rPr>
              <w:t>每发生一次严重不良行为记录扣5分</w:t>
            </w:r>
          </w:p>
        </w:tc>
        <w:tc>
          <w:tcPr>
            <w:tcW w:w="834" w:type="dxa"/>
            <w:vMerge w:val="continue"/>
            <w:vAlign w:val="center"/>
          </w:tcPr>
          <w:p>
            <w:pPr>
              <w:snapToGrid w:val="0"/>
              <w:spacing w:line="24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01" w:type="dxa"/>
            <w:vAlign w:val="center"/>
          </w:tcPr>
          <w:p>
            <w:pPr>
              <w:snapToGrid w:val="0"/>
              <w:spacing w:line="240" w:lineRule="exact"/>
              <w:jc w:val="center"/>
              <w:rPr>
                <w:rFonts w:ascii="宋体" w:hAnsi="宋体" w:cs="宋体"/>
                <w:color w:val="auto"/>
              </w:rPr>
            </w:pPr>
            <w:r>
              <w:rPr>
                <w:rFonts w:hint="eastAsia" w:ascii="宋体" w:hAnsi="宋体" w:cs="宋体"/>
                <w:color w:val="auto"/>
              </w:rPr>
              <w:t>7</w:t>
            </w:r>
          </w:p>
        </w:tc>
        <w:tc>
          <w:tcPr>
            <w:tcW w:w="7343" w:type="dxa"/>
            <w:gridSpan w:val="4"/>
            <w:vAlign w:val="center"/>
          </w:tcPr>
          <w:p>
            <w:pPr>
              <w:snapToGrid w:val="0"/>
              <w:spacing w:line="240" w:lineRule="exact"/>
              <w:jc w:val="center"/>
              <w:rPr>
                <w:rFonts w:ascii="宋体"/>
                <w:color w:val="auto"/>
              </w:rPr>
            </w:pPr>
            <w:r>
              <w:rPr>
                <w:rFonts w:hint="eastAsia" w:ascii="宋体" w:hAnsi="宋体" w:cs="宋体"/>
                <w:color w:val="auto"/>
              </w:rPr>
              <w:t>合计</w:t>
            </w:r>
          </w:p>
        </w:tc>
        <w:tc>
          <w:tcPr>
            <w:tcW w:w="834" w:type="dxa"/>
            <w:vAlign w:val="center"/>
          </w:tcPr>
          <w:p>
            <w:pPr>
              <w:snapToGrid w:val="0"/>
              <w:spacing w:line="240" w:lineRule="exact"/>
              <w:jc w:val="center"/>
              <w:rPr>
                <w:rFonts w:ascii="宋体"/>
                <w:color w:val="auto"/>
              </w:rPr>
            </w:pPr>
          </w:p>
        </w:tc>
      </w:tr>
    </w:tbl>
    <w:p>
      <w:pPr>
        <w:pStyle w:val="17"/>
        <w:rPr>
          <w:color w:val="auto"/>
        </w:rPr>
      </w:pPr>
    </w:p>
    <w:p>
      <w:pPr>
        <w:pStyle w:val="48"/>
        <w:spacing w:beforeAutospacing="0" w:afterAutospacing="0"/>
        <w:ind w:firstLine="420"/>
        <w:jc w:val="both"/>
        <w:rPr>
          <w:rFonts w:hint="eastAsia" w:ascii="宋体" w:hAnsi="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注：</w:t>
      </w:r>
      <w:bookmarkStart w:id="393" w:name="_Toc22667"/>
      <w:bookmarkStart w:id="394" w:name="_Toc7573_WPSOffice_Level1"/>
      <w:r>
        <w:rPr>
          <w:rFonts w:hint="eastAsia" w:ascii="宋体" w:hAnsi="宋体" w:cs="宋体"/>
          <w:color w:val="auto"/>
          <w:kern w:val="2"/>
          <w:sz w:val="21"/>
          <w:szCs w:val="21"/>
          <w:lang w:val="en-US" w:eastAsia="zh-CN" w:bidi="ar-SA"/>
        </w:rPr>
        <w:t>加分和扣分具有有效期的，以提交投标文件截止时间为准。有效期限按下列规定执行：</w:t>
      </w:r>
    </w:p>
    <w:p>
      <w:pPr>
        <w:pStyle w:val="48"/>
        <w:numPr>
          <w:ilvl w:val="0"/>
          <w:numId w:val="11"/>
        </w:numPr>
        <w:spacing w:beforeAutospacing="0" w:afterAutospacing="0"/>
        <w:ind w:firstLine="420"/>
        <w:jc w:val="both"/>
        <w:rPr>
          <w:rFonts w:hint="eastAsia" w:ascii="宋体" w:hAnsi="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企业不良行为记录扣分有效期为180天，拟任项目经理不良行为记录扣分有效期为720天。（在本省行政区域内发生不良行为的，以开标时省住房和城乡建设厅已发的文件为准，自公布之日起计算）；</w:t>
      </w:r>
    </w:p>
    <w:p>
      <w:pPr>
        <w:pStyle w:val="48"/>
        <w:numPr>
          <w:ilvl w:val="0"/>
          <w:numId w:val="11"/>
        </w:numPr>
        <w:spacing w:beforeAutospacing="0" w:afterAutospacing="0"/>
        <w:ind w:firstLine="420"/>
        <w:jc w:val="both"/>
        <w:rPr>
          <w:rFonts w:hint="eastAsia" w:ascii="宋体" w:hAnsi="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企业安全认认以相关证书或公布文件注明的有效期为准。</w:t>
      </w:r>
    </w:p>
    <w:p>
      <w:pPr>
        <w:snapToGrid w:val="0"/>
        <w:ind w:firstLine="420" w:firstLineChars="200"/>
        <w:rPr>
          <w:rFonts w:ascii="宋体" w:hAnsi="宋体" w:cs="宋体"/>
          <w:color w:val="auto"/>
          <w:szCs w:val="21"/>
        </w:rPr>
      </w:pPr>
      <w:r>
        <w:rPr>
          <w:rFonts w:hint="eastAsia" w:ascii="宋体" w:hAnsi="宋体" w:cs="宋体"/>
          <w:color w:val="auto"/>
          <w:kern w:val="2"/>
          <w:sz w:val="21"/>
          <w:szCs w:val="21"/>
          <w:lang w:val="en-US" w:eastAsia="zh-CN" w:bidi="ar-SA"/>
        </w:rPr>
        <w:t>3.不良行为记录包括工程质量、安全生产、市场行为等方面的情况。省住房和城乡建设厅发布的《湖南省建筑市场责任主体不良行为记录》是确认本省行政区域内不良行为记录的依据，</w:t>
      </w:r>
      <w:r>
        <w:rPr>
          <w:rFonts w:hint="eastAsia" w:ascii="宋体" w:hAnsi="宋体" w:cs="宋体"/>
          <w:color w:val="auto"/>
          <w:szCs w:val="21"/>
        </w:rPr>
        <w:t>其有效期限统一按省住房和城乡建设厅发布《湖南省建筑市场责任主体不良行为记录》的时间计算。</w:t>
      </w:r>
    </w:p>
    <w:p>
      <w:pPr>
        <w:snapToGrid w:val="0"/>
        <w:ind w:firstLine="420" w:firstLineChars="200"/>
        <w:rPr>
          <w:rFonts w:ascii="宋体" w:hAnsi="宋体" w:cs="宋体"/>
          <w:color w:val="auto"/>
          <w:szCs w:val="21"/>
        </w:rPr>
      </w:pPr>
      <w:r>
        <w:rPr>
          <w:rFonts w:hint="eastAsia" w:ascii="宋体" w:hAnsi="宋体" w:cs="宋体"/>
          <w:color w:val="auto"/>
          <w:szCs w:val="21"/>
        </w:rPr>
        <w:t>本省行政区域外符合以下两种情形之一的不良行为记录，作为我省在房屋建筑和市政工程招标评标中的扣分依据：1.住房和城乡建设部统一在全国公布的；2.由外省（自治区、直辖市）住房和城乡建设主管部门在当地建筑市场信息平台上统一公布的，其认定标准、认定程序、结果运用与我省规定基本一致，且直接运用于招投标，在评标时采取单项次扣分的。对外省不良行为记录认定标准、认定程序、结果运用与我省规定差别较大，且不直接运用于招投标，在评标中不采取单项次扣分的（如只综合运用于信用等级评价），不作为我省在房屋建筑和市政工程招标评标中的直接扣分依据。本省行政区域外不良行为记录扣分有效期统一按照我省规定执行。当外省相关部门没有确定不良行为记录程度为一般或严重时，按照我省认定标准确认。</w:t>
      </w:r>
    </w:p>
    <w:p>
      <w:pPr>
        <w:snapToGrid w:val="0"/>
        <w:ind w:firstLine="420" w:firstLineChars="200"/>
        <w:rPr>
          <w:rFonts w:ascii="宋体" w:hAnsi="宋体" w:cs="宋体"/>
          <w:color w:val="auto"/>
          <w:szCs w:val="21"/>
        </w:rPr>
      </w:pPr>
      <w:r>
        <w:rPr>
          <w:rFonts w:hint="eastAsia" w:ascii="宋体" w:hAnsi="宋体" w:cs="宋体"/>
          <w:color w:val="auto"/>
          <w:szCs w:val="21"/>
        </w:rPr>
        <w:t>省外企业应当在资格审查申请文件中如实反映和提供企业及其拟任项目经理有效期限内符合上述规定的不良行为记录，并附企业注册所在地省级住房和城乡建设主管部门的证明文件或相关官方网站下载资料。</w:t>
      </w:r>
    </w:p>
    <w:p>
      <w:pPr>
        <w:snapToGrid w:val="0"/>
        <w:ind w:firstLine="420" w:firstLineChars="200"/>
        <w:rPr>
          <w:rFonts w:ascii="宋体" w:hAnsi="宋体" w:cs="宋体"/>
          <w:color w:val="auto"/>
          <w:szCs w:val="21"/>
        </w:rPr>
      </w:pPr>
      <w:r>
        <w:rPr>
          <w:rFonts w:hint="eastAsia" w:ascii="宋体" w:hAnsi="宋体" w:cs="宋体"/>
          <w:color w:val="auto"/>
          <w:szCs w:val="21"/>
        </w:rPr>
        <w:t>当投标人提供的证明文件与经查实的事实有不相符合，以经查实的事实为依据，如证明文件相对经查实的事实对投标人有利时，应当按照弄虚作假处理并认定其为不合格投标人。</w:t>
      </w:r>
    </w:p>
    <w:p>
      <w:pPr>
        <w:pStyle w:val="48"/>
        <w:spacing w:beforeAutospacing="0" w:afterAutospacing="0"/>
        <w:ind w:firstLine="420"/>
        <w:jc w:val="both"/>
        <w:rPr>
          <w:rFonts w:eastAsia="新宋体"/>
          <w:bCs/>
          <w:color w:val="auto"/>
          <w:szCs w:val="21"/>
          <w:shd w:val="clear" w:color="auto" w:fill="FFFFFF"/>
        </w:rPr>
      </w:pPr>
      <w:r>
        <w:rPr>
          <w:rFonts w:hint="eastAsia" w:ascii="宋体" w:hAnsi="宋体" w:cs="宋体"/>
          <w:color w:val="auto"/>
          <w:kern w:val="2"/>
          <w:sz w:val="21"/>
          <w:szCs w:val="21"/>
          <w:lang w:val="en-US" w:eastAsia="zh-CN" w:bidi="ar-SA"/>
        </w:rPr>
        <w:t>省外企业不按招标文件要求提供相应的情况、证明、文件等资料，其拟任的项目经理、投标人的不良行为记录情况单个子项得分分别为10、50分；投标人提供相应的情况、证明、文件等资料与经查实的事实不相符合，且对该投标人有利的，按照弄虚作假方式处理，认定其为不合格投标人。</w:t>
      </w:r>
    </w:p>
    <w:p>
      <w:pPr>
        <w:spacing w:line="300" w:lineRule="exact"/>
        <w:ind w:right="-332" w:rightChars="-158"/>
        <w:rPr>
          <w:rFonts w:ascii="宋体" w:hAnsi="宋体"/>
          <w:bCs/>
          <w:color w:val="auto"/>
          <w:szCs w:val="21"/>
        </w:rPr>
      </w:pPr>
      <w:r>
        <w:rPr>
          <w:rFonts w:hint="eastAsia" w:ascii="宋体" w:hAnsi="宋体"/>
          <w:color w:val="auto"/>
          <w:szCs w:val="21"/>
        </w:rPr>
        <w:t xml:space="preserve">   </w:t>
      </w:r>
      <w:r>
        <w:rPr>
          <w:rFonts w:hint="eastAsia" w:ascii="宋体" w:hAnsi="宋体" w:cs="宋体"/>
          <w:bCs/>
          <w:color w:val="auto"/>
          <w:kern w:val="0"/>
          <w:szCs w:val="21"/>
        </w:rPr>
        <w:t>不良行为记录情况的扣分，如为联合体投标，则联合体各方均按扣分标准扣分。</w:t>
      </w:r>
    </w:p>
    <w:p>
      <w:pPr>
        <w:spacing w:line="360" w:lineRule="auto"/>
        <w:ind w:firstLine="420"/>
        <w:rPr>
          <w:rFonts w:ascii="宋体" w:hAnsi="宋体"/>
          <w:color w:val="auto"/>
          <w:szCs w:val="21"/>
        </w:rPr>
      </w:pPr>
    </w:p>
    <w:p>
      <w:pPr>
        <w:spacing w:line="360" w:lineRule="auto"/>
        <w:ind w:firstLine="420"/>
        <w:rPr>
          <w:color w:val="auto"/>
        </w:rPr>
        <w:sectPr>
          <w:pgSz w:w="11900" w:h="16838"/>
          <w:pgMar w:top="1440" w:right="1440" w:bottom="1440" w:left="1440" w:header="0" w:footer="992" w:gutter="0"/>
          <w:pgNumType w:fmt="numberInDash"/>
          <w:cols w:space="720" w:num="1"/>
          <w:docGrid w:linePitch="360" w:charSpace="0"/>
        </w:sectPr>
      </w:pPr>
      <w:r>
        <w:rPr>
          <w:rFonts w:hint="eastAsia" w:ascii="宋体" w:hAnsi="宋体"/>
          <w:color w:val="auto"/>
          <w:szCs w:val="21"/>
        </w:rPr>
        <w:t>评标委员会全体成员签字</w:t>
      </w:r>
      <w:r>
        <w:rPr>
          <w:rFonts w:ascii="宋体" w:hAnsi="宋体"/>
          <w:color w:val="auto"/>
        </w:rPr>
        <w:t>/</w:t>
      </w:r>
      <w:r>
        <w:rPr>
          <w:rFonts w:hint="eastAsia" w:ascii="宋体" w:hAnsi="宋体"/>
          <w:color w:val="auto"/>
        </w:rPr>
        <w:t>日期：</w:t>
      </w:r>
    </w:p>
    <w:bookmarkEnd w:id="393"/>
    <w:bookmarkEnd w:id="394"/>
    <w:p>
      <w:pPr>
        <w:rPr>
          <w:rFonts w:hint="eastAsia" w:ascii="宋体" w:hAnsi="宋体" w:cs="宋体"/>
          <w:b/>
          <w:bCs/>
          <w:color w:val="auto"/>
          <w:sz w:val="24"/>
        </w:rPr>
      </w:pPr>
      <w:r>
        <w:rPr>
          <w:rFonts w:hint="eastAsia" w:ascii="宋体" w:hAnsi="宋体" w:cs="宋体"/>
          <w:b/>
          <w:bCs/>
          <w:color w:val="auto"/>
          <w:sz w:val="24"/>
        </w:rPr>
        <w:t>附表3-8：</w:t>
      </w:r>
    </w:p>
    <w:p>
      <w:pPr>
        <w:jc w:val="center"/>
        <w:rPr>
          <w:rFonts w:hint="eastAsia" w:ascii="宋体" w:hAnsi="宋体" w:cs="宋体"/>
          <w:color w:val="auto"/>
          <w:sz w:val="28"/>
          <w:szCs w:val="28"/>
        </w:rPr>
      </w:pPr>
      <w:r>
        <w:rPr>
          <w:rFonts w:hint="eastAsia" w:ascii="宋体" w:hAnsi="宋体" w:cs="宋体"/>
          <w:color w:val="auto"/>
          <w:sz w:val="28"/>
          <w:szCs w:val="28"/>
        </w:rPr>
        <w:t>投标报价评审计分表（权数：0.15）</w:t>
      </w:r>
    </w:p>
    <w:tbl>
      <w:tblPr>
        <w:tblStyle w:val="67"/>
        <w:tblW w:w="910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7"/>
        <w:gridCol w:w="589"/>
        <w:gridCol w:w="1245"/>
        <w:gridCol w:w="1350"/>
        <w:gridCol w:w="2469"/>
        <w:gridCol w:w="1188"/>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647" w:type="dxa"/>
            <w:tcBorders>
              <w:top w:val="single" w:color="auto" w:sz="12" w:space="0"/>
              <w:left w:val="single" w:color="auto" w:sz="12" w:space="0"/>
              <w:bottom w:val="single" w:color="auto" w:sz="4" w:space="0"/>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序号</w:t>
            </w:r>
          </w:p>
        </w:tc>
        <w:tc>
          <w:tcPr>
            <w:tcW w:w="3184" w:type="dxa"/>
            <w:gridSpan w:val="3"/>
            <w:tcBorders>
              <w:top w:val="single" w:color="auto" w:sz="12" w:space="0"/>
              <w:left w:val="single" w:color="auto" w:sz="4" w:space="0"/>
              <w:bottom w:val="single" w:color="auto" w:sz="4" w:space="0"/>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项       目</w:t>
            </w:r>
          </w:p>
        </w:tc>
        <w:tc>
          <w:tcPr>
            <w:tcW w:w="2469"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评分标准</w:t>
            </w:r>
          </w:p>
        </w:tc>
        <w:tc>
          <w:tcPr>
            <w:tcW w:w="2808" w:type="dxa"/>
            <w:gridSpan w:val="2"/>
            <w:tcBorders>
              <w:top w:val="single" w:color="auto" w:sz="12" w:space="0"/>
              <w:left w:val="single" w:color="auto" w:sz="4" w:space="0"/>
              <w:bottom w:val="single" w:color="auto" w:sz="4" w:space="0"/>
              <w:right w:val="single" w:color="auto" w:sz="12" w:space="0"/>
            </w:tcBorders>
            <w:vAlign w:val="center"/>
          </w:tcPr>
          <w:p>
            <w:pPr>
              <w:jc w:val="center"/>
              <w:rPr>
                <w:rFonts w:hint="eastAsia" w:ascii="宋体" w:hAnsi="宋体" w:cs="宋体"/>
                <w:color w:val="auto"/>
              </w:rPr>
            </w:pPr>
            <w:r>
              <w:rPr>
                <w:rFonts w:hint="eastAsia" w:ascii="宋体" w:hAnsi="宋体" w:cs="宋体"/>
                <w:color w:val="auto"/>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647"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宋体" w:hAnsi="宋体" w:cs="宋体"/>
                <w:color w:val="auto"/>
              </w:rPr>
            </w:pPr>
          </w:p>
          <w:p>
            <w:pPr>
              <w:jc w:val="center"/>
              <w:rPr>
                <w:rFonts w:hint="eastAsia" w:ascii="宋体" w:hAnsi="宋体" w:cs="宋体"/>
                <w:color w:val="auto"/>
              </w:rPr>
            </w:pPr>
            <w:r>
              <w:rPr>
                <w:rFonts w:hint="eastAsia" w:ascii="宋体" w:hAnsi="宋体" w:cs="宋体"/>
                <w:color w:val="auto"/>
              </w:rPr>
              <w:t>1</w:t>
            </w:r>
          </w:p>
        </w:tc>
        <w:tc>
          <w:tcPr>
            <w:tcW w:w="318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szCs w:val="21"/>
              </w:rPr>
            </w:pPr>
            <w:r>
              <w:rPr>
                <w:rFonts w:hint="eastAsia" w:ascii="宋体" w:hAnsi="宋体" w:cs="宋体"/>
                <w:color w:val="auto"/>
                <w:szCs w:val="21"/>
              </w:rPr>
              <w:t xml:space="preserve">     </w:t>
            </w:r>
          </w:p>
          <w:p>
            <w:pPr>
              <w:jc w:val="center"/>
              <w:rPr>
                <w:rFonts w:hint="eastAsia" w:ascii="宋体" w:hAnsi="宋体" w:cs="宋体"/>
                <w:color w:val="auto"/>
                <w:szCs w:val="21"/>
              </w:rPr>
            </w:pPr>
            <w:r>
              <w:rPr>
                <w:rFonts w:hint="eastAsia" w:ascii="宋体" w:hAnsi="宋体" w:cs="宋体"/>
                <w:color w:val="auto"/>
                <w:szCs w:val="21"/>
              </w:rPr>
              <w:t>最终投标价＞基准价</w:t>
            </w:r>
          </w:p>
          <w:p>
            <w:pPr>
              <w:rPr>
                <w:rFonts w:hint="eastAsia" w:ascii="宋体" w:hAnsi="宋体" w:cs="宋体"/>
                <w:color w:val="auto"/>
                <w:szCs w:val="21"/>
              </w:rPr>
            </w:pPr>
            <w:r>
              <w:rPr>
                <w:rFonts w:hint="eastAsia" w:ascii="宋体" w:hAnsi="宋体" w:cs="宋体"/>
                <w:color w:val="auto"/>
                <w:szCs w:val="21"/>
              </w:rPr>
              <w:t xml:space="preserve">    </w:t>
            </w:r>
          </w:p>
        </w:tc>
        <w:tc>
          <w:tcPr>
            <w:tcW w:w="24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szCs w:val="21"/>
              </w:rPr>
            </w:pPr>
            <w:r>
              <w:rPr>
                <w:rFonts w:hint="eastAsia" w:ascii="宋体" w:hAnsi="宋体" w:cs="宋体"/>
                <w:color w:val="auto"/>
                <w:szCs w:val="21"/>
              </w:rPr>
              <w:t>从0开始每升1%减0.5分，即100-0.5*100X</w:t>
            </w:r>
          </w:p>
        </w:tc>
        <w:tc>
          <w:tcPr>
            <w:tcW w:w="2808" w:type="dxa"/>
            <w:gridSpan w:val="2"/>
            <w:vMerge w:val="restart"/>
            <w:tcBorders>
              <w:top w:val="single" w:color="auto" w:sz="4" w:space="0"/>
              <w:left w:val="single" w:color="auto" w:sz="4" w:space="0"/>
              <w:bottom w:val="single" w:color="auto" w:sz="4" w:space="0"/>
              <w:right w:val="single" w:color="auto" w:sz="12" w:space="0"/>
            </w:tcBorders>
            <w:vAlign w:val="center"/>
          </w:tcPr>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X为最终投标价升、降率百分数的绝对值，即</w:t>
            </w:r>
          </w:p>
          <w:p>
            <w:pPr>
              <w:rPr>
                <w:rFonts w:hint="eastAsia" w:ascii="宋体" w:hAnsi="宋体" w:cs="宋体"/>
                <w:color w:val="auto"/>
              </w:rPr>
            </w:pPr>
            <w:r>
              <w:rPr>
                <w:rFonts w:hint="eastAsia" w:ascii="宋体" w:hAnsi="宋体" w:cs="宋体"/>
                <w:color w:val="auto"/>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100330</wp:posOffset>
                      </wp:positionV>
                      <wp:extent cx="3175" cy="510540"/>
                      <wp:effectExtent l="4445" t="0" r="11430" b="3810"/>
                      <wp:wrapNone/>
                      <wp:docPr id="5" name="直线 3"/>
                      <wp:cNvGraphicFramePr/>
                      <a:graphic xmlns:a="http://schemas.openxmlformats.org/drawingml/2006/main">
                        <a:graphicData uri="http://schemas.microsoft.com/office/word/2010/wordprocessingShape">
                          <wps:wsp>
                            <wps:cNvCnPr/>
                            <wps:spPr>
                              <a:xfrm>
                                <a:off x="0" y="0"/>
                                <a:ext cx="3175" cy="5105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0.1pt;margin-top:7.9pt;height:40.2pt;width:0.25pt;z-index:251662336;mso-width-relative:page;mso-height-relative:page;" filled="f" stroked="t" coordsize="21600,21600" o:gfxdata="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8cDNr0QAAAAMBAAAPAAAAAAAAAAEAIAAAACIAAABk&#10;cnMvZG93bnJldi54bWxQSwECFAAUAAAACACHTuJA/wLGWdQBAACdAwAADgAAAAAAAAABACAAAAAg&#10;AQAAZHJzL2Uyb0RvYy54bWxQSwUGAAAAAAYABgBZAQAAZgUAAAAA&#10;">
                      <v:fill on="f" focussize="0,0"/>
                      <v:stroke color="#000000" joinstyle="round"/>
                      <v:imagedata o:title=""/>
                      <o:lock v:ext="edit" aspectratio="f"/>
                    </v:line>
                  </w:pict>
                </mc:Fallback>
              </mc:AlternateContent>
            </w:r>
            <w:r>
              <w:rPr>
                <w:rFonts w:hint="eastAsia" w:ascii="宋体" w:hAnsi="宋体" w:cs="宋体"/>
                <w:color w:val="auto"/>
              </w:rPr>
              <w:t>最终投标价</w:t>
            </w:r>
            <w:r>
              <w:rPr>
                <w:rFonts w:hint="eastAsia" w:ascii="宋体" w:hAnsi="宋体" w:cs="宋体"/>
                <w:color w:val="auto"/>
              </w:rPr>
              <mc:AlternateContent>
                <mc:Choice Requires="wps">
                  <w:drawing>
                    <wp:anchor distT="0" distB="0" distL="114300" distR="114300" simplePos="0" relativeHeight="251663360" behindDoc="0" locked="0" layoutInCell="1" allowOverlap="1">
                      <wp:simplePos x="0" y="0"/>
                      <wp:positionH relativeFrom="column">
                        <wp:posOffset>1191895</wp:posOffset>
                      </wp:positionH>
                      <wp:positionV relativeFrom="paragraph">
                        <wp:posOffset>75565</wp:posOffset>
                      </wp:positionV>
                      <wp:extent cx="635" cy="495300"/>
                      <wp:effectExtent l="0" t="0" r="0" b="0"/>
                      <wp:wrapNone/>
                      <wp:docPr id="6" name="Line 3"/>
                      <wp:cNvGraphicFramePr/>
                      <a:graphic xmlns:a="http://schemas.openxmlformats.org/drawingml/2006/main">
                        <a:graphicData uri="http://schemas.microsoft.com/office/word/2010/wordprocessingShape">
                          <wps:wsp>
                            <wps:cNvCnPr/>
                            <wps:spPr>
                              <a:xfrm flipH="1" flipV="1">
                                <a:off x="0" y="0"/>
                                <a:ext cx="635" cy="4953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3" o:spid="_x0000_s1026" o:spt="20" style="position:absolute;left:0pt;flip:x y;margin-left:93.85pt;margin-top:5.95pt;height:39pt;width:0.05pt;z-index:251663360;mso-width-relative:page;mso-height-relative:page;" filled="f" stroked="t" coordsize="21600,21600" o:gfxdata="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wGhH20gAAAAkBAAAPAAAAAAAAAAEAIAAAACIAAABk&#10;cnMvZG93bnJldi54bWxQSwECFAAUAAAACACHTuJA7BcgWNMBAACuAwAADgAAAAAAAAABACAAAAAh&#10;AQAAZHJzL2Uyb0RvYy54bWxQSwUGAAAAAAYABgBZAQAAZgUAAAAA&#10;">
                      <v:fill on="f" focussize="0,0"/>
                      <v:stroke color="#000000" joinstyle="round"/>
                      <v:imagedata o:title=""/>
                      <o:lock v:ext="edit" aspectratio="f"/>
                    </v:line>
                  </w:pict>
                </mc:Fallback>
              </mc:AlternateContent>
            </w:r>
            <w:r>
              <w:rPr>
                <w:rFonts w:hint="eastAsia" w:ascii="宋体" w:hAnsi="宋体" w:cs="宋体"/>
                <w:color w:val="auto"/>
              </w:rPr>
              <w:t>—基准价</w:t>
            </w:r>
          </w:p>
          <w:p>
            <w:pPr>
              <w:rPr>
                <w:rFonts w:hint="eastAsia" w:ascii="宋体" w:hAnsi="宋体" w:cs="宋体"/>
                <w:color w:val="auto"/>
              </w:rPr>
            </w:pPr>
            <w:r>
              <w:rPr>
                <w:rFonts w:hint="eastAsia" w:ascii="宋体" w:hAnsi="宋体" w:cs="宋体"/>
                <w:color w:val="auto"/>
              </w:rPr>
              <mc:AlternateContent>
                <mc:Choice Requires="wps">
                  <w:drawing>
                    <wp:anchor distT="0" distB="0" distL="114300" distR="114300" simplePos="0" relativeHeight="251661312" behindDoc="0" locked="0" layoutInCell="1" allowOverlap="1">
                      <wp:simplePos x="0" y="0"/>
                      <wp:positionH relativeFrom="column">
                        <wp:posOffset>160020</wp:posOffset>
                      </wp:positionH>
                      <wp:positionV relativeFrom="paragraph">
                        <wp:posOffset>73660</wp:posOffset>
                      </wp:positionV>
                      <wp:extent cx="863600" cy="0"/>
                      <wp:effectExtent l="0" t="0" r="0" b="0"/>
                      <wp:wrapNone/>
                      <wp:docPr id="7" name="Line 4"/>
                      <wp:cNvGraphicFramePr/>
                      <a:graphic xmlns:a="http://schemas.openxmlformats.org/drawingml/2006/main">
                        <a:graphicData uri="http://schemas.microsoft.com/office/word/2010/wordprocessingShape">
                          <wps:wsp>
                            <wps:cNvCnPr/>
                            <wps:spPr>
                              <a:xfrm flipV="1">
                                <a:off x="0" y="0"/>
                                <a:ext cx="8636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4" o:spid="_x0000_s1026" o:spt="20" style="position:absolute;left:0pt;flip:y;margin-left:12.6pt;margin-top:5.8pt;height:0pt;width:68pt;z-index:251661312;mso-width-relative:page;mso-height-relative:page;" filled="f" stroked="t" coordsize="21600,21600" o:gfxdata="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rJihl0wAAAAgBAAAPAAAAAAAAAAEAIAAAACIAAABkcnMvZG93&#10;bnJldi54bWxQSwECFAAUAAAACACHTuJAOh0oj8wBAACiAwAADgAAAAAAAAABACAAAAAiAQAAZHJz&#10;L2Uyb0RvYy54bWxQSwUGAAAAAAYABgBZAQAAYAUAAAAA&#10;">
                      <v:fill on="f" focussize="0,0"/>
                      <v:stroke color="#000000" joinstyle="round"/>
                      <v:imagedata o:title=""/>
                      <o:lock v:ext="edit" aspectratio="f"/>
                    </v:line>
                  </w:pict>
                </mc:Fallback>
              </mc:AlternateContent>
            </w:r>
            <w:r>
              <w:rPr>
                <w:rFonts w:hint="eastAsia" w:ascii="宋体" w:hAnsi="宋体" w:cs="宋体"/>
                <w:color w:val="auto"/>
              </w:rPr>
              <w:t xml:space="preserve">                  ×100%</w:t>
            </w:r>
          </w:p>
          <w:p>
            <w:pPr>
              <w:rPr>
                <w:rFonts w:hint="eastAsia" w:ascii="宋体" w:hAnsi="宋体" w:cs="宋体"/>
                <w:color w:val="auto"/>
              </w:rPr>
            </w:pPr>
            <w:r>
              <w:rPr>
                <w:rFonts w:hint="eastAsia" w:ascii="宋体" w:hAnsi="宋体" w:cs="宋体"/>
                <w:color w:val="auto"/>
              </w:rPr>
              <w:t xml:space="preserve">      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jc w:val="center"/>
        </w:trPr>
        <w:tc>
          <w:tcPr>
            <w:tcW w:w="647"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2</w:t>
            </w:r>
          </w:p>
        </w:tc>
        <w:tc>
          <w:tcPr>
            <w:tcW w:w="318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rPr>
            </w:pPr>
            <w:r>
              <w:rPr>
                <w:rFonts w:hint="eastAsia" w:ascii="宋体" w:hAnsi="宋体" w:cs="宋体"/>
                <w:color w:val="auto"/>
                <w:szCs w:val="21"/>
              </w:rPr>
              <w:t>最终投标价=基准价</w:t>
            </w:r>
          </w:p>
        </w:tc>
        <w:tc>
          <w:tcPr>
            <w:tcW w:w="24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szCs w:val="21"/>
              </w:rPr>
            </w:pPr>
            <w:r>
              <w:rPr>
                <w:rFonts w:hint="eastAsia" w:ascii="宋体" w:hAnsi="宋体" w:cs="宋体"/>
                <w:color w:val="auto"/>
                <w:szCs w:val="21"/>
              </w:rPr>
              <w:t>100分</w:t>
            </w:r>
          </w:p>
        </w:tc>
        <w:tc>
          <w:tcPr>
            <w:tcW w:w="28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74" w:hRule="atLeast"/>
          <w:jc w:val="center"/>
        </w:trPr>
        <w:tc>
          <w:tcPr>
            <w:tcW w:w="647"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3</w:t>
            </w:r>
          </w:p>
        </w:tc>
        <w:tc>
          <w:tcPr>
            <w:tcW w:w="318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szCs w:val="21"/>
              </w:rPr>
            </w:pPr>
            <w:r>
              <w:rPr>
                <w:rFonts w:hint="eastAsia" w:ascii="宋体" w:hAnsi="宋体" w:cs="宋体"/>
                <w:color w:val="auto"/>
                <w:szCs w:val="21"/>
              </w:rPr>
              <w:t xml:space="preserve">     </w:t>
            </w:r>
          </w:p>
          <w:p>
            <w:pPr>
              <w:jc w:val="center"/>
              <w:rPr>
                <w:rFonts w:hint="eastAsia" w:ascii="宋体" w:hAnsi="宋体" w:cs="宋体"/>
                <w:color w:val="auto"/>
                <w:szCs w:val="21"/>
              </w:rPr>
            </w:pPr>
            <w:r>
              <w:rPr>
                <w:rFonts w:hint="eastAsia" w:ascii="宋体" w:hAnsi="宋体" w:cs="宋体"/>
                <w:color w:val="auto"/>
                <w:szCs w:val="21"/>
              </w:rPr>
              <w:t>最终投标价＜基准价</w:t>
            </w:r>
          </w:p>
          <w:p>
            <w:pPr>
              <w:rPr>
                <w:rFonts w:hint="eastAsia" w:ascii="宋体" w:hAnsi="宋体" w:cs="宋体"/>
                <w:color w:val="auto"/>
                <w:szCs w:val="21"/>
              </w:rPr>
            </w:pPr>
            <w:r>
              <w:rPr>
                <w:rFonts w:hint="eastAsia" w:ascii="宋体" w:hAnsi="宋体" w:cs="宋体"/>
                <w:color w:val="auto"/>
                <w:szCs w:val="21"/>
              </w:rPr>
              <w:t xml:space="preserve">   </w:t>
            </w:r>
          </w:p>
        </w:tc>
        <w:tc>
          <w:tcPr>
            <w:tcW w:w="24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szCs w:val="21"/>
              </w:rPr>
            </w:pPr>
            <w:r>
              <w:rPr>
                <w:rFonts w:hint="eastAsia" w:ascii="宋体" w:hAnsi="宋体" w:cs="宋体"/>
                <w:color w:val="auto"/>
                <w:szCs w:val="21"/>
              </w:rPr>
              <w:t>从0开始每降1%加0.5分，即100-0.5*100X</w:t>
            </w:r>
          </w:p>
        </w:tc>
        <w:tc>
          <w:tcPr>
            <w:tcW w:w="28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exact"/>
          <w:jc w:val="center"/>
        </w:trPr>
        <w:tc>
          <w:tcPr>
            <w:tcW w:w="1236" w:type="dxa"/>
            <w:gridSpan w:val="2"/>
            <w:tcBorders>
              <w:top w:val="single" w:color="auto" w:sz="4" w:space="0"/>
              <w:left w:val="single" w:color="auto" w:sz="12" w:space="0"/>
              <w:bottom w:val="single" w:color="auto" w:sz="4" w:space="0"/>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投标人</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投标报价</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最终投标价</w:t>
            </w:r>
          </w:p>
        </w:tc>
        <w:tc>
          <w:tcPr>
            <w:tcW w:w="24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基准价</w:t>
            </w:r>
          </w:p>
        </w:tc>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X值</w:t>
            </w:r>
          </w:p>
        </w:tc>
        <w:tc>
          <w:tcPr>
            <w:tcW w:w="1620" w:type="dxa"/>
            <w:tcBorders>
              <w:top w:val="single" w:color="auto" w:sz="4" w:space="0"/>
              <w:left w:val="single" w:color="auto" w:sz="4" w:space="0"/>
              <w:bottom w:val="single" w:color="auto" w:sz="4" w:space="0"/>
              <w:right w:val="single" w:color="auto" w:sz="12" w:space="0"/>
            </w:tcBorders>
            <w:vAlign w:val="center"/>
          </w:tcPr>
          <w:p>
            <w:pPr>
              <w:jc w:val="center"/>
              <w:rPr>
                <w:rFonts w:hint="eastAsia" w:ascii="宋体" w:hAnsi="宋体" w:cs="宋体"/>
                <w:color w:val="auto"/>
              </w:rPr>
            </w:pPr>
            <w:r>
              <w:rPr>
                <w:rFonts w:hint="eastAsia" w:ascii="宋体" w:hAnsi="宋体" w:cs="宋体"/>
                <w:color w:val="auto"/>
              </w:rPr>
              <w:t>投标报价得分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236" w:type="dxa"/>
            <w:gridSpan w:val="2"/>
            <w:tcBorders>
              <w:top w:val="single" w:color="auto" w:sz="4" w:space="0"/>
              <w:left w:val="single" w:color="auto" w:sz="12" w:space="0"/>
              <w:bottom w:val="single" w:color="auto" w:sz="4" w:space="0"/>
              <w:right w:val="single" w:color="auto" w:sz="4" w:space="0"/>
            </w:tcBorders>
            <w:vAlign w:val="center"/>
          </w:tcPr>
          <w:p>
            <w:pPr>
              <w:rPr>
                <w:rFonts w:hint="eastAsia" w:ascii="宋体" w:hAnsi="宋体" w:cs="宋体"/>
                <w:color w:val="auto"/>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3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2469"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18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620" w:type="dxa"/>
            <w:tcBorders>
              <w:top w:val="single" w:color="auto" w:sz="4" w:space="0"/>
              <w:left w:val="single" w:color="auto" w:sz="4" w:space="0"/>
              <w:bottom w:val="single" w:color="auto" w:sz="4" w:space="0"/>
              <w:right w:val="single" w:color="auto" w:sz="12" w:space="0"/>
            </w:tcBorders>
            <w:vAlign w:val="center"/>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236" w:type="dxa"/>
            <w:gridSpan w:val="2"/>
            <w:tcBorders>
              <w:top w:val="single" w:color="auto" w:sz="4" w:space="0"/>
              <w:left w:val="single" w:color="auto" w:sz="12" w:space="0"/>
              <w:bottom w:val="single" w:color="auto" w:sz="4" w:space="0"/>
              <w:right w:val="single" w:color="auto" w:sz="4" w:space="0"/>
            </w:tcBorders>
            <w:vAlign w:val="center"/>
          </w:tcPr>
          <w:p>
            <w:pPr>
              <w:rPr>
                <w:rFonts w:hint="eastAsia" w:ascii="宋体" w:hAnsi="宋体" w:cs="宋体"/>
                <w:color w:val="auto"/>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3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24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rPr>
            </w:pPr>
          </w:p>
        </w:tc>
        <w:tc>
          <w:tcPr>
            <w:tcW w:w="118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620" w:type="dxa"/>
            <w:tcBorders>
              <w:top w:val="single" w:color="auto" w:sz="4" w:space="0"/>
              <w:left w:val="single" w:color="auto" w:sz="4" w:space="0"/>
              <w:bottom w:val="single" w:color="auto" w:sz="4" w:space="0"/>
              <w:right w:val="single" w:color="auto" w:sz="12" w:space="0"/>
            </w:tcBorders>
            <w:vAlign w:val="center"/>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236" w:type="dxa"/>
            <w:gridSpan w:val="2"/>
            <w:tcBorders>
              <w:top w:val="single" w:color="auto" w:sz="4" w:space="0"/>
              <w:left w:val="single" w:color="auto" w:sz="12" w:space="0"/>
              <w:bottom w:val="single" w:color="auto" w:sz="4" w:space="0"/>
              <w:right w:val="single" w:color="auto" w:sz="4" w:space="0"/>
            </w:tcBorders>
            <w:vAlign w:val="center"/>
          </w:tcPr>
          <w:p>
            <w:pPr>
              <w:rPr>
                <w:rFonts w:hint="eastAsia" w:ascii="宋体" w:hAnsi="宋体" w:cs="宋体"/>
                <w:color w:val="auto"/>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3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24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rPr>
            </w:pPr>
          </w:p>
        </w:tc>
        <w:tc>
          <w:tcPr>
            <w:tcW w:w="118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620" w:type="dxa"/>
            <w:tcBorders>
              <w:top w:val="single" w:color="auto" w:sz="4" w:space="0"/>
              <w:left w:val="single" w:color="auto" w:sz="4" w:space="0"/>
              <w:bottom w:val="single" w:color="auto" w:sz="4" w:space="0"/>
              <w:right w:val="single" w:color="auto" w:sz="12" w:space="0"/>
            </w:tcBorders>
            <w:vAlign w:val="center"/>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236" w:type="dxa"/>
            <w:gridSpan w:val="2"/>
            <w:tcBorders>
              <w:top w:val="single" w:color="auto" w:sz="4" w:space="0"/>
              <w:left w:val="single" w:color="auto" w:sz="12" w:space="0"/>
              <w:bottom w:val="single" w:color="auto" w:sz="4" w:space="0"/>
              <w:right w:val="single" w:color="auto" w:sz="4" w:space="0"/>
            </w:tcBorders>
            <w:vAlign w:val="center"/>
          </w:tcPr>
          <w:p>
            <w:pPr>
              <w:rPr>
                <w:rFonts w:hint="eastAsia" w:ascii="宋体" w:hAnsi="宋体" w:cs="宋体"/>
                <w:color w:val="auto"/>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3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24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rPr>
            </w:pPr>
          </w:p>
        </w:tc>
        <w:tc>
          <w:tcPr>
            <w:tcW w:w="118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rPr>
            </w:pPr>
          </w:p>
        </w:tc>
        <w:tc>
          <w:tcPr>
            <w:tcW w:w="1620" w:type="dxa"/>
            <w:tcBorders>
              <w:top w:val="single" w:color="auto" w:sz="4" w:space="0"/>
              <w:left w:val="single" w:color="auto" w:sz="4" w:space="0"/>
              <w:bottom w:val="single" w:color="auto" w:sz="4" w:space="0"/>
              <w:right w:val="single" w:color="auto" w:sz="12" w:space="0"/>
            </w:tcBorders>
            <w:vAlign w:val="center"/>
          </w:tcPr>
          <w:p>
            <w:pP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9108" w:type="dxa"/>
            <w:gridSpan w:val="7"/>
            <w:tcBorders>
              <w:top w:val="single" w:color="auto" w:sz="4" w:space="0"/>
              <w:left w:val="single" w:color="auto" w:sz="12" w:space="0"/>
              <w:bottom w:val="single" w:color="auto" w:sz="12" w:space="0"/>
              <w:right w:val="single" w:color="auto" w:sz="12" w:space="0"/>
            </w:tcBorders>
            <w:vAlign w:val="center"/>
          </w:tcPr>
          <w:p>
            <w:pPr>
              <w:rPr>
                <w:rFonts w:hint="eastAsia" w:ascii="宋体" w:hAnsi="宋体" w:cs="宋体"/>
                <w:color w:val="auto"/>
              </w:rPr>
            </w:pPr>
            <w:r>
              <w:rPr>
                <w:rFonts w:hint="eastAsia" w:ascii="宋体" w:hAnsi="宋体" w:cs="宋体"/>
                <w:color w:val="auto"/>
              </w:rPr>
              <w:t>对投标报价的调整记录：</w:t>
            </w:r>
          </w:p>
        </w:tc>
      </w:tr>
    </w:tbl>
    <w:p>
      <w:pPr>
        <w:spacing w:before="120" w:beforeLines="50"/>
        <w:ind w:right="-332" w:rightChars="-158"/>
        <w:rPr>
          <w:rFonts w:hint="eastAsia"/>
          <w:b/>
          <w:bCs/>
          <w:color w:val="auto"/>
          <w:szCs w:val="21"/>
        </w:rPr>
      </w:pPr>
      <w:r>
        <w:rPr>
          <w:rFonts w:hint="eastAsia"/>
          <w:b/>
          <w:bCs/>
          <w:color w:val="auto"/>
          <w:szCs w:val="21"/>
        </w:rPr>
        <w:t>备注</w:t>
      </w:r>
    </w:p>
    <w:p>
      <w:pPr>
        <w:spacing w:before="120" w:beforeLines="50"/>
        <w:ind w:right="-332" w:rightChars="-158"/>
        <w:rPr>
          <w:color w:val="auto"/>
          <w:szCs w:val="21"/>
        </w:rPr>
      </w:pPr>
      <w:r>
        <w:rPr>
          <w:rFonts w:hint="eastAsia"/>
          <w:b/>
          <w:bCs/>
          <w:color w:val="auto"/>
          <w:szCs w:val="21"/>
        </w:rPr>
        <w:t>1</w:t>
      </w:r>
      <w:r>
        <w:rPr>
          <w:rFonts w:hint="eastAsia"/>
          <w:color w:val="auto"/>
          <w:szCs w:val="21"/>
        </w:rPr>
        <w:t>．投标报价评审计分，基本分100分。</w:t>
      </w:r>
    </w:p>
    <w:p>
      <w:pPr>
        <w:ind w:right="-332" w:rightChars="-158"/>
        <w:rPr>
          <w:color w:val="auto"/>
          <w:szCs w:val="21"/>
        </w:rPr>
      </w:pPr>
      <w:r>
        <w:rPr>
          <w:rFonts w:hint="eastAsia"/>
          <w:color w:val="auto"/>
          <w:szCs w:val="21"/>
        </w:rPr>
        <w:t>2．除经初步评审为不合格投标人（包括投标报价文件无效）的和被认定为最终投标报价低于其企业成本的外，其他的最终投标报价均应按规定进入最终投标价的算术平均。</w:t>
      </w:r>
    </w:p>
    <w:p>
      <w:pPr>
        <w:ind w:right="-332" w:rightChars="-158"/>
        <w:rPr>
          <w:color w:val="auto"/>
          <w:szCs w:val="21"/>
        </w:rPr>
      </w:pPr>
      <w:r>
        <w:rPr>
          <w:rFonts w:hint="eastAsia"/>
          <w:color w:val="auto"/>
          <w:szCs w:val="21"/>
        </w:rPr>
        <w:t>3．符合最高投标限价</w:t>
      </w:r>
      <w:r>
        <w:rPr>
          <w:color w:val="auto"/>
          <w:szCs w:val="21"/>
        </w:rPr>
        <w:t>≥</w:t>
      </w:r>
      <w:r>
        <w:rPr>
          <w:rFonts w:hint="eastAsia"/>
          <w:color w:val="auto"/>
          <w:szCs w:val="21"/>
        </w:rPr>
        <w:t>最终投标价</w:t>
      </w:r>
      <w:r>
        <w:rPr>
          <w:color w:val="auto"/>
          <w:szCs w:val="21"/>
        </w:rPr>
        <w:t>≥0.9×</w:t>
      </w:r>
      <w:r>
        <w:rPr>
          <w:rFonts w:hint="eastAsia"/>
          <w:color w:val="auto"/>
          <w:szCs w:val="21"/>
        </w:rPr>
        <w:t>最终投标价的算术平均值的最终投标进入基准价计算。</w:t>
      </w:r>
      <w:r>
        <w:rPr>
          <w:color w:val="auto"/>
          <w:szCs w:val="21"/>
        </w:rPr>
        <w:t xml:space="preserve"> </w:t>
      </w:r>
    </w:p>
    <w:p>
      <w:pPr>
        <w:ind w:right="-332" w:rightChars="-158"/>
        <w:rPr>
          <w:color w:val="auto"/>
          <w:szCs w:val="21"/>
        </w:rPr>
      </w:pPr>
      <w:r>
        <w:rPr>
          <w:rFonts w:hint="eastAsia"/>
          <w:color w:val="auto"/>
          <w:szCs w:val="21"/>
        </w:rPr>
        <w:t>4．基准价公式：</w:t>
      </w:r>
      <w:r>
        <w:rPr>
          <w:color w:val="auto"/>
          <w:szCs w:val="21"/>
        </w:rPr>
        <w:t xml:space="preserve"> </w:t>
      </w:r>
    </w:p>
    <w:p>
      <w:pPr>
        <w:ind w:right="-332" w:rightChars="-158" w:firstLine="2205" w:firstLineChars="1050"/>
        <w:outlineLvl w:val="0"/>
        <w:rPr>
          <w:color w:val="auto"/>
          <w:szCs w:val="21"/>
        </w:rPr>
      </w:pPr>
      <w:r>
        <w:rPr>
          <w:color w:val="auto"/>
          <w:szCs w:val="21"/>
        </w:rPr>
        <w:t>A1+A2+……</w:t>
      </w:r>
      <w:r>
        <w:rPr>
          <w:rFonts w:hint="eastAsia"/>
          <w:color w:val="auto"/>
          <w:szCs w:val="21"/>
        </w:rPr>
        <w:t>＋</w:t>
      </w:r>
      <w:r>
        <w:rPr>
          <w:color w:val="auto"/>
          <w:szCs w:val="21"/>
        </w:rPr>
        <w:t>Ai+……</w:t>
      </w:r>
      <w:r>
        <w:rPr>
          <w:rFonts w:hint="eastAsia"/>
          <w:color w:val="auto"/>
          <w:szCs w:val="21"/>
        </w:rPr>
        <w:t>＋</w:t>
      </w:r>
      <w:r>
        <w:rPr>
          <w:color w:val="auto"/>
          <w:szCs w:val="21"/>
        </w:rPr>
        <w:t>An</w:t>
      </w:r>
    </w:p>
    <w:p>
      <w:pPr>
        <w:ind w:right="-332" w:rightChars="-158" w:firstLine="945" w:firstLineChars="450"/>
        <w:rPr>
          <w:color w:val="auto"/>
          <w:szCs w:val="21"/>
        </w:rPr>
      </w:pPr>
      <w:r>
        <w:rPr>
          <w:color w:val="auto"/>
          <w:szCs w:val="21"/>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33655</wp:posOffset>
                </wp:positionV>
                <wp:extent cx="2400300" cy="0"/>
                <wp:effectExtent l="0" t="0" r="0" b="0"/>
                <wp:wrapNone/>
                <wp:docPr id="13" name="Line 5"/>
                <wp:cNvGraphicFramePr/>
                <a:graphic xmlns:a="http://schemas.openxmlformats.org/drawingml/2006/main">
                  <a:graphicData uri="http://schemas.microsoft.com/office/word/2010/wordprocessingShape">
                    <wps:wsp>
                      <wps:cNvCnPr/>
                      <wps:spPr>
                        <a:xfrm>
                          <a:off x="0" y="0"/>
                          <a:ext cx="2400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5" o:spid="_x0000_s1026" o:spt="20" style="position:absolute;left:0pt;margin-left:108pt;margin-top:2.65pt;height:0pt;width:189pt;z-index:251664384;mso-width-relative:page;mso-height-relative:page;" filled="f" stroked="t" coordsize="21600,21600" o:gfxdata="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pqyQbVAAAABwEAAA8AAAAAAAAAAQAgAAAAIgAAAGRycy9kb3ducmV2&#10;LnhtbFBLAQIUABQAAAAIAIdO4kBVQavuxgEAAJoDAAAOAAAAAAAAAAEAIAAAACQBAABkcnMvZTJv&#10;RG9jLnhtbFBLBQYAAAAABgAGAFkBAABcBQAAAAA=&#10;">
                <v:fill on="f" focussize="0,0"/>
                <v:stroke color="#000000" joinstyle="round"/>
                <v:imagedata o:title=""/>
                <o:lock v:ext="edit" aspectratio="f"/>
              </v:line>
            </w:pict>
          </mc:Fallback>
        </mc:AlternateContent>
      </w:r>
      <w:r>
        <w:rPr>
          <w:rFonts w:hint="eastAsia"/>
          <w:color w:val="auto"/>
          <w:szCs w:val="21"/>
        </w:rPr>
        <w:t>基准价</w:t>
      </w:r>
      <w:r>
        <w:rPr>
          <w:color w:val="auto"/>
          <w:szCs w:val="21"/>
        </w:rPr>
        <w:t xml:space="preserve">=                N                </w:t>
      </w:r>
    </w:p>
    <w:p>
      <w:pPr>
        <w:ind w:left="1069" w:leftChars="509" w:right="-332" w:rightChars="-158"/>
        <w:rPr>
          <w:rFonts w:hint="eastAsia"/>
          <w:color w:val="auto"/>
          <w:szCs w:val="21"/>
        </w:rPr>
      </w:pPr>
      <w:r>
        <w:rPr>
          <w:color w:val="auto"/>
          <w:szCs w:val="21"/>
        </w:rPr>
        <w:t>i=1…i…n; Ai</w:t>
      </w:r>
      <w:r>
        <w:rPr>
          <w:rFonts w:hint="eastAsia"/>
          <w:color w:val="auto"/>
          <w:szCs w:val="21"/>
        </w:rPr>
        <w:t>为进入基准价计算的最终投标价</w:t>
      </w:r>
      <w:r>
        <w:rPr>
          <w:color w:val="auto"/>
          <w:szCs w:val="21"/>
        </w:rPr>
        <w:t>; N</w:t>
      </w:r>
      <w:r>
        <w:rPr>
          <w:rFonts w:hint="eastAsia"/>
          <w:color w:val="auto"/>
          <w:szCs w:val="21"/>
        </w:rPr>
        <w:t>为进入基准价计算的最终投标价的个数。</w:t>
      </w:r>
    </w:p>
    <w:p>
      <w:pPr>
        <w:spacing w:line="360" w:lineRule="auto"/>
        <w:rPr>
          <w:color w:val="auto"/>
          <w:szCs w:val="21"/>
          <w:highlight w:val="yellow"/>
        </w:rPr>
      </w:pPr>
      <w:r>
        <w:rPr>
          <w:rFonts w:hint="eastAsia"/>
          <w:b/>
          <w:bCs/>
          <w:color w:val="auto"/>
          <w:szCs w:val="21"/>
          <w:highlight w:val="yellow"/>
        </w:rPr>
        <w:t>5.</w:t>
      </w:r>
      <w:r>
        <w:rPr>
          <w:rFonts w:hint="eastAsia" w:ascii="宋体" w:hAnsi="宋体"/>
          <w:b/>
          <w:bCs/>
          <w:color w:val="auto"/>
          <w:kern w:val="0"/>
        </w:rPr>
        <w:t>对下浮低于有效投标报价算术平均值5%的投标报价，确定</w:t>
      </w:r>
      <w:r>
        <w:rPr>
          <w:rFonts w:hint="eastAsia" w:ascii="宋体" w:hAnsi="宋体" w:cs="宋体"/>
          <w:b/>
          <w:bCs/>
          <w:color w:val="auto"/>
          <w:kern w:val="0"/>
        </w:rPr>
        <w:t>为无效报价，计0分。</w:t>
      </w:r>
    </w:p>
    <w:p>
      <w:pPr>
        <w:ind w:right="-332" w:rightChars="-158"/>
        <w:rPr>
          <w:color w:val="auto"/>
        </w:rPr>
      </w:pPr>
      <w:r>
        <w:rPr>
          <w:rFonts w:hint="eastAsia"/>
          <w:color w:val="auto"/>
          <w:szCs w:val="21"/>
        </w:rPr>
        <w:t>6.最终投标计算保留至小数点后</w:t>
      </w:r>
      <w:r>
        <w:rPr>
          <w:color w:val="auto"/>
          <w:szCs w:val="21"/>
        </w:rPr>
        <w:t>2</w:t>
      </w:r>
      <w:r>
        <w:rPr>
          <w:rFonts w:hint="eastAsia"/>
          <w:color w:val="auto"/>
          <w:szCs w:val="21"/>
        </w:rPr>
        <w:t>位（百分比亦然），小数点后第</w:t>
      </w:r>
      <w:r>
        <w:rPr>
          <w:color w:val="auto"/>
          <w:szCs w:val="21"/>
        </w:rPr>
        <w:t>3</w:t>
      </w:r>
      <w:r>
        <w:rPr>
          <w:rFonts w:hint="eastAsia"/>
          <w:color w:val="auto"/>
          <w:szCs w:val="21"/>
        </w:rPr>
        <w:t>位采取</w:t>
      </w:r>
      <w:r>
        <w:rPr>
          <w:color w:val="auto"/>
          <w:szCs w:val="21"/>
        </w:rPr>
        <w:t>4</w:t>
      </w:r>
      <w:r>
        <w:rPr>
          <w:rFonts w:hint="eastAsia"/>
          <w:color w:val="auto"/>
          <w:szCs w:val="21"/>
        </w:rPr>
        <w:t>舍</w:t>
      </w:r>
      <w:r>
        <w:rPr>
          <w:color w:val="auto"/>
          <w:szCs w:val="21"/>
        </w:rPr>
        <w:t>5</w:t>
      </w:r>
      <w:r>
        <w:rPr>
          <w:rFonts w:hint="eastAsia"/>
          <w:color w:val="auto"/>
          <w:szCs w:val="21"/>
        </w:rPr>
        <w:t>入。计算保留至小数点后</w:t>
      </w:r>
      <w:r>
        <w:rPr>
          <w:color w:val="auto"/>
          <w:szCs w:val="21"/>
        </w:rPr>
        <w:t>2</w:t>
      </w:r>
      <w:r>
        <w:rPr>
          <w:rFonts w:hint="eastAsia"/>
          <w:color w:val="auto"/>
          <w:szCs w:val="21"/>
        </w:rPr>
        <w:t>位</w:t>
      </w:r>
    </w:p>
    <w:p>
      <w:pPr>
        <w:spacing w:line="360" w:lineRule="auto"/>
        <w:rPr>
          <w:rFonts w:hint="eastAsia" w:ascii="宋体" w:hAnsi="宋体" w:cs="宋体"/>
          <w:color w:val="auto"/>
        </w:rPr>
      </w:pPr>
    </w:p>
    <w:p>
      <w:pPr>
        <w:jc w:val="left"/>
        <w:rPr>
          <w:rFonts w:ascii="宋体" w:hAnsi="宋体" w:cs="宋体"/>
          <w:color w:val="auto"/>
          <w:kern w:val="0"/>
          <w:szCs w:val="21"/>
        </w:rPr>
      </w:pPr>
      <w:r>
        <w:rPr>
          <w:rFonts w:hint="eastAsia" w:ascii="宋体" w:hAnsi="宋体" w:cs="宋体"/>
          <w:color w:val="auto"/>
        </w:rPr>
        <w:t>评标委员会全体成员签字：</w:t>
      </w:r>
    </w:p>
    <w:p>
      <w:pPr>
        <w:rPr>
          <w:rFonts w:hint="eastAsia" w:ascii="宋体" w:hAnsi="宋体" w:cs="宋体"/>
          <w:color w:val="auto"/>
        </w:rPr>
      </w:pPr>
    </w:p>
    <w:p>
      <w:pPr>
        <w:rPr>
          <w:rFonts w:hint="eastAsia" w:ascii="宋体" w:hAnsi="宋体" w:cs="宋体"/>
          <w:color w:val="auto"/>
        </w:rPr>
      </w:pPr>
    </w:p>
    <w:p>
      <w:pPr>
        <w:rPr>
          <w:rFonts w:hint="eastAsia" w:ascii="宋体" w:hAnsi="宋体" w:eastAsia="宋体" w:cs="宋体"/>
          <w:color w:val="auto"/>
        </w:rPr>
      </w:pPr>
      <w:r>
        <w:rPr>
          <w:rFonts w:hint="eastAsia" w:ascii="宋体" w:hAnsi="宋体" w:cs="宋体"/>
          <w:color w:val="auto"/>
        </w:rPr>
        <w:br w:type="page"/>
      </w:r>
      <w:r>
        <w:rPr>
          <w:rFonts w:hint="eastAsia" w:ascii="宋体" w:hAnsi="宋体" w:eastAsia="宋体" w:cs="宋体"/>
          <w:b/>
          <w:bCs/>
          <w:color w:val="auto"/>
        </w:rPr>
        <w:t>附表3-9：综合得分计算表</w:t>
      </w:r>
    </w:p>
    <w:p>
      <w:pPr>
        <w:spacing w:line="360" w:lineRule="auto"/>
        <w:jc w:val="center"/>
        <w:rPr>
          <w:rFonts w:hint="eastAsia" w:ascii="宋体" w:hAnsi="宋体" w:cs="宋体"/>
          <w:color w:val="auto"/>
          <w:sz w:val="28"/>
          <w:szCs w:val="28"/>
        </w:rPr>
      </w:pPr>
      <w:r>
        <w:rPr>
          <w:rFonts w:hint="eastAsia" w:ascii="宋体" w:hAnsi="宋体" w:cs="宋体"/>
          <w:color w:val="auto"/>
          <w:sz w:val="28"/>
          <w:szCs w:val="28"/>
        </w:rPr>
        <w:t>综合得分计算表</w:t>
      </w:r>
    </w:p>
    <w:tbl>
      <w:tblPr>
        <w:tblStyle w:val="67"/>
        <w:tblW w:w="821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513"/>
        <w:gridCol w:w="1522"/>
        <w:gridCol w:w="2077"/>
        <w:gridCol w:w="17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215" w:type="dxa"/>
            <w:gridSpan w:val="5"/>
            <w:vAlign w:val="center"/>
          </w:tcPr>
          <w:p>
            <w:pPr>
              <w:rPr>
                <w:rFonts w:hint="eastAsia" w:ascii="宋体" w:hAnsi="宋体" w:cs="宋体"/>
                <w:color w:val="auto"/>
                <w:sz w:val="18"/>
                <w:szCs w:val="21"/>
              </w:rPr>
            </w:pPr>
            <w:r>
              <w:rPr>
                <w:rFonts w:hint="eastAsia" w:ascii="宋体" w:hAnsi="宋体" w:cs="宋体"/>
                <w:color w:val="auto"/>
                <w:sz w:val="18"/>
                <w:szCs w:val="21"/>
              </w:rPr>
              <w:t>投标人（                                  ）                  总分（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56" w:type="dxa"/>
            <w:vMerge w:val="restart"/>
            <w:vAlign w:val="center"/>
          </w:tcPr>
          <w:p>
            <w:pPr>
              <w:jc w:val="center"/>
              <w:rPr>
                <w:rFonts w:hint="eastAsia" w:ascii="宋体" w:hAnsi="宋体" w:cs="宋体"/>
                <w:color w:val="auto"/>
                <w:sz w:val="18"/>
                <w:szCs w:val="21"/>
              </w:rPr>
            </w:pPr>
            <w:r>
              <w:rPr>
                <w:rFonts w:hint="eastAsia" w:ascii="宋体" w:hAnsi="宋体" w:cs="宋体"/>
                <w:color w:val="auto"/>
                <w:sz w:val="18"/>
                <w:szCs w:val="21"/>
              </w:rPr>
              <w:t>评委编号</w:t>
            </w:r>
          </w:p>
        </w:tc>
        <w:tc>
          <w:tcPr>
            <w:tcW w:w="6859" w:type="dxa"/>
            <w:gridSpan w:val="4"/>
            <w:vAlign w:val="center"/>
          </w:tcPr>
          <w:p>
            <w:pPr>
              <w:jc w:val="center"/>
              <w:rPr>
                <w:rFonts w:hint="eastAsia" w:ascii="宋体" w:hAnsi="宋体" w:cs="宋体"/>
                <w:color w:val="auto"/>
                <w:sz w:val="18"/>
                <w:szCs w:val="21"/>
              </w:rPr>
            </w:pPr>
            <w:r>
              <w:rPr>
                <w:rFonts w:hint="eastAsia" w:ascii="宋体" w:hAnsi="宋体" w:cs="宋体"/>
                <w:color w:val="auto"/>
                <w:sz w:val="18"/>
                <w:szCs w:val="21"/>
              </w:rPr>
              <w:t>单   项   评   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56" w:type="dxa"/>
            <w:vMerge w:val="continue"/>
            <w:vAlign w:val="center"/>
          </w:tcPr>
          <w:p>
            <w:pPr>
              <w:widowControl/>
              <w:rPr>
                <w:rFonts w:hint="eastAsia" w:ascii="宋体" w:hAnsi="宋体" w:cs="宋体"/>
                <w:color w:val="auto"/>
                <w:sz w:val="18"/>
                <w:szCs w:val="21"/>
              </w:rPr>
            </w:pPr>
          </w:p>
        </w:tc>
        <w:tc>
          <w:tcPr>
            <w:tcW w:w="1513" w:type="dxa"/>
            <w:tcBorders>
              <w:bottom w:val="single" w:color="auto" w:sz="4"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承包人设计方案</w:t>
            </w:r>
          </w:p>
        </w:tc>
        <w:tc>
          <w:tcPr>
            <w:tcW w:w="1522" w:type="dxa"/>
            <w:tcBorders>
              <w:bottom w:val="single" w:color="auto" w:sz="4" w:space="0"/>
              <w:right w:val="single" w:color="auto" w:sz="2"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承包人实施方案</w:t>
            </w:r>
          </w:p>
        </w:tc>
        <w:tc>
          <w:tcPr>
            <w:tcW w:w="2077" w:type="dxa"/>
            <w:tcBorders>
              <w:bottom w:val="single" w:color="auto" w:sz="2" w:space="0"/>
              <w:right w:val="single" w:color="auto" w:sz="2"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资信业绩</w:t>
            </w:r>
          </w:p>
        </w:tc>
        <w:tc>
          <w:tcPr>
            <w:tcW w:w="1747" w:type="dxa"/>
            <w:tcBorders>
              <w:left w:val="single" w:color="auto" w:sz="2" w:space="0"/>
              <w:bottom w:val="single" w:color="auto" w:sz="2"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投标报价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56" w:type="dxa"/>
            <w:vAlign w:val="center"/>
          </w:tcPr>
          <w:p>
            <w:pPr>
              <w:jc w:val="center"/>
              <w:rPr>
                <w:rFonts w:hint="eastAsia" w:ascii="宋体" w:hAnsi="宋体" w:cs="宋体"/>
                <w:color w:val="auto"/>
                <w:sz w:val="18"/>
                <w:szCs w:val="21"/>
              </w:rPr>
            </w:pPr>
            <w:r>
              <w:rPr>
                <w:rFonts w:hint="eastAsia" w:ascii="宋体" w:hAnsi="宋体" w:cs="宋体"/>
                <w:color w:val="auto"/>
                <w:sz w:val="18"/>
                <w:szCs w:val="21"/>
              </w:rPr>
              <w:t>1</w:t>
            </w:r>
          </w:p>
        </w:tc>
        <w:tc>
          <w:tcPr>
            <w:tcW w:w="1513" w:type="dxa"/>
            <w:vAlign w:val="center"/>
          </w:tcPr>
          <w:p>
            <w:pPr>
              <w:jc w:val="center"/>
              <w:rPr>
                <w:rFonts w:hint="eastAsia" w:ascii="宋体" w:hAnsi="宋体" w:cs="宋体"/>
                <w:color w:val="auto"/>
                <w:sz w:val="18"/>
                <w:szCs w:val="21"/>
              </w:rPr>
            </w:pPr>
          </w:p>
        </w:tc>
        <w:tc>
          <w:tcPr>
            <w:tcW w:w="1522" w:type="dxa"/>
            <w:tcBorders>
              <w:right w:val="single" w:color="auto" w:sz="2" w:space="0"/>
            </w:tcBorders>
            <w:vAlign w:val="center"/>
          </w:tcPr>
          <w:p>
            <w:pPr>
              <w:jc w:val="center"/>
              <w:rPr>
                <w:rFonts w:hint="eastAsia" w:ascii="宋体" w:hAnsi="宋体" w:cs="宋体"/>
                <w:color w:val="auto"/>
                <w:sz w:val="18"/>
                <w:szCs w:val="21"/>
              </w:rPr>
            </w:pPr>
          </w:p>
        </w:tc>
        <w:tc>
          <w:tcPr>
            <w:tcW w:w="2077" w:type="dxa"/>
            <w:vMerge w:val="restart"/>
            <w:tcBorders>
              <w:right w:val="single" w:color="auto" w:sz="2" w:space="0"/>
            </w:tcBorders>
            <w:vAlign w:val="center"/>
          </w:tcPr>
          <w:p>
            <w:pPr>
              <w:jc w:val="center"/>
              <w:rPr>
                <w:rFonts w:hint="eastAsia" w:ascii="宋体" w:hAnsi="宋体" w:cs="宋体"/>
                <w:color w:val="auto"/>
                <w:sz w:val="18"/>
                <w:szCs w:val="21"/>
              </w:rPr>
            </w:pPr>
          </w:p>
        </w:tc>
        <w:tc>
          <w:tcPr>
            <w:tcW w:w="1747" w:type="dxa"/>
            <w:vMerge w:val="restart"/>
            <w:tcBorders>
              <w:left w:val="single" w:color="auto" w:sz="2" w:space="0"/>
            </w:tcBorders>
            <w:vAlign w:val="center"/>
          </w:tcPr>
          <w:p>
            <w:pPr>
              <w:jc w:val="center"/>
              <w:rPr>
                <w:rFonts w:hint="eastAsia" w:ascii="宋体" w:hAnsi="宋体" w:cs="宋体"/>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56" w:type="dxa"/>
            <w:vAlign w:val="center"/>
          </w:tcPr>
          <w:p>
            <w:pPr>
              <w:jc w:val="center"/>
              <w:rPr>
                <w:rFonts w:hint="eastAsia" w:ascii="宋体" w:hAnsi="宋体" w:cs="宋体"/>
                <w:color w:val="auto"/>
                <w:sz w:val="18"/>
                <w:szCs w:val="21"/>
              </w:rPr>
            </w:pPr>
            <w:r>
              <w:rPr>
                <w:rFonts w:hint="eastAsia" w:ascii="宋体" w:hAnsi="宋体" w:cs="宋体"/>
                <w:color w:val="auto"/>
                <w:sz w:val="18"/>
                <w:szCs w:val="21"/>
              </w:rPr>
              <w:t>2</w:t>
            </w:r>
          </w:p>
        </w:tc>
        <w:tc>
          <w:tcPr>
            <w:tcW w:w="1513" w:type="dxa"/>
            <w:tcBorders>
              <w:bottom w:val="single" w:color="auto" w:sz="4" w:space="0"/>
            </w:tcBorders>
            <w:vAlign w:val="center"/>
          </w:tcPr>
          <w:p>
            <w:pPr>
              <w:jc w:val="center"/>
              <w:rPr>
                <w:rFonts w:hint="eastAsia" w:ascii="宋体" w:hAnsi="宋体" w:cs="宋体"/>
                <w:color w:val="auto"/>
                <w:sz w:val="18"/>
                <w:szCs w:val="21"/>
              </w:rPr>
            </w:pPr>
          </w:p>
        </w:tc>
        <w:tc>
          <w:tcPr>
            <w:tcW w:w="1522" w:type="dxa"/>
            <w:tcBorders>
              <w:bottom w:val="single" w:color="auto" w:sz="4" w:space="0"/>
              <w:right w:val="single" w:color="auto" w:sz="2" w:space="0"/>
            </w:tcBorders>
            <w:vAlign w:val="center"/>
          </w:tcPr>
          <w:p>
            <w:pPr>
              <w:jc w:val="center"/>
              <w:rPr>
                <w:rFonts w:hint="eastAsia" w:ascii="宋体" w:hAnsi="宋体" w:cs="宋体"/>
                <w:color w:val="auto"/>
                <w:sz w:val="18"/>
                <w:szCs w:val="21"/>
              </w:rPr>
            </w:pPr>
          </w:p>
        </w:tc>
        <w:tc>
          <w:tcPr>
            <w:tcW w:w="2077" w:type="dxa"/>
            <w:vMerge w:val="continue"/>
            <w:tcBorders>
              <w:right w:val="single" w:color="auto" w:sz="2" w:space="0"/>
            </w:tcBorders>
            <w:vAlign w:val="center"/>
          </w:tcPr>
          <w:p>
            <w:pPr>
              <w:jc w:val="center"/>
              <w:rPr>
                <w:rFonts w:hint="eastAsia" w:ascii="宋体" w:hAnsi="宋体" w:cs="宋体"/>
                <w:color w:val="auto"/>
                <w:sz w:val="18"/>
                <w:szCs w:val="21"/>
              </w:rPr>
            </w:pPr>
          </w:p>
        </w:tc>
        <w:tc>
          <w:tcPr>
            <w:tcW w:w="1747" w:type="dxa"/>
            <w:vMerge w:val="continue"/>
            <w:tcBorders>
              <w:left w:val="single" w:color="auto" w:sz="2" w:space="0"/>
            </w:tcBorders>
            <w:vAlign w:val="center"/>
          </w:tcPr>
          <w:p>
            <w:pPr>
              <w:jc w:val="center"/>
              <w:rPr>
                <w:rFonts w:hint="eastAsia" w:ascii="宋体" w:hAnsi="宋体" w:cs="宋体"/>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56" w:type="dxa"/>
            <w:vAlign w:val="center"/>
          </w:tcPr>
          <w:p>
            <w:pPr>
              <w:jc w:val="center"/>
              <w:rPr>
                <w:rFonts w:hint="eastAsia" w:ascii="宋体" w:hAnsi="宋体" w:cs="宋体"/>
                <w:color w:val="auto"/>
                <w:sz w:val="18"/>
                <w:szCs w:val="21"/>
              </w:rPr>
            </w:pPr>
            <w:r>
              <w:rPr>
                <w:rFonts w:hint="eastAsia" w:ascii="宋体" w:hAnsi="宋体" w:cs="宋体"/>
                <w:color w:val="auto"/>
                <w:sz w:val="18"/>
                <w:szCs w:val="21"/>
              </w:rPr>
              <w:t>3</w:t>
            </w:r>
          </w:p>
        </w:tc>
        <w:tc>
          <w:tcPr>
            <w:tcW w:w="1513" w:type="dxa"/>
            <w:tcBorders>
              <w:top w:val="single" w:color="auto" w:sz="4" w:space="0"/>
              <w:bottom w:val="single" w:color="auto" w:sz="4" w:space="0"/>
            </w:tcBorders>
            <w:vAlign w:val="center"/>
          </w:tcPr>
          <w:p>
            <w:pPr>
              <w:jc w:val="center"/>
              <w:rPr>
                <w:rFonts w:hint="eastAsia" w:ascii="宋体" w:hAnsi="宋体" w:cs="宋体"/>
                <w:color w:val="auto"/>
                <w:sz w:val="18"/>
                <w:szCs w:val="21"/>
              </w:rPr>
            </w:pPr>
          </w:p>
        </w:tc>
        <w:tc>
          <w:tcPr>
            <w:tcW w:w="1522" w:type="dxa"/>
            <w:tcBorders>
              <w:top w:val="single" w:color="auto" w:sz="4" w:space="0"/>
              <w:bottom w:val="single" w:color="auto" w:sz="4" w:space="0"/>
              <w:right w:val="single" w:color="auto" w:sz="2" w:space="0"/>
            </w:tcBorders>
            <w:vAlign w:val="center"/>
          </w:tcPr>
          <w:p>
            <w:pPr>
              <w:jc w:val="center"/>
              <w:rPr>
                <w:rFonts w:hint="eastAsia" w:ascii="宋体" w:hAnsi="宋体" w:cs="宋体"/>
                <w:color w:val="auto"/>
                <w:sz w:val="18"/>
                <w:szCs w:val="21"/>
              </w:rPr>
            </w:pPr>
          </w:p>
        </w:tc>
        <w:tc>
          <w:tcPr>
            <w:tcW w:w="2077" w:type="dxa"/>
            <w:vMerge w:val="continue"/>
            <w:tcBorders>
              <w:right w:val="single" w:color="auto" w:sz="2" w:space="0"/>
            </w:tcBorders>
            <w:vAlign w:val="center"/>
          </w:tcPr>
          <w:p>
            <w:pPr>
              <w:jc w:val="center"/>
              <w:rPr>
                <w:rFonts w:hint="eastAsia" w:ascii="宋体" w:hAnsi="宋体" w:cs="宋体"/>
                <w:color w:val="auto"/>
                <w:sz w:val="18"/>
                <w:szCs w:val="21"/>
              </w:rPr>
            </w:pPr>
          </w:p>
        </w:tc>
        <w:tc>
          <w:tcPr>
            <w:tcW w:w="1747" w:type="dxa"/>
            <w:vMerge w:val="continue"/>
            <w:tcBorders>
              <w:left w:val="single" w:color="auto" w:sz="2" w:space="0"/>
            </w:tcBorders>
            <w:vAlign w:val="center"/>
          </w:tcPr>
          <w:p>
            <w:pPr>
              <w:jc w:val="center"/>
              <w:rPr>
                <w:rFonts w:hint="eastAsia" w:ascii="宋体" w:hAnsi="宋体" w:cs="宋体"/>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56" w:type="dxa"/>
            <w:vAlign w:val="center"/>
          </w:tcPr>
          <w:p>
            <w:pPr>
              <w:jc w:val="center"/>
              <w:rPr>
                <w:rFonts w:hint="eastAsia" w:ascii="宋体" w:hAnsi="宋体" w:cs="宋体"/>
                <w:color w:val="auto"/>
                <w:sz w:val="18"/>
                <w:szCs w:val="21"/>
              </w:rPr>
            </w:pPr>
            <w:r>
              <w:rPr>
                <w:rFonts w:hint="eastAsia" w:ascii="宋体" w:hAnsi="宋体" w:cs="宋体"/>
                <w:color w:val="auto"/>
                <w:sz w:val="18"/>
                <w:szCs w:val="21"/>
              </w:rPr>
              <w:t>4</w:t>
            </w:r>
          </w:p>
        </w:tc>
        <w:tc>
          <w:tcPr>
            <w:tcW w:w="1513" w:type="dxa"/>
            <w:tcBorders>
              <w:top w:val="single" w:color="auto" w:sz="4" w:space="0"/>
            </w:tcBorders>
            <w:vAlign w:val="center"/>
          </w:tcPr>
          <w:p>
            <w:pPr>
              <w:jc w:val="center"/>
              <w:rPr>
                <w:rFonts w:hint="eastAsia" w:ascii="宋体" w:hAnsi="宋体" w:cs="宋体"/>
                <w:color w:val="auto"/>
                <w:sz w:val="18"/>
                <w:szCs w:val="21"/>
              </w:rPr>
            </w:pPr>
          </w:p>
        </w:tc>
        <w:tc>
          <w:tcPr>
            <w:tcW w:w="1522" w:type="dxa"/>
            <w:tcBorders>
              <w:top w:val="single" w:color="auto" w:sz="4" w:space="0"/>
              <w:right w:val="single" w:color="auto" w:sz="2" w:space="0"/>
            </w:tcBorders>
            <w:vAlign w:val="center"/>
          </w:tcPr>
          <w:p>
            <w:pPr>
              <w:jc w:val="center"/>
              <w:rPr>
                <w:rFonts w:hint="eastAsia" w:ascii="宋体" w:hAnsi="宋体" w:cs="宋体"/>
                <w:color w:val="auto"/>
                <w:sz w:val="18"/>
                <w:szCs w:val="21"/>
              </w:rPr>
            </w:pPr>
          </w:p>
        </w:tc>
        <w:tc>
          <w:tcPr>
            <w:tcW w:w="2077" w:type="dxa"/>
            <w:vMerge w:val="continue"/>
            <w:tcBorders>
              <w:right w:val="single" w:color="auto" w:sz="2" w:space="0"/>
            </w:tcBorders>
            <w:vAlign w:val="center"/>
          </w:tcPr>
          <w:p>
            <w:pPr>
              <w:jc w:val="center"/>
              <w:rPr>
                <w:rFonts w:hint="eastAsia" w:ascii="宋体" w:hAnsi="宋体" w:cs="宋体"/>
                <w:color w:val="auto"/>
                <w:sz w:val="18"/>
                <w:szCs w:val="21"/>
              </w:rPr>
            </w:pPr>
          </w:p>
        </w:tc>
        <w:tc>
          <w:tcPr>
            <w:tcW w:w="1747" w:type="dxa"/>
            <w:vMerge w:val="continue"/>
            <w:tcBorders>
              <w:left w:val="single" w:color="auto" w:sz="2" w:space="0"/>
            </w:tcBorders>
            <w:vAlign w:val="center"/>
          </w:tcPr>
          <w:p>
            <w:pPr>
              <w:jc w:val="center"/>
              <w:rPr>
                <w:rFonts w:hint="eastAsia" w:ascii="宋体" w:hAnsi="宋体" w:cs="宋体"/>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56" w:type="dxa"/>
            <w:vAlign w:val="center"/>
          </w:tcPr>
          <w:p>
            <w:pPr>
              <w:jc w:val="center"/>
              <w:rPr>
                <w:rFonts w:hint="eastAsia" w:ascii="宋体" w:hAnsi="宋体" w:cs="宋体"/>
                <w:color w:val="auto"/>
                <w:sz w:val="18"/>
                <w:szCs w:val="21"/>
              </w:rPr>
            </w:pPr>
            <w:r>
              <w:rPr>
                <w:rFonts w:hint="eastAsia" w:ascii="宋体" w:hAnsi="宋体" w:cs="宋体"/>
                <w:color w:val="auto"/>
                <w:sz w:val="18"/>
                <w:szCs w:val="21"/>
              </w:rPr>
              <w:t>5</w:t>
            </w:r>
          </w:p>
        </w:tc>
        <w:tc>
          <w:tcPr>
            <w:tcW w:w="1513" w:type="dxa"/>
            <w:vAlign w:val="center"/>
          </w:tcPr>
          <w:p>
            <w:pPr>
              <w:jc w:val="center"/>
              <w:rPr>
                <w:rFonts w:hint="eastAsia" w:ascii="宋体" w:hAnsi="宋体" w:cs="宋体"/>
                <w:color w:val="auto"/>
                <w:sz w:val="18"/>
                <w:szCs w:val="21"/>
              </w:rPr>
            </w:pPr>
          </w:p>
        </w:tc>
        <w:tc>
          <w:tcPr>
            <w:tcW w:w="1522" w:type="dxa"/>
            <w:tcBorders>
              <w:right w:val="single" w:color="auto" w:sz="2" w:space="0"/>
            </w:tcBorders>
            <w:vAlign w:val="center"/>
          </w:tcPr>
          <w:p>
            <w:pPr>
              <w:jc w:val="center"/>
              <w:rPr>
                <w:rFonts w:hint="eastAsia" w:ascii="宋体" w:hAnsi="宋体" w:cs="宋体"/>
                <w:color w:val="auto"/>
                <w:sz w:val="18"/>
                <w:szCs w:val="21"/>
              </w:rPr>
            </w:pPr>
          </w:p>
        </w:tc>
        <w:tc>
          <w:tcPr>
            <w:tcW w:w="2077" w:type="dxa"/>
            <w:vMerge w:val="continue"/>
            <w:tcBorders>
              <w:right w:val="single" w:color="auto" w:sz="2" w:space="0"/>
            </w:tcBorders>
            <w:vAlign w:val="center"/>
          </w:tcPr>
          <w:p>
            <w:pPr>
              <w:jc w:val="center"/>
              <w:rPr>
                <w:rFonts w:hint="eastAsia" w:ascii="宋体" w:hAnsi="宋体" w:cs="宋体"/>
                <w:color w:val="auto"/>
                <w:sz w:val="18"/>
                <w:szCs w:val="21"/>
              </w:rPr>
            </w:pPr>
          </w:p>
        </w:tc>
        <w:tc>
          <w:tcPr>
            <w:tcW w:w="1747" w:type="dxa"/>
            <w:vMerge w:val="continue"/>
            <w:tcBorders>
              <w:left w:val="single" w:color="auto" w:sz="2" w:space="0"/>
            </w:tcBorders>
            <w:vAlign w:val="center"/>
          </w:tcPr>
          <w:p>
            <w:pPr>
              <w:jc w:val="center"/>
              <w:rPr>
                <w:rFonts w:hint="eastAsia" w:ascii="宋体" w:hAnsi="宋体" w:cs="宋体"/>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56" w:type="dxa"/>
            <w:vAlign w:val="center"/>
          </w:tcPr>
          <w:p>
            <w:pPr>
              <w:jc w:val="center"/>
              <w:rPr>
                <w:rFonts w:hint="eastAsia" w:ascii="宋体" w:hAnsi="宋体" w:cs="宋体"/>
                <w:color w:val="auto"/>
                <w:sz w:val="18"/>
                <w:szCs w:val="21"/>
              </w:rPr>
            </w:pPr>
            <w:r>
              <w:rPr>
                <w:rFonts w:hint="eastAsia" w:ascii="宋体" w:hAnsi="宋体" w:cs="宋体"/>
                <w:color w:val="auto"/>
                <w:sz w:val="18"/>
                <w:szCs w:val="21"/>
              </w:rPr>
              <w:t>6</w:t>
            </w:r>
          </w:p>
        </w:tc>
        <w:tc>
          <w:tcPr>
            <w:tcW w:w="1513" w:type="dxa"/>
            <w:vAlign w:val="center"/>
          </w:tcPr>
          <w:p>
            <w:pPr>
              <w:jc w:val="center"/>
              <w:rPr>
                <w:rFonts w:hint="eastAsia" w:ascii="宋体" w:hAnsi="宋体" w:cs="宋体"/>
                <w:color w:val="auto"/>
                <w:sz w:val="18"/>
                <w:szCs w:val="21"/>
              </w:rPr>
            </w:pPr>
          </w:p>
        </w:tc>
        <w:tc>
          <w:tcPr>
            <w:tcW w:w="1522" w:type="dxa"/>
            <w:tcBorders>
              <w:right w:val="single" w:color="auto" w:sz="2" w:space="0"/>
            </w:tcBorders>
            <w:vAlign w:val="center"/>
          </w:tcPr>
          <w:p>
            <w:pPr>
              <w:jc w:val="center"/>
              <w:rPr>
                <w:rFonts w:hint="eastAsia" w:ascii="宋体" w:hAnsi="宋体" w:cs="宋体"/>
                <w:color w:val="auto"/>
                <w:sz w:val="18"/>
                <w:szCs w:val="21"/>
              </w:rPr>
            </w:pPr>
          </w:p>
        </w:tc>
        <w:tc>
          <w:tcPr>
            <w:tcW w:w="2077" w:type="dxa"/>
            <w:vMerge w:val="continue"/>
            <w:tcBorders>
              <w:right w:val="single" w:color="auto" w:sz="2" w:space="0"/>
            </w:tcBorders>
            <w:vAlign w:val="center"/>
          </w:tcPr>
          <w:p>
            <w:pPr>
              <w:jc w:val="center"/>
              <w:rPr>
                <w:rFonts w:hint="eastAsia" w:ascii="宋体" w:hAnsi="宋体" w:cs="宋体"/>
                <w:color w:val="auto"/>
                <w:sz w:val="18"/>
                <w:szCs w:val="21"/>
              </w:rPr>
            </w:pPr>
          </w:p>
        </w:tc>
        <w:tc>
          <w:tcPr>
            <w:tcW w:w="1747" w:type="dxa"/>
            <w:vMerge w:val="continue"/>
            <w:tcBorders>
              <w:left w:val="single" w:color="auto" w:sz="2" w:space="0"/>
            </w:tcBorders>
            <w:vAlign w:val="center"/>
          </w:tcPr>
          <w:p>
            <w:pPr>
              <w:jc w:val="center"/>
              <w:rPr>
                <w:rFonts w:hint="eastAsia" w:ascii="宋体" w:hAnsi="宋体" w:cs="宋体"/>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56" w:type="dxa"/>
            <w:vAlign w:val="center"/>
          </w:tcPr>
          <w:p>
            <w:pPr>
              <w:jc w:val="center"/>
              <w:rPr>
                <w:rFonts w:ascii="宋体" w:hAnsi="宋体" w:cs="宋体"/>
                <w:color w:val="auto"/>
                <w:sz w:val="18"/>
                <w:szCs w:val="21"/>
              </w:rPr>
            </w:pPr>
            <w:r>
              <w:rPr>
                <w:rFonts w:hint="eastAsia" w:ascii="宋体" w:hAnsi="宋体" w:cs="宋体"/>
                <w:color w:val="auto"/>
                <w:sz w:val="18"/>
                <w:szCs w:val="21"/>
              </w:rPr>
              <w:t>7</w:t>
            </w:r>
          </w:p>
        </w:tc>
        <w:tc>
          <w:tcPr>
            <w:tcW w:w="1513" w:type="dxa"/>
            <w:vAlign w:val="center"/>
          </w:tcPr>
          <w:p>
            <w:pPr>
              <w:jc w:val="center"/>
              <w:rPr>
                <w:rFonts w:hint="eastAsia" w:ascii="宋体" w:hAnsi="宋体" w:cs="宋体"/>
                <w:color w:val="auto"/>
                <w:sz w:val="18"/>
                <w:szCs w:val="21"/>
              </w:rPr>
            </w:pPr>
          </w:p>
        </w:tc>
        <w:tc>
          <w:tcPr>
            <w:tcW w:w="1522" w:type="dxa"/>
            <w:tcBorders>
              <w:right w:val="single" w:color="auto" w:sz="2" w:space="0"/>
            </w:tcBorders>
            <w:vAlign w:val="center"/>
          </w:tcPr>
          <w:p>
            <w:pPr>
              <w:jc w:val="center"/>
              <w:rPr>
                <w:rFonts w:hint="eastAsia" w:ascii="宋体" w:hAnsi="宋体" w:cs="宋体"/>
                <w:color w:val="auto"/>
                <w:sz w:val="18"/>
                <w:szCs w:val="21"/>
              </w:rPr>
            </w:pPr>
          </w:p>
        </w:tc>
        <w:tc>
          <w:tcPr>
            <w:tcW w:w="2077" w:type="dxa"/>
            <w:vMerge w:val="continue"/>
            <w:tcBorders>
              <w:right w:val="single" w:color="auto" w:sz="2" w:space="0"/>
            </w:tcBorders>
            <w:vAlign w:val="center"/>
          </w:tcPr>
          <w:p>
            <w:pPr>
              <w:jc w:val="center"/>
              <w:rPr>
                <w:rFonts w:hint="eastAsia" w:ascii="宋体" w:hAnsi="宋体" w:cs="宋体"/>
                <w:color w:val="auto"/>
                <w:sz w:val="18"/>
                <w:szCs w:val="21"/>
              </w:rPr>
            </w:pPr>
          </w:p>
        </w:tc>
        <w:tc>
          <w:tcPr>
            <w:tcW w:w="1747" w:type="dxa"/>
            <w:vMerge w:val="continue"/>
            <w:tcBorders>
              <w:left w:val="single" w:color="auto" w:sz="2" w:space="0"/>
            </w:tcBorders>
            <w:vAlign w:val="center"/>
          </w:tcPr>
          <w:p>
            <w:pPr>
              <w:jc w:val="center"/>
              <w:rPr>
                <w:rFonts w:hint="eastAsia" w:ascii="宋体" w:hAnsi="宋体" w:cs="宋体"/>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56" w:type="dxa"/>
            <w:vAlign w:val="center"/>
          </w:tcPr>
          <w:p>
            <w:pPr>
              <w:jc w:val="center"/>
              <w:rPr>
                <w:rFonts w:hint="eastAsia" w:ascii="宋体" w:hAnsi="宋体" w:cs="宋体"/>
                <w:color w:val="auto"/>
                <w:sz w:val="18"/>
                <w:szCs w:val="21"/>
              </w:rPr>
            </w:pPr>
            <w:r>
              <w:rPr>
                <w:rFonts w:hint="eastAsia" w:ascii="宋体" w:hAnsi="宋体" w:cs="宋体"/>
                <w:color w:val="auto"/>
                <w:sz w:val="18"/>
                <w:szCs w:val="21"/>
              </w:rPr>
              <w:t>单项得分Pi</w:t>
            </w:r>
          </w:p>
        </w:tc>
        <w:tc>
          <w:tcPr>
            <w:tcW w:w="1513" w:type="dxa"/>
            <w:vAlign w:val="center"/>
          </w:tcPr>
          <w:p>
            <w:pPr>
              <w:jc w:val="center"/>
              <w:rPr>
                <w:rFonts w:hint="eastAsia" w:ascii="宋体" w:hAnsi="宋体" w:cs="宋体"/>
                <w:color w:val="auto"/>
                <w:sz w:val="18"/>
                <w:szCs w:val="21"/>
              </w:rPr>
            </w:pPr>
          </w:p>
        </w:tc>
        <w:tc>
          <w:tcPr>
            <w:tcW w:w="1522" w:type="dxa"/>
            <w:tcBorders>
              <w:right w:val="single" w:color="auto" w:sz="2" w:space="0"/>
            </w:tcBorders>
            <w:vAlign w:val="center"/>
          </w:tcPr>
          <w:p>
            <w:pPr>
              <w:jc w:val="center"/>
              <w:rPr>
                <w:rFonts w:hint="eastAsia" w:ascii="宋体" w:hAnsi="宋体" w:cs="宋体"/>
                <w:color w:val="auto"/>
                <w:sz w:val="18"/>
                <w:szCs w:val="21"/>
              </w:rPr>
            </w:pPr>
          </w:p>
        </w:tc>
        <w:tc>
          <w:tcPr>
            <w:tcW w:w="2077" w:type="dxa"/>
            <w:tcBorders>
              <w:right w:val="single" w:color="auto" w:sz="2" w:space="0"/>
            </w:tcBorders>
            <w:vAlign w:val="center"/>
          </w:tcPr>
          <w:p>
            <w:pPr>
              <w:jc w:val="center"/>
              <w:rPr>
                <w:rFonts w:hint="eastAsia" w:ascii="宋体" w:hAnsi="宋体" w:cs="宋体"/>
                <w:color w:val="auto"/>
                <w:sz w:val="18"/>
                <w:szCs w:val="21"/>
              </w:rPr>
            </w:pPr>
          </w:p>
        </w:tc>
        <w:tc>
          <w:tcPr>
            <w:tcW w:w="1747" w:type="dxa"/>
            <w:tcBorders>
              <w:left w:val="single" w:color="auto" w:sz="2" w:space="0"/>
            </w:tcBorders>
            <w:vAlign w:val="center"/>
          </w:tcPr>
          <w:p>
            <w:pPr>
              <w:ind w:firstLine="720"/>
              <w:jc w:val="center"/>
              <w:rPr>
                <w:rFonts w:hint="eastAsia" w:ascii="宋体" w:hAnsi="宋体" w:cs="宋体"/>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56" w:type="dxa"/>
            <w:vAlign w:val="center"/>
          </w:tcPr>
          <w:p>
            <w:pPr>
              <w:jc w:val="center"/>
              <w:rPr>
                <w:rFonts w:hint="eastAsia" w:ascii="宋体" w:hAnsi="宋体" w:cs="宋体"/>
                <w:color w:val="auto"/>
                <w:sz w:val="18"/>
                <w:szCs w:val="21"/>
                <w:vertAlign w:val="subscript"/>
              </w:rPr>
            </w:pPr>
            <w:r>
              <w:rPr>
                <w:rFonts w:hint="eastAsia" w:ascii="宋体" w:hAnsi="宋体" w:cs="宋体"/>
                <w:color w:val="auto"/>
                <w:sz w:val="18"/>
                <w:szCs w:val="21"/>
              </w:rPr>
              <w:t>权数K</w:t>
            </w:r>
            <w:r>
              <w:rPr>
                <w:rFonts w:hint="eastAsia" w:ascii="宋体" w:hAnsi="宋体" w:cs="宋体"/>
                <w:color w:val="auto"/>
                <w:sz w:val="18"/>
                <w:szCs w:val="21"/>
                <w:vertAlign w:val="subscript"/>
              </w:rPr>
              <w:t>i</w:t>
            </w:r>
          </w:p>
        </w:tc>
        <w:tc>
          <w:tcPr>
            <w:tcW w:w="1513" w:type="dxa"/>
            <w:vAlign w:val="center"/>
          </w:tcPr>
          <w:p>
            <w:pPr>
              <w:jc w:val="center"/>
              <w:rPr>
                <w:rFonts w:hint="eastAsia" w:ascii="宋体" w:hAnsi="宋体" w:cs="宋体"/>
                <w:color w:val="auto"/>
                <w:sz w:val="18"/>
                <w:szCs w:val="21"/>
              </w:rPr>
            </w:pPr>
            <w:r>
              <w:rPr>
                <w:rFonts w:hint="eastAsia" w:ascii="宋体" w:hAnsi="宋体" w:cs="宋体"/>
                <w:color w:val="auto"/>
                <w:sz w:val="18"/>
                <w:szCs w:val="21"/>
              </w:rPr>
              <w:t>0.</w:t>
            </w:r>
            <w:r>
              <w:rPr>
                <w:rFonts w:hint="eastAsia" w:ascii="宋体" w:hAnsi="宋体" w:cs="宋体"/>
                <w:color w:val="auto"/>
                <w:sz w:val="18"/>
                <w:szCs w:val="21"/>
                <w:lang w:val="en-US" w:eastAsia="zh-CN"/>
              </w:rPr>
              <w:t>20</w:t>
            </w:r>
          </w:p>
        </w:tc>
        <w:tc>
          <w:tcPr>
            <w:tcW w:w="1522" w:type="dxa"/>
            <w:tcBorders>
              <w:right w:val="single" w:color="auto" w:sz="2"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0.2</w:t>
            </w:r>
            <w:r>
              <w:rPr>
                <w:rFonts w:hint="eastAsia" w:ascii="宋体" w:hAnsi="宋体" w:cs="宋体"/>
                <w:color w:val="auto"/>
                <w:sz w:val="18"/>
                <w:szCs w:val="21"/>
                <w:lang w:val="en-US" w:eastAsia="zh-CN"/>
              </w:rPr>
              <w:t>5</w:t>
            </w:r>
          </w:p>
        </w:tc>
        <w:tc>
          <w:tcPr>
            <w:tcW w:w="2077" w:type="dxa"/>
            <w:tcBorders>
              <w:right w:val="single" w:color="auto" w:sz="2" w:space="0"/>
            </w:tcBorders>
            <w:vAlign w:val="center"/>
          </w:tcPr>
          <w:p>
            <w:pPr>
              <w:jc w:val="center"/>
              <w:rPr>
                <w:rFonts w:hint="eastAsia" w:ascii="宋体" w:hAnsi="宋体" w:cs="宋体"/>
                <w:color w:val="auto"/>
                <w:sz w:val="18"/>
                <w:szCs w:val="21"/>
              </w:rPr>
            </w:pPr>
            <w:r>
              <w:rPr>
                <w:rFonts w:hint="eastAsia" w:ascii="宋体" w:hAnsi="宋体" w:cs="宋体"/>
                <w:color w:val="auto"/>
                <w:sz w:val="18"/>
                <w:szCs w:val="21"/>
              </w:rPr>
              <w:t>0.40</w:t>
            </w:r>
          </w:p>
        </w:tc>
        <w:tc>
          <w:tcPr>
            <w:tcW w:w="1747" w:type="dxa"/>
            <w:tcBorders>
              <w:left w:val="single" w:color="auto" w:sz="2" w:space="0"/>
            </w:tcBorders>
            <w:vAlign w:val="center"/>
          </w:tcPr>
          <w:p>
            <w:pPr>
              <w:ind w:firstLine="720"/>
              <w:rPr>
                <w:rFonts w:hint="eastAsia" w:ascii="宋体" w:hAnsi="宋体" w:cs="宋体"/>
                <w:color w:val="auto"/>
                <w:sz w:val="18"/>
                <w:szCs w:val="21"/>
              </w:rPr>
            </w:pPr>
            <w:r>
              <w:rPr>
                <w:rFonts w:hint="eastAsia" w:ascii="宋体" w:hAnsi="宋体" w:cs="宋体"/>
                <w:color w:val="auto"/>
                <w:sz w:val="18"/>
                <w:szCs w:val="21"/>
              </w:rPr>
              <w:t>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56" w:type="dxa"/>
            <w:vAlign w:val="center"/>
          </w:tcPr>
          <w:p>
            <w:pPr>
              <w:jc w:val="center"/>
              <w:rPr>
                <w:rFonts w:hint="eastAsia" w:ascii="宋体" w:hAnsi="宋体" w:cs="宋体"/>
                <w:color w:val="auto"/>
                <w:sz w:val="18"/>
                <w:szCs w:val="21"/>
              </w:rPr>
            </w:pPr>
            <w:r>
              <w:rPr>
                <w:rFonts w:hint="eastAsia" w:ascii="宋体" w:hAnsi="宋体" w:cs="宋体"/>
                <w:color w:val="auto"/>
                <w:sz w:val="18"/>
                <w:szCs w:val="21"/>
              </w:rPr>
              <w:t>Ki*Pi</w:t>
            </w:r>
          </w:p>
        </w:tc>
        <w:tc>
          <w:tcPr>
            <w:tcW w:w="1513" w:type="dxa"/>
            <w:vAlign w:val="center"/>
          </w:tcPr>
          <w:p>
            <w:pPr>
              <w:rPr>
                <w:rFonts w:hint="eastAsia" w:ascii="宋体" w:hAnsi="宋体" w:cs="宋体"/>
                <w:color w:val="auto"/>
                <w:sz w:val="18"/>
                <w:szCs w:val="21"/>
              </w:rPr>
            </w:pPr>
          </w:p>
        </w:tc>
        <w:tc>
          <w:tcPr>
            <w:tcW w:w="1522" w:type="dxa"/>
            <w:tcBorders>
              <w:right w:val="single" w:color="auto" w:sz="2" w:space="0"/>
            </w:tcBorders>
            <w:vAlign w:val="center"/>
          </w:tcPr>
          <w:p>
            <w:pPr>
              <w:rPr>
                <w:rFonts w:hint="eastAsia" w:ascii="宋体" w:hAnsi="宋体" w:cs="宋体"/>
                <w:color w:val="auto"/>
                <w:sz w:val="18"/>
                <w:szCs w:val="21"/>
              </w:rPr>
            </w:pPr>
          </w:p>
        </w:tc>
        <w:tc>
          <w:tcPr>
            <w:tcW w:w="2077" w:type="dxa"/>
            <w:tcBorders>
              <w:right w:val="single" w:color="auto" w:sz="2" w:space="0"/>
            </w:tcBorders>
            <w:vAlign w:val="center"/>
          </w:tcPr>
          <w:p>
            <w:pPr>
              <w:rPr>
                <w:rFonts w:hint="eastAsia" w:ascii="宋体" w:hAnsi="宋体" w:cs="宋体"/>
                <w:color w:val="auto"/>
                <w:sz w:val="18"/>
                <w:szCs w:val="21"/>
              </w:rPr>
            </w:pPr>
          </w:p>
        </w:tc>
        <w:tc>
          <w:tcPr>
            <w:tcW w:w="1747" w:type="dxa"/>
            <w:tcBorders>
              <w:left w:val="single" w:color="auto" w:sz="2" w:space="0"/>
            </w:tcBorders>
            <w:vAlign w:val="center"/>
          </w:tcPr>
          <w:p>
            <w:pPr>
              <w:rPr>
                <w:rFonts w:hint="eastAsia" w:ascii="宋体" w:hAnsi="宋体" w:cs="宋体"/>
                <w:color w:val="auto"/>
                <w:sz w:val="18"/>
                <w:szCs w:val="21"/>
              </w:rPr>
            </w:pPr>
          </w:p>
        </w:tc>
      </w:tr>
    </w:tbl>
    <w:p>
      <w:pPr>
        <w:spacing w:line="300" w:lineRule="auto"/>
        <w:ind w:right="-197" w:rightChars="-94"/>
        <w:rPr>
          <w:rFonts w:hint="eastAsia" w:ascii="宋体" w:hAnsi="宋体" w:cs="宋体"/>
          <w:color w:val="auto"/>
          <w:sz w:val="18"/>
          <w:szCs w:val="18"/>
        </w:rPr>
      </w:pPr>
    </w:p>
    <w:p>
      <w:pPr>
        <w:spacing w:line="300" w:lineRule="auto"/>
        <w:ind w:right="-197" w:rightChars="-94" w:firstLine="630" w:firstLineChars="350"/>
        <w:rPr>
          <w:rFonts w:hint="eastAsia" w:ascii="宋体" w:hAnsi="宋体" w:cs="宋体"/>
          <w:color w:val="auto"/>
          <w:sz w:val="18"/>
          <w:szCs w:val="18"/>
        </w:rPr>
      </w:pPr>
      <w:r>
        <w:rPr>
          <w:rFonts w:hint="eastAsia" w:ascii="宋体" w:hAnsi="宋体" w:cs="宋体"/>
          <w:color w:val="auto"/>
          <w:sz w:val="18"/>
          <w:szCs w:val="18"/>
        </w:rPr>
        <w:t>备注：</w:t>
      </w:r>
    </w:p>
    <w:p>
      <w:pPr>
        <w:spacing w:line="300" w:lineRule="auto"/>
        <w:ind w:firstLine="630" w:firstLineChars="350"/>
        <w:rPr>
          <w:rFonts w:hint="eastAsia" w:ascii="宋体" w:hAnsi="宋体" w:cs="宋体"/>
          <w:color w:val="auto"/>
          <w:sz w:val="18"/>
          <w:szCs w:val="18"/>
        </w:rPr>
      </w:pPr>
      <w:r>
        <w:rPr>
          <w:rFonts w:hint="eastAsia" w:ascii="宋体" w:hAnsi="宋体" w:cs="宋体"/>
          <w:color w:val="auto"/>
          <w:sz w:val="18"/>
          <w:szCs w:val="18"/>
        </w:rPr>
        <w:t>1．综合得分计算保留2位小数（百分比亦取2位小数），第3位小数4舍5入。</w:t>
      </w:r>
    </w:p>
    <w:p>
      <w:pPr>
        <w:spacing w:line="300" w:lineRule="auto"/>
        <w:ind w:firstLine="630" w:firstLineChars="350"/>
        <w:rPr>
          <w:rFonts w:hint="eastAsia" w:ascii="宋体" w:hAnsi="宋体" w:cs="宋体"/>
          <w:color w:val="auto"/>
          <w:sz w:val="18"/>
          <w:szCs w:val="18"/>
        </w:rPr>
      </w:pPr>
      <w:r>
        <w:rPr>
          <w:rFonts w:hint="eastAsia" w:ascii="宋体" w:hAnsi="宋体" w:cs="宋体"/>
          <w:color w:val="auto"/>
          <w:sz w:val="18"/>
          <w:szCs w:val="18"/>
        </w:rPr>
        <w:t>2．投标人综合得分为</w:t>
      </w:r>
      <w:r>
        <w:rPr>
          <w:rFonts w:hint="eastAsia" w:ascii="宋体" w:hAnsi="宋体" w:cs="宋体"/>
          <w:color w:val="auto"/>
          <w:sz w:val="18"/>
          <w:szCs w:val="21"/>
        </w:rPr>
        <w:t>承包人设计方案、承包人实施方案、资信业绩</w:t>
      </w:r>
      <w:r>
        <w:rPr>
          <w:rFonts w:hint="eastAsia" w:ascii="宋体" w:hAnsi="宋体" w:cs="宋体"/>
          <w:color w:val="auto"/>
          <w:sz w:val="18"/>
          <w:szCs w:val="18"/>
        </w:rPr>
        <w:t>、投标报价的单项得分乘以相应的权数取值之和。</w:t>
      </w:r>
    </w:p>
    <w:p>
      <w:pPr>
        <w:spacing w:line="300" w:lineRule="auto"/>
        <w:ind w:firstLine="480"/>
        <w:rPr>
          <w:rFonts w:hint="eastAsia" w:ascii="宋体" w:hAnsi="宋体" w:cs="宋体"/>
          <w:color w:val="auto"/>
          <w:sz w:val="18"/>
          <w:szCs w:val="18"/>
        </w:rPr>
      </w:pPr>
    </w:p>
    <w:p>
      <w:pPr>
        <w:ind w:firstLine="630" w:firstLineChars="300"/>
        <w:rPr>
          <w:rFonts w:hint="eastAsia" w:ascii="宋体" w:hAnsi="宋体" w:cs="宋体"/>
          <w:color w:val="auto"/>
        </w:rPr>
      </w:pPr>
      <w:r>
        <w:rPr>
          <w:rFonts w:hint="eastAsia" w:ascii="宋体" w:hAnsi="宋体" w:cs="宋体"/>
          <w:color w:val="auto"/>
          <w:szCs w:val="21"/>
        </w:rPr>
        <w:t>评标委员会全体成员签字：</w:t>
      </w:r>
      <w:r>
        <w:rPr>
          <w:rFonts w:hint="eastAsia" w:ascii="宋体" w:hAnsi="宋体" w:cs="宋体"/>
          <w:color w:val="auto"/>
          <w:szCs w:val="21"/>
        </w:rPr>
        <w:br w:type="page"/>
      </w:r>
    </w:p>
    <w:p>
      <w:pPr>
        <w:pStyle w:val="5"/>
        <w:spacing w:line="240" w:lineRule="auto"/>
        <w:jc w:val="center"/>
        <w:rPr>
          <w:rFonts w:hint="eastAsia" w:ascii="宋体" w:hAnsi="宋体" w:cs="宋体"/>
          <w:color w:val="auto"/>
        </w:rPr>
      </w:pPr>
      <w:bookmarkStart w:id="395" w:name="_Toc144974577"/>
      <w:bookmarkStart w:id="396" w:name="_Toc247527634"/>
      <w:bookmarkStart w:id="397" w:name="_Toc247514033"/>
      <w:bookmarkStart w:id="398" w:name="_Toc152045609"/>
      <w:bookmarkStart w:id="399" w:name="_Toc499738097"/>
      <w:bookmarkStart w:id="400" w:name="_Toc152042387"/>
      <w:r>
        <w:rPr>
          <w:rFonts w:hint="eastAsia" w:ascii="宋体" w:hAnsi="宋体" w:cs="宋体"/>
          <w:color w:val="auto"/>
        </w:rPr>
        <w:t>第五章 合同条款及格式</w:t>
      </w:r>
      <w:bookmarkEnd w:id="395"/>
      <w:bookmarkEnd w:id="396"/>
      <w:bookmarkEnd w:id="397"/>
      <w:bookmarkEnd w:id="398"/>
      <w:bookmarkEnd w:id="399"/>
      <w:bookmarkEnd w:id="400"/>
      <w:bookmarkStart w:id="401" w:name="_Toc247514034"/>
      <w:bookmarkStart w:id="402" w:name="_Toc144974578"/>
      <w:bookmarkStart w:id="403" w:name="_Toc247527635"/>
      <w:bookmarkStart w:id="404" w:name="_Toc184635097"/>
      <w:bookmarkStart w:id="405" w:name="_Toc152045610"/>
      <w:bookmarkStart w:id="406" w:name="_Toc152042388"/>
    </w:p>
    <w:p>
      <w:pPr>
        <w:pStyle w:val="76"/>
        <w:shd w:val="clear" w:color="auto" w:fill="auto"/>
        <w:spacing w:before="0" w:after="0" w:line="500" w:lineRule="exact"/>
        <w:ind w:left="200" w:firstLine="640" w:firstLineChars="200"/>
        <w:rPr>
          <w:rFonts w:hint="eastAsia" w:ascii="宋体" w:hAnsi="宋体" w:eastAsia="宋体" w:cs="宋体"/>
          <w:color w:val="auto"/>
        </w:rPr>
      </w:pPr>
      <w:r>
        <w:rPr>
          <w:rFonts w:hint="eastAsia" w:ascii="宋体" w:hAnsi="宋体" w:eastAsia="宋体" w:cs="宋体"/>
          <w:bCs/>
          <w:color w:val="auto"/>
          <w:sz w:val="32"/>
          <w:szCs w:val="32"/>
        </w:rPr>
        <w:t xml:space="preserve">                                  </w:t>
      </w:r>
      <w:bookmarkEnd w:id="401"/>
      <w:bookmarkEnd w:id="402"/>
      <w:bookmarkEnd w:id="403"/>
      <w:bookmarkEnd w:id="404"/>
      <w:bookmarkEnd w:id="405"/>
      <w:bookmarkEnd w:id="406"/>
      <w:bookmarkStart w:id="407" w:name="bookmark1"/>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GF-2020-0216</w:t>
      </w:r>
    </w:p>
    <w:p>
      <w:pPr>
        <w:pStyle w:val="17"/>
        <w:rPr>
          <w:rFonts w:hint="eastAsia"/>
          <w:color w:val="auto"/>
        </w:rPr>
      </w:pPr>
    </w:p>
    <w:p>
      <w:pPr>
        <w:pStyle w:val="17"/>
        <w:rPr>
          <w:color w:val="auto"/>
        </w:rPr>
      </w:pPr>
    </w:p>
    <w:p>
      <w:pPr>
        <w:rPr>
          <w:color w:val="auto"/>
        </w:rPr>
      </w:pPr>
    </w:p>
    <w:p>
      <w:pPr>
        <w:pStyle w:val="324"/>
        <w:rPr>
          <w:rFonts w:hint="eastAsia" w:ascii="方正小标宋简体" w:hAnsi="方正小标宋简体" w:eastAsia="方正小标宋简体" w:cs="方正小标宋简体"/>
          <w:b w:val="0"/>
          <w:bCs/>
          <w:color w:val="auto"/>
          <w:sz w:val="52"/>
          <w:szCs w:val="52"/>
        </w:rPr>
      </w:pPr>
      <w:r>
        <w:rPr>
          <w:rFonts w:hint="eastAsia" w:ascii="方正小标宋简体" w:hAnsi="方正小标宋简体" w:eastAsia="方正小标宋简体" w:cs="方正小标宋简体"/>
          <w:b w:val="0"/>
          <w:bCs/>
          <w:color w:val="auto"/>
          <w:sz w:val="72"/>
          <w:szCs w:val="72"/>
        </w:rPr>
        <w:t>建设项目工程总承包合同</w:t>
      </w:r>
    </w:p>
    <w:p>
      <w:pPr>
        <w:pStyle w:val="324"/>
        <w:rPr>
          <w:rFonts w:ascii="华文中宋" w:hAnsi="华文中宋" w:eastAsia="华文中宋"/>
          <w:b w:val="0"/>
          <w:bCs/>
          <w:color w:val="auto"/>
          <w:sz w:val="52"/>
          <w:szCs w:val="52"/>
        </w:rPr>
      </w:pPr>
      <w:r>
        <w:rPr>
          <w:rFonts w:hint="eastAsia" w:ascii="方正小标宋简体" w:hAnsi="方正小标宋简体" w:eastAsia="方正小标宋简体" w:cs="方正小标宋简体"/>
          <w:b w:val="0"/>
          <w:bCs/>
          <w:color w:val="auto"/>
          <w:sz w:val="52"/>
          <w:szCs w:val="52"/>
        </w:rPr>
        <w:t>（示范文本）</w:t>
      </w:r>
    </w:p>
    <w:p>
      <w:pPr>
        <w:pStyle w:val="324"/>
        <w:rPr>
          <w:rFonts w:ascii="华文中宋" w:hAnsi="华文中宋" w:eastAsia="华文中宋"/>
          <w:color w:val="auto"/>
          <w:sz w:val="40"/>
          <w:szCs w:val="40"/>
        </w:rPr>
      </w:pPr>
    </w:p>
    <w:p>
      <w:pPr>
        <w:pStyle w:val="324"/>
        <w:rPr>
          <w:rFonts w:ascii="华文中宋" w:hAnsi="华文中宋" w:eastAsia="华文中宋"/>
          <w:color w:val="auto"/>
          <w:sz w:val="40"/>
          <w:szCs w:val="40"/>
        </w:rPr>
      </w:pPr>
    </w:p>
    <w:p>
      <w:pPr>
        <w:rPr>
          <w:color w:val="auto"/>
        </w:rPr>
      </w:pPr>
    </w:p>
    <w:p>
      <w:pPr>
        <w:pStyle w:val="324"/>
        <w:rPr>
          <w:rFonts w:ascii="华文中宋" w:hAnsi="华文中宋" w:eastAsia="华文中宋"/>
          <w:color w:val="auto"/>
          <w:sz w:val="40"/>
          <w:szCs w:val="40"/>
        </w:rPr>
      </w:pPr>
    </w:p>
    <w:p>
      <w:pPr>
        <w:rPr>
          <w:color w:val="auto"/>
        </w:rPr>
      </w:pPr>
    </w:p>
    <w:p>
      <w:pPr>
        <w:pStyle w:val="324"/>
        <w:rPr>
          <w:rFonts w:ascii="宋体" w:hAnsi="宋体" w:eastAsia="宋体"/>
          <w:color w:val="auto"/>
          <w:sz w:val="32"/>
          <w:szCs w:val="32"/>
        </w:rPr>
      </w:pPr>
    </w:p>
    <w:p>
      <w:pPr>
        <w:ind w:right="2182" w:rightChars="1039"/>
        <w:jc w:val="distribute"/>
        <w:rPr>
          <w:b/>
          <w:bCs/>
          <w:color w:val="auto"/>
          <w:sz w:val="32"/>
          <w:szCs w:val="32"/>
        </w:rPr>
      </w:pPr>
      <w:r>
        <w:rPr>
          <w:rFonts w:hint="eastAsia"/>
          <w:b/>
          <w:color w:val="auto"/>
          <w:sz w:val="32"/>
          <w:szCs w:val="28"/>
        </w:rPr>
        <w:t xml:space="preserve">     </w:t>
      </w:r>
      <w:r>
        <w:rPr>
          <w:b/>
          <w:bCs/>
          <w:color w:val="auto"/>
          <w:sz w:val="32"/>
          <w:szCs w:val="32"/>
        </w:rPr>
        <mc:AlternateContent>
          <mc:Choice Requires="wps">
            <w:drawing>
              <wp:anchor distT="45720" distB="45720" distL="114300" distR="114300" simplePos="0" relativeHeight="251659264" behindDoc="0" locked="0" layoutInCell="1" allowOverlap="1">
                <wp:simplePos x="0" y="0"/>
                <wp:positionH relativeFrom="column">
                  <wp:posOffset>3954780</wp:posOffset>
                </wp:positionH>
                <wp:positionV relativeFrom="paragraph">
                  <wp:posOffset>150495</wp:posOffset>
                </wp:positionV>
                <wp:extent cx="754380" cy="1772285"/>
                <wp:effectExtent l="0" t="0" r="7620" b="18415"/>
                <wp:wrapNone/>
                <wp:docPr id="2" name="文本框 2"/>
                <wp:cNvGraphicFramePr/>
                <a:graphic xmlns:a="http://schemas.openxmlformats.org/drawingml/2006/main">
                  <a:graphicData uri="http://schemas.microsoft.com/office/word/2010/wordprocessingShape">
                    <wps:wsp>
                      <wps:cNvSpPr txBox="1"/>
                      <wps:spPr>
                        <a:xfrm>
                          <a:off x="0" y="0"/>
                          <a:ext cx="754380" cy="1772285"/>
                        </a:xfrm>
                        <a:prstGeom prst="rect">
                          <a:avLst/>
                        </a:prstGeom>
                        <a:solidFill>
                          <a:srgbClr val="FFFFFF"/>
                        </a:solidFill>
                        <a:ln>
                          <a:noFill/>
                        </a:ln>
                      </wps:spPr>
                      <wps:txbx>
                        <w:txbxContent>
                          <w:p>
                            <w:pPr>
                              <w:jc w:val="center"/>
                              <w:rPr>
                                <w:b/>
                                <w:bCs/>
                                <w:sz w:val="32"/>
                                <w:szCs w:val="32"/>
                              </w:rPr>
                            </w:pPr>
                            <w:r>
                              <w:rPr>
                                <w:rFonts w:hint="eastAsia"/>
                                <w:b/>
                                <w:bCs/>
                                <w:sz w:val="32"/>
                                <w:szCs w:val="32"/>
                              </w:rPr>
                              <w:t>制定</w:t>
                            </w:r>
                          </w:p>
                        </w:txbxContent>
                      </wps:txbx>
                      <wps:bodyPr wrap="square"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11.4pt;margin-top:11.85pt;height:139.55pt;width:59.4pt;z-index:251659264;mso-width-relative:page;mso-height-relative:margin;mso-height-percent:200;" fillcolor="#FFFFFF" filled="t" stroked="f" coordsize="21600,21600" o:gfxdata="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kTDeA2AAAAAoBAAAPAAAAAAAAAAEAIAAAACIAAABkcnMvZG93bnJldi54bWxQSwEC&#10;FAAUAAAACACHTuJAyPo817sBAABRAwAADgAAAAAAAAABACAAAAAnAQAAZHJzL2Uyb0RvYy54bWxQ&#10;SwUGAAAAAAYABgBZAQAAVAUAAAAA&#10;">
                <v:fill on="t" focussize="0,0"/>
                <v:stroke on="f"/>
                <v:imagedata o:title=""/>
                <o:lock v:ext="edit" aspectratio="f"/>
                <v:textbox style="mso-fit-shape-to-text:t;">
                  <w:txbxContent>
                    <w:p>
                      <w:pPr>
                        <w:jc w:val="center"/>
                        <w:rPr>
                          <w:b/>
                          <w:bCs/>
                          <w:sz w:val="32"/>
                          <w:szCs w:val="32"/>
                        </w:rPr>
                      </w:pPr>
                      <w:r>
                        <w:rPr>
                          <w:rFonts w:hint="eastAsia"/>
                          <w:b/>
                          <w:bCs/>
                          <w:sz w:val="32"/>
                          <w:szCs w:val="32"/>
                        </w:rPr>
                        <w:t>制定</w:t>
                      </w:r>
                    </w:p>
                  </w:txbxContent>
                </v:textbox>
              </v:shape>
            </w:pict>
          </mc:Fallback>
        </mc:AlternateContent>
      </w:r>
      <w:r>
        <w:rPr>
          <w:rFonts w:hint="eastAsia"/>
          <w:b/>
          <w:bCs/>
          <w:color w:val="auto"/>
          <w:sz w:val="32"/>
          <w:szCs w:val="32"/>
        </w:rPr>
        <w:t>中华人民共和国</w:t>
      </w:r>
      <w:r>
        <w:rPr>
          <w:b/>
          <w:bCs/>
          <w:color w:val="auto"/>
          <w:sz w:val="32"/>
          <w:szCs w:val="32"/>
        </w:rPr>
        <w:t>住房</w:t>
      </w:r>
      <w:r>
        <w:rPr>
          <w:rFonts w:hint="eastAsia"/>
          <w:b/>
          <w:bCs/>
          <w:color w:val="auto"/>
          <w:sz w:val="32"/>
          <w:szCs w:val="32"/>
        </w:rPr>
        <w:t>和</w:t>
      </w:r>
      <w:r>
        <w:rPr>
          <w:b/>
          <w:bCs/>
          <w:color w:val="auto"/>
          <w:sz w:val="32"/>
          <w:szCs w:val="32"/>
        </w:rPr>
        <w:t>城乡建设部</w:t>
      </w:r>
    </w:p>
    <w:p>
      <w:pPr>
        <w:ind w:right="2182" w:rightChars="1039"/>
        <w:jc w:val="distribute"/>
        <w:rPr>
          <w:b/>
          <w:bCs/>
          <w:color w:val="auto"/>
          <w:sz w:val="32"/>
          <w:szCs w:val="32"/>
        </w:rPr>
        <w:sectPr>
          <w:pgSz w:w="11906" w:h="16838"/>
          <w:pgMar w:top="1440" w:right="1800" w:bottom="1440" w:left="1800" w:header="680" w:footer="1417" w:gutter="0"/>
          <w:cols w:space="720" w:num="1"/>
          <w:titlePg/>
          <w:docGrid w:linePitch="326" w:charSpace="0"/>
        </w:sectPr>
      </w:pPr>
      <w:r>
        <w:rPr>
          <w:rFonts w:hint="eastAsia"/>
          <w:b/>
          <w:color w:val="auto"/>
          <w:sz w:val="32"/>
          <w:szCs w:val="28"/>
        </w:rPr>
        <w:t xml:space="preserve">     国家</w:t>
      </w:r>
      <w:r>
        <w:rPr>
          <w:rFonts w:hint="eastAsia"/>
          <w:b/>
          <w:bCs/>
          <w:color w:val="auto"/>
          <w:sz w:val="32"/>
          <w:szCs w:val="32"/>
        </w:rPr>
        <w:t>市场监</w:t>
      </w:r>
      <w:r>
        <w:rPr>
          <w:rFonts w:hint="eastAsia"/>
          <w:b/>
          <w:color w:val="auto"/>
          <w:sz w:val="32"/>
          <w:szCs w:val="28"/>
        </w:rPr>
        <w:t>督</w:t>
      </w:r>
      <w:r>
        <w:rPr>
          <w:rFonts w:hint="eastAsia"/>
          <w:b/>
          <w:bCs/>
          <w:color w:val="auto"/>
          <w:sz w:val="32"/>
          <w:szCs w:val="32"/>
        </w:rPr>
        <w:t>管理</w:t>
      </w:r>
      <w:r>
        <w:rPr>
          <w:b/>
          <w:bCs/>
          <w:color w:val="auto"/>
          <w:sz w:val="32"/>
          <w:szCs w:val="32"/>
        </w:rPr>
        <w:t>总局</w:t>
      </w:r>
    </w:p>
    <w:p>
      <w:pPr>
        <w:pStyle w:val="324"/>
        <w:spacing w:after="0" w:afterLines="0" w:line="240" w:lineRule="auto"/>
        <w:rPr>
          <w:rFonts w:ascii="华文中宋" w:hAnsi="华文中宋" w:eastAsia="华文中宋"/>
          <w:color w:val="auto"/>
          <w:sz w:val="44"/>
          <w:szCs w:val="44"/>
        </w:rPr>
      </w:pPr>
      <w:bookmarkStart w:id="408" w:name="_Toc523410369"/>
      <w:r>
        <w:rPr>
          <w:rFonts w:hint="eastAsia" w:ascii="华文中宋" w:hAnsi="华文中宋" w:eastAsia="华文中宋"/>
          <w:color w:val="auto"/>
          <w:sz w:val="44"/>
          <w:szCs w:val="44"/>
        </w:rPr>
        <w:t>说</w:t>
      </w:r>
      <w:r>
        <w:rPr>
          <w:rFonts w:ascii="华文中宋" w:hAnsi="华文中宋" w:eastAsia="华文中宋"/>
          <w:color w:val="auto"/>
          <w:sz w:val="44"/>
          <w:szCs w:val="44"/>
        </w:rPr>
        <w:t xml:space="preserve">  </w:t>
      </w:r>
      <w:r>
        <w:rPr>
          <w:rFonts w:hint="eastAsia" w:ascii="华文中宋" w:hAnsi="华文中宋" w:eastAsia="华文中宋"/>
          <w:color w:val="auto"/>
          <w:sz w:val="44"/>
          <w:szCs w:val="44"/>
        </w:rPr>
        <w:t>明</w:t>
      </w:r>
      <w:bookmarkEnd w:id="408"/>
    </w:p>
    <w:p>
      <w:pPr>
        <w:ind w:firstLine="600"/>
        <w:rPr>
          <w:rFonts w:ascii="仿宋_GB2312" w:eastAsia="仿宋_GB2312"/>
          <w:color w:val="auto"/>
          <w:sz w:val="24"/>
        </w:rPr>
      </w:pPr>
      <w:r>
        <w:rPr>
          <w:rFonts w:hint="eastAsia" w:ascii="仿宋_GB2312" w:eastAsia="仿宋_GB2312"/>
          <w:color w:val="auto"/>
          <w:sz w:val="24"/>
        </w:rPr>
        <w:t>为指导建设项目工程总承包合同当事人的签约行为，维护合同当事人的合法权益，依据《中华人民共和国民法典》、《中华人民共和国建筑法》、《中华人民共和国招标投标法》以及相关法律、法规，住房和城乡建设部、市场监管总局对《建设项目工程总承包合同示范文本（试行）》（GF-2011-0216）进行了修订，制定了《建设项目工程总承包合同（示范文本）》（GF-2020-0216）（以下简称《示范文本》）。现就有关问题说明如下：</w:t>
      </w:r>
    </w:p>
    <w:p>
      <w:pPr>
        <w:pStyle w:val="199"/>
        <w:numPr>
          <w:ilvl w:val="0"/>
          <w:numId w:val="0"/>
        </w:numPr>
        <w:spacing w:line="360" w:lineRule="auto"/>
        <w:ind w:firstLine="480" w:firstLineChars="200"/>
        <w:rPr>
          <w:b w:val="0"/>
          <w:bCs/>
          <w:color w:val="auto"/>
        </w:rPr>
      </w:pPr>
      <w:bookmarkStart w:id="409" w:name="_Toc521079598"/>
      <w:r>
        <w:rPr>
          <w:rFonts w:hint="eastAsia"/>
          <w:b w:val="0"/>
          <w:bCs/>
          <w:color w:val="auto"/>
        </w:rPr>
        <w:t>一、《示范文本》的组成</w:t>
      </w:r>
      <w:bookmarkEnd w:id="409"/>
    </w:p>
    <w:p>
      <w:pPr>
        <w:ind w:firstLine="600"/>
        <w:rPr>
          <w:rFonts w:ascii="仿宋_GB2312" w:eastAsia="仿宋_GB2312"/>
          <w:color w:val="auto"/>
          <w:sz w:val="24"/>
        </w:rPr>
      </w:pPr>
      <w:r>
        <w:rPr>
          <w:rFonts w:hint="eastAsia" w:ascii="仿宋_GB2312" w:eastAsia="仿宋_GB2312"/>
          <w:color w:val="auto"/>
          <w:sz w:val="24"/>
        </w:rPr>
        <w:t>《示范文本》由合同协议书、通用合同条件和专用合同条件三部分组成。</w:t>
      </w:r>
    </w:p>
    <w:p>
      <w:pPr>
        <w:ind w:firstLine="600"/>
        <w:rPr>
          <w:rFonts w:ascii="仿宋_GB2312" w:eastAsia="仿宋_GB2312"/>
          <w:color w:val="auto"/>
          <w:sz w:val="24"/>
        </w:rPr>
      </w:pPr>
      <w:bookmarkStart w:id="410" w:name="_Toc521079599"/>
      <w:r>
        <w:rPr>
          <w:rFonts w:hint="eastAsia" w:ascii="仿宋_GB2312" w:eastAsia="仿宋_GB2312"/>
          <w:color w:val="auto"/>
          <w:sz w:val="24"/>
        </w:rPr>
        <w:t>（一）合同协议书</w:t>
      </w:r>
      <w:bookmarkEnd w:id="410"/>
    </w:p>
    <w:p>
      <w:pPr>
        <w:ind w:firstLine="600"/>
        <w:rPr>
          <w:rFonts w:ascii="仿宋_GB2312" w:eastAsia="仿宋_GB2312"/>
          <w:color w:val="auto"/>
          <w:sz w:val="24"/>
        </w:rPr>
      </w:pPr>
      <w:r>
        <w:rPr>
          <w:rFonts w:hint="eastAsia" w:ascii="仿宋_GB2312" w:eastAsia="仿宋_GB2312"/>
          <w:color w:val="auto"/>
          <w:sz w:val="24"/>
        </w:rPr>
        <w:t>《示范文本》合同协议书共计</w:t>
      </w:r>
      <w:r>
        <w:rPr>
          <w:rFonts w:ascii="仿宋_GB2312" w:eastAsia="仿宋_GB2312"/>
          <w:color w:val="auto"/>
          <w:sz w:val="24"/>
        </w:rPr>
        <w:t>11</w:t>
      </w:r>
      <w:r>
        <w:rPr>
          <w:rFonts w:hint="eastAsia" w:ascii="仿宋_GB2312" w:eastAsia="仿宋_GB2312"/>
          <w:color w:val="auto"/>
          <w:sz w:val="24"/>
        </w:rPr>
        <w:t>条，主要包括：工程概况、合同工期、质量标准、签约合同价与合同价格形式、工程总承包项目经理、合同文件构成、承诺、订立时间、订立地点、合同生效和合同份数，集中约定了合同当事人基本的合同权利义务。</w:t>
      </w:r>
    </w:p>
    <w:p>
      <w:pPr>
        <w:ind w:firstLine="600"/>
        <w:rPr>
          <w:rFonts w:ascii="仿宋_GB2312" w:eastAsia="仿宋_GB2312"/>
          <w:color w:val="auto"/>
          <w:sz w:val="24"/>
        </w:rPr>
      </w:pPr>
      <w:bookmarkStart w:id="411" w:name="_Toc521079600"/>
      <w:r>
        <w:rPr>
          <w:rFonts w:hint="eastAsia" w:ascii="仿宋_GB2312" w:eastAsia="仿宋_GB2312"/>
          <w:color w:val="auto"/>
          <w:sz w:val="24"/>
        </w:rPr>
        <w:t>（二）通用合同条件</w:t>
      </w:r>
      <w:bookmarkEnd w:id="411"/>
    </w:p>
    <w:p>
      <w:pPr>
        <w:ind w:firstLine="600"/>
        <w:rPr>
          <w:rFonts w:ascii="仿宋_GB2312" w:eastAsia="仿宋_GB2312"/>
          <w:color w:val="auto"/>
          <w:sz w:val="24"/>
        </w:rPr>
      </w:pPr>
      <w:r>
        <w:rPr>
          <w:rFonts w:hint="eastAsia" w:ascii="仿宋_GB2312" w:eastAsia="仿宋_GB2312"/>
          <w:color w:val="auto"/>
          <w:sz w:val="24"/>
        </w:rPr>
        <w:t>通用合同条件是合同当事人根据《中华人民共和国民法典》、《中华人民共和国建筑法》等法律法规的规定，就工程总承包项目的实施及相关事项，对合同当事人的权利义务作出的原则性约定。通用合同条件共计20条，具体条款分别为：</w:t>
      </w:r>
      <w:bookmarkStart w:id="412" w:name="_Hlk54448922"/>
      <w:r>
        <w:rPr>
          <w:rFonts w:hint="eastAsia" w:ascii="仿宋_GB2312" w:eastAsia="仿宋_GB2312"/>
          <w:color w:val="auto"/>
          <w:sz w:val="24"/>
        </w:rPr>
        <w:t>第</w:t>
      </w:r>
      <w:r>
        <w:rPr>
          <w:rFonts w:ascii="仿宋_GB2312" w:eastAsia="仿宋_GB2312"/>
          <w:color w:val="auto"/>
          <w:sz w:val="24"/>
        </w:rPr>
        <w:t>1条 一般约定，第2条 发包人，第3条 发包人的管理，第4条 承包人，第5条 设计，第6条 材料、工程设备，第7条 施工，第8条 工期和进度，第9条 竣工试验，第10条 验收和工程接收，第11条 缺陷责任与保修，第12条 竣工后试验，第13条 变更与调整，第14条 合同价格与支付，第15条 违约，第16条 合同解除，第17条 不可抗力，第18条 保险，第19条 索赔，第20条 争议解决</w:t>
      </w:r>
      <w:r>
        <w:rPr>
          <w:rFonts w:hint="eastAsia" w:ascii="仿宋_GB2312" w:eastAsia="仿宋_GB2312"/>
          <w:color w:val="auto"/>
          <w:sz w:val="24"/>
        </w:rPr>
        <w:t>。</w:t>
      </w:r>
      <w:bookmarkEnd w:id="412"/>
      <w:r>
        <w:rPr>
          <w:rFonts w:hint="eastAsia" w:ascii="仿宋_GB2312" w:eastAsia="仿宋_GB2312"/>
          <w:color w:val="auto"/>
          <w:sz w:val="24"/>
        </w:rPr>
        <w:t>前述条款安排既考虑了现行法律法规对工程总承包活动的有关要求，也考虑了工程总承包项目管理的实际需要。</w:t>
      </w:r>
    </w:p>
    <w:p>
      <w:pPr>
        <w:ind w:firstLine="600"/>
        <w:rPr>
          <w:rFonts w:ascii="仿宋_GB2312" w:eastAsia="仿宋_GB2312"/>
          <w:color w:val="auto"/>
          <w:sz w:val="24"/>
        </w:rPr>
      </w:pPr>
      <w:bookmarkStart w:id="413" w:name="_Toc521079601"/>
      <w:r>
        <w:rPr>
          <w:rFonts w:hint="eastAsia" w:ascii="仿宋_GB2312" w:eastAsia="仿宋_GB2312"/>
          <w:color w:val="auto"/>
          <w:sz w:val="24"/>
        </w:rPr>
        <w:t>（三）专用合同条件</w:t>
      </w:r>
      <w:bookmarkEnd w:id="413"/>
    </w:p>
    <w:p>
      <w:pPr>
        <w:ind w:firstLine="600"/>
        <w:rPr>
          <w:rFonts w:ascii="仿宋_GB2312" w:eastAsia="仿宋_GB2312"/>
          <w:color w:val="auto"/>
          <w:sz w:val="24"/>
        </w:rPr>
      </w:pPr>
      <w:r>
        <w:rPr>
          <w:rFonts w:hint="eastAsia" w:ascii="仿宋_GB2312" w:eastAsia="仿宋_GB2312"/>
          <w:color w:val="auto"/>
          <w:sz w:val="24"/>
        </w:rPr>
        <w:t>专用合同条件是合同当事人根据不同建设项目的特点及具体情况，通过双方的谈判、协商对通用合同条件原则性约定细化、完善、补充、修改或另行约定的合同条件。在编写专用合同条件时，应注意以下事项：</w:t>
      </w:r>
    </w:p>
    <w:p>
      <w:pPr>
        <w:spacing w:line="240" w:lineRule="auto"/>
        <w:ind w:firstLine="600"/>
        <w:rPr>
          <w:rFonts w:ascii="仿宋_GB2312" w:eastAsia="仿宋_GB2312"/>
          <w:color w:val="auto"/>
          <w:sz w:val="24"/>
        </w:rPr>
      </w:pPr>
      <w:r>
        <w:rPr>
          <w:rFonts w:hint="eastAsia" w:ascii="仿宋_GB2312" w:eastAsia="仿宋_GB2312"/>
          <w:color w:val="auto"/>
          <w:sz w:val="24"/>
        </w:rPr>
        <w:t>1.专用合同条件的编号应与相应的通用合同条件的编号一致；</w:t>
      </w:r>
    </w:p>
    <w:p>
      <w:pPr>
        <w:spacing w:line="240" w:lineRule="auto"/>
        <w:ind w:firstLine="600"/>
        <w:rPr>
          <w:rFonts w:ascii="仿宋_GB2312" w:eastAsia="仿宋_GB2312"/>
          <w:color w:val="auto"/>
          <w:sz w:val="24"/>
        </w:rPr>
      </w:pPr>
      <w:r>
        <w:rPr>
          <w:rFonts w:hint="eastAsia" w:ascii="仿宋_GB2312" w:eastAsia="仿宋_GB2312"/>
          <w:color w:val="auto"/>
          <w:sz w:val="24"/>
        </w:rPr>
        <w:t>2.在专用合同条件中有横道线的地方，合同当事人可针对相应的通用合同条件进行细化、完善、补充、修改或另行约定；如无细化、完善、补充、修改或另行约定，则填写“无”或划“/”；</w:t>
      </w:r>
    </w:p>
    <w:p>
      <w:pPr>
        <w:spacing w:line="240" w:lineRule="auto"/>
        <w:ind w:firstLine="600"/>
        <w:rPr>
          <w:rFonts w:ascii="仿宋_GB2312" w:eastAsia="仿宋_GB2312"/>
          <w:color w:val="auto"/>
          <w:sz w:val="24"/>
        </w:rPr>
      </w:pPr>
      <w:r>
        <w:rPr>
          <w:rFonts w:hint="eastAsia" w:ascii="仿宋_GB2312" w:eastAsia="仿宋_GB2312"/>
          <w:color w:val="auto"/>
          <w:sz w:val="24"/>
        </w:rPr>
        <w:t>3.对于在专用合同条件中未列出的通用合同条件中的条款，合同当事人根据建设项目的具体情况认为需要进行细化、完善、补充、修改或另行约定的，可在专用合同条件中，以同一条款号增加相关条款的内容。</w:t>
      </w:r>
    </w:p>
    <w:p>
      <w:pPr>
        <w:pStyle w:val="199"/>
        <w:numPr>
          <w:ilvl w:val="0"/>
          <w:numId w:val="0"/>
        </w:numPr>
        <w:spacing w:line="240" w:lineRule="auto"/>
        <w:rPr>
          <w:b w:val="0"/>
          <w:bCs/>
          <w:color w:val="auto"/>
        </w:rPr>
      </w:pPr>
      <w:bookmarkStart w:id="414" w:name="_Toc521079602"/>
      <w:r>
        <w:rPr>
          <w:rFonts w:hint="eastAsia"/>
          <w:b w:val="0"/>
          <w:bCs/>
          <w:color w:val="auto"/>
        </w:rPr>
        <w:t>二、《示范文本》的适用范围</w:t>
      </w:r>
      <w:bookmarkEnd w:id="414"/>
    </w:p>
    <w:p>
      <w:pPr>
        <w:spacing w:line="240" w:lineRule="auto"/>
        <w:ind w:firstLine="600"/>
        <w:rPr>
          <w:rFonts w:ascii="仿宋_GB2312" w:eastAsia="仿宋_GB2312"/>
          <w:color w:val="auto"/>
          <w:sz w:val="24"/>
        </w:rPr>
      </w:pPr>
      <w:r>
        <w:rPr>
          <w:rFonts w:hint="eastAsia" w:ascii="仿宋_GB2312" w:eastAsia="仿宋_GB2312"/>
          <w:color w:val="auto"/>
          <w:sz w:val="24"/>
        </w:rPr>
        <w:t>《示范文本》适用于房屋建筑和市政基础设施项目工程总承包承发包活动。</w:t>
      </w:r>
    </w:p>
    <w:p>
      <w:pPr>
        <w:pStyle w:val="199"/>
        <w:numPr>
          <w:ilvl w:val="0"/>
          <w:numId w:val="0"/>
        </w:numPr>
        <w:spacing w:line="240" w:lineRule="auto"/>
        <w:rPr>
          <w:b w:val="0"/>
          <w:bCs/>
          <w:color w:val="auto"/>
        </w:rPr>
      </w:pPr>
      <w:r>
        <w:rPr>
          <w:rFonts w:hint="eastAsia"/>
          <w:b w:val="0"/>
          <w:bCs/>
          <w:color w:val="auto"/>
        </w:rPr>
        <w:t>三、《示范文本》的性质</w:t>
      </w:r>
    </w:p>
    <w:p>
      <w:pPr>
        <w:spacing w:line="240" w:lineRule="auto"/>
        <w:ind w:firstLine="600"/>
        <w:rPr>
          <w:rFonts w:ascii="仿宋_GB2312" w:eastAsia="仿宋_GB2312"/>
          <w:color w:val="auto"/>
          <w:sz w:val="24"/>
        </w:rPr>
        <w:sectPr>
          <w:footerReference r:id="rId11" w:type="first"/>
          <w:footerReference r:id="rId10" w:type="default"/>
          <w:pgSz w:w="11906" w:h="16838"/>
          <w:pgMar w:top="1440" w:right="1800" w:bottom="1440" w:left="1800" w:header="720" w:footer="998" w:gutter="0"/>
          <w:cols w:space="720" w:num="1"/>
          <w:titlePg/>
          <w:docGrid w:linePitch="326" w:charSpace="0"/>
        </w:sectPr>
      </w:pPr>
      <w:r>
        <w:rPr>
          <w:rFonts w:hint="eastAsia" w:ascii="仿宋_GB2312" w:eastAsia="仿宋_GB2312"/>
          <w:color w:val="auto"/>
          <w:sz w:val="24"/>
        </w:rPr>
        <w:t>《示范文本》为推荐使用的非强制性使用文本。合同当事人可结合建设工程具体情况，参照《示范文本》订立合同，并按照法律法规和合同约定承担相应的法律责任及合同权利义务。</w:t>
      </w:r>
    </w:p>
    <w:p>
      <w:pPr>
        <w:rPr>
          <w:rFonts w:ascii="仿宋_GB2312" w:eastAsia="仿宋_GB2312"/>
          <w:color w:val="auto"/>
          <w:sz w:val="30"/>
          <w:szCs w:val="30"/>
        </w:rPr>
      </w:pPr>
    </w:p>
    <w:p>
      <w:pPr>
        <w:pStyle w:val="335"/>
        <w:keepNext w:val="0"/>
        <w:adjustRightInd w:val="0"/>
        <w:snapToGrid w:val="0"/>
        <w:spacing w:before="0" w:after="50" w:line="360" w:lineRule="auto"/>
        <w:jc w:val="center"/>
        <w:rPr>
          <w:rFonts w:ascii="华文中宋" w:hAnsi="华文中宋" w:eastAsia="华文中宋"/>
          <w:color w:val="auto"/>
          <w:sz w:val="44"/>
          <w:szCs w:val="52"/>
          <w:lang w:eastAsia="zh-CN"/>
        </w:rPr>
      </w:pPr>
      <w:bookmarkStart w:id="415" w:name="_Toc54862164"/>
      <w:r>
        <w:rPr>
          <w:rFonts w:hint="eastAsia" w:ascii="华文中宋" w:hAnsi="华文中宋" w:eastAsia="华文中宋"/>
          <w:color w:val="auto"/>
          <w:sz w:val="44"/>
          <w:szCs w:val="52"/>
          <w:lang w:eastAsia="zh-CN"/>
        </w:rPr>
        <w:t>第一部分</w:t>
      </w:r>
      <w:r>
        <w:rPr>
          <w:rFonts w:ascii="华文中宋" w:hAnsi="华文中宋" w:eastAsia="华文中宋"/>
          <w:color w:val="auto"/>
          <w:sz w:val="44"/>
          <w:szCs w:val="52"/>
          <w:lang w:eastAsia="zh-CN"/>
        </w:rPr>
        <w:t xml:space="preserve"> </w:t>
      </w:r>
      <w:r>
        <w:rPr>
          <w:rFonts w:hint="eastAsia" w:ascii="华文中宋" w:hAnsi="华文中宋" w:eastAsia="华文中宋"/>
          <w:color w:val="auto"/>
          <w:sz w:val="44"/>
          <w:szCs w:val="52"/>
          <w:lang w:eastAsia="zh-CN"/>
        </w:rPr>
        <w:t>合同协议书</w:t>
      </w:r>
      <w:bookmarkEnd w:id="415"/>
    </w:p>
    <w:p>
      <w:pPr>
        <w:ind w:firstLine="600"/>
        <w:rPr>
          <w:rFonts w:ascii="仿宋_GB2312" w:eastAsia="仿宋_GB2312"/>
          <w:color w:val="auto"/>
          <w:sz w:val="24"/>
          <w:u w:val="single"/>
        </w:rPr>
      </w:pPr>
      <w:r>
        <w:rPr>
          <w:rFonts w:hint="eastAsia" w:ascii="仿宋_GB2312" w:eastAsia="仿宋_GB2312"/>
          <w:color w:val="auto"/>
          <w:sz w:val="24"/>
        </w:rPr>
        <w:t>发包人（全称）：</w:t>
      </w:r>
      <w:r>
        <w:rPr>
          <w:rFonts w:ascii="仿宋_GB2312" w:eastAsia="仿宋_GB2312"/>
          <w:color w:val="auto"/>
          <w:sz w:val="24"/>
          <w:u w:val="single"/>
        </w:rPr>
        <w:t xml:space="preserve">                                    </w:t>
      </w:r>
    </w:p>
    <w:p>
      <w:pPr>
        <w:ind w:firstLine="600"/>
        <w:rPr>
          <w:rFonts w:ascii="仿宋_GB2312" w:eastAsia="仿宋_GB2312"/>
          <w:color w:val="auto"/>
          <w:sz w:val="24"/>
        </w:rPr>
      </w:pPr>
      <w:r>
        <w:rPr>
          <w:rFonts w:hint="eastAsia" w:ascii="仿宋_GB2312" w:eastAsia="仿宋_GB2312"/>
          <w:color w:val="auto"/>
          <w:sz w:val="24"/>
        </w:rPr>
        <w:t>承包人（全称）：</w:t>
      </w:r>
      <w:r>
        <w:rPr>
          <w:rFonts w:ascii="仿宋_GB2312" w:eastAsia="仿宋_GB2312"/>
          <w:color w:val="auto"/>
          <w:sz w:val="24"/>
          <w:u w:val="single"/>
        </w:rPr>
        <w:t xml:space="preserve">                                    </w:t>
      </w:r>
    </w:p>
    <w:p>
      <w:pPr>
        <w:ind w:firstLine="600"/>
        <w:rPr>
          <w:rFonts w:ascii="仿宋_GB2312" w:eastAsia="仿宋_GB2312"/>
          <w:color w:val="auto"/>
          <w:sz w:val="24"/>
        </w:rPr>
      </w:pPr>
      <w:r>
        <w:rPr>
          <w:rFonts w:hint="eastAsia" w:ascii="仿宋_GB2312" w:eastAsia="仿宋_GB2312"/>
          <w:color w:val="auto"/>
          <w:sz w:val="24"/>
        </w:rPr>
        <w:t>根据《中华人民共和国民法典》、《中华人民共和国建筑法》及有关法律规定，遵循平等、自愿、公平和诚实信用的原则，双方就</w:t>
      </w:r>
      <w:r>
        <w:rPr>
          <w:rFonts w:ascii="仿宋_GB2312" w:eastAsia="仿宋_GB2312"/>
          <w:color w:val="auto"/>
          <w:sz w:val="24"/>
          <w:u w:val="single"/>
        </w:rPr>
        <w:t xml:space="preserve">             </w:t>
      </w:r>
      <w:r>
        <w:rPr>
          <w:rFonts w:hint="eastAsia" w:ascii="仿宋_GB2312" w:eastAsia="仿宋_GB2312"/>
          <w:color w:val="auto"/>
          <w:sz w:val="24"/>
        </w:rPr>
        <w:t>项目的工程总承包及有关事项协商一致，共同达成如下协议：</w:t>
      </w:r>
    </w:p>
    <w:p>
      <w:pPr>
        <w:pStyle w:val="198"/>
        <w:numPr>
          <w:ilvl w:val="0"/>
          <w:numId w:val="0"/>
        </w:numPr>
        <w:wordWrap/>
        <w:topLinePunct w:val="0"/>
        <w:rPr>
          <w:rFonts w:ascii="黑体" w:hAnsi="黑体" w:eastAsia="黑体"/>
          <w:b w:val="0"/>
          <w:bCs/>
          <w:color w:val="auto"/>
          <w:szCs w:val="24"/>
        </w:rPr>
      </w:pPr>
      <w:bookmarkStart w:id="416" w:name="_Toc54862165"/>
      <w:r>
        <w:rPr>
          <w:rFonts w:hint="eastAsia" w:ascii="黑体" w:hAnsi="黑体" w:eastAsia="黑体"/>
          <w:b w:val="0"/>
          <w:bCs/>
          <w:color w:val="auto"/>
          <w:szCs w:val="24"/>
        </w:rPr>
        <w:t>一、工程概况</w:t>
      </w:r>
      <w:bookmarkEnd w:id="416"/>
    </w:p>
    <w:p>
      <w:pPr>
        <w:ind w:firstLine="600"/>
        <w:rPr>
          <w:rFonts w:ascii="仿宋_GB2312" w:eastAsia="仿宋_GB2312"/>
          <w:color w:val="auto"/>
          <w:sz w:val="24"/>
        </w:rPr>
      </w:pPr>
      <w:r>
        <w:rPr>
          <w:rFonts w:hint="eastAsia" w:ascii="仿宋_GB2312" w:eastAsia="仿宋_GB2312"/>
          <w:color w:val="auto"/>
          <w:sz w:val="24"/>
        </w:rPr>
        <w:t>1. 工程名称：</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2. 工程地点：</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3. 工程审批、核准或备案文号：</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4. 资金来源：</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5. 工程内容及规模：</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6. 工程承包范围：</w:t>
      </w:r>
      <w:r>
        <w:rPr>
          <w:rFonts w:ascii="仿宋_GB2312" w:eastAsia="仿宋_GB2312"/>
          <w:color w:val="auto"/>
          <w:sz w:val="24"/>
          <w:u w:val="single"/>
        </w:rPr>
        <w:t xml:space="preserve">                                </w:t>
      </w:r>
      <w:r>
        <w:rPr>
          <w:rFonts w:hint="eastAsia" w:ascii="仿宋_GB2312" w:eastAsia="仿宋_GB2312"/>
          <w:color w:val="auto"/>
          <w:sz w:val="24"/>
        </w:rPr>
        <w:t>。</w:t>
      </w:r>
    </w:p>
    <w:p>
      <w:pPr>
        <w:pStyle w:val="198"/>
        <w:numPr>
          <w:ilvl w:val="0"/>
          <w:numId w:val="0"/>
        </w:numPr>
        <w:wordWrap/>
        <w:topLinePunct w:val="0"/>
        <w:rPr>
          <w:rFonts w:ascii="黑体" w:hAnsi="黑体" w:eastAsia="黑体"/>
          <w:b w:val="0"/>
          <w:bCs/>
          <w:color w:val="auto"/>
          <w:szCs w:val="24"/>
        </w:rPr>
      </w:pPr>
      <w:bookmarkStart w:id="417" w:name="_Toc54862166"/>
      <w:r>
        <w:rPr>
          <w:rFonts w:hint="eastAsia" w:ascii="黑体" w:hAnsi="黑体" w:eastAsia="黑体"/>
          <w:b w:val="0"/>
          <w:bCs/>
          <w:color w:val="auto"/>
          <w:szCs w:val="24"/>
        </w:rPr>
        <w:t>二、合同工期</w:t>
      </w:r>
      <w:bookmarkEnd w:id="417"/>
    </w:p>
    <w:p>
      <w:pPr>
        <w:ind w:firstLine="600"/>
        <w:rPr>
          <w:rFonts w:ascii="仿宋_GB2312" w:eastAsia="仿宋_GB2312"/>
          <w:color w:val="auto"/>
          <w:sz w:val="24"/>
        </w:rPr>
      </w:pPr>
      <w:r>
        <w:rPr>
          <w:rFonts w:hint="eastAsia" w:ascii="仿宋_GB2312" w:eastAsia="仿宋_GB2312"/>
          <w:color w:val="auto"/>
          <w:sz w:val="24"/>
        </w:rPr>
        <w:t>计划开始工作日期：</w:t>
      </w:r>
      <w:r>
        <w:rPr>
          <w:rFonts w:ascii="仿宋_GB2312" w:eastAsia="仿宋_GB2312"/>
          <w:color w:val="auto"/>
          <w:sz w:val="24"/>
          <w:u w:val="single"/>
        </w:rPr>
        <w:t xml:space="preserve">         </w:t>
      </w:r>
      <w:r>
        <w:rPr>
          <w:rFonts w:hint="eastAsia" w:ascii="仿宋_GB2312" w:eastAsia="仿宋_GB2312"/>
          <w:color w:val="auto"/>
          <w:sz w:val="24"/>
        </w:rPr>
        <w:t>年</w:t>
      </w:r>
      <w:r>
        <w:rPr>
          <w:rFonts w:ascii="仿宋_GB2312" w:eastAsia="仿宋_GB2312"/>
          <w:color w:val="auto"/>
          <w:sz w:val="24"/>
          <w:u w:val="single"/>
        </w:rPr>
        <w:t xml:space="preserve">     </w:t>
      </w:r>
      <w:r>
        <w:rPr>
          <w:rFonts w:hint="eastAsia" w:ascii="仿宋_GB2312" w:eastAsia="仿宋_GB2312"/>
          <w:color w:val="auto"/>
          <w:sz w:val="24"/>
        </w:rPr>
        <w:t>月</w:t>
      </w:r>
      <w:r>
        <w:rPr>
          <w:rFonts w:ascii="仿宋_GB2312" w:eastAsia="仿宋_GB2312"/>
          <w:color w:val="auto"/>
          <w:sz w:val="24"/>
          <w:u w:val="single"/>
        </w:rPr>
        <w:t xml:space="preserve">     </w:t>
      </w:r>
      <w:r>
        <w:rPr>
          <w:rFonts w:hint="eastAsia" w:ascii="仿宋_GB2312" w:eastAsia="仿宋_GB2312"/>
          <w:color w:val="auto"/>
          <w:sz w:val="24"/>
        </w:rPr>
        <w:t>日。</w:t>
      </w:r>
    </w:p>
    <w:p>
      <w:pPr>
        <w:ind w:firstLine="600"/>
        <w:rPr>
          <w:rFonts w:ascii="仿宋_GB2312" w:eastAsia="仿宋_GB2312"/>
          <w:color w:val="auto"/>
          <w:sz w:val="24"/>
        </w:rPr>
      </w:pPr>
      <w:r>
        <w:rPr>
          <w:rFonts w:hint="eastAsia" w:ascii="仿宋_GB2312" w:eastAsia="仿宋_GB2312"/>
          <w:color w:val="auto"/>
          <w:sz w:val="24"/>
        </w:rPr>
        <w:t>计划开始现场施工日期：</w:t>
      </w:r>
      <w:r>
        <w:rPr>
          <w:rFonts w:ascii="仿宋_GB2312" w:eastAsia="仿宋_GB2312"/>
          <w:color w:val="auto"/>
          <w:sz w:val="24"/>
          <w:u w:val="single"/>
        </w:rPr>
        <w:t xml:space="preserve">         </w:t>
      </w:r>
      <w:r>
        <w:rPr>
          <w:rFonts w:hint="eastAsia" w:ascii="仿宋_GB2312" w:eastAsia="仿宋_GB2312"/>
          <w:color w:val="auto"/>
          <w:sz w:val="24"/>
        </w:rPr>
        <w:t>年</w:t>
      </w:r>
      <w:r>
        <w:rPr>
          <w:rFonts w:ascii="仿宋_GB2312" w:eastAsia="仿宋_GB2312"/>
          <w:color w:val="auto"/>
          <w:sz w:val="24"/>
          <w:u w:val="single"/>
        </w:rPr>
        <w:t xml:space="preserve">     </w:t>
      </w:r>
      <w:r>
        <w:rPr>
          <w:rFonts w:hint="eastAsia" w:ascii="仿宋_GB2312" w:eastAsia="仿宋_GB2312"/>
          <w:color w:val="auto"/>
          <w:sz w:val="24"/>
        </w:rPr>
        <w:t>月</w:t>
      </w:r>
      <w:r>
        <w:rPr>
          <w:rFonts w:ascii="仿宋_GB2312" w:eastAsia="仿宋_GB2312"/>
          <w:color w:val="auto"/>
          <w:sz w:val="24"/>
          <w:u w:val="single"/>
        </w:rPr>
        <w:t xml:space="preserve">     </w:t>
      </w:r>
      <w:r>
        <w:rPr>
          <w:rFonts w:hint="eastAsia" w:ascii="仿宋_GB2312" w:eastAsia="仿宋_GB2312"/>
          <w:color w:val="auto"/>
          <w:sz w:val="24"/>
        </w:rPr>
        <w:t>日。</w:t>
      </w:r>
    </w:p>
    <w:p>
      <w:pPr>
        <w:ind w:firstLine="600"/>
        <w:rPr>
          <w:rFonts w:ascii="仿宋_GB2312" w:eastAsia="仿宋_GB2312"/>
          <w:color w:val="auto"/>
          <w:sz w:val="24"/>
        </w:rPr>
      </w:pPr>
      <w:r>
        <w:rPr>
          <w:rFonts w:hint="eastAsia" w:ascii="仿宋_GB2312" w:eastAsia="仿宋_GB2312"/>
          <w:color w:val="auto"/>
          <w:sz w:val="24"/>
        </w:rPr>
        <w:t>计划竣工日期：</w:t>
      </w:r>
      <w:r>
        <w:rPr>
          <w:rFonts w:ascii="仿宋_GB2312" w:eastAsia="仿宋_GB2312"/>
          <w:color w:val="auto"/>
          <w:sz w:val="24"/>
          <w:u w:val="single"/>
        </w:rPr>
        <w:t xml:space="preserve">         </w:t>
      </w:r>
      <w:r>
        <w:rPr>
          <w:rFonts w:hint="eastAsia" w:ascii="仿宋_GB2312" w:eastAsia="仿宋_GB2312"/>
          <w:color w:val="auto"/>
          <w:sz w:val="24"/>
        </w:rPr>
        <w:t>年</w:t>
      </w:r>
      <w:r>
        <w:rPr>
          <w:rFonts w:ascii="仿宋_GB2312" w:eastAsia="仿宋_GB2312"/>
          <w:color w:val="auto"/>
          <w:sz w:val="24"/>
          <w:u w:val="single"/>
        </w:rPr>
        <w:t xml:space="preserve">     </w:t>
      </w:r>
      <w:r>
        <w:rPr>
          <w:rFonts w:hint="eastAsia" w:ascii="仿宋_GB2312" w:eastAsia="仿宋_GB2312"/>
          <w:color w:val="auto"/>
          <w:sz w:val="24"/>
        </w:rPr>
        <w:t>月</w:t>
      </w:r>
      <w:r>
        <w:rPr>
          <w:rFonts w:ascii="仿宋_GB2312" w:eastAsia="仿宋_GB2312"/>
          <w:color w:val="auto"/>
          <w:sz w:val="24"/>
          <w:u w:val="single"/>
        </w:rPr>
        <w:t xml:space="preserve">     </w:t>
      </w:r>
      <w:r>
        <w:rPr>
          <w:rFonts w:hint="eastAsia" w:ascii="仿宋_GB2312" w:eastAsia="仿宋_GB2312"/>
          <w:color w:val="auto"/>
          <w:sz w:val="24"/>
        </w:rPr>
        <w:t>日。</w:t>
      </w:r>
    </w:p>
    <w:p>
      <w:pPr>
        <w:ind w:firstLine="600"/>
        <w:rPr>
          <w:rFonts w:ascii="仿宋_GB2312" w:eastAsia="仿宋_GB2312"/>
          <w:color w:val="auto"/>
          <w:sz w:val="24"/>
        </w:rPr>
      </w:pPr>
      <w:r>
        <w:rPr>
          <w:rFonts w:hint="eastAsia" w:ascii="仿宋_GB2312" w:eastAsia="仿宋_GB2312"/>
          <w:color w:val="auto"/>
          <w:sz w:val="24"/>
        </w:rPr>
        <w:t>工期总日历天数：</w:t>
      </w:r>
      <w:r>
        <w:rPr>
          <w:rFonts w:ascii="仿宋_GB2312" w:eastAsia="仿宋_GB2312"/>
          <w:color w:val="auto"/>
          <w:sz w:val="24"/>
          <w:u w:val="single"/>
        </w:rPr>
        <w:t xml:space="preserve">        </w:t>
      </w:r>
      <w:r>
        <w:rPr>
          <w:rFonts w:hint="eastAsia" w:ascii="仿宋_GB2312" w:eastAsia="仿宋_GB2312"/>
          <w:color w:val="auto"/>
          <w:sz w:val="24"/>
        </w:rPr>
        <w:t>天，工期总日历天数与根据前述计划日期计算的工期天数不一致的，以工期总日历天数为准。</w:t>
      </w:r>
    </w:p>
    <w:p>
      <w:pPr>
        <w:pStyle w:val="198"/>
        <w:numPr>
          <w:ilvl w:val="0"/>
          <w:numId w:val="0"/>
        </w:numPr>
        <w:wordWrap/>
        <w:topLinePunct w:val="0"/>
        <w:rPr>
          <w:rFonts w:ascii="黑体" w:hAnsi="黑体" w:eastAsia="黑体"/>
          <w:b w:val="0"/>
          <w:bCs/>
          <w:color w:val="auto"/>
          <w:szCs w:val="24"/>
        </w:rPr>
      </w:pPr>
      <w:bookmarkStart w:id="418" w:name="_Toc54862167"/>
      <w:r>
        <w:rPr>
          <w:rFonts w:hint="eastAsia" w:ascii="黑体" w:hAnsi="黑体" w:eastAsia="黑体"/>
          <w:b w:val="0"/>
          <w:bCs/>
          <w:color w:val="auto"/>
          <w:szCs w:val="24"/>
        </w:rPr>
        <w:t>三、质量标准</w:t>
      </w:r>
      <w:bookmarkEnd w:id="418"/>
    </w:p>
    <w:p>
      <w:pPr>
        <w:ind w:firstLine="600"/>
        <w:rPr>
          <w:rFonts w:ascii="仿宋_GB2312" w:eastAsia="仿宋_GB2312"/>
          <w:color w:val="auto"/>
          <w:sz w:val="24"/>
        </w:rPr>
      </w:pPr>
      <w:r>
        <w:rPr>
          <w:rFonts w:hint="eastAsia" w:ascii="仿宋_GB2312" w:eastAsia="仿宋_GB2312"/>
          <w:color w:val="auto"/>
          <w:sz w:val="24"/>
        </w:rPr>
        <w:t>工程质量标准：</w:t>
      </w:r>
      <w:r>
        <w:rPr>
          <w:rFonts w:hint="eastAsia" w:ascii="仿宋_GB2312" w:eastAsia="仿宋_GB2312"/>
          <w:color w:val="auto"/>
          <w:sz w:val="24"/>
          <w:u w:val="single"/>
        </w:rPr>
        <w:t xml:space="preserve"> </w:t>
      </w:r>
      <w:r>
        <w:rPr>
          <w:rFonts w:ascii="仿宋_GB2312" w:eastAsia="仿宋_GB2312"/>
          <w:color w:val="auto"/>
          <w:sz w:val="24"/>
          <w:u w:val="single"/>
        </w:rPr>
        <w:t xml:space="preserve">                               </w:t>
      </w:r>
      <w:r>
        <w:rPr>
          <w:rFonts w:hint="eastAsia" w:ascii="仿宋_GB2312" w:eastAsia="仿宋_GB2312"/>
          <w:color w:val="auto"/>
          <w:sz w:val="24"/>
        </w:rPr>
        <w:t>。</w:t>
      </w:r>
    </w:p>
    <w:p>
      <w:pPr>
        <w:pStyle w:val="198"/>
        <w:numPr>
          <w:ilvl w:val="0"/>
          <w:numId w:val="0"/>
        </w:numPr>
        <w:wordWrap/>
        <w:topLinePunct w:val="0"/>
        <w:rPr>
          <w:rFonts w:ascii="黑体" w:hAnsi="黑体" w:eastAsia="黑体"/>
          <w:b w:val="0"/>
          <w:bCs/>
          <w:color w:val="auto"/>
          <w:szCs w:val="24"/>
        </w:rPr>
      </w:pPr>
      <w:bookmarkStart w:id="419" w:name="_Toc54862168"/>
      <w:r>
        <w:rPr>
          <w:rFonts w:hint="eastAsia" w:ascii="黑体" w:hAnsi="黑体" w:eastAsia="黑体"/>
          <w:b w:val="0"/>
          <w:bCs/>
          <w:color w:val="auto"/>
          <w:szCs w:val="24"/>
        </w:rPr>
        <w:t>四、签约合同价与合同价格形式</w:t>
      </w:r>
      <w:bookmarkEnd w:id="419"/>
    </w:p>
    <w:p>
      <w:pPr>
        <w:ind w:firstLine="600"/>
        <w:rPr>
          <w:rFonts w:ascii="仿宋_GB2312" w:eastAsia="仿宋_GB2312"/>
          <w:color w:val="auto"/>
          <w:sz w:val="24"/>
        </w:rPr>
      </w:pPr>
      <w:r>
        <w:rPr>
          <w:rFonts w:hint="eastAsia" w:ascii="仿宋_GB2312" w:eastAsia="仿宋_GB2312"/>
          <w:color w:val="auto"/>
          <w:sz w:val="24"/>
        </w:rPr>
        <w:t>1. 签约合同价（含税）为：</w:t>
      </w:r>
    </w:p>
    <w:p>
      <w:pPr>
        <w:ind w:firstLine="600"/>
        <w:rPr>
          <w:rFonts w:ascii="仿宋_GB2312" w:eastAsia="仿宋_GB2312"/>
          <w:color w:val="auto"/>
          <w:sz w:val="24"/>
        </w:rPr>
      </w:pPr>
      <w:r>
        <w:rPr>
          <w:rFonts w:hint="eastAsia" w:ascii="仿宋_GB2312" w:eastAsia="仿宋_GB2312"/>
          <w:color w:val="auto"/>
          <w:sz w:val="24"/>
        </w:rPr>
        <w:t xml:space="preserve">人民币（大写) </w:t>
      </w:r>
      <w:r>
        <w:rPr>
          <w:rFonts w:ascii="仿宋_GB2312" w:eastAsia="仿宋_GB2312"/>
          <w:color w:val="auto"/>
          <w:sz w:val="24"/>
          <w:u w:val="single"/>
        </w:rPr>
        <w:t xml:space="preserve">                </w:t>
      </w:r>
      <w:r>
        <w:rPr>
          <w:rFonts w:hint="eastAsia" w:ascii="仿宋_GB2312" w:eastAsia="仿宋_GB2312"/>
          <w:color w:val="auto"/>
          <w:sz w:val="24"/>
        </w:rPr>
        <w:t>（¥</w:t>
      </w:r>
      <w:r>
        <w:rPr>
          <w:rFonts w:ascii="仿宋_GB2312" w:eastAsia="仿宋_GB2312"/>
          <w:color w:val="auto"/>
          <w:sz w:val="24"/>
          <w:u w:val="single"/>
        </w:rPr>
        <w:t xml:space="preserve">              </w:t>
      </w:r>
      <w:r>
        <w:rPr>
          <w:rFonts w:hint="eastAsia" w:ascii="仿宋_GB2312" w:eastAsia="仿宋_GB2312"/>
          <w:color w:val="auto"/>
          <w:sz w:val="24"/>
        </w:rPr>
        <w:t>元）。</w:t>
      </w:r>
    </w:p>
    <w:p>
      <w:pPr>
        <w:ind w:firstLine="600"/>
        <w:rPr>
          <w:rFonts w:ascii="仿宋_GB2312" w:eastAsia="仿宋_GB2312"/>
          <w:color w:val="auto"/>
          <w:sz w:val="24"/>
        </w:rPr>
      </w:pPr>
      <w:r>
        <w:rPr>
          <w:rFonts w:hint="eastAsia" w:ascii="仿宋_GB2312" w:eastAsia="仿宋_GB2312"/>
          <w:color w:val="auto"/>
          <w:sz w:val="24"/>
        </w:rPr>
        <w:t xml:space="preserve">具体构成详见价格清单。其中： </w:t>
      </w:r>
    </w:p>
    <w:p>
      <w:pPr>
        <w:ind w:firstLine="600"/>
        <w:rPr>
          <w:rFonts w:ascii="仿宋_GB2312" w:eastAsia="仿宋_GB2312"/>
          <w:color w:val="auto"/>
          <w:sz w:val="24"/>
        </w:rPr>
      </w:pPr>
      <w:r>
        <w:rPr>
          <w:rFonts w:hint="eastAsia" w:ascii="仿宋_GB2312" w:eastAsia="仿宋_GB2312"/>
          <w:color w:val="auto"/>
          <w:sz w:val="24"/>
        </w:rPr>
        <w:t>（1） 设计费（含税）：</w:t>
      </w:r>
    </w:p>
    <w:p>
      <w:pPr>
        <w:ind w:firstLine="600"/>
        <w:rPr>
          <w:rFonts w:ascii="仿宋_GB2312" w:eastAsia="仿宋_GB2312"/>
          <w:color w:val="auto"/>
          <w:sz w:val="24"/>
        </w:rPr>
      </w:pPr>
      <w:r>
        <w:rPr>
          <w:rFonts w:hint="eastAsia" w:ascii="仿宋_GB2312" w:eastAsia="仿宋_GB2312"/>
          <w:color w:val="auto"/>
          <w:sz w:val="24"/>
        </w:rPr>
        <w:t xml:space="preserve">人民币（大写) </w:t>
      </w:r>
      <w:r>
        <w:rPr>
          <w:rFonts w:ascii="仿宋_GB2312" w:eastAsia="仿宋_GB2312"/>
          <w:color w:val="auto"/>
          <w:sz w:val="24"/>
          <w:u w:val="single"/>
        </w:rPr>
        <w:t xml:space="preserve">            </w:t>
      </w:r>
      <w:r>
        <w:rPr>
          <w:rFonts w:hint="eastAsia" w:ascii="仿宋_GB2312" w:eastAsia="仿宋_GB2312"/>
          <w:color w:val="auto"/>
          <w:sz w:val="24"/>
        </w:rPr>
        <w:t>（¥</w:t>
      </w:r>
      <w:r>
        <w:rPr>
          <w:rFonts w:ascii="仿宋_GB2312" w:eastAsia="仿宋_GB2312"/>
          <w:color w:val="auto"/>
          <w:sz w:val="24"/>
          <w:u w:val="single"/>
        </w:rPr>
        <w:t xml:space="preserve">         </w:t>
      </w:r>
      <w:r>
        <w:rPr>
          <w:rFonts w:hint="eastAsia" w:ascii="仿宋_GB2312" w:eastAsia="仿宋_GB2312"/>
          <w:color w:val="auto"/>
          <w:sz w:val="24"/>
        </w:rPr>
        <w:t>元）；适用税率：</w:t>
      </w:r>
      <w:r>
        <w:rPr>
          <w:rFonts w:ascii="仿宋_GB2312" w:eastAsia="仿宋_GB2312"/>
          <w:color w:val="auto"/>
          <w:sz w:val="24"/>
          <w:u w:val="single"/>
        </w:rPr>
        <w:t xml:space="preserve">    </w:t>
      </w:r>
      <w:r>
        <w:rPr>
          <w:rFonts w:hint="eastAsia" w:ascii="仿宋_GB2312" w:eastAsia="仿宋_GB2312"/>
          <w:color w:val="auto"/>
          <w:sz w:val="24"/>
        </w:rPr>
        <w:t>%，税金为人民币（大写)</w:t>
      </w:r>
      <w:r>
        <w:rPr>
          <w:rFonts w:hint="eastAsia" w:ascii="仿宋_GB2312" w:eastAsia="仿宋_GB2312"/>
          <w:color w:val="auto"/>
          <w:sz w:val="24"/>
          <w:u w:val="single"/>
        </w:rPr>
        <w:t xml:space="preserve"> </w:t>
      </w:r>
      <w:r>
        <w:rPr>
          <w:rFonts w:ascii="仿宋_GB2312" w:eastAsia="仿宋_GB2312"/>
          <w:color w:val="auto"/>
          <w:sz w:val="24"/>
          <w:u w:val="single"/>
        </w:rPr>
        <w:t xml:space="preserve">          </w:t>
      </w:r>
      <w:r>
        <w:rPr>
          <w:rFonts w:hint="eastAsia" w:ascii="仿宋_GB2312" w:eastAsia="仿宋_GB2312"/>
          <w:color w:val="auto"/>
          <w:sz w:val="24"/>
        </w:rPr>
        <w:t>（¥</w:t>
      </w:r>
      <w:r>
        <w:rPr>
          <w:rFonts w:ascii="仿宋_GB2312" w:eastAsia="仿宋_GB2312"/>
          <w:color w:val="auto"/>
          <w:sz w:val="24"/>
          <w:u w:val="single"/>
        </w:rPr>
        <w:t xml:space="preserve">          </w:t>
      </w:r>
      <w:r>
        <w:rPr>
          <w:rFonts w:hint="eastAsia" w:ascii="仿宋_GB2312" w:eastAsia="仿宋_GB2312"/>
          <w:color w:val="auto"/>
          <w:sz w:val="24"/>
        </w:rPr>
        <w:t xml:space="preserve">元）； </w:t>
      </w:r>
    </w:p>
    <w:p>
      <w:pPr>
        <w:ind w:firstLine="600"/>
        <w:rPr>
          <w:rFonts w:ascii="仿宋_GB2312" w:eastAsia="仿宋_GB2312"/>
          <w:color w:val="auto"/>
          <w:sz w:val="24"/>
        </w:rPr>
      </w:pPr>
      <w:r>
        <w:rPr>
          <w:rFonts w:hint="eastAsia" w:ascii="仿宋_GB2312" w:eastAsia="仿宋_GB2312"/>
          <w:color w:val="auto"/>
          <w:sz w:val="24"/>
        </w:rPr>
        <w:t>（2） 设备购置费（含税）：</w:t>
      </w:r>
    </w:p>
    <w:p>
      <w:pPr>
        <w:ind w:firstLine="600"/>
        <w:rPr>
          <w:rFonts w:ascii="仿宋_GB2312" w:eastAsia="仿宋_GB2312"/>
          <w:color w:val="auto"/>
          <w:sz w:val="24"/>
        </w:rPr>
      </w:pPr>
      <w:r>
        <w:rPr>
          <w:rFonts w:hint="eastAsia" w:ascii="仿宋_GB2312" w:eastAsia="仿宋_GB2312"/>
          <w:color w:val="auto"/>
          <w:sz w:val="24"/>
        </w:rPr>
        <w:t xml:space="preserve">人民币（大写) </w:t>
      </w:r>
      <w:r>
        <w:rPr>
          <w:rFonts w:ascii="仿宋_GB2312" w:eastAsia="仿宋_GB2312"/>
          <w:color w:val="auto"/>
          <w:sz w:val="24"/>
          <w:u w:val="single"/>
        </w:rPr>
        <w:t xml:space="preserve">            </w:t>
      </w:r>
      <w:r>
        <w:rPr>
          <w:rFonts w:hint="eastAsia" w:ascii="仿宋_GB2312" w:eastAsia="仿宋_GB2312"/>
          <w:color w:val="auto"/>
          <w:sz w:val="24"/>
        </w:rPr>
        <w:t>（¥</w:t>
      </w:r>
      <w:r>
        <w:rPr>
          <w:rFonts w:ascii="仿宋_GB2312" w:eastAsia="仿宋_GB2312"/>
          <w:color w:val="auto"/>
          <w:sz w:val="24"/>
          <w:u w:val="single"/>
        </w:rPr>
        <w:t xml:space="preserve">        </w:t>
      </w:r>
      <w:r>
        <w:rPr>
          <w:rFonts w:hint="eastAsia" w:ascii="仿宋_GB2312" w:eastAsia="仿宋_GB2312"/>
          <w:color w:val="auto"/>
          <w:sz w:val="24"/>
        </w:rPr>
        <w:t>元）；适用税率：</w:t>
      </w:r>
      <w:r>
        <w:rPr>
          <w:rFonts w:ascii="仿宋_GB2312" w:eastAsia="仿宋_GB2312"/>
          <w:color w:val="auto"/>
          <w:sz w:val="24"/>
          <w:u w:val="single"/>
        </w:rPr>
        <w:t xml:space="preserve">   </w:t>
      </w:r>
      <w:r>
        <w:rPr>
          <w:rFonts w:hint="eastAsia" w:ascii="仿宋_GB2312" w:eastAsia="仿宋_GB2312"/>
          <w:color w:val="auto"/>
          <w:sz w:val="24"/>
        </w:rPr>
        <w:t>%，税金为人民币（大写)</w:t>
      </w:r>
      <w:r>
        <w:rPr>
          <w:rFonts w:ascii="仿宋_GB2312" w:eastAsia="仿宋_GB2312"/>
          <w:color w:val="auto"/>
          <w:sz w:val="24"/>
          <w:u w:val="single"/>
        </w:rPr>
        <w:t xml:space="preserve">          </w:t>
      </w:r>
      <w:r>
        <w:rPr>
          <w:rFonts w:hint="eastAsia" w:ascii="仿宋_GB2312" w:eastAsia="仿宋_GB2312"/>
          <w:color w:val="auto"/>
          <w:sz w:val="24"/>
        </w:rPr>
        <w:t>（¥</w:t>
      </w:r>
      <w:r>
        <w:rPr>
          <w:rFonts w:ascii="仿宋_GB2312" w:eastAsia="仿宋_GB2312"/>
          <w:color w:val="auto"/>
          <w:sz w:val="24"/>
          <w:u w:val="single"/>
        </w:rPr>
        <w:t xml:space="preserve">        </w:t>
      </w:r>
      <w:r>
        <w:rPr>
          <w:rFonts w:hint="eastAsia" w:ascii="仿宋_GB2312" w:eastAsia="仿宋_GB2312"/>
          <w:color w:val="auto"/>
          <w:sz w:val="24"/>
        </w:rPr>
        <w:t xml:space="preserve">元）； </w:t>
      </w:r>
    </w:p>
    <w:p>
      <w:pPr>
        <w:ind w:firstLine="600"/>
        <w:rPr>
          <w:rFonts w:ascii="仿宋_GB2312" w:eastAsia="仿宋_GB2312"/>
          <w:color w:val="auto"/>
          <w:sz w:val="24"/>
        </w:rPr>
      </w:pPr>
      <w:r>
        <w:rPr>
          <w:rFonts w:hint="eastAsia" w:ascii="仿宋_GB2312" w:eastAsia="仿宋_GB2312"/>
          <w:color w:val="auto"/>
          <w:sz w:val="24"/>
        </w:rPr>
        <w:t>（3） 建筑安装工程费（含税）：</w:t>
      </w:r>
    </w:p>
    <w:p>
      <w:pPr>
        <w:ind w:firstLine="600"/>
        <w:rPr>
          <w:rFonts w:ascii="仿宋_GB2312" w:eastAsia="仿宋_GB2312"/>
          <w:color w:val="auto"/>
          <w:sz w:val="24"/>
        </w:rPr>
      </w:pPr>
      <w:r>
        <w:rPr>
          <w:rFonts w:hint="eastAsia" w:ascii="仿宋_GB2312" w:eastAsia="仿宋_GB2312"/>
          <w:color w:val="auto"/>
          <w:sz w:val="24"/>
        </w:rPr>
        <w:t>人民币（大写)</w:t>
      </w:r>
      <w:r>
        <w:rPr>
          <w:rFonts w:ascii="仿宋_GB2312" w:eastAsia="仿宋_GB2312"/>
          <w:color w:val="auto"/>
          <w:sz w:val="24"/>
          <w:u w:val="single"/>
        </w:rPr>
        <w:t xml:space="preserve">             </w:t>
      </w:r>
      <w:r>
        <w:rPr>
          <w:rFonts w:hint="eastAsia" w:ascii="仿宋_GB2312" w:eastAsia="仿宋_GB2312"/>
          <w:color w:val="auto"/>
          <w:sz w:val="24"/>
        </w:rPr>
        <w:t>（¥</w:t>
      </w:r>
      <w:r>
        <w:rPr>
          <w:rFonts w:ascii="仿宋_GB2312" w:eastAsia="仿宋_GB2312"/>
          <w:color w:val="auto"/>
          <w:sz w:val="24"/>
          <w:u w:val="single"/>
        </w:rPr>
        <w:t xml:space="preserve">        </w:t>
      </w:r>
      <w:r>
        <w:rPr>
          <w:rFonts w:hint="eastAsia" w:ascii="仿宋_GB2312" w:eastAsia="仿宋_GB2312"/>
          <w:color w:val="auto"/>
          <w:sz w:val="24"/>
        </w:rPr>
        <w:t>元）；适用税率：</w:t>
      </w:r>
      <w:r>
        <w:rPr>
          <w:rFonts w:ascii="仿宋_GB2312" w:eastAsia="仿宋_GB2312"/>
          <w:color w:val="auto"/>
          <w:sz w:val="24"/>
          <w:u w:val="single"/>
        </w:rPr>
        <w:t xml:space="preserve">   </w:t>
      </w:r>
      <w:r>
        <w:rPr>
          <w:rFonts w:hint="eastAsia" w:ascii="仿宋_GB2312" w:eastAsia="仿宋_GB2312"/>
          <w:color w:val="auto"/>
          <w:sz w:val="24"/>
        </w:rPr>
        <w:t>%，税金为人民币（大写)</w:t>
      </w:r>
      <w:r>
        <w:rPr>
          <w:rFonts w:hint="eastAsia" w:ascii="仿宋_GB2312" w:eastAsia="仿宋_GB2312"/>
          <w:color w:val="auto"/>
          <w:sz w:val="24"/>
          <w:u w:val="single"/>
        </w:rPr>
        <w:t xml:space="preserve"> </w:t>
      </w:r>
      <w:r>
        <w:rPr>
          <w:rFonts w:ascii="仿宋_GB2312" w:eastAsia="仿宋_GB2312"/>
          <w:color w:val="auto"/>
          <w:sz w:val="24"/>
          <w:u w:val="single"/>
        </w:rPr>
        <w:t xml:space="preserve">         </w:t>
      </w:r>
      <w:r>
        <w:rPr>
          <w:rFonts w:hint="eastAsia" w:ascii="仿宋_GB2312" w:eastAsia="仿宋_GB2312"/>
          <w:color w:val="auto"/>
          <w:sz w:val="24"/>
        </w:rPr>
        <w:t>（¥</w:t>
      </w:r>
      <w:r>
        <w:rPr>
          <w:rFonts w:ascii="仿宋_GB2312" w:eastAsia="仿宋_GB2312"/>
          <w:color w:val="auto"/>
          <w:sz w:val="24"/>
          <w:u w:val="single"/>
        </w:rPr>
        <w:t xml:space="preserve">        </w:t>
      </w:r>
      <w:r>
        <w:rPr>
          <w:rFonts w:hint="eastAsia" w:ascii="仿宋_GB2312" w:eastAsia="仿宋_GB2312"/>
          <w:color w:val="auto"/>
          <w:sz w:val="24"/>
        </w:rPr>
        <w:t xml:space="preserve">元）； </w:t>
      </w:r>
    </w:p>
    <w:p>
      <w:pPr>
        <w:ind w:firstLine="6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4</w:t>
      </w:r>
      <w:r>
        <w:rPr>
          <w:rFonts w:hint="eastAsia" w:ascii="仿宋_GB2312" w:eastAsia="仿宋_GB2312"/>
          <w:color w:val="auto"/>
          <w:sz w:val="24"/>
        </w:rPr>
        <w:t>） 暂估价（含税）：</w:t>
      </w:r>
    </w:p>
    <w:p>
      <w:pPr>
        <w:ind w:firstLine="600"/>
        <w:rPr>
          <w:rFonts w:ascii="仿宋_GB2312" w:eastAsia="仿宋_GB2312"/>
          <w:color w:val="auto"/>
          <w:sz w:val="24"/>
        </w:rPr>
      </w:pPr>
      <w:r>
        <w:rPr>
          <w:rFonts w:hint="eastAsia" w:ascii="仿宋_GB2312" w:eastAsia="仿宋_GB2312"/>
          <w:color w:val="auto"/>
          <w:sz w:val="24"/>
        </w:rPr>
        <w:t>人民币（大写)</w:t>
      </w:r>
      <w:r>
        <w:rPr>
          <w:rFonts w:ascii="仿宋_GB2312" w:eastAsia="仿宋_GB2312"/>
          <w:color w:val="auto"/>
          <w:sz w:val="24"/>
          <w:u w:val="single"/>
        </w:rPr>
        <w:t xml:space="preserve">                 </w:t>
      </w:r>
      <w:r>
        <w:rPr>
          <w:rFonts w:hint="eastAsia" w:ascii="仿宋_GB2312" w:eastAsia="仿宋_GB2312"/>
          <w:color w:val="auto"/>
          <w:sz w:val="24"/>
        </w:rPr>
        <w:t>（¥</w:t>
      </w:r>
      <w:r>
        <w:rPr>
          <w:rFonts w:ascii="仿宋_GB2312" w:eastAsia="仿宋_GB2312"/>
          <w:color w:val="auto"/>
          <w:sz w:val="24"/>
          <w:u w:val="single"/>
        </w:rPr>
        <w:t xml:space="preserve">            </w:t>
      </w:r>
      <w:r>
        <w:rPr>
          <w:rFonts w:hint="eastAsia" w:ascii="仿宋_GB2312" w:eastAsia="仿宋_GB2312"/>
          <w:color w:val="auto"/>
          <w:sz w:val="24"/>
        </w:rPr>
        <w:t>元）。</w:t>
      </w:r>
    </w:p>
    <w:p>
      <w:pPr>
        <w:ind w:firstLine="6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5</w:t>
      </w:r>
      <w:r>
        <w:rPr>
          <w:rFonts w:hint="eastAsia" w:ascii="仿宋_GB2312" w:eastAsia="仿宋_GB2312"/>
          <w:color w:val="auto"/>
          <w:sz w:val="24"/>
        </w:rPr>
        <w:t>） 暂列金额（含税）：</w:t>
      </w:r>
    </w:p>
    <w:p>
      <w:pPr>
        <w:ind w:firstLine="600"/>
        <w:rPr>
          <w:rFonts w:ascii="仿宋_GB2312" w:eastAsia="仿宋_GB2312"/>
          <w:color w:val="auto"/>
          <w:sz w:val="24"/>
        </w:rPr>
      </w:pPr>
      <w:r>
        <w:rPr>
          <w:rFonts w:hint="eastAsia" w:ascii="仿宋_GB2312" w:eastAsia="仿宋_GB2312"/>
          <w:color w:val="auto"/>
          <w:sz w:val="24"/>
        </w:rPr>
        <w:t>人民币（大写)</w:t>
      </w:r>
      <w:r>
        <w:rPr>
          <w:rFonts w:ascii="仿宋_GB2312" w:eastAsia="仿宋_GB2312"/>
          <w:color w:val="auto"/>
          <w:sz w:val="24"/>
          <w:u w:val="single"/>
        </w:rPr>
        <w:t xml:space="preserve">                 </w:t>
      </w:r>
      <w:r>
        <w:rPr>
          <w:rFonts w:hint="eastAsia" w:ascii="仿宋_GB2312" w:eastAsia="仿宋_GB2312"/>
          <w:color w:val="auto"/>
          <w:sz w:val="24"/>
        </w:rPr>
        <w:t>（¥</w:t>
      </w:r>
      <w:r>
        <w:rPr>
          <w:rFonts w:ascii="仿宋_GB2312" w:eastAsia="仿宋_GB2312"/>
          <w:color w:val="auto"/>
          <w:sz w:val="24"/>
          <w:u w:val="single"/>
        </w:rPr>
        <w:t xml:space="preserve">            </w:t>
      </w:r>
      <w:r>
        <w:rPr>
          <w:rFonts w:hint="eastAsia" w:ascii="仿宋_GB2312" w:eastAsia="仿宋_GB2312"/>
          <w:color w:val="auto"/>
          <w:sz w:val="24"/>
        </w:rPr>
        <w:t>元）。</w:t>
      </w:r>
    </w:p>
    <w:p>
      <w:pPr>
        <w:ind w:firstLine="6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6）</w:t>
      </w:r>
      <w:r>
        <w:rPr>
          <w:rFonts w:hint="eastAsia" w:ascii="仿宋_GB2312" w:eastAsia="仿宋_GB2312"/>
          <w:color w:val="auto"/>
          <w:sz w:val="24"/>
        </w:rPr>
        <w:t xml:space="preserve"> </w:t>
      </w:r>
      <w:r>
        <w:rPr>
          <w:rFonts w:ascii="仿宋_GB2312" w:eastAsia="仿宋_GB2312"/>
          <w:color w:val="auto"/>
          <w:sz w:val="24"/>
        </w:rPr>
        <w:t>双方约定的其他费用</w:t>
      </w:r>
      <w:r>
        <w:rPr>
          <w:rFonts w:hint="eastAsia" w:ascii="仿宋_GB2312" w:eastAsia="仿宋_GB2312"/>
          <w:color w:val="auto"/>
          <w:sz w:val="24"/>
        </w:rPr>
        <w:t>（含税）</w:t>
      </w:r>
      <w:r>
        <w:rPr>
          <w:rFonts w:ascii="仿宋_GB2312" w:eastAsia="仿宋_GB2312"/>
          <w:color w:val="auto"/>
          <w:sz w:val="24"/>
        </w:rPr>
        <w:t>：</w:t>
      </w:r>
    </w:p>
    <w:p>
      <w:pPr>
        <w:ind w:firstLine="600"/>
        <w:jc w:val="left"/>
        <w:rPr>
          <w:rFonts w:ascii="仿宋_GB2312" w:eastAsia="仿宋_GB2312"/>
          <w:color w:val="auto"/>
          <w:sz w:val="24"/>
        </w:rPr>
      </w:pPr>
      <w:r>
        <w:rPr>
          <w:rFonts w:hint="eastAsia" w:ascii="仿宋_GB2312" w:eastAsia="仿宋_GB2312"/>
          <w:color w:val="auto"/>
          <w:sz w:val="24"/>
        </w:rPr>
        <w:t>人民币（大写</w:t>
      </w:r>
      <w:r>
        <w:rPr>
          <w:rFonts w:ascii="仿宋_GB2312" w:eastAsia="仿宋_GB2312"/>
          <w:color w:val="auto"/>
          <w:sz w:val="24"/>
        </w:rPr>
        <w:t>)</w:t>
      </w:r>
      <w:r>
        <w:rPr>
          <w:rFonts w:hint="eastAsia" w:ascii="仿宋_GB2312" w:eastAsia="仿宋_GB2312"/>
          <w:color w:val="auto"/>
          <w:sz w:val="24"/>
          <w:u w:val="single"/>
        </w:rPr>
        <w:t xml:space="preserve">                </w:t>
      </w:r>
      <w:r>
        <w:rPr>
          <w:rFonts w:ascii="仿宋_GB2312" w:eastAsia="仿宋_GB2312"/>
          <w:color w:val="auto"/>
          <w:sz w:val="24"/>
        </w:rPr>
        <w:t>（¥</w:t>
      </w:r>
      <w:r>
        <w:rPr>
          <w:rFonts w:hint="eastAsia" w:ascii="仿宋_GB2312" w:eastAsia="仿宋_GB2312"/>
          <w:color w:val="auto"/>
          <w:sz w:val="24"/>
          <w:u w:val="single"/>
        </w:rPr>
        <w:t xml:space="preserve">          </w:t>
      </w:r>
      <w:r>
        <w:rPr>
          <w:rFonts w:ascii="仿宋_GB2312" w:eastAsia="仿宋_GB2312"/>
          <w:color w:val="auto"/>
          <w:sz w:val="24"/>
        </w:rPr>
        <w:t>元）；适用税率：</w:t>
      </w:r>
      <w:r>
        <w:rPr>
          <w:rFonts w:hint="eastAsia" w:ascii="仿宋_GB2312" w:eastAsia="仿宋_GB2312"/>
          <w:color w:val="auto"/>
          <w:sz w:val="24"/>
          <w:u w:val="single"/>
        </w:rPr>
        <w:t xml:space="preserve">         </w:t>
      </w:r>
      <w:r>
        <w:rPr>
          <w:rFonts w:ascii="仿宋_GB2312" w:eastAsia="仿宋_GB2312"/>
          <w:color w:val="auto"/>
          <w:sz w:val="24"/>
        </w:rPr>
        <w:t>%，税金为人民币（大写)</w:t>
      </w:r>
      <w:r>
        <w:rPr>
          <w:rFonts w:hint="eastAsia" w:ascii="仿宋_GB2312" w:eastAsia="仿宋_GB2312"/>
          <w:color w:val="auto"/>
          <w:sz w:val="24"/>
          <w:u w:val="single"/>
        </w:rPr>
        <w:t xml:space="preserve">                 </w:t>
      </w:r>
      <w:r>
        <w:rPr>
          <w:rFonts w:ascii="仿宋_GB2312" w:eastAsia="仿宋_GB2312"/>
          <w:color w:val="auto"/>
          <w:sz w:val="24"/>
        </w:rPr>
        <w:t>（¥</w:t>
      </w:r>
      <w:r>
        <w:rPr>
          <w:rFonts w:hint="eastAsia" w:ascii="仿宋_GB2312" w:eastAsia="仿宋_GB2312"/>
          <w:color w:val="auto"/>
          <w:sz w:val="24"/>
          <w:u w:val="single"/>
        </w:rPr>
        <w:t xml:space="preserve">            </w:t>
      </w:r>
      <w:r>
        <w:rPr>
          <w:rFonts w:ascii="仿宋_GB2312" w:eastAsia="仿宋_GB2312"/>
          <w:color w:val="auto"/>
          <w:sz w:val="24"/>
        </w:rPr>
        <w:t>元）。</w:t>
      </w:r>
    </w:p>
    <w:p>
      <w:pPr>
        <w:ind w:firstLine="600"/>
        <w:rPr>
          <w:rFonts w:ascii="仿宋_GB2312" w:eastAsia="仿宋_GB2312"/>
          <w:color w:val="auto"/>
          <w:sz w:val="24"/>
        </w:rPr>
      </w:pPr>
      <w:r>
        <w:rPr>
          <w:rFonts w:hint="eastAsia" w:ascii="仿宋_GB2312" w:eastAsia="仿宋_GB2312"/>
          <w:color w:val="auto"/>
          <w:sz w:val="24"/>
        </w:rPr>
        <w:t>2. 合同价格形式：</w:t>
      </w:r>
    </w:p>
    <w:p>
      <w:pPr>
        <w:ind w:firstLine="600"/>
        <w:rPr>
          <w:rFonts w:ascii="仿宋_GB2312" w:eastAsia="仿宋_GB2312"/>
          <w:color w:val="auto"/>
          <w:sz w:val="24"/>
        </w:rPr>
      </w:pPr>
      <w:r>
        <w:rPr>
          <w:rFonts w:hint="eastAsia" w:ascii="仿宋_GB2312" w:eastAsia="仿宋_GB2312"/>
          <w:color w:val="auto"/>
          <w:sz w:val="24"/>
        </w:rPr>
        <w:t>合同价格形式为总价合同，除根据合同约定的在工程实施过程中需进行增减的款项外，合同价格不予调整，但合同当事人另有约定的除外。</w:t>
      </w:r>
    </w:p>
    <w:p>
      <w:pPr>
        <w:kinsoku w:val="0"/>
        <w:ind w:left="263" w:leftChars="125" w:firstLine="240" w:firstLineChars="100"/>
        <w:jc w:val="left"/>
        <w:rPr>
          <w:rFonts w:ascii="仿宋_GB2312" w:eastAsia="仿宋_GB2312"/>
          <w:color w:val="auto"/>
          <w:sz w:val="24"/>
        </w:rPr>
      </w:pPr>
      <w:r>
        <w:rPr>
          <w:rFonts w:hint="eastAsia" w:ascii="仿宋_GB2312" w:eastAsia="仿宋_GB2312"/>
          <w:color w:val="auto"/>
          <w:sz w:val="24"/>
        </w:rPr>
        <w:t>合同当事人对合同价格形式的其他约定：</w:t>
      </w:r>
      <w:r>
        <w:rPr>
          <w:rFonts w:ascii="仿宋_GB2312" w:eastAsia="仿宋_GB2312"/>
          <w:color w:val="auto"/>
          <w:sz w:val="24"/>
          <w:u w:val="single"/>
        </w:rPr>
        <w:t xml:space="preserve">              </w:t>
      </w:r>
      <w:r>
        <w:rPr>
          <w:rFonts w:hint="eastAsia" w:ascii="仿宋_GB2312" w:eastAsia="仿宋_GB2312"/>
          <w:color w:val="auto"/>
          <w:sz w:val="24"/>
          <w:u w:val="single"/>
        </w:rPr>
        <w:t xml:space="preserve"> </w:t>
      </w:r>
      <w:r>
        <w:rPr>
          <w:rFonts w:hint="eastAsia" w:ascii="仿宋_GB2312" w:eastAsia="仿宋_GB2312"/>
          <w:color w:val="auto"/>
          <w:sz w:val="24"/>
        </w:rPr>
        <w:t>。</w:t>
      </w:r>
    </w:p>
    <w:p>
      <w:pPr>
        <w:pStyle w:val="198"/>
        <w:numPr>
          <w:ilvl w:val="0"/>
          <w:numId w:val="0"/>
        </w:numPr>
        <w:wordWrap/>
        <w:topLinePunct w:val="0"/>
        <w:rPr>
          <w:rFonts w:ascii="黑体" w:hAnsi="黑体" w:eastAsia="黑体"/>
          <w:b w:val="0"/>
          <w:bCs/>
          <w:color w:val="auto"/>
          <w:szCs w:val="24"/>
        </w:rPr>
      </w:pPr>
      <w:bookmarkStart w:id="420" w:name="_Toc54862169"/>
      <w:r>
        <w:rPr>
          <w:rFonts w:hint="eastAsia" w:ascii="黑体" w:hAnsi="黑体" w:eastAsia="黑体"/>
          <w:b w:val="0"/>
          <w:bCs/>
          <w:color w:val="auto"/>
          <w:szCs w:val="24"/>
        </w:rPr>
        <w:t>五、工程总承包项目经理</w:t>
      </w:r>
      <w:bookmarkEnd w:id="420"/>
    </w:p>
    <w:p>
      <w:pPr>
        <w:ind w:firstLine="600"/>
        <w:rPr>
          <w:rFonts w:ascii="仿宋_GB2312" w:eastAsia="仿宋_GB2312"/>
          <w:color w:val="auto"/>
          <w:sz w:val="24"/>
        </w:rPr>
      </w:pPr>
      <w:r>
        <w:rPr>
          <w:rFonts w:hint="eastAsia" w:ascii="仿宋_GB2312" w:eastAsia="仿宋_GB2312"/>
          <w:color w:val="auto"/>
          <w:sz w:val="24"/>
        </w:rPr>
        <w:t>工程总承包项目经理：</w:t>
      </w:r>
      <w:r>
        <w:rPr>
          <w:rFonts w:ascii="仿宋_GB2312" w:eastAsia="仿宋_GB2312"/>
          <w:color w:val="auto"/>
          <w:sz w:val="24"/>
          <w:u w:val="single"/>
        </w:rPr>
        <w:t xml:space="preserve">                              </w:t>
      </w:r>
      <w:r>
        <w:rPr>
          <w:rFonts w:hint="eastAsia" w:ascii="仿宋_GB2312" w:eastAsia="仿宋_GB2312"/>
          <w:color w:val="auto"/>
          <w:sz w:val="24"/>
        </w:rPr>
        <w:t>。</w:t>
      </w:r>
    </w:p>
    <w:p>
      <w:pPr>
        <w:pStyle w:val="198"/>
        <w:numPr>
          <w:ilvl w:val="0"/>
          <w:numId w:val="0"/>
        </w:numPr>
        <w:wordWrap/>
        <w:topLinePunct w:val="0"/>
        <w:rPr>
          <w:rFonts w:ascii="黑体" w:hAnsi="黑体" w:eastAsia="黑体"/>
          <w:b w:val="0"/>
          <w:bCs/>
          <w:color w:val="auto"/>
          <w:szCs w:val="24"/>
        </w:rPr>
      </w:pPr>
      <w:bookmarkStart w:id="421" w:name="_Toc54862170"/>
      <w:r>
        <w:rPr>
          <w:rFonts w:hint="eastAsia" w:ascii="黑体" w:hAnsi="黑体" w:eastAsia="黑体"/>
          <w:b w:val="0"/>
          <w:bCs/>
          <w:color w:val="auto"/>
          <w:szCs w:val="24"/>
        </w:rPr>
        <w:t>六、合同文件构成</w:t>
      </w:r>
      <w:bookmarkEnd w:id="421"/>
    </w:p>
    <w:p>
      <w:pPr>
        <w:ind w:firstLine="600"/>
        <w:rPr>
          <w:rFonts w:ascii="仿宋_GB2312" w:eastAsia="仿宋_GB2312"/>
          <w:color w:val="auto"/>
          <w:sz w:val="24"/>
        </w:rPr>
      </w:pPr>
      <w:r>
        <w:rPr>
          <w:rFonts w:hint="eastAsia" w:ascii="仿宋_GB2312" w:eastAsia="仿宋_GB2312"/>
          <w:color w:val="auto"/>
          <w:sz w:val="24"/>
        </w:rPr>
        <w:t xml:space="preserve">本协议书与下列文件一起构成合同文件： </w:t>
      </w:r>
    </w:p>
    <w:p>
      <w:pPr>
        <w:ind w:firstLine="600"/>
        <w:rPr>
          <w:rFonts w:ascii="仿宋_GB2312" w:eastAsia="仿宋_GB2312"/>
          <w:color w:val="auto"/>
          <w:sz w:val="24"/>
        </w:rPr>
      </w:pPr>
      <w:r>
        <w:rPr>
          <w:rFonts w:hint="eastAsia" w:ascii="仿宋_GB2312" w:eastAsia="仿宋_GB2312"/>
          <w:color w:val="auto"/>
          <w:sz w:val="24"/>
        </w:rPr>
        <w:t>（1） 中标通知书（如果有）；</w:t>
      </w:r>
    </w:p>
    <w:p>
      <w:pPr>
        <w:ind w:firstLine="600"/>
        <w:rPr>
          <w:rFonts w:ascii="仿宋_GB2312" w:eastAsia="仿宋_GB2312"/>
          <w:color w:val="auto"/>
          <w:sz w:val="24"/>
        </w:rPr>
      </w:pPr>
      <w:r>
        <w:rPr>
          <w:rFonts w:hint="eastAsia" w:ascii="仿宋_GB2312" w:eastAsia="仿宋_GB2312"/>
          <w:color w:val="auto"/>
          <w:sz w:val="24"/>
        </w:rPr>
        <w:t>（2） 投标函及投标函附录（如果有）；</w:t>
      </w:r>
    </w:p>
    <w:p>
      <w:pPr>
        <w:ind w:firstLine="600"/>
        <w:rPr>
          <w:rFonts w:ascii="仿宋_GB2312" w:eastAsia="仿宋_GB2312"/>
          <w:color w:val="auto"/>
          <w:sz w:val="24"/>
        </w:rPr>
      </w:pPr>
      <w:r>
        <w:rPr>
          <w:rFonts w:hint="eastAsia" w:ascii="仿宋_GB2312" w:eastAsia="仿宋_GB2312"/>
          <w:color w:val="auto"/>
          <w:sz w:val="24"/>
        </w:rPr>
        <w:t>（3） 专用合同条件及《发包人要求》等附件；</w:t>
      </w:r>
    </w:p>
    <w:p>
      <w:pPr>
        <w:ind w:firstLine="600"/>
        <w:rPr>
          <w:rFonts w:ascii="仿宋_GB2312" w:eastAsia="仿宋_GB2312"/>
          <w:color w:val="auto"/>
          <w:sz w:val="24"/>
        </w:rPr>
      </w:pPr>
      <w:r>
        <w:rPr>
          <w:rFonts w:hint="eastAsia" w:ascii="仿宋_GB2312" w:eastAsia="仿宋_GB2312"/>
          <w:color w:val="auto"/>
          <w:sz w:val="24"/>
        </w:rPr>
        <w:t>（4） 通用合同条件；</w:t>
      </w:r>
    </w:p>
    <w:p>
      <w:pPr>
        <w:ind w:firstLine="6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5</w:t>
      </w:r>
      <w:r>
        <w:rPr>
          <w:rFonts w:hint="eastAsia" w:ascii="仿宋_GB2312" w:eastAsia="仿宋_GB2312"/>
          <w:color w:val="auto"/>
          <w:sz w:val="24"/>
        </w:rPr>
        <w:t xml:space="preserve">） 承包人建议书； </w:t>
      </w:r>
    </w:p>
    <w:p>
      <w:pPr>
        <w:ind w:firstLine="6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6</w:t>
      </w:r>
      <w:r>
        <w:rPr>
          <w:rFonts w:hint="eastAsia" w:ascii="仿宋_GB2312" w:eastAsia="仿宋_GB2312"/>
          <w:color w:val="auto"/>
          <w:sz w:val="24"/>
        </w:rPr>
        <w:t>） 价格清单；</w:t>
      </w:r>
    </w:p>
    <w:p>
      <w:pPr>
        <w:ind w:firstLine="6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7</w:t>
      </w:r>
      <w:r>
        <w:rPr>
          <w:rFonts w:hint="eastAsia" w:ascii="仿宋_GB2312" w:eastAsia="仿宋_GB2312"/>
          <w:color w:val="auto"/>
          <w:sz w:val="24"/>
        </w:rPr>
        <w:t>） 双方约定的其他合同文件。</w:t>
      </w:r>
    </w:p>
    <w:p>
      <w:pPr>
        <w:ind w:firstLine="600"/>
        <w:rPr>
          <w:rFonts w:ascii="仿宋_GB2312" w:eastAsia="仿宋_GB2312"/>
          <w:color w:val="auto"/>
          <w:sz w:val="24"/>
        </w:rPr>
      </w:pPr>
      <w:r>
        <w:rPr>
          <w:rFonts w:hint="eastAsia" w:ascii="仿宋_GB2312" w:eastAsia="仿宋_GB2312"/>
          <w:color w:val="auto"/>
          <w:sz w:val="24"/>
        </w:rPr>
        <w:t>上述各项合同文件包括双方就该项合同文件所作出的补充和修改，属于同一类内容的合同文件应以最新签署的为准。专用合同条件及其附件须经合同当事人签字或盖章。</w:t>
      </w:r>
    </w:p>
    <w:p>
      <w:pPr>
        <w:pStyle w:val="198"/>
        <w:numPr>
          <w:ilvl w:val="0"/>
          <w:numId w:val="0"/>
        </w:numPr>
        <w:wordWrap/>
        <w:topLinePunct w:val="0"/>
        <w:rPr>
          <w:rFonts w:ascii="黑体" w:hAnsi="黑体" w:eastAsia="黑体"/>
          <w:b w:val="0"/>
          <w:bCs/>
          <w:color w:val="auto"/>
          <w:szCs w:val="24"/>
        </w:rPr>
      </w:pPr>
      <w:bookmarkStart w:id="422" w:name="_Toc54862171"/>
      <w:r>
        <w:rPr>
          <w:rFonts w:hint="eastAsia" w:ascii="黑体" w:hAnsi="黑体" w:eastAsia="黑体"/>
          <w:b w:val="0"/>
          <w:bCs/>
          <w:color w:val="auto"/>
          <w:szCs w:val="24"/>
        </w:rPr>
        <w:t>七、承诺</w:t>
      </w:r>
      <w:bookmarkEnd w:id="422"/>
    </w:p>
    <w:p>
      <w:pPr>
        <w:ind w:firstLine="600"/>
        <w:rPr>
          <w:rFonts w:ascii="仿宋_GB2312" w:eastAsia="仿宋_GB2312"/>
          <w:color w:val="auto"/>
          <w:sz w:val="24"/>
        </w:rPr>
      </w:pPr>
      <w:r>
        <w:rPr>
          <w:rFonts w:hint="eastAsia" w:ascii="仿宋_GB2312" w:eastAsia="仿宋_GB2312"/>
          <w:color w:val="auto"/>
          <w:sz w:val="24"/>
        </w:rPr>
        <w:t>1. 发包人承诺按照法律规定履行项目审批手续、筹集工程建设资金并按照合同约定的期限和方式支付合同价款。</w:t>
      </w:r>
    </w:p>
    <w:p>
      <w:pPr>
        <w:ind w:firstLine="600"/>
        <w:rPr>
          <w:rFonts w:ascii="仿宋_GB2312" w:eastAsia="仿宋_GB2312"/>
          <w:color w:val="auto"/>
          <w:sz w:val="24"/>
        </w:rPr>
      </w:pPr>
      <w:r>
        <w:rPr>
          <w:rFonts w:hint="eastAsia" w:ascii="仿宋_GB2312" w:eastAsia="仿宋_GB2312"/>
          <w:color w:val="auto"/>
          <w:sz w:val="24"/>
        </w:rPr>
        <w:t>2. 承包人承诺按照法律规定及合同约定组织完成工程的设计、采购和施工等工作，确保工程质量和安全，不进行转包及违法分包，并在缺陷责任期及保修期内承担相应的工程维修责任。</w:t>
      </w:r>
    </w:p>
    <w:p>
      <w:pPr>
        <w:pStyle w:val="198"/>
        <w:numPr>
          <w:ilvl w:val="0"/>
          <w:numId w:val="0"/>
        </w:numPr>
        <w:wordWrap/>
        <w:topLinePunct w:val="0"/>
        <w:rPr>
          <w:rFonts w:ascii="黑体" w:hAnsi="黑体" w:eastAsia="黑体"/>
          <w:b w:val="0"/>
          <w:bCs/>
          <w:color w:val="auto"/>
          <w:szCs w:val="24"/>
        </w:rPr>
      </w:pPr>
      <w:bookmarkStart w:id="423" w:name="_Toc54862172"/>
      <w:r>
        <w:rPr>
          <w:rFonts w:hint="eastAsia" w:ascii="黑体" w:hAnsi="黑体" w:eastAsia="黑体"/>
          <w:b w:val="0"/>
          <w:bCs/>
          <w:color w:val="auto"/>
          <w:szCs w:val="24"/>
        </w:rPr>
        <w:t>八、订立时间</w:t>
      </w:r>
      <w:bookmarkEnd w:id="423"/>
    </w:p>
    <w:p>
      <w:pPr>
        <w:ind w:firstLine="600"/>
        <w:rPr>
          <w:rFonts w:ascii="仿宋_GB2312" w:eastAsia="仿宋_GB2312"/>
          <w:color w:val="auto"/>
          <w:sz w:val="24"/>
        </w:rPr>
      </w:pPr>
      <w:r>
        <w:rPr>
          <w:rFonts w:hint="eastAsia" w:ascii="仿宋_GB2312" w:eastAsia="仿宋_GB2312"/>
          <w:color w:val="auto"/>
          <w:sz w:val="24"/>
        </w:rPr>
        <w:t>本合同于</w:t>
      </w:r>
      <w:r>
        <w:rPr>
          <w:rFonts w:ascii="仿宋_GB2312" w:eastAsia="仿宋_GB2312"/>
          <w:color w:val="auto"/>
          <w:sz w:val="24"/>
          <w:u w:val="single"/>
        </w:rPr>
        <w:t xml:space="preserve">        </w:t>
      </w:r>
      <w:r>
        <w:rPr>
          <w:rFonts w:hint="eastAsia" w:ascii="仿宋_GB2312" w:eastAsia="仿宋_GB2312"/>
          <w:color w:val="auto"/>
          <w:sz w:val="24"/>
        </w:rPr>
        <w:t>年</w:t>
      </w:r>
      <w:r>
        <w:rPr>
          <w:rFonts w:ascii="仿宋_GB2312" w:eastAsia="仿宋_GB2312"/>
          <w:color w:val="auto"/>
          <w:sz w:val="24"/>
          <w:u w:val="single"/>
        </w:rPr>
        <w:t xml:space="preserve">     </w:t>
      </w:r>
      <w:r>
        <w:rPr>
          <w:rFonts w:hint="eastAsia" w:ascii="仿宋_GB2312" w:eastAsia="仿宋_GB2312"/>
          <w:color w:val="auto"/>
          <w:sz w:val="24"/>
        </w:rPr>
        <w:t>月</w:t>
      </w:r>
      <w:r>
        <w:rPr>
          <w:rFonts w:ascii="仿宋_GB2312" w:eastAsia="仿宋_GB2312"/>
          <w:color w:val="auto"/>
          <w:sz w:val="24"/>
          <w:u w:val="single"/>
        </w:rPr>
        <w:t xml:space="preserve">     </w:t>
      </w:r>
      <w:r>
        <w:rPr>
          <w:rFonts w:hint="eastAsia" w:ascii="仿宋_GB2312" w:eastAsia="仿宋_GB2312"/>
          <w:color w:val="auto"/>
          <w:sz w:val="24"/>
        </w:rPr>
        <w:t>日订立。</w:t>
      </w:r>
    </w:p>
    <w:p>
      <w:pPr>
        <w:pStyle w:val="198"/>
        <w:numPr>
          <w:ilvl w:val="0"/>
          <w:numId w:val="0"/>
        </w:numPr>
        <w:wordWrap/>
        <w:topLinePunct w:val="0"/>
        <w:rPr>
          <w:rFonts w:ascii="黑体" w:hAnsi="黑体" w:eastAsia="黑体"/>
          <w:b w:val="0"/>
          <w:bCs/>
          <w:color w:val="auto"/>
          <w:szCs w:val="24"/>
        </w:rPr>
      </w:pPr>
      <w:bookmarkStart w:id="424" w:name="_Toc54862173"/>
      <w:r>
        <w:rPr>
          <w:rFonts w:hint="eastAsia" w:ascii="黑体" w:hAnsi="黑体" w:eastAsia="黑体"/>
          <w:b w:val="0"/>
          <w:bCs/>
          <w:color w:val="auto"/>
          <w:szCs w:val="24"/>
        </w:rPr>
        <w:t>九、订立地点</w:t>
      </w:r>
      <w:bookmarkEnd w:id="424"/>
    </w:p>
    <w:p>
      <w:pPr>
        <w:ind w:firstLine="600"/>
        <w:rPr>
          <w:rFonts w:ascii="仿宋_GB2312" w:eastAsia="仿宋_GB2312"/>
          <w:color w:val="auto"/>
          <w:sz w:val="24"/>
        </w:rPr>
      </w:pPr>
      <w:r>
        <w:rPr>
          <w:rFonts w:hint="eastAsia" w:ascii="仿宋_GB2312" w:eastAsia="仿宋_GB2312"/>
          <w:color w:val="auto"/>
          <w:sz w:val="24"/>
        </w:rPr>
        <w:t>本合同在</w:t>
      </w:r>
      <w:r>
        <w:rPr>
          <w:rFonts w:ascii="仿宋_GB2312" w:eastAsia="仿宋_GB2312"/>
          <w:color w:val="auto"/>
          <w:sz w:val="24"/>
          <w:u w:val="single"/>
        </w:rPr>
        <w:t xml:space="preserve">                        </w:t>
      </w:r>
      <w:r>
        <w:rPr>
          <w:rFonts w:hint="eastAsia" w:ascii="仿宋_GB2312" w:eastAsia="仿宋_GB2312"/>
          <w:color w:val="auto"/>
          <w:sz w:val="24"/>
        </w:rPr>
        <w:t>订立。</w:t>
      </w:r>
    </w:p>
    <w:p>
      <w:pPr>
        <w:pStyle w:val="198"/>
        <w:numPr>
          <w:ilvl w:val="0"/>
          <w:numId w:val="0"/>
        </w:numPr>
        <w:wordWrap/>
        <w:topLinePunct w:val="0"/>
        <w:rPr>
          <w:rFonts w:ascii="黑体" w:hAnsi="黑体" w:eastAsia="黑体"/>
          <w:b w:val="0"/>
          <w:bCs/>
          <w:color w:val="auto"/>
          <w:szCs w:val="24"/>
        </w:rPr>
      </w:pPr>
      <w:bookmarkStart w:id="425" w:name="_Toc54862174"/>
      <w:r>
        <w:rPr>
          <w:rFonts w:hint="eastAsia" w:ascii="黑体" w:hAnsi="黑体" w:eastAsia="黑体"/>
          <w:b w:val="0"/>
          <w:bCs/>
          <w:color w:val="auto"/>
          <w:szCs w:val="24"/>
        </w:rPr>
        <w:t>十、合同生效</w:t>
      </w:r>
      <w:bookmarkEnd w:id="425"/>
    </w:p>
    <w:p>
      <w:pPr>
        <w:ind w:firstLine="600"/>
        <w:rPr>
          <w:rFonts w:ascii="仿宋_GB2312" w:eastAsia="仿宋_GB2312"/>
          <w:color w:val="auto"/>
          <w:sz w:val="24"/>
        </w:rPr>
      </w:pPr>
      <w:r>
        <w:rPr>
          <w:rFonts w:hint="eastAsia" w:ascii="仿宋_GB2312" w:eastAsia="仿宋_GB2312"/>
          <w:color w:val="auto"/>
          <w:sz w:val="24"/>
        </w:rPr>
        <w:t>本合同经双方签字或盖章后成立，并自</w:t>
      </w:r>
      <w:r>
        <w:rPr>
          <w:rFonts w:ascii="仿宋_GB2312" w:eastAsia="仿宋_GB2312"/>
          <w:color w:val="auto"/>
          <w:sz w:val="24"/>
          <w:u w:val="single"/>
        </w:rPr>
        <w:t xml:space="preserve">            </w:t>
      </w:r>
      <w:r>
        <w:rPr>
          <w:rFonts w:hint="eastAsia" w:ascii="仿宋_GB2312" w:eastAsia="仿宋_GB2312"/>
          <w:color w:val="auto"/>
          <w:sz w:val="24"/>
        </w:rPr>
        <w:t>生效。</w:t>
      </w:r>
    </w:p>
    <w:p>
      <w:pPr>
        <w:pStyle w:val="198"/>
        <w:numPr>
          <w:ilvl w:val="0"/>
          <w:numId w:val="0"/>
        </w:numPr>
        <w:wordWrap/>
        <w:topLinePunct w:val="0"/>
        <w:rPr>
          <w:rFonts w:ascii="黑体" w:hAnsi="黑体" w:eastAsia="黑体"/>
          <w:b w:val="0"/>
          <w:bCs/>
          <w:color w:val="auto"/>
          <w:szCs w:val="24"/>
        </w:rPr>
      </w:pPr>
      <w:bookmarkStart w:id="426" w:name="_Toc54862175"/>
      <w:r>
        <w:rPr>
          <w:rFonts w:hint="eastAsia" w:ascii="黑体" w:hAnsi="黑体" w:eastAsia="黑体"/>
          <w:b w:val="0"/>
          <w:bCs/>
          <w:color w:val="auto"/>
          <w:szCs w:val="24"/>
        </w:rPr>
        <w:t>十一、合同份数</w:t>
      </w:r>
      <w:bookmarkEnd w:id="426"/>
    </w:p>
    <w:p>
      <w:pPr>
        <w:ind w:firstLine="600"/>
        <w:rPr>
          <w:rFonts w:ascii="仿宋_GB2312" w:eastAsia="仿宋_GB2312"/>
          <w:color w:val="auto"/>
          <w:sz w:val="24"/>
        </w:rPr>
      </w:pPr>
      <w:r>
        <w:rPr>
          <w:rFonts w:hint="eastAsia" w:ascii="仿宋_GB2312" w:eastAsia="仿宋_GB2312"/>
          <w:color w:val="auto"/>
          <w:sz w:val="24"/>
        </w:rPr>
        <w:t>本合同一式</w:t>
      </w:r>
      <w:r>
        <w:rPr>
          <w:rFonts w:ascii="仿宋_GB2312" w:eastAsia="仿宋_GB2312"/>
          <w:color w:val="auto"/>
          <w:sz w:val="24"/>
          <w:u w:val="single"/>
        </w:rPr>
        <w:t xml:space="preserve">    </w:t>
      </w:r>
      <w:r>
        <w:rPr>
          <w:rFonts w:hint="eastAsia" w:ascii="仿宋_GB2312" w:eastAsia="仿宋_GB2312"/>
          <w:color w:val="auto"/>
          <w:sz w:val="24"/>
        </w:rPr>
        <w:t>份，均具有同等法律效力，发包人执</w:t>
      </w:r>
      <w:r>
        <w:rPr>
          <w:rFonts w:ascii="仿宋_GB2312" w:eastAsia="仿宋_GB2312"/>
          <w:color w:val="auto"/>
          <w:sz w:val="24"/>
          <w:u w:val="single"/>
        </w:rPr>
        <w:t xml:space="preserve">    </w:t>
      </w:r>
      <w:r>
        <w:rPr>
          <w:rFonts w:hint="eastAsia" w:ascii="仿宋_GB2312" w:eastAsia="仿宋_GB2312"/>
          <w:color w:val="auto"/>
          <w:sz w:val="24"/>
        </w:rPr>
        <w:t>份，承包人执</w:t>
      </w:r>
      <w:r>
        <w:rPr>
          <w:rFonts w:ascii="仿宋_GB2312" w:eastAsia="仿宋_GB2312"/>
          <w:color w:val="auto"/>
          <w:sz w:val="24"/>
          <w:u w:val="single"/>
        </w:rPr>
        <w:t xml:space="preserve">    </w:t>
      </w:r>
      <w:r>
        <w:rPr>
          <w:rFonts w:hint="eastAsia" w:ascii="仿宋_GB2312" w:eastAsia="仿宋_GB2312"/>
          <w:color w:val="auto"/>
          <w:sz w:val="24"/>
        </w:rPr>
        <w:t>份。</w:t>
      </w:r>
    </w:p>
    <w:p>
      <w:pPr>
        <w:ind w:firstLine="600"/>
        <w:rPr>
          <w:rFonts w:ascii="仿宋_GB2312" w:eastAsia="仿宋_GB2312"/>
          <w:color w:val="auto"/>
          <w:sz w:val="24"/>
        </w:rPr>
      </w:pPr>
    </w:p>
    <w:p>
      <w:pPr>
        <w:ind w:firstLine="600"/>
        <w:rPr>
          <w:rFonts w:ascii="仿宋_GB2312" w:eastAsia="仿宋_GB2312"/>
          <w:color w:val="auto"/>
          <w:sz w:val="24"/>
        </w:rPr>
      </w:pPr>
    </w:p>
    <w:tbl>
      <w:tblPr>
        <w:tblStyle w:val="67"/>
        <w:tblpPr w:leftFromText="180" w:rightFromText="180" w:vertAnchor="text" w:horzAnchor="page" w:tblpX="1702" w:tblpY="119"/>
        <w:tblW w:w="9072" w:type="dxa"/>
        <w:tblInd w:w="0" w:type="dxa"/>
        <w:tblLayout w:type="fixed"/>
        <w:tblCellMar>
          <w:top w:w="0" w:type="dxa"/>
          <w:left w:w="108" w:type="dxa"/>
          <w:bottom w:w="0" w:type="dxa"/>
          <w:right w:w="108" w:type="dxa"/>
        </w:tblCellMar>
      </w:tblPr>
      <w:tblGrid>
        <w:gridCol w:w="4507"/>
        <w:gridCol w:w="4565"/>
      </w:tblGrid>
      <w:tr>
        <w:tblPrEx>
          <w:tblLayout w:type="fixed"/>
        </w:tblPrEx>
        <w:tc>
          <w:tcPr>
            <w:tcW w:w="4507" w:type="dxa"/>
            <w:vAlign w:val="top"/>
          </w:tcPr>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发包人：（公章）</w:t>
            </w:r>
          </w:p>
          <w:p>
            <w:pPr>
              <w:pStyle w:val="137"/>
              <w:framePr w:hSpace="0" w:wrap="auto" w:vAnchor="margin" w:hAnchor="text" w:yAlign="inline"/>
              <w:spacing w:after="50" w:line="360" w:lineRule="auto"/>
              <w:rPr>
                <w:rFonts w:ascii="仿宋_GB2312" w:hAnsi="宋体" w:eastAsia="仿宋_GB2312"/>
                <w:color w:val="auto"/>
                <w:szCs w:val="24"/>
              </w:rPr>
            </w:pPr>
          </w:p>
          <w:p>
            <w:pPr>
              <w:pStyle w:val="137"/>
              <w:framePr w:hSpace="0" w:wrap="auto" w:vAnchor="margin" w:hAnchor="text" w:yAlign="inline"/>
              <w:spacing w:after="50" w:line="360" w:lineRule="auto"/>
              <w:rPr>
                <w:rFonts w:ascii="仿宋_GB2312" w:hAnsi="宋体" w:eastAsia="仿宋_GB2312"/>
                <w:color w:val="auto"/>
                <w:szCs w:val="24"/>
              </w:rPr>
            </w:pPr>
          </w:p>
        </w:tc>
        <w:tc>
          <w:tcPr>
            <w:tcW w:w="4565" w:type="dxa"/>
            <w:vAlign w:val="top"/>
          </w:tcPr>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承包人：（公章）</w:t>
            </w:r>
          </w:p>
          <w:p>
            <w:pPr>
              <w:pStyle w:val="137"/>
              <w:framePr w:hSpace="0" w:wrap="auto" w:vAnchor="margin" w:hAnchor="text" w:yAlign="inline"/>
              <w:spacing w:after="50" w:line="360" w:lineRule="auto"/>
              <w:rPr>
                <w:rFonts w:ascii="仿宋_GB2312" w:hAnsi="宋体" w:eastAsia="仿宋_GB2312"/>
                <w:color w:val="auto"/>
                <w:szCs w:val="24"/>
              </w:rPr>
            </w:pPr>
          </w:p>
          <w:p>
            <w:pPr>
              <w:pStyle w:val="137"/>
              <w:framePr w:hSpace="0" w:wrap="auto" w:vAnchor="margin" w:hAnchor="text" w:yAlign="inline"/>
              <w:spacing w:after="50" w:line="360" w:lineRule="auto"/>
              <w:rPr>
                <w:rFonts w:ascii="仿宋_GB2312" w:hAnsi="宋体" w:eastAsia="仿宋_GB2312"/>
                <w:color w:val="auto"/>
                <w:szCs w:val="24"/>
              </w:rPr>
            </w:pPr>
          </w:p>
        </w:tc>
      </w:tr>
      <w:tr>
        <w:tblPrEx>
          <w:tblLayout w:type="fixed"/>
          <w:tblCellMar>
            <w:top w:w="0" w:type="dxa"/>
            <w:left w:w="108" w:type="dxa"/>
            <w:bottom w:w="0" w:type="dxa"/>
            <w:right w:w="108" w:type="dxa"/>
          </w:tblCellMar>
        </w:tblPrEx>
        <w:tc>
          <w:tcPr>
            <w:tcW w:w="4507" w:type="dxa"/>
            <w:vAlign w:val="top"/>
          </w:tcPr>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法定代表人或其委托代理人：</w:t>
            </w:r>
          </w:p>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（签字）</w:t>
            </w:r>
          </w:p>
          <w:p>
            <w:pPr>
              <w:pStyle w:val="137"/>
              <w:framePr w:hSpace="0" w:wrap="auto" w:vAnchor="margin" w:hAnchor="text" w:yAlign="inline"/>
              <w:spacing w:after="50" w:line="360" w:lineRule="auto"/>
              <w:rPr>
                <w:rFonts w:ascii="仿宋_GB2312" w:hAnsi="宋体" w:eastAsia="仿宋_GB2312"/>
                <w:color w:val="auto"/>
                <w:szCs w:val="24"/>
              </w:rPr>
            </w:pPr>
          </w:p>
        </w:tc>
        <w:tc>
          <w:tcPr>
            <w:tcW w:w="4565" w:type="dxa"/>
            <w:vAlign w:val="top"/>
          </w:tcPr>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法定代表人或其委托代理人：</w:t>
            </w:r>
          </w:p>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（签字）</w:t>
            </w:r>
          </w:p>
          <w:p>
            <w:pPr>
              <w:pStyle w:val="137"/>
              <w:framePr w:hSpace="0" w:wrap="auto" w:vAnchor="margin" w:hAnchor="text" w:yAlign="inline"/>
              <w:spacing w:after="50" w:line="360" w:lineRule="auto"/>
              <w:rPr>
                <w:rFonts w:ascii="仿宋_GB2312" w:hAnsi="宋体" w:eastAsia="仿宋_GB2312"/>
                <w:color w:val="auto"/>
                <w:szCs w:val="24"/>
              </w:rPr>
            </w:pPr>
          </w:p>
        </w:tc>
      </w:tr>
      <w:tr>
        <w:tblPrEx>
          <w:tblLayout w:type="fixed"/>
          <w:tblCellMar>
            <w:top w:w="0" w:type="dxa"/>
            <w:left w:w="108" w:type="dxa"/>
            <w:bottom w:w="0" w:type="dxa"/>
            <w:right w:w="108" w:type="dxa"/>
          </w:tblCellMar>
        </w:tblPrEx>
        <w:tc>
          <w:tcPr>
            <w:tcW w:w="4507" w:type="dxa"/>
            <w:vAlign w:val="top"/>
          </w:tcPr>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统一社会信用代码：</w:t>
            </w:r>
            <w:r>
              <w:rPr>
                <w:rFonts w:ascii="仿宋_GB2312" w:hAnsi="宋体" w:eastAsia="仿宋_GB2312"/>
                <w:color w:val="auto"/>
                <w:kern w:val="0"/>
                <w:szCs w:val="24"/>
                <w:u w:val="single"/>
              </w:rPr>
              <w:t xml:space="preserve">            </w:t>
            </w:r>
          </w:p>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地址：</w:t>
            </w:r>
            <w:r>
              <w:rPr>
                <w:rFonts w:ascii="仿宋_GB2312" w:hAnsi="宋体" w:eastAsia="仿宋_GB2312"/>
                <w:color w:val="auto"/>
                <w:kern w:val="0"/>
                <w:szCs w:val="24"/>
                <w:u w:val="single"/>
              </w:rPr>
              <w:t xml:space="preserve">                       </w:t>
            </w:r>
          </w:p>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邮政编码：</w:t>
            </w:r>
            <w:r>
              <w:rPr>
                <w:rFonts w:ascii="仿宋_GB2312" w:hAnsi="宋体" w:eastAsia="仿宋_GB2312"/>
                <w:color w:val="auto"/>
                <w:kern w:val="0"/>
                <w:szCs w:val="24"/>
                <w:u w:val="single"/>
              </w:rPr>
              <w:t xml:space="preserve">                      </w:t>
            </w:r>
          </w:p>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法定代表人：</w:t>
            </w:r>
            <w:r>
              <w:rPr>
                <w:rFonts w:ascii="仿宋_GB2312" w:hAnsi="宋体" w:eastAsia="仿宋_GB2312"/>
                <w:color w:val="auto"/>
                <w:kern w:val="0"/>
                <w:szCs w:val="24"/>
                <w:u w:val="single"/>
              </w:rPr>
              <w:t xml:space="preserve">                 </w:t>
            </w:r>
          </w:p>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委托代理人：</w:t>
            </w:r>
            <w:r>
              <w:rPr>
                <w:rFonts w:ascii="仿宋_GB2312" w:hAnsi="宋体" w:eastAsia="仿宋_GB2312"/>
                <w:color w:val="auto"/>
                <w:kern w:val="0"/>
                <w:szCs w:val="24"/>
                <w:u w:val="single"/>
              </w:rPr>
              <w:t xml:space="preserve">                 </w:t>
            </w:r>
          </w:p>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电话：</w:t>
            </w:r>
            <w:r>
              <w:rPr>
                <w:rFonts w:ascii="仿宋_GB2312" w:hAnsi="宋体" w:eastAsia="仿宋_GB2312"/>
                <w:color w:val="auto"/>
                <w:kern w:val="0"/>
                <w:szCs w:val="24"/>
                <w:u w:val="single"/>
              </w:rPr>
              <w:t xml:space="preserve">                       </w:t>
            </w:r>
          </w:p>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 xml:space="preserve">传真： </w:t>
            </w:r>
            <w:r>
              <w:rPr>
                <w:rFonts w:ascii="仿宋_GB2312" w:hAnsi="宋体" w:eastAsia="仿宋_GB2312"/>
                <w:color w:val="auto"/>
                <w:kern w:val="0"/>
                <w:szCs w:val="24"/>
                <w:u w:val="single"/>
              </w:rPr>
              <w:t xml:space="preserve">                      </w:t>
            </w:r>
          </w:p>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电子信箱：</w:t>
            </w:r>
            <w:r>
              <w:rPr>
                <w:rFonts w:ascii="仿宋_GB2312" w:hAnsi="宋体" w:eastAsia="仿宋_GB2312"/>
                <w:color w:val="auto"/>
                <w:kern w:val="0"/>
                <w:szCs w:val="24"/>
                <w:u w:val="single"/>
              </w:rPr>
              <w:t xml:space="preserve">                    </w:t>
            </w:r>
          </w:p>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开户银行：</w:t>
            </w:r>
            <w:r>
              <w:rPr>
                <w:rFonts w:ascii="仿宋_GB2312" w:hAnsi="宋体" w:eastAsia="仿宋_GB2312"/>
                <w:color w:val="auto"/>
                <w:kern w:val="0"/>
                <w:szCs w:val="24"/>
                <w:u w:val="single"/>
              </w:rPr>
              <w:t xml:space="preserve">                   </w:t>
            </w:r>
          </w:p>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账号：</w:t>
            </w:r>
            <w:r>
              <w:rPr>
                <w:rFonts w:ascii="仿宋_GB2312" w:hAnsi="宋体" w:eastAsia="仿宋_GB2312"/>
                <w:color w:val="auto"/>
                <w:kern w:val="0"/>
                <w:szCs w:val="24"/>
                <w:u w:val="single"/>
              </w:rPr>
              <w:t xml:space="preserve">                       </w:t>
            </w:r>
          </w:p>
        </w:tc>
        <w:tc>
          <w:tcPr>
            <w:tcW w:w="4565" w:type="dxa"/>
            <w:vAlign w:val="top"/>
          </w:tcPr>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统一社会信用代码：</w:t>
            </w:r>
            <w:r>
              <w:rPr>
                <w:rFonts w:ascii="仿宋_GB2312" w:hAnsi="宋体" w:eastAsia="仿宋_GB2312"/>
                <w:color w:val="auto"/>
                <w:kern w:val="0"/>
                <w:szCs w:val="24"/>
                <w:u w:val="single"/>
              </w:rPr>
              <w:t xml:space="preserve">            </w:t>
            </w:r>
          </w:p>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地址：</w:t>
            </w:r>
            <w:r>
              <w:rPr>
                <w:rFonts w:ascii="仿宋_GB2312" w:hAnsi="宋体" w:eastAsia="仿宋_GB2312"/>
                <w:color w:val="auto"/>
                <w:kern w:val="0"/>
                <w:szCs w:val="24"/>
                <w:u w:val="single"/>
              </w:rPr>
              <w:t xml:space="preserve">                        </w:t>
            </w:r>
          </w:p>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邮政编码：</w:t>
            </w:r>
            <w:r>
              <w:rPr>
                <w:rFonts w:ascii="仿宋_GB2312" w:hAnsi="宋体" w:eastAsia="仿宋_GB2312"/>
                <w:color w:val="auto"/>
                <w:kern w:val="0"/>
                <w:szCs w:val="24"/>
                <w:u w:val="single"/>
              </w:rPr>
              <w:t xml:space="preserve">                      </w:t>
            </w:r>
          </w:p>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法定代表人：</w:t>
            </w:r>
            <w:r>
              <w:rPr>
                <w:rFonts w:ascii="仿宋_GB2312" w:hAnsi="宋体" w:eastAsia="仿宋_GB2312"/>
                <w:color w:val="auto"/>
                <w:kern w:val="0"/>
                <w:szCs w:val="24"/>
                <w:u w:val="single"/>
              </w:rPr>
              <w:t xml:space="preserve">                  </w:t>
            </w:r>
          </w:p>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委托代理人：</w:t>
            </w:r>
            <w:r>
              <w:rPr>
                <w:rFonts w:ascii="仿宋_GB2312" w:hAnsi="宋体" w:eastAsia="仿宋_GB2312"/>
                <w:color w:val="auto"/>
                <w:kern w:val="0"/>
                <w:szCs w:val="24"/>
                <w:u w:val="single"/>
              </w:rPr>
              <w:t xml:space="preserve">                 </w:t>
            </w:r>
          </w:p>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电话：</w:t>
            </w:r>
            <w:r>
              <w:rPr>
                <w:rFonts w:ascii="仿宋_GB2312" w:hAnsi="宋体" w:eastAsia="仿宋_GB2312"/>
                <w:color w:val="auto"/>
                <w:kern w:val="0"/>
                <w:szCs w:val="24"/>
                <w:u w:val="single"/>
              </w:rPr>
              <w:t xml:space="preserve">                       </w:t>
            </w:r>
          </w:p>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传真：</w:t>
            </w:r>
            <w:r>
              <w:rPr>
                <w:rFonts w:ascii="仿宋_GB2312" w:hAnsi="宋体" w:eastAsia="仿宋_GB2312"/>
                <w:color w:val="auto"/>
                <w:kern w:val="0"/>
                <w:szCs w:val="24"/>
                <w:u w:val="single"/>
              </w:rPr>
              <w:t xml:space="preserve">                       </w:t>
            </w:r>
          </w:p>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电子信箱：</w:t>
            </w:r>
            <w:r>
              <w:rPr>
                <w:rFonts w:ascii="仿宋_GB2312" w:hAnsi="宋体" w:eastAsia="仿宋_GB2312"/>
                <w:color w:val="auto"/>
                <w:kern w:val="0"/>
                <w:szCs w:val="24"/>
                <w:u w:val="single"/>
              </w:rPr>
              <w:t xml:space="preserve">                   </w:t>
            </w:r>
          </w:p>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开户银行：</w:t>
            </w:r>
            <w:r>
              <w:rPr>
                <w:rFonts w:ascii="仿宋_GB2312" w:hAnsi="宋体" w:eastAsia="仿宋_GB2312"/>
                <w:color w:val="auto"/>
                <w:kern w:val="0"/>
                <w:szCs w:val="24"/>
                <w:u w:val="single"/>
              </w:rPr>
              <w:t xml:space="preserve">                   </w:t>
            </w:r>
          </w:p>
          <w:p>
            <w:pPr>
              <w:pStyle w:val="137"/>
              <w:framePr w:hSpace="0" w:wrap="auto" w:vAnchor="margin" w:hAnchor="text" w:yAlign="inline"/>
              <w:spacing w:after="50" w:line="360" w:lineRule="auto"/>
              <w:rPr>
                <w:rFonts w:ascii="仿宋_GB2312" w:hAnsi="宋体" w:eastAsia="仿宋_GB2312"/>
                <w:color w:val="auto"/>
                <w:szCs w:val="24"/>
              </w:rPr>
            </w:pPr>
            <w:r>
              <w:rPr>
                <w:rFonts w:hint="eastAsia" w:ascii="仿宋_GB2312" w:hAnsi="宋体" w:eastAsia="仿宋_GB2312"/>
                <w:color w:val="auto"/>
                <w:szCs w:val="24"/>
              </w:rPr>
              <w:t>账号：</w:t>
            </w:r>
            <w:r>
              <w:rPr>
                <w:rFonts w:ascii="仿宋_GB2312" w:hAnsi="宋体" w:eastAsia="仿宋_GB2312"/>
                <w:color w:val="auto"/>
                <w:szCs w:val="24"/>
                <w:u w:val="single"/>
              </w:rPr>
              <w:t xml:space="preserve">                       </w:t>
            </w:r>
          </w:p>
        </w:tc>
      </w:tr>
    </w:tbl>
    <w:p>
      <w:pPr>
        <w:rPr>
          <w:color w:val="auto"/>
        </w:rPr>
        <w:sectPr>
          <w:footerReference r:id="rId12" w:type="default"/>
          <w:type w:val="continuous"/>
          <w:pgSz w:w="11906" w:h="16838"/>
          <w:pgMar w:top="1440" w:right="1800" w:bottom="1440" w:left="1800" w:header="720" w:footer="850" w:gutter="0"/>
          <w:cols w:space="720" w:num="1"/>
          <w:docGrid w:linePitch="326" w:charSpace="0"/>
        </w:sectPr>
      </w:pPr>
      <w:r>
        <w:rPr>
          <w:color w:val="auto"/>
        </w:rPr>
        <w:tab/>
      </w:r>
    </w:p>
    <w:p>
      <w:pPr>
        <w:pStyle w:val="335"/>
        <w:keepNext w:val="0"/>
        <w:adjustRightInd w:val="0"/>
        <w:snapToGrid w:val="0"/>
        <w:spacing w:before="0" w:after="50" w:line="360" w:lineRule="auto"/>
        <w:jc w:val="center"/>
        <w:rPr>
          <w:rFonts w:ascii="华文中宋" w:hAnsi="华文中宋" w:eastAsia="华文中宋"/>
          <w:color w:val="auto"/>
          <w:sz w:val="44"/>
          <w:szCs w:val="52"/>
        </w:rPr>
      </w:pPr>
      <w:bookmarkStart w:id="427" w:name="_Toc54862176"/>
      <w:r>
        <w:rPr>
          <w:rFonts w:hint="eastAsia" w:ascii="华文中宋" w:hAnsi="华文中宋" w:eastAsia="华文中宋"/>
          <w:color w:val="auto"/>
          <w:sz w:val="44"/>
          <w:szCs w:val="52"/>
        </w:rPr>
        <w:t>第二部分</w:t>
      </w:r>
      <w:r>
        <w:rPr>
          <w:rFonts w:ascii="华文中宋" w:hAnsi="华文中宋" w:eastAsia="华文中宋"/>
          <w:color w:val="auto"/>
          <w:sz w:val="44"/>
          <w:szCs w:val="52"/>
        </w:rPr>
        <w:t xml:space="preserve"> </w:t>
      </w:r>
      <w:r>
        <w:rPr>
          <w:rFonts w:hint="eastAsia" w:ascii="华文中宋" w:hAnsi="华文中宋" w:eastAsia="华文中宋"/>
          <w:color w:val="auto"/>
          <w:sz w:val="44"/>
          <w:szCs w:val="52"/>
        </w:rPr>
        <w:t>通用合同条件</w:t>
      </w:r>
      <w:bookmarkEnd w:id="427"/>
    </w:p>
    <w:p>
      <w:pPr>
        <w:pStyle w:val="164"/>
        <w:numPr>
          <w:ilvl w:val="0"/>
          <w:numId w:val="0"/>
        </w:numPr>
        <w:wordWrap/>
        <w:topLinePunct w:val="0"/>
        <w:jc w:val="center"/>
        <w:rPr>
          <w:b w:val="0"/>
          <w:bCs/>
          <w:color w:val="auto"/>
          <w:sz w:val="32"/>
          <w:szCs w:val="32"/>
        </w:rPr>
      </w:pPr>
      <w:bookmarkStart w:id="428" w:name="_Ref508893699"/>
      <w:bookmarkStart w:id="429" w:name="_Toc54862177"/>
      <w:bookmarkStart w:id="430" w:name="_Ref509040831"/>
      <w:bookmarkStart w:id="431" w:name="_Ref509040826"/>
      <w:r>
        <w:rPr>
          <w:rFonts w:hint="eastAsia"/>
          <w:b w:val="0"/>
          <w:bCs/>
          <w:color w:val="auto"/>
          <w:sz w:val="32"/>
          <w:szCs w:val="32"/>
        </w:rPr>
        <w:t xml:space="preserve">第1条 </w:t>
      </w:r>
      <w:r>
        <w:rPr>
          <w:b w:val="0"/>
          <w:bCs/>
          <w:color w:val="auto"/>
          <w:sz w:val="32"/>
          <w:szCs w:val="32"/>
        </w:rPr>
        <w:t>一般</w:t>
      </w:r>
      <w:r>
        <w:rPr>
          <w:rFonts w:hint="eastAsia"/>
          <w:b w:val="0"/>
          <w:bCs/>
          <w:color w:val="auto"/>
          <w:sz w:val="32"/>
          <w:szCs w:val="32"/>
        </w:rPr>
        <w:t>约</w:t>
      </w:r>
      <w:r>
        <w:rPr>
          <w:b w:val="0"/>
          <w:bCs/>
          <w:color w:val="auto"/>
          <w:sz w:val="32"/>
          <w:szCs w:val="32"/>
        </w:rPr>
        <w:t>定</w:t>
      </w:r>
      <w:bookmarkEnd w:id="428"/>
      <w:bookmarkEnd w:id="429"/>
    </w:p>
    <w:p>
      <w:pPr>
        <w:pStyle w:val="315"/>
        <w:widowControl/>
        <w:numPr>
          <w:ilvl w:val="0"/>
          <w:numId w:val="0"/>
        </w:numPr>
        <w:rPr>
          <w:b w:val="0"/>
          <w:bCs/>
          <w:color w:val="auto"/>
        </w:rPr>
      </w:pPr>
      <w:bookmarkStart w:id="432" w:name="_Ref523741474"/>
      <w:bookmarkStart w:id="433" w:name="_Ref523741471"/>
      <w:bookmarkStart w:id="434" w:name="_Toc54862178"/>
      <w:r>
        <w:rPr>
          <w:rFonts w:hint="eastAsia"/>
          <w:b w:val="0"/>
          <w:bCs/>
          <w:color w:val="auto"/>
        </w:rPr>
        <w:t>1</w:t>
      </w:r>
      <w:r>
        <w:rPr>
          <w:b w:val="0"/>
          <w:bCs/>
          <w:color w:val="auto"/>
        </w:rPr>
        <w:t xml:space="preserve">.1 </w:t>
      </w:r>
      <w:r>
        <w:rPr>
          <w:rFonts w:hint="eastAsia"/>
          <w:b w:val="0"/>
          <w:bCs/>
          <w:color w:val="auto"/>
        </w:rPr>
        <w:t>词语定义和解释</w:t>
      </w:r>
      <w:bookmarkEnd w:id="430"/>
      <w:bookmarkEnd w:id="431"/>
      <w:bookmarkEnd w:id="432"/>
      <w:bookmarkEnd w:id="433"/>
      <w:bookmarkEnd w:id="434"/>
    </w:p>
    <w:p>
      <w:pPr>
        <w:ind w:firstLine="600"/>
        <w:rPr>
          <w:rFonts w:ascii="仿宋_GB2312" w:eastAsia="仿宋_GB2312"/>
          <w:color w:val="auto"/>
          <w:sz w:val="24"/>
        </w:rPr>
      </w:pPr>
      <w:r>
        <w:rPr>
          <w:rFonts w:hint="eastAsia" w:ascii="仿宋_GB2312" w:eastAsia="仿宋_GB2312"/>
          <w:color w:val="auto"/>
          <w:sz w:val="24"/>
        </w:rPr>
        <w:t>合同协议书、通用合同条件、专用合同条件中的下列词语应具有本款所赋予的含义：</w:t>
      </w:r>
    </w:p>
    <w:p>
      <w:pPr>
        <w:pStyle w:val="88"/>
        <w:numPr>
          <w:ilvl w:val="0"/>
          <w:numId w:val="0"/>
        </w:numPr>
        <w:rPr>
          <w:rFonts w:ascii="仿宋_GB2312" w:eastAsia="仿宋_GB2312"/>
          <w:color w:val="auto"/>
          <w:szCs w:val="24"/>
        </w:rPr>
      </w:pPr>
      <w:bookmarkStart w:id="435" w:name="_Ref4757289"/>
      <w:bookmarkStart w:id="436" w:name="_Ref521288340"/>
      <w:r>
        <w:rPr>
          <w:rFonts w:hint="eastAsia" w:ascii="仿宋_GB2312" w:eastAsia="仿宋_GB2312"/>
          <w:color w:val="auto"/>
          <w:szCs w:val="24"/>
        </w:rPr>
        <w:t>1</w:t>
      </w:r>
      <w:r>
        <w:rPr>
          <w:rFonts w:ascii="仿宋_GB2312" w:eastAsia="仿宋_GB2312"/>
          <w:color w:val="auto"/>
          <w:szCs w:val="24"/>
        </w:rPr>
        <w:t xml:space="preserve">.1.1 </w:t>
      </w:r>
      <w:r>
        <w:rPr>
          <w:rFonts w:hint="eastAsia" w:ascii="仿宋_GB2312" w:eastAsia="仿宋_GB2312"/>
          <w:color w:val="auto"/>
          <w:szCs w:val="24"/>
        </w:rPr>
        <w:t>合同</w:t>
      </w:r>
      <w:bookmarkEnd w:id="435"/>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.1.1.1 </w:t>
      </w:r>
      <w:r>
        <w:rPr>
          <w:rFonts w:hint="eastAsia" w:ascii="仿宋_GB2312" w:eastAsia="仿宋_GB2312"/>
          <w:color w:val="auto"/>
          <w:szCs w:val="24"/>
        </w:rPr>
        <w:t>合同：是指根据法律规定和合同当事人约定具有约束力的文件，构成合同的文件包括合同协议书、中标通知书（如果有）、投标函及其附录（如果有）、专用合同条件及其附件、通用合同条件、《发包人要求》、承包人建议书、价格清单以及双方约定的其他合同文件。</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.1.1.2 </w:t>
      </w:r>
      <w:r>
        <w:rPr>
          <w:rFonts w:hint="eastAsia" w:ascii="仿宋_GB2312" w:eastAsia="仿宋_GB2312"/>
          <w:color w:val="auto"/>
          <w:szCs w:val="24"/>
        </w:rPr>
        <w:t>合同协议书：是指构成合同的由发包人和承包人共同签署的称为“合同协议书”的书面文件。</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.1.1.3 </w:t>
      </w:r>
      <w:r>
        <w:rPr>
          <w:rFonts w:hint="eastAsia" w:ascii="仿宋_GB2312" w:eastAsia="仿宋_GB2312"/>
          <w:color w:val="auto"/>
          <w:szCs w:val="24"/>
        </w:rPr>
        <w:t>中标通知书：是指构成合同的由发包人通知承包人中标的书面文件。中标通知书随附的澄清、说明、补正事项纪要等，是中标通知书的组成部分。</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.1.1.4 </w:t>
      </w:r>
      <w:r>
        <w:rPr>
          <w:rFonts w:hint="eastAsia" w:ascii="仿宋_GB2312" w:eastAsia="仿宋_GB2312"/>
          <w:color w:val="auto"/>
          <w:szCs w:val="24"/>
        </w:rPr>
        <w:t>投标函：是指构成合同的由承包人填写并签署的用于投标的称为“投标函”的文件。</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.1.1.5 </w:t>
      </w:r>
      <w:r>
        <w:rPr>
          <w:rFonts w:hint="eastAsia" w:ascii="仿宋_GB2312" w:eastAsia="仿宋_GB2312"/>
          <w:color w:val="auto"/>
          <w:szCs w:val="24"/>
        </w:rPr>
        <w:t>投标函附录：是指构成合同的附在投标函后的称为“投标函附录”的文件。</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.1.1.6 </w:t>
      </w:r>
      <w:r>
        <w:rPr>
          <w:rFonts w:hint="eastAsia" w:ascii="仿宋_GB2312" w:eastAsia="仿宋_GB2312"/>
          <w:color w:val="auto"/>
          <w:szCs w:val="24"/>
        </w:rPr>
        <w:t>《发包人要求》：指构成合同文件组成部分的名为《发包人要求》的文件，其中列明工程的目的、范围、设计与其他技术标准和要求，以及合同双方当事人约定对其所作的修改或补充。</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.1.1.7 </w:t>
      </w:r>
      <w:r>
        <w:rPr>
          <w:rFonts w:hint="eastAsia" w:ascii="仿宋_GB2312" w:eastAsia="仿宋_GB2312"/>
          <w:color w:val="auto"/>
          <w:szCs w:val="24"/>
        </w:rPr>
        <w:t>项目清单：是指发包人提供的载明工程总承包项目勘察费（如果有）、设计费、建筑安装工程费、设备购置费、暂估价、暂列金额和双方约定的其他费用的名称和相应数量等内容的项目明细。</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.1.1.8 </w:t>
      </w:r>
      <w:r>
        <w:rPr>
          <w:rFonts w:hint="eastAsia" w:ascii="仿宋_GB2312" w:eastAsia="仿宋_GB2312"/>
          <w:color w:val="auto"/>
          <w:szCs w:val="24"/>
        </w:rPr>
        <w:t>价格清单：指构成合同文件组成部分的由承包人按发包人提供的项目清单规定的格式和要求填写并标明价格的清单。</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.1.1.9 </w:t>
      </w:r>
      <w:r>
        <w:rPr>
          <w:rFonts w:hint="eastAsia" w:ascii="仿宋_GB2312" w:eastAsia="仿宋_GB2312"/>
          <w:color w:val="auto"/>
          <w:szCs w:val="24"/>
        </w:rPr>
        <w:t>承包人建议书：指构成合同文件组成部分的名为承包人建议书的文件。承包人建议书由承包人随投标函一起提交。</w:t>
      </w:r>
    </w:p>
    <w:p>
      <w:pPr>
        <w:pStyle w:val="249"/>
        <w:numPr>
          <w:ilvl w:val="0"/>
          <w:numId w:val="0"/>
        </w:numPr>
        <w:rPr>
          <w:rFonts w:ascii="仿宋_GB2312" w:eastAsia="仿宋_GB2312"/>
          <w:color w:val="auto"/>
          <w:szCs w:val="24"/>
        </w:rPr>
      </w:pPr>
      <w:bookmarkStart w:id="437" w:name="_Ref4415300"/>
      <w:r>
        <w:rPr>
          <w:rFonts w:hint="eastAsia" w:ascii="仿宋_GB2312" w:eastAsia="仿宋_GB2312"/>
          <w:color w:val="auto"/>
          <w:szCs w:val="24"/>
        </w:rPr>
        <w:t>1</w:t>
      </w:r>
      <w:r>
        <w:rPr>
          <w:rFonts w:ascii="仿宋_GB2312" w:eastAsia="仿宋_GB2312"/>
          <w:color w:val="auto"/>
          <w:szCs w:val="24"/>
        </w:rPr>
        <w:t>.1.1.1</w:t>
      </w:r>
      <w:r>
        <w:rPr>
          <w:rFonts w:hint="eastAsia" w:ascii="仿宋_GB2312" w:eastAsia="仿宋_GB2312"/>
          <w:color w:val="auto"/>
          <w:szCs w:val="24"/>
        </w:rPr>
        <w:t>0</w:t>
      </w:r>
      <w:r>
        <w:rPr>
          <w:rFonts w:ascii="仿宋_GB2312" w:eastAsia="仿宋_GB2312"/>
          <w:color w:val="auto"/>
          <w:szCs w:val="24"/>
        </w:rPr>
        <w:t xml:space="preserve"> </w:t>
      </w:r>
      <w:r>
        <w:rPr>
          <w:rFonts w:hint="eastAsia" w:ascii="仿宋_GB2312" w:eastAsia="仿宋_GB2312"/>
          <w:color w:val="auto"/>
          <w:szCs w:val="24"/>
        </w:rPr>
        <w:t>其他合同文件：是指经合同当事人约定的与工程实施有关的具有合同约束力的文件或书面协议。合同当事人可以在专用合同条件中进行约定。</w:t>
      </w:r>
      <w:bookmarkEnd w:id="437"/>
    </w:p>
    <w:p>
      <w:pPr>
        <w:pStyle w:val="88"/>
        <w:numPr>
          <w:ilvl w:val="0"/>
          <w:numId w:val="0"/>
        </w:numPr>
        <w:rPr>
          <w:rFonts w:ascii="仿宋_GB2312" w:eastAsia="仿宋_GB2312"/>
          <w:color w:val="auto"/>
          <w:szCs w:val="24"/>
        </w:rPr>
      </w:pPr>
      <w:bookmarkStart w:id="438" w:name="_Ref4757418"/>
      <w:r>
        <w:rPr>
          <w:rFonts w:hint="eastAsia" w:ascii="仿宋_GB2312" w:eastAsia="仿宋_GB2312"/>
          <w:color w:val="auto"/>
          <w:szCs w:val="24"/>
        </w:rPr>
        <w:t>1</w:t>
      </w:r>
      <w:r>
        <w:rPr>
          <w:rFonts w:ascii="仿宋_GB2312" w:eastAsia="仿宋_GB2312"/>
          <w:color w:val="auto"/>
          <w:szCs w:val="24"/>
        </w:rPr>
        <w:t xml:space="preserve">.1.2 </w:t>
      </w:r>
      <w:r>
        <w:rPr>
          <w:rFonts w:hint="eastAsia" w:ascii="仿宋_GB2312" w:eastAsia="仿宋_GB2312"/>
          <w:color w:val="auto"/>
          <w:szCs w:val="24"/>
        </w:rPr>
        <w:t>合同当事人及其他相关方</w:t>
      </w:r>
      <w:bookmarkEnd w:id="438"/>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.1.2.1 </w:t>
      </w:r>
      <w:r>
        <w:rPr>
          <w:rFonts w:hint="eastAsia" w:ascii="仿宋_GB2312" w:eastAsia="仿宋_GB2312"/>
          <w:color w:val="auto"/>
          <w:szCs w:val="24"/>
        </w:rPr>
        <w:t>合同当事人：是指发包人和（或）承包人。</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.1.2.2 </w:t>
      </w:r>
      <w:r>
        <w:rPr>
          <w:rFonts w:hint="eastAsia" w:ascii="仿宋_GB2312" w:eastAsia="仿宋_GB2312"/>
          <w:color w:val="auto"/>
          <w:szCs w:val="24"/>
        </w:rPr>
        <w:t>发包人：是指与承包人订立合同协议书的当事人及取得该当事人资格的合法继受人。本合同中“因发包人原因”里的“发包人”包括发包人及所有发包人人员。</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.1.2.3 </w:t>
      </w:r>
      <w:r>
        <w:rPr>
          <w:rFonts w:hint="eastAsia" w:ascii="仿宋_GB2312" w:eastAsia="仿宋_GB2312"/>
          <w:color w:val="auto"/>
          <w:szCs w:val="24"/>
        </w:rPr>
        <w:t>承包人：是指与发包人订立合同协议书的当事人及取得该当事人资格的合法继受人。</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.1.2.4 </w:t>
      </w:r>
      <w:r>
        <w:rPr>
          <w:rFonts w:hint="eastAsia" w:ascii="仿宋_GB2312" w:eastAsia="仿宋_GB2312"/>
          <w:color w:val="auto"/>
          <w:szCs w:val="24"/>
        </w:rPr>
        <w:t>联合体：是指经发包人同意由两个或两个以上法人或者其他组织组成的，作为承包人的临时机构。</w:t>
      </w:r>
    </w:p>
    <w:p>
      <w:pPr>
        <w:pStyle w:val="249"/>
        <w:numPr>
          <w:ilvl w:val="0"/>
          <w:numId w:val="0"/>
        </w:numPr>
        <w:rPr>
          <w:rFonts w:ascii="仿宋_GB2312" w:eastAsia="仿宋_GB2312"/>
          <w:color w:val="auto"/>
          <w:szCs w:val="24"/>
        </w:rPr>
      </w:pPr>
      <w:bookmarkStart w:id="439" w:name="_Ref4420046"/>
      <w:r>
        <w:rPr>
          <w:rFonts w:hint="eastAsia" w:ascii="仿宋_GB2312" w:eastAsia="仿宋_GB2312"/>
          <w:color w:val="auto"/>
          <w:szCs w:val="24"/>
        </w:rPr>
        <w:t>1</w:t>
      </w:r>
      <w:r>
        <w:rPr>
          <w:rFonts w:ascii="仿宋_GB2312" w:eastAsia="仿宋_GB2312"/>
          <w:color w:val="auto"/>
          <w:szCs w:val="24"/>
        </w:rPr>
        <w:t xml:space="preserve">.1.2.5 </w:t>
      </w:r>
      <w:r>
        <w:rPr>
          <w:rFonts w:hint="eastAsia" w:ascii="仿宋_GB2312" w:eastAsia="仿宋_GB2312"/>
          <w:color w:val="auto"/>
          <w:szCs w:val="24"/>
        </w:rPr>
        <w:t>发包人代表：是指由发包人任命并派驻工作现场，在发包人授权范围内行使发包人权利和履行发包人义务的人。</w:t>
      </w:r>
    </w:p>
    <w:p>
      <w:pPr>
        <w:pStyle w:val="249"/>
        <w:numPr>
          <w:ilvl w:val="0"/>
          <w:numId w:val="0"/>
        </w:numPr>
        <w:rPr>
          <w:rFonts w:ascii="仿宋_GB2312" w:eastAsia="仿宋_GB2312"/>
          <w:color w:val="auto"/>
          <w:szCs w:val="24"/>
        </w:rPr>
      </w:pPr>
      <w:bookmarkStart w:id="440" w:name="_Ref4756982"/>
      <w:r>
        <w:rPr>
          <w:rFonts w:hint="eastAsia" w:ascii="仿宋_GB2312" w:eastAsia="仿宋_GB2312"/>
          <w:color w:val="auto"/>
          <w:szCs w:val="24"/>
        </w:rPr>
        <w:t>1</w:t>
      </w:r>
      <w:r>
        <w:rPr>
          <w:rFonts w:ascii="仿宋_GB2312" w:eastAsia="仿宋_GB2312"/>
          <w:color w:val="auto"/>
          <w:szCs w:val="24"/>
        </w:rPr>
        <w:t xml:space="preserve">.1.2.6 </w:t>
      </w:r>
      <w:r>
        <w:rPr>
          <w:rFonts w:hint="eastAsia" w:ascii="仿宋_GB2312" w:eastAsia="仿宋_GB2312"/>
          <w:color w:val="auto"/>
          <w:szCs w:val="24"/>
        </w:rPr>
        <w:t>工程师：是指在专用合同条件中指明的，受发包人委托按照法律规定和发包人的授权进行合同履行管理、工程监督管理等工作的法人或其他组织；该法人或其他组织应雇用一名具有相应执业资格和职业能力的自然人作为工程师代表，并授予其根据本合同代表工程师行事的权利。</w:t>
      </w:r>
      <w:bookmarkEnd w:id="439"/>
      <w:bookmarkEnd w:id="440"/>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.1.2.7 </w:t>
      </w:r>
      <w:r>
        <w:rPr>
          <w:rFonts w:hint="eastAsia" w:ascii="仿宋_GB2312" w:eastAsia="仿宋_GB2312"/>
          <w:color w:val="auto"/>
          <w:szCs w:val="24"/>
        </w:rPr>
        <w:t>工程总承包项目经理：是指由承包人任命的，在承包人授权范围内负责合同履行的管理，且按照法律规定具有相应资格的项目负责人。</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.1.2.8 </w:t>
      </w:r>
      <w:r>
        <w:rPr>
          <w:rFonts w:hint="eastAsia" w:ascii="仿宋_GB2312" w:eastAsia="仿宋_GB2312"/>
          <w:color w:val="auto"/>
          <w:szCs w:val="24"/>
        </w:rPr>
        <w:t>设计负责人：是指承包人指定负责组织、指导、协调设计工作并具有相应资格的人员。</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.1.2.9 </w:t>
      </w:r>
      <w:r>
        <w:rPr>
          <w:rFonts w:hint="eastAsia" w:ascii="仿宋_GB2312" w:eastAsia="仿宋_GB2312"/>
          <w:color w:val="auto"/>
          <w:szCs w:val="24"/>
        </w:rPr>
        <w:t>采购负责人：是指承包人指定负责组织、指导、协调采购工作的人员。</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.1.2.10 </w:t>
      </w:r>
      <w:r>
        <w:rPr>
          <w:rFonts w:hint="eastAsia" w:ascii="仿宋_GB2312" w:eastAsia="仿宋_GB2312"/>
          <w:color w:val="auto"/>
          <w:szCs w:val="24"/>
        </w:rPr>
        <w:t>施工负责人：是指承包人指定负责组织、指导、协调施工工作并具有相应资格的人员。</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.1.2.11 </w:t>
      </w:r>
      <w:r>
        <w:rPr>
          <w:rFonts w:hint="eastAsia" w:ascii="仿宋_GB2312" w:eastAsia="仿宋_GB2312"/>
          <w:color w:val="auto"/>
          <w:szCs w:val="24"/>
        </w:rPr>
        <w:t>分包人：是指按照法律规定和合同约定，分包部分工程或工作，并与承包人订立分包合同的具有相应资质或资格的法人或其他组织。</w:t>
      </w:r>
    </w:p>
    <w:p>
      <w:pPr>
        <w:pStyle w:val="88"/>
        <w:numPr>
          <w:ilvl w:val="0"/>
          <w:numId w:val="0"/>
        </w:numPr>
        <w:rPr>
          <w:rFonts w:ascii="仿宋_GB2312" w:eastAsia="仿宋_GB2312"/>
          <w:color w:val="auto"/>
          <w:szCs w:val="24"/>
        </w:rPr>
      </w:pPr>
      <w:bookmarkStart w:id="441" w:name="_Ref4758319"/>
      <w:r>
        <w:rPr>
          <w:rFonts w:hint="eastAsia" w:ascii="仿宋_GB2312" w:eastAsia="仿宋_GB2312"/>
          <w:color w:val="auto"/>
          <w:szCs w:val="24"/>
        </w:rPr>
        <w:t>1</w:t>
      </w:r>
      <w:r>
        <w:rPr>
          <w:rFonts w:ascii="仿宋_GB2312" w:eastAsia="仿宋_GB2312"/>
          <w:color w:val="auto"/>
          <w:szCs w:val="24"/>
        </w:rPr>
        <w:t xml:space="preserve">.1.3 </w:t>
      </w:r>
      <w:r>
        <w:rPr>
          <w:rFonts w:hint="eastAsia" w:ascii="仿宋_GB2312" w:eastAsia="仿宋_GB2312"/>
          <w:color w:val="auto"/>
          <w:szCs w:val="24"/>
        </w:rPr>
        <w:t>工程和设备</w:t>
      </w:r>
      <w:bookmarkEnd w:id="441"/>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.1.3.1 </w:t>
      </w:r>
      <w:r>
        <w:rPr>
          <w:rFonts w:hint="eastAsia" w:ascii="仿宋_GB2312" w:eastAsia="仿宋_GB2312"/>
          <w:color w:val="auto"/>
          <w:szCs w:val="24"/>
        </w:rPr>
        <w:t>工程：是指与合同协议书中工程承包范围对应的永久工程和（或）临时工程。</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.1.3.2 </w:t>
      </w:r>
      <w:r>
        <w:rPr>
          <w:rFonts w:hint="eastAsia" w:ascii="仿宋_GB2312" w:eastAsia="仿宋_GB2312"/>
          <w:color w:val="auto"/>
          <w:szCs w:val="24"/>
        </w:rPr>
        <w:t>工程实施：是指进行工程的设计、采购、施工和竣工以及对工程任何缺陷的修复。</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.1.3.3 </w:t>
      </w:r>
      <w:r>
        <w:rPr>
          <w:rFonts w:hint="eastAsia" w:ascii="仿宋_GB2312" w:eastAsia="仿宋_GB2312"/>
          <w:color w:val="auto"/>
          <w:szCs w:val="24"/>
        </w:rPr>
        <w:t>永久工程：是指按合同约定建造并移交给发包人的工程，包括工程设备。</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.1.3.4 </w:t>
      </w:r>
      <w:r>
        <w:rPr>
          <w:rFonts w:hint="eastAsia" w:ascii="仿宋_GB2312" w:eastAsia="仿宋_GB2312"/>
          <w:color w:val="auto"/>
          <w:szCs w:val="24"/>
        </w:rPr>
        <w:t>临时工程：是指为完成合同约定的永久工程所修建的各类临时性工程，不包括施工设备。</w:t>
      </w:r>
    </w:p>
    <w:p>
      <w:pPr>
        <w:pStyle w:val="249"/>
        <w:numPr>
          <w:ilvl w:val="0"/>
          <w:numId w:val="0"/>
        </w:numPr>
        <w:rPr>
          <w:rFonts w:ascii="仿宋_GB2312" w:eastAsia="仿宋_GB2312"/>
          <w:color w:val="auto"/>
          <w:szCs w:val="24"/>
        </w:rPr>
      </w:pPr>
      <w:bookmarkStart w:id="442" w:name="_Ref4419825"/>
      <w:r>
        <w:rPr>
          <w:rFonts w:hint="eastAsia" w:ascii="仿宋_GB2312" w:eastAsia="仿宋_GB2312"/>
          <w:color w:val="auto"/>
          <w:szCs w:val="24"/>
        </w:rPr>
        <w:t>1</w:t>
      </w:r>
      <w:r>
        <w:rPr>
          <w:rFonts w:ascii="仿宋_GB2312" w:eastAsia="仿宋_GB2312"/>
          <w:color w:val="auto"/>
          <w:szCs w:val="24"/>
        </w:rPr>
        <w:t xml:space="preserve">.1.3.5 </w:t>
      </w:r>
      <w:r>
        <w:rPr>
          <w:rFonts w:hint="eastAsia" w:ascii="仿宋_GB2312" w:eastAsia="仿宋_GB2312"/>
          <w:color w:val="auto"/>
          <w:szCs w:val="24"/>
        </w:rPr>
        <w:t>单位/区段工程：是指在专用合同条件中指明特定范围的，能单独接收并使用的永久工程。</w:t>
      </w:r>
      <w:bookmarkEnd w:id="442"/>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.1.3.6 </w:t>
      </w:r>
      <w:r>
        <w:rPr>
          <w:rFonts w:hint="eastAsia" w:ascii="仿宋_GB2312" w:eastAsia="仿宋_GB2312"/>
          <w:color w:val="auto"/>
          <w:szCs w:val="24"/>
        </w:rPr>
        <w:t>工程设备：指构成永久工程的机电设备、仪器装置、运载工具及其他类似的设备和装置，包括其配件及备品、备件、易损易耗件等。</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.1.3.7 </w:t>
      </w:r>
      <w:r>
        <w:rPr>
          <w:rFonts w:hint="eastAsia" w:ascii="仿宋_GB2312" w:eastAsia="仿宋_GB2312"/>
          <w:color w:val="auto"/>
          <w:szCs w:val="24"/>
        </w:rPr>
        <w:t>施工设备：指为完成合同约定的各项工作所需的设备、器具和其他物品，不包括工程设备、临时工程和材料。</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.1.3.8 </w:t>
      </w:r>
      <w:r>
        <w:rPr>
          <w:rFonts w:hint="eastAsia" w:ascii="仿宋_GB2312" w:eastAsia="仿宋_GB2312"/>
          <w:color w:val="auto"/>
          <w:szCs w:val="24"/>
        </w:rPr>
        <w:t>临时设施：指为完成合同约定的各项工作所服务的临时性生产和生活设施。</w:t>
      </w:r>
    </w:p>
    <w:p>
      <w:pPr>
        <w:pStyle w:val="249"/>
        <w:numPr>
          <w:ilvl w:val="0"/>
          <w:numId w:val="0"/>
        </w:numPr>
        <w:rPr>
          <w:rFonts w:ascii="仿宋_GB2312" w:eastAsia="仿宋_GB2312"/>
          <w:color w:val="auto"/>
          <w:szCs w:val="24"/>
        </w:rPr>
      </w:pPr>
      <w:bookmarkStart w:id="443" w:name="_Ref4420577"/>
      <w:r>
        <w:rPr>
          <w:rFonts w:hint="eastAsia" w:ascii="仿宋_GB2312" w:eastAsia="仿宋_GB2312"/>
          <w:color w:val="auto"/>
          <w:szCs w:val="24"/>
        </w:rPr>
        <w:t>1</w:t>
      </w:r>
      <w:r>
        <w:rPr>
          <w:rFonts w:ascii="仿宋_GB2312" w:eastAsia="仿宋_GB2312"/>
          <w:color w:val="auto"/>
          <w:szCs w:val="24"/>
        </w:rPr>
        <w:t xml:space="preserve">.1.3.9 </w:t>
      </w:r>
      <w:r>
        <w:rPr>
          <w:rFonts w:hint="eastAsia" w:ascii="仿宋_GB2312" w:eastAsia="仿宋_GB2312"/>
          <w:color w:val="auto"/>
          <w:szCs w:val="24"/>
        </w:rPr>
        <w:t>施工现场：是指用于工程施工的场所，以及在专用合同条件中指明作为施工场所组成部分的其他场所，包括永久占地和临时占地。</w:t>
      </w:r>
      <w:bookmarkEnd w:id="443"/>
    </w:p>
    <w:p>
      <w:pPr>
        <w:pStyle w:val="249"/>
        <w:numPr>
          <w:ilvl w:val="0"/>
          <w:numId w:val="0"/>
        </w:numPr>
        <w:rPr>
          <w:rFonts w:ascii="仿宋_GB2312" w:eastAsia="仿宋_GB2312"/>
          <w:color w:val="auto"/>
          <w:szCs w:val="24"/>
        </w:rPr>
      </w:pPr>
      <w:bookmarkStart w:id="444" w:name="_Ref4420746"/>
      <w:r>
        <w:rPr>
          <w:rFonts w:hint="eastAsia" w:ascii="仿宋_GB2312" w:eastAsia="仿宋_GB2312"/>
          <w:color w:val="auto"/>
          <w:szCs w:val="24"/>
        </w:rPr>
        <w:t>1</w:t>
      </w:r>
      <w:r>
        <w:rPr>
          <w:rFonts w:ascii="仿宋_GB2312" w:eastAsia="仿宋_GB2312"/>
          <w:color w:val="auto"/>
          <w:szCs w:val="24"/>
        </w:rPr>
        <w:t xml:space="preserve">.1.3.10 </w:t>
      </w:r>
      <w:r>
        <w:rPr>
          <w:rFonts w:hint="eastAsia" w:ascii="仿宋_GB2312" w:eastAsia="仿宋_GB2312"/>
          <w:color w:val="auto"/>
          <w:szCs w:val="24"/>
        </w:rPr>
        <w:t>永久占地：是指专用合同条件中指明为实施工程需永久占用的土地。</w:t>
      </w:r>
      <w:bookmarkEnd w:id="444"/>
    </w:p>
    <w:p>
      <w:pPr>
        <w:pStyle w:val="249"/>
        <w:numPr>
          <w:ilvl w:val="0"/>
          <w:numId w:val="0"/>
        </w:numPr>
        <w:rPr>
          <w:rFonts w:ascii="仿宋_GB2312" w:eastAsia="仿宋_GB2312"/>
          <w:color w:val="auto"/>
          <w:szCs w:val="24"/>
        </w:rPr>
      </w:pPr>
      <w:bookmarkStart w:id="445" w:name="_Ref4420821"/>
      <w:r>
        <w:rPr>
          <w:rFonts w:hint="eastAsia" w:ascii="仿宋_GB2312" w:eastAsia="仿宋_GB2312"/>
          <w:color w:val="auto"/>
          <w:szCs w:val="24"/>
        </w:rPr>
        <w:t>1</w:t>
      </w:r>
      <w:r>
        <w:rPr>
          <w:rFonts w:ascii="仿宋_GB2312" w:eastAsia="仿宋_GB2312"/>
          <w:color w:val="auto"/>
          <w:szCs w:val="24"/>
        </w:rPr>
        <w:t xml:space="preserve">.1.3.11 </w:t>
      </w:r>
      <w:r>
        <w:rPr>
          <w:rFonts w:hint="eastAsia" w:ascii="仿宋_GB2312" w:eastAsia="仿宋_GB2312"/>
          <w:color w:val="auto"/>
          <w:szCs w:val="24"/>
        </w:rPr>
        <w:t>临时占地：是指专用合同条件中指明为实施工程需临时占用的土地。</w:t>
      </w:r>
      <w:bookmarkEnd w:id="445"/>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.1.4 </w:t>
      </w:r>
      <w:r>
        <w:rPr>
          <w:rFonts w:hint="eastAsia" w:ascii="仿宋_GB2312" w:eastAsia="仿宋_GB2312"/>
          <w:color w:val="auto"/>
          <w:szCs w:val="24"/>
        </w:rPr>
        <w:t>日期和期限</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.1.4.1 </w:t>
      </w:r>
      <w:r>
        <w:rPr>
          <w:rFonts w:hint="eastAsia" w:ascii="仿宋_GB2312" w:eastAsia="仿宋_GB2312"/>
          <w:color w:val="auto"/>
          <w:szCs w:val="24"/>
        </w:rPr>
        <w:t>开始工作通知：指工程师按第</w:t>
      </w:r>
      <w:r>
        <w:rPr>
          <w:rFonts w:ascii="仿宋_GB2312" w:eastAsia="仿宋_GB2312"/>
          <w:color w:val="auto"/>
          <w:szCs w:val="24"/>
        </w:rPr>
        <w:t>8.1.2</w:t>
      </w:r>
      <w:r>
        <w:rPr>
          <w:rFonts w:hint="eastAsia" w:ascii="仿宋_GB2312" w:eastAsia="仿宋_GB2312"/>
          <w:color w:val="auto"/>
          <w:szCs w:val="24"/>
        </w:rPr>
        <w:t>项[开始工作通知]的约定通知承包人开始工作的函件。</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.1.4.2 </w:t>
      </w:r>
      <w:r>
        <w:rPr>
          <w:rFonts w:hint="eastAsia" w:ascii="仿宋_GB2312" w:eastAsia="仿宋_GB2312"/>
          <w:color w:val="auto"/>
          <w:szCs w:val="24"/>
        </w:rPr>
        <w:t>开始工作日期：包括计划开始工作日期和实际开始工作日期。计划开始工作日期是指合同协议书约定的开始工作日期；实际开始工作日期是指工程师按照第</w:t>
      </w:r>
      <w:r>
        <w:rPr>
          <w:rFonts w:ascii="仿宋_GB2312" w:eastAsia="仿宋_GB2312"/>
          <w:color w:val="auto"/>
          <w:szCs w:val="24"/>
        </w:rPr>
        <w:t>8.1</w:t>
      </w:r>
      <w:r>
        <w:rPr>
          <w:rFonts w:hint="eastAsia" w:ascii="仿宋_GB2312" w:eastAsia="仿宋_GB2312"/>
          <w:color w:val="auto"/>
          <w:szCs w:val="24"/>
        </w:rPr>
        <w:t>款[开始工作]约定发出的符合法律规定的开始工作通知中载明的开始工作日期。</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.1.4.3 </w:t>
      </w:r>
      <w:r>
        <w:rPr>
          <w:rFonts w:hint="eastAsia" w:ascii="仿宋_GB2312" w:eastAsia="仿宋_GB2312"/>
          <w:color w:val="auto"/>
          <w:szCs w:val="24"/>
        </w:rPr>
        <w:t>开始现场施工日期：包括计划开始现场施工日期和实际开始现场施工日期。计划开始现场施工日期是指合同协议书约定的开始现场施工日期；实际开始现场施工日期是指工程师发出的符合法律规定的开工通知中载明的开始现场施工日期。</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.1.4.4 </w:t>
      </w:r>
      <w:r>
        <w:rPr>
          <w:rFonts w:hint="eastAsia" w:ascii="仿宋_GB2312" w:eastAsia="仿宋_GB2312"/>
          <w:color w:val="auto"/>
          <w:szCs w:val="24"/>
        </w:rPr>
        <w:t>竣工日期：包括计划竣工日期和实际竣工日期。计划竣工日期是指合同协议书约定的竣工日期；实际竣工日期按照第</w:t>
      </w:r>
      <w:r>
        <w:rPr>
          <w:rFonts w:ascii="仿宋_GB2312" w:eastAsia="仿宋_GB2312"/>
          <w:color w:val="auto"/>
          <w:szCs w:val="24"/>
        </w:rPr>
        <w:t>8.2</w:t>
      </w:r>
      <w:r>
        <w:rPr>
          <w:rFonts w:hint="eastAsia" w:ascii="仿宋_GB2312" w:eastAsia="仿宋_GB2312"/>
          <w:color w:val="auto"/>
          <w:szCs w:val="24"/>
        </w:rPr>
        <w:t>款[竣工日期]的约定确定。</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.1.4.5 </w:t>
      </w:r>
      <w:r>
        <w:rPr>
          <w:rFonts w:hint="eastAsia" w:ascii="仿宋_GB2312" w:eastAsia="仿宋_GB2312"/>
          <w:color w:val="auto"/>
          <w:szCs w:val="24"/>
        </w:rPr>
        <w:t>工期：是指在合同协议书约定的承包人完成合同工作所需的期限，包括按照合同约定所作的期限变更及按合同约定承包人有权取得的工期延长。</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.1.4.6 </w:t>
      </w:r>
      <w:r>
        <w:rPr>
          <w:rFonts w:hint="eastAsia" w:ascii="仿宋_GB2312" w:eastAsia="仿宋_GB2312"/>
          <w:color w:val="auto"/>
          <w:szCs w:val="24"/>
        </w:rPr>
        <w:t>缺陷责任期：是指发包人预留工程质量保证金以保证承包人履行第</w:t>
      </w:r>
      <w:r>
        <w:rPr>
          <w:rFonts w:ascii="仿宋_GB2312" w:eastAsia="仿宋_GB2312"/>
          <w:color w:val="auto"/>
          <w:szCs w:val="24"/>
        </w:rPr>
        <w:t>11.3</w:t>
      </w:r>
      <w:r>
        <w:rPr>
          <w:rFonts w:hint="eastAsia" w:ascii="仿宋_GB2312" w:eastAsia="仿宋_GB2312"/>
          <w:color w:val="auto"/>
          <w:szCs w:val="24"/>
        </w:rPr>
        <w:t>款[缺陷调查]</w:t>
      </w:r>
      <w:r>
        <w:rPr>
          <w:rFonts w:ascii="仿宋_GB2312" w:eastAsia="仿宋_GB2312"/>
          <w:color w:val="auto"/>
          <w:szCs w:val="24"/>
        </w:rPr>
        <w:t>下质量缺陷责任的期限</w:t>
      </w:r>
      <w:r>
        <w:rPr>
          <w:rFonts w:hint="eastAsia" w:ascii="仿宋_GB2312" w:eastAsia="仿宋_GB2312"/>
          <w:color w:val="auto"/>
          <w:szCs w:val="24"/>
        </w:rPr>
        <w:t>。</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.1.4.7 </w:t>
      </w:r>
      <w:r>
        <w:rPr>
          <w:rFonts w:hint="eastAsia" w:ascii="仿宋_GB2312" w:eastAsia="仿宋_GB2312"/>
          <w:color w:val="auto"/>
          <w:szCs w:val="24"/>
        </w:rPr>
        <w:t>保修期：是指承包人按照合同约定和法律规定对工程质量承担保修责任的期限，该期限自缺陷责任期起算之日起计算。</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.1.4.8 </w:t>
      </w:r>
      <w:r>
        <w:rPr>
          <w:rFonts w:hint="eastAsia" w:ascii="仿宋_GB2312" w:eastAsia="仿宋_GB2312"/>
          <w:color w:val="auto"/>
          <w:szCs w:val="24"/>
        </w:rPr>
        <w:t>基准日期：招标发包的工程以投标截止日前28天的日期为基准日期，直接发包的工程以合同订立日前28天的日期为基准日期。</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.1.4.9 </w:t>
      </w:r>
      <w:r>
        <w:rPr>
          <w:rFonts w:hint="eastAsia" w:ascii="仿宋_GB2312" w:eastAsia="仿宋_GB2312"/>
          <w:color w:val="auto"/>
          <w:szCs w:val="24"/>
        </w:rPr>
        <w:t>天：除特别指明外，均指日历天。合同中按天计算时间的，开始当天不计入，从次日开始计算。期限最后一天的截止时间为当天24:00。</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.1.4.10 </w:t>
      </w:r>
      <w:r>
        <w:rPr>
          <w:rFonts w:hint="eastAsia" w:ascii="仿宋_GB2312" w:eastAsia="仿宋_GB2312"/>
          <w:color w:val="auto"/>
          <w:szCs w:val="24"/>
        </w:rPr>
        <w:t>竣工试验：是指在工程竣工验收前，根据第</w:t>
      </w:r>
      <w:r>
        <w:rPr>
          <w:rFonts w:ascii="仿宋_GB2312" w:eastAsia="仿宋_GB2312"/>
          <w:color w:val="auto"/>
          <w:szCs w:val="24"/>
        </w:rPr>
        <w:t>9条</w:t>
      </w:r>
      <w:r>
        <w:rPr>
          <w:rFonts w:hint="eastAsia" w:ascii="仿宋_GB2312" w:eastAsia="仿宋_GB2312"/>
          <w:color w:val="auto"/>
          <w:szCs w:val="24"/>
        </w:rPr>
        <w:t>[竣工试验]要求进行的试验。</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.1.4.11 </w:t>
      </w:r>
      <w:r>
        <w:rPr>
          <w:rFonts w:hint="eastAsia" w:ascii="仿宋_GB2312" w:eastAsia="仿宋_GB2312"/>
          <w:color w:val="auto"/>
          <w:szCs w:val="24"/>
        </w:rPr>
        <w:t>竣工验收：是指承包人完成了合同约定的各项内容后，发包人按合同要求进行的验收。</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.1.4.12 </w:t>
      </w:r>
      <w:r>
        <w:rPr>
          <w:rFonts w:hint="eastAsia" w:ascii="仿宋_GB2312" w:eastAsia="仿宋_GB2312"/>
          <w:color w:val="auto"/>
          <w:szCs w:val="24"/>
        </w:rPr>
        <w:t>竣工后试验：是指在工程竣工验收后，根据第</w:t>
      </w:r>
      <w:r>
        <w:rPr>
          <w:rFonts w:ascii="仿宋_GB2312" w:eastAsia="仿宋_GB2312"/>
          <w:color w:val="auto"/>
          <w:szCs w:val="24"/>
        </w:rPr>
        <w:t>12条</w:t>
      </w:r>
      <w:r>
        <w:rPr>
          <w:rFonts w:hint="eastAsia" w:ascii="仿宋_GB2312" w:eastAsia="仿宋_GB2312"/>
          <w:color w:val="auto"/>
          <w:szCs w:val="24"/>
        </w:rPr>
        <w:t>[竣工后试验]约定进行的试验。</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.1.5 </w:t>
      </w:r>
      <w:r>
        <w:rPr>
          <w:rFonts w:hint="eastAsia" w:ascii="仿宋_GB2312" w:eastAsia="仿宋_GB2312"/>
          <w:color w:val="auto"/>
          <w:szCs w:val="24"/>
        </w:rPr>
        <w:t>合同价格和费用</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.1.5.1 </w:t>
      </w:r>
      <w:r>
        <w:rPr>
          <w:rFonts w:hint="eastAsia" w:ascii="仿宋_GB2312" w:eastAsia="仿宋_GB2312"/>
          <w:color w:val="auto"/>
          <w:szCs w:val="24"/>
        </w:rPr>
        <w:t>签约合同价：是指发包人和承包人在合同协议书中确定的总金额，包括暂估价及暂列金额等。</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.1.5.2 </w:t>
      </w:r>
      <w:r>
        <w:rPr>
          <w:rFonts w:hint="eastAsia" w:ascii="仿宋_GB2312" w:eastAsia="仿宋_GB2312"/>
          <w:color w:val="auto"/>
          <w:szCs w:val="24"/>
        </w:rPr>
        <w:t>合同价格：是指发包人用于支付承包人按照合同约定完成承包范围内全部工作的金额，包括合同履行过程中按合同约定发生的价格变化。</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.1.5.3 </w:t>
      </w:r>
      <w:r>
        <w:rPr>
          <w:rFonts w:hint="eastAsia" w:ascii="仿宋_GB2312" w:eastAsia="仿宋_GB2312"/>
          <w:color w:val="auto"/>
          <w:szCs w:val="24"/>
        </w:rPr>
        <w:t>费用：是指为履行合同所发生的或将要发生的所有合理开支，包括管理费和应分摊的其他费用，但不包括利润。</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.1.5.4 </w:t>
      </w:r>
      <w:r>
        <w:rPr>
          <w:rFonts w:hint="eastAsia" w:ascii="仿宋_GB2312" w:eastAsia="仿宋_GB2312"/>
          <w:color w:val="auto"/>
          <w:szCs w:val="24"/>
        </w:rPr>
        <w:t>人工费：是指支付给直接从事建筑安装工程施工作业的建筑工人的各项费用。</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.1.5.5 </w:t>
      </w:r>
      <w:r>
        <w:rPr>
          <w:rFonts w:hint="eastAsia" w:ascii="仿宋_GB2312" w:eastAsia="仿宋_GB2312"/>
          <w:color w:val="auto"/>
          <w:szCs w:val="24"/>
        </w:rPr>
        <w:t>暂估价：</w:t>
      </w:r>
      <w:bookmarkStart w:id="446" w:name="_Hlk18973781"/>
      <w:r>
        <w:rPr>
          <w:rFonts w:hint="eastAsia" w:ascii="仿宋_GB2312" w:eastAsia="仿宋_GB2312"/>
          <w:color w:val="auto"/>
          <w:szCs w:val="24"/>
        </w:rPr>
        <w:t>是指发包人在项目清单中给定的，用于支付必然发生但暂时不能确定价格的专业服务、材料、设备、专业工程的金额。</w:t>
      </w:r>
      <w:bookmarkEnd w:id="446"/>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.1.5.6 </w:t>
      </w:r>
      <w:r>
        <w:rPr>
          <w:rFonts w:hint="eastAsia" w:ascii="仿宋_GB2312" w:eastAsia="仿宋_GB2312"/>
          <w:color w:val="auto"/>
          <w:szCs w:val="24"/>
        </w:rPr>
        <w:t>暂列金额：是指发包人在项目清单中给定的，用于在订立协议书时尚未确定或不可预见变更的设计、施工及其所需材料、工程设备、服务等的金额，包括以计日工方式支付的金额。</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.1.5.7 </w:t>
      </w:r>
      <w:r>
        <w:rPr>
          <w:rFonts w:hint="eastAsia" w:ascii="仿宋_GB2312" w:eastAsia="仿宋_GB2312"/>
          <w:color w:val="auto"/>
          <w:szCs w:val="24"/>
        </w:rPr>
        <w:t>计日工：是指合同履行过程中，承包人完成发包人提出的零星工作或需要采用计日工计价的变更工作时，按合同中约定的单价计价的一种方式。</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.1.5.8 </w:t>
      </w:r>
      <w:r>
        <w:rPr>
          <w:rFonts w:hint="eastAsia" w:ascii="仿宋_GB2312" w:eastAsia="仿宋_GB2312"/>
          <w:color w:val="auto"/>
          <w:szCs w:val="24"/>
        </w:rPr>
        <w:t>质量保证金：是指按第</w:t>
      </w:r>
      <w:r>
        <w:rPr>
          <w:rFonts w:ascii="仿宋_GB2312" w:eastAsia="仿宋_GB2312"/>
          <w:color w:val="auto"/>
          <w:szCs w:val="24"/>
        </w:rPr>
        <w:t>14.6</w:t>
      </w:r>
      <w:r>
        <w:rPr>
          <w:rFonts w:hint="eastAsia" w:ascii="仿宋_GB2312" w:eastAsia="仿宋_GB2312"/>
          <w:color w:val="auto"/>
          <w:szCs w:val="24"/>
        </w:rPr>
        <w:t>款[质量保证金]约定承包人用于保证其在缺陷责任期内履行缺陷修复义务的担保。</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.1.6 </w:t>
      </w:r>
      <w:r>
        <w:rPr>
          <w:rFonts w:hint="eastAsia" w:ascii="仿宋_GB2312" w:eastAsia="仿宋_GB2312"/>
          <w:color w:val="auto"/>
          <w:szCs w:val="24"/>
        </w:rPr>
        <w:t>其他</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.1.6.1 </w:t>
      </w:r>
      <w:r>
        <w:rPr>
          <w:rFonts w:hint="eastAsia" w:ascii="仿宋_GB2312" w:eastAsia="仿宋_GB2312"/>
          <w:color w:val="auto"/>
          <w:szCs w:val="24"/>
        </w:rPr>
        <w:t>书面形式：指合同文件、信函、电报、传真、数据电文、电子邮件、会议纪要等可以有形地表现所载内容的形式。</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.1.6.2 </w:t>
      </w:r>
      <w:r>
        <w:rPr>
          <w:rFonts w:hint="eastAsia" w:ascii="仿宋_GB2312" w:eastAsia="仿宋_GB2312"/>
          <w:color w:val="auto"/>
          <w:szCs w:val="24"/>
        </w:rPr>
        <w:t>承包人文件：指由承包人根据合同约定应提交的所有图纸、手册、模型、计算书、软件、函件、洽商性文件和其他技术性文件。</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.1.6.3 </w:t>
      </w:r>
      <w:r>
        <w:rPr>
          <w:rFonts w:hint="eastAsia" w:ascii="仿宋_GB2312" w:eastAsia="仿宋_GB2312"/>
          <w:color w:val="auto"/>
          <w:szCs w:val="24"/>
        </w:rPr>
        <w:t>变更：指根据第</w:t>
      </w:r>
      <w:r>
        <w:rPr>
          <w:rFonts w:ascii="仿宋_GB2312" w:eastAsia="仿宋_GB2312"/>
          <w:color w:val="auto"/>
          <w:szCs w:val="24"/>
        </w:rPr>
        <w:t>13条</w:t>
      </w:r>
      <w:r>
        <w:rPr>
          <w:rFonts w:hint="eastAsia" w:ascii="仿宋_GB2312" w:eastAsia="仿宋_GB2312"/>
          <w:color w:val="auto"/>
          <w:szCs w:val="24"/>
        </w:rPr>
        <w:t>[变更与调整]的约定，经指示或批准对《发包人要求》或工程所做的改变。</w:t>
      </w:r>
    </w:p>
    <w:bookmarkEnd w:id="436"/>
    <w:p>
      <w:pPr>
        <w:pStyle w:val="315"/>
        <w:widowControl/>
        <w:numPr>
          <w:ilvl w:val="0"/>
          <w:numId w:val="0"/>
        </w:numPr>
        <w:rPr>
          <w:b w:val="0"/>
          <w:bCs/>
          <w:color w:val="auto"/>
        </w:rPr>
      </w:pPr>
      <w:bookmarkStart w:id="447" w:name="_Toc54862179"/>
      <w:bookmarkStart w:id="448" w:name="_Ref509042104"/>
      <w:bookmarkStart w:id="449" w:name="_Ref509042101"/>
      <w:bookmarkStart w:id="450" w:name="_Ref522730349"/>
      <w:bookmarkStart w:id="451" w:name="_Ref522730353"/>
      <w:r>
        <w:rPr>
          <w:rFonts w:hint="eastAsia"/>
          <w:b w:val="0"/>
          <w:bCs/>
          <w:color w:val="auto"/>
        </w:rPr>
        <w:t>1</w:t>
      </w:r>
      <w:r>
        <w:rPr>
          <w:b w:val="0"/>
          <w:bCs/>
          <w:color w:val="auto"/>
        </w:rPr>
        <w:t>.2 语言文字</w:t>
      </w:r>
      <w:bookmarkEnd w:id="447"/>
      <w:bookmarkEnd w:id="448"/>
      <w:bookmarkEnd w:id="449"/>
    </w:p>
    <w:p>
      <w:pPr>
        <w:ind w:firstLine="600"/>
        <w:rPr>
          <w:rFonts w:ascii="仿宋_GB2312" w:eastAsia="仿宋_GB2312"/>
          <w:color w:val="auto"/>
          <w:sz w:val="24"/>
        </w:rPr>
      </w:pPr>
      <w:r>
        <w:rPr>
          <w:rFonts w:hint="eastAsia" w:ascii="仿宋_GB2312" w:eastAsia="仿宋_GB2312"/>
          <w:color w:val="auto"/>
          <w:sz w:val="24"/>
        </w:rPr>
        <w:t>合同文件以中国的汉语简体语言文字编写、解释和说明。专用术语使用外文的，应附有中文注释。合同当事人在专用合同条件约定使用两种及以上语言时，汉语为优先解释和说明合同的语言。</w:t>
      </w:r>
    </w:p>
    <w:p>
      <w:pPr>
        <w:ind w:firstLine="600"/>
        <w:rPr>
          <w:rFonts w:ascii="仿宋_GB2312" w:eastAsia="仿宋_GB2312"/>
          <w:color w:val="auto"/>
          <w:sz w:val="24"/>
        </w:rPr>
      </w:pPr>
      <w:r>
        <w:rPr>
          <w:rFonts w:hint="eastAsia" w:ascii="仿宋_GB2312" w:eastAsia="仿宋_GB2312"/>
          <w:color w:val="auto"/>
          <w:sz w:val="24"/>
        </w:rPr>
        <w:t>与合同有关的联络应使用专用合同条件约定的语言。如没有约定，则应使用中国的汉语简体语言文字。</w:t>
      </w:r>
    </w:p>
    <w:p>
      <w:pPr>
        <w:pStyle w:val="315"/>
        <w:widowControl/>
        <w:numPr>
          <w:ilvl w:val="0"/>
          <w:numId w:val="0"/>
        </w:numPr>
        <w:rPr>
          <w:b w:val="0"/>
          <w:bCs/>
          <w:color w:val="auto"/>
        </w:rPr>
      </w:pPr>
      <w:bookmarkStart w:id="452" w:name="_Ref531949543"/>
      <w:bookmarkStart w:id="453" w:name="_Toc54862180"/>
      <w:bookmarkStart w:id="454" w:name="_Ref531949539"/>
      <w:r>
        <w:rPr>
          <w:rFonts w:hint="eastAsia"/>
          <w:b w:val="0"/>
          <w:bCs/>
          <w:color w:val="auto"/>
        </w:rPr>
        <w:t>1</w:t>
      </w:r>
      <w:r>
        <w:rPr>
          <w:b w:val="0"/>
          <w:bCs/>
          <w:color w:val="auto"/>
        </w:rPr>
        <w:t xml:space="preserve">.3 </w:t>
      </w:r>
      <w:r>
        <w:rPr>
          <w:rFonts w:hint="eastAsia"/>
          <w:b w:val="0"/>
          <w:bCs/>
          <w:color w:val="auto"/>
        </w:rPr>
        <w:t>法律</w:t>
      </w:r>
      <w:bookmarkEnd w:id="452"/>
      <w:bookmarkEnd w:id="453"/>
      <w:bookmarkEnd w:id="454"/>
    </w:p>
    <w:p>
      <w:pPr>
        <w:ind w:firstLine="600"/>
        <w:rPr>
          <w:rFonts w:ascii="仿宋_GB2312" w:eastAsia="仿宋_GB2312"/>
          <w:color w:val="auto"/>
          <w:sz w:val="24"/>
        </w:rPr>
      </w:pPr>
      <w:r>
        <w:rPr>
          <w:rFonts w:hint="eastAsia" w:ascii="仿宋_GB2312" w:eastAsia="仿宋_GB2312"/>
          <w:color w:val="auto"/>
          <w:sz w:val="24"/>
        </w:rPr>
        <w:t>合同所称法律是指</w:t>
      </w:r>
      <w:r>
        <w:rPr>
          <w:rFonts w:ascii="仿宋_GB2312" w:eastAsia="仿宋_GB2312"/>
          <w:color w:val="auto"/>
          <w:sz w:val="24"/>
        </w:rPr>
        <w:t>中华人民共和国法律、行政法规、部门规章</w:t>
      </w:r>
      <w:r>
        <w:rPr>
          <w:rFonts w:hint="eastAsia" w:ascii="仿宋_GB2312" w:eastAsia="仿宋_GB2312"/>
          <w:color w:val="auto"/>
          <w:sz w:val="24"/>
        </w:rPr>
        <w:t>，</w:t>
      </w:r>
      <w:r>
        <w:rPr>
          <w:rFonts w:ascii="仿宋_GB2312" w:eastAsia="仿宋_GB2312"/>
          <w:color w:val="auto"/>
          <w:sz w:val="24"/>
        </w:rPr>
        <w:t>以及工程所在地的地方法规、自治条例、单行条例和地方政府规章</w:t>
      </w:r>
      <w:r>
        <w:rPr>
          <w:rFonts w:hint="eastAsia" w:ascii="仿宋_GB2312" w:eastAsia="仿宋_GB2312"/>
          <w:color w:val="auto"/>
          <w:sz w:val="24"/>
        </w:rPr>
        <w:t>等。</w:t>
      </w:r>
    </w:p>
    <w:p>
      <w:pPr>
        <w:ind w:firstLine="600"/>
        <w:rPr>
          <w:rFonts w:ascii="仿宋_GB2312" w:eastAsia="仿宋_GB2312"/>
          <w:color w:val="auto"/>
          <w:sz w:val="24"/>
        </w:rPr>
      </w:pPr>
      <w:r>
        <w:rPr>
          <w:rFonts w:ascii="仿宋_GB2312" w:eastAsia="仿宋_GB2312"/>
          <w:color w:val="auto"/>
          <w:sz w:val="24"/>
        </w:rPr>
        <w:t>合同当事人可以在专用合同条件中约定合同适用的其他规范性文件</w:t>
      </w:r>
      <w:r>
        <w:rPr>
          <w:rFonts w:hint="eastAsia" w:ascii="仿宋_GB2312" w:eastAsia="仿宋_GB2312"/>
          <w:color w:val="auto"/>
          <w:sz w:val="24"/>
        </w:rPr>
        <w:t>。</w:t>
      </w:r>
    </w:p>
    <w:p>
      <w:pPr>
        <w:pStyle w:val="315"/>
        <w:widowControl/>
        <w:numPr>
          <w:ilvl w:val="0"/>
          <w:numId w:val="0"/>
        </w:numPr>
        <w:rPr>
          <w:b w:val="0"/>
          <w:bCs/>
          <w:color w:val="auto"/>
        </w:rPr>
      </w:pPr>
      <w:bookmarkStart w:id="455" w:name="_Ref531949589"/>
      <w:bookmarkStart w:id="456" w:name="_Ref531949594"/>
      <w:bookmarkStart w:id="457" w:name="_Toc54862181"/>
      <w:r>
        <w:rPr>
          <w:rFonts w:hint="eastAsia"/>
          <w:b w:val="0"/>
          <w:bCs/>
          <w:color w:val="auto"/>
        </w:rPr>
        <w:t>1</w:t>
      </w:r>
      <w:r>
        <w:rPr>
          <w:b w:val="0"/>
          <w:bCs/>
          <w:color w:val="auto"/>
        </w:rPr>
        <w:t xml:space="preserve">.4 </w:t>
      </w:r>
      <w:r>
        <w:rPr>
          <w:rFonts w:hint="eastAsia"/>
          <w:b w:val="0"/>
          <w:bCs/>
          <w:color w:val="auto"/>
        </w:rPr>
        <w:t>标准和规范</w:t>
      </w:r>
      <w:bookmarkEnd w:id="455"/>
      <w:bookmarkEnd w:id="456"/>
      <w:bookmarkEnd w:id="457"/>
    </w:p>
    <w:p>
      <w:pPr>
        <w:pStyle w:val="88"/>
        <w:numPr>
          <w:ilvl w:val="0"/>
          <w:numId w:val="0"/>
        </w:numPr>
        <w:rPr>
          <w:rFonts w:ascii="仿宋_GB2312" w:eastAsia="仿宋_GB2312"/>
          <w:color w:val="auto"/>
          <w:szCs w:val="24"/>
        </w:rPr>
      </w:pPr>
      <w:bookmarkStart w:id="458" w:name="_Ref4420991"/>
      <w:r>
        <w:rPr>
          <w:rFonts w:hint="eastAsia" w:ascii="仿宋_GB2312" w:eastAsia="仿宋_GB2312"/>
          <w:color w:val="auto"/>
          <w:szCs w:val="24"/>
        </w:rPr>
        <w:t>1</w:t>
      </w:r>
      <w:r>
        <w:rPr>
          <w:rFonts w:ascii="仿宋_GB2312" w:eastAsia="仿宋_GB2312"/>
          <w:color w:val="auto"/>
          <w:szCs w:val="24"/>
        </w:rPr>
        <w:t xml:space="preserve">.4.1 </w:t>
      </w:r>
      <w:r>
        <w:rPr>
          <w:rFonts w:hint="eastAsia" w:ascii="仿宋_GB2312" w:eastAsia="仿宋_GB2312"/>
          <w:color w:val="auto"/>
          <w:szCs w:val="24"/>
        </w:rPr>
        <w:t>适用于工程的国家标准、行业标准、工程所在地的地方性标准，以及相应的规范、规程等，合同当事人有特别要求的，应在专用合同条件中约定。</w:t>
      </w:r>
      <w:bookmarkEnd w:id="458"/>
    </w:p>
    <w:p>
      <w:pPr>
        <w:pStyle w:val="88"/>
        <w:numPr>
          <w:ilvl w:val="0"/>
          <w:numId w:val="0"/>
        </w:numPr>
        <w:rPr>
          <w:rFonts w:ascii="仿宋_GB2312" w:eastAsia="仿宋_GB2312"/>
          <w:color w:val="auto"/>
          <w:szCs w:val="24"/>
        </w:rPr>
      </w:pPr>
      <w:bookmarkStart w:id="459" w:name="_Ref531949642"/>
      <w:r>
        <w:rPr>
          <w:rFonts w:hint="eastAsia" w:ascii="仿宋_GB2312" w:eastAsia="仿宋_GB2312"/>
          <w:color w:val="auto"/>
          <w:szCs w:val="24"/>
        </w:rPr>
        <w:t>1</w:t>
      </w:r>
      <w:r>
        <w:rPr>
          <w:rFonts w:ascii="仿宋_GB2312" w:eastAsia="仿宋_GB2312"/>
          <w:color w:val="auto"/>
          <w:szCs w:val="24"/>
        </w:rPr>
        <w:t xml:space="preserve">.4.2 </w:t>
      </w:r>
      <w:r>
        <w:rPr>
          <w:rFonts w:hint="eastAsia" w:ascii="仿宋_GB2312" w:eastAsia="仿宋_GB2312"/>
          <w:color w:val="auto"/>
          <w:szCs w:val="24"/>
        </w:rPr>
        <w:t>发包人要求使用国外标准、规范的，发包人负责提供原文版本和中文译本，并在专用合同条件中约定提供标准规范的名称、份数和时间。</w:t>
      </w:r>
      <w:bookmarkEnd w:id="459"/>
    </w:p>
    <w:p>
      <w:pPr>
        <w:pStyle w:val="88"/>
        <w:numPr>
          <w:ilvl w:val="0"/>
          <w:numId w:val="0"/>
        </w:numPr>
        <w:rPr>
          <w:rFonts w:ascii="仿宋_GB2312" w:eastAsia="仿宋_GB2312"/>
          <w:color w:val="auto"/>
          <w:szCs w:val="24"/>
        </w:rPr>
      </w:pPr>
      <w:bookmarkStart w:id="460" w:name="_Ref531949657"/>
      <w:r>
        <w:rPr>
          <w:rFonts w:hint="eastAsia" w:ascii="仿宋_GB2312" w:eastAsia="仿宋_GB2312"/>
          <w:color w:val="auto"/>
          <w:szCs w:val="24"/>
        </w:rPr>
        <w:t>1</w:t>
      </w:r>
      <w:r>
        <w:rPr>
          <w:rFonts w:ascii="仿宋_GB2312" w:eastAsia="仿宋_GB2312"/>
          <w:color w:val="auto"/>
          <w:szCs w:val="24"/>
        </w:rPr>
        <w:t xml:space="preserve">.4.3 </w:t>
      </w:r>
      <w:r>
        <w:rPr>
          <w:rFonts w:hint="eastAsia" w:ascii="仿宋_GB2312" w:eastAsia="仿宋_GB2312"/>
          <w:color w:val="auto"/>
          <w:szCs w:val="24"/>
        </w:rPr>
        <w:t>没有相应成文规定的标准、规范时，由发包人在专用合同条件中约定的时间向承包人列明技术要求，承包人按约定的时间和技术要求提出实施方法，经发包人认可后执行。承包人需要对实施方法进行研发试验的，或须对项目人员进行特殊培训及其有特殊要求的，除签约合同价已包含此项费用外，双方应另行订立协议作为合同附件，其费用由发包人承担。</w:t>
      </w:r>
      <w:bookmarkEnd w:id="460"/>
    </w:p>
    <w:p>
      <w:pPr>
        <w:pStyle w:val="88"/>
        <w:numPr>
          <w:ilvl w:val="0"/>
          <w:numId w:val="0"/>
        </w:numPr>
        <w:rPr>
          <w:rFonts w:ascii="仿宋_GB2312" w:eastAsia="仿宋_GB2312"/>
          <w:color w:val="auto"/>
          <w:szCs w:val="24"/>
        </w:rPr>
      </w:pPr>
      <w:bookmarkStart w:id="461" w:name="_Ref4421272"/>
      <w:r>
        <w:rPr>
          <w:rFonts w:hint="eastAsia" w:ascii="仿宋_GB2312" w:eastAsia="仿宋_GB2312"/>
          <w:color w:val="auto"/>
          <w:szCs w:val="24"/>
        </w:rPr>
        <w:t>1</w:t>
      </w:r>
      <w:r>
        <w:rPr>
          <w:rFonts w:ascii="仿宋_GB2312" w:eastAsia="仿宋_GB2312"/>
          <w:color w:val="auto"/>
          <w:szCs w:val="24"/>
        </w:rPr>
        <w:t xml:space="preserve">.4.4 </w:t>
      </w:r>
      <w:r>
        <w:rPr>
          <w:rFonts w:hint="eastAsia" w:ascii="仿宋_GB2312" w:eastAsia="仿宋_GB2312"/>
          <w:color w:val="auto"/>
          <w:szCs w:val="24"/>
        </w:rPr>
        <w:t>发包人对于工程的技术标准、功能要求高于或严于现行国家、行业或地方标准的，应当在《发包人要求》中予以明确。除专用合同条件另有约定外，应视为承包人在订立合同前已充分预见前述技术标准和功能要求的复杂程度，签约合同价中已包含由此产生的费用。</w:t>
      </w:r>
      <w:bookmarkEnd w:id="461"/>
    </w:p>
    <w:p>
      <w:pPr>
        <w:pStyle w:val="315"/>
        <w:widowControl/>
        <w:numPr>
          <w:ilvl w:val="0"/>
          <w:numId w:val="0"/>
        </w:numPr>
        <w:rPr>
          <w:b w:val="0"/>
          <w:bCs/>
          <w:color w:val="auto"/>
        </w:rPr>
      </w:pPr>
      <w:bookmarkStart w:id="462" w:name="_Ref4421717"/>
      <w:bookmarkStart w:id="463" w:name="_Toc54862182"/>
      <w:r>
        <w:rPr>
          <w:rFonts w:hint="eastAsia"/>
          <w:b w:val="0"/>
          <w:bCs/>
          <w:color w:val="auto"/>
        </w:rPr>
        <w:t>1</w:t>
      </w:r>
      <w:r>
        <w:rPr>
          <w:b w:val="0"/>
          <w:bCs/>
          <w:color w:val="auto"/>
        </w:rPr>
        <w:t xml:space="preserve">.5 </w:t>
      </w:r>
      <w:r>
        <w:rPr>
          <w:rFonts w:hint="eastAsia"/>
          <w:b w:val="0"/>
          <w:bCs/>
          <w:color w:val="auto"/>
        </w:rPr>
        <w:t>合同文件的优先顺序</w:t>
      </w:r>
      <w:bookmarkEnd w:id="450"/>
      <w:bookmarkEnd w:id="451"/>
      <w:bookmarkEnd w:id="462"/>
      <w:bookmarkEnd w:id="463"/>
    </w:p>
    <w:p>
      <w:pPr>
        <w:ind w:firstLine="600"/>
        <w:rPr>
          <w:rFonts w:ascii="仿宋_GB2312" w:eastAsia="仿宋_GB2312"/>
          <w:color w:val="auto"/>
          <w:sz w:val="24"/>
        </w:rPr>
      </w:pPr>
      <w:bookmarkStart w:id="464" w:name="_Ref531948776"/>
      <w:r>
        <w:rPr>
          <w:rFonts w:hint="eastAsia" w:ascii="仿宋_GB2312" w:eastAsia="仿宋_GB2312"/>
          <w:color w:val="auto"/>
          <w:sz w:val="24"/>
        </w:rPr>
        <w:t>组成合同的各项文件应互相解释，互为说明。除专用合同条件另有约定外，</w:t>
      </w:r>
      <w:bookmarkEnd w:id="464"/>
      <w:r>
        <w:rPr>
          <w:rFonts w:hint="eastAsia" w:ascii="仿宋_GB2312" w:eastAsia="仿宋_GB2312"/>
          <w:color w:val="auto"/>
          <w:sz w:val="24"/>
        </w:rPr>
        <w:t>解释合同文件的优先顺序如下：</w:t>
      </w:r>
    </w:p>
    <w:p>
      <w:pPr>
        <w:ind w:firstLine="600"/>
        <w:rPr>
          <w:rFonts w:ascii="仿宋_GB2312" w:eastAsia="仿宋_GB2312"/>
          <w:color w:val="auto"/>
          <w:sz w:val="24"/>
        </w:rPr>
      </w:pPr>
      <w:r>
        <w:rPr>
          <w:rFonts w:hint="eastAsia" w:ascii="仿宋_GB2312" w:eastAsia="仿宋_GB2312"/>
          <w:color w:val="auto"/>
          <w:sz w:val="24"/>
        </w:rPr>
        <w:t>（1） 合同协议书；</w:t>
      </w:r>
    </w:p>
    <w:p>
      <w:pPr>
        <w:ind w:firstLine="600"/>
        <w:rPr>
          <w:rFonts w:ascii="仿宋_GB2312" w:eastAsia="仿宋_GB2312"/>
          <w:color w:val="auto"/>
          <w:sz w:val="24"/>
        </w:rPr>
      </w:pPr>
      <w:r>
        <w:rPr>
          <w:rFonts w:hint="eastAsia" w:ascii="仿宋_GB2312" w:eastAsia="仿宋_GB2312"/>
          <w:color w:val="auto"/>
          <w:sz w:val="24"/>
        </w:rPr>
        <w:t>（2） 中标通知书（如果有）；</w:t>
      </w:r>
    </w:p>
    <w:p>
      <w:pPr>
        <w:ind w:firstLine="600"/>
        <w:rPr>
          <w:rFonts w:ascii="仿宋_GB2312" w:eastAsia="仿宋_GB2312"/>
          <w:color w:val="auto"/>
          <w:sz w:val="24"/>
        </w:rPr>
      </w:pPr>
      <w:r>
        <w:rPr>
          <w:rFonts w:hint="eastAsia" w:ascii="仿宋_GB2312" w:eastAsia="仿宋_GB2312"/>
          <w:color w:val="auto"/>
          <w:sz w:val="24"/>
        </w:rPr>
        <w:t>（3） 投标函及投标函附录（如果有）；</w:t>
      </w:r>
    </w:p>
    <w:p>
      <w:pPr>
        <w:ind w:firstLine="600"/>
        <w:rPr>
          <w:rFonts w:ascii="仿宋_GB2312" w:eastAsia="仿宋_GB2312"/>
          <w:color w:val="auto"/>
          <w:sz w:val="24"/>
        </w:rPr>
      </w:pPr>
      <w:r>
        <w:rPr>
          <w:rFonts w:hint="eastAsia" w:ascii="仿宋_GB2312" w:eastAsia="仿宋_GB2312"/>
          <w:color w:val="auto"/>
          <w:sz w:val="24"/>
        </w:rPr>
        <w:t>（4） 专用合同条件及《发包人要求》等附件；</w:t>
      </w:r>
    </w:p>
    <w:p>
      <w:pPr>
        <w:ind w:firstLine="600"/>
        <w:rPr>
          <w:rFonts w:ascii="仿宋_GB2312" w:eastAsia="仿宋_GB2312"/>
          <w:color w:val="auto"/>
          <w:sz w:val="24"/>
        </w:rPr>
      </w:pPr>
      <w:r>
        <w:rPr>
          <w:rFonts w:hint="eastAsia" w:ascii="仿宋_GB2312" w:eastAsia="仿宋_GB2312"/>
          <w:color w:val="auto"/>
          <w:sz w:val="24"/>
        </w:rPr>
        <w:t>（5） 通用合同条件；</w:t>
      </w:r>
    </w:p>
    <w:p>
      <w:pPr>
        <w:ind w:firstLine="600"/>
        <w:rPr>
          <w:rFonts w:ascii="仿宋_GB2312" w:eastAsia="仿宋_GB2312"/>
          <w:color w:val="auto"/>
          <w:sz w:val="24"/>
        </w:rPr>
      </w:pPr>
      <w:r>
        <w:rPr>
          <w:rFonts w:hint="eastAsia" w:ascii="仿宋_GB2312" w:eastAsia="仿宋_GB2312"/>
          <w:color w:val="auto"/>
          <w:sz w:val="24"/>
        </w:rPr>
        <w:t xml:space="preserve">（6） 承包人建议书； </w:t>
      </w:r>
    </w:p>
    <w:p>
      <w:pPr>
        <w:ind w:firstLine="600"/>
        <w:rPr>
          <w:rFonts w:ascii="仿宋_GB2312" w:eastAsia="仿宋_GB2312"/>
          <w:color w:val="auto"/>
          <w:sz w:val="24"/>
        </w:rPr>
      </w:pPr>
      <w:r>
        <w:rPr>
          <w:rFonts w:hint="eastAsia" w:ascii="仿宋_GB2312" w:eastAsia="仿宋_GB2312"/>
          <w:color w:val="auto"/>
          <w:sz w:val="24"/>
        </w:rPr>
        <w:t>（7） 价格清单；</w:t>
      </w:r>
    </w:p>
    <w:p>
      <w:pPr>
        <w:ind w:firstLine="600"/>
        <w:rPr>
          <w:rFonts w:ascii="仿宋_GB2312" w:eastAsia="仿宋_GB2312"/>
          <w:color w:val="auto"/>
          <w:sz w:val="24"/>
        </w:rPr>
      </w:pPr>
      <w:r>
        <w:rPr>
          <w:rFonts w:hint="eastAsia" w:ascii="仿宋_GB2312" w:eastAsia="仿宋_GB2312"/>
          <w:color w:val="auto"/>
          <w:sz w:val="24"/>
        </w:rPr>
        <w:t>（8） 双方约定的其他合同文件。</w:t>
      </w:r>
    </w:p>
    <w:p>
      <w:pPr>
        <w:ind w:firstLine="600"/>
        <w:rPr>
          <w:rFonts w:ascii="仿宋_GB2312" w:eastAsia="仿宋_GB2312"/>
          <w:color w:val="auto"/>
          <w:sz w:val="24"/>
        </w:rPr>
      </w:pPr>
      <w:bookmarkStart w:id="465" w:name="_Hlk18951547"/>
      <w:r>
        <w:rPr>
          <w:rFonts w:hint="eastAsia" w:ascii="仿宋_GB2312" w:eastAsia="仿宋_GB2312"/>
          <w:color w:val="auto"/>
          <w:sz w:val="24"/>
        </w:rPr>
        <w:t>上述各项合同文件包括合同当事人就该项合同文件所作出的补充和修改，属于同一类内容的文件，应以最新签署的为准</w:t>
      </w:r>
      <w:bookmarkEnd w:id="465"/>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在合同订立及履行过程中形成的与合同有关的文件均构成合同文件组成部分，并根据其性质确定优先解释顺序。</w:t>
      </w:r>
    </w:p>
    <w:p>
      <w:pPr>
        <w:pStyle w:val="315"/>
        <w:widowControl/>
        <w:numPr>
          <w:ilvl w:val="0"/>
          <w:numId w:val="0"/>
        </w:numPr>
        <w:rPr>
          <w:b w:val="0"/>
          <w:bCs/>
          <w:color w:val="auto"/>
        </w:rPr>
      </w:pPr>
      <w:bookmarkStart w:id="466" w:name="_Ref4422060"/>
      <w:bookmarkStart w:id="467" w:name="_Toc54862183"/>
      <w:bookmarkStart w:id="468" w:name="_Ref11917818"/>
      <w:bookmarkStart w:id="469" w:name="_Ref531949803"/>
      <w:bookmarkStart w:id="470" w:name="_Ref531949822"/>
      <w:bookmarkStart w:id="471" w:name="_Ref531949807"/>
      <w:r>
        <w:rPr>
          <w:rFonts w:hint="eastAsia"/>
          <w:b w:val="0"/>
          <w:bCs/>
          <w:color w:val="auto"/>
        </w:rPr>
        <w:t>1</w:t>
      </w:r>
      <w:r>
        <w:rPr>
          <w:b w:val="0"/>
          <w:bCs/>
          <w:color w:val="auto"/>
        </w:rPr>
        <w:t xml:space="preserve">.6 </w:t>
      </w:r>
      <w:r>
        <w:rPr>
          <w:rFonts w:hint="eastAsia"/>
          <w:b w:val="0"/>
          <w:bCs/>
          <w:color w:val="auto"/>
        </w:rPr>
        <w:t>文件的提供和</w:t>
      </w:r>
      <w:bookmarkEnd w:id="466"/>
      <w:r>
        <w:rPr>
          <w:rFonts w:hint="eastAsia"/>
          <w:b w:val="0"/>
          <w:bCs/>
          <w:color w:val="auto"/>
        </w:rPr>
        <w:t>照管</w:t>
      </w:r>
      <w:bookmarkEnd w:id="467"/>
      <w:bookmarkEnd w:id="468"/>
    </w:p>
    <w:p>
      <w:pPr>
        <w:pStyle w:val="88"/>
        <w:numPr>
          <w:ilvl w:val="0"/>
          <w:numId w:val="0"/>
        </w:numPr>
        <w:rPr>
          <w:rFonts w:ascii="仿宋_GB2312" w:eastAsia="仿宋_GB2312"/>
          <w:color w:val="auto"/>
          <w:szCs w:val="24"/>
        </w:rPr>
      </w:pPr>
      <w:bookmarkStart w:id="472" w:name="_Ref4421991"/>
      <w:r>
        <w:rPr>
          <w:rFonts w:hint="eastAsia" w:ascii="仿宋_GB2312" w:eastAsia="仿宋_GB2312"/>
          <w:color w:val="auto"/>
          <w:szCs w:val="24"/>
        </w:rPr>
        <w:t>1</w:t>
      </w:r>
      <w:r>
        <w:rPr>
          <w:rFonts w:ascii="仿宋_GB2312" w:eastAsia="仿宋_GB2312"/>
          <w:color w:val="auto"/>
          <w:szCs w:val="24"/>
        </w:rPr>
        <w:t xml:space="preserve">.6.1 </w:t>
      </w:r>
      <w:r>
        <w:rPr>
          <w:rFonts w:hint="eastAsia" w:ascii="仿宋_GB2312" w:eastAsia="仿宋_GB2312"/>
          <w:color w:val="auto"/>
          <w:szCs w:val="24"/>
        </w:rPr>
        <w:t>发包人文件的提供</w:t>
      </w:r>
      <w:bookmarkEnd w:id="472"/>
    </w:p>
    <w:p>
      <w:pPr>
        <w:ind w:firstLine="600"/>
        <w:rPr>
          <w:rFonts w:ascii="仿宋_GB2312" w:eastAsia="仿宋_GB2312"/>
          <w:color w:val="auto"/>
          <w:sz w:val="24"/>
        </w:rPr>
      </w:pPr>
      <w:r>
        <w:rPr>
          <w:rFonts w:hint="eastAsia" w:ascii="仿宋_GB2312" w:eastAsia="仿宋_GB2312"/>
          <w:color w:val="auto"/>
          <w:sz w:val="24"/>
        </w:rPr>
        <w:t>发包人应按照专用合同条件约定的期限、数量和形式向承包人免费提供前期工作相关资料、环境保护、气象水文、地质条件进行工程设计、现场施工等工程实施所需的文件。因发包人未按合同约定提供文件造成工期延误的，按照第</w:t>
      </w:r>
      <w:r>
        <w:rPr>
          <w:rFonts w:ascii="仿宋_GB2312" w:eastAsia="仿宋_GB2312"/>
          <w:color w:val="auto"/>
          <w:sz w:val="24"/>
        </w:rPr>
        <w:t>8.7.1</w:t>
      </w:r>
      <w:r>
        <w:rPr>
          <w:rFonts w:hint="eastAsia" w:ascii="仿宋_GB2312" w:eastAsia="仿宋_GB2312"/>
          <w:color w:val="auto"/>
          <w:sz w:val="24"/>
        </w:rPr>
        <w:t>项[</w:t>
      </w:r>
      <w:r>
        <w:rPr>
          <w:rFonts w:ascii="仿宋_GB2312" w:eastAsia="仿宋_GB2312"/>
          <w:color w:val="auto"/>
          <w:sz w:val="24"/>
        </w:rPr>
        <w:t>因发包人原因导致工期延误</w:t>
      </w:r>
      <w:r>
        <w:rPr>
          <w:rFonts w:hint="eastAsia" w:ascii="仿宋_GB2312" w:eastAsia="仿宋_GB2312"/>
          <w:color w:val="auto"/>
          <w:sz w:val="24"/>
        </w:rPr>
        <w:t>]约定办理。</w:t>
      </w:r>
    </w:p>
    <w:p>
      <w:pPr>
        <w:pStyle w:val="88"/>
        <w:numPr>
          <w:ilvl w:val="0"/>
          <w:numId w:val="0"/>
        </w:numPr>
        <w:rPr>
          <w:rFonts w:ascii="仿宋_GB2312" w:eastAsia="仿宋_GB2312"/>
          <w:color w:val="auto"/>
          <w:szCs w:val="24"/>
        </w:rPr>
      </w:pPr>
      <w:bookmarkStart w:id="473" w:name="_Ref4422317"/>
      <w:r>
        <w:rPr>
          <w:rFonts w:hint="eastAsia" w:ascii="仿宋_GB2312" w:eastAsia="仿宋_GB2312"/>
          <w:color w:val="auto"/>
          <w:szCs w:val="24"/>
        </w:rPr>
        <w:t>1</w:t>
      </w:r>
      <w:r>
        <w:rPr>
          <w:rFonts w:ascii="仿宋_GB2312" w:eastAsia="仿宋_GB2312"/>
          <w:color w:val="auto"/>
          <w:szCs w:val="24"/>
        </w:rPr>
        <w:t xml:space="preserve">.6.2 </w:t>
      </w:r>
      <w:r>
        <w:rPr>
          <w:rFonts w:hint="eastAsia" w:ascii="仿宋_GB2312" w:eastAsia="仿宋_GB2312"/>
          <w:color w:val="auto"/>
          <w:szCs w:val="24"/>
        </w:rPr>
        <w:t>承包人文件的提供</w:t>
      </w:r>
      <w:bookmarkEnd w:id="473"/>
    </w:p>
    <w:p>
      <w:pPr>
        <w:ind w:firstLine="600"/>
        <w:rPr>
          <w:rFonts w:ascii="仿宋_GB2312" w:eastAsia="仿宋_GB2312"/>
          <w:color w:val="auto"/>
          <w:sz w:val="24"/>
        </w:rPr>
      </w:pPr>
      <w:r>
        <w:rPr>
          <w:rFonts w:hint="eastAsia" w:ascii="仿宋_GB2312" w:eastAsia="仿宋_GB2312"/>
          <w:color w:val="auto"/>
          <w:sz w:val="24"/>
        </w:rPr>
        <w:t>除专用合同条件另有约定外，承包人文件应包含下列内容，并用第</w:t>
      </w:r>
      <w:r>
        <w:rPr>
          <w:rFonts w:ascii="仿宋_GB2312" w:eastAsia="仿宋_GB2312"/>
          <w:color w:val="auto"/>
          <w:sz w:val="24"/>
        </w:rPr>
        <w:t>1.2</w:t>
      </w:r>
      <w:r>
        <w:rPr>
          <w:rFonts w:hint="eastAsia" w:ascii="仿宋_GB2312" w:eastAsia="仿宋_GB2312"/>
          <w:color w:val="auto"/>
          <w:sz w:val="24"/>
        </w:rPr>
        <w:t>款[语言文字]约定的语言制作：</w:t>
      </w:r>
    </w:p>
    <w:p>
      <w:pPr>
        <w:ind w:firstLine="600"/>
        <w:rPr>
          <w:rFonts w:ascii="仿宋_GB2312" w:eastAsia="仿宋_GB2312"/>
          <w:color w:val="auto"/>
          <w:sz w:val="24"/>
        </w:rPr>
      </w:pPr>
      <w:r>
        <w:rPr>
          <w:rFonts w:hint="eastAsia" w:ascii="仿宋_GB2312" w:eastAsia="仿宋_GB2312"/>
          <w:color w:val="auto"/>
          <w:sz w:val="24"/>
        </w:rPr>
        <w:t>（1） 《发包人要求》中规定的相关文件；</w:t>
      </w:r>
    </w:p>
    <w:p>
      <w:pPr>
        <w:ind w:firstLine="600"/>
        <w:rPr>
          <w:rFonts w:ascii="仿宋_GB2312" w:eastAsia="仿宋_GB2312"/>
          <w:color w:val="auto"/>
          <w:sz w:val="24"/>
        </w:rPr>
      </w:pPr>
      <w:r>
        <w:rPr>
          <w:rFonts w:hint="eastAsia" w:ascii="仿宋_GB2312" w:eastAsia="仿宋_GB2312"/>
          <w:color w:val="auto"/>
          <w:sz w:val="24"/>
        </w:rPr>
        <w:t>（2） 满足工程相关行政审批手续所必须的应由承包人负责的相关文件；</w:t>
      </w:r>
    </w:p>
    <w:p>
      <w:pPr>
        <w:ind w:firstLine="600"/>
        <w:rPr>
          <w:rFonts w:ascii="仿宋_GB2312" w:eastAsia="仿宋_GB2312"/>
          <w:color w:val="auto"/>
          <w:sz w:val="24"/>
        </w:rPr>
      </w:pPr>
      <w:r>
        <w:rPr>
          <w:rFonts w:hint="eastAsia" w:ascii="仿宋_GB2312" w:eastAsia="仿宋_GB2312"/>
          <w:color w:val="auto"/>
          <w:sz w:val="24"/>
        </w:rPr>
        <w:t>（3） 第</w:t>
      </w:r>
      <w:r>
        <w:rPr>
          <w:rFonts w:ascii="仿宋_GB2312" w:eastAsia="仿宋_GB2312"/>
          <w:color w:val="auto"/>
          <w:sz w:val="24"/>
        </w:rPr>
        <w:t>5.4</w:t>
      </w:r>
      <w:r>
        <w:rPr>
          <w:rFonts w:hint="eastAsia" w:ascii="仿宋_GB2312" w:eastAsia="仿宋_GB2312"/>
          <w:color w:val="auto"/>
          <w:sz w:val="24"/>
        </w:rPr>
        <w:t>款[竣工文件]与第</w:t>
      </w:r>
      <w:r>
        <w:rPr>
          <w:rFonts w:ascii="仿宋_GB2312" w:eastAsia="仿宋_GB2312"/>
          <w:color w:val="auto"/>
          <w:sz w:val="24"/>
        </w:rPr>
        <w:t>5.5</w:t>
      </w:r>
      <w:r>
        <w:rPr>
          <w:rFonts w:hint="eastAsia" w:ascii="仿宋_GB2312" w:eastAsia="仿宋_GB2312"/>
          <w:color w:val="auto"/>
          <w:sz w:val="24"/>
        </w:rPr>
        <w:t>款[操作和维修手册]中要求的相关文件。</w:t>
      </w:r>
    </w:p>
    <w:p>
      <w:pPr>
        <w:ind w:firstLine="600"/>
        <w:rPr>
          <w:rFonts w:ascii="仿宋_GB2312" w:eastAsia="仿宋_GB2312"/>
          <w:color w:val="auto"/>
          <w:sz w:val="24"/>
        </w:rPr>
      </w:pPr>
      <w:r>
        <w:rPr>
          <w:rFonts w:hint="eastAsia" w:ascii="仿宋_GB2312" w:eastAsia="仿宋_GB2312"/>
          <w:color w:val="auto"/>
          <w:sz w:val="24"/>
        </w:rPr>
        <w:t>承包人应按照专用合同条件约定的期限、名称、数量和形式向工程师提供应当由承包人编制的与工程设计、现场施工等工程实施有关的承包人文件。工程师对承包人文件有异议的，承包人应予以修改，并重新报送工程师。合同约定承包人文件应经审查的，工程师应在合同约定的期限内审查完毕，但工程师的审查并不减轻或免除承包人根据合同约定应当承担的责任。承包人文件的提供和审查还应遵守第</w:t>
      </w:r>
      <w:r>
        <w:rPr>
          <w:rFonts w:ascii="仿宋_GB2312" w:eastAsia="仿宋_GB2312"/>
          <w:color w:val="auto"/>
          <w:sz w:val="24"/>
        </w:rPr>
        <w:t>5.2</w:t>
      </w:r>
      <w:r>
        <w:rPr>
          <w:rFonts w:hint="eastAsia" w:ascii="仿宋_GB2312" w:eastAsia="仿宋_GB2312"/>
          <w:color w:val="auto"/>
          <w:sz w:val="24"/>
        </w:rPr>
        <w:t>款[承包人文件审查]和第</w:t>
      </w:r>
      <w:r>
        <w:rPr>
          <w:rFonts w:ascii="仿宋_GB2312" w:eastAsia="仿宋_GB2312"/>
          <w:color w:val="auto"/>
          <w:sz w:val="24"/>
        </w:rPr>
        <w:t>5.4</w:t>
      </w:r>
      <w:r>
        <w:rPr>
          <w:rFonts w:hint="eastAsia" w:ascii="仿宋_GB2312" w:eastAsia="仿宋_GB2312"/>
          <w:color w:val="auto"/>
          <w:sz w:val="24"/>
        </w:rPr>
        <w:t>款[竣工文件]的约定。</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.6.3 </w:t>
      </w:r>
      <w:r>
        <w:rPr>
          <w:rFonts w:hint="eastAsia" w:ascii="仿宋_GB2312" w:eastAsia="仿宋_GB2312"/>
          <w:color w:val="auto"/>
          <w:szCs w:val="24"/>
        </w:rPr>
        <w:t>文件错误的通知</w:t>
      </w:r>
    </w:p>
    <w:p>
      <w:pPr>
        <w:ind w:firstLine="600"/>
        <w:rPr>
          <w:rFonts w:ascii="仿宋_GB2312" w:eastAsia="仿宋_GB2312"/>
          <w:color w:val="auto"/>
          <w:sz w:val="24"/>
        </w:rPr>
      </w:pPr>
      <w:r>
        <w:rPr>
          <w:rFonts w:hint="eastAsia" w:ascii="仿宋_GB2312" w:eastAsia="仿宋_GB2312"/>
          <w:color w:val="auto"/>
          <w:sz w:val="24"/>
        </w:rPr>
        <w:t>任何一方发现文件中存在明显的错误或疏忽，应及时通知另一方。</w:t>
      </w:r>
    </w:p>
    <w:p>
      <w:pPr>
        <w:pStyle w:val="88"/>
        <w:numPr>
          <w:ilvl w:val="0"/>
          <w:numId w:val="0"/>
        </w:numPr>
        <w:rPr>
          <w:rFonts w:ascii="仿宋_GB2312" w:eastAsia="仿宋_GB2312"/>
          <w:color w:val="auto"/>
          <w:szCs w:val="24"/>
        </w:rPr>
      </w:pPr>
      <w:bookmarkStart w:id="474" w:name="_Ref4678410"/>
      <w:bookmarkStart w:id="475" w:name="_Ref11957673"/>
      <w:r>
        <w:rPr>
          <w:rFonts w:hint="eastAsia" w:ascii="仿宋_GB2312" w:eastAsia="仿宋_GB2312"/>
          <w:color w:val="auto"/>
          <w:szCs w:val="24"/>
        </w:rPr>
        <w:t>1</w:t>
      </w:r>
      <w:r>
        <w:rPr>
          <w:rFonts w:ascii="仿宋_GB2312" w:eastAsia="仿宋_GB2312"/>
          <w:color w:val="auto"/>
          <w:szCs w:val="24"/>
        </w:rPr>
        <w:t xml:space="preserve">.6.4 </w:t>
      </w:r>
      <w:r>
        <w:rPr>
          <w:rFonts w:hint="eastAsia" w:ascii="仿宋_GB2312" w:eastAsia="仿宋_GB2312"/>
          <w:color w:val="auto"/>
          <w:szCs w:val="24"/>
        </w:rPr>
        <w:t>文件的</w:t>
      </w:r>
      <w:bookmarkEnd w:id="474"/>
      <w:r>
        <w:rPr>
          <w:rFonts w:hint="eastAsia" w:ascii="仿宋_GB2312" w:eastAsia="仿宋_GB2312"/>
          <w:color w:val="auto"/>
          <w:szCs w:val="24"/>
        </w:rPr>
        <w:t>照管</w:t>
      </w:r>
      <w:bookmarkEnd w:id="475"/>
    </w:p>
    <w:p>
      <w:pPr>
        <w:ind w:firstLine="600"/>
        <w:rPr>
          <w:rFonts w:ascii="仿宋_GB2312" w:eastAsia="仿宋_GB2312"/>
          <w:color w:val="auto"/>
          <w:sz w:val="24"/>
        </w:rPr>
      </w:pPr>
      <w:r>
        <w:rPr>
          <w:rFonts w:hint="eastAsia" w:ascii="仿宋_GB2312" w:eastAsia="仿宋_GB2312"/>
          <w:color w:val="auto"/>
          <w:sz w:val="24"/>
        </w:rPr>
        <w:t>除专用合同条件另有约定外，承包人应在现场保留一份合同、《发包人要求》中列出的所有文件、承包人文件、变更以及其他根据合同收发的往来信函。发包人和工程师有权在任何合理的时间查阅和使用上述所有文件。</w:t>
      </w:r>
    </w:p>
    <w:p>
      <w:pPr>
        <w:pStyle w:val="315"/>
        <w:widowControl/>
        <w:numPr>
          <w:ilvl w:val="0"/>
          <w:numId w:val="0"/>
        </w:numPr>
        <w:rPr>
          <w:b w:val="0"/>
          <w:bCs/>
          <w:color w:val="auto"/>
        </w:rPr>
      </w:pPr>
      <w:bookmarkStart w:id="476" w:name="_Ref4415170"/>
      <w:bookmarkStart w:id="477" w:name="_Toc54862184"/>
      <w:r>
        <w:rPr>
          <w:rFonts w:hint="eastAsia"/>
          <w:b w:val="0"/>
          <w:bCs/>
          <w:color w:val="auto"/>
        </w:rPr>
        <w:t>1</w:t>
      </w:r>
      <w:r>
        <w:rPr>
          <w:b w:val="0"/>
          <w:bCs/>
          <w:color w:val="auto"/>
        </w:rPr>
        <w:t xml:space="preserve">.7 </w:t>
      </w:r>
      <w:r>
        <w:rPr>
          <w:rFonts w:hint="eastAsia"/>
          <w:b w:val="0"/>
          <w:bCs/>
          <w:color w:val="auto"/>
        </w:rPr>
        <w:t>联络</w:t>
      </w:r>
      <w:bookmarkEnd w:id="476"/>
      <w:bookmarkEnd w:id="477"/>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.7.1 </w:t>
      </w:r>
      <w:r>
        <w:rPr>
          <w:rFonts w:hint="eastAsia" w:ascii="仿宋_GB2312" w:eastAsia="仿宋_GB2312"/>
          <w:color w:val="auto"/>
          <w:szCs w:val="24"/>
        </w:rPr>
        <w:t>与合同有关的通知、批准、证明、证书、指示、指令、要求、请求、同意、意见、确定和决定等，均应采用书面形式，并应在合同约定的期限内（如无约定，应在合理期限内）通过特快专递或专人、挂号信、传真或双方商定的电子传输方式送达收件地址。</w:t>
      </w:r>
    </w:p>
    <w:p>
      <w:pPr>
        <w:pStyle w:val="88"/>
        <w:numPr>
          <w:ilvl w:val="0"/>
          <w:numId w:val="0"/>
        </w:numPr>
        <w:rPr>
          <w:rFonts w:ascii="仿宋_GB2312" w:eastAsia="仿宋_GB2312"/>
          <w:color w:val="auto"/>
          <w:szCs w:val="24"/>
        </w:rPr>
      </w:pPr>
      <w:bookmarkStart w:id="478" w:name="_Ref531949897"/>
      <w:r>
        <w:rPr>
          <w:rFonts w:hint="eastAsia" w:ascii="仿宋_GB2312" w:eastAsia="仿宋_GB2312"/>
          <w:color w:val="auto"/>
          <w:szCs w:val="24"/>
        </w:rPr>
        <w:t>1</w:t>
      </w:r>
      <w:r>
        <w:rPr>
          <w:rFonts w:ascii="仿宋_GB2312" w:eastAsia="仿宋_GB2312"/>
          <w:color w:val="auto"/>
          <w:szCs w:val="24"/>
        </w:rPr>
        <w:t xml:space="preserve">.7.2 </w:t>
      </w:r>
      <w:r>
        <w:rPr>
          <w:rFonts w:hint="eastAsia" w:ascii="仿宋_GB2312" w:eastAsia="仿宋_GB2312"/>
          <w:color w:val="auto"/>
          <w:szCs w:val="24"/>
        </w:rPr>
        <w:t>发包人和承包人应在专用合同条件中约定各自的送达方式和收件地址。任何一方合同当事人指定的送达方式或收件地址发生变动的，应提前3天以书面形式通知对方。</w:t>
      </w:r>
      <w:bookmarkEnd w:id="478"/>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.7.3 </w:t>
      </w:r>
      <w:r>
        <w:rPr>
          <w:rFonts w:hint="eastAsia" w:ascii="仿宋_GB2312" w:eastAsia="仿宋_GB2312"/>
          <w:color w:val="auto"/>
          <w:szCs w:val="24"/>
        </w:rPr>
        <w:t>发包人和承包人应当及时签收另一方通过约定的送达方式送达至收件地址的来往文件。拒不签收的，由此增加的费用和（或）延误的工期由拒绝接收一方承担。</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.7.4 </w:t>
      </w:r>
      <w:r>
        <w:rPr>
          <w:rFonts w:hint="eastAsia" w:ascii="仿宋_GB2312" w:eastAsia="仿宋_GB2312"/>
          <w:color w:val="auto"/>
          <w:szCs w:val="24"/>
        </w:rPr>
        <w:t>对于工程师向承包人发出的任何通知，均应以书面形式由工程师或其代表签认后送交承包人实施，并抄送发包人；对于合同一方向另一方发出的任何通知，均应抄送工程师。对于由工程师审查后报发包人批准的事项，应由工程师向承包人出具经发包人签认的批准文件。</w:t>
      </w:r>
    </w:p>
    <w:p>
      <w:pPr>
        <w:pStyle w:val="315"/>
        <w:widowControl/>
        <w:numPr>
          <w:ilvl w:val="0"/>
          <w:numId w:val="0"/>
        </w:numPr>
        <w:rPr>
          <w:b w:val="0"/>
          <w:bCs/>
          <w:color w:val="auto"/>
        </w:rPr>
      </w:pPr>
      <w:bookmarkStart w:id="479" w:name="_Toc54862185"/>
      <w:r>
        <w:rPr>
          <w:rFonts w:hint="eastAsia"/>
          <w:b w:val="0"/>
          <w:bCs/>
          <w:color w:val="auto"/>
        </w:rPr>
        <w:t>1</w:t>
      </w:r>
      <w:r>
        <w:rPr>
          <w:b w:val="0"/>
          <w:bCs/>
          <w:color w:val="auto"/>
        </w:rPr>
        <w:t xml:space="preserve">.8 </w:t>
      </w:r>
      <w:r>
        <w:rPr>
          <w:rFonts w:hint="eastAsia"/>
          <w:b w:val="0"/>
          <w:bCs/>
          <w:color w:val="auto"/>
        </w:rPr>
        <w:t>严禁贿赂</w:t>
      </w:r>
      <w:bookmarkEnd w:id="469"/>
      <w:bookmarkEnd w:id="470"/>
      <w:bookmarkEnd w:id="471"/>
      <w:bookmarkEnd w:id="479"/>
    </w:p>
    <w:p>
      <w:pPr>
        <w:ind w:firstLine="600"/>
        <w:rPr>
          <w:rFonts w:ascii="仿宋_GB2312" w:eastAsia="仿宋_GB2312"/>
          <w:color w:val="auto"/>
          <w:sz w:val="24"/>
        </w:rPr>
      </w:pPr>
      <w:r>
        <w:rPr>
          <w:rFonts w:hint="eastAsia" w:ascii="仿宋_GB2312" w:eastAsia="仿宋_GB2312"/>
          <w:color w:val="auto"/>
          <w:sz w:val="24"/>
        </w:rPr>
        <w:t>合同当事人不得以贿赂或变相贿赂的方式，谋取非法利益或损害对方权益。因一方合同当事人的贿赂造成对方损失的，应赔偿损失，并承担相应的法律责任。</w:t>
      </w:r>
    </w:p>
    <w:p>
      <w:pPr>
        <w:ind w:firstLine="600"/>
        <w:rPr>
          <w:rFonts w:ascii="仿宋_GB2312" w:eastAsia="仿宋_GB2312"/>
          <w:color w:val="auto"/>
          <w:sz w:val="24"/>
        </w:rPr>
      </w:pPr>
      <w:r>
        <w:rPr>
          <w:rFonts w:hint="eastAsia" w:ascii="仿宋_GB2312" w:eastAsia="仿宋_GB2312"/>
          <w:color w:val="auto"/>
          <w:sz w:val="24"/>
        </w:rPr>
        <w:t>承包人不得与工程师或发包人聘请的第三方串通损害发包人利益。未经发包人书面同意，承包人不得为工程师提供合同约定以外的通讯设备、交通工具及其他任何形式的利益，不得向工程师支付报酬。</w:t>
      </w:r>
    </w:p>
    <w:p>
      <w:pPr>
        <w:pStyle w:val="315"/>
        <w:widowControl/>
        <w:numPr>
          <w:ilvl w:val="0"/>
          <w:numId w:val="0"/>
        </w:numPr>
        <w:rPr>
          <w:b w:val="0"/>
          <w:bCs/>
          <w:color w:val="auto"/>
        </w:rPr>
      </w:pPr>
      <w:bookmarkStart w:id="480" w:name="_Toc54862186"/>
      <w:r>
        <w:rPr>
          <w:rFonts w:hint="eastAsia"/>
          <w:b w:val="0"/>
          <w:bCs/>
          <w:color w:val="auto"/>
        </w:rPr>
        <w:t>1</w:t>
      </w:r>
      <w:r>
        <w:rPr>
          <w:b w:val="0"/>
          <w:bCs/>
          <w:color w:val="auto"/>
        </w:rPr>
        <w:t>.9 化石、文物</w:t>
      </w:r>
      <w:bookmarkEnd w:id="480"/>
    </w:p>
    <w:p>
      <w:pPr>
        <w:ind w:firstLine="600"/>
        <w:rPr>
          <w:rFonts w:ascii="仿宋_GB2312" w:eastAsia="仿宋_GB2312"/>
          <w:color w:val="auto"/>
          <w:sz w:val="24"/>
        </w:rPr>
      </w:pPr>
      <w:r>
        <w:rPr>
          <w:rFonts w:hint="eastAsia" w:ascii="仿宋_GB2312" w:eastAsia="仿宋_GB2312"/>
          <w:color w:val="auto"/>
          <w:sz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工程师。</w:t>
      </w:r>
    </w:p>
    <w:p>
      <w:pPr>
        <w:ind w:firstLine="600"/>
        <w:rPr>
          <w:rFonts w:ascii="仿宋_GB2312" w:eastAsia="仿宋_GB2312"/>
          <w:color w:val="auto"/>
          <w:sz w:val="24"/>
        </w:rPr>
      </w:pPr>
      <w:r>
        <w:rPr>
          <w:rFonts w:hint="eastAsia" w:ascii="仿宋_GB2312" w:eastAsia="仿宋_GB2312"/>
          <w:color w:val="auto"/>
          <w:sz w:val="24"/>
        </w:rPr>
        <w:t>发包人、工程师和承包人应按有关政府行政管理部门要求采取妥善的保护措施，由此增加的费用和（或）延误的工期由发包人承担。</w:t>
      </w:r>
    </w:p>
    <w:p>
      <w:pPr>
        <w:ind w:firstLine="600"/>
        <w:rPr>
          <w:rFonts w:ascii="仿宋_GB2312" w:eastAsia="仿宋_GB2312"/>
          <w:color w:val="auto"/>
          <w:sz w:val="24"/>
        </w:rPr>
      </w:pPr>
      <w:r>
        <w:rPr>
          <w:rFonts w:hint="eastAsia" w:ascii="仿宋_GB2312" w:eastAsia="仿宋_GB2312"/>
          <w:color w:val="auto"/>
          <w:sz w:val="24"/>
        </w:rPr>
        <w:t>承包人发现文物后不及时报告或隐瞒不报，致使文物丢失或损坏的，应赔偿损失，并承担相应的法律责任。</w:t>
      </w:r>
    </w:p>
    <w:p>
      <w:pPr>
        <w:pStyle w:val="315"/>
        <w:widowControl/>
        <w:numPr>
          <w:ilvl w:val="0"/>
          <w:numId w:val="0"/>
        </w:numPr>
        <w:rPr>
          <w:b w:val="0"/>
          <w:bCs/>
          <w:color w:val="auto"/>
        </w:rPr>
      </w:pPr>
      <w:bookmarkStart w:id="481" w:name="_Ref531949770"/>
      <w:bookmarkStart w:id="482" w:name="_Ref4423426"/>
      <w:bookmarkStart w:id="483" w:name="_Toc54862187"/>
      <w:bookmarkStart w:id="484" w:name="_Ref531949766"/>
      <w:bookmarkStart w:id="485" w:name="_Ref531949855"/>
      <w:bookmarkStart w:id="486" w:name="_Ref531949841"/>
      <w:bookmarkStart w:id="487" w:name="_Ref531949826"/>
      <w:r>
        <w:rPr>
          <w:rFonts w:hint="eastAsia"/>
          <w:b w:val="0"/>
          <w:bCs/>
          <w:color w:val="auto"/>
        </w:rPr>
        <w:t>1</w:t>
      </w:r>
      <w:r>
        <w:rPr>
          <w:b w:val="0"/>
          <w:bCs/>
          <w:color w:val="auto"/>
        </w:rPr>
        <w:t xml:space="preserve">.10 </w:t>
      </w:r>
      <w:r>
        <w:rPr>
          <w:rFonts w:hint="eastAsia"/>
          <w:b w:val="0"/>
          <w:bCs/>
          <w:color w:val="auto"/>
        </w:rPr>
        <w:t>知识产权</w:t>
      </w:r>
      <w:bookmarkEnd w:id="481"/>
      <w:bookmarkEnd w:id="482"/>
      <w:bookmarkEnd w:id="483"/>
      <w:bookmarkEnd w:id="484"/>
      <w:r>
        <w:rPr>
          <w:b w:val="0"/>
          <w:bCs/>
          <w:color w:val="auto"/>
        </w:rPr>
        <w:t xml:space="preserve"> </w:t>
      </w:r>
    </w:p>
    <w:p>
      <w:pPr>
        <w:pStyle w:val="88"/>
        <w:numPr>
          <w:ilvl w:val="0"/>
          <w:numId w:val="0"/>
        </w:numPr>
        <w:rPr>
          <w:rFonts w:ascii="仿宋_GB2312" w:eastAsia="仿宋_GB2312"/>
          <w:color w:val="auto"/>
          <w:szCs w:val="24"/>
        </w:rPr>
      </w:pPr>
      <w:bookmarkStart w:id="488" w:name="_Ref4423563"/>
      <w:r>
        <w:rPr>
          <w:rFonts w:hint="eastAsia" w:ascii="仿宋_GB2312" w:eastAsia="仿宋_GB2312"/>
          <w:color w:val="auto"/>
          <w:szCs w:val="24"/>
        </w:rPr>
        <w:t>1</w:t>
      </w:r>
      <w:r>
        <w:rPr>
          <w:rFonts w:ascii="仿宋_GB2312" w:eastAsia="仿宋_GB2312"/>
          <w:color w:val="auto"/>
          <w:szCs w:val="24"/>
        </w:rPr>
        <w:t xml:space="preserve">.10.1 </w:t>
      </w:r>
      <w:r>
        <w:rPr>
          <w:rFonts w:hint="eastAsia" w:ascii="仿宋_GB2312" w:eastAsia="仿宋_GB2312"/>
          <w:color w:val="auto"/>
          <w:szCs w:val="24"/>
        </w:rPr>
        <w:t>除专用合同条件另有约定外，由发包人（或以发包人名义）编制的《发包人要求》和其他文件，就合同当事人之间而言，其著作权和其他知识产权应归发包人所有。承包人可以为实现合同目的而复制、使用此类文件，但不能用于与合同无关的其他事项。未经发包人书面同意，承包人不得为了合同以外的目的而复制、使用上述文件或将之提供给任何第三方。</w:t>
      </w:r>
      <w:bookmarkEnd w:id="488"/>
    </w:p>
    <w:p>
      <w:pPr>
        <w:pStyle w:val="88"/>
        <w:numPr>
          <w:ilvl w:val="0"/>
          <w:numId w:val="0"/>
        </w:numPr>
        <w:rPr>
          <w:rFonts w:ascii="仿宋_GB2312" w:eastAsia="仿宋_GB2312"/>
          <w:color w:val="auto"/>
          <w:szCs w:val="24"/>
        </w:rPr>
      </w:pPr>
      <w:bookmarkStart w:id="489" w:name="_Ref4423604"/>
      <w:r>
        <w:rPr>
          <w:rFonts w:hint="eastAsia" w:ascii="仿宋_GB2312" w:eastAsia="仿宋_GB2312"/>
          <w:color w:val="auto"/>
          <w:szCs w:val="24"/>
        </w:rPr>
        <w:t>1</w:t>
      </w:r>
      <w:r>
        <w:rPr>
          <w:rFonts w:ascii="仿宋_GB2312" w:eastAsia="仿宋_GB2312"/>
          <w:color w:val="auto"/>
          <w:szCs w:val="24"/>
        </w:rPr>
        <w:t xml:space="preserve">.10.2 </w:t>
      </w:r>
      <w:r>
        <w:rPr>
          <w:rFonts w:hint="eastAsia" w:ascii="仿宋_GB2312" w:eastAsia="仿宋_GB2312"/>
          <w:color w:val="auto"/>
          <w:szCs w:val="24"/>
        </w:rPr>
        <w:t>除专用合同条件另有约定外，由承包人（或以承包人名义）为实施工程所编制的文件、承包人完成的设计工作成果和建造完成的建筑物，就合同当事人之间而言，其著作权和其他知识产权应归承包人享有。发包人可因实施工程的运行、调试、维修、改造等目的而复制、使用此类文件，但不能用于与合同无关的其他事项。未经承包人书面同意，发包人不得为了合同以外的目的而复制、使用上述文件或将之提供给任何第三方。</w:t>
      </w:r>
      <w:bookmarkEnd w:id="489"/>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.10.3 </w:t>
      </w:r>
      <w:r>
        <w:rPr>
          <w:rFonts w:hint="eastAsia" w:ascii="仿宋_GB2312" w:eastAsia="仿宋_GB2312"/>
          <w:color w:val="auto"/>
          <w:szCs w:val="24"/>
        </w:rPr>
        <w:t>合同当事人保证在履行合同过程中不侵犯对方及第三方的知识产权。承包人在工程设计、使用材料、施工设备、工程设备或采用施工工艺时，因侵犯他人的专利权或其他知识产权所引起的责任，由承包人承担；因发包人提供的材料、施工设备、工程设备或施工工艺导致侵权的，由发包人承担责任。</w:t>
      </w:r>
    </w:p>
    <w:p>
      <w:pPr>
        <w:pStyle w:val="88"/>
        <w:numPr>
          <w:ilvl w:val="0"/>
          <w:numId w:val="0"/>
        </w:numPr>
        <w:rPr>
          <w:rFonts w:ascii="仿宋_GB2312" w:eastAsia="仿宋_GB2312"/>
          <w:color w:val="auto"/>
          <w:szCs w:val="24"/>
        </w:rPr>
      </w:pPr>
      <w:bookmarkStart w:id="490" w:name="_Ref4423695"/>
      <w:r>
        <w:rPr>
          <w:rFonts w:hint="eastAsia" w:ascii="仿宋_GB2312" w:eastAsia="仿宋_GB2312"/>
          <w:color w:val="auto"/>
          <w:szCs w:val="24"/>
        </w:rPr>
        <w:t>1</w:t>
      </w:r>
      <w:r>
        <w:rPr>
          <w:rFonts w:ascii="仿宋_GB2312" w:eastAsia="仿宋_GB2312"/>
          <w:color w:val="auto"/>
          <w:szCs w:val="24"/>
        </w:rPr>
        <w:t xml:space="preserve">.10.4 </w:t>
      </w:r>
      <w:r>
        <w:rPr>
          <w:rFonts w:hint="eastAsia" w:ascii="仿宋_GB2312" w:eastAsia="仿宋_GB2312"/>
          <w:color w:val="auto"/>
          <w:szCs w:val="24"/>
        </w:rPr>
        <w:t>除专用合同条件另有约定外，承包人在投标文件中采用的专利、专有技术、商业软件、技术秘密的使用费已包含在签约合同价中。</w:t>
      </w:r>
      <w:bookmarkEnd w:id="490"/>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.10.5 </w:t>
      </w:r>
      <w:r>
        <w:rPr>
          <w:rFonts w:hint="eastAsia" w:ascii="仿宋_GB2312" w:eastAsia="仿宋_GB2312"/>
          <w:color w:val="auto"/>
          <w:szCs w:val="24"/>
        </w:rPr>
        <w:t>合同当事人可就本合同涉及的合同一方、或合同双方（含一方或双方相关的专利商或第三方设计单位)的技术专利、建筑设计方案、专有技术、设计文件著作权等知识产权，订立知识产权及保密协议，作为本合同的组成部分。</w:t>
      </w:r>
    </w:p>
    <w:p>
      <w:pPr>
        <w:pStyle w:val="315"/>
        <w:widowControl/>
        <w:numPr>
          <w:ilvl w:val="0"/>
          <w:numId w:val="0"/>
        </w:numPr>
        <w:rPr>
          <w:b w:val="0"/>
          <w:bCs/>
          <w:color w:val="auto"/>
        </w:rPr>
      </w:pPr>
      <w:bookmarkStart w:id="491" w:name="_Ref4423898"/>
      <w:bookmarkStart w:id="492" w:name="_Toc54862188"/>
      <w:bookmarkStart w:id="493" w:name="_Ref4423873"/>
      <w:r>
        <w:rPr>
          <w:rFonts w:hint="eastAsia"/>
          <w:b w:val="0"/>
          <w:bCs/>
          <w:color w:val="auto"/>
        </w:rPr>
        <w:t>1</w:t>
      </w:r>
      <w:r>
        <w:rPr>
          <w:b w:val="0"/>
          <w:bCs/>
          <w:color w:val="auto"/>
        </w:rPr>
        <w:t xml:space="preserve">.11 </w:t>
      </w:r>
      <w:r>
        <w:rPr>
          <w:rFonts w:hint="eastAsia"/>
          <w:b w:val="0"/>
          <w:bCs/>
          <w:color w:val="auto"/>
        </w:rPr>
        <w:t>保密</w:t>
      </w:r>
      <w:bookmarkEnd w:id="485"/>
      <w:bookmarkEnd w:id="486"/>
      <w:bookmarkEnd w:id="487"/>
      <w:bookmarkEnd w:id="491"/>
      <w:bookmarkEnd w:id="492"/>
      <w:bookmarkEnd w:id="493"/>
    </w:p>
    <w:p>
      <w:pPr>
        <w:ind w:firstLine="600"/>
        <w:rPr>
          <w:rFonts w:ascii="仿宋_GB2312" w:eastAsia="仿宋_GB2312"/>
          <w:color w:val="auto"/>
          <w:sz w:val="24"/>
        </w:rPr>
      </w:pPr>
      <w:r>
        <w:rPr>
          <w:rFonts w:hint="eastAsia" w:ascii="仿宋_GB2312" w:eastAsia="仿宋_GB2312"/>
          <w:color w:val="auto"/>
          <w:sz w:val="24"/>
        </w:rPr>
        <w:t>合同当事人一方对在订立和履行合同过程中知悉的另一方的商业秘密、技术秘密，以及任何一方明确要求保密的其它信息，负有保密责任。</w:t>
      </w:r>
    </w:p>
    <w:p>
      <w:pPr>
        <w:ind w:firstLine="600"/>
        <w:rPr>
          <w:rFonts w:ascii="仿宋_GB2312" w:eastAsia="仿宋_GB2312"/>
          <w:color w:val="auto"/>
          <w:sz w:val="24"/>
        </w:rPr>
      </w:pPr>
      <w:r>
        <w:rPr>
          <w:rFonts w:hint="eastAsia" w:ascii="仿宋_GB2312" w:eastAsia="仿宋_GB2312"/>
          <w:color w:val="auto"/>
          <w:sz w:val="24"/>
        </w:rPr>
        <w:t>除法律规定或合同另有约定外，未经对方同意，任何一方当事人不得将对方提供的文件、技术秘密以及声明需要保密的资料信息等商业秘密泄露给第三方或者用于本合同以外的目的。</w:t>
      </w:r>
    </w:p>
    <w:p>
      <w:pPr>
        <w:ind w:firstLine="600"/>
        <w:rPr>
          <w:rFonts w:ascii="仿宋_GB2312" w:eastAsia="仿宋_GB2312"/>
          <w:color w:val="auto"/>
          <w:sz w:val="24"/>
        </w:rPr>
      </w:pPr>
      <w:r>
        <w:rPr>
          <w:rFonts w:hint="eastAsia" w:ascii="仿宋_GB2312" w:eastAsia="仿宋_GB2312"/>
          <w:color w:val="auto"/>
          <w:sz w:val="24"/>
        </w:rPr>
        <w:t>一方泄露或者在本合同以外使用该商业秘密、技术秘密等保密信息给另一方造成损失的，应承担损害赔偿责任。当事人为履行合同所需要的信息，另一方应予以提供。当事人认为必要时，可订立保密协议，作为合同附件。</w:t>
      </w:r>
    </w:p>
    <w:p>
      <w:pPr>
        <w:pStyle w:val="315"/>
        <w:widowControl/>
        <w:numPr>
          <w:ilvl w:val="0"/>
          <w:numId w:val="0"/>
        </w:numPr>
        <w:rPr>
          <w:b w:val="0"/>
          <w:bCs/>
          <w:color w:val="auto"/>
        </w:rPr>
      </w:pPr>
      <w:bookmarkStart w:id="494" w:name="_Toc54862189"/>
      <w:bookmarkStart w:id="495" w:name="_Ref532336812"/>
      <w:r>
        <w:rPr>
          <w:rFonts w:hint="eastAsia"/>
          <w:b w:val="0"/>
          <w:bCs/>
          <w:color w:val="auto"/>
        </w:rPr>
        <w:t>1</w:t>
      </w:r>
      <w:r>
        <w:rPr>
          <w:b w:val="0"/>
          <w:bCs/>
          <w:color w:val="auto"/>
        </w:rPr>
        <w:t xml:space="preserve">.12 </w:t>
      </w:r>
      <w:bookmarkStart w:id="496" w:name="_Hlk55215423"/>
      <w:r>
        <w:rPr>
          <w:rFonts w:hint="eastAsia"/>
          <w:b w:val="0"/>
          <w:bCs/>
          <w:color w:val="auto"/>
        </w:rPr>
        <w:t>《发包人要求》和基础资料中的错误</w:t>
      </w:r>
      <w:bookmarkEnd w:id="494"/>
      <w:bookmarkEnd w:id="495"/>
      <w:bookmarkEnd w:id="496"/>
    </w:p>
    <w:p>
      <w:pPr>
        <w:ind w:firstLine="600"/>
        <w:rPr>
          <w:rFonts w:ascii="仿宋_GB2312" w:eastAsia="仿宋_GB2312"/>
          <w:color w:val="auto"/>
          <w:sz w:val="24"/>
        </w:rPr>
      </w:pPr>
      <w:r>
        <w:rPr>
          <w:rFonts w:hint="eastAsia" w:ascii="仿宋_GB2312" w:eastAsia="仿宋_GB2312"/>
          <w:color w:val="auto"/>
          <w:sz w:val="24"/>
        </w:rPr>
        <w:t>承包人应尽早认真阅读、复核《发包人要求》以及其提供的基础资料，发现错误的，应及时书面通知发包人补正。发包人作相应修改的，按照第</w:t>
      </w:r>
      <w:r>
        <w:rPr>
          <w:rFonts w:ascii="仿宋_GB2312" w:eastAsia="仿宋_GB2312"/>
          <w:color w:val="auto"/>
          <w:sz w:val="24"/>
        </w:rPr>
        <w:t>13条</w:t>
      </w:r>
      <w:r>
        <w:rPr>
          <w:rFonts w:hint="eastAsia" w:ascii="仿宋_GB2312" w:eastAsia="仿宋_GB2312"/>
          <w:color w:val="auto"/>
          <w:sz w:val="24"/>
        </w:rPr>
        <w:t>[变更与调整</w:t>
      </w:r>
      <w:bookmarkStart w:id="497" w:name="_Ref523403409"/>
      <w:bookmarkStart w:id="498" w:name="_Ref523403776"/>
      <w:r>
        <w:rPr>
          <w:rFonts w:hint="eastAsia" w:ascii="仿宋_GB2312" w:eastAsia="仿宋_GB2312"/>
          <w:color w:val="auto"/>
          <w:sz w:val="24"/>
        </w:rPr>
        <w:t>]的约定处理。</w:t>
      </w:r>
    </w:p>
    <w:p>
      <w:pPr>
        <w:ind w:firstLine="600"/>
        <w:rPr>
          <w:rFonts w:ascii="仿宋_GB2312" w:eastAsia="仿宋_GB2312"/>
          <w:color w:val="auto"/>
          <w:sz w:val="24"/>
        </w:rPr>
      </w:pPr>
      <w:r>
        <w:rPr>
          <w:rFonts w:hint="eastAsia" w:ascii="仿宋_GB2312" w:eastAsia="仿宋_GB2312"/>
          <w:color w:val="auto"/>
          <w:sz w:val="24"/>
        </w:rPr>
        <w:t>《发包人要求》或其提供的基础资料中的错误导致承包人增加费用和（或）工期延误的，发包人应承担由此增加的费用和（或）工期延误，并向承包人支付合理利润。</w:t>
      </w:r>
    </w:p>
    <w:bookmarkEnd w:id="497"/>
    <w:bookmarkEnd w:id="498"/>
    <w:p>
      <w:pPr>
        <w:pStyle w:val="315"/>
        <w:widowControl/>
        <w:numPr>
          <w:ilvl w:val="0"/>
          <w:numId w:val="0"/>
        </w:numPr>
        <w:rPr>
          <w:b w:val="0"/>
          <w:bCs/>
          <w:color w:val="auto"/>
        </w:rPr>
      </w:pPr>
      <w:bookmarkStart w:id="499" w:name="_Ref531949937"/>
      <w:bookmarkStart w:id="500" w:name="_Ref531949933"/>
      <w:bookmarkStart w:id="501" w:name="_Toc54862190"/>
      <w:r>
        <w:rPr>
          <w:rFonts w:hint="eastAsia"/>
          <w:b w:val="0"/>
          <w:bCs/>
          <w:color w:val="auto"/>
        </w:rPr>
        <w:t>1</w:t>
      </w:r>
      <w:r>
        <w:rPr>
          <w:b w:val="0"/>
          <w:bCs/>
          <w:color w:val="auto"/>
        </w:rPr>
        <w:t xml:space="preserve">.13 </w:t>
      </w:r>
      <w:r>
        <w:rPr>
          <w:rFonts w:hint="eastAsia"/>
          <w:b w:val="0"/>
          <w:bCs/>
          <w:color w:val="auto"/>
        </w:rPr>
        <w:t>责任限制</w:t>
      </w:r>
      <w:bookmarkEnd w:id="499"/>
      <w:bookmarkEnd w:id="500"/>
      <w:bookmarkEnd w:id="501"/>
    </w:p>
    <w:p>
      <w:pPr>
        <w:ind w:firstLine="600"/>
        <w:rPr>
          <w:rFonts w:ascii="仿宋_GB2312" w:eastAsia="仿宋_GB2312"/>
          <w:color w:val="auto"/>
          <w:sz w:val="24"/>
        </w:rPr>
      </w:pPr>
      <w:r>
        <w:rPr>
          <w:rFonts w:ascii="仿宋_GB2312" w:eastAsia="仿宋_GB2312"/>
          <w:color w:val="auto"/>
          <w:sz w:val="24"/>
        </w:rPr>
        <w:t>承包人对发包人的赔偿责任不应超过专用合同条件约定的赔偿最高限额。若专用合同条件未约定，则承包人对发包人的赔偿责任不应超过</w:t>
      </w:r>
      <w:r>
        <w:rPr>
          <w:rFonts w:hint="eastAsia" w:ascii="仿宋_GB2312" w:eastAsia="仿宋_GB2312"/>
          <w:color w:val="auto"/>
          <w:sz w:val="24"/>
        </w:rPr>
        <w:t>签约合同价。</w:t>
      </w:r>
      <w:r>
        <w:rPr>
          <w:rFonts w:ascii="仿宋_GB2312" w:eastAsia="仿宋_GB2312"/>
          <w:color w:val="auto"/>
          <w:sz w:val="24"/>
        </w:rPr>
        <w:t>但对于因欺诈、</w:t>
      </w:r>
      <w:r>
        <w:rPr>
          <w:rFonts w:hint="eastAsia" w:ascii="仿宋_GB2312" w:eastAsia="仿宋_GB2312"/>
          <w:color w:val="auto"/>
          <w:sz w:val="24"/>
        </w:rPr>
        <w:t>犯罪、</w:t>
      </w:r>
      <w:r>
        <w:rPr>
          <w:rFonts w:ascii="仿宋_GB2312" w:eastAsia="仿宋_GB2312"/>
          <w:color w:val="auto"/>
          <w:sz w:val="24"/>
        </w:rPr>
        <w:t>故意、</w:t>
      </w:r>
      <w:r>
        <w:rPr>
          <w:rFonts w:hint="eastAsia" w:ascii="仿宋_GB2312" w:eastAsia="仿宋_GB2312"/>
          <w:color w:val="auto"/>
          <w:sz w:val="24"/>
        </w:rPr>
        <w:t>重大过失、人身伤害</w:t>
      </w:r>
      <w:r>
        <w:rPr>
          <w:rFonts w:ascii="仿宋_GB2312" w:eastAsia="仿宋_GB2312"/>
          <w:color w:val="auto"/>
          <w:sz w:val="24"/>
        </w:rPr>
        <w:t>等不当行为造成的损失，赔偿的责任限度不受</w:t>
      </w:r>
      <w:r>
        <w:rPr>
          <w:rFonts w:hint="eastAsia" w:ascii="仿宋_GB2312" w:eastAsia="仿宋_GB2312"/>
          <w:color w:val="auto"/>
          <w:sz w:val="24"/>
        </w:rPr>
        <w:t>上述最高</w:t>
      </w:r>
      <w:r>
        <w:rPr>
          <w:rFonts w:ascii="仿宋_GB2312" w:eastAsia="仿宋_GB2312"/>
          <w:color w:val="auto"/>
          <w:sz w:val="24"/>
        </w:rPr>
        <w:t>限额的限制</w:t>
      </w:r>
      <w:r>
        <w:rPr>
          <w:rFonts w:hint="eastAsia" w:ascii="仿宋_GB2312" w:eastAsia="仿宋_GB2312"/>
          <w:color w:val="auto"/>
          <w:sz w:val="24"/>
        </w:rPr>
        <w:t>。</w:t>
      </w:r>
    </w:p>
    <w:p>
      <w:pPr>
        <w:pStyle w:val="315"/>
        <w:widowControl/>
        <w:numPr>
          <w:ilvl w:val="0"/>
          <w:numId w:val="0"/>
        </w:numPr>
        <w:rPr>
          <w:b w:val="0"/>
          <w:bCs/>
          <w:color w:val="auto"/>
        </w:rPr>
      </w:pPr>
      <w:bookmarkStart w:id="502" w:name="_Toc54862191"/>
      <w:bookmarkStart w:id="503" w:name="_Hlk51506160"/>
      <w:r>
        <w:rPr>
          <w:rFonts w:hint="eastAsia"/>
          <w:b w:val="0"/>
          <w:bCs/>
          <w:color w:val="auto"/>
        </w:rPr>
        <w:t>1</w:t>
      </w:r>
      <w:r>
        <w:rPr>
          <w:b w:val="0"/>
          <w:bCs/>
          <w:color w:val="auto"/>
        </w:rPr>
        <w:t>.14 建筑信息模型技术的应用</w:t>
      </w:r>
      <w:bookmarkEnd w:id="502"/>
    </w:p>
    <w:bookmarkEnd w:id="503"/>
    <w:p>
      <w:pPr>
        <w:ind w:firstLine="600"/>
        <w:rPr>
          <w:rFonts w:ascii="仿宋_GB2312" w:eastAsia="仿宋_GB2312"/>
          <w:color w:val="auto"/>
          <w:sz w:val="24"/>
        </w:rPr>
      </w:pPr>
      <w:r>
        <w:rPr>
          <w:rFonts w:hint="eastAsia" w:ascii="仿宋_GB2312" w:eastAsia="仿宋_GB2312"/>
          <w:color w:val="auto"/>
          <w:sz w:val="24"/>
        </w:rPr>
        <w:t>如果项目中拟采用建筑信息模型技术，合同双方应遵守国家现行相关标准的规定，并符合项目所在地的相关地方标准或指南。合同双方应在专用合同条件中就建筑信息模型的开发、使用、存储、传输、交付及费用等相关内容进行约定。除专用合同条件另有约定外，承包人应负责与本项目中其他使用方协商。</w:t>
      </w:r>
    </w:p>
    <w:p>
      <w:pPr>
        <w:pStyle w:val="164"/>
        <w:numPr>
          <w:ilvl w:val="0"/>
          <w:numId w:val="0"/>
        </w:numPr>
        <w:wordWrap/>
        <w:topLinePunct w:val="0"/>
        <w:rPr>
          <w:b w:val="0"/>
          <w:bCs/>
          <w:color w:val="auto"/>
          <w:sz w:val="24"/>
          <w:szCs w:val="24"/>
        </w:rPr>
      </w:pPr>
      <w:bookmarkStart w:id="504" w:name="_Ref4796511"/>
      <w:bookmarkStart w:id="505" w:name="_Toc54862192"/>
      <w:r>
        <w:rPr>
          <w:rFonts w:hint="eastAsia"/>
          <w:b w:val="0"/>
          <w:bCs/>
          <w:color w:val="auto"/>
          <w:sz w:val="24"/>
          <w:szCs w:val="24"/>
        </w:rPr>
        <w:t>第2条 发包人</w:t>
      </w:r>
      <w:bookmarkEnd w:id="504"/>
      <w:bookmarkEnd w:id="505"/>
    </w:p>
    <w:p>
      <w:pPr>
        <w:pStyle w:val="315"/>
        <w:widowControl/>
        <w:numPr>
          <w:ilvl w:val="0"/>
          <w:numId w:val="0"/>
        </w:numPr>
        <w:rPr>
          <w:b w:val="0"/>
          <w:bCs/>
          <w:color w:val="auto"/>
        </w:rPr>
      </w:pPr>
      <w:bookmarkStart w:id="506" w:name="_Toc54862193"/>
      <w:r>
        <w:rPr>
          <w:rFonts w:hint="eastAsia"/>
          <w:b w:val="0"/>
          <w:bCs/>
          <w:color w:val="auto"/>
        </w:rPr>
        <w:t>2</w:t>
      </w:r>
      <w:r>
        <w:rPr>
          <w:b w:val="0"/>
          <w:bCs/>
          <w:color w:val="auto"/>
        </w:rPr>
        <w:t xml:space="preserve">.1 </w:t>
      </w:r>
      <w:r>
        <w:rPr>
          <w:rFonts w:hint="eastAsia"/>
          <w:b w:val="0"/>
          <w:bCs/>
          <w:color w:val="auto"/>
        </w:rPr>
        <w:t>遵守法律</w:t>
      </w:r>
      <w:bookmarkEnd w:id="506"/>
    </w:p>
    <w:p>
      <w:pPr>
        <w:ind w:firstLine="600"/>
        <w:rPr>
          <w:rFonts w:ascii="仿宋_GB2312" w:eastAsia="仿宋_GB2312"/>
          <w:color w:val="auto"/>
          <w:sz w:val="24"/>
        </w:rPr>
      </w:pPr>
      <w:r>
        <w:rPr>
          <w:rFonts w:hint="eastAsia" w:ascii="仿宋_GB2312" w:eastAsia="仿宋_GB2312"/>
          <w:color w:val="auto"/>
          <w:sz w:val="24"/>
        </w:rPr>
        <w:t>发包人在履行合同过程中应遵守法律，并承担因发包人违反法律给承包人造成的任何费用和损失。发包人不得以任何理由，要求承包人在工程实施过程中违反法律、行政法规以及建设工程质量、安全、环保标准，任意压缩合理工期或者降低工程质量。</w:t>
      </w:r>
    </w:p>
    <w:p>
      <w:pPr>
        <w:pStyle w:val="315"/>
        <w:widowControl/>
        <w:numPr>
          <w:ilvl w:val="0"/>
          <w:numId w:val="0"/>
        </w:numPr>
        <w:rPr>
          <w:rFonts w:hint="eastAsia"/>
          <w:b w:val="0"/>
          <w:bCs/>
          <w:color w:val="auto"/>
        </w:rPr>
      </w:pPr>
      <w:bookmarkStart w:id="507" w:name="_Ref11917977"/>
      <w:bookmarkStart w:id="508" w:name="_Toc54862194"/>
      <w:bookmarkStart w:id="509" w:name="_Ref11917995"/>
      <w:r>
        <w:rPr>
          <w:rFonts w:hint="eastAsia"/>
          <w:b w:val="0"/>
          <w:bCs/>
          <w:color w:val="auto"/>
        </w:rPr>
        <w:t>2</w:t>
      </w:r>
      <w:r>
        <w:rPr>
          <w:b w:val="0"/>
          <w:bCs/>
          <w:color w:val="auto"/>
        </w:rPr>
        <w:t xml:space="preserve">.2 </w:t>
      </w:r>
      <w:r>
        <w:rPr>
          <w:rFonts w:hint="eastAsia"/>
          <w:b w:val="0"/>
          <w:bCs/>
          <w:color w:val="auto"/>
        </w:rPr>
        <w:t>提供施工现场和工作条件</w:t>
      </w:r>
      <w:bookmarkEnd w:id="507"/>
      <w:bookmarkEnd w:id="508"/>
      <w:bookmarkEnd w:id="509"/>
      <w:bookmarkStart w:id="510" w:name="_Toc54862197"/>
      <w:bookmarkEnd w:id="510"/>
      <w:bookmarkStart w:id="511" w:name="_Toc51505124"/>
      <w:bookmarkEnd w:id="511"/>
      <w:bookmarkStart w:id="512" w:name="_Toc54862195"/>
      <w:bookmarkEnd w:id="512"/>
      <w:bookmarkStart w:id="513" w:name="_Toc54862196"/>
      <w:bookmarkEnd w:id="513"/>
      <w:bookmarkStart w:id="514" w:name="_Toc51505123"/>
      <w:bookmarkEnd w:id="514"/>
      <w:bookmarkStart w:id="515" w:name="_Toc51505125"/>
      <w:bookmarkEnd w:id="515"/>
      <w:bookmarkStart w:id="516" w:name="_Ref531950085"/>
    </w:p>
    <w:p>
      <w:pPr>
        <w:pStyle w:val="88"/>
        <w:numPr>
          <w:ilvl w:val="0"/>
          <w:numId w:val="0"/>
        </w:numPr>
        <w:rPr>
          <w:rFonts w:ascii="仿宋_GB2312" w:eastAsia="仿宋_GB2312"/>
          <w:color w:val="auto"/>
          <w:szCs w:val="24"/>
        </w:rPr>
      </w:pPr>
      <w:r>
        <w:rPr>
          <w:rFonts w:hint="eastAsia" w:ascii="仿宋_GB2312" w:eastAsia="仿宋_GB2312"/>
          <w:color w:val="auto"/>
          <w:szCs w:val="24"/>
        </w:rPr>
        <w:t>2</w:t>
      </w:r>
      <w:r>
        <w:rPr>
          <w:rFonts w:ascii="仿宋_GB2312" w:eastAsia="仿宋_GB2312"/>
          <w:color w:val="auto"/>
          <w:szCs w:val="24"/>
        </w:rPr>
        <w:t xml:space="preserve">.2.1 </w:t>
      </w:r>
      <w:r>
        <w:rPr>
          <w:rFonts w:hint="eastAsia" w:ascii="仿宋_GB2312" w:eastAsia="仿宋_GB2312"/>
          <w:color w:val="auto"/>
          <w:szCs w:val="24"/>
        </w:rPr>
        <w:t>提供施工</w:t>
      </w:r>
      <w:bookmarkEnd w:id="516"/>
      <w:r>
        <w:rPr>
          <w:rFonts w:hint="eastAsia" w:ascii="仿宋_GB2312" w:eastAsia="仿宋_GB2312"/>
          <w:color w:val="auto"/>
          <w:szCs w:val="24"/>
        </w:rPr>
        <w:t>现场</w:t>
      </w:r>
    </w:p>
    <w:p>
      <w:pPr>
        <w:ind w:firstLine="600"/>
        <w:rPr>
          <w:rFonts w:ascii="仿宋_GB2312" w:eastAsia="仿宋_GB2312"/>
          <w:color w:val="auto"/>
          <w:sz w:val="24"/>
        </w:rPr>
      </w:pPr>
      <w:r>
        <w:rPr>
          <w:rFonts w:hint="eastAsia" w:ascii="仿宋_GB2312" w:eastAsia="仿宋_GB2312"/>
          <w:color w:val="auto"/>
          <w:sz w:val="24"/>
        </w:rPr>
        <w:t>发包人应按专用合同条件约定向承包人移交施工现场，给承包人进入和占用施工现场各部分的权利，并明确与承包人的交接界面，上述进入和占用权可不为承包人独享。如专用合同条件没有约定移交时间的，则发包人应最迟于计划开始现场施工日期7天前向承包人移交施工现场，但承包人未能按照第4.2款[履约担保]提供履约担保的除外。</w:t>
      </w:r>
    </w:p>
    <w:p>
      <w:pPr>
        <w:pStyle w:val="88"/>
        <w:numPr>
          <w:ilvl w:val="0"/>
          <w:numId w:val="0"/>
        </w:numPr>
        <w:rPr>
          <w:rFonts w:ascii="仿宋_GB2312" w:eastAsia="仿宋_GB2312"/>
          <w:color w:val="auto"/>
          <w:szCs w:val="24"/>
        </w:rPr>
      </w:pPr>
      <w:bookmarkStart w:id="517" w:name="_Ref531950101"/>
      <w:r>
        <w:rPr>
          <w:rFonts w:hint="eastAsia" w:ascii="仿宋_GB2312" w:eastAsia="仿宋_GB2312"/>
          <w:color w:val="auto"/>
          <w:szCs w:val="24"/>
        </w:rPr>
        <w:t>2</w:t>
      </w:r>
      <w:r>
        <w:rPr>
          <w:rFonts w:ascii="仿宋_GB2312" w:eastAsia="仿宋_GB2312"/>
          <w:color w:val="auto"/>
          <w:szCs w:val="24"/>
        </w:rPr>
        <w:t xml:space="preserve">.2.2 </w:t>
      </w:r>
      <w:r>
        <w:rPr>
          <w:rFonts w:hint="eastAsia" w:ascii="仿宋_GB2312" w:eastAsia="仿宋_GB2312"/>
          <w:color w:val="auto"/>
          <w:szCs w:val="24"/>
        </w:rPr>
        <w:t>提供工作条件</w:t>
      </w:r>
      <w:bookmarkEnd w:id="517"/>
    </w:p>
    <w:p>
      <w:pPr>
        <w:ind w:firstLine="600"/>
        <w:rPr>
          <w:rFonts w:ascii="仿宋_GB2312" w:eastAsia="仿宋_GB2312"/>
          <w:color w:val="auto"/>
          <w:sz w:val="24"/>
        </w:rPr>
      </w:pPr>
      <w:r>
        <w:rPr>
          <w:rFonts w:hint="eastAsia" w:ascii="仿宋_GB2312" w:eastAsia="仿宋_GB2312"/>
          <w:color w:val="auto"/>
          <w:sz w:val="24"/>
        </w:rPr>
        <w:t>发包人应按专用合同条件约定向承包人提供工作条件。专用合同条件对此没有约定的，发包人应负责提供开展本合同相关工作所需要的条件，包括：</w:t>
      </w:r>
    </w:p>
    <w:p>
      <w:pPr>
        <w:ind w:firstLine="600"/>
        <w:rPr>
          <w:rFonts w:ascii="仿宋_GB2312" w:eastAsia="仿宋_GB2312"/>
          <w:color w:val="auto"/>
          <w:sz w:val="24"/>
        </w:rPr>
      </w:pPr>
      <w:r>
        <w:rPr>
          <w:rFonts w:hint="eastAsia" w:ascii="仿宋_GB2312" w:eastAsia="仿宋_GB2312"/>
          <w:color w:val="auto"/>
          <w:sz w:val="24"/>
        </w:rPr>
        <w:t>（1） 将施工用水、电力、通讯线路等施工所必需的条件接至施工现场内；</w:t>
      </w:r>
    </w:p>
    <w:p>
      <w:pPr>
        <w:ind w:firstLine="600"/>
        <w:rPr>
          <w:rFonts w:ascii="仿宋_GB2312" w:eastAsia="仿宋_GB2312"/>
          <w:color w:val="auto"/>
          <w:sz w:val="24"/>
        </w:rPr>
      </w:pPr>
      <w:r>
        <w:rPr>
          <w:rFonts w:hint="eastAsia" w:ascii="仿宋_GB2312" w:eastAsia="仿宋_GB2312"/>
          <w:color w:val="auto"/>
          <w:sz w:val="24"/>
        </w:rPr>
        <w:t>（2） 保证向承包人提供正常施工所需要的进入施工现场的交通条件；</w:t>
      </w:r>
    </w:p>
    <w:p>
      <w:pPr>
        <w:ind w:firstLine="600"/>
        <w:rPr>
          <w:rFonts w:ascii="仿宋_GB2312" w:eastAsia="仿宋_GB2312"/>
          <w:color w:val="auto"/>
          <w:sz w:val="24"/>
        </w:rPr>
      </w:pPr>
      <w:r>
        <w:rPr>
          <w:rFonts w:hint="eastAsia" w:ascii="仿宋_GB2312" w:eastAsia="仿宋_GB2312"/>
          <w:color w:val="auto"/>
          <w:sz w:val="24"/>
        </w:rPr>
        <w:t>（3） 协调处理施工现场周围地下管线和邻近建筑物、构筑物、古树名木、文物、化石及坟墓等的保护工作，并承担相关费用；</w:t>
      </w:r>
    </w:p>
    <w:p>
      <w:pPr>
        <w:ind w:firstLine="600"/>
        <w:rPr>
          <w:rFonts w:ascii="仿宋_GB2312" w:eastAsia="仿宋_GB2312"/>
          <w:color w:val="auto"/>
          <w:sz w:val="24"/>
        </w:rPr>
      </w:pPr>
      <w:r>
        <w:rPr>
          <w:rFonts w:hint="eastAsia" w:ascii="仿宋_GB2312" w:eastAsia="仿宋_GB2312"/>
          <w:color w:val="auto"/>
          <w:sz w:val="24"/>
        </w:rPr>
        <w:t>（4） 对工程现场临近发包人正在使用、运行、或由发包人用于生产的建筑物、构筑物、生产装置、设施、设备等，设置隔离设施，竖立禁止入内、禁止动火的明显标志，</w:t>
      </w:r>
      <w:r>
        <w:rPr>
          <w:rFonts w:ascii="仿宋_GB2312" w:eastAsia="仿宋_GB2312"/>
          <w:color w:val="auto"/>
          <w:sz w:val="24"/>
        </w:rPr>
        <w:t xml:space="preserve"> 并以书面形式通知承包人须遵守的安全规定和位置范围；</w:t>
      </w:r>
    </w:p>
    <w:p>
      <w:pPr>
        <w:ind w:firstLine="600"/>
        <w:rPr>
          <w:rFonts w:ascii="仿宋_GB2312" w:eastAsia="仿宋_GB2312"/>
          <w:color w:val="auto"/>
          <w:sz w:val="24"/>
        </w:rPr>
      </w:pPr>
      <w:r>
        <w:rPr>
          <w:rFonts w:hint="eastAsia" w:ascii="仿宋_GB2312" w:eastAsia="仿宋_GB2312"/>
          <w:color w:val="auto"/>
          <w:sz w:val="24"/>
        </w:rPr>
        <w:t>（5） 按照专用合同条件约定应提供的其他设施和条件。</w:t>
      </w:r>
    </w:p>
    <w:p>
      <w:pPr>
        <w:pStyle w:val="88"/>
        <w:numPr>
          <w:ilvl w:val="0"/>
          <w:numId w:val="0"/>
        </w:numPr>
        <w:rPr>
          <w:rFonts w:ascii="仿宋_GB2312" w:eastAsia="仿宋_GB2312"/>
          <w:color w:val="auto"/>
          <w:szCs w:val="24"/>
        </w:rPr>
      </w:pPr>
      <w:r>
        <w:rPr>
          <w:rFonts w:hint="eastAsia" w:ascii="仿宋_GB2312" w:eastAsia="仿宋_GB2312"/>
          <w:color w:val="auto"/>
          <w:szCs w:val="24"/>
        </w:rPr>
        <w:t>2</w:t>
      </w:r>
      <w:r>
        <w:rPr>
          <w:rFonts w:ascii="仿宋_GB2312" w:eastAsia="仿宋_GB2312"/>
          <w:color w:val="auto"/>
          <w:szCs w:val="24"/>
        </w:rPr>
        <w:t xml:space="preserve">.2.3 </w:t>
      </w:r>
      <w:r>
        <w:rPr>
          <w:rFonts w:hint="eastAsia" w:ascii="仿宋_GB2312" w:eastAsia="仿宋_GB2312"/>
          <w:color w:val="auto"/>
          <w:szCs w:val="24"/>
        </w:rPr>
        <w:t>逾期提供的责任</w:t>
      </w:r>
    </w:p>
    <w:p>
      <w:pPr>
        <w:ind w:firstLine="600"/>
        <w:rPr>
          <w:rFonts w:ascii="仿宋_GB2312" w:eastAsia="仿宋_GB2312"/>
          <w:color w:val="auto"/>
          <w:sz w:val="24"/>
        </w:rPr>
      </w:pPr>
      <w:r>
        <w:rPr>
          <w:rFonts w:hint="eastAsia" w:ascii="仿宋_GB2312" w:eastAsia="仿宋_GB2312"/>
          <w:color w:val="auto"/>
          <w:sz w:val="24"/>
        </w:rPr>
        <w:t>因发包人原因未能按合同约定及时向承包人提供施工现场和施工条件的，由发包人承担由此增加的费用和（或）延误的工期。</w:t>
      </w:r>
    </w:p>
    <w:p>
      <w:pPr>
        <w:pStyle w:val="315"/>
        <w:widowControl/>
        <w:numPr>
          <w:ilvl w:val="0"/>
          <w:numId w:val="0"/>
        </w:numPr>
        <w:rPr>
          <w:b w:val="0"/>
          <w:bCs/>
          <w:color w:val="auto"/>
        </w:rPr>
      </w:pPr>
      <w:bookmarkStart w:id="518" w:name="_Ref11956654"/>
      <w:bookmarkStart w:id="519" w:name="_Toc54862198"/>
      <w:bookmarkStart w:id="520" w:name="_Ref11918025"/>
      <w:bookmarkStart w:id="521" w:name="_Ref11918036"/>
      <w:bookmarkStart w:id="522" w:name="_Ref11956647"/>
      <w:r>
        <w:rPr>
          <w:rFonts w:hint="eastAsia"/>
          <w:b w:val="0"/>
          <w:bCs/>
          <w:color w:val="auto"/>
        </w:rPr>
        <w:t>2</w:t>
      </w:r>
      <w:r>
        <w:rPr>
          <w:b w:val="0"/>
          <w:bCs/>
          <w:color w:val="auto"/>
        </w:rPr>
        <w:t xml:space="preserve">.3 </w:t>
      </w:r>
      <w:r>
        <w:rPr>
          <w:rFonts w:hint="eastAsia"/>
          <w:b w:val="0"/>
          <w:bCs/>
          <w:color w:val="auto"/>
        </w:rPr>
        <w:t>提供基础资料</w:t>
      </w:r>
      <w:bookmarkEnd w:id="518"/>
      <w:bookmarkEnd w:id="519"/>
      <w:bookmarkEnd w:id="520"/>
      <w:bookmarkEnd w:id="521"/>
      <w:bookmarkEnd w:id="522"/>
    </w:p>
    <w:p>
      <w:pPr>
        <w:ind w:firstLine="600"/>
        <w:rPr>
          <w:rFonts w:ascii="仿宋_GB2312" w:eastAsia="仿宋_GB2312"/>
          <w:color w:val="auto"/>
          <w:sz w:val="24"/>
        </w:rPr>
      </w:pPr>
      <w:bookmarkStart w:id="523" w:name="_Hlk51506429"/>
      <w:r>
        <w:rPr>
          <w:rFonts w:hint="eastAsia" w:ascii="仿宋_GB2312" w:eastAsia="仿宋_GB2312"/>
          <w:color w:val="auto"/>
          <w:sz w:val="24"/>
        </w:rPr>
        <w:t>发包人应按专用合同条件和《发包人要求》中的约定向承包人提供</w:t>
      </w:r>
      <w:bookmarkEnd w:id="523"/>
      <w:r>
        <w:rPr>
          <w:rFonts w:hint="eastAsia" w:ascii="仿宋_GB2312" w:eastAsia="仿宋_GB2312"/>
          <w:color w:val="auto"/>
          <w:sz w:val="24"/>
        </w:rPr>
        <w:t>施工现场及工程实施所必需的毗邻区域内的供水、排水、供电、供气、供热、通信、广播电视等地上、地下管线和设施资料，气象和水文观测资料，地质勘察资料，相邻建筑物、构筑物和地下工程等有关基础资料，并根据第</w:t>
      </w:r>
      <w:r>
        <w:rPr>
          <w:rFonts w:ascii="仿宋_GB2312" w:eastAsia="仿宋_GB2312"/>
          <w:color w:val="auto"/>
          <w:sz w:val="24"/>
        </w:rPr>
        <w:t>1.12</w:t>
      </w:r>
      <w:r>
        <w:rPr>
          <w:rFonts w:hint="eastAsia" w:ascii="仿宋_GB2312" w:eastAsia="仿宋_GB2312"/>
          <w:color w:val="auto"/>
          <w:sz w:val="24"/>
        </w:rPr>
        <w:t>款[</w:t>
      </w:r>
      <w:r>
        <w:rPr>
          <w:rFonts w:ascii="仿宋_GB2312" w:eastAsia="仿宋_GB2312"/>
          <w:color w:val="auto"/>
          <w:sz w:val="24"/>
        </w:rPr>
        <w:t>《发包人要求》和基础资料中的错误</w:t>
      </w:r>
      <w:r>
        <w:rPr>
          <w:rFonts w:hint="eastAsia" w:ascii="仿宋_GB2312" w:eastAsia="仿宋_GB2312"/>
          <w:color w:val="auto"/>
          <w:sz w:val="24"/>
        </w:rPr>
        <w:t>]承担基础资料错误造成的责任。按照法律规定确需在开工后方能提供的基础资料，发包人应尽其努力及时地在相应工程实施前的合理期限内提供，合理期限应以不影响承包人的正常履约为限。因发包人原因未能在合理期限内提供相应基础资料的，由发包人承担由此增加的费用和延误的工期。</w:t>
      </w:r>
    </w:p>
    <w:p>
      <w:pPr>
        <w:pStyle w:val="315"/>
        <w:widowControl/>
        <w:numPr>
          <w:ilvl w:val="0"/>
          <w:numId w:val="0"/>
        </w:numPr>
        <w:rPr>
          <w:b w:val="0"/>
          <w:bCs/>
          <w:color w:val="auto"/>
        </w:rPr>
      </w:pPr>
      <w:bookmarkStart w:id="524" w:name="_Toc54862199"/>
      <w:bookmarkStart w:id="525" w:name="_Ref531950041"/>
      <w:bookmarkStart w:id="526" w:name="_Ref531950045"/>
      <w:r>
        <w:rPr>
          <w:rFonts w:hint="eastAsia"/>
          <w:b w:val="0"/>
          <w:bCs/>
          <w:color w:val="auto"/>
        </w:rPr>
        <w:t>2</w:t>
      </w:r>
      <w:r>
        <w:rPr>
          <w:b w:val="0"/>
          <w:bCs/>
          <w:color w:val="auto"/>
        </w:rPr>
        <w:t xml:space="preserve">.4 </w:t>
      </w:r>
      <w:r>
        <w:rPr>
          <w:rFonts w:hint="eastAsia"/>
          <w:b w:val="0"/>
          <w:bCs/>
          <w:color w:val="auto"/>
        </w:rPr>
        <w:t>办理许可和批准</w:t>
      </w:r>
      <w:bookmarkEnd w:id="524"/>
      <w:bookmarkEnd w:id="525"/>
      <w:bookmarkEnd w:id="526"/>
    </w:p>
    <w:p>
      <w:pPr>
        <w:pStyle w:val="88"/>
        <w:numPr>
          <w:ilvl w:val="0"/>
          <w:numId w:val="0"/>
        </w:numPr>
        <w:rPr>
          <w:rFonts w:ascii="仿宋_GB2312" w:eastAsia="仿宋_GB2312"/>
          <w:color w:val="auto"/>
          <w:szCs w:val="24"/>
        </w:rPr>
      </w:pPr>
      <w:bookmarkStart w:id="527" w:name="_Toc51505128"/>
      <w:r>
        <w:rPr>
          <w:rFonts w:hint="eastAsia" w:ascii="仿宋_GB2312" w:eastAsia="仿宋_GB2312"/>
          <w:color w:val="auto"/>
          <w:szCs w:val="24"/>
        </w:rPr>
        <w:t>2</w:t>
      </w:r>
      <w:r>
        <w:rPr>
          <w:rFonts w:ascii="仿宋_GB2312" w:eastAsia="仿宋_GB2312"/>
          <w:color w:val="auto"/>
          <w:szCs w:val="24"/>
        </w:rPr>
        <w:t xml:space="preserve">.4.1 </w:t>
      </w:r>
      <w:r>
        <w:rPr>
          <w:rFonts w:hint="eastAsia" w:ascii="仿宋_GB2312" w:eastAsia="仿宋_GB2312"/>
          <w:color w:val="auto"/>
          <w:szCs w:val="24"/>
        </w:rPr>
        <w:t>发包人在履行合同过程中应遵守法律，并办理法律规定或合同约定由其办理的许可、批准或备案，包括但不限于建设用地规划许可证、建设工程规划许可证、建设工程施工许可证等许可和批准。对于法律规定或合同约定由承包人负责的有关设计、施工证件、批件或备案，发包人应给予必要的协助。</w:t>
      </w:r>
      <w:bookmarkEnd w:id="527"/>
    </w:p>
    <w:p>
      <w:pPr>
        <w:pStyle w:val="88"/>
        <w:numPr>
          <w:ilvl w:val="0"/>
          <w:numId w:val="0"/>
        </w:numPr>
        <w:rPr>
          <w:rFonts w:ascii="仿宋_GB2312" w:eastAsia="仿宋_GB2312"/>
          <w:color w:val="auto"/>
          <w:szCs w:val="24"/>
        </w:rPr>
      </w:pPr>
      <w:bookmarkStart w:id="528" w:name="_Toc51505129"/>
      <w:r>
        <w:rPr>
          <w:rFonts w:hint="eastAsia" w:ascii="仿宋_GB2312" w:eastAsia="仿宋_GB2312"/>
          <w:color w:val="auto"/>
          <w:szCs w:val="24"/>
        </w:rPr>
        <w:t>2</w:t>
      </w:r>
      <w:r>
        <w:rPr>
          <w:rFonts w:ascii="仿宋_GB2312" w:eastAsia="仿宋_GB2312"/>
          <w:color w:val="auto"/>
          <w:szCs w:val="24"/>
        </w:rPr>
        <w:t xml:space="preserve">.4.2 </w:t>
      </w:r>
      <w:r>
        <w:rPr>
          <w:rFonts w:hint="eastAsia" w:ascii="仿宋_GB2312" w:eastAsia="仿宋_GB2312"/>
          <w:color w:val="auto"/>
          <w:szCs w:val="24"/>
        </w:rPr>
        <w:t>因发包人原因未能及时办理完毕前述许可、批准或备案，由发包人承担由此增加的费用和（或）延误的工期，并支付承包人合理的利润。</w:t>
      </w:r>
      <w:bookmarkEnd w:id="528"/>
    </w:p>
    <w:p>
      <w:pPr>
        <w:pStyle w:val="315"/>
        <w:widowControl/>
        <w:numPr>
          <w:ilvl w:val="0"/>
          <w:numId w:val="0"/>
        </w:numPr>
        <w:rPr>
          <w:b w:val="0"/>
          <w:bCs/>
          <w:color w:val="auto"/>
        </w:rPr>
      </w:pPr>
      <w:bookmarkStart w:id="529" w:name="_Ref11918070"/>
      <w:bookmarkStart w:id="530" w:name="_Toc54862200"/>
      <w:bookmarkStart w:id="531" w:name="_Ref11918060"/>
      <w:bookmarkStart w:id="532" w:name="_Ref11956525"/>
      <w:bookmarkStart w:id="533" w:name="_Ref11956533"/>
      <w:r>
        <w:rPr>
          <w:rFonts w:hint="eastAsia"/>
          <w:b w:val="0"/>
          <w:bCs/>
          <w:color w:val="auto"/>
        </w:rPr>
        <w:t>2</w:t>
      </w:r>
      <w:r>
        <w:rPr>
          <w:b w:val="0"/>
          <w:bCs/>
          <w:color w:val="auto"/>
        </w:rPr>
        <w:t>.5 支付合同价款</w:t>
      </w:r>
      <w:bookmarkEnd w:id="529"/>
      <w:bookmarkEnd w:id="530"/>
      <w:bookmarkEnd w:id="531"/>
      <w:bookmarkEnd w:id="532"/>
      <w:bookmarkEnd w:id="533"/>
    </w:p>
    <w:p>
      <w:pPr>
        <w:pStyle w:val="88"/>
        <w:numPr>
          <w:ilvl w:val="0"/>
          <w:numId w:val="0"/>
        </w:numPr>
        <w:rPr>
          <w:rFonts w:ascii="仿宋_GB2312" w:eastAsia="仿宋_GB2312"/>
          <w:color w:val="auto"/>
          <w:szCs w:val="24"/>
        </w:rPr>
      </w:pPr>
      <w:bookmarkStart w:id="534" w:name="_Toc51505131"/>
      <w:bookmarkStart w:id="535" w:name="_Ref531950147"/>
      <w:r>
        <w:rPr>
          <w:rFonts w:hint="eastAsia" w:ascii="仿宋_GB2312" w:eastAsia="仿宋_GB2312"/>
          <w:color w:val="auto"/>
          <w:szCs w:val="24"/>
        </w:rPr>
        <w:t>2</w:t>
      </w:r>
      <w:r>
        <w:rPr>
          <w:rFonts w:ascii="仿宋_GB2312" w:eastAsia="仿宋_GB2312"/>
          <w:color w:val="auto"/>
          <w:szCs w:val="24"/>
        </w:rPr>
        <w:t xml:space="preserve">.5.1 </w:t>
      </w:r>
      <w:r>
        <w:rPr>
          <w:rFonts w:hint="eastAsia" w:ascii="仿宋_GB2312" w:eastAsia="仿宋_GB2312"/>
          <w:color w:val="auto"/>
          <w:szCs w:val="24"/>
        </w:rPr>
        <w:t>发包人应按合同约定向承包人及时支付合同价款。</w:t>
      </w:r>
      <w:bookmarkEnd w:id="534"/>
    </w:p>
    <w:bookmarkEnd w:id="535"/>
    <w:p>
      <w:pPr>
        <w:pStyle w:val="88"/>
        <w:numPr>
          <w:ilvl w:val="0"/>
          <w:numId w:val="0"/>
        </w:numPr>
        <w:rPr>
          <w:rFonts w:ascii="仿宋_GB2312" w:eastAsia="仿宋_GB2312"/>
          <w:color w:val="auto"/>
          <w:szCs w:val="24"/>
        </w:rPr>
      </w:pPr>
      <w:bookmarkStart w:id="536" w:name="_Toc51505132"/>
      <w:r>
        <w:rPr>
          <w:rFonts w:hint="eastAsia" w:ascii="仿宋_GB2312" w:eastAsia="仿宋_GB2312"/>
          <w:color w:val="auto"/>
          <w:szCs w:val="24"/>
        </w:rPr>
        <w:t>2</w:t>
      </w:r>
      <w:r>
        <w:rPr>
          <w:rFonts w:ascii="仿宋_GB2312" w:eastAsia="仿宋_GB2312"/>
          <w:color w:val="auto"/>
          <w:szCs w:val="24"/>
        </w:rPr>
        <w:t xml:space="preserve">.5.2 </w:t>
      </w:r>
      <w:r>
        <w:rPr>
          <w:rFonts w:hint="eastAsia" w:ascii="仿宋_GB2312" w:eastAsia="仿宋_GB2312"/>
          <w:color w:val="auto"/>
          <w:szCs w:val="24"/>
        </w:rPr>
        <w:t>发包人应当制定资金安排计划，除专用合同条件另有约定外，如发包人拟对资金安排做任何重要变更，应将变更的详细情况通知承包人。如发生承包人收到价格大于签约合同价</w:t>
      </w:r>
      <w:r>
        <w:rPr>
          <w:rFonts w:ascii="仿宋_GB2312" w:eastAsia="仿宋_GB2312"/>
          <w:color w:val="auto"/>
          <w:szCs w:val="24"/>
        </w:rPr>
        <w:t>10%</w:t>
      </w:r>
      <w:r>
        <w:rPr>
          <w:rFonts w:hint="eastAsia" w:ascii="仿宋_GB2312" w:eastAsia="仿宋_GB2312"/>
          <w:color w:val="auto"/>
          <w:szCs w:val="24"/>
        </w:rPr>
        <w:t>的变更指示或累计变更的总价超过签约合同价</w:t>
      </w:r>
      <w:r>
        <w:rPr>
          <w:rFonts w:ascii="仿宋_GB2312" w:eastAsia="仿宋_GB2312"/>
          <w:color w:val="auto"/>
          <w:szCs w:val="24"/>
        </w:rPr>
        <w:t>30%；或承包人未能根据</w:t>
      </w:r>
      <w:r>
        <w:rPr>
          <w:rFonts w:hint="eastAsia" w:ascii="仿宋_GB2312" w:eastAsia="仿宋_GB2312"/>
          <w:color w:val="auto"/>
          <w:szCs w:val="24"/>
        </w:rPr>
        <w:t>第</w:t>
      </w:r>
      <w:r>
        <w:rPr>
          <w:rFonts w:ascii="仿宋_GB2312" w:eastAsia="仿宋_GB2312"/>
          <w:color w:val="auto"/>
          <w:szCs w:val="24"/>
        </w:rPr>
        <w:t>14条</w:t>
      </w:r>
      <w:r>
        <w:rPr>
          <w:rFonts w:hint="eastAsia" w:ascii="仿宋_GB2312" w:eastAsia="仿宋_GB2312"/>
          <w:color w:val="auto"/>
          <w:szCs w:val="24"/>
        </w:rPr>
        <w:t>[合同价格与支付]收到付款，或承包人得知发包人的资金安排发生重要变更但并未收到发包人上述重要变更通知的情况，则承包人可随时要求发包人在</w:t>
      </w:r>
      <w:r>
        <w:rPr>
          <w:rFonts w:ascii="仿宋_GB2312" w:eastAsia="仿宋_GB2312"/>
          <w:color w:val="auto"/>
          <w:szCs w:val="24"/>
        </w:rPr>
        <w:t>28</w:t>
      </w:r>
      <w:r>
        <w:rPr>
          <w:rFonts w:hint="eastAsia" w:ascii="仿宋_GB2312" w:eastAsia="仿宋_GB2312"/>
          <w:color w:val="auto"/>
          <w:szCs w:val="24"/>
        </w:rPr>
        <w:t>天内补充提供能够按照合同约定支付合同价款的相应资金来源证明。</w:t>
      </w:r>
      <w:bookmarkEnd w:id="536"/>
    </w:p>
    <w:p>
      <w:pPr>
        <w:pStyle w:val="88"/>
        <w:numPr>
          <w:ilvl w:val="0"/>
          <w:numId w:val="0"/>
        </w:numPr>
        <w:rPr>
          <w:rFonts w:ascii="仿宋_GB2312" w:eastAsia="仿宋_GB2312"/>
          <w:color w:val="auto"/>
          <w:szCs w:val="24"/>
        </w:rPr>
      </w:pPr>
      <w:bookmarkStart w:id="537" w:name="_Toc51505133"/>
      <w:bookmarkStart w:id="538" w:name="_Ref531950161"/>
      <w:r>
        <w:rPr>
          <w:rFonts w:hint="eastAsia" w:ascii="仿宋_GB2312" w:eastAsia="仿宋_GB2312"/>
          <w:color w:val="auto"/>
          <w:szCs w:val="24"/>
        </w:rPr>
        <w:t>2</w:t>
      </w:r>
      <w:r>
        <w:rPr>
          <w:rFonts w:ascii="仿宋_GB2312" w:eastAsia="仿宋_GB2312"/>
          <w:color w:val="auto"/>
          <w:szCs w:val="24"/>
        </w:rPr>
        <w:t xml:space="preserve">.5.3 </w:t>
      </w:r>
      <w:r>
        <w:rPr>
          <w:rFonts w:hint="eastAsia" w:ascii="仿宋_GB2312" w:eastAsia="仿宋_GB2312"/>
          <w:color w:val="auto"/>
          <w:szCs w:val="24"/>
        </w:rPr>
        <w:t>发包人应当向承包人提供支付担保。支付担保可以采用银行保函或担保公司担保等形式，具体由合同当事人在专用合同条件中约定。</w:t>
      </w:r>
      <w:bookmarkEnd w:id="537"/>
      <w:bookmarkEnd w:id="538"/>
    </w:p>
    <w:p>
      <w:pPr>
        <w:pStyle w:val="315"/>
        <w:widowControl/>
        <w:numPr>
          <w:ilvl w:val="0"/>
          <w:numId w:val="0"/>
        </w:numPr>
        <w:rPr>
          <w:b w:val="0"/>
          <w:bCs/>
          <w:color w:val="auto"/>
        </w:rPr>
      </w:pPr>
      <w:bookmarkStart w:id="539" w:name="_Toc54862201"/>
      <w:r>
        <w:rPr>
          <w:rFonts w:hint="eastAsia"/>
          <w:b w:val="0"/>
          <w:bCs/>
          <w:color w:val="auto"/>
        </w:rPr>
        <w:t>2</w:t>
      </w:r>
      <w:r>
        <w:rPr>
          <w:b w:val="0"/>
          <w:bCs/>
          <w:color w:val="auto"/>
        </w:rPr>
        <w:t xml:space="preserve">.6 </w:t>
      </w:r>
      <w:r>
        <w:rPr>
          <w:rFonts w:hint="eastAsia"/>
          <w:b w:val="0"/>
          <w:bCs/>
          <w:color w:val="auto"/>
        </w:rPr>
        <w:t>现场管理配合</w:t>
      </w:r>
      <w:bookmarkEnd w:id="539"/>
    </w:p>
    <w:p>
      <w:pPr>
        <w:ind w:firstLine="600"/>
        <w:rPr>
          <w:rFonts w:ascii="仿宋_GB2312" w:eastAsia="仿宋_GB2312"/>
          <w:color w:val="auto"/>
          <w:sz w:val="24"/>
        </w:rPr>
      </w:pPr>
      <w:r>
        <w:rPr>
          <w:rFonts w:hint="eastAsia" w:ascii="仿宋_GB2312" w:eastAsia="仿宋_GB2312"/>
          <w:color w:val="auto"/>
          <w:sz w:val="24"/>
        </w:rPr>
        <w:t>发包人应负责保证在现场或现场附近的发包人人员和发包人的其他承包人（如有）：</w:t>
      </w:r>
    </w:p>
    <w:p>
      <w:pPr>
        <w:ind w:firstLine="600"/>
        <w:rPr>
          <w:rFonts w:ascii="仿宋_GB2312" w:eastAsia="仿宋_GB2312"/>
          <w:color w:val="auto"/>
          <w:sz w:val="24"/>
        </w:rPr>
      </w:pPr>
      <w:r>
        <w:rPr>
          <w:rFonts w:hint="eastAsia" w:ascii="仿宋_GB2312" w:eastAsia="仿宋_GB2312"/>
          <w:color w:val="auto"/>
          <w:sz w:val="24"/>
        </w:rPr>
        <w:t>（1）</w:t>
      </w:r>
      <w:r>
        <w:rPr>
          <w:rFonts w:ascii="仿宋_GB2312" w:eastAsia="仿宋_GB2312"/>
          <w:color w:val="auto"/>
          <w:sz w:val="24"/>
        </w:rPr>
        <w:t xml:space="preserve"> </w:t>
      </w:r>
      <w:r>
        <w:rPr>
          <w:rFonts w:hint="eastAsia" w:ascii="仿宋_GB2312" w:eastAsia="仿宋_GB2312"/>
          <w:color w:val="auto"/>
          <w:sz w:val="24"/>
        </w:rPr>
        <w:t>根据第</w:t>
      </w:r>
      <w:r>
        <w:rPr>
          <w:rFonts w:ascii="仿宋_GB2312" w:eastAsia="仿宋_GB2312"/>
          <w:color w:val="auto"/>
          <w:sz w:val="24"/>
        </w:rPr>
        <w:t>7.3</w:t>
      </w:r>
      <w:r>
        <w:rPr>
          <w:rFonts w:hint="eastAsia" w:ascii="仿宋_GB2312" w:eastAsia="仿宋_GB2312"/>
          <w:color w:val="auto"/>
          <w:sz w:val="24"/>
        </w:rPr>
        <w:t>款[现场合作]的约定，与承包人进行合作；</w:t>
      </w:r>
    </w:p>
    <w:p>
      <w:pPr>
        <w:ind w:firstLine="600"/>
        <w:rPr>
          <w:rFonts w:ascii="仿宋_GB2312" w:eastAsia="仿宋_GB2312"/>
          <w:color w:val="auto"/>
          <w:sz w:val="24"/>
        </w:rPr>
      </w:pPr>
      <w:r>
        <w:rPr>
          <w:rFonts w:hint="eastAsia" w:ascii="仿宋_GB2312" w:eastAsia="仿宋_GB2312"/>
          <w:color w:val="auto"/>
          <w:sz w:val="24"/>
        </w:rPr>
        <w:t>（2）</w:t>
      </w:r>
      <w:r>
        <w:rPr>
          <w:rFonts w:ascii="仿宋_GB2312" w:eastAsia="仿宋_GB2312"/>
          <w:color w:val="auto"/>
          <w:sz w:val="24"/>
        </w:rPr>
        <w:t xml:space="preserve"> </w:t>
      </w:r>
      <w:r>
        <w:rPr>
          <w:rFonts w:hint="eastAsia" w:ascii="仿宋_GB2312" w:eastAsia="仿宋_GB2312"/>
          <w:color w:val="auto"/>
          <w:sz w:val="24"/>
        </w:rPr>
        <w:t>遵守第</w:t>
      </w:r>
      <w:r>
        <w:rPr>
          <w:rFonts w:ascii="仿宋_GB2312" w:eastAsia="仿宋_GB2312"/>
          <w:color w:val="auto"/>
          <w:sz w:val="24"/>
        </w:rPr>
        <w:t>7.5</w:t>
      </w:r>
      <w:r>
        <w:rPr>
          <w:rFonts w:hint="eastAsia" w:ascii="仿宋_GB2312" w:eastAsia="仿宋_GB2312"/>
          <w:color w:val="auto"/>
          <w:sz w:val="24"/>
        </w:rPr>
        <w:t>款[现场劳动用工</w:t>
      </w:r>
      <w:r>
        <w:rPr>
          <w:rFonts w:ascii="仿宋_GB2312" w:eastAsia="仿宋_GB2312"/>
          <w:color w:val="auto"/>
          <w:sz w:val="24"/>
        </w:rPr>
        <w:t>]</w:t>
      </w:r>
      <w:r>
        <w:rPr>
          <w:rFonts w:hint="eastAsia" w:ascii="仿宋_GB2312" w:eastAsia="仿宋_GB2312"/>
          <w:color w:val="auto"/>
          <w:sz w:val="24"/>
        </w:rPr>
        <w:t>、第7</w:t>
      </w:r>
      <w:r>
        <w:rPr>
          <w:rFonts w:ascii="仿宋_GB2312" w:eastAsia="仿宋_GB2312"/>
          <w:color w:val="auto"/>
          <w:sz w:val="24"/>
        </w:rPr>
        <w:t>.6</w:t>
      </w:r>
      <w:r>
        <w:rPr>
          <w:rFonts w:hint="eastAsia" w:ascii="仿宋_GB2312" w:eastAsia="仿宋_GB2312"/>
          <w:color w:val="auto"/>
          <w:sz w:val="24"/>
        </w:rPr>
        <w:t>款[安全文明施工]、第</w:t>
      </w:r>
      <w:r>
        <w:rPr>
          <w:rFonts w:ascii="仿宋_GB2312" w:eastAsia="仿宋_GB2312"/>
          <w:color w:val="auto"/>
          <w:sz w:val="24"/>
        </w:rPr>
        <w:t>7.7</w:t>
      </w:r>
      <w:r>
        <w:rPr>
          <w:rFonts w:hint="eastAsia" w:ascii="仿宋_GB2312" w:eastAsia="仿宋_GB2312"/>
          <w:color w:val="auto"/>
          <w:sz w:val="24"/>
        </w:rPr>
        <w:t>款[职业健康</w:t>
      </w:r>
      <w:bookmarkStart w:id="540" w:name="_Ref531952761"/>
      <w:bookmarkStart w:id="541" w:name="_Ref531952756"/>
      <w:r>
        <w:rPr>
          <w:rFonts w:hint="eastAsia" w:ascii="仿宋_GB2312" w:eastAsia="仿宋_GB2312"/>
          <w:color w:val="auto"/>
          <w:sz w:val="24"/>
        </w:rPr>
        <w:t>]和第</w:t>
      </w:r>
      <w:r>
        <w:rPr>
          <w:rFonts w:ascii="仿宋_GB2312" w:eastAsia="仿宋_GB2312"/>
          <w:color w:val="auto"/>
          <w:sz w:val="24"/>
        </w:rPr>
        <w:t>7.8</w:t>
      </w:r>
      <w:r>
        <w:rPr>
          <w:rFonts w:hint="eastAsia" w:ascii="仿宋_GB2312" w:eastAsia="仿宋_GB2312"/>
          <w:color w:val="auto"/>
          <w:sz w:val="24"/>
        </w:rPr>
        <w:t>款[</w:t>
      </w:r>
      <w:r>
        <w:rPr>
          <w:rFonts w:ascii="仿宋_GB2312" w:eastAsia="仿宋_GB2312"/>
          <w:color w:val="auto"/>
          <w:sz w:val="24"/>
        </w:rPr>
        <w:t>环境保护</w:t>
      </w:r>
      <w:r>
        <w:rPr>
          <w:rFonts w:hint="eastAsia" w:ascii="仿宋_GB2312" w:eastAsia="仿宋_GB2312"/>
          <w:color w:val="auto"/>
          <w:sz w:val="24"/>
        </w:rPr>
        <w:t>]的相关约定。</w:t>
      </w:r>
    </w:p>
    <w:p>
      <w:pPr>
        <w:ind w:firstLine="600"/>
        <w:rPr>
          <w:rFonts w:ascii="仿宋_GB2312" w:eastAsia="仿宋_GB2312"/>
          <w:color w:val="auto"/>
          <w:sz w:val="24"/>
        </w:rPr>
      </w:pPr>
      <w:r>
        <w:rPr>
          <w:rFonts w:hint="eastAsia" w:ascii="仿宋_GB2312" w:eastAsia="仿宋_GB2312"/>
          <w:color w:val="auto"/>
          <w:sz w:val="24"/>
        </w:rPr>
        <w:t>发包人应与承包人、由发包人直接发包的其他承包人（如有）订立施工现场统一管理协议，明确各方的权利义务。</w:t>
      </w:r>
    </w:p>
    <w:p>
      <w:pPr>
        <w:pStyle w:val="315"/>
        <w:widowControl/>
        <w:numPr>
          <w:ilvl w:val="0"/>
          <w:numId w:val="0"/>
        </w:numPr>
        <w:rPr>
          <w:b w:val="0"/>
          <w:bCs/>
          <w:color w:val="auto"/>
        </w:rPr>
      </w:pPr>
      <w:bookmarkStart w:id="542" w:name="_Ref11959372"/>
      <w:bookmarkStart w:id="543" w:name="_Toc54862202"/>
      <w:bookmarkStart w:id="544" w:name="_Ref11959376"/>
      <w:r>
        <w:rPr>
          <w:rFonts w:hint="eastAsia"/>
          <w:b w:val="0"/>
          <w:bCs/>
          <w:color w:val="auto"/>
        </w:rPr>
        <w:t>2</w:t>
      </w:r>
      <w:r>
        <w:rPr>
          <w:b w:val="0"/>
          <w:bCs/>
          <w:color w:val="auto"/>
        </w:rPr>
        <w:t xml:space="preserve">.7 </w:t>
      </w:r>
      <w:r>
        <w:rPr>
          <w:rFonts w:hint="eastAsia"/>
          <w:b w:val="0"/>
          <w:bCs/>
          <w:color w:val="auto"/>
        </w:rPr>
        <w:t>其他义务</w:t>
      </w:r>
      <w:bookmarkEnd w:id="542"/>
      <w:bookmarkEnd w:id="543"/>
      <w:bookmarkEnd w:id="544"/>
    </w:p>
    <w:p>
      <w:pPr>
        <w:ind w:firstLine="600"/>
        <w:rPr>
          <w:rFonts w:ascii="仿宋_GB2312" w:eastAsia="仿宋_GB2312"/>
          <w:color w:val="auto"/>
          <w:sz w:val="24"/>
        </w:rPr>
      </w:pPr>
      <w:r>
        <w:rPr>
          <w:rFonts w:hint="eastAsia" w:ascii="仿宋_GB2312" w:eastAsia="仿宋_GB2312"/>
          <w:color w:val="auto"/>
          <w:sz w:val="24"/>
        </w:rPr>
        <w:t>发包人应履行合同约定的其他义务，双方可在专用合同条件内对发包人应履行的其他义务进行补充约定。</w:t>
      </w:r>
    </w:p>
    <w:bookmarkEnd w:id="540"/>
    <w:bookmarkEnd w:id="541"/>
    <w:p>
      <w:pPr>
        <w:pStyle w:val="164"/>
        <w:numPr>
          <w:ilvl w:val="0"/>
          <w:numId w:val="0"/>
        </w:numPr>
        <w:wordWrap/>
        <w:topLinePunct w:val="0"/>
        <w:rPr>
          <w:b w:val="0"/>
          <w:bCs/>
          <w:color w:val="auto"/>
          <w:sz w:val="24"/>
          <w:szCs w:val="24"/>
        </w:rPr>
      </w:pPr>
      <w:bookmarkStart w:id="545" w:name="_Toc54862203"/>
      <w:bookmarkStart w:id="546" w:name="_Ref531952791"/>
      <w:r>
        <w:rPr>
          <w:rFonts w:hint="eastAsia"/>
          <w:b w:val="0"/>
          <w:bCs/>
          <w:color w:val="auto"/>
          <w:sz w:val="24"/>
          <w:szCs w:val="24"/>
        </w:rPr>
        <w:t>第3条 发包人的管理</w:t>
      </w:r>
      <w:bookmarkEnd w:id="545"/>
      <w:bookmarkEnd w:id="546"/>
    </w:p>
    <w:p>
      <w:pPr>
        <w:pStyle w:val="315"/>
        <w:widowControl/>
        <w:numPr>
          <w:ilvl w:val="0"/>
          <w:numId w:val="0"/>
        </w:numPr>
        <w:rPr>
          <w:b w:val="0"/>
          <w:bCs/>
          <w:color w:val="auto"/>
        </w:rPr>
      </w:pPr>
      <w:bookmarkStart w:id="547" w:name="_Ref522810097"/>
      <w:bookmarkStart w:id="548" w:name="_Ref522810094"/>
      <w:bookmarkStart w:id="549" w:name="_Ref531951533"/>
      <w:bookmarkStart w:id="550" w:name="_Ref531951538"/>
      <w:bookmarkStart w:id="551" w:name="_Toc54862204"/>
      <w:r>
        <w:rPr>
          <w:rFonts w:hint="eastAsia"/>
          <w:b w:val="0"/>
          <w:bCs/>
          <w:color w:val="auto"/>
        </w:rPr>
        <w:t>3</w:t>
      </w:r>
      <w:r>
        <w:rPr>
          <w:b w:val="0"/>
          <w:bCs/>
          <w:color w:val="auto"/>
        </w:rPr>
        <w:t xml:space="preserve">.1 </w:t>
      </w:r>
      <w:r>
        <w:rPr>
          <w:rFonts w:hint="eastAsia"/>
          <w:b w:val="0"/>
          <w:bCs/>
          <w:color w:val="auto"/>
        </w:rPr>
        <w:t>发包人</w:t>
      </w:r>
      <w:bookmarkEnd w:id="547"/>
      <w:bookmarkEnd w:id="548"/>
      <w:r>
        <w:rPr>
          <w:rFonts w:hint="eastAsia"/>
          <w:b w:val="0"/>
          <w:bCs/>
          <w:color w:val="auto"/>
        </w:rPr>
        <w:t>代表</w:t>
      </w:r>
      <w:bookmarkEnd w:id="549"/>
      <w:bookmarkEnd w:id="550"/>
      <w:bookmarkEnd w:id="551"/>
    </w:p>
    <w:p>
      <w:pPr>
        <w:ind w:firstLine="600"/>
        <w:rPr>
          <w:rFonts w:ascii="仿宋_GB2312" w:eastAsia="仿宋_GB2312"/>
          <w:color w:val="auto"/>
          <w:sz w:val="24"/>
        </w:rPr>
      </w:pPr>
      <w:r>
        <w:rPr>
          <w:rFonts w:hint="eastAsia" w:ascii="仿宋_GB2312" w:eastAsia="仿宋_GB2312"/>
          <w:color w:val="auto"/>
          <w:sz w:val="24"/>
        </w:rPr>
        <w:t>发包人应任命发包人代表，并在专用合同条件中明确发包人代表的姓名、职务、联系方式及授权范围等事项。发包人代表应在发包人的授权范围内，负责处理合同履行过程中与发包人有关的具体事宜。发包人代表在授权范围内的行为由发包人承担法律责任。</w:t>
      </w:r>
    </w:p>
    <w:p>
      <w:pPr>
        <w:ind w:firstLine="600"/>
        <w:rPr>
          <w:rFonts w:ascii="仿宋_GB2312" w:eastAsia="仿宋_GB2312"/>
          <w:color w:val="auto"/>
          <w:sz w:val="24"/>
        </w:rPr>
      </w:pPr>
      <w:r>
        <w:rPr>
          <w:rFonts w:hint="eastAsia" w:ascii="仿宋_GB2312" w:eastAsia="仿宋_GB2312"/>
          <w:color w:val="auto"/>
          <w:sz w:val="24"/>
        </w:rPr>
        <w:t>除非发包人另行通知承包人，发包人代表应被授予并且被认为具有发包人在授权范围内享有的相应权利，涉及第</w:t>
      </w:r>
      <w:r>
        <w:rPr>
          <w:rFonts w:ascii="仿宋_GB2312" w:eastAsia="仿宋_GB2312"/>
          <w:color w:val="auto"/>
          <w:sz w:val="24"/>
        </w:rPr>
        <w:t>16.1</w:t>
      </w:r>
      <w:r>
        <w:rPr>
          <w:rFonts w:hint="eastAsia" w:ascii="仿宋_GB2312" w:eastAsia="仿宋_GB2312"/>
          <w:color w:val="auto"/>
          <w:sz w:val="24"/>
        </w:rPr>
        <w:t>款[由发包人解除合同]的权利除外。</w:t>
      </w:r>
    </w:p>
    <w:p>
      <w:pPr>
        <w:ind w:firstLine="600"/>
        <w:rPr>
          <w:rFonts w:ascii="仿宋_GB2312" w:eastAsia="仿宋_GB2312"/>
          <w:color w:val="auto"/>
          <w:sz w:val="24"/>
        </w:rPr>
      </w:pPr>
      <w:r>
        <w:rPr>
          <w:rFonts w:hint="eastAsia" w:ascii="仿宋_GB2312" w:eastAsia="仿宋_GB2312"/>
          <w:color w:val="auto"/>
          <w:sz w:val="24"/>
        </w:rPr>
        <w:t>发包人代表（或者在其为法人的情况下，被任命代表其行事的自然人）应：</w:t>
      </w:r>
    </w:p>
    <w:p>
      <w:pPr>
        <w:ind w:firstLine="600"/>
        <w:rPr>
          <w:rFonts w:ascii="仿宋_GB2312" w:eastAsia="仿宋_GB2312"/>
          <w:color w:val="auto"/>
          <w:sz w:val="24"/>
        </w:rPr>
      </w:pPr>
      <w:r>
        <w:rPr>
          <w:rFonts w:hint="eastAsia" w:ascii="仿宋_GB2312" w:eastAsia="仿宋_GB2312"/>
          <w:color w:val="auto"/>
          <w:sz w:val="24"/>
        </w:rPr>
        <w:t>（1） 履行指派给其的职责，行使发包人托付给的权利；</w:t>
      </w:r>
    </w:p>
    <w:p>
      <w:pPr>
        <w:ind w:firstLine="600"/>
        <w:rPr>
          <w:rFonts w:ascii="仿宋_GB2312" w:eastAsia="仿宋_GB2312"/>
          <w:color w:val="auto"/>
          <w:sz w:val="24"/>
        </w:rPr>
      </w:pPr>
      <w:r>
        <w:rPr>
          <w:rFonts w:hint="eastAsia" w:ascii="仿宋_GB2312" w:eastAsia="仿宋_GB2312"/>
          <w:color w:val="auto"/>
          <w:sz w:val="24"/>
        </w:rPr>
        <w:t>（2） 具备履行这些职责、行使这些权利的能力；</w:t>
      </w:r>
    </w:p>
    <w:p>
      <w:pPr>
        <w:ind w:firstLine="600"/>
        <w:rPr>
          <w:rFonts w:ascii="仿宋_GB2312" w:eastAsia="仿宋_GB2312"/>
          <w:color w:val="auto"/>
          <w:sz w:val="24"/>
        </w:rPr>
      </w:pPr>
      <w:r>
        <w:rPr>
          <w:rFonts w:hint="eastAsia" w:ascii="仿宋_GB2312" w:eastAsia="仿宋_GB2312"/>
          <w:color w:val="auto"/>
          <w:sz w:val="24"/>
        </w:rPr>
        <w:t>（3） 作为熟练的专业人员行事。</w:t>
      </w:r>
    </w:p>
    <w:p>
      <w:pPr>
        <w:ind w:firstLine="600"/>
        <w:rPr>
          <w:rFonts w:ascii="仿宋_GB2312" w:eastAsia="仿宋_GB2312"/>
          <w:color w:val="auto"/>
          <w:sz w:val="24"/>
        </w:rPr>
      </w:pPr>
      <w:r>
        <w:rPr>
          <w:rFonts w:hint="eastAsia" w:ascii="仿宋_GB2312" w:eastAsia="仿宋_GB2312"/>
          <w:color w:val="auto"/>
          <w:sz w:val="24"/>
        </w:rPr>
        <w:t>如果发包人代表为法人且在签订本合同时未能确定授权代表的，发包人代表应在本合同签订之日起</w:t>
      </w:r>
      <w:r>
        <w:rPr>
          <w:rFonts w:ascii="仿宋_GB2312" w:eastAsia="仿宋_GB2312"/>
          <w:color w:val="auto"/>
          <w:sz w:val="24"/>
        </w:rPr>
        <w:t>3日内</w:t>
      </w:r>
      <w:r>
        <w:rPr>
          <w:rFonts w:hint="eastAsia" w:ascii="仿宋_GB2312" w:eastAsia="仿宋_GB2312"/>
          <w:color w:val="auto"/>
          <w:sz w:val="24"/>
        </w:rPr>
        <w:t>向双方发出书面通知，告知被任命和授权的自然人以及任何替代人员。此授权在双方收到本通知后生效。发包人代表撤销该授权或者变更授权代表时也应同样发出该通知。</w:t>
      </w:r>
    </w:p>
    <w:p>
      <w:pPr>
        <w:ind w:firstLine="600"/>
        <w:rPr>
          <w:rFonts w:ascii="仿宋_GB2312" w:eastAsia="仿宋_GB2312"/>
          <w:color w:val="auto"/>
          <w:sz w:val="24"/>
        </w:rPr>
      </w:pPr>
      <w:r>
        <w:rPr>
          <w:rFonts w:hint="eastAsia" w:ascii="仿宋_GB2312" w:eastAsia="仿宋_GB2312"/>
          <w:color w:val="auto"/>
          <w:sz w:val="24"/>
        </w:rPr>
        <w:t>发包人更换发包人代表的，应提前14天将更换人的姓名、地址、任务和权利、以及任命的日期书面通知承包人。发包人不得将发包人代表更换为承包人根据本款发出通知提出合理反对意见的人员，不论是法人还是自然人。</w:t>
      </w:r>
    </w:p>
    <w:p>
      <w:pPr>
        <w:ind w:firstLine="600"/>
        <w:rPr>
          <w:rFonts w:ascii="仿宋_GB2312" w:eastAsia="仿宋_GB2312"/>
          <w:color w:val="auto"/>
          <w:sz w:val="24"/>
        </w:rPr>
      </w:pPr>
      <w:r>
        <w:rPr>
          <w:rFonts w:hint="eastAsia" w:ascii="仿宋_GB2312" w:eastAsia="仿宋_GB2312"/>
          <w:color w:val="auto"/>
          <w:sz w:val="24"/>
        </w:rPr>
        <w:t>发包人代表不能按照合同约定履行其职责及义务，并导致合同无法继续正常履行的，承包人可以要求发包人撤换发包人代表。</w:t>
      </w:r>
    </w:p>
    <w:p>
      <w:pPr>
        <w:pStyle w:val="315"/>
        <w:widowControl/>
        <w:numPr>
          <w:ilvl w:val="0"/>
          <w:numId w:val="0"/>
        </w:numPr>
        <w:rPr>
          <w:b w:val="0"/>
          <w:bCs/>
          <w:color w:val="auto"/>
        </w:rPr>
      </w:pPr>
      <w:bookmarkStart w:id="552" w:name="_Ref531951553"/>
      <w:bookmarkStart w:id="553" w:name="_Toc54862205"/>
      <w:bookmarkStart w:id="554" w:name="_Ref531951557"/>
      <w:r>
        <w:rPr>
          <w:rFonts w:hint="eastAsia"/>
          <w:b w:val="0"/>
          <w:bCs/>
          <w:color w:val="auto"/>
        </w:rPr>
        <w:t>3</w:t>
      </w:r>
      <w:r>
        <w:rPr>
          <w:b w:val="0"/>
          <w:bCs/>
          <w:color w:val="auto"/>
        </w:rPr>
        <w:t xml:space="preserve">.2 </w:t>
      </w:r>
      <w:r>
        <w:rPr>
          <w:rFonts w:hint="eastAsia"/>
          <w:b w:val="0"/>
          <w:bCs/>
          <w:color w:val="auto"/>
        </w:rPr>
        <w:t>发包人人员</w:t>
      </w:r>
      <w:bookmarkEnd w:id="552"/>
      <w:bookmarkEnd w:id="553"/>
      <w:bookmarkEnd w:id="554"/>
    </w:p>
    <w:p>
      <w:pPr>
        <w:ind w:firstLine="600"/>
        <w:rPr>
          <w:rFonts w:ascii="仿宋_GB2312" w:eastAsia="仿宋_GB2312"/>
          <w:color w:val="auto"/>
          <w:sz w:val="24"/>
        </w:rPr>
      </w:pPr>
      <w:r>
        <w:rPr>
          <w:rFonts w:hint="eastAsia" w:ascii="仿宋_GB2312" w:eastAsia="仿宋_GB2312"/>
          <w:color w:val="auto"/>
          <w:sz w:val="24"/>
        </w:rPr>
        <w:t>发包人人员包括发包人代表、工程师及其他由发包人派驻施工现场的人员，发包人可以在专用合同条件中明确发包人人员的姓名、职务及职责等事项。发包人或发包人代表可随时对一些助手指派和托付一定的任务和权利，也可撤销这些指派和托付。这些助手可包括驻地工程师或担任检验、试验各项工程设备和材料的独立检查员。这些助手应具有适当的资质、履行其任务和权利的能力。以上指派、托付或撤销，在承包人收到通知后生效。承包人对于可能影响正常履约或工程安全质量的发包人人员保有随时提出沟通的权利。</w:t>
      </w:r>
    </w:p>
    <w:p>
      <w:pPr>
        <w:ind w:firstLine="600"/>
        <w:rPr>
          <w:rFonts w:ascii="仿宋_GB2312" w:eastAsia="仿宋_GB2312"/>
          <w:color w:val="auto"/>
          <w:sz w:val="24"/>
        </w:rPr>
      </w:pPr>
      <w:r>
        <w:rPr>
          <w:rFonts w:hint="eastAsia" w:ascii="仿宋_GB2312" w:eastAsia="仿宋_GB2312"/>
          <w:color w:val="auto"/>
          <w:sz w:val="24"/>
        </w:rPr>
        <w:t>发包人应要求在施工现场的发包人人员遵守法律及有关安全、质量、环境保护、文明施工等规定，因发包人人员未遵守上述要求给承包人造成的损失和责任由发包人承担。</w:t>
      </w:r>
    </w:p>
    <w:p>
      <w:pPr>
        <w:pStyle w:val="315"/>
        <w:widowControl/>
        <w:numPr>
          <w:ilvl w:val="0"/>
          <w:numId w:val="0"/>
        </w:numPr>
        <w:rPr>
          <w:b w:val="0"/>
          <w:bCs/>
          <w:color w:val="auto"/>
        </w:rPr>
      </w:pPr>
      <w:bookmarkStart w:id="555" w:name="_Toc54862206"/>
      <w:r>
        <w:rPr>
          <w:rFonts w:hint="eastAsia"/>
          <w:b w:val="0"/>
          <w:bCs/>
          <w:color w:val="auto"/>
        </w:rPr>
        <w:t>3</w:t>
      </w:r>
      <w:r>
        <w:rPr>
          <w:b w:val="0"/>
          <w:bCs/>
          <w:color w:val="auto"/>
        </w:rPr>
        <w:t>.3 工程师</w:t>
      </w:r>
      <w:bookmarkEnd w:id="555"/>
      <w:r>
        <w:rPr>
          <w:rFonts w:hint="eastAsia"/>
          <w:b w:val="0"/>
          <w:bCs/>
          <w:color w:val="auto"/>
        </w:rPr>
        <w:t xml:space="preserve"> </w:t>
      </w:r>
    </w:p>
    <w:p>
      <w:pPr>
        <w:pStyle w:val="88"/>
        <w:numPr>
          <w:ilvl w:val="0"/>
          <w:numId w:val="0"/>
        </w:numPr>
        <w:rPr>
          <w:rFonts w:ascii="仿宋_GB2312" w:eastAsia="仿宋_GB2312"/>
          <w:color w:val="auto"/>
          <w:szCs w:val="24"/>
        </w:rPr>
      </w:pPr>
      <w:r>
        <w:rPr>
          <w:rFonts w:hint="eastAsia" w:ascii="仿宋_GB2312" w:eastAsia="仿宋_GB2312"/>
          <w:color w:val="auto"/>
          <w:szCs w:val="24"/>
        </w:rPr>
        <w:t>3</w:t>
      </w:r>
      <w:r>
        <w:rPr>
          <w:rFonts w:ascii="仿宋_GB2312" w:eastAsia="仿宋_GB2312"/>
          <w:color w:val="auto"/>
          <w:szCs w:val="24"/>
        </w:rPr>
        <w:t xml:space="preserve">.3.1 </w:t>
      </w:r>
      <w:r>
        <w:rPr>
          <w:rFonts w:hint="eastAsia" w:ascii="仿宋_GB2312" w:eastAsia="仿宋_GB2312"/>
          <w:color w:val="auto"/>
          <w:szCs w:val="24"/>
        </w:rPr>
        <w:t>发包人需对承包人的设计、采购、施工、服务等工作过程或过程节点实施监督管理的，有权委任工程师。工程师的名称、监督管理范围、内容和权限在专用合同条件中写明。根据国家相关法律法规规定，如本合同工程属于强制监理项目的，由工程师履行法定的监理相关职责，但发包人另行授权第三方进行监理的除外。</w:t>
      </w:r>
    </w:p>
    <w:p>
      <w:pPr>
        <w:pStyle w:val="88"/>
        <w:numPr>
          <w:ilvl w:val="0"/>
          <w:numId w:val="0"/>
        </w:numPr>
        <w:rPr>
          <w:rFonts w:ascii="仿宋_GB2312" w:eastAsia="仿宋_GB2312"/>
          <w:color w:val="auto"/>
          <w:szCs w:val="24"/>
        </w:rPr>
      </w:pPr>
      <w:r>
        <w:rPr>
          <w:rFonts w:hint="eastAsia" w:ascii="仿宋_GB2312" w:eastAsia="仿宋_GB2312"/>
          <w:color w:val="auto"/>
          <w:szCs w:val="24"/>
        </w:rPr>
        <w:t>3</w:t>
      </w:r>
      <w:r>
        <w:rPr>
          <w:rFonts w:ascii="仿宋_GB2312" w:eastAsia="仿宋_GB2312"/>
          <w:color w:val="auto"/>
          <w:szCs w:val="24"/>
        </w:rPr>
        <w:t xml:space="preserve">.3.2 </w:t>
      </w:r>
      <w:r>
        <w:rPr>
          <w:rFonts w:hint="eastAsia" w:ascii="仿宋_GB2312" w:eastAsia="仿宋_GB2312"/>
          <w:color w:val="auto"/>
          <w:szCs w:val="24"/>
        </w:rPr>
        <w:t>工程师按发包人委托的范围、内容、职权和权限，代表发包人对承包人实施监督管理。若承包人认为工程师行使的职权不在发包人委托的授权范围之内的，则其有权拒绝执行工程师的相关指示，同时应及时通知发包人，发包人书面确认工程师相关指示的，承包人应遵照执行。</w:t>
      </w:r>
    </w:p>
    <w:p>
      <w:pPr>
        <w:pStyle w:val="88"/>
        <w:numPr>
          <w:ilvl w:val="0"/>
          <w:numId w:val="0"/>
        </w:numPr>
        <w:rPr>
          <w:rFonts w:ascii="仿宋_GB2312" w:eastAsia="仿宋_GB2312"/>
          <w:color w:val="auto"/>
          <w:szCs w:val="24"/>
        </w:rPr>
      </w:pPr>
      <w:r>
        <w:rPr>
          <w:rFonts w:hint="eastAsia" w:ascii="仿宋_GB2312" w:eastAsia="仿宋_GB2312"/>
          <w:color w:val="auto"/>
          <w:szCs w:val="24"/>
        </w:rPr>
        <w:t>3</w:t>
      </w:r>
      <w:r>
        <w:rPr>
          <w:rFonts w:ascii="仿宋_GB2312" w:eastAsia="仿宋_GB2312"/>
          <w:color w:val="auto"/>
          <w:szCs w:val="24"/>
        </w:rPr>
        <w:t xml:space="preserve">.3.3 </w:t>
      </w:r>
      <w:r>
        <w:rPr>
          <w:rFonts w:hint="eastAsia" w:ascii="仿宋_GB2312" w:eastAsia="仿宋_GB2312"/>
          <w:color w:val="auto"/>
          <w:szCs w:val="24"/>
        </w:rPr>
        <w:t>在发包人和承包人之间提供证明、行使决定权或处理权时，工程师应作为独立专业的第三方，根据自己的专业技能和判断进行工作。但工程师或其人员均无权修改合同，且无权减轻或免除合同当事人的任何责任与义务。</w:t>
      </w:r>
    </w:p>
    <w:p>
      <w:pPr>
        <w:pStyle w:val="88"/>
        <w:numPr>
          <w:ilvl w:val="0"/>
          <w:numId w:val="0"/>
        </w:numPr>
        <w:rPr>
          <w:rFonts w:ascii="仿宋_GB2312" w:eastAsia="仿宋_GB2312"/>
          <w:color w:val="auto"/>
          <w:szCs w:val="24"/>
        </w:rPr>
      </w:pPr>
      <w:r>
        <w:rPr>
          <w:rFonts w:hint="eastAsia" w:ascii="仿宋_GB2312" w:eastAsia="仿宋_GB2312"/>
          <w:color w:val="auto"/>
          <w:szCs w:val="24"/>
        </w:rPr>
        <w:t>3</w:t>
      </w:r>
      <w:r>
        <w:rPr>
          <w:rFonts w:ascii="仿宋_GB2312" w:eastAsia="仿宋_GB2312"/>
          <w:color w:val="auto"/>
          <w:szCs w:val="24"/>
        </w:rPr>
        <w:t xml:space="preserve">.3.4 </w:t>
      </w:r>
      <w:r>
        <w:rPr>
          <w:rFonts w:hint="eastAsia" w:ascii="仿宋_GB2312" w:eastAsia="仿宋_GB2312"/>
          <w:color w:val="auto"/>
          <w:szCs w:val="24"/>
        </w:rPr>
        <w:t>通用合同条件中约定由工程师行使的职权如不在发包人对工程师的授权范围内的，则视为没有取得授权，该职权应由发包人或发包人指定的其他人员行使。若承包人认为工程师的职权与发包人（包括其人员）的职权相重叠或不明确时，应及时通知发包人，由发包人予以协调和明确并以书面形式通知承包人。</w:t>
      </w:r>
    </w:p>
    <w:p>
      <w:pPr>
        <w:pStyle w:val="315"/>
        <w:widowControl/>
        <w:numPr>
          <w:ilvl w:val="0"/>
          <w:numId w:val="0"/>
        </w:numPr>
        <w:rPr>
          <w:b w:val="0"/>
          <w:bCs/>
          <w:color w:val="auto"/>
        </w:rPr>
      </w:pPr>
      <w:bookmarkStart w:id="556" w:name="_Toc54862207"/>
      <w:bookmarkStart w:id="557" w:name="_Ref531951594"/>
      <w:bookmarkStart w:id="558" w:name="_Ref531951597"/>
      <w:r>
        <w:rPr>
          <w:rFonts w:hint="eastAsia"/>
          <w:b w:val="0"/>
          <w:bCs/>
          <w:color w:val="auto"/>
        </w:rPr>
        <w:t>3</w:t>
      </w:r>
      <w:r>
        <w:rPr>
          <w:b w:val="0"/>
          <w:bCs/>
          <w:color w:val="auto"/>
        </w:rPr>
        <w:t xml:space="preserve">.4 </w:t>
      </w:r>
      <w:r>
        <w:rPr>
          <w:rFonts w:hint="eastAsia"/>
          <w:b w:val="0"/>
          <w:bCs/>
          <w:color w:val="auto"/>
        </w:rPr>
        <w:t>任命和授权</w:t>
      </w:r>
      <w:bookmarkEnd w:id="556"/>
    </w:p>
    <w:p>
      <w:pPr>
        <w:pStyle w:val="88"/>
        <w:numPr>
          <w:ilvl w:val="0"/>
          <w:numId w:val="0"/>
        </w:numPr>
        <w:rPr>
          <w:rFonts w:ascii="仿宋_GB2312" w:eastAsia="仿宋_GB2312"/>
          <w:color w:val="auto"/>
          <w:szCs w:val="24"/>
        </w:rPr>
      </w:pPr>
      <w:r>
        <w:rPr>
          <w:rFonts w:hint="eastAsia" w:ascii="仿宋_GB2312" w:eastAsia="仿宋_GB2312"/>
          <w:color w:val="auto"/>
          <w:szCs w:val="24"/>
        </w:rPr>
        <w:t>3</w:t>
      </w:r>
      <w:r>
        <w:rPr>
          <w:rFonts w:ascii="仿宋_GB2312" w:eastAsia="仿宋_GB2312"/>
          <w:color w:val="auto"/>
          <w:szCs w:val="24"/>
        </w:rPr>
        <w:t xml:space="preserve">.4.1 </w:t>
      </w:r>
      <w:r>
        <w:rPr>
          <w:rFonts w:hint="eastAsia" w:ascii="仿宋_GB2312" w:eastAsia="仿宋_GB2312"/>
          <w:color w:val="auto"/>
          <w:szCs w:val="24"/>
        </w:rPr>
        <w:t>发包人应在发出开始工作通知前将工程师的任命通知承包人。更换工程师的，发包人应提前7天以书面形式通知承包人，并在通知中写明替换者的姓名、职务、职权、权限和任命时间。工程师超过2天不能履行职责的，应委派代表代行其职责，并通知承包人。</w:t>
      </w:r>
    </w:p>
    <w:p>
      <w:pPr>
        <w:pStyle w:val="88"/>
        <w:numPr>
          <w:ilvl w:val="0"/>
          <w:numId w:val="0"/>
        </w:numPr>
        <w:rPr>
          <w:rFonts w:ascii="仿宋_GB2312" w:eastAsia="仿宋_GB2312"/>
          <w:color w:val="auto"/>
          <w:szCs w:val="24"/>
        </w:rPr>
      </w:pPr>
      <w:r>
        <w:rPr>
          <w:rFonts w:hint="eastAsia" w:ascii="仿宋_GB2312" w:eastAsia="仿宋_GB2312"/>
          <w:color w:val="auto"/>
          <w:szCs w:val="24"/>
        </w:rPr>
        <w:t>3</w:t>
      </w:r>
      <w:r>
        <w:rPr>
          <w:rFonts w:ascii="仿宋_GB2312" w:eastAsia="仿宋_GB2312"/>
          <w:color w:val="auto"/>
          <w:szCs w:val="24"/>
        </w:rPr>
        <w:t xml:space="preserve">.4.2 </w:t>
      </w:r>
      <w:r>
        <w:rPr>
          <w:rFonts w:hint="eastAsia" w:ascii="仿宋_GB2312" w:eastAsia="仿宋_GB2312"/>
          <w:color w:val="auto"/>
          <w:szCs w:val="24"/>
        </w:rPr>
        <w:t>工程师可以授权其他人员负责执行其指派的一项或多项工作，但第</w:t>
      </w:r>
      <w:r>
        <w:rPr>
          <w:rFonts w:ascii="仿宋_GB2312" w:eastAsia="仿宋_GB2312"/>
          <w:color w:val="auto"/>
          <w:szCs w:val="24"/>
        </w:rPr>
        <w:t>3.6</w:t>
      </w:r>
      <w:r>
        <w:rPr>
          <w:rFonts w:hint="eastAsia" w:ascii="仿宋_GB2312" w:eastAsia="仿宋_GB2312"/>
          <w:color w:val="auto"/>
          <w:szCs w:val="24"/>
        </w:rPr>
        <w:t>款[商定或确定]下的权利除外。工程师应将被授权人员的姓名及其授权范围通知承包人。被授权的人员在授权范围内发出的指示视为已得到工程师的同意，与工程师发出的指示具有同等效力。工程师撤销某项授权时，应将撤销授权的决定及时通知承包人。</w:t>
      </w:r>
    </w:p>
    <w:p>
      <w:pPr>
        <w:pStyle w:val="315"/>
        <w:widowControl/>
        <w:numPr>
          <w:ilvl w:val="0"/>
          <w:numId w:val="0"/>
        </w:numPr>
        <w:rPr>
          <w:b w:val="0"/>
          <w:bCs/>
          <w:color w:val="auto"/>
        </w:rPr>
      </w:pPr>
      <w:bookmarkStart w:id="559" w:name="_Toc54862208"/>
      <w:bookmarkStart w:id="560" w:name="_Ref20165400"/>
      <w:r>
        <w:rPr>
          <w:rFonts w:hint="eastAsia"/>
          <w:b w:val="0"/>
          <w:bCs/>
          <w:color w:val="auto"/>
        </w:rPr>
        <w:t>3</w:t>
      </w:r>
      <w:r>
        <w:rPr>
          <w:b w:val="0"/>
          <w:bCs/>
          <w:color w:val="auto"/>
        </w:rPr>
        <w:t>.5 指示</w:t>
      </w:r>
      <w:bookmarkEnd w:id="557"/>
      <w:bookmarkEnd w:id="558"/>
      <w:bookmarkEnd w:id="559"/>
      <w:bookmarkEnd w:id="560"/>
    </w:p>
    <w:p>
      <w:pPr>
        <w:pStyle w:val="88"/>
        <w:numPr>
          <w:ilvl w:val="0"/>
          <w:numId w:val="0"/>
        </w:numPr>
        <w:rPr>
          <w:rFonts w:ascii="仿宋_GB2312" w:eastAsia="仿宋_GB2312"/>
          <w:color w:val="auto"/>
          <w:szCs w:val="24"/>
        </w:rPr>
      </w:pPr>
      <w:r>
        <w:rPr>
          <w:rFonts w:hint="eastAsia" w:ascii="仿宋_GB2312" w:eastAsia="仿宋_GB2312"/>
          <w:color w:val="auto"/>
          <w:szCs w:val="24"/>
        </w:rPr>
        <w:t>3</w:t>
      </w:r>
      <w:r>
        <w:rPr>
          <w:rFonts w:ascii="仿宋_GB2312" w:eastAsia="仿宋_GB2312"/>
          <w:color w:val="auto"/>
          <w:szCs w:val="24"/>
        </w:rPr>
        <w:t xml:space="preserve">.5.1 </w:t>
      </w:r>
      <w:r>
        <w:rPr>
          <w:rFonts w:hint="eastAsia" w:ascii="仿宋_GB2312" w:eastAsia="仿宋_GB2312"/>
          <w:color w:val="auto"/>
          <w:szCs w:val="24"/>
        </w:rPr>
        <w:t>工程师应按照发包人的授权发出指示。工程师的指示应采用书面形式，盖有工程师授权的项目管理机构章，并由工程师的授权人员签字。在紧急情况下，工程师的授权人员可以口头形式发出指示或当场签发临时书面指示，承包人应遵照执行。工程师应在授权人员发出口头指示或临时书面指示后24小时内发出书面确认函，在24小时内未发出书面确认函的，该口头指示或临时书面指示应被视为工程师的正式指示。</w:t>
      </w:r>
    </w:p>
    <w:p>
      <w:pPr>
        <w:pStyle w:val="88"/>
        <w:numPr>
          <w:ilvl w:val="0"/>
          <w:numId w:val="0"/>
        </w:numPr>
        <w:rPr>
          <w:rFonts w:ascii="仿宋_GB2312" w:eastAsia="仿宋_GB2312"/>
          <w:color w:val="auto"/>
          <w:szCs w:val="24"/>
        </w:rPr>
      </w:pPr>
      <w:r>
        <w:rPr>
          <w:rFonts w:hint="eastAsia" w:ascii="仿宋_GB2312" w:eastAsia="仿宋_GB2312"/>
          <w:color w:val="auto"/>
          <w:szCs w:val="24"/>
        </w:rPr>
        <w:t>3</w:t>
      </w:r>
      <w:r>
        <w:rPr>
          <w:rFonts w:ascii="仿宋_GB2312" w:eastAsia="仿宋_GB2312"/>
          <w:color w:val="auto"/>
          <w:szCs w:val="24"/>
        </w:rPr>
        <w:t xml:space="preserve">.5.2 </w:t>
      </w:r>
      <w:r>
        <w:rPr>
          <w:rFonts w:hint="eastAsia" w:ascii="仿宋_GB2312" w:eastAsia="仿宋_GB2312"/>
          <w:color w:val="auto"/>
          <w:szCs w:val="24"/>
        </w:rPr>
        <w:t>承包人收到工程师作出的指示后应遵照执行。如果任何此类指示构成一项变更时，应按照第</w:t>
      </w:r>
      <w:r>
        <w:rPr>
          <w:rFonts w:ascii="仿宋_GB2312" w:eastAsia="仿宋_GB2312"/>
          <w:color w:val="auto"/>
          <w:szCs w:val="24"/>
        </w:rPr>
        <w:t>13条</w:t>
      </w:r>
      <w:r>
        <w:rPr>
          <w:rFonts w:hint="eastAsia" w:ascii="仿宋_GB2312" w:eastAsia="仿宋_GB2312"/>
          <w:color w:val="auto"/>
          <w:szCs w:val="24"/>
        </w:rPr>
        <w:t>[变更与调整]的约定办理。</w:t>
      </w:r>
    </w:p>
    <w:p>
      <w:pPr>
        <w:pStyle w:val="88"/>
        <w:numPr>
          <w:ilvl w:val="0"/>
          <w:numId w:val="0"/>
        </w:numPr>
        <w:rPr>
          <w:rFonts w:ascii="仿宋_GB2312" w:eastAsia="仿宋_GB2312"/>
          <w:color w:val="auto"/>
          <w:szCs w:val="24"/>
        </w:rPr>
      </w:pPr>
      <w:r>
        <w:rPr>
          <w:rFonts w:hint="eastAsia" w:ascii="仿宋_GB2312" w:eastAsia="仿宋_GB2312"/>
          <w:color w:val="auto"/>
          <w:szCs w:val="24"/>
        </w:rPr>
        <w:t>3</w:t>
      </w:r>
      <w:r>
        <w:rPr>
          <w:rFonts w:ascii="仿宋_GB2312" w:eastAsia="仿宋_GB2312"/>
          <w:color w:val="auto"/>
          <w:szCs w:val="24"/>
        </w:rPr>
        <w:t xml:space="preserve">.5.3 </w:t>
      </w:r>
      <w:r>
        <w:rPr>
          <w:rFonts w:hint="eastAsia" w:ascii="仿宋_GB2312" w:eastAsia="仿宋_GB2312"/>
          <w:color w:val="auto"/>
          <w:szCs w:val="24"/>
        </w:rPr>
        <w:t>由于工程师未能按合同约定发出指示、指示延误或指示错误而导致承包人费用增加和（或）工期延误的，发包人应承担由此增加的费用和（或）工期延误，并向承包人支付合理利润。</w:t>
      </w:r>
    </w:p>
    <w:p>
      <w:pPr>
        <w:pStyle w:val="315"/>
        <w:widowControl/>
        <w:numPr>
          <w:ilvl w:val="0"/>
          <w:numId w:val="0"/>
        </w:numPr>
        <w:rPr>
          <w:b w:val="0"/>
          <w:bCs/>
          <w:color w:val="auto"/>
        </w:rPr>
      </w:pPr>
      <w:bookmarkStart w:id="561" w:name="_Ref531951611"/>
      <w:bookmarkStart w:id="562" w:name="_Ref531951609"/>
      <w:bookmarkStart w:id="563" w:name="_Toc54862209"/>
      <w:r>
        <w:rPr>
          <w:rFonts w:hint="eastAsia"/>
          <w:b w:val="0"/>
          <w:bCs/>
          <w:color w:val="auto"/>
        </w:rPr>
        <w:t>3</w:t>
      </w:r>
      <w:r>
        <w:rPr>
          <w:b w:val="0"/>
          <w:bCs/>
          <w:color w:val="auto"/>
        </w:rPr>
        <w:t>.6 商定或确定</w:t>
      </w:r>
      <w:bookmarkEnd w:id="561"/>
      <w:bookmarkEnd w:id="562"/>
      <w:bookmarkEnd w:id="563"/>
    </w:p>
    <w:p>
      <w:pPr>
        <w:pStyle w:val="88"/>
        <w:numPr>
          <w:ilvl w:val="0"/>
          <w:numId w:val="0"/>
        </w:numPr>
        <w:rPr>
          <w:rFonts w:ascii="仿宋_GB2312" w:eastAsia="仿宋_GB2312"/>
          <w:color w:val="auto"/>
          <w:szCs w:val="24"/>
        </w:rPr>
      </w:pPr>
      <w:r>
        <w:rPr>
          <w:rFonts w:hint="eastAsia" w:ascii="仿宋_GB2312" w:eastAsia="仿宋_GB2312"/>
          <w:color w:val="auto"/>
          <w:szCs w:val="24"/>
        </w:rPr>
        <w:t>3</w:t>
      </w:r>
      <w:r>
        <w:rPr>
          <w:rFonts w:ascii="仿宋_GB2312" w:eastAsia="仿宋_GB2312"/>
          <w:color w:val="auto"/>
          <w:szCs w:val="24"/>
        </w:rPr>
        <w:t xml:space="preserve">.6.1 </w:t>
      </w:r>
      <w:r>
        <w:rPr>
          <w:rFonts w:hint="eastAsia" w:ascii="仿宋_GB2312" w:eastAsia="仿宋_GB2312"/>
          <w:color w:val="auto"/>
          <w:szCs w:val="24"/>
        </w:rPr>
        <w:t>合同约定工程师应按照本款对任何事项进行商定或确定时，工程师应及时与合同当事人协商，尽量达成一致。工程师应将商定的结果以书面形式通知发包人和承包人，并由双方签署确认。</w:t>
      </w:r>
    </w:p>
    <w:p>
      <w:pPr>
        <w:pStyle w:val="88"/>
        <w:numPr>
          <w:ilvl w:val="0"/>
          <w:numId w:val="0"/>
        </w:numPr>
        <w:rPr>
          <w:rFonts w:ascii="仿宋_GB2312" w:eastAsia="仿宋_GB2312"/>
          <w:color w:val="auto"/>
          <w:szCs w:val="24"/>
        </w:rPr>
      </w:pPr>
      <w:r>
        <w:rPr>
          <w:rFonts w:hint="eastAsia" w:ascii="仿宋_GB2312" w:eastAsia="仿宋_GB2312"/>
          <w:color w:val="auto"/>
          <w:szCs w:val="24"/>
        </w:rPr>
        <w:t>3</w:t>
      </w:r>
      <w:r>
        <w:rPr>
          <w:rFonts w:ascii="仿宋_GB2312" w:eastAsia="仿宋_GB2312"/>
          <w:color w:val="auto"/>
          <w:szCs w:val="24"/>
        </w:rPr>
        <w:t xml:space="preserve">.6.2 </w:t>
      </w:r>
      <w:r>
        <w:rPr>
          <w:rFonts w:hint="eastAsia" w:ascii="仿宋_GB2312" w:eastAsia="仿宋_GB2312"/>
          <w:color w:val="auto"/>
          <w:szCs w:val="24"/>
        </w:rPr>
        <w:t>除专用合同条件另有约定外，商定的期限应为工程师收到任何一方就商定事由发出的通知后42天内或工程师提出并经双方同意的其他期限。未能在该期限内达成一致的，由工程师按照合同约定审慎做出公正的确定。确定的期限应为商定的期限届满后42天内或工程师提出并经双方同意的其他期限。工程师应将确定的结果以书面形式通知发包人和承包人，并附详细依据。</w:t>
      </w:r>
    </w:p>
    <w:p>
      <w:pPr>
        <w:pStyle w:val="88"/>
        <w:numPr>
          <w:ilvl w:val="0"/>
          <w:numId w:val="0"/>
        </w:numPr>
        <w:rPr>
          <w:rFonts w:ascii="仿宋_GB2312" w:eastAsia="仿宋_GB2312"/>
          <w:color w:val="auto"/>
          <w:szCs w:val="24"/>
        </w:rPr>
      </w:pPr>
      <w:bookmarkStart w:id="564" w:name="_Ref532287856"/>
      <w:r>
        <w:rPr>
          <w:rFonts w:hint="eastAsia" w:ascii="仿宋_GB2312" w:eastAsia="仿宋_GB2312"/>
          <w:color w:val="auto"/>
          <w:szCs w:val="24"/>
        </w:rPr>
        <w:t>3</w:t>
      </w:r>
      <w:r>
        <w:rPr>
          <w:rFonts w:ascii="仿宋_GB2312" w:eastAsia="仿宋_GB2312"/>
          <w:color w:val="auto"/>
          <w:szCs w:val="24"/>
        </w:rPr>
        <w:t xml:space="preserve">.6.3 </w:t>
      </w:r>
      <w:r>
        <w:rPr>
          <w:rFonts w:hint="eastAsia" w:ascii="仿宋_GB2312" w:eastAsia="仿宋_GB2312"/>
          <w:color w:val="auto"/>
          <w:szCs w:val="24"/>
        </w:rPr>
        <w:t>任何一方对工程师的确定有异议的，应在收到确定的结果后28天内向另一方发出书面异议通知并抄送工程师。除第</w:t>
      </w:r>
      <w:r>
        <w:rPr>
          <w:rFonts w:ascii="仿宋_GB2312" w:eastAsia="仿宋_GB2312"/>
          <w:color w:val="auto"/>
          <w:szCs w:val="24"/>
        </w:rPr>
        <w:t>19.2</w:t>
      </w:r>
      <w:r>
        <w:rPr>
          <w:rFonts w:hint="eastAsia" w:ascii="仿宋_GB2312" w:eastAsia="仿宋_GB2312"/>
          <w:color w:val="auto"/>
          <w:szCs w:val="24"/>
        </w:rPr>
        <w:t>款[</w:t>
      </w:r>
      <w:r>
        <w:rPr>
          <w:rFonts w:ascii="仿宋_GB2312" w:eastAsia="仿宋_GB2312"/>
          <w:color w:val="auto"/>
          <w:szCs w:val="24"/>
        </w:rPr>
        <w:t>承包人索赔的处理程序</w:t>
      </w:r>
      <w:r>
        <w:rPr>
          <w:rFonts w:hint="eastAsia" w:ascii="仿宋_GB2312" w:eastAsia="仿宋_GB2312"/>
          <w:color w:val="auto"/>
          <w:szCs w:val="24"/>
        </w:rPr>
        <w:t>]另有约定外，工程师未能在确定的期限内发出确定的结果通知的，或者任何一方发出对确定的结果有异议的通知的，则构成争议并应按照第</w:t>
      </w:r>
      <w:r>
        <w:rPr>
          <w:rFonts w:ascii="仿宋_GB2312" w:eastAsia="仿宋_GB2312"/>
          <w:color w:val="auto"/>
          <w:szCs w:val="24"/>
        </w:rPr>
        <w:t>20条</w:t>
      </w:r>
      <w:r>
        <w:rPr>
          <w:rFonts w:hint="eastAsia" w:ascii="仿宋_GB2312" w:eastAsia="仿宋_GB2312"/>
          <w:color w:val="auto"/>
          <w:szCs w:val="24"/>
        </w:rPr>
        <w:t>[争议解决]的约定处理。如未在28天内发出上述通知的，工程师的确定应被视为已被双方接受并对双方具有约束力，但专用合同条件另有约定的除外。</w:t>
      </w:r>
      <w:bookmarkEnd w:id="564"/>
    </w:p>
    <w:p>
      <w:pPr>
        <w:pStyle w:val="88"/>
        <w:numPr>
          <w:ilvl w:val="0"/>
          <w:numId w:val="0"/>
        </w:numPr>
        <w:rPr>
          <w:rFonts w:ascii="仿宋_GB2312" w:eastAsia="仿宋_GB2312"/>
          <w:color w:val="auto"/>
          <w:szCs w:val="24"/>
        </w:rPr>
      </w:pPr>
      <w:r>
        <w:rPr>
          <w:rFonts w:hint="eastAsia" w:ascii="仿宋_GB2312" w:eastAsia="仿宋_GB2312"/>
          <w:color w:val="auto"/>
          <w:szCs w:val="24"/>
        </w:rPr>
        <w:t>3</w:t>
      </w:r>
      <w:r>
        <w:rPr>
          <w:rFonts w:ascii="仿宋_GB2312" w:eastAsia="仿宋_GB2312"/>
          <w:color w:val="auto"/>
          <w:szCs w:val="24"/>
        </w:rPr>
        <w:t xml:space="preserve">.6.4 </w:t>
      </w:r>
      <w:r>
        <w:rPr>
          <w:rFonts w:hint="eastAsia" w:ascii="仿宋_GB2312" w:eastAsia="仿宋_GB2312"/>
          <w:color w:val="auto"/>
          <w:szCs w:val="24"/>
        </w:rPr>
        <w:t>在该争议解决前，双方应暂按工程师的确定执行。按照第</w:t>
      </w:r>
      <w:r>
        <w:rPr>
          <w:rFonts w:ascii="仿宋_GB2312" w:eastAsia="仿宋_GB2312"/>
          <w:color w:val="auto"/>
          <w:szCs w:val="24"/>
        </w:rPr>
        <w:t>20条</w:t>
      </w:r>
      <w:r>
        <w:rPr>
          <w:rFonts w:hint="eastAsia" w:ascii="仿宋_GB2312" w:eastAsia="仿宋_GB2312"/>
          <w:color w:val="auto"/>
          <w:szCs w:val="24"/>
        </w:rPr>
        <w:t>[争议解决]的约定对工程师的确定作出修改的，按修改后的结果执行，由此导致承包人增加的费用和延误的工期由责任方承担。</w:t>
      </w:r>
    </w:p>
    <w:p>
      <w:pPr>
        <w:pStyle w:val="315"/>
        <w:widowControl/>
        <w:numPr>
          <w:ilvl w:val="0"/>
          <w:numId w:val="0"/>
        </w:numPr>
        <w:rPr>
          <w:b w:val="0"/>
          <w:bCs/>
          <w:color w:val="auto"/>
        </w:rPr>
      </w:pPr>
      <w:bookmarkStart w:id="565" w:name="_Ref531951749"/>
      <w:bookmarkStart w:id="566" w:name="_Toc54862210"/>
      <w:bookmarkStart w:id="567" w:name="_Ref531951747"/>
      <w:r>
        <w:rPr>
          <w:rFonts w:hint="eastAsia"/>
          <w:b w:val="0"/>
          <w:bCs/>
          <w:color w:val="auto"/>
        </w:rPr>
        <w:t>3</w:t>
      </w:r>
      <w:r>
        <w:rPr>
          <w:b w:val="0"/>
          <w:bCs/>
          <w:color w:val="auto"/>
        </w:rPr>
        <w:t xml:space="preserve">.7 </w:t>
      </w:r>
      <w:r>
        <w:rPr>
          <w:rFonts w:hint="eastAsia"/>
          <w:b w:val="0"/>
          <w:bCs/>
          <w:color w:val="auto"/>
        </w:rPr>
        <w:t>会议</w:t>
      </w:r>
      <w:bookmarkEnd w:id="565"/>
      <w:bookmarkEnd w:id="566"/>
      <w:bookmarkEnd w:id="567"/>
    </w:p>
    <w:p>
      <w:pPr>
        <w:pStyle w:val="88"/>
        <w:numPr>
          <w:ilvl w:val="0"/>
          <w:numId w:val="0"/>
        </w:numPr>
        <w:rPr>
          <w:rFonts w:ascii="仿宋_GB2312" w:eastAsia="仿宋_GB2312"/>
          <w:color w:val="auto"/>
          <w:szCs w:val="24"/>
        </w:rPr>
      </w:pPr>
      <w:r>
        <w:rPr>
          <w:rFonts w:hint="eastAsia" w:ascii="仿宋_GB2312" w:eastAsia="仿宋_GB2312"/>
          <w:color w:val="auto"/>
          <w:szCs w:val="24"/>
        </w:rPr>
        <w:t>3</w:t>
      </w:r>
      <w:r>
        <w:rPr>
          <w:rFonts w:ascii="仿宋_GB2312" w:eastAsia="仿宋_GB2312"/>
          <w:color w:val="auto"/>
          <w:szCs w:val="24"/>
        </w:rPr>
        <w:t xml:space="preserve">.7.1 </w:t>
      </w:r>
      <w:r>
        <w:rPr>
          <w:rFonts w:hint="eastAsia" w:ascii="仿宋_GB2312" w:eastAsia="仿宋_GB2312"/>
          <w:color w:val="auto"/>
          <w:szCs w:val="24"/>
        </w:rPr>
        <w:t>除专用合同条件另有约定外，任何一方可向另一方发出通知，要求另一方出席会议，讨论工程的实施安排或与本合同履行有关的其他事项。发包人的其他承包人、承包人的分包人和其他第三方可应任何一方的请求出席任何此类会议。</w:t>
      </w:r>
    </w:p>
    <w:p>
      <w:pPr>
        <w:pStyle w:val="88"/>
        <w:numPr>
          <w:ilvl w:val="0"/>
          <w:numId w:val="0"/>
        </w:numPr>
        <w:rPr>
          <w:rFonts w:ascii="仿宋_GB2312" w:eastAsia="仿宋_GB2312"/>
          <w:color w:val="auto"/>
          <w:szCs w:val="24"/>
        </w:rPr>
      </w:pPr>
      <w:r>
        <w:rPr>
          <w:rFonts w:hint="eastAsia" w:ascii="仿宋_GB2312" w:eastAsia="仿宋_GB2312"/>
          <w:color w:val="auto"/>
          <w:szCs w:val="24"/>
        </w:rPr>
        <w:t>3</w:t>
      </w:r>
      <w:r>
        <w:rPr>
          <w:rFonts w:ascii="仿宋_GB2312" w:eastAsia="仿宋_GB2312"/>
          <w:color w:val="auto"/>
          <w:szCs w:val="24"/>
        </w:rPr>
        <w:t xml:space="preserve">.7.2 </w:t>
      </w:r>
      <w:r>
        <w:rPr>
          <w:rFonts w:hint="eastAsia" w:ascii="仿宋_GB2312" w:eastAsia="仿宋_GB2312"/>
          <w:color w:val="auto"/>
          <w:szCs w:val="24"/>
        </w:rPr>
        <w:t>除专用合同条件另有约定外，发包人应保存每次会议参加人签名的记录，并将会议纪要提供给出席会议的人员。任何根据此类会议以及会议纪要采取的行动应符合本合同的约定。</w:t>
      </w:r>
    </w:p>
    <w:p>
      <w:pPr>
        <w:pStyle w:val="164"/>
        <w:numPr>
          <w:ilvl w:val="0"/>
          <w:numId w:val="0"/>
        </w:numPr>
        <w:wordWrap/>
        <w:topLinePunct w:val="0"/>
        <w:rPr>
          <w:b w:val="0"/>
          <w:bCs/>
          <w:color w:val="auto"/>
          <w:sz w:val="24"/>
          <w:szCs w:val="24"/>
        </w:rPr>
      </w:pPr>
      <w:bookmarkStart w:id="568" w:name="_Ref531952805"/>
      <w:bookmarkStart w:id="569" w:name="_Toc54862211"/>
      <w:r>
        <w:rPr>
          <w:rFonts w:hint="eastAsia"/>
          <w:b w:val="0"/>
          <w:bCs/>
          <w:color w:val="auto"/>
          <w:sz w:val="24"/>
          <w:szCs w:val="24"/>
        </w:rPr>
        <w:t>第4条 承包人</w:t>
      </w:r>
      <w:bookmarkEnd w:id="568"/>
      <w:bookmarkEnd w:id="569"/>
    </w:p>
    <w:p>
      <w:pPr>
        <w:pStyle w:val="315"/>
        <w:widowControl/>
        <w:numPr>
          <w:ilvl w:val="0"/>
          <w:numId w:val="0"/>
        </w:numPr>
        <w:rPr>
          <w:b w:val="0"/>
          <w:bCs/>
          <w:color w:val="auto"/>
        </w:rPr>
      </w:pPr>
      <w:bookmarkStart w:id="570" w:name="_Ref531951958"/>
      <w:bookmarkStart w:id="571" w:name="_Ref531951941"/>
      <w:bookmarkStart w:id="572" w:name="_Ref531951945"/>
      <w:bookmarkStart w:id="573" w:name="_Ref531951961"/>
      <w:bookmarkStart w:id="574" w:name="_Ref531951975"/>
      <w:bookmarkStart w:id="575" w:name="_Toc54862212"/>
      <w:r>
        <w:rPr>
          <w:rFonts w:hint="eastAsia"/>
          <w:b w:val="0"/>
          <w:bCs/>
          <w:color w:val="auto"/>
        </w:rPr>
        <w:t>4</w:t>
      </w:r>
      <w:r>
        <w:rPr>
          <w:b w:val="0"/>
          <w:bCs/>
          <w:color w:val="auto"/>
        </w:rPr>
        <w:t>.1 承包人的一般义务</w:t>
      </w:r>
      <w:bookmarkEnd w:id="570"/>
      <w:bookmarkEnd w:id="571"/>
      <w:bookmarkEnd w:id="572"/>
      <w:bookmarkEnd w:id="573"/>
      <w:bookmarkEnd w:id="574"/>
      <w:bookmarkEnd w:id="575"/>
      <w:r>
        <w:rPr>
          <w:rFonts w:hint="eastAsia"/>
          <w:b w:val="0"/>
          <w:bCs/>
          <w:color w:val="auto"/>
        </w:rPr>
        <w:t xml:space="preserve"> </w:t>
      </w:r>
    </w:p>
    <w:p>
      <w:pPr>
        <w:ind w:firstLine="600"/>
        <w:rPr>
          <w:rFonts w:ascii="仿宋_GB2312" w:eastAsia="仿宋_GB2312"/>
          <w:color w:val="auto"/>
          <w:sz w:val="24"/>
        </w:rPr>
      </w:pPr>
      <w:bookmarkStart w:id="576" w:name="_Ref509046929"/>
      <w:r>
        <w:rPr>
          <w:rFonts w:hint="eastAsia" w:ascii="仿宋_GB2312" w:eastAsia="仿宋_GB2312"/>
          <w:color w:val="auto"/>
          <w:sz w:val="24"/>
        </w:rPr>
        <w:t>除专用合同条件另有约定外，承包人在履行合同过程中应遵守法律和工程建设标准规范，并履行以下义务：</w:t>
      </w:r>
    </w:p>
    <w:p>
      <w:pPr>
        <w:ind w:firstLine="600"/>
        <w:rPr>
          <w:rFonts w:ascii="仿宋_GB2312" w:eastAsia="仿宋_GB2312"/>
          <w:color w:val="auto"/>
          <w:sz w:val="24"/>
        </w:rPr>
      </w:pPr>
      <w:r>
        <w:rPr>
          <w:rFonts w:hint="eastAsia" w:ascii="仿宋_GB2312" w:eastAsia="仿宋_GB2312"/>
          <w:color w:val="auto"/>
          <w:sz w:val="24"/>
        </w:rPr>
        <w:t>（1） 办理法律规定和合同约定由承包人办理的许可和批准，将办理结果书面报送发包人留存，并承担因承包人违反法律或合同约定给发包人造成的任何费用和损失；</w:t>
      </w:r>
    </w:p>
    <w:p>
      <w:pPr>
        <w:ind w:firstLine="600"/>
        <w:rPr>
          <w:rFonts w:ascii="仿宋_GB2312" w:eastAsia="仿宋_GB2312"/>
          <w:color w:val="auto"/>
          <w:sz w:val="24"/>
        </w:rPr>
      </w:pPr>
      <w:r>
        <w:rPr>
          <w:rFonts w:hint="eastAsia" w:ascii="仿宋_GB2312" w:eastAsia="仿宋_GB2312"/>
          <w:color w:val="auto"/>
          <w:sz w:val="24"/>
        </w:rPr>
        <w:t>（2） 按合同约定完成全部工作并在缺陷责任期和保修期内承担缺陷保证责任和保修义务，对工作中的任何缺陷进行整改、完善和修补，使其满足合同约定的目的；</w:t>
      </w:r>
    </w:p>
    <w:p>
      <w:pPr>
        <w:ind w:firstLine="600"/>
        <w:rPr>
          <w:rFonts w:ascii="仿宋_GB2312" w:eastAsia="仿宋_GB2312"/>
          <w:color w:val="auto"/>
          <w:sz w:val="24"/>
        </w:rPr>
      </w:pPr>
      <w:r>
        <w:rPr>
          <w:rFonts w:hint="eastAsia" w:ascii="仿宋_GB2312" w:eastAsia="仿宋_GB2312"/>
          <w:color w:val="auto"/>
          <w:sz w:val="24"/>
        </w:rPr>
        <w:t>（3） 提供合同约定的工程设备和承包人文件，以及为完成合同工作所需的劳务、材料、施工设备和其他物品，并按合同约定负责临时设施的设计、施工、运行、维护、管理和拆除；</w:t>
      </w:r>
    </w:p>
    <w:p>
      <w:pPr>
        <w:ind w:firstLine="600"/>
        <w:rPr>
          <w:rFonts w:ascii="仿宋_GB2312" w:eastAsia="仿宋_GB2312"/>
          <w:color w:val="auto"/>
          <w:sz w:val="24"/>
        </w:rPr>
      </w:pPr>
      <w:r>
        <w:rPr>
          <w:rFonts w:hint="eastAsia" w:ascii="仿宋_GB2312" w:eastAsia="仿宋_GB2312"/>
          <w:color w:val="auto"/>
          <w:sz w:val="24"/>
        </w:rPr>
        <w:t>（4） 按合同约定的工作内容和进度要求，编制设计、施工的组织和实施计划，保证项目进度计划的实现，并对所有设计、施工作业和施工方法，以及全部工程的完备性和安全可靠性负责；</w:t>
      </w:r>
    </w:p>
    <w:p>
      <w:pPr>
        <w:ind w:firstLine="600"/>
        <w:rPr>
          <w:rFonts w:ascii="仿宋_GB2312" w:eastAsia="仿宋_GB2312"/>
          <w:color w:val="auto"/>
          <w:sz w:val="24"/>
        </w:rPr>
      </w:pPr>
      <w:r>
        <w:rPr>
          <w:rFonts w:hint="eastAsia" w:ascii="仿宋_GB2312" w:eastAsia="仿宋_GB2312"/>
          <w:color w:val="auto"/>
          <w:sz w:val="24"/>
        </w:rPr>
        <w:t>（5） 按法律规定和合同约定采取安全文明施工、职业健康和环境保护措施，办理员工工伤保险等相关保险，确保工程及人员、材料、设备和设施的安全，防止因工程实施造成的人身伤害和财产损失；</w:t>
      </w:r>
    </w:p>
    <w:p>
      <w:pPr>
        <w:ind w:firstLine="600"/>
        <w:rPr>
          <w:rFonts w:ascii="仿宋_GB2312" w:eastAsia="仿宋_GB2312"/>
          <w:color w:val="auto"/>
          <w:sz w:val="24"/>
        </w:rPr>
      </w:pPr>
      <w:r>
        <w:rPr>
          <w:rFonts w:hint="eastAsia" w:ascii="仿宋_GB2312" w:eastAsia="仿宋_GB2312"/>
          <w:color w:val="auto"/>
          <w:sz w:val="24"/>
        </w:rPr>
        <w:t>（6） 将发包人按合同约定支付的各项价款专用于合同工程，且应及时支付其雇用人员（包括建筑工人）工资，并及时向分包人支付合同价款；</w:t>
      </w:r>
    </w:p>
    <w:p>
      <w:pPr>
        <w:ind w:firstLine="600"/>
        <w:rPr>
          <w:rFonts w:ascii="仿宋_GB2312" w:eastAsia="仿宋_GB2312"/>
          <w:color w:val="auto"/>
          <w:sz w:val="24"/>
        </w:rPr>
      </w:pPr>
      <w:r>
        <w:rPr>
          <w:rFonts w:hint="eastAsia" w:ascii="仿宋_GB2312" w:eastAsia="仿宋_GB2312"/>
          <w:color w:val="auto"/>
          <w:sz w:val="24"/>
        </w:rPr>
        <w:t>（7） 在进行合同约定的各项工作时，不得侵害发包人与他人使用公用道路、水源、市政管网等公共设施的权利，避免对邻近的公共设施产生干扰。</w:t>
      </w:r>
    </w:p>
    <w:p>
      <w:pPr>
        <w:pStyle w:val="315"/>
        <w:widowControl/>
        <w:numPr>
          <w:ilvl w:val="0"/>
          <w:numId w:val="0"/>
        </w:numPr>
        <w:rPr>
          <w:b w:val="0"/>
          <w:bCs/>
          <w:color w:val="auto"/>
        </w:rPr>
      </w:pPr>
      <w:bookmarkStart w:id="577" w:name="_Toc54862213"/>
      <w:bookmarkStart w:id="578" w:name="_Ref4426803"/>
      <w:bookmarkStart w:id="579" w:name="_Ref4428418"/>
      <w:r>
        <w:rPr>
          <w:rFonts w:hint="eastAsia"/>
          <w:b w:val="0"/>
          <w:bCs/>
          <w:color w:val="auto"/>
        </w:rPr>
        <w:t>4</w:t>
      </w:r>
      <w:r>
        <w:rPr>
          <w:b w:val="0"/>
          <w:bCs/>
          <w:color w:val="auto"/>
        </w:rPr>
        <w:t xml:space="preserve">.2 </w:t>
      </w:r>
      <w:r>
        <w:rPr>
          <w:rFonts w:hint="eastAsia"/>
          <w:b w:val="0"/>
          <w:bCs/>
          <w:color w:val="auto"/>
        </w:rPr>
        <w:t>履约担保</w:t>
      </w:r>
      <w:bookmarkEnd w:id="577"/>
      <w:bookmarkEnd w:id="578"/>
    </w:p>
    <w:p>
      <w:pPr>
        <w:ind w:firstLine="600"/>
        <w:rPr>
          <w:rFonts w:ascii="仿宋_GB2312" w:eastAsia="仿宋_GB2312"/>
          <w:color w:val="auto"/>
          <w:sz w:val="24"/>
        </w:rPr>
      </w:pPr>
      <w:r>
        <w:rPr>
          <w:rFonts w:hint="eastAsia" w:ascii="仿宋_GB2312" w:eastAsia="仿宋_GB2312"/>
          <w:color w:val="auto"/>
          <w:sz w:val="24"/>
        </w:rPr>
        <w:t>发包人需要承包人提供履约担保的，由合同当事人在专用合同条件中约定履约担保的方式、金额及提交的时间等，并应符合第</w:t>
      </w:r>
      <w:r>
        <w:rPr>
          <w:rFonts w:ascii="仿宋_GB2312" w:eastAsia="仿宋_GB2312"/>
          <w:color w:val="auto"/>
          <w:sz w:val="24"/>
        </w:rPr>
        <w:t>2.5</w:t>
      </w:r>
      <w:r>
        <w:rPr>
          <w:rFonts w:hint="eastAsia" w:ascii="仿宋_GB2312" w:eastAsia="仿宋_GB2312"/>
          <w:color w:val="auto"/>
          <w:sz w:val="24"/>
        </w:rPr>
        <w:t>款[支付合同价款]的规定。履约担保可以采用银行保函或担保公司担保等形式，承包人为联合体的，其履约担保由联合体各方或者联合体中牵头人的名义代表联合体提交，具体由合同当事人在专用合同条件中约定。</w:t>
      </w:r>
    </w:p>
    <w:p>
      <w:pPr>
        <w:ind w:firstLine="600"/>
        <w:rPr>
          <w:rFonts w:ascii="仿宋_GB2312" w:eastAsia="仿宋_GB2312"/>
          <w:color w:val="auto"/>
          <w:sz w:val="24"/>
        </w:rPr>
      </w:pPr>
      <w:r>
        <w:rPr>
          <w:rFonts w:hint="eastAsia" w:ascii="仿宋_GB2312" w:eastAsia="仿宋_GB2312"/>
          <w:color w:val="auto"/>
          <w:sz w:val="24"/>
        </w:rPr>
        <w:t>承包人应保证其履约担保在发包人竣工验收前一直有效，发包人应在竣工验收合格后</w:t>
      </w:r>
      <w:r>
        <w:rPr>
          <w:rFonts w:ascii="仿宋_GB2312" w:eastAsia="仿宋_GB2312"/>
          <w:color w:val="auto"/>
          <w:sz w:val="24"/>
        </w:rPr>
        <w:t>7</w:t>
      </w:r>
      <w:r>
        <w:rPr>
          <w:rFonts w:hint="eastAsia" w:ascii="仿宋_GB2312" w:eastAsia="仿宋_GB2312"/>
          <w:color w:val="auto"/>
          <w:sz w:val="24"/>
        </w:rPr>
        <w:t>天内将履约担保款项退还给承包人或者解除履约担保。</w:t>
      </w:r>
    </w:p>
    <w:p>
      <w:pPr>
        <w:ind w:firstLine="600"/>
        <w:rPr>
          <w:rFonts w:ascii="仿宋_GB2312" w:eastAsia="仿宋_GB2312"/>
          <w:color w:val="auto"/>
          <w:sz w:val="24"/>
        </w:rPr>
      </w:pPr>
      <w:r>
        <w:rPr>
          <w:rFonts w:hint="eastAsia" w:ascii="仿宋_GB2312" w:eastAsia="仿宋_GB2312"/>
          <w:color w:val="auto"/>
          <w:sz w:val="24"/>
        </w:rPr>
        <w:t>因承包人原因导致工期延长的，继续提供履约担保所增加的费用由承包人承担；非因承包人原因导致工期延长的，继续提供履约担保所增加的费用由发包人承担。</w:t>
      </w:r>
    </w:p>
    <w:bookmarkEnd w:id="576"/>
    <w:bookmarkEnd w:id="579"/>
    <w:p>
      <w:pPr>
        <w:pStyle w:val="315"/>
        <w:widowControl/>
        <w:numPr>
          <w:ilvl w:val="0"/>
          <w:numId w:val="0"/>
        </w:numPr>
        <w:rPr>
          <w:b w:val="0"/>
          <w:bCs/>
          <w:color w:val="auto"/>
        </w:rPr>
      </w:pPr>
      <w:bookmarkStart w:id="580" w:name="_Ref532689105"/>
      <w:bookmarkStart w:id="581" w:name="_Toc54862214"/>
      <w:bookmarkStart w:id="582" w:name="_Ref532689108"/>
      <w:r>
        <w:rPr>
          <w:rFonts w:hint="eastAsia"/>
          <w:b w:val="0"/>
          <w:bCs/>
          <w:color w:val="auto"/>
        </w:rPr>
        <w:t>4</w:t>
      </w:r>
      <w:r>
        <w:rPr>
          <w:b w:val="0"/>
          <w:bCs/>
          <w:color w:val="auto"/>
        </w:rPr>
        <w:t xml:space="preserve">.3 </w:t>
      </w:r>
      <w:r>
        <w:rPr>
          <w:rFonts w:hint="eastAsia"/>
          <w:b w:val="0"/>
          <w:bCs/>
          <w:color w:val="auto"/>
        </w:rPr>
        <w:t>工程总承包项目经理</w:t>
      </w:r>
      <w:bookmarkEnd w:id="580"/>
      <w:bookmarkEnd w:id="581"/>
      <w:bookmarkEnd w:id="582"/>
    </w:p>
    <w:p>
      <w:pPr>
        <w:pStyle w:val="88"/>
        <w:numPr>
          <w:ilvl w:val="0"/>
          <w:numId w:val="0"/>
        </w:numPr>
        <w:rPr>
          <w:rFonts w:ascii="仿宋_GB2312" w:eastAsia="仿宋_GB2312"/>
          <w:color w:val="auto"/>
          <w:szCs w:val="24"/>
        </w:rPr>
      </w:pPr>
      <w:bookmarkStart w:id="583" w:name="_Ref532351726"/>
      <w:r>
        <w:rPr>
          <w:rFonts w:hint="eastAsia" w:ascii="仿宋_GB2312" w:eastAsia="仿宋_GB2312"/>
          <w:color w:val="auto"/>
          <w:szCs w:val="24"/>
        </w:rPr>
        <w:t>4</w:t>
      </w:r>
      <w:r>
        <w:rPr>
          <w:rFonts w:ascii="仿宋_GB2312" w:eastAsia="仿宋_GB2312"/>
          <w:color w:val="auto"/>
          <w:szCs w:val="24"/>
        </w:rPr>
        <w:t xml:space="preserve">.3.1 </w:t>
      </w:r>
      <w:r>
        <w:rPr>
          <w:rFonts w:hint="eastAsia" w:ascii="仿宋_GB2312" w:eastAsia="仿宋_GB2312"/>
          <w:color w:val="auto"/>
          <w:szCs w:val="24"/>
        </w:rPr>
        <w:t>工程总承包项目经理应为合同当事人所确认的人选，并在专用合同条件中明确工程总承包项目经理的姓名、注册执业资格或职称、联系方式及授权范围等事项。工程总承包项目经理应具备履行其职责所需的资格、经验和能力，并为承包人正式聘用的员工，承包人应向发包人提交工程总承包项目经理与承包人之间的劳动合同，以及承包人为工程总承包项目经理缴纳社会保险的有效证明。承包人不提交上述文件的，工程总承包项目经理无权履行职责，发包人有权要求更换工程总承包项目经理，由此增加的费用和（或）延误的工期由承包人承担。同时，发包人有权根据专用合同条件约定要求承包人承担违约责任。</w:t>
      </w:r>
      <w:bookmarkEnd w:id="583"/>
    </w:p>
    <w:p>
      <w:pPr>
        <w:pStyle w:val="88"/>
        <w:numPr>
          <w:ilvl w:val="0"/>
          <w:numId w:val="0"/>
        </w:numPr>
        <w:rPr>
          <w:rFonts w:ascii="仿宋_GB2312" w:eastAsia="仿宋_GB2312"/>
          <w:color w:val="auto"/>
          <w:szCs w:val="24"/>
        </w:rPr>
      </w:pPr>
      <w:bookmarkStart w:id="584" w:name="_Ref532689263"/>
      <w:r>
        <w:rPr>
          <w:rFonts w:hint="eastAsia" w:ascii="仿宋_GB2312" w:eastAsia="仿宋_GB2312"/>
          <w:color w:val="auto"/>
          <w:szCs w:val="24"/>
        </w:rPr>
        <w:t>4</w:t>
      </w:r>
      <w:r>
        <w:rPr>
          <w:rFonts w:ascii="仿宋_GB2312" w:eastAsia="仿宋_GB2312"/>
          <w:color w:val="auto"/>
          <w:szCs w:val="24"/>
        </w:rPr>
        <w:t xml:space="preserve">.3.2 </w:t>
      </w:r>
      <w:r>
        <w:rPr>
          <w:rFonts w:hint="eastAsia" w:ascii="仿宋_GB2312" w:eastAsia="仿宋_GB2312"/>
          <w:color w:val="auto"/>
          <w:szCs w:val="24"/>
        </w:rPr>
        <w:t>承包人应按合同协议书的约定指派工程总承包项目经理，并在约定的期限内到职。工程总承包项目经理不得同时担任其他工程项目的工程总承包项目经理或施工工程总承包项目经理（含施工总承包工程、专业承包工程）。工程在现场实施的全部时间内，工程总承包项目经理每月在施工现场时间不得少于专用合同条件约定的天数。工程总承包项目经理确需离开施工现场时，应事先通知工程师，并取得发包人的书面同意。工程总承包项目经理未经批准擅自离开施工现场的，承包人应按照专用合同条件的约定承担违约责任。工程总承包项目经理的通知中应当载明临时代行其职责的人员的注册执业资格、管理经验等资料，该人员应具备履行相应职责的资格、经验和能力。</w:t>
      </w:r>
      <w:bookmarkEnd w:id="584"/>
    </w:p>
    <w:p>
      <w:pPr>
        <w:pStyle w:val="88"/>
        <w:numPr>
          <w:ilvl w:val="0"/>
          <w:numId w:val="0"/>
        </w:numPr>
        <w:rPr>
          <w:rFonts w:ascii="仿宋_GB2312" w:eastAsia="仿宋_GB2312"/>
          <w:color w:val="auto"/>
          <w:szCs w:val="24"/>
        </w:rPr>
      </w:pPr>
      <w:bookmarkStart w:id="585" w:name="_Ref532689178"/>
      <w:bookmarkStart w:id="586" w:name="_Ref531952112"/>
      <w:r>
        <w:rPr>
          <w:rFonts w:hint="eastAsia" w:ascii="仿宋_GB2312" w:eastAsia="仿宋_GB2312"/>
          <w:color w:val="auto"/>
          <w:szCs w:val="24"/>
        </w:rPr>
        <w:t>4</w:t>
      </w:r>
      <w:r>
        <w:rPr>
          <w:rFonts w:ascii="仿宋_GB2312" w:eastAsia="仿宋_GB2312"/>
          <w:color w:val="auto"/>
          <w:szCs w:val="24"/>
        </w:rPr>
        <w:t xml:space="preserve">.3.3 </w:t>
      </w:r>
      <w:r>
        <w:rPr>
          <w:rFonts w:hint="eastAsia" w:ascii="仿宋_GB2312" w:eastAsia="仿宋_GB2312"/>
          <w:color w:val="auto"/>
          <w:szCs w:val="24"/>
        </w:rPr>
        <w:t>承包人应根据本合同的约定授予工程总承包项目经理代表承包人履行合同所需的权利，工程总承包项目经理权限以专用合同条件中约定的权限为准。经承包人授权后，工程总承包项目经理应按合同约定以及工程师按第</w:t>
      </w:r>
      <w:r>
        <w:rPr>
          <w:rFonts w:ascii="仿宋_GB2312" w:eastAsia="仿宋_GB2312"/>
          <w:color w:val="auto"/>
          <w:szCs w:val="24"/>
        </w:rPr>
        <w:t>3.5</w:t>
      </w:r>
      <w:r>
        <w:rPr>
          <w:rFonts w:hint="eastAsia" w:ascii="仿宋_GB2312" w:eastAsia="仿宋_GB2312"/>
          <w:color w:val="auto"/>
          <w:szCs w:val="24"/>
        </w:rPr>
        <w:t>款[指示]作出的指示，代表承包人负责组织合同的实施。在紧急情况下，且无法与发包人和工程师取得联系时，工程总承包项目经理有权采取必要的措施保证人身、工程和财产的安全，但须在事后48小时内向工程师送交书面报告。</w:t>
      </w:r>
      <w:bookmarkEnd w:id="585"/>
    </w:p>
    <w:bookmarkEnd w:id="586"/>
    <w:p>
      <w:pPr>
        <w:pStyle w:val="88"/>
        <w:numPr>
          <w:ilvl w:val="0"/>
          <w:numId w:val="0"/>
        </w:numPr>
        <w:rPr>
          <w:rFonts w:ascii="仿宋_GB2312" w:eastAsia="仿宋_GB2312"/>
          <w:color w:val="auto"/>
          <w:szCs w:val="24"/>
        </w:rPr>
      </w:pPr>
      <w:bookmarkStart w:id="587" w:name="_Ref4426412"/>
      <w:r>
        <w:rPr>
          <w:rFonts w:hint="eastAsia" w:ascii="仿宋_GB2312" w:eastAsia="仿宋_GB2312"/>
          <w:color w:val="auto"/>
          <w:szCs w:val="24"/>
        </w:rPr>
        <w:t>4</w:t>
      </w:r>
      <w:r>
        <w:rPr>
          <w:rFonts w:ascii="仿宋_GB2312" w:eastAsia="仿宋_GB2312"/>
          <w:color w:val="auto"/>
          <w:szCs w:val="24"/>
        </w:rPr>
        <w:t xml:space="preserve">.3.4 </w:t>
      </w:r>
      <w:r>
        <w:rPr>
          <w:rFonts w:hint="eastAsia" w:ascii="仿宋_GB2312" w:eastAsia="仿宋_GB2312"/>
          <w:color w:val="auto"/>
          <w:szCs w:val="24"/>
        </w:rPr>
        <w:t>承包人需要更换工程总承包项目经理的，应提前14天书面通知发包人并抄送工程师，征得发包人书面同意。通知中应当载明继任工程总承包项目经理的注册执业资格、管理经验等资料，继任工程总承包项目经理继续履行本合同约定的职责。未经发包人书面同意，承包人不得擅自更换工程总承包项目经理，在发包人未予以书面回复期间内，工程总承包项目经理将继续履行其职责。工程总承包项目经理突发丧失履行职务能力的，承包人应当及时委派一位具有相应资格能力的人员担任临时工程总承包项目经理，履行工程总承包项目经理的职责，临时工程总承包项目经理将履行职责直至发包人同意新的工程总承包项目经理的任命之日止。承包人擅自更换工程总承包项目经理的，</w:t>
      </w:r>
      <w:bookmarkStart w:id="588" w:name="_Hlk55056591"/>
      <w:r>
        <w:rPr>
          <w:rFonts w:hint="eastAsia" w:ascii="仿宋_GB2312" w:eastAsia="仿宋_GB2312"/>
          <w:color w:val="auto"/>
          <w:szCs w:val="24"/>
        </w:rPr>
        <w:t>应按照专用合同条件的约定承担违约责任。</w:t>
      </w:r>
      <w:bookmarkEnd w:id="587"/>
      <w:bookmarkEnd w:id="588"/>
    </w:p>
    <w:p>
      <w:pPr>
        <w:pStyle w:val="88"/>
        <w:numPr>
          <w:ilvl w:val="0"/>
          <w:numId w:val="0"/>
        </w:numPr>
        <w:rPr>
          <w:rFonts w:ascii="仿宋_GB2312" w:eastAsia="仿宋_GB2312"/>
          <w:color w:val="auto"/>
          <w:szCs w:val="24"/>
        </w:rPr>
      </w:pPr>
      <w:bookmarkStart w:id="589" w:name="_Ref531952137"/>
      <w:r>
        <w:rPr>
          <w:rFonts w:hint="eastAsia" w:ascii="仿宋_GB2312" w:eastAsia="仿宋_GB2312"/>
          <w:color w:val="auto"/>
          <w:szCs w:val="24"/>
        </w:rPr>
        <w:t>4</w:t>
      </w:r>
      <w:r>
        <w:rPr>
          <w:rFonts w:ascii="仿宋_GB2312" w:eastAsia="仿宋_GB2312"/>
          <w:color w:val="auto"/>
          <w:szCs w:val="24"/>
        </w:rPr>
        <w:t xml:space="preserve">.3.5 </w:t>
      </w:r>
      <w:r>
        <w:rPr>
          <w:rFonts w:hint="eastAsia" w:ascii="仿宋_GB2312" w:eastAsia="仿宋_GB2312"/>
          <w:color w:val="auto"/>
          <w:szCs w:val="24"/>
        </w:rPr>
        <w:t>发包人有权书面通知承包人要求更换其认为不称职的工程总承包项目经理，通知中应当载明要求更换的理由。承包人应在接到更换通知后14天内向发包人提出书面的改进报告。如承包人没有提出改进报告，应在收到更换通知后</w:t>
      </w:r>
      <w:r>
        <w:rPr>
          <w:rFonts w:ascii="仿宋_GB2312" w:eastAsia="仿宋_GB2312"/>
          <w:color w:val="auto"/>
          <w:szCs w:val="24"/>
        </w:rPr>
        <w:t>28天内更换项目经理。</w:t>
      </w:r>
      <w:r>
        <w:rPr>
          <w:rFonts w:hint="eastAsia" w:ascii="仿宋_GB2312" w:eastAsia="仿宋_GB2312"/>
          <w:color w:val="auto"/>
          <w:szCs w:val="24"/>
        </w:rPr>
        <w:t>发包人收到改进报告后仍要求更换的，承包人应在接到第二次更换通知的28天内进行更换，并将新任命的工程总承包项目经理的注册执业资格、管理经验等资料书面通知发包人。继任工程总承包项目经理继续履行本合同约定的职责。承包人无正当理由拒绝更换工程总承包项目经理的，应按照专用合同条件的约定承担违约责任。</w:t>
      </w:r>
      <w:bookmarkEnd w:id="589"/>
    </w:p>
    <w:p>
      <w:pPr>
        <w:pStyle w:val="88"/>
        <w:numPr>
          <w:ilvl w:val="0"/>
          <w:numId w:val="0"/>
        </w:numPr>
        <w:rPr>
          <w:rFonts w:ascii="仿宋_GB2312" w:eastAsia="仿宋_GB2312"/>
          <w:color w:val="auto"/>
          <w:szCs w:val="24"/>
        </w:rPr>
      </w:pPr>
      <w:bookmarkStart w:id="590" w:name="_Ref122620"/>
      <w:r>
        <w:rPr>
          <w:rFonts w:hint="eastAsia" w:ascii="仿宋_GB2312" w:eastAsia="仿宋_GB2312"/>
          <w:color w:val="auto"/>
          <w:szCs w:val="24"/>
        </w:rPr>
        <w:t>4</w:t>
      </w:r>
      <w:r>
        <w:rPr>
          <w:rFonts w:ascii="仿宋_GB2312" w:eastAsia="仿宋_GB2312"/>
          <w:color w:val="auto"/>
          <w:szCs w:val="24"/>
        </w:rPr>
        <w:t xml:space="preserve">.3.6 </w:t>
      </w:r>
      <w:r>
        <w:rPr>
          <w:rFonts w:hint="eastAsia" w:ascii="仿宋_GB2312" w:eastAsia="仿宋_GB2312"/>
          <w:color w:val="auto"/>
          <w:szCs w:val="24"/>
        </w:rPr>
        <w:t>工程总承包项目经理因特殊情况授权其下属人员履行其某项工作职责的，该下属人员应具备履行相应职责的能力，并应事先将上述人员的姓名、注册执业资格、管理经验等信息和授权范围书面通知发包人并抄送工程师，征得发包人书面同意。</w:t>
      </w:r>
      <w:bookmarkEnd w:id="590"/>
    </w:p>
    <w:p>
      <w:pPr>
        <w:pStyle w:val="315"/>
        <w:widowControl/>
        <w:numPr>
          <w:ilvl w:val="0"/>
          <w:numId w:val="0"/>
        </w:numPr>
        <w:rPr>
          <w:b w:val="0"/>
          <w:bCs/>
          <w:color w:val="auto"/>
        </w:rPr>
      </w:pPr>
      <w:bookmarkStart w:id="591" w:name="_Ref531952175"/>
      <w:bookmarkStart w:id="592" w:name="_Toc54862215"/>
      <w:bookmarkStart w:id="593" w:name="_Ref531952172"/>
      <w:r>
        <w:rPr>
          <w:rFonts w:hint="eastAsia"/>
          <w:b w:val="0"/>
          <w:bCs/>
          <w:color w:val="auto"/>
        </w:rPr>
        <w:t>4</w:t>
      </w:r>
      <w:r>
        <w:rPr>
          <w:b w:val="0"/>
          <w:bCs/>
          <w:color w:val="auto"/>
        </w:rPr>
        <w:t xml:space="preserve">.4 </w:t>
      </w:r>
      <w:r>
        <w:rPr>
          <w:rFonts w:hint="eastAsia"/>
          <w:b w:val="0"/>
          <w:bCs/>
          <w:color w:val="auto"/>
        </w:rPr>
        <w:t>承包人人员</w:t>
      </w:r>
      <w:bookmarkEnd w:id="591"/>
      <w:bookmarkEnd w:id="592"/>
      <w:bookmarkEnd w:id="593"/>
    </w:p>
    <w:p>
      <w:pPr>
        <w:pStyle w:val="88"/>
        <w:numPr>
          <w:ilvl w:val="0"/>
          <w:numId w:val="0"/>
        </w:numPr>
        <w:rPr>
          <w:rFonts w:ascii="仿宋_GB2312" w:eastAsia="仿宋_GB2312"/>
          <w:color w:val="auto"/>
          <w:szCs w:val="24"/>
        </w:rPr>
      </w:pPr>
      <w:bookmarkStart w:id="594" w:name="_Ref531952185"/>
      <w:r>
        <w:rPr>
          <w:rFonts w:hint="eastAsia" w:ascii="仿宋_GB2312" w:eastAsia="仿宋_GB2312"/>
          <w:color w:val="auto"/>
          <w:szCs w:val="24"/>
        </w:rPr>
        <w:t>4</w:t>
      </w:r>
      <w:r>
        <w:rPr>
          <w:rFonts w:ascii="仿宋_GB2312" w:eastAsia="仿宋_GB2312"/>
          <w:color w:val="auto"/>
          <w:szCs w:val="24"/>
        </w:rPr>
        <w:t xml:space="preserve">.4.1 </w:t>
      </w:r>
      <w:r>
        <w:rPr>
          <w:rFonts w:hint="eastAsia" w:ascii="仿宋_GB2312" w:eastAsia="仿宋_GB2312"/>
          <w:color w:val="auto"/>
          <w:szCs w:val="24"/>
        </w:rPr>
        <w:t>人员安排</w:t>
      </w:r>
      <w:bookmarkEnd w:id="594"/>
    </w:p>
    <w:p>
      <w:pPr>
        <w:ind w:firstLine="600"/>
        <w:rPr>
          <w:rFonts w:ascii="仿宋_GB2312" w:eastAsia="仿宋_GB2312"/>
          <w:color w:val="auto"/>
          <w:sz w:val="24"/>
        </w:rPr>
      </w:pPr>
      <w:r>
        <w:rPr>
          <w:rFonts w:hint="eastAsia" w:ascii="仿宋_GB2312" w:eastAsia="仿宋_GB2312"/>
          <w:color w:val="auto"/>
          <w:sz w:val="24"/>
        </w:rPr>
        <w:t>承包人人员的资质、数量、配置和管理应能满足工程实施的需要。除专用合同条件另有约定外，承包人应在接到开始工作通知之日起14天内，向工程师提交承包人的项目管理机构以及人员安排的报告，其内容应包括管理机构的设置、各主要岗位的关键人员名单及注册执业资格等证明其具备担任关键人员能力的相关文件，以及设计人员和各工种技术负责人的安排状况。</w:t>
      </w:r>
    </w:p>
    <w:p>
      <w:pPr>
        <w:ind w:firstLine="600"/>
        <w:rPr>
          <w:rFonts w:ascii="仿宋_GB2312" w:eastAsia="仿宋_GB2312"/>
          <w:color w:val="auto"/>
          <w:sz w:val="24"/>
        </w:rPr>
      </w:pPr>
      <w:r>
        <w:rPr>
          <w:rFonts w:hint="eastAsia" w:ascii="仿宋_GB2312" w:eastAsia="仿宋_GB2312"/>
          <w:color w:val="auto"/>
          <w:sz w:val="24"/>
        </w:rPr>
        <w:t>关键人员</w:t>
      </w:r>
      <w:bookmarkStart w:id="595" w:name="_Hlk16210335"/>
      <w:r>
        <w:rPr>
          <w:rFonts w:hint="eastAsia" w:ascii="仿宋_GB2312" w:eastAsia="仿宋_GB2312"/>
          <w:color w:val="auto"/>
          <w:sz w:val="24"/>
        </w:rPr>
        <w:t>是发包人及承包人一致认为对工程建设起重要作用的承包人主要管理人员或技术人员。关键人员的具体范围由发包人及承包人在附件</w:t>
      </w:r>
      <w:r>
        <w:rPr>
          <w:rFonts w:ascii="仿宋_GB2312" w:eastAsia="仿宋_GB2312"/>
          <w:color w:val="auto"/>
          <w:sz w:val="24"/>
        </w:rPr>
        <w:t>5[承包人主要管理人员表]</w:t>
      </w:r>
      <w:r>
        <w:rPr>
          <w:rFonts w:hint="eastAsia" w:ascii="仿宋_GB2312" w:eastAsia="仿宋_GB2312"/>
          <w:color w:val="auto"/>
          <w:sz w:val="24"/>
        </w:rPr>
        <w:t>中另行约定。</w:t>
      </w:r>
    </w:p>
    <w:bookmarkEnd w:id="595"/>
    <w:p>
      <w:pPr>
        <w:pStyle w:val="88"/>
        <w:numPr>
          <w:ilvl w:val="0"/>
          <w:numId w:val="0"/>
        </w:numPr>
        <w:rPr>
          <w:rFonts w:ascii="仿宋_GB2312" w:eastAsia="仿宋_GB2312"/>
          <w:color w:val="auto"/>
          <w:szCs w:val="24"/>
        </w:rPr>
      </w:pPr>
      <w:bookmarkStart w:id="596" w:name="_Ref531952211"/>
      <w:bookmarkStart w:id="597" w:name="_Ref4426641"/>
      <w:r>
        <w:rPr>
          <w:rFonts w:hint="eastAsia" w:ascii="仿宋_GB2312" w:eastAsia="仿宋_GB2312"/>
          <w:color w:val="auto"/>
          <w:szCs w:val="24"/>
        </w:rPr>
        <w:t>4</w:t>
      </w:r>
      <w:r>
        <w:rPr>
          <w:rFonts w:ascii="仿宋_GB2312" w:eastAsia="仿宋_GB2312"/>
          <w:color w:val="auto"/>
          <w:szCs w:val="24"/>
        </w:rPr>
        <w:t xml:space="preserve">.4.2 </w:t>
      </w:r>
      <w:r>
        <w:rPr>
          <w:rFonts w:hint="eastAsia" w:ascii="仿宋_GB2312" w:eastAsia="仿宋_GB2312"/>
          <w:color w:val="auto"/>
          <w:szCs w:val="24"/>
        </w:rPr>
        <w:t>关键人员更换</w:t>
      </w:r>
      <w:bookmarkEnd w:id="596"/>
      <w:bookmarkEnd w:id="597"/>
    </w:p>
    <w:p>
      <w:pPr>
        <w:ind w:firstLine="600"/>
        <w:rPr>
          <w:rFonts w:ascii="仿宋_GB2312" w:eastAsia="仿宋_GB2312"/>
          <w:color w:val="auto"/>
          <w:sz w:val="24"/>
        </w:rPr>
      </w:pPr>
      <w:r>
        <w:rPr>
          <w:rFonts w:hint="eastAsia" w:ascii="仿宋_GB2312" w:eastAsia="仿宋_GB2312"/>
          <w:color w:val="auto"/>
          <w:sz w:val="24"/>
        </w:rPr>
        <w:t>承包人派驻到施工现场的关键人员应相对稳定。承包人更换关键人员时，应提前14天将继任关键人员信息及相关证明文件提交给工程师，并由工程师报发包人征求同意。在发包人未予以书面回复期间内，关键人员将继续履行其职务。关键人员突发丧失履行职务能力的，承包人应当及时委派一位具有相应资格能力的人员临时继任该关键人员职位，履行该关键人员职责，临时继任关键人员将履行职责直至发包人同意新的关键人员任命之日止。承包人擅自更换关键人员，应按照专用合同条件约定承担违约责任。</w:t>
      </w:r>
    </w:p>
    <w:p>
      <w:pPr>
        <w:ind w:firstLine="600"/>
        <w:rPr>
          <w:rFonts w:ascii="仿宋_GB2312" w:eastAsia="仿宋_GB2312"/>
          <w:color w:val="auto"/>
          <w:sz w:val="24"/>
        </w:rPr>
      </w:pPr>
      <w:r>
        <w:rPr>
          <w:rFonts w:hint="eastAsia" w:ascii="仿宋_GB2312" w:eastAsia="仿宋_GB2312"/>
          <w:color w:val="auto"/>
          <w:sz w:val="24"/>
        </w:rPr>
        <w:t>工程师对于承包人关键人员的资格或能力有异议的，承包人应提供资料证明被质疑人员有能力完成其岗位工作或不存在工程师所质疑的情形。工程师指示撤换不能按照合同约定履行职责及义务的主要施工管理人员的，承包人应当撤换。承包人无正当理由拒绝撤换的，应按照专用合同条件的约定承担违约责任。</w:t>
      </w:r>
    </w:p>
    <w:p>
      <w:pPr>
        <w:pStyle w:val="88"/>
        <w:numPr>
          <w:ilvl w:val="0"/>
          <w:numId w:val="0"/>
        </w:numPr>
        <w:rPr>
          <w:rFonts w:ascii="仿宋_GB2312" w:eastAsia="仿宋_GB2312"/>
          <w:color w:val="auto"/>
          <w:szCs w:val="24"/>
        </w:rPr>
      </w:pPr>
      <w:bookmarkStart w:id="598" w:name="_Ref531952227"/>
      <w:r>
        <w:rPr>
          <w:rFonts w:hint="eastAsia" w:ascii="仿宋_GB2312" w:eastAsia="仿宋_GB2312"/>
          <w:color w:val="auto"/>
          <w:szCs w:val="24"/>
        </w:rPr>
        <w:t>4</w:t>
      </w:r>
      <w:r>
        <w:rPr>
          <w:rFonts w:ascii="仿宋_GB2312" w:eastAsia="仿宋_GB2312"/>
          <w:color w:val="auto"/>
          <w:szCs w:val="24"/>
        </w:rPr>
        <w:t xml:space="preserve">.4.3 </w:t>
      </w:r>
      <w:r>
        <w:rPr>
          <w:rFonts w:hint="eastAsia" w:ascii="仿宋_GB2312" w:eastAsia="仿宋_GB2312"/>
          <w:color w:val="auto"/>
          <w:szCs w:val="24"/>
        </w:rPr>
        <w:t>现场管理关键人员在岗要求</w:t>
      </w:r>
      <w:bookmarkEnd w:id="598"/>
    </w:p>
    <w:p>
      <w:pPr>
        <w:ind w:firstLine="600"/>
        <w:rPr>
          <w:rFonts w:ascii="仿宋_GB2312" w:eastAsia="仿宋_GB2312"/>
          <w:color w:val="auto"/>
          <w:sz w:val="24"/>
        </w:rPr>
      </w:pPr>
      <w:r>
        <w:rPr>
          <w:rFonts w:hint="eastAsia" w:ascii="仿宋_GB2312" w:eastAsia="仿宋_GB2312"/>
          <w:color w:val="auto"/>
          <w:sz w:val="24"/>
        </w:rPr>
        <w:t>除专用合同条件另有约定外，承包人的现场管理关键人员离开施工现场每月累计不超过7天的，应报工程师同意；离开施工现场每月累计超过7天的，应书面通知发包人并抄送工程师，征得发包人书面同意。现场管理关键人员因故离开施工现场的，可授权有经验的人员临时代行其职责，但承包人应将被授权人员信息及授权范围书面通知发包人并取得其同意。现场管理关键人员未经工程师或发包人同意擅自离开施工现场的，应按照专用合同条件约定承担违约责任。</w:t>
      </w:r>
    </w:p>
    <w:p>
      <w:pPr>
        <w:pStyle w:val="315"/>
        <w:widowControl/>
        <w:numPr>
          <w:ilvl w:val="0"/>
          <w:numId w:val="0"/>
        </w:numPr>
        <w:rPr>
          <w:b w:val="0"/>
          <w:bCs/>
          <w:color w:val="auto"/>
        </w:rPr>
      </w:pPr>
      <w:bookmarkStart w:id="599" w:name="_Ref531952259"/>
      <w:bookmarkStart w:id="600" w:name="_Ref531952262"/>
      <w:bookmarkStart w:id="601" w:name="_Toc54862216"/>
      <w:r>
        <w:rPr>
          <w:rFonts w:hint="eastAsia"/>
          <w:b w:val="0"/>
          <w:bCs/>
          <w:color w:val="auto"/>
        </w:rPr>
        <w:t>4</w:t>
      </w:r>
      <w:r>
        <w:rPr>
          <w:b w:val="0"/>
          <w:bCs/>
          <w:color w:val="auto"/>
        </w:rPr>
        <w:t xml:space="preserve">.5 </w:t>
      </w:r>
      <w:r>
        <w:rPr>
          <w:rFonts w:hint="eastAsia"/>
          <w:b w:val="0"/>
          <w:bCs/>
          <w:color w:val="auto"/>
        </w:rPr>
        <w:t>分包</w:t>
      </w:r>
      <w:bookmarkEnd w:id="599"/>
      <w:bookmarkEnd w:id="600"/>
      <w:bookmarkEnd w:id="601"/>
      <w:r>
        <w:rPr>
          <w:rFonts w:hint="eastAsia"/>
          <w:b w:val="0"/>
          <w:bCs/>
          <w:color w:val="auto"/>
        </w:rPr>
        <w:t xml:space="preserve"> </w:t>
      </w:r>
    </w:p>
    <w:p>
      <w:pPr>
        <w:pStyle w:val="88"/>
        <w:numPr>
          <w:ilvl w:val="0"/>
          <w:numId w:val="0"/>
        </w:numPr>
        <w:rPr>
          <w:rFonts w:ascii="仿宋_GB2312" w:eastAsia="仿宋_GB2312"/>
          <w:color w:val="auto"/>
          <w:szCs w:val="24"/>
        </w:rPr>
      </w:pPr>
      <w:bookmarkStart w:id="602" w:name="_Ref531952273"/>
      <w:r>
        <w:rPr>
          <w:rFonts w:hint="eastAsia" w:ascii="仿宋_GB2312" w:eastAsia="仿宋_GB2312"/>
          <w:color w:val="auto"/>
          <w:szCs w:val="24"/>
        </w:rPr>
        <w:t>4</w:t>
      </w:r>
      <w:r>
        <w:rPr>
          <w:rFonts w:ascii="仿宋_GB2312" w:eastAsia="仿宋_GB2312"/>
          <w:color w:val="auto"/>
          <w:szCs w:val="24"/>
        </w:rPr>
        <w:t xml:space="preserve">.5.1 </w:t>
      </w:r>
      <w:r>
        <w:rPr>
          <w:rFonts w:hint="eastAsia" w:ascii="仿宋_GB2312" w:eastAsia="仿宋_GB2312"/>
          <w:color w:val="auto"/>
          <w:szCs w:val="24"/>
        </w:rPr>
        <w:t>一般约定</w:t>
      </w:r>
      <w:bookmarkEnd w:id="602"/>
    </w:p>
    <w:p>
      <w:pPr>
        <w:ind w:firstLine="600"/>
        <w:rPr>
          <w:rFonts w:ascii="仿宋_GB2312" w:eastAsia="仿宋_GB2312"/>
          <w:color w:val="auto"/>
          <w:sz w:val="24"/>
        </w:rPr>
      </w:pPr>
      <w:r>
        <w:rPr>
          <w:rFonts w:hint="eastAsia" w:ascii="仿宋_GB2312" w:eastAsia="仿宋_GB2312"/>
          <w:color w:val="auto"/>
          <w:sz w:val="24"/>
        </w:rPr>
        <w:t>承包人不得将其承包的全部工程转包给第三人，或将其承包的全部工程支解后以分包的名义转包给第三人。承包人不得将法律或专用合同条件中禁止分包的工作事项分包给第三人，不得以劳务分包的名义转包或违法分包工程。</w:t>
      </w:r>
    </w:p>
    <w:p>
      <w:pPr>
        <w:pStyle w:val="88"/>
        <w:numPr>
          <w:ilvl w:val="0"/>
          <w:numId w:val="0"/>
        </w:numPr>
        <w:rPr>
          <w:rFonts w:ascii="仿宋_GB2312" w:eastAsia="仿宋_GB2312"/>
          <w:color w:val="auto"/>
          <w:szCs w:val="24"/>
        </w:rPr>
      </w:pPr>
      <w:bookmarkStart w:id="603" w:name="_Ref531952286"/>
      <w:r>
        <w:rPr>
          <w:rFonts w:hint="eastAsia" w:ascii="仿宋_GB2312" w:eastAsia="仿宋_GB2312"/>
          <w:color w:val="auto"/>
          <w:szCs w:val="24"/>
        </w:rPr>
        <w:t>4</w:t>
      </w:r>
      <w:r>
        <w:rPr>
          <w:rFonts w:ascii="仿宋_GB2312" w:eastAsia="仿宋_GB2312"/>
          <w:color w:val="auto"/>
          <w:szCs w:val="24"/>
        </w:rPr>
        <w:t xml:space="preserve">.5.2 </w:t>
      </w:r>
      <w:r>
        <w:rPr>
          <w:rFonts w:hint="eastAsia" w:ascii="仿宋_GB2312" w:eastAsia="仿宋_GB2312"/>
          <w:color w:val="auto"/>
          <w:szCs w:val="24"/>
        </w:rPr>
        <w:t>分包的确定</w:t>
      </w:r>
      <w:bookmarkEnd w:id="603"/>
    </w:p>
    <w:p>
      <w:pPr>
        <w:ind w:firstLine="600"/>
        <w:rPr>
          <w:rFonts w:ascii="仿宋_GB2312" w:eastAsia="仿宋_GB2312"/>
          <w:color w:val="auto"/>
          <w:sz w:val="24"/>
        </w:rPr>
      </w:pPr>
      <w:r>
        <w:rPr>
          <w:rFonts w:hint="eastAsia" w:ascii="仿宋_GB2312" w:eastAsia="仿宋_GB2312"/>
          <w:color w:val="auto"/>
          <w:sz w:val="24"/>
        </w:rPr>
        <w:t>承包人应按照专用合同条件约定对工作事项进行分包，确定分包人。</w:t>
      </w:r>
    </w:p>
    <w:p>
      <w:pPr>
        <w:ind w:firstLine="600"/>
        <w:rPr>
          <w:rFonts w:ascii="仿宋_GB2312" w:eastAsia="仿宋_GB2312"/>
          <w:color w:val="auto"/>
          <w:sz w:val="24"/>
        </w:rPr>
      </w:pPr>
      <w:r>
        <w:rPr>
          <w:rFonts w:hint="eastAsia" w:ascii="仿宋_GB2312" w:eastAsia="仿宋_GB2312"/>
          <w:color w:val="auto"/>
          <w:sz w:val="24"/>
        </w:rPr>
        <w:t>专用合同条件未列出的分包事项，承包人可在工程实施阶段分批分期就分包事项向发包人提交申请，发包人在接到分包事项申请后的14天内，予以批准或提出意见。未经发包人同意，承包人不得将提出的拟分包事项对外分包。发包人未能在14天内批准亦未提出意见的，承包人有权将提出的拟分包事项对外分包，但应在分包人确定后通知发包人。</w:t>
      </w:r>
    </w:p>
    <w:p>
      <w:pPr>
        <w:pStyle w:val="88"/>
        <w:numPr>
          <w:ilvl w:val="0"/>
          <w:numId w:val="0"/>
        </w:numPr>
        <w:rPr>
          <w:rFonts w:ascii="仿宋_GB2312" w:eastAsia="仿宋_GB2312"/>
          <w:color w:val="auto"/>
          <w:szCs w:val="24"/>
        </w:rPr>
      </w:pPr>
      <w:r>
        <w:rPr>
          <w:rFonts w:hint="eastAsia" w:ascii="仿宋_GB2312" w:eastAsia="仿宋_GB2312"/>
          <w:color w:val="auto"/>
          <w:szCs w:val="24"/>
        </w:rPr>
        <w:t>4</w:t>
      </w:r>
      <w:r>
        <w:rPr>
          <w:rFonts w:ascii="仿宋_GB2312" w:eastAsia="仿宋_GB2312"/>
          <w:color w:val="auto"/>
          <w:szCs w:val="24"/>
        </w:rPr>
        <w:t xml:space="preserve">.5.3 </w:t>
      </w:r>
      <w:r>
        <w:rPr>
          <w:rFonts w:hint="eastAsia" w:ascii="仿宋_GB2312" w:eastAsia="仿宋_GB2312"/>
          <w:color w:val="auto"/>
          <w:szCs w:val="24"/>
        </w:rPr>
        <w:t>分包人资质</w:t>
      </w:r>
    </w:p>
    <w:p>
      <w:pPr>
        <w:ind w:firstLine="600"/>
        <w:rPr>
          <w:rFonts w:ascii="仿宋_GB2312" w:eastAsia="仿宋_GB2312"/>
          <w:color w:val="auto"/>
          <w:sz w:val="24"/>
        </w:rPr>
      </w:pPr>
      <w:r>
        <w:rPr>
          <w:rFonts w:hint="eastAsia" w:ascii="仿宋_GB2312" w:eastAsia="仿宋_GB2312"/>
          <w:color w:val="auto"/>
          <w:sz w:val="24"/>
        </w:rPr>
        <w:t>分包人应符合国家法律规定的资质等级，否则不能作为分包人。承包人有义务对分包人的资质进行审查。</w:t>
      </w:r>
    </w:p>
    <w:p>
      <w:pPr>
        <w:pStyle w:val="88"/>
        <w:numPr>
          <w:ilvl w:val="0"/>
          <w:numId w:val="0"/>
        </w:numPr>
        <w:rPr>
          <w:rFonts w:ascii="仿宋_GB2312" w:eastAsia="仿宋_GB2312"/>
          <w:color w:val="auto"/>
          <w:szCs w:val="24"/>
        </w:rPr>
      </w:pPr>
      <w:r>
        <w:rPr>
          <w:rFonts w:hint="eastAsia" w:ascii="仿宋_GB2312" w:eastAsia="仿宋_GB2312"/>
          <w:color w:val="auto"/>
          <w:szCs w:val="24"/>
        </w:rPr>
        <w:t>4</w:t>
      </w:r>
      <w:r>
        <w:rPr>
          <w:rFonts w:ascii="仿宋_GB2312" w:eastAsia="仿宋_GB2312"/>
          <w:color w:val="auto"/>
          <w:szCs w:val="24"/>
        </w:rPr>
        <w:t xml:space="preserve">.5.4 </w:t>
      </w:r>
      <w:r>
        <w:rPr>
          <w:rFonts w:hint="eastAsia" w:ascii="仿宋_GB2312" w:eastAsia="仿宋_GB2312"/>
          <w:color w:val="auto"/>
          <w:szCs w:val="24"/>
        </w:rPr>
        <w:t>分包管理</w:t>
      </w:r>
    </w:p>
    <w:p>
      <w:pPr>
        <w:ind w:firstLine="600"/>
        <w:rPr>
          <w:rFonts w:ascii="仿宋_GB2312" w:eastAsia="仿宋_GB2312"/>
          <w:color w:val="auto"/>
          <w:sz w:val="24"/>
        </w:rPr>
      </w:pPr>
      <w:r>
        <w:rPr>
          <w:rFonts w:hint="eastAsia" w:ascii="仿宋_GB2312" w:eastAsia="仿宋_GB2312"/>
          <w:color w:val="auto"/>
          <w:sz w:val="24"/>
        </w:rPr>
        <w:t>承包人应当对分包人的工作进行必要的协调与管理，确保分包人严格执行国家有关分包事项的管理规定。承包人应向工程师提交分包人的主要管理人员表，并对分包人的工作人员进行实名制管理，包括但不限于进出场管理、登记造册以及各种证照的办理。</w:t>
      </w:r>
    </w:p>
    <w:p>
      <w:pPr>
        <w:pStyle w:val="88"/>
        <w:numPr>
          <w:ilvl w:val="0"/>
          <w:numId w:val="0"/>
        </w:numPr>
        <w:rPr>
          <w:rFonts w:ascii="仿宋_GB2312" w:eastAsia="仿宋_GB2312"/>
          <w:color w:val="auto"/>
          <w:szCs w:val="24"/>
        </w:rPr>
      </w:pPr>
      <w:bookmarkStart w:id="604" w:name="_Ref531952298"/>
      <w:r>
        <w:rPr>
          <w:rFonts w:hint="eastAsia" w:ascii="仿宋_GB2312" w:eastAsia="仿宋_GB2312"/>
          <w:color w:val="auto"/>
          <w:szCs w:val="24"/>
        </w:rPr>
        <w:t>4</w:t>
      </w:r>
      <w:r>
        <w:rPr>
          <w:rFonts w:ascii="仿宋_GB2312" w:eastAsia="仿宋_GB2312"/>
          <w:color w:val="auto"/>
          <w:szCs w:val="24"/>
        </w:rPr>
        <w:t xml:space="preserve">.5.5 </w:t>
      </w:r>
      <w:r>
        <w:rPr>
          <w:rFonts w:hint="eastAsia" w:ascii="仿宋_GB2312" w:eastAsia="仿宋_GB2312"/>
          <w:color w:val="auto"/>
          <w:szCs w:val="24"/>
        </w:rPr>
        <w:t>分包合同价款支付</w:t>
      </w:r>
      <w:bookmarkEnd w:id="604"/>
    </w:p>
    <w:p>
      <w:pPr>
        <w:ind w:firstLine="600"/>
        <w:rPr>
          <w:rFonts w:ascii="仿宋_GB2312" w:eastAsia="仿宋_GB2312"/>
          <w:color w:val="auto"/>
          <w:sz w:val="24"/>
        </w:rPr>
      </w:pPr>
      <w:r>
        <w:rPr>
          <w:rFonts w:hint="eastAsia" w:ascii="仿宋_GB2312" w:eastAsia="仿宋_GB2312"/>
          <w:color w:val="auto"/>
          <w:sz w:val="24"/>
        </w:rPr>
        <w:t>（1） 除本项第（2）目约定的情况或专用合同条件另有约定外，分包合同价款由承包人与分包人结算，未经承包人同意，发包人不得向分包人支付分包合同价款；</w:t>
      </w:r>
    </w:p>
    <w:p>
      <w:pPr>
        <w:ind w:firstLine="600"/>
        <w:rPr>
          <w:rFonts w:ascii="仿宋_GB2312" w:eastAsia="仿宋_GB2312"/>
          <w:color w:val="auto"/>
          <w:sz w:val="24"/>
        </w:rPr>
      </w:pPr>
      <w:bookmarkStart w:id="605" w:name="_Ref4613798"/>
      <w:r>
        <w:rPr>
          <w:rFonts w:hint="eastAsia" w:ascii="仿宋_GB2312" w:eastAsia="仿宋_GB2312"/>
          <w:color w:val="auto"/>
          <w:sz w:val="24"/>
        </w:rPr>
        <w:t>（2） 生效法律文书要求发包人向分包人支付分包合同价款的，发包人有权从应付承包人工程款中扣除该部分款项</w:t>
      </w:r>
      <w:bookmarkEnd w:id="605"/>
      <w:r>
        <w:rPr>
          <w:rFonts w:hint="eastAsia" w:ascii="仿宋_GB2312" w:eastAsia="仿宋_GB2312"/>
          <w:color w:val="auto"/>
          <w:sz w:val="24"/>
        </w:rPr>
        <w:t>，将扣款直接支付给分包人，并书面通知承包人。</w:t>
      </w:r>
    </w:p>
    <w:p>
      <w:pPr>
        <w:pStyle w:val="88"/>
        <w:numPr>
          <w:ilvl w:val="0"/>
          <w:numId w:val="0"/>
        </w:numPr>
        <w:rPr>
          <w:rFonts w:ascii="仿宋_GB2312" w:eastAsia="仿宋_GB2312"/>
          <w:color w:val="auto"/>
          <w:szCs w:val="24"/>
        </w:rPr>
      </w:pPr>
      <w:r>
        <w:rPr>
          <w:rFonts w:hint="eastAsia" w:ascii="仿宋_GB2312" w:eastAsia="仿宋_GB2312"/>
          <w:color w:val="auto"/>
          <w:szCs w:val="24"/>
        </w:rPr>
        <w:t>4</w:t>
      </w:r>
      <w:r>
        <w:rPr>
          <w:rFonts w:ascii="仿宋_GB2312" w:eastAsia="仿宋_GB2312"/>
          <w:color w:val="auto"/>
          <w:szCs w:val="24"/>
        </w:rPr>
        <w:t xml:space="preserve">.5.6 </w:t>
      </w:r>
      <w:r>
        <w:rPr>
          <w:rFonts w:hint="eastAsia" w:ascii="仿宋_GB2312" w:eastAsia="仿宋_GB2312"/>
          <w:color w:val="auto"/>
          <w:szCs w:val="24"/>
        </w:rPr>
        <w:t>责任承担</w:t>
      </w:r>
    </w:p>
    <w:p>
      <w:pPr>
        <w:ind w:firstLine="600"/>
        <w:rPr>
          <w:rFonts w:ascii="仿宋_GB2312" w:eastAsia="仿宋_GB2312"/>
          <w:color w:val="auto"/>
          <w:sz w:val="24"/>
        </w:rPr>
      </w:pPr>
      <w:r>
        <w:rPr>
          <w:rFonts w:hint="eastAsia" w:ascii="仿宋_GB2312" w:eastAsia="仿宋_GB2312"/>
          <w:color w:val="auto"/>
          <w:sz w:val="24"/>
        </w:rPr>
        <w:t>承包人对分包人的行为向发包人负责，承包人和分包人就分包工作向发包人承担连带责任。</w:t>
      </w:r>
    </w:p>
    <w:p>
      <w:pPr>
        <w:pStyle w:val="315"/>
        <w:widowControl/>
        <w:numPr>
          <w:ilvl w:val="0"/>
          <w:numId w:val="0"/>
        </w:numPr>
        <w:rPr>
          <w:b w:val="0"/>
          <w:bCs/>
          <w:color w:val="auto"/>
        </w:rPr>
      </w:pPr>
      <w:bookmarkStart w:id="606" w:name="_Toc54862217"/>
      <w:bookmarkStart w:id="607" w:name="_Ref4426916"/>
      <w:bookmarkStart w:id="608" w:name="_Ref531952321"/>
      <w:bookmarkStart w:id="609" w:name="_Ref531952317"/>
      <w:bookmarkStart w:id="610" w:name="_Ref4768805"/>
      <w:r>
        <w:rPr>
          <w:rFonts w:hint="eastAsia"/>
          <w:b w:val="0"/>
          <w:bCs/>
          <w:color w:val="auto"/>
        </w:rPr>
        <w:t>4</w:t>
      </w:r>
      <w:r>
        <w:rPr>
          <w:b w:val="0"/>
          <w:bCs/>
          <w:color w:val="auto"/>
        </w:rPr>
        <w:t xml:space="preserve">.6 </w:t>
      </w:r>
      <w:r>
        <w:rPr>
          <w:rFonts w:hint="eastAsia"/>
          <w:b w:val="0"/>
          <w:bCs/>
          <w:color w:val="auto"/>
        </w:rPr>
        <w:t>联合体</w:t>
      </w:r>
      <w:bookmarkEnd w:id="606"/>
      <w:bookmarkEnd w:id="607"/>
    </w:p>
    <w:p>
      <w:pPr>
        <w:pStyle w:val="88"/>
        <w:numPr>
          <w:ilvl w:val="0"/>
          <w:numId w:val="0"/>
        </w:numPr>
        <w:rPr>
          <w:rFonts w:ascii="仿宋_GB2312" w:eastAsia="仿宋_GB2312"/>
          <w:color w:val="auto"/>
          <w:szCs w:val="24"/>
        </w:rPr>
      </w:pPr>
      <w:bookmarkStart w:id="611" w:name="_Hlk16235129"/>
      <w:r>
        <w:rPr>
          <w:rFonts w:hint="eastAsia" w:ascii="仿宋_GB2312" w:eastAsia="仿宋_GB2312"/>
          <w:color w:val="auto"/>
          <w:szCs w:val="24"/>
        </w:rPr>
        <w:t>4</w:t>
      </w:r>
      <w:r>
        <w:rPr>
          <w:rFonts w:ascii="仿宋_GB2312" w:eastAsia="仿宋_GB2312"/>
          <w:color w:val="auto"/>
          <w:szCs w:val="24"/>
        </w:rPr>
        <w:t xml:space="preserve">.6.1 </w:t>
      </w:r>
      <w:r>
        <w:rPr>
          <w:rFonts w:hint="eastAsia" w:ascii="仿宋_GB2312" w:eastAsia="仿宋_GB2312"/>
          <w:color w:val="auto"/>
          <w:szCs w:val="24"/>
        </w:rPr>
        <w:t>经发包人同意，</w:t>
      </w:r>
      <w:bookmarkEnd w:id="611"/>
      <w:r>
        <w:rPr>
          <w:rFonts w:hint="eastAsia" w:ascii="仿宋_GB2312" w:eastAsia="仿宋_GB2312"/>
          <w:color w:val="auto"/>
          <w:szCs w:val="24"/>
        </w:rPr>
        <w:t>以联合体方式承包工程的，联合体各方应共同与发包人订立合同协议书。联合体各方应为履行合同向发包人承担连带责任。</w:t>
      </w:r>
    </w:p>
    <w:p>
      <w:pPr>
        <w:pStyle w:val="88"/>
        <w:numPr>
          <w:ilvl w:val="0"/>
          <w:numId w:val="0"/>
        </w:numPr>
        <w:rPr>
          <w:rFonts w:ascii="仿宋_GB2312" w:eastAsia="仿宋_GB2312"/>
          <w:color w:val="auto"/>
          <w:szCs w:val="24"/>
        </w:rPr>
      </w:pPr>
      <w:r>
        <w:rPr>
          <w:rFonts w:hint="eastAsia" w:ascii="仿宋_GB2312" w:eastAsia="仿宋_GB2312"/>
          <w:color w:val="auto"/>
          <w:szCs w:val="24"/>
        </w:rPr>
        <w:t>4</w:t>
      </w:r>
      <w:r>
        <w:rPr>
          <w:rFonts w:ascii="仿宋_GB2312" w:eastAsia="仿宋_GB2312"/>
          <w:color w:val="auto"/>
          <w:szCs w:val="24"/>
        </w:rPr>
        <w:t xml:space="preserve">.6.2 </w:t>
      </w:r>
      <w:r>
        <w:rPr>
          <w:rFonts w:hint="eastAsia" w:ascii="仿宋_GB2312" w:eastAsia="仿宋_GB2312"/>
          <w:color w:val="auto"/>
          <w:szCs w:val="24"/>
        </w:rPr>
        <w:t>承包人应在专用合同条件中明确联合体各成员的分工、费用收取、发票开具等事项。联合体各成员分工承担的工作内容必须与适用法律规定的该成员的资质资格相适应，并应具有相应的项目管理体系和项目管理能力，且不应根据其就承包工作的分工而减免对发包人的任何合同责任。</w:t>
      </w:r>
    </w:p>
    <w:p>
      <w:pPr>
        <w:pStyle w:val="88"/>
        <w:numPr>
          <w:ilvl w:val="0"/>
          <w:numId w:val="0"/>
        </w:numPr>
        <w:rPr>
          <w:rFonts w:ascii="仿宋_GB2312" w:eastAsia="仿宋_GB2312"/>
          <w:color w:val="auto"/>
          <w:szCs w:val="24"/>
        </w:rPr>
      </w:pPr>
      <w:r>
        <w:rPr>
          <w:rFonts w:hint="eastAsia" w:ascii="仿宋_GB2312" w:eastAsia="仿宋_GB2312"/>
          <w:color w:val="auto"/>
          <w:szCs w:val="24"/>
        </w:rPr>
        <w:t>4</w:t>
      </w:r>
      <w:r>
        <w:rPr>
          <w:rFonts w:ascii="仿宋_GB2312" w:eastAsia="仿宋_GB2312"/>
          <w:color w:val="auto"/>
          <w:szCs w:val="24"/>
        </w:rPr>
        <w:t xml:space="preserve">.6.3 </w:t>
      </w:r>
      <w:r>
        <w:rPr>
          <w:rFonts w:hint="eastAsia" w:ascii="仿宋_GB2312" w:eastAsia="仿宋_GB2312"/>
          <w:color w:val="auto"/>
          <w:szCs w:val="24"/>
        </w:rPr>
        <w:t>联合体协议经发包人确认后作为合同附件。在履行合同过程中，未经发包人同意，不得变更联合体成员和其负责的工作范围，或者修改联合体协议中与本合同履行相关的内容。</w:t>
      </w:r>
    </w:p>
    <w:p>
      <w:pPr>
        <w:pStyle w:val="315"/>
        <w:widowControl/>
        <w:numPr>
          <w:ilvl w:val="0"/>
          <w:numId w:val="0"/>
        </w:numPr>
        <w:rPr>
          <w:b w:val="0"/>
          <w:bCs/>
          <w:color w:val="auto"/>
        </w:rPr>
      </w:pPr>
      <w:bookmarkStart w:id="612" w:name="_Ref11926629"/>
      <w:bookmarkStart w:id="613" w:name="_Ref11926631"/>
      <w:bookmarkStart w:id="614" w:name="_Toc54862218"/>
      <w:r>
        <w:rPr>
          <w:rFonts w:hint="eastAsia"/>
          <w:b w:val="0"/>
          <w:bCs/>
          <w:color w:val="auto"/>
        </w:rPr>
        <w:t>4</w:t>
      </w:r>
      <w:r>
        <w:rPr>
          <w:b w:val="0"/>
          <w:bCs/>
          <w:color w:val="auto"/>
        </w:rPr>
        <w:t xml:space="preserve">.7 </w:t>
      </w:r>
      <w:r>
        <w:rPr>
          <w:rFonts w:hint="eastAsia"/>
          <w:b w:val="0"/>
          <w:bCs/>
          <w:color w:val="auto"/>
        </w:rPr>
        <w:t>承包人现场查勘</w:t>
      </w:r>
      <w:bookmarkEnd w:id="612"/>
      <w:bookmarkEnd w:id="613"/>
      <w:bookmarkEnd w:id="614"/>
    </w:p>
    <w:p>
      <w:pPr>
        <w:pStyle w:val="88"/>
        <w:numPr>
          <w:ilvl w:val="0"/>
          <w:numId w:val="0"/>
        </w:numPr>
        <w:rPr>
          <w:rFonts w:ascii="仿宋_GB2312" w:eastAsia="仿宋_GB2312"/>
          <w:color w:val="auto"/>
          <w:szCs w:val="24"/>
        </w:rPr>
      </w:pPr>
      <w:r>
        <w:rPr>
          <w:rFonts w:hint="eastAsia" w:ascii="仿宋_GB2312" w:eastAsia="仿宋_GB2312"/>
          <w:color w:val="auto"/>
          <w:szCs w:val="24"/>
        </w:rPr>
        <w:t>4</w:t>
      </w:r>
      <w:r>
        <w:rPr>
          <w:rFonts w:ascii="仿宋_GB2312" w:eastAsia="仿宋_GB2312"/>
          <w:color w:val="auto"/>
          <w:szCs w:val="24"/>
        </w:rPr>
        <w:t xml:space="preserve">.7.1 </w:t>
      </w:r>
      <w:r>
        <w:rPr>
          <w:rFonts w:hint="eastAsia" w:ascii="仿宋_GB2312" w:eastAsia="仿宋_GB2312"/>
          <w:color w:val="auto"/>
          <w:szCs w:val="24"/>
        </w:rPr>
        <w:t>除专用合同条件另有约定外，承包人应对基于发包人提交的基础资料所做出的解释和推断负责，因基础资料存在错误、遗漏导致承包人解释或推断失实的，按照第</w:t>
      </w:r>
      <w:r>
        <w:rPr>
          <w:rFonts w:ascii="仿宋_GB2312" w:eastAsia="仿宋_GB2312"/>
          <w:color w:val="auto"/>
          <w:szCs w:val="24"/>
        </w:rPr>
        <w:t>2.3</w:t>
      </w:r>
      <w:r>
        <w:rPr>
          <w:rFonts w:hint="eastAsia" w:ascii="仿宋_GB2312" w:eastAsia="仿宋_GB2312"/>
          <w:color w:val="auto"/>
          <w:szCs w:val="24"/>
        </w:rPr>
        <w:t>项[</w:t>
      </w:r>
      <w:r>
        <w:rPr>
          <w:rFonts w:ascii="仿宋_GB2312" w:eastAsia="仿宋_GB2312"/>
          <w:color w:val="auto"/>
          <w:szCs w:val="24"/>
        </w:rPr>
        <w:t>提供基础资料</w:t>
      </w:r>
      <w:r>
        <w:rPr>
          <w:rFonts w:hint="eastAsia" w:ascii="仿宋_GB2312" w:eastAsia="仿宋_GB2312"/>
          <w:color w:val="auto"/>
          <w:szCs w:val="24"/>
        </w:rPr>
        <w:t>]的规定承担责任。承包人发现基础资料中存在明显错误或疏忽的，应及时书面通知发包人。</w:t>
      </w:r>
    </w:p>
    <w:p>
      <w:pPr>
        <w:pStyle w:val="88"/>
        <w:numPr>
          <w:ilvl w:val="0"/>
          <w:numId w:val="0"/>
        </w:numPr>
        <w:rPr>
          <w:rFonts w:ascii="仿宋_GB2312" w:eastAsia="仿宋_GB2312"/>
          <w:color w:val="auto"/>
          <w:szCs w:val="24"/>
        </w:rPr>
      </w:pPr>
      <w:r>
        <w:rPr>
          <w:rFonts w:hint="eastAsia" w:ascii="仿宋_GB2312" w:eastAsia="仿宋_GB2312"/>
          <w:color w:val="auto"/>
          <w:szCs w:val="24"/>
        </w:rPr>
        <w:t>4</w:t>
      </w:r>
      <w:r>
        <w:rPr>
          <w:rFonts w:ascii="仿宋_GB2312" w:eastAsia="仿宋_GB2312"/>
          <w:color w:val="auto"/>
          <w:szCs w:val="24"/>
        </w:rPr>
        <w:t xml:space="preserve">.7.2 </w:t>
      </w:r>
      <w:r>
        <w:rPr>
          <w:rFonts w:hint="eastAsia" w:ascii="仿宋_GB2312" w:eastAsia="仿宋_GB2312"/>
          <w:color w:val="auto"/>
          <w:szCs w:val="24"/>
        </w:rPr>
        <w:t>承包人应对现场和工程实施条件进行查勘，并充分了解工程所在地的气象条件、交通条件、风俗习惯以及其他与完成合同工作有关的其他资料。承包人提交投标文件，视为承包人已对施工现场及周围环境进行了踏勘，并已充分了解评估施工现场及周围环境对工程可能产生的影响，自愿承担相应风险与责任。在全部合同工作中，视为承包人已充分估计了应承担的责任和风险，但属于</w:t>
      </w:r>
      <w:r>
        <w:rPr>
          <w:rFonts w:ascii="仿宋_GB2312" w:eastAsia="仿宋_GB2312"/>
          <w:color w:val="auto"/>
          <w:szCs w:val="24"/>
        </w:rPr>
        <w:t>4.8</w:t>
      </w:r>
      <w:r>
        <w:rPr>
          <w:rFonts w:hint="eastAsia" w:ascii="仿宋_GB2312" w:eastAsia="仿宋_GB2312"/>
          <w:color w:val="auto"/>
          <w:szCs w:val="24"/>
        </w:rPr>
        <w:t>款</w:t>
      </w:r>
      <w:r>
        <w:rPr>
          <w:rFonts w:ascii="仿宋_GB2312" w:eastAsia="仿宋_GB2312"/>
          <w:color w:val="auto"/>
          <w:szCs w:val="24"/>
        </w:rPr>
        <w:t>[</w:t>
      </w:r>
      <w:r>
        <w:rPr>
          <w:rFonts w:hint="eastAsia" w:ascii="仿宋_GB2312" w:eastAsia="仿宋_GB2312"/>
          <w:color w:val="auto"/>
          <w:szCs w:val="24"/>
        </w:rPr>
        <w:t>不可预见的困难</w:t>
      </w:r>
      <w:r>
        <w:rPr>
          <w:rFonts w:ascii="仿宋_GB2312" w:eastAsia="仿宋_GB2312"/>
          <w:color w:val="auto"/>
          <w:szCs w:val="24"/>
        </w:rPr>
        <w:t>]约定的情形除外</w:t>
      </w:r>
      <w:r>
        <w:rPr>
          <w:rFonts w:hint="eastAsia" w:ascii="仿宋_GB2312" w:eastAsia="仿宋_GB2312"/>
          <w:color w:val="auto"/>
          <w:szCs w:val="24"/>
        </w:rPr>
        <w:t>。</w:t>
      </w:r>
    </w:p>
    <w:p>
      <w:pPr>
        <w:pStyle w:val="315"/>
        <w:widowControl/>
        <w:numPr>
          <w:ilvl w:val="0"/>
          <w:numId w:val="0"/>
        </w:numPr>
        <w:rPr>
          <w:b w:val="0"/>
          <w:bCs/>
          <w:color w:val="auto"/>
        </w:rPr>
      </w:pPr>
      <w:bookmarkStart w:id="615" w:name="_Ref11918693"/>
      <w:bookmarkStart w:id="616" w:name="_Ref11918626"/>
      <w:bookmarkStart w:id="617" w:name="_Toc54862219"/>
      <w:bookmarkStart w:id="618" w:name="_Ref11918789"/>
      <w:bookmarkStart w:id="619" w:name="不可预见的困难"/>
      <w:r>
        <w:rPr>
          <w:rFonts w:hint="eastAsia"/>
          <w:b w:val="0"/>
          <w:bCs/>
          <w:color w:val="auto"/>
        </w:rPr>
        <w:t>4</w:t>
      </w:r>
      <w:r>
        <w:rPr>
          <w:b w:val="0"/>
          <w:bCs/>
          <w:color w:val="auto"/>
        </w:rPr>
        <w:t xml:space="preserve">.8 </w:t>
      </w:r>
      <w:r>
        <w:rPr>
          <w:rFonts w:hint="eastAsia"/>
          <w:b w:val="0"/>
          <w:bCs/>
          <w:color w:val="auto"/>
        </w:rPr>
        <w:t>不可预见的困难</w:t>
      </w:r>
      <w:bookmarkEnd w:id="608"/>
      <w:bookmarkEnd w:id="609"/>
      <w:bookmarkEnd w:id="610"/>
      <w:bookmarkEnd w:id="615"/>
      <w:bookmarkEnd w:id="616"/>
      <w:bookmarkEnd w:id="617"/>
      <w:bookmarkEnd w:id="618"/>
      <w:bookmarkEnd w:id="619"/>
      <w:r>
        <w:rPr>
          <w:b w:val="0"/>
          <w:bCs/>
          <w:color w:val="auto"/>
        </w:rPr>
        <w:t xml:space="preserve"> </w:t>
      </w:r>
    </w:p>
    <w:p>
      <w:pPr>
        <w:ind w:firstLine="600"/>
        <w:rPr>
          <w:rFonts w:ascii="仿宋_GB2312" w:eastAsia="仿宋_GB2312"/>
          <w:color w:val="auto"/>
          <w:sz w:val="24"/>
        </w:rPr>
      </w:pPr>
      <w:r>
        <w:rPr>
          <w:rFonts w:hint="eastAsia" w:ascii="仿宋_GB2312" w:eastAsia="仿宋_GB2312"/>
          <w:color w:val="auto"/>
          <w:sz w:val="24"/>
        </w:rPr>
        <w:t>不可预见的困难是指有经验的承包人在施工现场遇到的不可预见的自然物质条件、非自然的物质障碍和污染物，包括地表以下物质条件和水文条件以及专用合同条件约定的其他情形，但不包括气候条件。</w:t>
      </w:r>
    </w:p>
    <w:p>
      <w:pPr>
        <w:ind w:firstLine="600"/>
        <w:rPr>
          <w:rFonts w:ascii="仿宋_GB2312" w:eastAsia="仿宋_GB2312"/>
          <w:color w:val="auto"/>
          <w:sz w:val="24"/>
        </w:rPr>
      </w:pPr>
      <w:r>
        <w:rPr>
          <w:rFonts w:hint="eastAsia" w:ascii="仿宋_GB2312" w:eastAsia="仿宋_GB2312"/>
          <w:color w:val="auto"/>
          <w:sz w:val="24"/>
        </w:rPr>
        <w:t>承包人遇到不可预见的困难时，应采取克服不可预见的困难的合理措施继续施工，并及时通知工程师并抄送发包人。通知应载明不可预见的困难的内容、承包人认为不可预见的理由以及承包人制定的处理方案。工程师应当及时发出指示，指示构成变更的，按第</w:t>
      </w:r>
      <w:r>
        <w:rPr>
          <w:rFonts w:ascii="仿宋_GB2312" w:eastAsia="仿宋_GB2312"/>
          <w:color w:val="auto"/>
          <w:sz w:val="24"/>
        </w:rPr>
        <w:t>13条</w:t>
      </w:r>
      <w:r>
        <w:rPr>
          <w:rFonts w:hint="eastAsia" w:ascii="仿宋_GB2312" w:eastAsia="仿宋_GB2312"/>
          <w:color w:val="auto"/>
          <w:sz w:val="24"/>
        </w:rPr>
        <w:t>[变更与调整]约定执行。承包人因采取合理措施而增加的费用和（或）延误的工期由发包人承担。</w:t>
      </w:r>
    </w:p>
    <w:p>
      <w:pPr>
        <w:pStyle w:val="315"/>
        <w:widowControl/>
        <w:numPr>
          <w:ilvl w:val="0"/>
          <w:numId w:val="0"/>
        </w:numPr>
        <w:rPr>
          <w:b w:val="0"/>
          <w:bCs/>
          <w:color w:val="auto"/>
        </w:rPr>
      </w:pPr>
      <w:bookmarkStart w:id="620" w:name="_Toc54862220"/>
      <w:bookmarkStart w:id="621" w:name="_Ref11926566"/>
      <w:bookmarkStart w:id="622" w:name="_Ref11926570"/>
      <w:r>
        <w:rPr>
          <w:rFonts w:hint="eastAsia"/>
          <w:b w:val="0"/>
          <w:bCs/>
          <w:color w:val="auto"/>
        </w:rPr>
        <w:t>4</w:t>
      </w:r>
      <w:r>
        <w:rPr>
          <w:b w:val="0"/>
          <w:bCs/>
          <w:color w:val="auto"/>
        </w:rPr>
        <w:t xml:space="preserve">.9 </w:t>
      </w:r>
      <w:r>
        <w:rPr>
          <w:rFonts w:hint="eastAsia"/>
          <w:b w:val="0"/>
          <w:bCs/>
          <w:color w:val="auto"/>
        </w:rPr>
        <w:t>工程质量管理</w:t>
      </w:r>
      <w:bookmarkEnd w:id="620"/>
      <w:bookmarkEnd w:id="621"/>
      <w:bookmarkEnd w:id="622"/>
    </w:p>
    <w:p>
      <w:pPr>
        <w:pStyle w:val="88"/>
        <w:numPr>
          <w:ilvl w:val="0"/>
          <w:numId w:val="0"/>
        </w:numPr>
        <w:rPr>
          <w:rFonts w:ascii="仿宋_GB2312" w:eastAsia="仿宋_GB2312"/>
          <w:color w:val="auto"/>
          <w:szCs w:val="24"/>
        </w:rPr>
      </w:pPr>
      <w:r>
        <w:rPr>
          <w:rFonts w:hint="eastAsia" w:ascii="仿宋_GB2312" w:eastAsia="仿宋_GB2312"/>
          <w:color w:val="auto"/>
          <w:szCs w:val="24"/>
        </w:rPr>
        <w:t>4</w:t>
      </w:r>
      <w:r>
        <w:rPr>
          <w:rFonts w:ascii="仿宋_GB2312" w:eastAsia="仿宋_GB2312"/>
          <w:color w:val="auto"/>
          <w:szCs w:val="24"/>
        </w:rPr>
        <w:t xml:space="preserve">.9.1 </w:t>
      </w:r>
      <w:r>
        <w:rPr>
          <w:rFonts w:hint="eastAsia" w:ascii="仿宋_GB2312" w:eastAsia="仿宋_GB2312"/>
          <w:color w:val="auto"/>
          <w:szCs w:val="24"/>
        </w:rPr>
        <w:t>承包人应按合同约定的质量标准规范，建立有效的质量管理系统，确保设计、采购、加工制造、施工、竣工试验等各项工作的质量，并按照国家有关规定，通过质量保修责任书的形式约定保修范围、保修期限和保修责任。</w:t>
      </w:r>
    </w:p>
    <w:p>
      <w:pPr>
        <w:pStyle w:val="88"/>
        <w:numPr>
          <w:ilvl w:val="0"/>
          <w:numId w:val="0"/>
        </w:numPr>
        <w:rPr>
          <w:rFonts w:ascii="仿宋_GB2312" w:eastAsia="仿宋_GB2312"/>
          <w:color w:val="auto"/>
          <w:szCs w:val="24"/>
        </w:rPr>
      </w:pPr>
      <w:r>
        <w:rPr>
          <w:rFonts w:ascii="仿宋_GB2312" w:eastAsia="仿宋_GB2312"/>
          <w:color w:val="auto"/>
          <w:szCs w:val="24"/>
        </w:rPr>
        <w:t xml:space="preserve">4.9.2 </w:t>
      </w:r>
      <w:r>
        <w:rPr>
          <w:rFonts w:hint="eastAsia" w:ascii="仿宋_GB2312" w:eastAsia="仿宋_GB2312"/>
          <w:color w:val="auto"/>
          <w:szCs w:val="24"/>
        </w:rPr>
        <w:t>承包人按照第</w:t>
      </w:r>
      <w:r>
        <w:rPr>
          <w:rFonts w:ascii="仿宋_GB2312" w:eastAsia="仿宋_GB2312"/>
          <w:color w:val="auto"/>
          <w:szCs w:val="24"/>
        </w:rPr>
        <w:t>8.4</w:t>
      </w:r>
      <w:r>
        <w:rPr>
          <w:rFonts w:hint="eastAsia" w:ascii="仿宋_GB2312" w:eastAsia="仿宋_GB2312"/>
          <w:color w:val="auto"/>
          <w:szCs w:val="24"/>
        </w:rPr>
        <w:t>款[项目进度计划]约定向工程师提交工程质量保证体系及措施文件，建立完善的质量检查制度，并提交相应的工程质量文件。对于发包人和工程师违反法律规定和合同约定的错误指示，承包人有权拒绝实施。</w:t>
      </w:r>
    </w:p>
    <w:p>
      <w:pPr>
        <w:pStyle w:val="88"/>
        <w:numPr>
          <w:ilvl w:val="0"/>
          <w:numId w:val="0"/>
        </w:numPr>
        <w:rPr>
          <w:rFonts w:ascii="仿宋_GB2312" w:eastAsia="仿宋_GB2312"/>
          <w:color w:val="auto"/>
          <w:szCs w:val="24"/>
        </w:rPr>
      </w:pPr>
      <w:r>
        <w:rPr>
          <w:rFonts w:hint="eastAsia" w:ascii="仿宋_GB2312" w:eastAsia="仿宋_GB2312"/>
          <w:color w:val="auto"/>
          <w:szCs w:val="24"/>
        </w:rPr>
        <w:t>4</w:t>
      </w:r>
      <w:r>
        <w:rPr>
          <w:rFonts w:ascii="仿宋_GB2312" w:eastAsia="仿宋_GB2312"/>
          <w:color w:val="auto"/>
          <w:szCs w:val="24"/>
        </w:rPr>
        <w:t xml:space="preserve">.9.3 </w:t>
      </w:r>
      <w:r>
        <w:rPr>
          <w:rFonts w:hint="eastAsia" w:ascii="仿宋_GB2312" w:eastAsia="仿宋_GB2312"/>
          <w:color w:val="auto"/>
          <w:szCs w:val="24"/>
        </w:rPr>
        <w:t>承包人应对其人员进行质量教育和技术培训，定期考核人员的劳动技能，严格执行相关规范和操作规程。</w:t>
      </w:r>
    </w:p>
    <w:p>
      <w:pPr>
        <w:pStyle w:val="88"/>
        <w:numPr>
          <w:ilvl w:val="0"/>
          <w:numId w:val="0"/>
        </w:numPr>
        <w:rPr>
          <w:rFonts w:ascii="仿宋_GB2312" w:eastAsia="仿宋_GB2312"/>
          <w:color w:val="auto"/>
          <w:szCs w:val="24"/>
        </w:rPr>
      </w:pPr>
      <w:r>
        <w:rPr>
          <w:rFonts w:hint="eastAsia" w:ascii="仿宋_GB2312" w:eastAsia="仿宋_GB2312"/>
          <w:color w:val="auto"/>
          <w:szCs w:val="24"/>
        </w:rPr>
        <w:t>4</w:t>
      </w:r>
      <w:r>
        <w:rPr>
          <w:rFonts w:ascii="仿宋_GB2312" w:eastAsia="仿宋_GB2312"/>
          <w:color w:val="auto"/>
          <w:szCs w:val="24"/>
        </w:rPr>
        <w:t xml:space="preserve">.9.4 </w:t>
      </w:r>
      <w:r>
        <w:rPr>
          <w:rFonts w:hint="eastAsia" w:ascii="仿宋_GB2312" w:eastAsia="仿宋_GB2312"/>
          <w:color w:val="auto"/>
          <w:szCs w:val="24"/>
        </w:rPr>
        <w:t>承包人应按照法律规定和合同约定，对设计、材料、工程设备以及全部工程内容及其施工工艺进行全过程的质量检查和检验，并作详细记录，编制工程质量报表，报送工程师审查。此外，承包人还应按照法律规定和合同约定，进行施工现场取样试验、工程复核测量和设备性能检测，提供试验样品、提交试验报告和测量成果以及其他工作。</w:t>
      </w:r>
    </w:p>
    <w:p>
      <w:pPr>
        <w:pStyle w:val="164"/>
        <w:numPr>
          <w:ilvl w:val="0"/>
          <w:numId w:val="0"/>
        </w:numPr>
        <w:wordWrap/>
        <w:topLinePunct w:val="0"/>
        <w:rPr>
          <w:b w:val="0"/>
          <w:bCs/>
          <w:color w:val="auto"/>
          <w:sz w:val="24"/>
          <w:szCs w:val="24"/>
        </w:rPr>
      </w:pPr>
      <w:bookmarkStart w:id="623" w:name="_Ref531952837"/>
      <w:bookmarkStart w:id="624" w:name="_Toc54862221"/>
      <w:r>
        <w:rPr>
          <w:rFonts w:hint="eastAsia"/>
          <w:b w:val="0"/>
          <w:bCs/>
          <w:color w:val="auto"/>
          <w:sz w:val="24"/>
          <w:szCs w:val="24"/>
        </w:rPr>
        <w:t>第5条 设计</w:t>
      </w:r>
      <w:bookmarkEnd w:id="623"/>
      <w:bookmarkEnd w:id="624"/>
    </w:p>
    <w:p>
      <w:pPr>
        <w:pStyle w:val="315"/>
        <w:widowControl/>
        <w:numPr>
          <w:ilvl w:val="0"/>
          <w:numId w:val="0"/>
        </w:numPr>
        <w:rPr>
          <w:b w:val="0"/>
          <w:bCs/>
          <w:color w:val="auto"/>
        </w:rPr>
      </w:pPr>
      <w:bookmarkStart w:id="625" w:name="_Toc54862222"/>
      <w:bookmarkStart w:id="626" w:name="_Ref531952860"/>
      <w:bookmarkStart w:id="627" w:name="_Ref531952863"/>
      <w:r>
        <w:rPr>
          <w:rFonts w:hint="eastAsia"/>
          <w:b w:val="0"/>
          <w:bCs/>
          <w:color w:val="auto"/>
        </w:rPr>
        <w:t>5</w:t>
      </w:r>
      <w:r>
        <w:rPr>
          <w:b w:val="0"/>
          <w:bCs/>
          <w:color w:val="auto"/>
        </w:rPr>
        <w:t xml:space="preserve">.1 </w:t>
      </w:r>
      <w:r>
        <w:rPr>
          <w:rFonts w:hint="eastAsia"/>
          <w:b w:val="0"/>
          <w:bCs/>
          <w:color w:val="auto"/>
        </w:rPr>
        <w:t>承包人的设计义务</w:t>
      </w:r>
      <w:bookmarkEnd w:id="625"/>
      <w:bookmarkEnd w:id="626"/>
      <w:bookmarkEnd w:id="627"/>
      <w:r>
        <w:rPr>
          <w:rFonts w:hint="eastAsia"/>
          <w:b w:val="0"/>
          <w:bCs/>
          <w:color w:val="auto"/>
        </w:rPr>
        <w:t xml:space="preserve"> </w:t>
      </w:r>
    </w:p>
    <w:p>
      <w:pPr>
        <w:pStyle w:val="88"/>
        <w:numPr>
          <w:ilvl w:val="0"/>
          <w:numId w:val="0"/>
        </w:numPr>
        <w:rPr>
          <w:rFonts w:ascii="仿宋_GB2312" w:eastAsia="仿宋_GB2312"/>
          <w:color w:val="auto"/>
          <w:szCs w:val="24"/>
        </w:rPr>
      </w:pPr>
      <w:bookmarkStart w:id="628" w:name="_Ref531952881"/>
      <w:r>
        <w:rPr>
          <w:rFonts w:hint="eastAsia" w:ascii="仿宋_GB2312" w:eastAsia="仿宋_GB2312"/>
          <w:color w:val="auto"/>
          <w:szCs w:val="24"/>
        </w:rPr>
        <w:t>5</w:t>
      </w:r>
      <w:r>
        <w:rPr>
          <w:rFonts w:ascii="仿宋_GB2312" w:eastAsia="仿宋_GB2312"/>
          <w:color w:val="auto"/>
          <w:szCs w:val="24"/>
        </w:rPr>
        <w:t xml:space="preserve">.1.1 </w:t>
      </w:r>
      <w:r>
        <w:rPr>
          <w:rFonts w:hint="eastAsia" w:ascii="仿宋_GB2312" w:eastAsia="仿宋_GB2312"/>
          <w:color w:val="auto"/>
          <w:szCs w:val="24"/>
        </w:rPr>
        <w:t>设计义务的一般要求</w:t>
      </w:r>
      <w:bookmarkEnd w:id="628"/>
    </w:p>
    <w:p>
      <w:pPr>
        <w:ind w:firstLine="600"/>
        <w:rPr>
          <w:rFonts w:ascii="仿宋_GB2312" w:eastAsia="仿宋_GB2312"/>
          <w:color w:val="auto"/>
          <w:sz w:val="24"/>
        </w:rPr>
      </w:pPr>
      <w:r>
        <w:rPr>
          <w:rFonts w:hint="eastAsia" w:ascii="仿宋_GB2312" w:eastAsia="仿宋_GB2312"/>
          <w:color w:val="auto"/>
          <w:sz w:val="24"/>
        </w:rPr>
        <w:t>承包人应当按照法律规定，国家、行业和地方的规范和标准，以及《发包人要求》和合同约定完成设计工作和设计相关的其他服务，并对工程的设计负责。承包人应根据工程实施的需要及时向发包人和工程师说明设计文件的意图，解释设计文件。</w:t>
      </w:r>
    </w:p>
    <w:p>
      <w:pPr>
        <w:pStyle w:val="88"/>
        <w:numPr>
          <w:ilvl w:val="0"/>
          <w:numId w:val="0"/>
        </w:numPr>
        <w:rPr>
          <w:rFonts w:ascii="仿宋_GB2312" w:eastAsia="仿宋_GB2312"/>
          <w:color w:val="auto"/>
          <w:szCs w:val="24"/>
        </w:rPr>
      </w:pPr>
      <w:bookmarkStart w:id="629" w:name="_Ref531952952"/>
      <w:bookmarkStart w:id="630" w:name="_Ref531952899"/>
      <w:r>
        <w:rPr>
          <w:rFonts w:hint="eastAsia" w:ascii="仿宋_GB2312" w:eastAsia="仿宋_GB2312"/>
          <w:color w:val="auto"/>
          <w:szCs w:val="24"/>
        </w:rPr>
        <w:t>5</w:t>
      </w:r>
      <w:r>
        <w:rPr>
          <w:rFonts w:ascii="仿宋_GB2312" w:eastAsia="仿宋_GB2312"/>
          <w:color w:val="auto"/>
          <w:szCs w:val="24"/>
        </w:rPr>
        <w:t xml:space="preserve">.1.2 </w:t>
      </w:r>
      <w:r>
        <w:rPr>
          <w:rFonts w:hint="eastAsia" w:ascii="仿宋_GB2312" w:eastAsia="仿宋_GB2312"/>
          <w:color w:val="auto"/>
          <w:szCs w:val="24"/>
        </w:rPr>
        <w:t>对设计人员的要求</w:t>
      </w:r>
      <w:bookmarkEnd w:id="629"/>
    </w:p>
    <w:p>
      <w:pPr>
        <w:ind w:firstLine="600"/>
        <w:rPr>
          <w:rFonts w:ascii="仿宋_GB2312" w:eastAsia="仿宋_GB2312"/>
          <w:color w:val="auto"/>
          <w:sz w:val="24"/>
        </w:rPr>
      </w:pPr>
      <w:r>
        <w:rPr>
          <w:rFonts w:hint="eastAsia" w:ascii="仿宋_GB2312" w:eastAsia="仿宋_GB2312"/>
          <w:color w:val="auto"/>
          <w:sz w:val="24"/>
        </w:rPr>
        <w:t>承包人应保证其或其设计分包人的设计资质在合同有效期内满足法律法规、行业标准或合同约定的相关要求，并指派符合法律法规、行业标准或合同约定的资质要求并具有从事设计所必需的经验与能力的的设计人员完成设计工作。承包人应保证其设计人员（包括分包人的设计人员）在合同期限内，都能按时参加发包人或工程师组织的工作会议。</w:t>
      </w:r>
    </w:p>
    <w:bookmarkEnd w:id="630"/>
    <w:p>
      <w:pPr>
        <w:pStyle w:val="88"/>
        <w:numPr>
          <w:ilvl w:val="0"/>
          <w:numId w:val="0"/>
        </w:numPr>
        <w:rPr>
          <w:rFonts w:ascii="仿宋_GB2312" w:eastAsia="仿宋_GB2312"/>
          <w:color w:val="auto"/>
          <w:szCs w:val="24"/>
        </w:rPr>
      </w:pPr>
      <w:r>
        <w:rPr>
          <w:rFonts w:hint="eastAsia" w:ascii="仿宋_GB2312" w:eastAsia="仿宋_GB2312"/>
          <w:color w:val="auto"/>
          <w:szCs w:val="24"/>
        </w:rPr>
        <w:t>5</w:t>
      </w:r>
      <w:r>
        <w:rPr>
          <w:rFonts w:ascii="仿宋_GB2312" w:eastAsia="仿宋_GB2312"/>
          <w:color w:val="auto"/>
          <w:szCs w:val="24"/>
        </w:rPr>
        <w:t xml:space="preserve">.1.3 </w:t>
      </w:r>
      <w:r>
        <w:rPr>
          <w:rFonts w:hint="eastAsia" w:ascii="仿宋_GB2312" w:eastAsia="仿宋_GB2312"/>
          <w:color w:val="auto"/>
          <w:szCs w:val="24"/>
        </w:rPr>
        <w:t>法律和标准的变化</w:t>
      </w:r>
    </w:p>
    <w:p>
      <w:pPr>
        <w:ind w:firstLine="600"/>
        <w:rPr>
          <w:rFonts w:ascii="仿宋_GB2312" w:eastAsia="仿宋_GB2312"/>
          <w:color w:val="auto"/>
          <w:sz w:val="24"/>
        </w:rPr>
      </w:pPr>
      <w:r>
        <w:rPr>
          <w:rFonts w:hint="eastAsia" w:ascii="仿宋_GB2312" w:eastAsia="仿宋_GB2312"/>
          <w:color w:val="auto"/>
          <w:sz w:val="24"/>
        </w:rPr>
        <w:t>除合同另有约定外，承包人完成设计工作所应遵守的法律规定，以及国家、行业和地方的规范和标准，均应视为在基准日期适用的版本。基准日期之后，前述版本发生重大变化，或者有新的法律，以及国家、行业和地方的规范和标准实施的，承包人应向工程师提出遵守新规定的建议。发包人或其委托的工程师应在收到建议后7天内发出是否遵守新规定的指示。如果该项建议构成变更的，按照第</w:t>
      </w:r>
      <w:r>
        <w:rPr>
          <w:rFonts w:ascii="仿宋_GB2312" w:eastAsia="仿宋_GB2312"/>
          <w:color w:val="auto"/>
          <w:sz w:val="24"/>
        </w:rPr>
        <w:t>13.2</w:t>
      </w:r>
      <w:r>
        <w:rPr>
          <w:rFonts w:hint="eastAsia" w:ascii="仿宋_GB2312" w:eastAsia="仿宋_GB2312"/>
          <w:color w:val="auto"/>
          <w:sz w:val="24"/>
        </w:rPr>
        <w:t>款[承包人的合理化建议]的约定执行。</w:t>
      </w:r>
    </w:p>
    <w:p>
      <w:pPr>
        <w:ind w:firstLine="600"/>
        <w:rPr>
          <w:rFonts w:ascii="仿宋_GB2312" w:eastAsia="仿宋_GB2312"/>
          <w:color w:val="auto"/>
          <w:sz w:val="24"/>
        </w:rPr>
      </w:pPr>
      <w:r>
        <w:rPr>
          <w:rFonts w:hint="eastAsia" w:ascii="仿宋_GB2312" w:eastAsia="仿宋_GB2312"/>
          <w:color w:val="auto"/>
          <w:sz w:val="24"/>
        </w:rPr>
        <w:t>在基准日期之后，因国家颁布新的强制性规范、标准导致承包人的费用变化的，发包人应合理调整合同价格；导致工期延误的，发包人应合理延长工期。</w:t>
      </w:r>
    </w:p>
    <w:p>
      <w:pPr>
        <w:pStyle w:val="315"/>
        <w:widowControl/>
        <w:numPr>
          <w:ilvl w:val="0"/>
          <w:numId w:val="0"/>
        </w:numPr>
        <w:rPr>
          <w:b w:val="0"/>
          <w:bCs/>
          <w:color w:val="auto"/>
        </w:rPr>
      </w:pPr>
      <w:bookmarkStart w:id="631" w:name="_Toc54862223"/>
      <w:bookmarkStart w:id="632" w:name="_Ref531953054"/>
      <w:bookmarkStart w:id="633" w:name="_Ref531953051"/>
      <w:r>
        <w:rPr>
          <w:rFonts w:hint="eastAsia"/>
          <w:b w:val="0"/>
          <w:bCs/>
          <w:color w:val="auto"/>
        </w:rPr>
        <w:t>5</w:t>
      </w:r>
      <w:r>
        <w:rPr>
          <w:b w:val="0"/>
          <w:bCs/>
          <w:color w:val="auto"/>
        </w:rPr>
        <w:t xml:space="preserve">.2 </w:t>
      </w:r>
      <w:r>
        <w:rPr>
          <w:rFonts w:hint="eastAsia"/>
          <w:b w:val="0"/>
          <w:bCs/>
          <w:color w:val="auto"/>
        </w:rPr>
        <w:t>承包人文件审查</w:t>
      </w:r>
      <w:bookmarkEnd w:id="631"/>
      <w:bookmarkEnd w:id="632"/>
      <w:bookmarkEnd w:id="633"/>
      <w:r>
        <w:rPr>
          <w:rFonts w:hint="eastAsia"/>
          <w:b w:val="0"/>
          <w:bCs/>
          <w:color w:val="auto"/>
        </w:rPr>
        <w:t xml:space="preserve"> </w:t>
      </w:r>
    </w:p>
    <w:p>
      <w:pPr>
        <w:pStyle w:val="88"/>
        <w:numPr>
          <w:ilvl w:val="0"/>
          <w:numId w:val="0"/>
        </w:numPr>
        <w:rPr>
          <w:rFonts w:ascii="仿宋_GB2312" w:eastAsia="仿宋_GB2312"/>
          <w:color w:val="auto"/>
          <w:szCs w:val="24"/>
        </w:rPr>
      </w:pPr>
      <w:bookmarkStart w:id="634" w:name="_Ref531953064"/>
      <w:r>
        <w:rPr>
          <w:rFonts w:hint="eastAsia" w:ascii="仿宋_GB2312" w:eastAsia="仿宋_GB2312"/>
          <w:color w:val="auto"/>
          <w:szCs w:val="24"/>
        </w:rPr>
        <w:t>5</w:t>
      </w:r>
      <w:r>
        <w:rPr>
          <w:rFonts w:ascii="仿宋_GB2312" w:eastAsia="仿宋_GB2312"/>
          <w:color w:val="auto"/>
          <w:szCs w:val="24"/>
        </w:rPr>
        <w:t xml:space="preserve">.2.1 </w:t>
      </w:r>
      <w:r>
        <w:rPr>
          <w:rFonts w:hint="eastAsia" w:ascii="仿宋_GB2312" w:eastAsia="仿宋_GB2312"/>
          <w:color w:val="auto"/>
          <w:szCs w:val="24"/>
        </w:rPr>
        <w:t>根据《发包人要求》应当通过工程师报发包人审查同意的承包人文件，承包人应当按照《发包人要求》约定的范围和内容及时报送审查。</w:t>
      </w:r>
      <w:bookmarkEnd w:id="634"/>
    </w:p>
    <w:p>
      <w:pPr>
        <w:ind w:firstLine="600"/>
        <w:rPr>
          <w:rFonts w:ascii="仿宋_GB2312" w:eastAsia="仿宋_GB2312"/>
          <w:color w:val="auto"/>
          <w:sz w:val="24"/>
        </w:rPr>
      </w:pPr>
      <w:r>
        <w:rPr>
          <w:rFonts w:hint="eastAsia" w:ascii="仿宋_GB2312" w:eastAsia="仿宋_GB2312"/>
          <w:color w:val="auto"/>
          <w:sz w:val="24"/>
        </w:rPr>
        <w:t>除专用合同条件另有约定外，自工程师收到承包人文件以及承包人的通知之日起，发包人对承包人文件审查期不超过21天。承包人的设计文件对于合同约定有偏离的，应在通知中说明。承包人需要修改已提交的承包人文件的，应立即通知工程师，并向工程师提交修改后的承包人文件，审查期重新起算。</w:t>
      </w:r>
    </w:p>
    <w:p>
      <w:pPr>
        <w:ind w:firstLine="600"/>
        <w:rPr>
          <w:rFonts w:ascii="仿宋_GB2312" w:eastAsia="仿宋_GB2312"/>
          <w:color w:val="auto"/>
          <w:sz w:val="24"/>
        </w:rPr>
      </w:pPr>
      <w:r>
        <w:rPr>
          <w:rFonts w:hint="eastAsia" w:ascii="仿宋_GB2312" w:eastAsia="仿宋_GB2312"/>
          <w:color w:val="auto"/>
          <w:sz w:val="24"/>
        </w:rPr>
        <w:t>发包人同意承包人文件的，应及时通知承包人，发包人不同意承包人文件的，应在审查期限内通过工程师以书面形式通知承包人，并说明不同意的具体内容和理由。</w:t>
      </w:r>
    </w:p>
    <w:p>
      <w:pPr>
        <w:ind w:firstLine="600"/>
        <w:rPr>
          <w:rFonts w:ascii="仿宋_GB2312" w:eastAsia="仿宋_GB2312"/>
          <w:color w:val="auto"/>
          <w:sz w:val="24"/>
        </w:rPr>
      </w:pPr>
      <w:r>
        <w:rPr>
          <w:rFonts w:hint="eastAsia" w:ascii="仿宋_GB2312" w:eastAsia="仿宋_GB2312"/>
          <w:color w:val="auto"/>
          <w:sz w:val="24"/>
        </w:rPr>
        <w:t>承包人对发包人的意见按以下方式处理：</w:t>
      </w:r>
    </w:p>
    <w:p>
      <w:pPr>
        <w:ind w:firstLine="600"/>
        <w:rPr>
          <w:rFonts w:ascii="仿宋_GB2312" w:eastAsia="仿宋_GB2312"/>
          <w:color w:val="auto"/>
          <w:sz w:val="24"/>
        </w:rPr>
      </w:pPr>
      <w:r>
        <w:rPr>
          <w:rFonts w:hint="eastAsia" w:ascii="仿宋_GB2312" w:eastAsia="仿宋_GB2312"/>
          <w:color w:val="auto"/>
          <w:sz w:val="24"/>
        </w:rPr>
        <w:t>（1） 发包人的意见构成变更的，承包人应在7天内通知发包人按照第1</w:t>
      </w:r>
      <w:r>
        <w:rPr>
          <w:rFonts w:ascii="仿宋_GB2312" w:eastAsia="仿宋_GB2312"/>
          <w:color w:val="auto"/>
          <w:sz w:val="24"/>
        </w:rPr>
        <w:t>3</w:t>
      </w:r>
      <w:r>
        <w:rPr>
          <w:rFonts w:hint="eastAsia" w:ascii="仿宋_GB2312" w:eastAsia="仿宋_GB2312"/>
          <w:color w:val="auto"/>
          <w:sz w:val="24"/>
        </w:rPr>
        <w:t>条</w:t>
      </w:r>
      <w:r>
        <w:rPr>
          <w:rFonts w:ascii="仿宋_GB2312" w:eastAsia="仿宋_GB2312"/>
          <w:color w:val="auto"/>
          <w:sz w:val="24"/>
        </w:rPr>
        <w:t>[</w:t>
      </w:r>
      <w:r>
        <w:rPr>
          <w:rFonts w:hint="eastAsia" w:ascii="仿宋_GB2312" w:eastAsia="仿宋_GB2312"/>
          <w:color w:val="auto"/>
          <w:sz w:val="24"/>
        </w:rPr>
        <w:t>变更与调整</w:t>
      </w:r>
      <w:r>
        <w:rPr>
          <w:rFonts w:ascii="仿宋_GB2312" w:eastAsia="仿宋_GB2312"/>
          <w:color w:val="auto"/>
          <w:sz w:val="24"/>
        </w:rPr>
        <w:t>]</w:t>
      </w:r>
      <w:r>
        <w:rPr>
          <w:rFonts w:hint="eastAsia" w:ascii="仿宋_GB2312" w:eastAsia="仿宋_GB2312"/>
          <w:color w:val="auto"/>
          <w:sz w:val="24"/>
        </w:rPr>
        <w:t>中关于发包人指示变更的约定执行，双方对是否构成变更无法达成一致的，按照第</w:t>
      </w:r>
      <w:r>
        <w:rPr>
          <w:rFonts w:ascii="仿宋_GB2312" w:eastAsia="仿宋_GB2312"/>
          <w:color w:val="auto"/>
          <w:sz w:val="24"/>
        </w:rPr>
        <w:t>20条[</w:t>
      </w:r>
      <w:r>
        <w:rPr>
          <w:rFonts w:hint="eastAsia" w:ascii="仿宋_GB2312" w:eastAsia="仿宋_GB2312"/>
          <w:color w:val="auto"/>
          <w:sz w:val="24"/>
        </w:rPr>
        <w:t>争议解决</w:t>
      </w:r>
      <w:r>
        <w:rPr>
          <w:rFonts w:ascii="仿宋_GB2312" w:eastAsia="仿宋_GB2312"/>
          <w:color w:val="auto"/>
          <w:sz w:val="24"/>
        </w:rPr>
        <w:t>]</w:t>
      </w:r>
      <w:r>
        <w:rPr>
          <w:rFonts w:hint="eastAsia" w:ascii="仿宋_GB2312" w:eastAsia="仿宋_GB2312"/>
          <w:color w:val="auto"/>
          <w:sz w:val="24"/>
        </w:rPr>
        <w:t>的约定执行；</w:t>
      </w:r>
    </w:p>
    <w:p>
      <w:pPr>
        <w:ind w:firstLine="600"/>
        <w:rPr>
          <w:rFonts w:ascii="仿宋_GB2312" w:eastAsia="仿宋_GB2312"/>
          <w:color w:val="auto"/>
          <w:sz w:val="24"/>
        </w:rPr>
      </w:pPr>
      <w:r>
        <w:rPr>
          <w:rFonts w:hint="eastAsia" w:ascii="仿宋_GB2312" w:eastAsia="仿宋_GB2312"/>
          <w:color w:val="auto"/>
          <w:sz w:val="24"/>
        </w:rPr>
        <w:t>（2） 因承包人原因导致无法通过审查的，承包人应根据发包人的书面说明，对承包人文件进行修改后重新报送发包人审查，审查期重新起算。因此引起的工期延长和必要的工程费用增加，由承包人负责。</w:t>
      </w:r>
    </w:p>
    <w:p>
      <w:pPr>
        <w:ind w:firstLine="600"/>
        <w:rPr>
          <w:rFonts w:ascii="仿宋_GB2312" w:eastAsia="仿宋_GB2312"/>
          <w:color w:val="auto"/>
          <w:sz w:val="24"/>
        </w:rPr>
      </w:pPr>
      <w:r>
        <w:rPr>
          <w:rFonts w:hint="eastAsia" w:ascii="仿宋_GB2312" w:eastAsia="仿宋_GB2312"/>
          <w:color w:val="auto"/>
          <w:sz w:val="24"/>
        </w:rPr>
        <w:t>合同约定的审查期满，发包人没有做出审查结论也没有提出异议的，视为承包人文件已获发包人同意。</w:t>
      </w:r>
    </w:p>
    <w:p>
      <w:pPr>
        <w:ind w:firstLine="600"/>
        <w:rPr>
          <w:rFonts w:ascii="仿宋_GB2312" w:eastAsia="仿宋_GB2312"/>
          <w:color w:val="auto"/>
          <w:sz w:val="24"/>
        </w:rPr>
      </w:pPr>
      <w:r>
        <w:rPr>
          <w:rFonts w:hint="eastAsia" w:ascii="仿宋_GB2312" w:eastAsia="仿宋_GB2312"/>
          <w:color w:val="auto"/>
          <w:sz w:val="24"/>
        </w:rPr>
        <w:t>发包人对承包人文件的审查和同意不得被理解为对合同的修改或改变，也并不减轻或免除承包人任何的责任和义务。</w:t>
      </w:r>
    </w:p>
    <w:p>
      <w:pPr>
        <w:pStyle w:val="88"/>
        <w:numPr>
          <w:ilvl w:val="0"/>
          <w:numId w:val="0"/>
        </w:numPr>
        <w:rPr>
          <w:rFonts w:ascii="仿宋_GB2312" w:eastAsia="仿宋_GB2312"/>
          <w:color w:val="auto"/>
          <w:szCs w:val="24"/>
        </w:rPr>
      </w:pPr>
      <w:r>
        <w:rPr>
          <w:rFonts w:hint="eastAsia" w:ascii="仿宋_GB2312" w:eastAsia="仿宋_GB2312"/>
          <w:color w:val="auto"/>
          <w:szCs w:val="24"/>
        </w:rPr>
        <w:t>5</w:t>
      </w:r>
      <w:r>
        <w:rPr>
          <w:rFonts w:ascii="仿宋_GB2312" w:eastAsia="仿宋_GB2312"/>
          <w:color w:val="auto"/>
          <w:szCs w:val="24"/>
        </w:rPr>
        <w:t xml:space="preserve">.2.2 </w:t>
      </w:r>
      <w:r>
        <w:rPr>
          <w:rFonts w:hint="eastAsia" w:ascii="仿宋_GB2312" w:eastAsia="仿宋_GB2312"/>
          <w:color w:val="auto"/>
          <w:szCs w:val="24"/>
        </w:rPr>
        <w:t>承包人文件不需要政府有关部门或专用合同条件约定的第三方审查单位审查或批准的，承包人应当严格按照经发包人审查同意的承包人文件设计和实施工程。</w:t>
      </w:r>
    </w:p>
    <w:p>
      <w:pPr>
        <w:ind w:firstLine="600"/>
        <w:rPr>
          <w:rFonts w:ascii="仿宋_GB2312" w:eastAsia="仿宋_GB2312"/>
          <w:color w:val="auto"/>
          <w:sz w:val="24"/>
        </w:rPr>
      </w:pPr>
      <w:r>
        <w:rPr>
          <w:rFonts w:hint="eastAsia" w:ascii="仿宋_GB2312" w:eastAsia="仿宋_GB2312"/>
          <w:color w:val="auto"/>
          <w:sz w:val="24"/>
        </w:rPr>
        <w:t>发包人需要组织审查会议对承包人文件进行审查的，审查会议的审查形式、时间安排、费用承担，在专用合同条件中约定。发包人负责组织承包人文件审查会议，承包人有义务参加发包人组织的审查会议，向审查者介绍、解答、解释承包人文件，并提供有关补充资料。</w:t>
      </w:r>
    </w:p>
    <w:p>
      <w:pPr>
        <w:ind w:firstLine="600"/>
        <w:rPr>
          <w:rFonts w:ascii="仿宋_GB2312" w:eastAsia="仿宋_GB2312"/>
          <w:color w:val="auto"/>
          <w:sz w:val="24"/>
        </w:rPr>
      </w:pPr>
      <w:r>
        <w:rPr>
          <w:rFonts w:hint="eastAsia" w:ascii="仿宋_GB2312" w:eastAsia="仿宋_GB2312"/>
          <w:color w:val="auto"/>
          <w:sz w:val="24"/>
        </w:rPr>
        <w:t>发包人有义务向承包人提供审查会议的批准文件和纪要。承包人有义务按照相关审查会议批准的文件和纪要，并依据合同约定及相关技术标准，对承包人文件进行修改、补充和完善。</w:t>
      </w:r>
    </w:p>
    <w:p>
      <w:pPr>
        <w:pStyle w:val="88"/>
        <w:numPr>
          <w:ilvl w:val="0"/>
          <w:numId w:val="0"/>
        </w:numPr>
        <w:rPr>
          <w:rFonts w:ascii="仿宋_GB2312" w:eastAsia="仿宋_GB2312"/>
          <w:color w:val="auto"/>
          <w:szCs w:val="24"/>
        </w:rPr>
      </w:pPr>
      <w:bookmarkStart w:id="635" w:name="_Ref531953074"/>
      <w:r>
        <w:rPr>
          <w:rFonts w:hint="eastAsia" w:ascii="仿宋_GB2312" w:eastAsia="仿宋_GB2312"/>
          <w:color w:val="auto"/>
          <w:szCs w:val="24"/>
        </w:rPr>
        <w:t>5</w:t>
      </w:r>
      <w:r>
        <w:rPr>
          <w:rFonts w:ascii="仿宋_GB2312" w:eastAsia="仿宋_GB2312"/>
          <w:color w:val="auto"/>
          <w:szCs w:val="24"/>
        </w:rPr>
        <w:t xml:space="preserve">.2.3 </w:t>
      </w:r>
      <w:r>
        <w:rPr>
          <w:rFonts w:hint="eastAsia" w:ascii="仿宋_GB2312" w:eastAsia="仿宋_GB2312"/>
          <w:color w:val="auto"/>
          <w:szCs w:val="24"/>
        </w:rPr>
        <w:t>承包人文件需政府有关部门或专用合同条件约定的第三方审查单位审查或批准的，发包人应在发包人审查同意承包人文件后7天内，向政府有关部门或第三方报送承包人文件，承包人应予以协助。</w:t>
      </w:r>
      <w:bookmarkEnd w:id="635"/>
    </w:p>
    <w:p>
      <w:pPr>
        <w:ind w:firstLine="600"/>
        <w:rPr>
          <w:rFonts w:ascii="仿宋_GB2312" w:eastAsia="仿宋_GB2312"/>
          <w:color w:val="auto"/>
          <w:sz w:val="24"/>
        </w:rPr>
      </w:pPr>
      <w:r>
        <w:rPr>
          <w:rFonts w:hint="eastAsia" w:ascii="仿宋_GB2312" w:eastAsia="仿宋_GB2312"/>
          <w:color w:val="auto"/>
          <w:sz w:val="24"/>
        </w:rPr>
        <w:t>对于政府有关部门或第三方审查单位的审查意见，不需要修改《发包人要求》的，承包人需按该审查意见修改承包人的设计文件；需要修改《发包人要求》的，承包人应按第</w:t>
      </w:r>
      <w:r>
        <w:rPr>
          <w:rFonts w:ascii="仿宋_GB2312" w:eastAsia="仿宋_GB2312"/>
          <w:color w:val="auto"/>
          <w:sz w:val="24"/>
        </w:rPr>
        <w:t>13.2</w:t>
      </w:r>
      <w:r>
        <w:rPr>
          <w:rFonts w:hint="eastAsia" w:ascii="仿宋_GB2312" w:eastAsia="仿宋_GB2312"/>
          <w:color w:val="auto"/>
          <w:sz w:val="24"/>
        </w:rPr>
        <w:t>款[承包人的合理化建议]的约定执行。上述情形还应适用第</w:t>
      </w:r>
      <w:r>
        <w:rPr>
          <w:rFonts w:ascii="仿宋_GB2312" w:eastAsia="仿宋_GB2312"/>
          <w:color w:val="auto"/>
          <w:sz w:val="24"/>
        </w:rPr>
        <w:t>5.1</w:t>
      </w:r>
      <w:r>
        <w:rPr>
          <w:rFonts w:hint="eastAsia" w:ascii="仿宋_GB2312" w:eastAsia="仿宋_GB2312"/>
          <w:color w:val="auto"/>
          <w:sz w:val="24"/>
        </w:rPr>
        <w:t>款[承包人的设计义务]和第</w:t>
      </w:r>
      <w:r>
        <w:rPr>
          <w:rFonts w:ascii="仿宋_GB2312" w:eastAsia="仿宋_GB2312"/>
          <w:color w:val="auto"/>
          <w:sz w:val="24"/>
        </w:rPr>
        <w:t>13条</w:t>
      </w:r>
      <w:r>
        <w:rPr>
          <w:rFonts w:hint="eastAsia" w:ascii="仿宋_GB2312" w:eastAsia="仿宋_GB2312"/>
          <w:color w:val="auto"/>
          <w:sz w:val="24"/>
        </w:rPr>
        <w:t>[变更与调整]的有关约定。</w:t>
      </w:r>
    </w:p>
    <w:p>
      <w:pPr>
        <w:ind w:firstLine="600"/>
        <w:rPr>
          <w:rFonts w:ascii="仿宋_GB2312" w:eastAsia="仿宋_GB2312"/>
          <w:color w:val="auto"/>
          <w:sz w:val="24"/>
        </w:rPr>
      </w:pPr>
      <w:r>
        <w:rPr>
          <w:rFonts w:hint="eastAsia" w:ascii="仿宋_GB2312" w:eastAsia="仿宋_GB2312"/>
          <w:color w:val="auto"/>
          <w:sz w:val="24"/>
        </w:rPr>
        <w:t>政府有关部门或第三方审查单位审查批准后，承包人应当严格按照批准后的承包人文件实施工程。政府有关部门或第三方审查单位批准时间较合同约定时间延长的，竣工日期相应顺延。因此给双方带来的费用增加，由双方在负责的范围内各自承担。</w:t>
      </w:r>
    </w:p>
    <w:p>
      <w:pPr>
        <w:pStyle w:val="315"/>
        <w:widowControl/>
        <w:numPr>
          <w:ilvl w:val="0"/>
          <w:numId w:val="0"/>
        </w:numPr>
        <w:rPr>
          <w:b w:val="0"/>
          <w:bCs/>
          <w:color w:val="auto"/>
        </w:rPr>
      </w:pPr>
      <w:bookmarkStart w:id="636" w:name="_Ref531953097"/>
      <w:bookmarkStart w:id="637" w:name="_Ref531953095"/>
      <w:bookmarkStart w:id="638" w:name="_Toc54862224"/>
      <w:r>
        <w:rPr>
          <w:rFonts w:hint="eastAsia"/>
          <w:b w:val="0"/>
          <w:bCs/>
          <w:color w:val="auto"/>
        </w:rPr>
        <w:t>5</w:t>
      </w:r>
      <w:r>
        <w:rPr>
          <w:b w:val="0"/>
          <w:bCs/>
          <w:color w:val="auto"/>
        </w:rPr>
        <w:t xml:space="preserve">.3 </w:t>
      </w:r>
      <w:r>
        <w:rPr>
          <w:rFonts w:hint="eastAsia"/>
          <w:b w:val="0"/>
          <w:bCs/>
          <w:color w:val="auto"/>
        </w:rPr>
        <w:t>培训</w:t>
      </w:r>
      <w:bookmarkEnd w:id="636"/>
      <w:bookmarkEnd w:id="637"/>
      <w:bookmarkEnd w:id="638"/>
    </w:p>
    <w:p>
      <w:pPr>
        <w:ind w:firstLine="600"/>
        <w:rPr>
          <w:rFonts w:ascii="仿宋_GB2312" w:eastAsia="仿宋_GB2312"/>
          <w:color w:val="auto"/>
          <w:sz w:val="24"/>
        </w:rPr>
      </w:pPr>
      <w:r>
        <w:rPr>
          <w:rFonts w:hint="eastAsia" w:ascii="仿宋_GB2312" w:eastAsia="仿宋_GB2312"/>
          <w:color w:val="auto"/>
          <w:sz w:val="24"/>
        </w:rPr>
        <w:t>承包人应按照《发包人要求》，对发包人的雇员或其它发包人指定的人员进行工程操作、维修或其它合同中约定的培训。合同约定接收之前进行培训的，应在第</w:t>
      </w:r>
      <w:r>
        <w:rPr>
          <w:rFonts w:ascii="仿宋_GB2312" w:eastAsia="仿宋_GB2312"/>
          <w:color w:val="auto"/>
          <w:sz w:val="24"/>
        </w:rPr>
        <w:t>10.1</w:t>
      </w:r>
      <w:r>
        <w:rPr>
          <w:rFonts w:hint="eastAsia" w:ascii="仿宋_GB2312" w:eastAsia="仿宋_GB2312"/>
          <w:color w:val="auto"/>
          <w:sz w:val="24"/>
        </w:rPr>
        <w:t>款[</w:t>
      </w:r>
      <w:r>
        <w:rPr>
          <w:rFonts w:ascii="仿宋_GB2312" w:eastAsia="仿宋_GB2312"/>
          <w:color w:val="auto"/>
          <w:sz w:val="24"/>
        </w:rPr>
        <w:t>竣工验收</w:t>
      </w:r>
      <w:r>
        <w:rPr>
          <w:rFonts w:hint="eastAsia" w:ascii="仿宋_GB2312" w:eastAsia="仿宋_GB2312"/>
          <w:color w:val="auto"/>
          <w:sz w:val="24"/>
        </w:rPr>
        <w:t>]约定的竣工验收前或试运行结束前完成培训。</w:t>
      </w:r>
    </w:p>
    <w:p>
      <w:pPr>
        <w:ind w:firstLine="600"/>
        <w:rPr>
          <w:rFonts w:ascii="仿宋_GB2312" w:eastAsia="仿宋_GB2312"/>
          <w:color w:val="auto"/>
          <w:sz w:val="24"/>
        </w:rPr>
      </w:pPr>
      <w:r>
        <w:rPr>
          <w:rFonts w:hint="eastAsia" w:ascii="仿宋_GB2312" w:eastAsia="仿宋_GB2312"/>
          <w:color w:val="auto"/>
          <w:sz w:val="24"/>
        </w:rPr>
        <w:t>培训的时长应由双方在专用合同条件中约定，承包人应为培训提供有经验的人员、设施和其它必要条件。</w:t>
      </w:r>
    </w:p>
    <w:p>
      <w:pPr>
        <w:pStyle w:val="315"/>
        <w:widowControl/>
        <w:numPr>
          <w:ilvl w:val="0"/>
          <w:numId w:val="0"/>
        </w:numPr>
        <w:rPr>
          <w:b w:val="0"/>
          <w:bCs/>
          <w:color w:val="auto"/>
        </w:rPr>
      </w:pPr>
      <w:bookmarkStart w:id="639" w:name="_Ref531953105"/>
      <w:bookmarkStart w:id="640" w:name="_Ref531953108"/>
      <w:bookmarkStart w:id="641" w:name="_Toc54862225"/>
      <w:r>
        <w:rPr>
          <w:rFonts w:hint="eastAsia"/>
          <w:b w:val="0"/>
          <w:bCs/>
          <w:color w:val="auto"/>
        </w:rPr>
        <w:t>5</w:t>
      </w:r>
      <w:r>
        <w:rPr>
          <w:b w:val="0"/>
          <w:bCs/>
          <w:color w:val="auto"/>
        </w:rPr>
        <w:t xml:space="preserve">.4 </w:t>
      </w:r>
      <w:r>
        <w:rPr>
          <w:rFonts w:hint="eastAsia"/>
          <w:b w:val="0"/>
          <w:bCs/>
          <w:color w:val="auto"/>
        </w:rPr>
        <w:t>竣工文件</w:t>
      </w:r>
      <w:bookmarkEnd w:id="639"/>
      <w:bookmarkEnd w:id="640"/>
      <w:bookmarkEnd w:id="641"/>
    </w:p>
    <w:p>
      <w:pPr>
        <w:pStyle w:val="88"/>
        <w:numPr>
          <w:ilvl w:val="0"/>
          <w:numId w:val="0"/>
        </w:numPr>
        <w:rPr>
          <w:rFonts w:ascii="仿宋_GB2312" w:eastAsia="仿宋_GB2312"/>
          <w:color w:val="auto"/>
          <w:szCs w:val="24"/>
        </w:rPr>
      </w:pPr>
      <w:bookmarkStart w:id="642" w:name="_Ref531953134"/>
      <w:r>
        <w:rPr>
          <w:rFonts w:hint="eastAsia" w:ascii="仿宋_GB2312" w:eastAsia="仿宋_GB2312"/>
          <w:color w:val="auto"/>
          <w:szCs w:val="24"/>
        </w:rPr>
        <w:t>5</w:t>
      </w:r>
      <w:r>
        <w:rPr>
          <w:rFonts w:ascii="仿宋_GB2312" w:eastAsia="仿宋_GB2312"/>
          <w:color w:val="auto"/>
          <w:szCs w:val="24"/>
        </w:rPr>
        <w:t xml:space="preserve">.4.1 </w:t>
      </w:r>
      <w:r>
        <w:rPr>
          <w:rFonts w:hint="eastAsia" w:ascii="仿宋_GB2312" w:eastAsia="仿宋_GB2312"/>
          <w:color w:val="auto"/>
          <w:szCs w:val="24"/>
        </w:rPr>
        <w:t>承包人应编制并及时更新反映工程实施结果的竣工记录，如实记载竣工工程的确切位置、尺寸和已实施工作的详细说明。竣工文件的形式、技术标准以及其它相关内容应按照相关法律法规、行业标准与《发包人要求》执行。竣工记录应保存在施工现场，并在竣工试验开始前，按照专用合同条件约定的份数提交给工程师。</w:t>
      </w:r>
      <w:bookmarkEnd w:id="642"/>
    </w:p>
    <w:p>
      <w:pPr>
        <w:pStyle w:val="88"/>
        <w:numPr>
          <w:ilvl w:val="0"/>
          <w:numId w:val="0"/>
        </w:numPr>
        <w:rPr>
          <w:rFonts w:ascii="仿宋_GB2312" w:eastAsia="仿宋_GB2312"/>
          <w:color w:val="auto"/>
          <w:szCs w:val="24"/>
        </w:rPr>
      </w:pPr>
      <w:r>
        <w:rPr>
          <w:rFonts w:hint="eastAsia" w:ascii="仿宋_GB2312" w:eastAsia="仿宋_GB2312"/>
          <w:color w:val="auto"/>
          <w:szCs w:val="24"/>
        </w:rPr>
        <w:t>5</w:t>
      </w:r>
      <w:r>
        <w:rPr>
          <w:rFonts w:ascii="仿宋_GB2312" w:eastAsia="仿宋_GB2312"/>
          <w:color w:val="auto"/>
          <w:szCs w:val="24"/>
        </w:rPr>
        <w:t xml:space="preserve">.4.2 </w:t>
      </w:r>
      <w:r>
        <w:rPr>
          <w:rFonts w:hint="eastAsia" w:ascii="仿宋_GB2312" w:eastAsia="仿宋_GB2312"/>
          <w:color w:val="auto"/>
          <w:szCs w:val="24"/>
        </w:rPr>
        <w:t>在颁发工程接收证书之前，承包人应按照《发包人要求》的份数和形式向工程师提交相应竣工图纸，并取得工程师对尺寸、参照系统及其他有关细节的认可。工程师应按照第</w:t>
      </w:r>
      <w:r>
        <w:rPr>
          <w:rFonts w:ascii="仿宋_GB2312" w:eastAsia="仿宋_GB2312"/>
          <w:color w:val="auto"/>
          <w:szCs w:val="24"/>
        </w:rPr>
        <w:t>5.2</w:t>
      </w:r>
      <w:r>
        <w:rPr>
          <w:rFonts w:hint="eastAsia" w:ascii="仿宋_GB2312" w:eastAsia="仿宋_GB2312"/>
          <w:color w:val="auto"/>
          <w:szCs w:val="24"/>
        </w:rPr>
        <w:t>款[</w:t>
      </w:r>
      <w:r>
        <w:rPr>
          <w:rFonts w:ascii="仿宋_GB2312" w:eastAsia="仿宋_GB2312"/>
          <w:color w:val="auto"/>
          <w:szCs w:val="24"/>
        </w:rPr>
        <w:t>承包人文件审查</w:t>
      </w:r>
      <w:r>
        <w:rPr>
          <w:rFonts w:hint="eastAsia" w:ascii="仿宋_GB2312" w:eastAsia="仿宋_GB2312"/>
          <w:color w:val="auto"/>
          <w:szCs w:val="24"/>
        </w:rPr>
        <w:t>]的约定进行审查。</w:t>
      </w:r>
    </w:p>
    <w:p>
      <w:pPr>
        <w:pStyle w:val="88"/>
        <w:numPr>
          <w:ilvl w:val="0"/>
          <w:numId w:val="0"/>
        </w:numPr>
        <w:rPr>
          <w:rFonts w:ascii="仿宋_GB2312" w:eastAsia="仿宋_GB2312"/>
          <w:color w:val="auto"/>
          <w:szCs w:val="24"/>
        </w:rPr>
      </w:pPr>
      <w:r>
        <w:rPr>
          <w:rFonts w:hint="eastAsia" w:ascii="仿宋_GB2312" w:eastAsia="仿宋_GB2312"/>
          <w:color w:val="auto"/>
          <w:szCs w:val="24"/>
        </w:rPr>
        <w:t>5</w:t>
      </w:r>
      <w:r>
        <w:rPr>
          <w:rFonts w:ascii="仿宋_GB2312" w:eastAsia="仿宋_GB2312"/>
          <w:color w:val="auto"/>
          <w:szCs w:val="24"/>
        </w:rPr>
        <w:t xml:space="preserve">.4.3 </w:t>
      </w:r>
      <w:r>
        <w:rPr>
          <w:rFonts w:hint="eastAsia" w:ascii="仿宋_GB2312" w:eastAsia="仿宋_GB2312"/>
          <w:color w:val="auto"/>
          <w:szCs w:val="24"/>
        </w:rPr>
        <w:t>除专用合同条件另有约定外，在工程师收到本款下的文件前，不应认为工程已根据第</w:t>
      </w:r>
      <w:r>
        <w:rPr>
          <w:rFonts w:ascii="仿宋_GB2312" w:eastAsia="仿宋_GB2312"/>
          <w:color w:val="auto"/>
          <w:szCs w:val="24"/>
        </w:rPr>
        <w:t>10.1</w:t>
      </w:r>
      <w:r>
        <w:rPr>
          <w:rFonts w:hint="eastAsia" w:ascii="仿宋_GB2312" w:eastAsia="仿宋_GB2312"/>
          <w:color w:val="auto"/>
          <w:szCs w:val="24"/>
        </w:rPr>
        <w:t>款[竣工验收]和第</w:t>
      </w:r>
      <w:r>
        <w:rPr>
          <w:rFonts w:ascii="仿宋_GB2312" w:eastAsia="仿宋_GB2312"/>
          <w:color w:val="auto"/>
          <w:szCs w:val="24"/>
        </w:rPr>
        <w:t>10.2</w:t>
      </w:r>
      <w:r>
        <w:rPr>
          <w:rFonts w:hint="eastAsia" w:ascii="仿宋_GB2312" w:eastAsia="仿宋_GB2312"/>
          <w:color w:val="auto"/>
          <w:szCs w:val="24"/>
        </w:rPr>
        <w:t>款[</w:t>
      </w:r>
      <w:r>
        <w:rPr>
          <w:rFonts w:ascii="仿宋_GB2312" w:eastAsia="仿宋_GB2312"/>
          <w:color w:val="auto"/>
          <w:szCs w:val="24"/>
        </w:rPr>
        <w:t>单位/区段工程的验收</w:t>
      </w:r>
      <w:r>
        <w:rPr>
          <w:rFonts w:hint="eastAsia" w:ascii="仿宋_GB2312" w:eastAsia="仿宋_GB2312"/>
          <w:color w:val="auto"/>
          <w:szCs w:val="24"/>
        </w:rPr>
        <w:t>]的约定完成验收。</w:t>
      </w:r>
    </w:p>
    <w:p>
      <w:pPr>
        <w:pStyle w:val="315"/>
        <w:widowControl/>
        <w:numPr>
          <w:ilvl w:val="0"/>
          <w:numId w:val="0"/>
        </w:numPr>
        <w:rPr>
          <w:b w:val="0"/>
          <w:bCs/>
          <w:color w:val="auto"/>
        </w:rPr>
      </w:pPr>
      <w:bookmarkStart w:id="643" w:name="_Toc54862226"/>
      <w:bookmarkStart w:id="644" w:name="_Ref531953117"/>
      <w:bookmarkStart w:id="645" w:name="_Ref531953119"/>
      <w:r>
        <w:rPr>
          <w:rFonts w:hint="eastAsia"/>
          <w:b w:val="0"/>
          <w:bCs/>
          <w:color w:val="auto"/>
        </w:rPr>
        <w:t>5</w:t>
      </w:r>
      <w:r>
        <w:rPr>
          <w:b w:val="0"/>
          <w:bCs/>
          <w:color w:val="auto"/>
        </w:rPr>
        <w:t xml:space="preserve">.5 </w:t>
      </w:r>
      <w:r>
        <w:rPr>
          <w:rFonts w:hint="eastAsia"/>
          <w:b w:val="0"/>
          <w:bCs/>
          <w:color w:val="auto"/>
        </w:rPr>
        <w:t>操作和维修手册</w:t>
      </w:r>
      <w:bookmarkEnd w:id="643"/>
      <w:bookmarkEnd w:id="644"/>
      <w:bookmarkEnd w:id="645"/>
    </w:p>
    <w:p>
      <w:pPr>
        <w:pStyle w:val="88"/>
        <w:numPr>
          <w:ilvl w:val="0"/>
          <w:numId w:val="0"/>
        </w:numPr>
        <w:rPr>
          <w:rFonts w:ascii="仿宋_GB2312" w:eastAsia="仿宋_GB2312"/>
          <w:color w:val="auto"/>
          <w:szCs w:val="24"/>
        </w:rPr>
      </w:pPr>
      <w:bookmarkStart w:id="646" w:name="_Ref531953145"/>
      <w:r>
        <w:rPr>
          <w:rFonts w:hint="eastAsia" w:ascii="仿宋_GB2312" w:eastAsia="仿宋_GB2312"/>
          <w:color w:val="auto"/>
          <w:szCs w:val="24"/>
        </w:rPr>
        <w:t>5</w:t>
      </w:r>
      <w:r>
        <w:rPr>
          <w:rFonts w:ascii="仿宋_GB2312" w:eastAsia="仿宋_GB2312"/>
          <w:color w:val="auto"/>
          <w:szCs w:val="24"/>
        </w:rPr>
        <w:t xml:space="preserve">.5.1 </w:t>
      </w:r>
      <w:r>
        <w:rPr>
          <w:rFonts w:hint="eastAsia" w:ascii="仿宋_GB2312" w:eastAsia="仿宋_GB2312"/>
          <w:color w:val="auto"/>
          <w:szCs w:val="24"/>
        </w:rPr>
        <w:t>在竣工试验开始前，承包人应向工程师提交暂行的操作和维修手册并负责及时更新，该手册应足够详细，以便发包人能够对工程设备进行操作、维修、拆卸、重新安装、调整及修理，以及实现《发包人要求》。同时，手册还应包含发包人未来可能需要的备品备件清单。</w:t>
      </w:r>
      <w:bookmarkEnd w:id="646"/>
    </w:p>
    <w:p>
      <w:pPr>
        <w:pStyle w:val="88"/>
        <w:numPr>
          <w:ilvl w:val="0"/>
          <w:numId w:val="0"/>
        </w:numPr>
        <w:rPr>
          <w:rFonts w:ascii="仿宋_GB2312" w:eastAsia="仿宋_GB2312"/>
          <w:color w:val="auto"/>
          <w:szCs w:val="24"/>
        </w:rPr>
      </w:pPr>
      <w:r>
        <w:rPr>
          <w:rFonts w:hint="eastAsia" w:ascii="仿宋_GB2312" w:eastAsia="仿宋_GB2312"/>
          <w:color w:val="auto"/>
          <w:szCs w:val="24"/>
        </w:rPr>
        <w:t>5</w:t>
      </w:r>
      <w:r>
        <w:rPr>
          <w:rFonts w:ascii="仿宋_GB2312" w:eastAsia="仿宋_GB2312"/>
          <w:color w:val="auto"/>
          <w:szCs w:val="24"/>
        </w:rPr>
        <w:t xml:space="preserve">.5.2 </w:t>
      </w:r>
      <w:r>
        <w:rPr>
          <w:rFonts w:hint="eastAsia" w:ascii="仿宋_GB2312" w:eastAsia="仿宋_GB2312"/>
          <w:color w:val="auto"/>
          <w:szCs w:val="24"/>
        </w:rPr>
        <w:t>工程师收到承包人提交的文件后，应依据第</w:t>
      </w:r>
      <w:r>
        <w:rPr>
          <w:rFonts w:ascii="仿宋_GB2312" w:eastAsia="仿宋_GB2312"/>
          <w:color w:val="auto"/>
          <w:szCs w:val="24"/>
        </w:rPr>
        <w:t>5.2</w:t>
      </w:r>
      <w:r>
        <w:rPr>
          <w:rFonts w:hint="eastAsia" w:ascii="仿宋_GB2312" w:eastAsia="仿宋_GB2312"/>
          <w:color w:val="auto"/>
          <w:szCs w:val="24"/>
        </w:rPr>
        <w:t>款[</w:t>
      </w:r>
      <w:r>
        <w:rPr>
          <w:rFonts w:ascii="仿宋_GB2312" w:eastAsia="仿宋_GB2312"/>
          <w:color w:val="auto"/>
          <w:szCs w:val="24"/>
        </w:rPr>
        <w:t>承包人文件审查</w:t>
      </w:r>
      <w:r>
        <w:rPr>
          <w:rFonts w:hint="eastAsia" w:ascii="仿宋_GB2312" w:eastAsia="仿宋_GB2312"/>
          <w:color w:val="auto"/>
          <w:szCs w:val="24"/>
        </w:rPr>
        <w:t>]的约定对操作和维修手册进行审查，竣工试验工程中，承包人应为任何因操作和维修手册错误或遗漏引起的风险或损失承担责任。</w:t>
      </w:r>
    </w:p>
    <w:p>
      <w:pPr>
        <w:pStyle w:val="88"/>
        <w:numPr>
          <w:ilvl w:val="0"/>
          <w:numId w:val="0"/>
        </w:numPr>
        <w:rPr>
          <w:rFonts w:ascii="仿宋_GB2312" w:eastAsia="仿宋_GB2312"/>
          <w:color w:val="auto"/>
          <w:szCs w:val="24"/>
        </w:rPr>
      </w:pPr>
      <w:r>
        <w:rPr>
          <w:rFonts w:hint="eastAsia" w:ascii="仿宋_GB2312" w:eastAsia="仿宋_GB2312"/>
          <w:color w:val="auto"/>
          <w:szCs w:val="24"/>
        </w:rPr>
        <w:t>5</w:t>
      </w:r>
      <w:r>
        <w:rPr>
          <w:rFonts w:ascii="仿宋_GB2312" w:eastAsia="仿宋_GB2312"/>
          <w:color w:val="auto"/>
          <w:szCs w:val="24"/>
        </w:rPr>
        <w:t xml:space="preserve">.5.3 </w:t>
      </w:r>
      <w:r>
        <w:rPr>
          <w:rFonts w:hint="eastAsia" w:ascii="仿宋_GB2312" w:eastAsia="仿宋_GB2312"/>
          <w:color w:val="auto"/>
          <w:szCs w:val="24"/>
        </w:rPr>
        <w:t>除专用合同条件另有约定外，承包人应提交足够详细的最终操作和维修手册，以及在《发包人要求》中明确的相关操作和维修手册。除专用合同条件另有约定外，在工程师收到上述文件前，不应认为工程已根据第</w:t>
      </w:r>
      <w:r>
        <w:rPr>
          <w:rFonts w:ascii="仿宋_GB2312" w:eastAsia="仿宋_GB2312"/>
          <w:color w:val="auto"/>
          <w:szCs w:val="24"/>
        </w:rPr>
        <w:t>10.1</w:t>
      </w:r>
      <w:r>
        <w:rPr>
          <w:rFonts w:hint="eastAsia" w:ascii="仿宋_GB2312" w:eastAsia="仿宋_GB2312"/>
          <w:color w:val="auto"/>
          <w:szCs w:val="24"/>
        </w:rPr>
        <w:t>款[竣工验收]和第</w:t>
      </w:r>
      <w:r>
        <w:rPr>
          <w:rFonts w:ascii="仿宋_GB2312" w:eastAsia="仿宋_GB2312"/>
          <w:color w:val="auto"/>
          <w:szCs w:val="24"/>
        </w:rPr>
        <w:t>10.2</w:t>
      </w:r>
      <w:r>
        <w:rPr>
          <w:rFonts w:hint="eastAsia" w:ascii="仿宋_GB2312" w:eastAsia="仿宋_GB2312"/>
          <w:color w:val="auto"/>
          <w:szCs w:val="24"/>
        </w:rPr>
        <w:t>款[</w:t>
      </w:r>
      <w:r>
        <w:rPr>
          <w:rFonts w:ascii="仿宋_GB2312" w:eastAsia="仿宋_GB2312"/>
          <w:color w:val="auto"/>
          <w:szCs w:val="24"/>
        </w:rPr>
        <w:t>单位/区段工程的验收</w:t>
      </w:r>
      <w:r>
        <w:rPr>
          <w:rFonts w:hint="eastAsia" w:ascii="仿宋_GB2312" w:eastAsia="仿宋_GB2312"/>
          <w:color w:val="auto"/>
          <w:szCs w:val="24"/>
        </w:rPr>
        <w:t>]的约定完成验收。</w:t>
      </w:r>
    </w:p>
    <w:p>
      <w:pPr>
        <w:pStyle w:val="315"/>
        <w:widowControl/>
        <w:numPr>
          <w:ilvl w:val="0"/>
          <w:numId w:val="0"/>
        </w:numPr>
        <w:rPr>
          <w:b w:val="0"/>
          <w:bCs/>
          <w:color w:val="auto"/>
        </w:rPr>
      </w:pPr>
      <w:bookmarkStart w:id="647" w:name="_Toc54862227"/>
      <w:r>
        <w:rPr>
          <w:rFonts w:hint="eastAsia"/>
          <w:b w:val="0"/>
          <w:bCs/>
          <w:color w:val="auto"/>
        </w:rPr>
        <w:t>5</w:t>
      </w:r>
      <w:r>
        <w:rPr>
          <w:b w:val="0"/>
          <w:bCs/>
          <w:color w:val="auto"/>
        </w:rPr>
        <w:t xml:space="preserve">.6 </w:t>
      </w:r>
      <w:r>
        <w:rPr>
          <w:rFonts w:hint="eastAsia"/>
          <w:b w:val="0"/>
          <w:bCs/>
          <w:color w:val="auto"/>
        </w:rPr>
        <w:t>承包人文件错误</w:t>
      </w:r>
      <w:bookmarkEnd w:id="647"/>
      <w:r>
        <w:rPr>
          <w:rFonts w:hint="eastAsia"/>
          <w:b w:val="0"/>
          <w:bCs/>
          <w:color w:val="auto"/>
        </w:rPr>
        <w:t xml:space="preserve"> </w:t>
      </w:r>
    </w:p>
    <w:p>
      <w:pPr>
        <w:ind w:firstLine="600"/>
        <w:rPr>
          <w:rFonts w:ascii="仿宋_GB2312" w:eastAsia="仿宋_GB2312"/>
          <w:color w:val="auto"/>
          <w:sz w:val="24"/>
        </w:rPr>
      </w:pPr>
      <w:r>
        <w:rPr>
          <w:rFonts w:hint="eastAsia" w:ascii="仿宋_GB2312" w:eastAsia="仿宋_GB2312"/>
          <w:color w:val="auto"/>
          <w:sz w:val="24"/>
        </w:rPr>
        <w:t>承包人文件存在错误、遗漏、含混、矛盾、不充分之处或其他缺陷，无论承包人是否根据本款获得了同意，承包人均应自费对前述问题带来的缺陷和工程问题进行改正，并按照第</w:t>
      </w:r>
      <w:r>
        <w:rPr>
          <w:rFonts w:ascii="仿宋_GB2312" w:eastAsia="仿宋_GB2312"/>
          <w:color w:val="auto"/>
          <w:sz w:val="24"/>
        </w:rPr>
        <w:t>5.2</w:t>
      </w:r>
      <w:r>
        <w:rPr>
          <w:rFonts w:hint="eastAsia" w:ascii="仿宋_GB2312" w:eastAsia="仿宋_GB2312"/>
          <w:color w:val="auto"/>
          <w:sz w:val="24"/>
        </w:rPr>
        <w:t>款[承包人文件审查]的要求，重新送工程师审查，审查日期从工程师收到文件开始重新计算。因此款原因重新提交审查文件导致的工程延误和必要费用增加由承包人承担。《发包人要求》的错误导致承包人文件错误、遗漏、含混、矛盾、不充分或其他缺陷的除外。</w:t>
      </w:r>
    </w:p>
    <w:p>
      <w:pPr>
        <w:pStyle w:val="164"/>
        <w:numPr>
          <w:ilvl w:val="0"/>
          <w:numId w:val="0"/>
        </w:numPr>
        <w:wordWrap/>
        <w:topLinePunct w:val="0"/>
        <w:rPr>
          <w:b w:val="0"/>
          <w:bCs/>
          <w:color w:val="auto"/>
          <w:sz w:val="24"/>
          <w:szCs w:val="24"/>
        </w:rPr>
      </w:pPr>
      <w:bookmarkStart w:id="648" w:name="_Ref531953765"/>
      <w:bookmarkStart w:id="649" w:name="_Ref531953761"/>
      <w:bookmarkStart w:id="650" w:name="_Toc54862228"/>
      <w:r>
        <w:rPr>
          <w:rFonts w:hint="eastAsia"/>
          <w:b w:val="0"/>
          <w:bCs/>
          <w:color w:val="auto"/>
          <w:sz w:val="24"/>
          <w:szCs w:val="24"/>
        </w:rPr>
        <w:t>第6条 材料、工程设备</w:t>
      </w:r>
      <w:bookmarkEnd w:id="648"/>
      <w:bookmarkEnd w:id="649"/>
      <w:bookmarkEnd w:id="650"/>
    </w:p>
    <w:p>
      <w:pPr>
        <w:pStyle w:val="315"/>
        <w:widowControl/>
        <w:numPr>
          <w:ilvl w:val="0"/>
          <w:numId w:val="0"/>
        </w:numPr>
        <w:rPr>
          <w:b w:val="0"/>
          <w:bCs/>
          <w:color w:val="auto"/>
        </w:rPr>
      </w:pPr>
      <w:bookmarkStart w:id="651" w:name="_Ref531953828"/>
      <w:bookmarkStart w:id="652" w:name="_Toc54862229"/>
      <w:bookmarkStart w:id="653" w:name="_Ref531953832"/>
      <w:r>
        <w:rPr>
          <w:rFonts w:hint="eastAsia"/>
          <w:b w:val="0"/>
          <w:bCs/>
          <w:color w:val="auto"/>
        </w:rPr>
        <w:t>6</w:t>
      </w:r>
      <w:r>
        <w:rPr>
          <w:b w:val="0"/>
          <w:bCs/>
          <w:color w:val="auto"/>
        </w:rPr>
        <w:t xml:space="preserve">.1 </w:t>
      </w:r>
      <w:r>
        <w:rPr>
          <w:rFonts w:hint="eastAsia"/>
          <w:b w:val="0"/>
          <w:bCs/>
          <w:color w:val="auto"/>
        </w:rPr>
        <w:t>实施方法</w:t>
      </w:r>
      <w:bookmarkEnd w:id="651"/>
      <w:bookmarkEnd w:id="652"/>
      <w:bookmarkEnd w:id="653"/>
      <w:r>
        <w:rPr>
          <w:rFonts w:hint="eastAsia"/>
          <w:b w:val="0"/>
          <w:bCs/>
          <w:color w:val="auto"/>
        </w:rPr>
        <w:t xml:space="preserve"> </w:t>
      </w:r>
    </w:p>
    <w:p>
      <w:pPr>
        <w:ind w:firstLine="600"/>
        <w:rPr>
          <w:rFonts w:ascii="仿宋_GB2312" w:eastAsia="仿宋_GB2312"/>
          <w:color w:val="auto"/>
          <w:sz w:val="24"/>
        </w:rPr>
      </w:pPr>
      <w:r>
        <w:rPr>
          <w:rFonts w:hint="eastAsia" w:ascii="仿宋_GB2312" w:eastAsia="仿宋_GB2312"/>
          <w:color w:val="auto"/>
          <w:sz w:val="24"/>
        </w:rPr>
        <w:t>承包人应按以下方法进行材料的加工、工程设备的采购、制造和安装、以及工程的所有其他实施作业：</w:t>
      </w:r>
    </w:p>
    <w:p>
      <w:pPr>
        <w:ind w:firstLine="600"/>
        <w:rPr>
          <w:rFonts w:ascii="仿宋_GB2312" w:eastAsia="仿宋_GB2312"/>
          <w:color w:val="auto"/>
          <w:sz w:val="24"/>
        </w:rPr>
      </w:pPr>
      <w:bookmarkStart w:id="654" w:name="_Ref531953847"/>
      <w:r>
        <w:rPr>
          <w:rFonts w:hint="eastAsia" w:ascii="仿宋_GB2312" w:eastAsia="仿宋_GB2312"/>
          <w:color w:val="auto"/>
          <w:sz w:val="24"/>
        </w:rPr>
        <w:t>（1） 按照法律规定和合同约定的方法；</w:t>
      </w:r>
      <w:bookmarkEnd w:id="654"/>
    </w:p>
    <w:p>
      <w:pPr>
        <w:ind w:firstLine="600"/>
        <w:rPr>
          <w:rFonts w:ascii="仿宋_GB2312" w:eastAsia="仿宋_GB2312"/>
          <w:color w:val="auto"/>
          <w:sz w:val="24"/>
        </w:rPr>
      </w:pPr>
      <w:r>
        <w:rPr>
          <w:rFonts w:hint="eastAsia" w:ascii="仿宋_GB2312" w:eastAsia="仿宋_GB2312"/>
          <w:color w:val="auto"/>
          <w:sz w:val="24"/>
        </w:rPr>
        <w:t>（2） 按照公认的良好行业习惯，使用恰当、审慎、先进的方法；</w:t>
      </w:r>
    </w:p>
    <w:p>
      <w:pPr>
        <w:ind w:firstLine="600"/>
        <w:rPr>
          <w:rFonts w:ascii="仿宋_GB2312" w:eastAsia="仿宋_GB2312"/>
          <w:color w:val="auto"/>
          <w:sz w:val="24"/>
        </w:rPr>
      </w:pPr>
      <w:r>
        <w:rPr>
          <w:rFonts w:hint="eastAsia" w:ascii="仿宋_GB2312" w:eastAsia="仿宋_GB2312"/>
          <w:color w:val="auto"/>
          <w:sz w:val="24"/>
        </w:rPr>
        <w:t>（3） 除专用合同条件另有规定外，应使用适当配备的实施方法、设备、设施和无危险的材料。</w:t>
      </w:r>
    </w:p>
    <w:p>
      <w:pPr>
        <w:pStyle w:val="315"/>
        <w:widowControl/>
        <w:numPr>
          <w:ilvl w:val="0"/>
          <w:numId w:val="0"/>
        </w:numPr>
        <w:rPr>
          <w:b w:val="0"/>
          <w:bCs/>
          <w:color w:val="auto"/>
        </w:rPr>
      </w:pPr>
      <w:bookmarkStart w:id="655" w:name="_Ref11926422"/>
      <w:bookmarkStart w:id="656" w:name="_Toc54862230"/>
      <w:bookmarkStart w:id="657" w:name="_Ref4427594"/>
      <w:r>
        <w:rPr>
          <w:rFonts w:hint="eastAsia"/>
          <w:b w:val="0"/>
          <w:bCs/>
          <w:color w:val="auto"/>
        </w:rPr>
        <w:t>6</w:t>
      </w:r>
      <w:r>
        <w:rPr>
          <w:b w:val="0"/>
          <w:bCs/>
          <w:color w:val="auto"/>
        </w:rPr>
        <w:t xml:space="preserve">.2 </w:t>
      </w:r>
      <w:r>
        <w:rPr>
          <w:rFonts w:hint="eastAsia"/>
          <w:b w:val="0"/>
          <w:bCs/>
          <w:color w:val="auto"/>
        </w:rPr>
        <w:t>材料和工程设备</w:t>
      </w:r>
      <w:bookmarkEnd w:id="655"/>
      <w:bookmarkEnd w:id="656"/>
    </w:p>
    <w:p>
      <w:pPr>
        <w:pStyle w:val="88"/>
        <w:numPr>
          <w:ilvl w:val="0"/>
          <w:numId w:val="0"/>
        </w:numPr>
        <w:rPr>
          <w:rFonts w:ascii="仿宋_GB2312" w:eastAsia="仿宋_GB2312"/>
          <w:color w:val="auto"/>
          <w:szCs w:val="24"/>
        </w:rPr>
      </w:pPr>
      <w:bookmarkStart w:id="658" w:name="_Ref11960295"/>
      <w:r>
        <w:rPr>
          <w:rFonts w:hint="eastAsia" w:ascii="仿宋_GB2312" w:eastAsia="仿宋_GB2312"/>
          <w:color w:val="auto"/>
          <w:szCs w:val="24"/>
        </w:rPr>
        <w:t>6</w:t>
      </w:r>
      <w:r>
        <w:rPr>
          <w:rFonts w:ascii="仿宋_GB2312" w:eastAsia="仿宋_GB2312"/>
          <w:color w:val="auto"/>
          <w:szCs w:val="24"/>
        </w:rPr>
        <w:t xml:space="preserve">.2.1 </w:t>
      </w:r>
      <w:r>
        <w:rPr>
          <w:rFonts w:hint="eastAsia" w:ascii="仿宋_GB2312" w:eastAsia="仿宋_GB2312"/>
          <w:color w:val="auto"/>
          <w:szCs w:val="24"/>
        </w:rPr>
        <w:t>发包人提供的材料和工程设备</w:t>
      </w:r>
      <w:bookmarkEnd w:id="657"/>
      <w:bookmarkEnd w:id="658"/>
    </w:p>
    <w:p>
      <w:pPr>
        <w:ind w:firstLine="600"/>
        <w:rPr>
          <w:rFonts w:ascii="仿宋_GB2312" w:eastAsia="仿宋_GB2312"/>
          <w:color w:val="auto"/>
          <w:sz w:val="24"/>
        </w:rPr>
      </w:pPr>
      <w:r>
        <w:rPr>
          <w:rFonts w:hint="eastAsia" w:ascii="仿宋_GB2312" w:eastAsia="仿宋_GB2312"/>
          <w:color w:val="auto"/>
          <w:sz w:val="24"/>
        </w:rPr>
        <w:t>发包人自行供应材料、工程设备的，应在订立合同时在专用合同条件的附件《发包人供应材料设备一览表》中明确材料、工程设备的品种、规格、型号、主要参数、数量、单价、质量等级和交接地点等。</w:t>
      </w:r>
    </w:p>
    <w:p>
      <w:pPr>
        <w:ind w:firstLine="600"/>
        <w:rPr>
          <w:rFonts w:ascii="仿宋_GB2312" w:eastAsia="仿宋_GB2312"/>
          <w:color w:val="auto"/>
          <w:sz w:val="24"/>
        </w:rPr>
      </w:pPr>
      <w:r>
        <w:rPr>
          <w:rFonts w:hint="eastAsia" w:ascii="仿宋_GB2312" w:eastAsia="仿宋_GB2312"/>
          <w:color w:val="auto"/>
          <w:sz w:val="24"/>
        </w:rPr>
        <w:t>承包人应根据项目进度计划的安排，提前28天以书面形式通知工程师供应材料与工程设备的进场计划。承包人按照第</w:t>
      </w:r>
      <w:r>
        <w:rPr>
          <w:rFonts w:ascii="仿宋_GB2312" w:eastAsia="仿宋_GB2312"/>
          <w:color w:val="auto"/>
          <w:sz w:val="24"/>
        </w:rPr>
        <w:t>8.4</w:t>
      </w:r>
      <w:r>
        <w:rPr>
          <w:rFonts w:hint="eastAsia" w:ascii="仿宋_GB2312" w:eastAsia="仿宋_GB2312"/>
          <w:color w:val="auto"/>
          <w:sz w:val="24"/>
        </w:rPr>
        <w:t>款[项目进度计划]约定修订项目进度计划时，需同时提交经修订后的发包人供应材料与工程设备的进场计划。发包人应按照上述进场计划，向承包人提交材料和工程设备。</w:t>
      </w:r>
    </w:p>
    <w:p>
      <w:pPr>
        <w:ind w:firstLine="600"/>
        <w:rPr>
          <w:rFonts w:ascii="仿宋_GB2312" w:eastAsia="仿宋_GB2312"/>
          <w:color w:val="auto"/>
          <w:sz w:val="24"/>
        </w:rPr>
      </w:pPr>
      <w:r>
        <w:rPr>
          <w:rFonts w:hint="eastAsia" w:ascii="仿宋_GB2312" w:eastAsia="仿宋_GB2312"/>
          <w:color w:val="auto"/>
          <w:sz w:val="24"/>
        </w:rPr>
        <w:t>发包人应在材料和工程设备到货7天前通知承包人，承包人应会同工程师在约定的时间内，赴交货地点共同进行验收。除专用合同条件另有约定外，发包人提供的材料和工程设备验收后，由承包人负责接收、运输和保管。</w:t>
      </w:r>
    </w:p>
    <w:p>
      <w:pPr>
        <w:ind w:firstLine="600"/>
        <w:rPr>
          <w:rFonts w:ascii="仿宋_GB2312" w:eastAsia="仿宋_GB2312"/>
          <w:color w:val="auto"/>
          <w:sz w:val="24"/>
        </w:rPr>
      </w:pPr>
      <w:r>
        <w:rPr>
          <w:rFonts w:hint="eastAsia" w:ascii="仿宋_GB2312" w:eastAsia="仿宋_GB2312"/>
          <w:color w:val="auto"/>
          <w:sz w:val="24"/>
        </w:rPr>
        <w:t>发包人需要对进场计划进行变更的，承包人不得拒绝，应根据第1</w:t>
      </w:r>
      <w:r>
        <w:rPr>
          <w:rFonts w:ascii="仿宋_GB2312" w:eastAsia="仿宋_GB2312"/>
          <w:color w:val="auto"/>
          <w:sz w:val="24"/>
        </w:rPr>
        <w:t>3</w:t>
      </w:r>
      <w:r>
        <w:rPr>
          <w:rFonts w:hint="eastAsia" w:ascii="仿宋_GB2312" w:eastAsia="仿宋_GB2312"/>
          <w:color w:val="auto"/>
          <w:sz w:val="24"/>
        </w:rPr>
        <w:t>条[变更与调整]的规定执行，并由发包人承担承包人由此增加的费用，以及引起的工期延误。承包人需要对进场计划进行变更的，应事先报请工程师批准，由此增加的费用和（或）工期延误由承包人承担。</w:t>
      </w:r>
    </w:p>
    <w:p>
      <w:pPr>
        <w:ind w:firstLine="600"/>
        <w:rPr>
          <w:rFonts w:ascii="仿宋_GB2312" w:eastAsia="仿宋_GB2312"/>
          <w:color w:val="auto"/>
          <w:sz w:val="24"/>
        </w:rPr>
      </w:pPr>
      <w:r>
        <w:rPr>
          <w:rFonts w:hint="eastAsia" w:ascii="仿宋_GB2312" w:eastAsia="仿宋_GB2312"/>
          <w:color w:val="auto"/>
          <w:sz w:val="24"/>
        </w:rPr>
        <w:t>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88"/>
        <w:numPr>
          <w:ilvl w:val="0"/>
          <w:numId w:val="0"/>
        </w:numPr>
        <w:rPr>
          <w:rFonts w:ascii="仿宋_GB2312" w:eastAsia="仿宋_GB2312"/>
          <w:color w:val="auto"/>
          <w:szCs w:val="24"/>
        </w:rPr>
      </w:pPr>
      <w:bookmarkStart w:id="659" w:name="_Ref531953918"/>
      <w:r>
        <w:rPr>
          <w:rFonts w:hint="eastAsia" w:ascii="仿宋_GB2312" w:eastAsia="仿宋_GB2312"/>
          <w:color w:val="auto"/>
          <w:szCs w:val="24"/>
        </w:rPr>
        <w:t>6</w:t>
      </w:r>
      <w:r>
        <w:rPr>
          <w:rFonts w:ascii="仿宋_GB2312" w:eastAsia="仿宋_GB2312"/>
          <w:color w:val="auto"/>
          <w:szCs w:val="24"/>
        </w:rPr>
        <w:t xml:space="preserve">.2.2 </w:t>
      </w:r>
      <w:r>
        <w:rPr>
          <w:rFonts w:hint="eastAsia" w:ascii="仿宋_GB2312" w:eastAsia="仿宋_GB2312"/>
          <w:color w:val="auto"/>
          <w:szCs w:val="24"/>
        </w:rPr>
        <w:t>承包人提供的材料和工程设备</w:t>
      </w:r>
      <w:bookmarkEnd w:id="659"/>
    </w:p>
    <w:p>
      <w:pPr>
        <w:ind w:firstLine="600"/>
        <w:rPr>
          <w:rFonts w:ascii="仿宋_GB2312" w:eastAsia="仿宋_GB2312"/>
          <w:color w:val="auto"/>
          <w:sz w:val="24"/>
        </w:rPr>
      </w:pPr>
      <w:r>
        <w:rPr>
          <w:rFonts w:hint="eastAsia" w:ascii="仿宋_GB2312" w:eastAsia="仿宋_GB2312"/>
          <w:color w:val="auto"/>
          <w:sz w:val="24"/>
        </w:rPr>
        <w:t>承包人应按照专用合同条件的约定，将各项材料和工程设备的供货人及品种、技术要求、规格、数量和供货时间等报送工程师批准。承包人应向工程师提交其负责提供的材料和工程设备的质量证明文件，并根据合同约定的质量标准，对材料、工程设备质量负责。</w:t>
      </w:r>
    </w:p>
    <w:p>
      <w:pPr>
        <w:ind w:firstLine="600"/>
        <w:rPr>
          <w:rFonts w:ascii="仿宋_GB2312" w:eastAsia="仿宋_GB2312"/>
          <w:color w:val="auto"/>
          <w:sz w:val="24"/>
        </w:rPr>
      </w:pPr>
      <w:r>
        <w:rPr>
          <w:rFonts w:hint="eastAsia" w:ascii="仿宋_GB2312" w:eastAsia="仿宋_GB2312"/>
          <w:color w:val="auto"/>
          <w:sz w:val="24"/>
        </w:rPr>
        <w:t>承包人应按照已被批准的第</w:t>
      </w:r>
      <w:r>
        <w:rPr>
          <w:rFonts w:ascii="仿宋_GB2312" w:eastAsia="仿宋_GB2312"/>
          <w:color w:val="auto"/>
          <w:sz w:val="24"/>
        </w:rPr>
        <w:t>8.4</w:t>
      </w:r>
      <w:r>
        <w:rPr>
          <w:rFonts w:hint="eastAsia" w:ascii="仿宋_GB2312" w:eastAsia="仿宋_GB2312"/>
          <w:color w:val="auto"/>
          <w:sz w:val="24"/>
        </w:rPr>
        <w:t>款[项目进度计划]规定的数量要求及时间要求，负责组织材料和工程设备采购（包括备品备件、专用工具及厂商提供的技术文件），负责运抵现场。合同约定由承包人采购的材料、工程设备，除专用合同条件另有约定外，发包人不得指定生产厂家或供应商，发包人违反本款约定指定生产厂家或供应商的，承包人有权拒绝，并由发包人承担相应责任。</w:t>
      </w:r>
    </w:p>
    <w:p>
      <w:pPr>
        <w:ind w:firstLine="600"/>
        <w:rPr>
          <w:rFonts w:ascii="仿宋_GB2312" w:eastAsia="仿宋_GB2312"/>
          <w:color w:val="auto"/>
          <w:sz w:val="24"/>
        </w:rPr>
      </w:pPr>
      <w:r>
        <w:rPr>
          <w:rFonts w:hint="eastAsia" w:ascii="仿宋_GB2312" w:eastAsia="仿宋_GB2312"/>
          <w:color w:val="auto"/>
          <w:sz w:val="24"/>
        </w:rPr>
        <w:t>对承包人提供的材料和工程设备，承包人应会同工程师进行检验和交货验收，查验材料合格证明和产品合格证书，并按合同约定和工程师指示，进行材料的抽样检验和工程设备的检验测试，检验和测试结果应提交工程师，所需费用由承包人承担。</w:t>
      </w:r>
    </w:p>
    <w:p>
      <w:pPr>
        <w:ind w:firstLine="600"/>
        <w:rPr>
          <w:rFonts w:ascii="仿宋_GB2312" w:eastAsia="仿宋_GB2312"/>
          <w:color w:val="auto"/>
          <w:sz w:val="24"/>
        </w:rPr>
      </w:pPr>
      <w:r>
        <w:rPr>
          <w:rFonts w:hint="eastAsia" w:ascii="仿宋_GB2312" w:eastAsia="仿宋_GB2312"/>
          <w:color w:val="auto"/>
          <w:sz w:val="24"/>
        </w:rPr>
        <w:t>因承包人提供的材料和工程设备不符合国家强制性标准、规范的规定或合同约定的标准、规范，所造成的质量缺陷，由承包人自费修复，竣工日期不予延长。在履行合同过程中，由于国家新颁布的强制性标准、规范，造成承包人负责提供的材料和工程设备，虽符合合同约定的标准，但不符合新颁布的强制性标准时，由承包人负责修复或重新订货，相关费用支出及导致的工期延长由发包人负责。</w:t>
      </w:r>
    </w:p>
    <w:p>
      <w:pPr>
        <w:pStyle w:val="88"/>
        <w:numPr>
          <w:ilvl w:val="0"/>
          <w:numId w:val="0"/>
        </w:numPr>
        <w:rPr>
          <w:rFonts w:ascii="仿宋_GB2312" w:eastAsia="仿宋_GB2312"/>
          <w:color w:val="auto"/>
          <w:szCs w:val="24"/>
        </w:rPr>
      </w:pPr>
      <w:bookmarkStart w:id="660" w:name="_Ref531953991"/>
      <w:bookmarkStart w:id="661" w:name="_Ref531953999"/>
      <w:r>
        <w:rPr>
          <w:rFonts w:hint="eastAsia" w:ascii="仿宋_GB2312" w:eastAsia="仿宋_GB2312"/>
          <w:color w:val="auto"/>
          <w:szCs w:val="24"/>
        </w:rPr>
        <w:t>6</w:t>
      </w:r>
      <w:r>
        <w:rPr>
          <w:rFonts w:ascii="仿宋_GB2312" w:eastAsia="仿宋_GB2312"/>
          <w:color w:val="auto"/>
          <w:szCs w:val="24"/>
        </w:rPr>
        <w:t xml:space="preserve">.2.3 </w:t>
      </w:r>
      <w:r>
        <w:rPr>
          <w:rFonts w:hint="eastAsia" w:ascii="仿宋_GB2312" w:eastAsia="仿宋_GB2312"/>
          <w:color w:val="auto"/>
          <w:szCs w:val="24"/>
        </w:rPr>
        <w:t>材料和工程设备的保管</w:t>
      </w:r>
      <w:bookmarkEnd w:id="660"/>
      <w:bookmarkEnd w:id="661"/>
      <w:r>
        <w:rPr>
          <w:rFonts w:hint="eastAsia" w:ascii="仿宋_GB2312" w:eastAsia="仿宋_GB2312"/>
          <w:color w:val="auto"/>
          <w:szCs w:val="24"/>
        </w:rPr>
        <w:t xml:space="preserve"> </w:t>
      </w:r>
    </w:p>
    <w:p>
      <w:pPr>
        <w:ind w:firstLine="600"/>
        <w:rPr>
          <w:rFonts w:ascii="仿宋_GB2312" w:eastAsia="仿宋_GB2312"/>
          <w:color w:val="auto"/>
          <w:sz w:val="24"/>
        </w:rPr>
      </w:pPr>
      <w:r>
        <w:rPr>
          <w:rFonts w:hint="eastAsia" w:ascii="仿宋_GB2312" w:eastAsia="仿宋_GB2312"/>
          <w:color w:val="auto"/>
          <w:sz w:val="24"/>
        </w:rPr>
        <w:t>（1） 发包人供应材料与工程设备的保管与使用</w:t>
      </w:r>
    </w:p>
    <w:p>
      <w:pPr>
        <w:ind w:firstLine="600"/>
        <w:rPr>
          <w:rFonts w:ascii="仿宋_GB2312" w:eastAsia="仿宋_GB2312"/>
          <w:color w:val="auto"/>
          <w:sz w:val="24"/>
        </w:rPr>
      </w:pPr>
      <w:r>
        <w:rPr>
          <w:rFonts w:hint="eastAsia" w:ascii="仿宋_GB2312" w:eastAsia="仿宋_GB2312"/>
          <w:color w:val="auto"/>
          <w:sz w:val="24"/>
        </w:rPr>
        <w:t>发包人供应的材料和工程设备，承包人清点并接收后由承包人妥善保管，保管费用由承包人承担，但专用合同条件另有约定除外。因承包人原因发生丢失毁损的，由承包人负责赔偿。</w:t>
      </w:r>
    </w:p>
    <w:p>
      <w:pPr>
        <w:ind w:firstLine="600"/>
        <w:rPr>
          <w:rFonts w:ascii="仿宋_GB2312" w:eastAsia="仿宋_GB2312"/>
          <w:color w:val="auto"/>
          <w:sz w:val="24"/>
        </w:rPr>
      </w:pPr>
      <w:r>
        <w:rPr>
          <w:rFonts w:hint="eastAsia" w:ascii="仿宋_GB2312" w:eastAsia="仿宋_GB2312"/>
          <w:color w:val="auto"/>
          <w:sz w:val="24"/>
        </w:rPr>
        <w:t>发包人供应的材料和工程设备使用前，由承包人负责必要的检验，检验费用由发包人承担，不合格的不得使用。</w:t>
      </w:r>
    </w:p>
    <w:p>
      <w:pPr>
        <w:ind w:firstLine="600"/>
        <w:rPr>
          <w:rFonts w:ascii="仿宋_GB2312" w:eastAsia="仿宋_GB2312"/>
          <w:color w:val="auto"/>
          <w:sz w:val="24"/>
        </w:rPr>
      </w:pPr>
      <w:r>
        <w:rPr>
          <w:rFonts w:hint="eastAsia" w:ascii="仿宋_GB2312" w:eastAsia="仿宋_GB2312"/>
          <w:color w:val="auto"/>
          <w:sz w:val="24"/>
        </w:rPr>
        <w:t>（2） 承包人采购材料与工程设备的保管与使用</w:t>
      </w:r>
    </w:p>
    <w:p>
      <w:pPr>
        <w:ind w:firstLine="600"/>
        <w:rPr>
          <w:rFonts w:ascii="仿宋_GB2312" w:eastAsia="仿宋_GB2312"/>
          <w:color w:val="auto"/>
          <w:sz w:val="24"/>
        </w:rPr>
      </w:pPr>
      <w:r>
        <w:rPr>
          <w:rFonts w:hint="eastAsia" w:ascii="仿宋_GB2312" w:eastAsia="仿宋_GB2312"/>
          <w:color w:val="auto"/>
          <w:sz w:val="24"/>
        </w:rPr>
        <w:t>承包人采购的材料和工程设备由承包人妥善保管，保管费用由承包人承担。合同约定或法律规定材料和工程设备使用前必须进行检验或试验的，承包人应按工程师的指示进行检验或试验，检验或试验费用由承包人承担，不合格的不得使用。</w:t>
      </w:r>
    </w:p>
    <w:p>
      <w:pPr>
        <w:ind w:firstLine="600"/>
        <w:rPr>
          <w:rFonts w:ascii="仿宋_GB2312" w:eastAsia="仿宋_GB2312"/>
          <w:color w:val="auto"/>
          <w:sz w:val="24"/>
        </w:rPr>
      </w:pPr>
      <w:r>
        <w:rPr>
          <w:rFonts w:hint="eastAsia" w:ascii="仿宋_GB2312" w:eastAsia="仿宋_GB2312"/>
          <w:color w:val="auto"/>
          <w:sz w:val="24"/>
        </w:rPr>
        <w:t>工程师发现承包人使用不符合设计或有关标准要求的材料和工程设备时，有权要求承包人进行修复、拆除或重新采购，由此增加的费用和（或）延误的工期，由承包人承担。</w:t>
      </w:r>
    </w:p>
    <w:p>
      <w:pPr>
        <w:pStyle w:val="88"/>
        <w:numPr>
          <w:ilvl w:val="0"/>
          <w:numId w:val="0"/>
        </w:numPr>
        <w:rPr>
          <w:rFonts w:ascii="仿宋_GB2312" w:eastAsia="仿宋_GB2312"/>
          <w:color w:val="auto"/>
          <w:szCs w:val="24"/>
        </w:rPr>
      </w:pPr>
      <w:r>
        <w:rPr>
          <w:rFonts w:hint="eastAsia" w:ascii="仿宋_GB2312" w:eastAsia="仿宋_GB2312"/>
          <w:color w:val="auto"/>
          <w:szCs w:val="24"/>
        </w:rPr>
        <w:t>6</w:t>
      </w:r>
      <w:r>
        <w:rPr>
          <w:rFonts w:ascii="仿宋_GB2312" w:eastAsia="仿宋_GB2312"/>
          <w:color w:val="auto"/>
          <w:szCs w:val="24"/>
        </w:rPr>
        <w:t xml:space="preserve">.2.4 </w:t>
      </w:r>
      <w:r>
        <w:rPr>
          <w:rFonts w:hint="eastAsia" w:ascii="仿宋_GB2312" w:eastAsia="仿宋_GB2312"/>
          <w:color w:val="auto"/>
          <w:szCs w:val="24"/>
        </w:rPr>
        <w:t>材料和工程设备的所有权</w:t>
      </w:r>
    </w:p>
    <w:p>
      <w:pPr>
        <w:ind w:firstLine="600"/>
        <w:rPr>
          <w:rFonts w:ascii="仿宋_GB2312" w:eastAsia="仿宋_GB2312"/>
          <w:color w:val="auto"/>
          <w:sz w:val="24"/>
        </w:rPr>
      </w:pPr>
      <w:r>
        <w:rPr>
          <w:rFonts w:hint="eastAsia" w:ascii="仿宋_GB2312" w:eastAsia="仿宋_GB2312"/>
          <w:color w:val="auto"/>
          <w:sz w:val="24"/>
        </w:rPr>
        <w:t>除本合同另有约定外，承包人根据第</w:t>
      </w:r>
      <w:r>
        <w:rPr>
          <w:rFonts w:ascii="仿宋_GB2312" w:eastAsia="仿宋_GB2312"/>
          <w:color w:val="auto"/>
          <w:sz w:val="24"/>
        </w:rPr>
        <w:t>6.2.2</w:t>
      </w:r>
      <w:r>
        <w:rPr>
          <w:rFonts w:hint="eastAsia" w:ascii="仿宋_GB2312" w:eastAsia="仿宋_GB2312"/>
          <w:color w:val="auto"/>
          <w:sz w:val="24"/>
        </w:rPr>
        <w:t>项[承包人提供的材料和工程设备]约定提供的材料和工程设备后，材料及工程设备的价款应列入第1</w:t>
      </w:r>
      <w:r>
        <w:rPr>
          <w:rFonts w:ascii="仿宋_GB2312" w:eastAsia="仿宋_GB2312"/>
          <w:color w:val="auto"/>
          <w:sz w:val="24"/>
        </w:rPr>
        <w:t>4.3.1</w:t>
      </w:r>
      <w:r>
        <w:rPr>
          <w:rFonts w:hint="eastAsia" w:ascii="仿宋_GB2312" w:eastAsia="仿宋_GB2312"/>
          <w:color w:val="auto"/>
          <w:sz w:val="24"/>
        </w:rPr>
        <w:t>项第（2）目的进度款金额中，发包人支付当期进度款之后，其所有权转为发包人所有（周转性材料除外）；在发包人接收工程前，承包人有义务对材料和工程设备进行保管、维护和保养，未经发包人批准不得运出现场。</w:t>
      </w:r>
    </w:p>
    <w:p>
      <w:pPr>
        <w:ind w:firstLine="600"/>
        <w:rPr>
          <w:rFonts w:ascii="仿宋_GB2312" w:eastAsia="仿宋_GB2312"/>
          <w:color w:val="auto"/>
          <w:sz w:val="24"/>
        </w:rPr>
      </w:pPr>
      <w:r>
        <w:rPr>
          <w:rFonts w:hint="eastAsia" w:ascii="仿宋_GB2312" w:eastAsia="仿宋_GB2312"/>
          <w:color w:val="auto"/>
          <w:sz w:val="24"/>
        </w:rPr>
        <w:t>承包人按第</w:t>
      </w:r>
      <w:r>
        <w:rPr>
          <w:rFonts w:ascii="仿宋_GB2312" w:eastAsia="仿宋_GB2312"/>
          <w:color w:val="auto"/>
          <w:sz w:val="24"/>
        </w:rPr>
        <w:t>6.2.2项提供的材料和工程设备</w:t>
      </w:r>
      <w:r>
        <w:rPr>
          <w:rFonts w:hint="eastAsia" w:ascii="仿宋_GB2312" w:eastAsia="仿宋_GB2312"/>
          <w:color w:val="auto"/>
          <w:sz w:val="24"/>
        </w:rPr>
        <w:t>，承包人应确保发包人取得无权利负担的材料及工程设备所有权，因承包人与第三人的物权争议导致的增加的费用和（或）延误的工期，由承包人承担。</w:t>
      </w:r>
    </w:p>
    <w:p>
      <w:pPr>
        <w:pStyle w:val="315"/>
        <w:widowControl/>
        <w:numPr>
          <w:ilvl w:val="0"/>
          <w:numId w:val="0"/>
        </w:numPr>
        <w:rPr>
          <w:b w:val="0"/>
          <w:bCs/>
          <w:color w:val="auto"/>
        </w:rPr>
      </w:pPr>
      <w:bookmarkStart w:id="662" w:name="_Ref4428239"/>
      <w:bookmarkStart w:id="663" w:name="_Toc54862231"/>
      <w:bookmarkStart w:id="664" w:name="_Toc351203565"/>
      <w:bookmarkStart w:id="665" w:name="_Toc337558785"/>
      <w:r>
        <w:rPr>
          <w:rFonts w:hint="eastAsia"/>
          <w:b w:val="0"/>
          <w:bCs/>
          <w:color w:val="auto"/>
        </w:rPr>
        <w:t>6</w:t>
      </w:r>
      <w:r>
        <w:rPr>
          <w:b w:val="0"/>
          <w:bCs/>
          <w:color w:val="auto"/>
        </w:rPr>
        <w:t xml:space="preserve">.3 </w:t>
      </w:r>
      <w:r>
        <w:rPr>
          <w:rFonts w:hint="eastAsia"/>
          <w:b w:val="0"/>
          <w:bCs/>
          <w:color w:val="auto"/>
        </w:rPr>
        <w:t>样品</w:t>
      </w:r>
      <w:bookmarkEnd w:id="662"/>
      <w:bookmarkEnd w:id="663"/>
    </w:p>
    <w:p>
      <w:pPr>
        <w:pStyle w:val="88"/>
        <w:numPr>
          <w:ilvl w:val="0"/>
          <w:numId w:val="0"/>
        </w:numPr>
        <w:rPr>
          <w:rFonts w:ascii="仿宋_GB2312" w:eastAsia="仿宋_GB2312"/>
          <w:color w:val="auto"/>
          <w:szCs w:val="24"/>
        </w:rPr>
      </w:pPr>
      <w:r>
        <w:rPr>
          <w:rFonts w:hint="eastAsia" w:ascii="仿宋_GB2312" w:eastAsia="仿宋_GB2312"/>
          <w:color w:val="auto"/>
          <w:szCs w:val="24"/>
        </w:rPr>
        <w:t>6</w:t>
      </w:r>
      <w:r>
        <w:rPr>
          <w:rFonts w:ascii="仿宋_GB2312" w:eastAsia="仿宋_GB2312"/>
          <w:color w:val="auto"/>
          <w:szCs w:val="24"/>
        </w:rPr>
        <w:t xml:space="preserve">.3.1 </w:t>
      </w:r>
      <w:r>
        <w:rPr>
          <w:rFonts w:hint="eastAsia" w:ascii="仿宋_GB2312" w:eastAsia="仿宋_GB2312"/>
          <w:color w:val="auto"/>
          <w:szCs w:val="24"/>
        </w:rPr>
        <w:t>样品的报送与封存</w:t>
      </w:r>
    </w:p>
    <w:p>
      <w:pPr>
        <w:ind w:firstLine="600"/>
        <w:rPr>
          <w:rFonts w:ascii="仿宋_GB2312" w:eastAsia="仿宋_GB2312"/>
          <w:color w:val="auto"/>
          <w:sz w:val="24"/>
        </w:rPr>
      </w:pPr>
      <w:r>
        <w:rPr>
          <w:rFonts w:hint="eastAsia" w:ascii="仿宋_GB2312" w:eastAsia="仿宋_GB2312"/>
          <w:color w:val="auto"/>
          <w:sz w:val="24"/>
        </w:rPr>
        <w:t>需要承包人报送样品的材料或工程设备，样品的种类、名称、规格、数量等要求均应在专用合同条件中约定。样品的报送程序如下：</w:t>
      </w:r>
    </w:p>
    <w:p>
      <w:pPr>
        <w:ind w:firstLine="600"/>
        <w:rPr>
          <w:rFonts w:ascii="仿宋_GB2312" w:eastAsia="仿宋_GB2312"/>
          <w:color w:val="auto"/>
          <w:sz w:val="24"/>
        </w:rPr>
      </w:pPr>
      <w:r>
        <w:rPr>
          <w:rFonts w:hint="eastAsia" w:ascii="仿宋_GB2312" w:eastAsia="仿宋_GB2312"/>
          <w:color w:val="auto"/>
          <w:sz w:val="24"/>
        </w:rPr>
        <w:t>（1） 承包人应在计划采购前28天向工程师报送样品。承包人报送的样品均应来自供应材料的实际生产地，且提供的样品的规格、数量足以表明材料或工程设备的质量、型号、颜色、表面处理、质地、误差和其他要求的特征。</w:t>
      </w:r>
    </w:p>
    <w:p>
      <w:pPr>
        <w:ind w:firstLine="600"/>
        <w:rPr>
          <w:rFonts w:ascii="仿宋_GB2312" w:eastAsia="仿宋_GB2312"/>
          <w:color w:val="auto"/>
          <w:sz w:val="24"/>
        </w:rPr>
      </w:pPr>
      <w:r>
        <w:rPr>
          <w:rFonts w:hint="eastAsia" w:ascii="仿宋_GB2312" w:eastAsia="仿宋_GB2312"/>
          <w:color w:val="auto"/>
          <w:sz w:val="24"/>
        </w:rPr>
        <w:t>（2） 承包人每次报送样品时应随附申报单，申报单应载明报送样品的相关数据和资料，并标明每件样品对应的图纸号，预留工程师审批意见栏。工程师应在收到承包人报送的样品后7天向承包人回复经发包人签认的样品审批意见。</w:t>
      </w:r>
    </w:p>
    <w:p>
      <w:pPr>
        <w:ind w:firstLine="600"/>
        <w:rPr>
          <w:rFonts w:ascii="仿宋_GB2312" w:eastAsia="仿宋_GB2312"/>
          <w:color w:val="auto"/>
          <w:sz w:val="24"/>
        </w:rPr>
      </w:pPr>
      <w:r>
        <w:rPr>
          <w:rFonts w:hint="eastAsia" w:ascii="仿宋_GB2312" w:eastAsia="仿宋_GB2312"/>
          <w:color w:val="auto"/>
          <w:sz w:val="24"/>
        </w:rPr>
        <w:t>（3） 经工程师审批确认的样品应按约定的方法封样，封存的样品作为检验工程相关部分的标准之一。承包人在施工过程中不得使用与样品不符的材料或工程设备。</w:t>
      </w:r>
    </w:p>
    <w:p>
      <w:pPr>
        <w:ind w:firstLine="600"/>
        <w:rPr>
          <w:rFonts w:ascii="仿宋_GB2312" w:eastAsia="仿宋_GB2312"/>
          <w:color w:val="auto"/>
          <w:sz w:val="24"/>
        </w:rPr>
      </w:pPr>
      <w:r>
        <w:rPr>
          <w:rFonts w:hint="eastAsia" w:ascii="仿宋_GB2312" w:eastAsia="仿宋_GB2312"/>
          <w:color w:val="auto"/>
          <w:sz w:val="24"/>
        </w:rPr>
        <w:t>（4） 工程师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pStyle w:val="88"/>
        <w:numPr>
          <w:ilvl w:val="0"/>
          <w:numId w:val="0"/>
        </w:numPr>
        <w:rPr>
          <w:rFonts w:ascii="仿宋_GB2312" w:eastAsia="仿宋_GB2312"/>
          <w:color w:val="auto"/>
          <w:szCs w:val="24"/>
        </w:rPr>
      </w:pPr>
      <w:r>
        <w:rPr>
          <w:rFonts w:hint="eastAsia" w:ascii="仿宋_GB2312" w:eastAsia="仿宋_GB2312"/>
          <w:color w:val="auto"/>
          <w:szCs w:val="24"/>
        </w:rPr>
        <w:t>6</w:t>
      </w:r>
      <w:r>
        <w:rPr>
          <w:rFonts w:ascii="仿宋_GB2312" w:eastAsia="仿宋_GB2312"/>
          <w:color w:val="auto"/>
          <w:szCs w:val="24"/>
        </w:rPr>
        <w:t xml:space="preserve">.3.2 </w:t>
      </w:r>
      <w:r>
        <w:rPr>
          <w:rFonts w:hint="eastAsia" w:ascii="仿宋_GB2312" w:eastAsia="仿宋_GB2312"/>
          <w:color w:val="auto"/>
          <w:szCs w:val="24"/>
        </w:rPr>
        <w:t>样品的保管</w:t>
      </w:r>
    </w:p>
    <w:p>
      <w:pPr>
        <w:ind w:firstLine="600"/>
        <w:rPr>
          <w:rFonts w:ascii="仿宋_GB2312" w:eastAsia="仿宋_GB2312"/>
          <w:color w:val="auto"/>
          <w:sz w:val="24"/>
        </w:rPr>
      </w:pPr>
      <w:r>
        <w:rPr>
          <w:rFonts w:hint="eastAsia" w:ascii="仿宋_GB2312" w:eastAsia="仿宋_GB2312"/>
          <w:color w:val="auto"/>
          <w:sz w:val="24"/>
        </w:rPr>
        <w:t>经批准的样品应由工程师负责封存于现场，承包人应在现场为保存样品提供适当和固定的场所并保持适当和良好的存储环境条件。</w:t>
      </w:r>
    </w:p>
    <w:p>
      <w:pPr>
        <w:pStyle w:val="315"/>
        <w:widowControl/>
        <w:numPr>
          <w:ilvl w:val="0"/>
          <w:numId w:val="0"/>
        </w:numPr>
        <w:rPr>
          <w:b w:val="0"/>
          <w:bCs/>
          <w:color w:val="auto"/>
        </w:rPr>
      </w:pPr>
      <w:bookmarkStart w:id="666" w:name="_Ref11959210"/>
      <w:bookmarkStart w:id="667" w:name="_Toc54862232"/>
      <w:bookmarkStart w:id="668" w:name="_Ref11959204"/>
      <w:r>
        <w:rPr>
          <w:rFonts w:hint="eastAsia"/>
          <w:b w:val="0"/>
          <w:bCs/>
          <w:color w:val="auto"/>
        </w:rPr>
        <w:t>6</w:t>
      </w:r>
      <w:r>
        <w:rPr>
          <w:b w:val="0"/>
          <w:bCs/>
          <w:color w:val="auto"/>
        </w:rPr>
        <w:t xml:space="preserve">.4 </w:t>
      </w:r>
      <w:r>
        <w:rPr>
          <w:rFonts w:hint="eastAsia"/>
          <w:b w:val="0"/>
          <w:bCs/>
          <w:color w:val="auto"/>
        </w:rPr>
        <w:t>质量检查</w:t>
      </w:r>
      <w:bookmarkEnd w:id="666"/>
      <w:bookmarkEnd w:id="667"/>
      <w:bookmarkEnd w:id="668"/>
    </w:p>
    <w:p>
      <w:pPr>
        <w:pStyle w:val="88"/>
        <w:numPr>
          <w:ilvl w:val="0"/>
          <w:numId w:val="0"/>
        </w:numPr>
        <w:rPr>
          <w:rFonts w:ascii="仿宋_GB2312" w:eastAsia="仿宋_GB2312"/>
          <w:color w:val="auto"/>
          <w:szCs w:val="24"/>
        </w:rPr>
      </w:pPr>
      <w:bookmarkStart w:id="669" w:name="_Ref18990699"/>
      <w:r>
        <w:rPr>
          <w:rFonts w:hint="eastAsia" w:ascii="仿宋_GB2312" w:eastAsia="仿宋_GB2312"/>
          <w:color w:val="auto"/>
          <w:szCs w:val="24"/>
        </w:rPr>
        <w:t>6</w:t>
      </w:r>
      <w:r>
        <w:rPr>
          <w:rFonts w:ascii="仿宋_GB2312" w:eastAsia="仿宋_GB2312"/>
          <w:color w:val="auto"/>
          <w:szCs w:val="24"/>
        </w:rPr>
        <w:t xml:space="preserve">.4.1 </w:t>
      </w:r>
      <w:r>
        <w:rPr>
          <w:rFonts w:hint="eastAsia" w:ascii="仿宋_GB2312" w:eastAsia="仿宋_GB2312"/>
          <w:color w:val="auto"/>
          <w:szCs w:val="24"/>
        </w:rPr>
        <w:t>工程质量要求</w:t>
      </w:r>
      <w:bookmarkEnd w:id="669"/>
    </w:p>
    <w:p>
      <w:pPr>
        <w:ind w:firstLine="600"/>
        <w:rPr>
          <w:rFonts w:ascii="仿宋_GB2312" w:eastAsia="仿宋_GB2312"/>
          <w:color w:val="auto"/>
          <w:sz w:val="24"/>
        </w:rPr>
      </w:pPr>
      <w:r>
        <w:rPr>
          <w:rFonts w:hint="eastAsia" w:ascii="仿宋_GB2312" w:eastAsia="仿宋_GB2312"/>
          <w:color w:val="auto"/>
          <w:sz w:val="24"/>
        </w:rPr>
        <w:t>工程质量标准必须符合现行国家有关工程施工质量验收规范和标准的要求。有关工程质量的特殊标准或要求由合同当事人在专用合同条件中约定。</w:t>
      </w:r>
    </w:p>
    <w:p>
      <w:pPr>
        <w:ind w:firstLine="600"/>
        <w:rPr>
          <w:rFonts w:ascii="仿宋_GB2312" w:eastAsia="仿宋_GB2312"/>
          <w:color w:val="auto"/>
          <w:sz w:val="24"/>
        </w:rPr>
      </w:pPr>
      <w:r>
        <w:rPr>
          <w:rFonts w:hint="eastAsia" w:ascii="仿宋_GB2312" w:eastAsia="仿宋_GB2312"/>
          <w:color w:val="auto"/>
          <w:sz w:val="24"/>
        </w:rPr>
        <w:t>因承包人原因造成工程质量未达到合同约定标准的，发包人有权要求承包人返工直至工程质量达到合同约定的标准为止，并由承包人承担由此增加的费用和（或）延误的工期。因发包人原因造成工程质量未达到合同约定标准的，由发包人承担由此增加的费用和（或）延误的工期，并支付承包人合理的利润。</w:t>
      </w:r>
    </w:p>
    <w:p>
      <w:pPr>
        <w:pStyle w:val="88"/>
        <w:numPr>
          <w:ilvl w:val="0"/>
          <w:numId w:val="0"/>
        </w:numPr>
        <w:rPr>
          <w:rFonts w:ascii="仿宋_GB2312" w:eastAsia="仿宋_GB2312"/>
          <w:color w:val="auto"/>
          <w:szCs w:val="24"/>
        </w:rPr>
      </w:pPr>
      <w:bookmarkStart w:id="670" w:name="_Ref18990717"/>
      <w:r>
        <w:rPr>
          <w:rFonts w:hint="eastAsia" w:ascii="仿宋_GB2312" w:eastAsia="仿宋_GB2312"/>
          <w:color w:val="auto"/>
          <w:szCs w:val="24"/>
        </w:rPr>
        <w:t>6</w:t>
      </w:r>
      <w:r>
        <w:rPr>
          <w:rFonts w:ascii="仿宋_GB2312" w:eastAsia="仿宋_GB2312"/>
          <w:color w:val="auto"/>
          <w:szCs w:val="24"/>
        </w:rPr>
        <w:t xml:space="preserve">.4.2 </w:t>
      </w:r>
      <w:r>
        <w:rPr>
          <w:rFonts w:hint="eastAsia" w:ascii="仿宋_GB2312" w:eastAsia="仿宋_GB2312"/>
          <w:color w:val="auto"/>
          <w:szCs w:val="24"/>
        </w:rPr>
        <w:t>质量检查</w:t>
      </w:r>
      <w:bookmarkEnd w:id="670"/>
    </w:p>
    <w:p>
      <w:pPr>
        <w:ind w:firstLine="600"/>
        <w:rPr>
          <w:rFonts w:ascii="仿宋_GB2312" w:eastAsia="仿宋_GB2312"/>
          <w:color w:val="auto"/>
          <w:sz w:val="24"/>
        </w:rPr>
      </w:pPr>
      <w:r>
        <w:rPr>
          <w:rFonts w:hint="eastAsia" w:ascii="仿宋_GB2312" w:eastAsia="仿宋_GB2312"/>
          <w:color w:val="auto"/>
          <w:sz w:val="24"/>
        </w:rPr>
        <w:t>发包人有权通过工程师或自行对全部工程内容及其施工工艺、材料和工程设备进行检查和检验。承包人应为工程师或发包人的检查和检验提供方便，包括到施工现场，或制造、加工地点，或专用合同条件约定的其他地方进行察看和查阅施工原始记录。承包人还应按工程师或发包人指示，进行施工现场的取样试验，工程复核测量和设备性能检测，提供试验样品、提交试验报告和测量成果以及工程师或发包人指示进行的其他工作。工程师或发包人的检查和检验，不免除承包人按合同约定应负的责任。</w:t>
      </w:r>
    </w:p>
    <w:p>
      <w:pPr>
        <w:pStyle w:val="88"/>
        <w:numPr>
          <w:ilvl w:val="0"/>
          <w:numId w:val="0"/>
        </w:numPr>
        <w:rPr>
          <w:rFonts w:ascii="仿宋_GB2312" w:eastAsia="仿宋_GB2312"/>
          <w:color w:val="auto"/>
          <w:szCs w:val="24"/>
        </w:rPr>
      </w:pPr>
      <w:bookmarkStart w:id="671" w:name="_Ref11959222"/>
      <w:r>
        <w:rPr>
          <w:rFonts w:hint="eastAsia" w:ascii="仿宋_GB2312" w:eastAsia="仿宋_GB2312"/>
          <w:color w:val="auto"/>
          <w:szCs w:val="24"/>
        </w:rPr>
        <w:t>6</w:t>
      </w:r>
      <w:r>
        <w:rPr>
          <w:rFonts w:ascii="仿宋_GB2312" w:eastAsia="仿宋_GB2312"/>
          <w:color w:val="auto"/>
          <w:szCs w:val="24"/>
        </w:rPr>
        <w:t xml:space="preserve">.4.3 </w:t>
      </w:r>
      <w:r>
        <w:rPr>
          <w:rFonts w:hint="eastAsia" w:ascii="仿宋_GB2312" w:eastAsia="仿宋_GB2312"/>
          <w:color w:val="auto"/>
          <w:szCs w:val="24"/>
        </w:rPr>
        <w:t>隐蔽工程检查</w:t>
      </w:r>
      <w:bookmarkEnd w:id="671"/>
    </w:p>
    <w:p>
      <w:pPr>
        <w:ind w:firstLine="600"/>
        <w:rPr>
          <w:rFonts w:ascii="仿宋_GB2312" w:eastAsia="仿宋_GB2312"/>
          <w:color w:val="auto"/>
          <w:sz w:val="24"/>
        </w:rPr>
      </w:pPr>
      <w:r>
        <w:rPr>
          <w:rFonts w:hint="eastAsia" w:ascii="仿宋_GB2312" w:eastAsia="仿宋_GB2312"/>
          <w:color w:val="auto"/>
          <w:sz w:val="24"/>
        </w:rPr>
        <w:t>除专用合同条件另有约定外，工程隐蔽部位经承包人自检确认具备覆盖条件的，承包人应书面通知工程师在约定的期限内检查，通知中应载明隐蔽检查的内容、时间和地点，并应附有自检记录和必要的检查资料。</w:t>
      </w:r>
    </w:p>
    <w:p>
      <w:pPr>
        <w:ind w:firstLine="600"/>
        <w:rPr>
          <w:rFonts w:ascii="仿宋_GB2312" w:eastAsia="仿宋_GB2312"/>
          <w:color w:val="auto"/>
          <w:sz w:val="24"/>
        </w:rPr>
      </w:pPr>
      <w:r>
        <w:rPr>
          <w:rFonts w:hint="eastAsia" w:ascii="仿宋_GB2312" w:eastAsia="仿宋_GB2312"/>
          <w:color w:val="auto"/>
          <w:sz w:val="24"/>
        </w:rPr>
        <w:t>工程师应按时到场并对隐蔽工程及其施工工艺、材料和工程设备进行检查。经工程师检查确认质量符合隐蔽要求，并在验收记录上签字后，承包人才能进行覆盖。经工程师检查质量不合格的，承包人应在工程师指示的时间内完成修复，并由工程师重新检查，由此增加的费用和（或）延误的工期由承包人承担。</w:t>
      </w:r>
    </w:p>
    <w:p>
      <w:pPr>
        <w:ind w:firstLine="600"/>
        <w:rPr>
          <w:rFonts w:ascii="仿宋_GB2312" w:eastAsia="仿宋_GB2312"/>
          <w:color w:val="auto"/>
          <w:sz w:val="24"/>
        </w:rPr>
      </w:pPr>
      <w:r>
        <w:rPr>
          <w:rFonts w:hint="eastAsia" w:ascii="仿宋_GB2312" w:eastAsia="仿宋_GB2312"/>
          <w:color w:val="auto"/>
          <w:sz w:val="24"/>
        </w:rPr>
        <w:t>除专用合同条件另有约定外，工程师不能按时进行检查的，应提前向承包人提交书面延期要求，顺延时间不得超过</w:t>
      </w:r>
      <w:r>
        <w:rPr>
          <w:rFonts w:ascii="仿宋_GB2312" w:eastAsia="仿宋_GB2312"/>
          <w:color w:val="auto"/>
          <w:sz w:val="24"/>
        </w:rPr>
        <w:t>48小时，</w:t>
      </w:r>
      <w:r>
        <w:rPr>
          <w:rFonts w:hint="eastAsia" w:ascii="仿宋_GB2312" w:eastAsia="仿宋_GB2312"/>
          <w:color w:val="auto"/>
          <w:sz w:val="24"/>
        </w:rPr>
        <w:t>由此导致工期延误的，工期应予以顺延，顺延超过</w:t>
      </w:r>
      <w:r>
        <w:rPr>
          <w:rFonts w:ascii="仿宋_GB2312" w:eastAsia="仿宋_GB2312"/>
          <w:color w:val="auto"/>
          <w:sz w:val="24"/>
        </w:rPr>
        <w:t>48小时的，由此导致的工期延误及费用增加由发包人承担</w:t>
      </w:r>
      <w:r>
        <w:rPr>
          <w:rFonts w:hint="eastAsia" w:ascii="仿宋_GB2312" w:eastAsia="仿宋_GB2312"/>
          <w:color w:val="auto"/>
          <w:sz w:val="24"/>
        </w:rPr>
        <w:t>。工程师未按时进行检查，也未提出延期要求的，视为隐蔽工程检查合格，承包人可自行完成覆盖工作，并作相应记录报送工程师，工程师应签字确认。工程师事后对检查记录有疑问的，可按下列约定重新检查。</w:t>
      </w:r>
    </w:p>
    <w:p>
      <w:pPr>
        <w:ind w:firstLine="600"/>
        <w:rPr>
          <w:rFonts w:ascii="仿宋_GB2312" w:eastAsia="仿宋_GB2312"/>
          <w:color w:val="auto"/>
          <w:sz w:val="24"/>
        </w:rPr>
      </w:pPr>
      <w:r>
        <w:rPr>
          <w:rFonts w:hint="eastAsia" w:ascii="仿宋_GB2312" w:eastAsia="仿宋_GB2312"/>
          <w:color w:val="auto"/>
          <w:sz w:val="24"/>
        </w:rPr>
        <w:t>承包人覆盖工程隐蔽部位后，工程师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ind w:firstLine="600"/>
        <w:rPr>
          <w:rFonts w:ascii="仿宋_GB2312" w:eastAsia="仿宋_GB2312"/>
          <w:color w:val="auto"/>
          <w:sz w:val="24"/>
        </w:rPr>
      </w:pPr>
      <w:r>
        <w:rPr>
          <w:rFonts w:hint="eastAsia" w:ascii="仿宋_GB2312" w:eastAsia="仿宋_GB2312"/>
          <w:color w:val="auto"/>
          <w:sz w:val="24"/>
        </w:rPr>
        <w:t>承包人未通知工程师到场检查，私自将工程隐蔽部位覆盖的，工程师有权指示承包人钻孔探测或揭开检查，无论工程隐蔽部位质量是否合格，由此增加的费用和（或）延误的工期均由承包人承担。</w:t>
      </w:r>
    </w:p>
    <w:bookmarkEnd w:id="664"/>
    <w:p>
      <w:pPr>
        <w:pStyle w:val="315"/>
        <w:widowControl/>
        <w:numPr>
          <w:ilvl w:val="0"/>
          <w:numId w:val="0"/>
        </w:numPr>
        <w:rPr>
          <w:b w:val="0"/>
          <w:bCs/>
          <w:color w:val="auto"/>
        </w:rPr>
      </w:pPr>
      <w:bookmarkStart w:id="672" w:name="_Ref11927389"/>
      <w:bookmarkStart w:id="673" w:name="_Ref11927403"/>
      <w:bookmarkStart w:id="674" w:name="_Ref11927398"/>
      <w:bookmarkStart w:id="675" w:name="_Ref11959175"/>
      <w:bookmarkStart w:id="676" w:name="_Ref11959158"/>
      <w:bookmarkStart w:id="677" w:name="_Toc54862233"/>
      <w:r>
        <w:rPr>
          <w:rFonts w:hint="eastAsia"/>
          <w:b w:val="0"/>
          <w:bCs/>
          <w:color w:val="auto"/>
        </w:rPr>
        <w:t>6</w:t>
      </w:r>
      <w:r>
        <w:rPr>
          <w:b w:val="0"/>
          <w:bCs/>
          <w:color w:val="auto"/>
        </w:rPr>
        <w:t xml:space="preserve">.5 </w:t>
      </w:r>
      <w:r>
        <w:rPr>
          <w:rFonts w:hint="eastAsia"/>
          <w:b w:val="0"/>
          <w:bCs/>
          <w:color w:val="auto"/>
        </w:rPr>
        <w:t>由承包人试验</w:t>
      </w:r>
      <w:bookmarkEnd w:id="672"/>
      <w:bookmarkEnd w:id="673"/>
      <w:bookmarkEnd w:id="674"/>
      <w:r>
        <w:rPr>
          <w:rFonts w:hint="eastAsia"/>
          <w:b w:val="0"/>
          <w:bCs/>
          <w:color w:val="auto"/>
        </w:rPr>
        <w:t>和检验</w:t>
      </w:r>
      <w:bookmarkEnd w:id="675"/>
      <w:bookmarkEnd w:id="676"/>
      <w:bookmarkEnd w:id="677"/>
    </w:p>
    <w:bookmarkEnd w:id="665"/>
    <w:p>
      <w:pPr>
        <w:pStyle w:val="88"/>
        <w:numPr>
          <w:ilvl w:val="0"/>
          <w:numId w:val="0"/>
        </w:numPr>
        <w:rPr>
          <w:rFonts w:ascii="仿宋_GB2312" w:eastAsia="仿宋_GB2312"/>
          <w:color w:val="auto"/>
          <w:szCs w:val="24"/>
        </w:rPr>
      </w:pPr>
      <w:r>
        <w:rPr>
          <w:rFonts w:hint="eastAsia" w:ascii="仿宋_GB2312" w:eastAsia="仿宋_GB2312"/>
          <w:color w:val="auto"/>
          <w:szCs w:val="24"/>
        </w:rPr>
        <w:t>6</w:t>
      </w:r>
      <w:r>
        <w:rPr>
          <w:rFonts w:ascii="仿宋_GB2312" w:eastAsia="仿宋_GB2312"/>
          <w:color w:val="auto"/>
          <w:szCs w:val="24"/>
        </w:rPr>
        <w:t xml:space="preserve">.5.1 </w:t>
      </w:r>
      <w:r>
        <w:rPr>
          <w:rFonts w:hint="eastAsia" w:ascii="仿宋_GB2312" w:eastAsia="仿宋_GB2312"/>
          <w:color w:val="auto"/>
          <w:szCs w:val="24"/>
        </w:rPr>
        <w:t>试验设备与试验人员</w:t>
      </w:r>
    </w:p>
    <w:p>
      <w:pPr>
        <w:ind w:firstLine="600"/>
        <w:rPr>
          <w:rFonts w:ascii="仿宋_GB2312" w:eastAsia="仿宋_GB2312"/>
          <w:color w:val="auto"/>
          <w:sz w:val="24"/>
        </w:rPr>
      </w:pPr>
      <w:r>
        <w:rPr>
          <w:rFonts w:hint="eastAsia" w:ascii="仿宋_GB2312" w:eastAsia="仿宋_GB2312"/>
          <w:color w:val="auto"/>
          <w:sz w:val="24"/>
        </w:rPr>
        <w:t>（1） 承包人根据合同约定或工程师指示进行的现场材料试验，应由承包人提供试验场所、试验人员、试验设备以及其他必要的试验条件。工程师在必要时可以使用承包人提供的试验场所、试验设备以及其他试验条件，进行以工程质量检查为目的的材料复核试验，承包人应予以协助。</w:t>
      </w:r>
    </w:p>
    <w:p>
      <w:pPr>
        <w:ind w:firstLine="600"/>
        <w:rPr>
          <w:rFonts w:ascii="仿宋_GB2312" w:eastAsia="仿宋_GB2312"/>
          <w:color w:val="auto"/>
          <w:sz w:val="24"/>
        </w:rPr>
      </w:pPr>
      <w:r>
        <w:rPr>
          <w:rFonts w:hint="eastAsia" w:ascii="仿宋_GB2312" w:eastAsia="仿宋_GB2312"/>
          <w:color w:val="auto"/>
          <w:sz w:val="24"/>
        </w:rPr>
        <w:t>（2） 承包人应按专用合同条件约定的试验内容、时间和地点提供试验设备、取样装置、试验场所和试验条件，并向工程师提交相应进场计划表。</w:t>
      </w:r>
    </w:p>
    <w:p>
      <w:pPr>
        <w:ind w:firstLine="600"/>
        <w:rPr>
          <w:rFonts w:ascii="仿宋_GB2312" w:eastAsia="仿宋_GB2312"/>
          <w:color w:val="auto"/>
          <w:sz w:val="24"/>
        </w:rPr>
      </w:pPr>
      <w:r>
        <w:rPr>
          <w:rFonts w:hint="eastAsia" w:ascii="仿宋_GB2312" w:eastAsia="仿宋_GB2312"/>
          <w:color w:val="auto"/>
          <w:sz w:val="24"/>
        </w:rPr>
        <w:t>承包人配置的试验设备要符合相应试验规程的要求并经过具有资质的检测单位检测，且在正式使用该试验设备前，需要经过工程师与承包人共同校定。</w:t>
      </w:r>
    </w:p>
    <w:p>
      <w:pPr>
        <w:ind w:firstLine="600"/>
        <w:rPr>
          <w:rFonts w:ascii="仿宋_GB2312" w:eastAsia="仿宋_GB2312"/>
          <w:color w:val="auto"/>
          <w:sz w:val="24"/>
        </w:rPr>
      </w:pPr>
      <w:r>
        <w:rPr>
          <w:rFonts w:hint="eastAsia" w:ascii="仿宋_GB2312" w:eastAsia="仿宋_GB2312"/>
          <w:color w:val="auto"/>
          <w:sz w:val="24"/>
        </w:rPr>
        <w:t>（3） 承包人应向工程师提交试验人员的名单及其岗位、资格等证明资料，试验人员必须能够熟练进行相应的检测试验，承包人对试验人员的试验程序和试验结果的正确性负责。</w:t>
      </w:r>
    </w:p>
    <w:p>
      <w:pPr>
        <w:pStyle w:val="88"/>
        <w:numPr>
          <w:ilvl w:val="0"/>
          <w:numId w:val="0"/>
        </w:numPr>
        <w:rPr>
          <w:rFonts w:ascii="仿宋_GB2312" w:eastAsia="仿宋_GB2312"/>
          <w:color w:val="auto"/>
          <w:szCs w:val="24"/>
        </w:rPr>
      </w:pPr>
      <w:r>
        <w:rPr>
          <w:rFonts w:hint="eastAsia" w:ascii="仿宋_GB2312" w:eastAsia="仿宋_GB2312"/>
          <w:color w:val="auto"/>
          <w:szCs w:val="24"/>
        </w:rPr>
        <w:t>6</w:t>
      </w:r>
      <w:r>
        <w:rPr>
          <w:rFonts w:ascii="仿宋_GB2312" w:eastAsia="仿宋_GB2312"/>
          <w:color w:val="auto"/>
          <w:szCs w:val="24"/>
        </w:rPr>
        <w:t xml:space="preserve">.5.2 </w:t>
      </w:r>
      <w:r>
        <w:rPr>
          <w:rFonts w:hint="eastAsia" w:ascii="仿宋_GB2312" w:eastAsia="仿宋_GB2312"/>
          <w:color w:val="auto"/>
          <w:szCs w:val="24"/>
        </w:rPr>
        <w:t>取样</w:t>
      </w:r>
    </w:p>
    <w:p>
      <w:pPr>
        <w:ind w:firstLine="600"/>
        <w:rPr>
          <w:rFonts w:ascii="仿宋_GB2312" w:eastAsia="仿宋_GB2312"/>
          <w:color w:val="auto"/>
          <w:sz w:val="24"/>
        </w:rPr>
      </w:pPr>
      <w:r>
        <w:rPr>
          <w:rFonts w:hint="eastAsia" w:ascii="仿宋_GB2312" w:eastAsia="仿宋_GB2312"/>
          <w:color w:val="auto"/>
          <w:sz w:val="24"/>
        </w:rPr>
        <w:t>试验属于自检性质的，承包人可以单独取样。试验属于工程师抽检性质的，可由工程师取样，也可由承包人的试验人员在工程师的监督下取样。</w:t>
      </w:r>
    </w:p>
    <w:p>
      <w:pPr>
        <w:pStyle w:val="88"/>
        <w:numPr>
          <w:ilvl w:val="0"/>
          <w:numId w:val="0"/>
        </w:numPr>
        <w:rPr>
          <w:rFonts w:ascii="仿宋_GB2312" w:eastAsia="仿宋_GB2312"/>
          <w:color w:val="auto"/>
          <w:szCs w:val="24"/>
        </w:rPr>
      </w:pPr>
      <w:r>
        <w:rPr>
          <w:rFonts w:hint="eastAsia" w:ascii="仿宋_GB2312" w:eastAsia="仿宋_GB2312"/>
          <w:color w:val="auto"/>
          <w:szCs w:val="24"/>
        </w:rPr>
        <w:t>6</w:t>
      </w:r>
      <w:r>
        <w:rPr>
          <w:rFonts w:ascii="仿宋_GB2312" w:eastAsia="仿宋_GB2312"/>
          <w:color w:val="auto"/>
          <w:szCs w:val="24"/>
        </w:rPr>
        <w:t xml:space="preserve">.5.3 </w:t>
      </w:r>
      <w:r>
        <w:rPr>
          <w:rFonts w:hint="eastAsia" w:ascii="仿宋_GB2312" w:eastAsia="仿宋_GB2312"/>
          <w:color w:val="auto"/>
          <w:szCs w:val="24"/>
        </w:rPr>
        <w:t>材料、工程设备和工程的试验和检验</w:t>
      </w:r>
    </w:p>
    <w:p>
      <w:pPr>
        <w:ind w:firstLine="600"/>
        <w:rPr>
          <w:rFonts w:ascii="仿宋_GB2312" w:eastAsia="仿宋_GB2312"/>
          <w:color w:val="auto"/>
          <w:sz w:val="24"/>
        </w:rPr>
      </w:pPr>
      <w:r>
        <w:rPr>
          <w:rFonts w:hint="eastAsia" w:ascii="仿宋_GB2312" w:eastAsia="仿宋_GB2312"/>
          <w:color w:val="auto"/>
          <w:sz w:val="24"/>
        </w:rPr>
        <w:t>（1） 承包人应按合同约定进行材料和工程设备的试验和检验，并为工程师对上述材料、工程设备和工程的质量检查提供必要的试验资料和原始记录。按合同约定应由工程师与承包人共同进行试验和检验的，由承包人负责提供必要的试验资料和原始记录。</w:t>
      </w:r>
    </w:p>
    <w:p>
      <w:pPr>
        <w:ind w:firstLine="600"/>
        <w:rPr>
          <w:rFonts w:ascii="仿宋_GB2312" w:eastAsia="仿宋_GB2312"/>
          <w:color w:val="auto"/>
          <w:sz w:val="24"/>
        </w:rPr>
      </w:pPr>
      <w:r>
        <w:rPr>
          <w:rFonts w:hint="eastAsia" w:ascii="仿宋_GB2312" w:eastAsia="仿宋_GB2312"/>
          <w:color w:val="auto"/>
          <w:sz w:val="24"/>
        </w:rPr>
        <w:t>（2） 试验属于自检性质的，承包人可以单独进行试验。试验属于工程师抽检性质的，工程师可以单独进行试验，也可由承包人与工程师共同进行。承包人对由工程师单独进行的试验结果有异议的，可以申请重新共同进行试验。约定共同进行试验的，工程师未按照约定参加试验的，承包人可自行试验，并将试验结果报送工程师，工程师应承认该试验结果。</w:t>
      </w:r>
    </w:p>
    <w:p>
      <w:pPr>
        <w:ind w:firstLine="600"/>
        <w:rPr>
          <w:rFonts w:ascii="仿宋_GB2312" w:eastAsia="仿宋_GB2312"/>
          <w:color w:val="auto"/>
          <w:sz w:val="24"/>
        </w:rPr>
      </w:pPr>
      <w:r>
        <w:rPr>
          <w:rFonts w:hint="eastAsia" w:ascii="仿宋_GB2312" w:eastAsia="仿宋_GB2312"/>
          <w:color w:val="auto"/>
          <w:sz w:val="24"/>
        </w:rPr>
        <w:t>（3） 工程师对承包人的试验和检验结果有异议的，或为查清承包人试验和检验成果的可靠性要求承包人重新试验和检验的，可由工程师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88"/>
        <w:numPr>
          <w:ilvl w:val="0"/>
          <w:numId w:val="0"/>
        </w:numPr>
        <w:rPr>
          <w:rFonts w:ascii="仿宋_GB2312" w:eastAsia="仿宋_GB2312"/>
          <w:color w:val="auto"/>
          <w:szCs w:val="24"/>
        </w:rPr>
      </w:pPr>
      <w:bookmarkStart w:id="678" w:name="_Toc351203566"/>
      <w:bookmarkStart w:id="679" w:name="_Toc337558786"/>
      <w:r>
        <w:rPr>
          <w:rFonts w:hint="eastAsia" w:ascii="仿宋_GB2312" w:eastAsia="仿宋_GB2312"/>
          <w:color w:val="auto"/>
          <w:szCs w:val="24"/>
        </w:rPr>
        <w:t>6</w:t>
      </w:r>
      <w:r>
        <w:rPr>
          <w:rFonts w:ascii="仿宋_GB2312" w:eastAsia="仿宋_GB2312"/>
          <w:color w:val="auto"/>
          <w:szCs w:val="24"/>
        </w:rPr>
        <w:t xml:space="preserve">.5.4 </w:t>
      </w:r>
      <w:r>
        <w:rPr>
          <w:rFonts w:hint="eastAsia" w:ascii="仿宋_GB2312" w:eastAsia="仿宋_GB2312"/>
          <w:color w:val="auto"/>
          <w:szCs w:val="24"/>
        </w:rPr>
        <w:t>现场工艺试验</w:t>
      </w:r>
      <w:bookmarkEnd w:id="678"/>
    </w:p>
    <w:bookmarkEnd w:id="679"/>
    <w:p>
      <w:pPr>
        <w:ind w:firstLine="600"/>
        <w:rPr>
          <w:rFonts w:ascii="仿宋_GB2312" w:eastAsia="仿宋_GB2312"/>
          <w:color w:val="auto"/>
          <w:sz w:val="24"/>
        </w:rPr>
      </w:pPr>
      <w:r>
        <w:rPr>
          <w:rFonts w:hint="eastAsia" w:ascii="仿宋_GB2312" w:eastAsia="仿宋_GB2312"/>
          <w:color w:val="auto"/>
          <w:sz w:val="24"/>
        </w:rPr>
        <w:t>承包人应按合同约定进行现场工艺试验。对大型的现场工艺试验，发包人认为必要时，承包人应根据发包人提出的工艺试验要求，编制工艺试验措施计划，报送发包人审查。</w:t>
      </w:r>
    </w:p>
    <w:p>
      <w:pPr>
        <w:pStyle w:val="315"/>
        <w:widowControl/>
        <w:numPr>
          <w:ilvl w:val="0"/>
          <w:numId w:val="0"/>
        </w:numPr>
        <w:rPr>
          <w:b w:val="0"/>
          <w:bCs/>
          <w:color w:val="auto"/>
        </w:rPr>
      </w:pPr>
      <w:bookmarkStart w:id="680" w:name="_Ref532592784"/>
      <w:bookmarkStart w:id="681" w:name="_Ref532592787"/>
      <w:bookmarkStart w:id="682" w:name="_Toc54862234"/>
      <w:r>
        <w:rPr>
          <w:rFonts w:hint="eastAsia"/>
          <w:b w:val="0"/>
          <w:bCs/>
          <w:color w:val="auto"/>
        </w:rPr>
        <w:t>6</w:t>
      </w:r>
      <w:r>
        <w:rPr>
          <w:b w:val="0"/>
          <w:bCs/>
          <w:color w:val="auto"/>
        </w:rPr>
        <w:t xml:space="preserve">.6 </w:t>
      </w:r>
      <w:r>
        <w:rPr>
          <w:rFonts w:hint="eastAsia"/>
          <w:b w:val="0"/>
          <w:bCs/>
          <w:color w:val="auto"/>
        </w:rPr>
        <w:t>缺陷和修补</w:t>
      </w:r>
      <w:bookmarkEnd w:id="680"/>
      <w:bookmarkEnd w:id="681"/>
      <w:bookmarkEnd w:id="682"/>
    </w:p>
    <w:p>
      <w:pPr>
        <w:pStyle w:val="88"/>
        <w:numPr>
          <w:ilvl w:val="0"/>
          <w:numId w:val="0"/>
        </w:numPr>
        <w:rPr>
          <w:rFonts w:ascii="仿宋_GB2312" w:eastAsia="仿宋_GB2312"/>
          <w:color w:val="auto"/>
          <w:szCs w:val="24"/>
        </w:rPr>
      </w:pPr>
      <w:bookmarkStart w:id="683" w:name="_Ref16875551"/>
      <w:r>
        <w:rPr>
          <w:rFonts w:hint="eastAsia" w:ascii="仿宋_GB2312" w:eastAsia="仿宋_GB2312"/>
          <w:color w:val="auto"/>
          <w:szCs w:val="24"/>
        </w:rPr>
        <w:t>6</w:t>
      </w:r>
      <w:r>
        <w:rPr>
          <w:rFonts w:ascii="仿宋_GB2312" w:eastAsia="仿宋_GB2312"/>
          <w:color w:val="auto"/>
          <w:szCs w:val="24"/>
        </w:rPr>
        <w:t xml:space="preserve">.6.1 </w:t>
      </w:r>
      <w:r>
        <w:rPr>
          <w:rFonts w:hint="eastAsia" w:ascii="仿宋_GB2312" w:eastAsia="仿宋_GB2312"/>
          <w:color w:val="auto"/>
          <w:szCs w:val="24"/>
        </w:rPr>
        <w:t>发包人可在颁发接收证书前随时指示承包人：</w:t>
      </w:r>
      <w:bookmarkEnd w:id="683"/>
    </w:p>
    <w:p>
      <w:pPr>
        <w:ind w:firstLine="600"/>
        <w:rPr>
          <w:rFonts w:ascii="仿宋_GB2312" w:eastAsia="仿宋_GB2312"/>
          <w:color w:val="auto"/>
          <w:sz w:val="24"/>
        </w:rPr>
      </w:pPr>
      <w:r>
        <w:rPr>
          <w:rFonts w:hint="eastAsia" w:ascii="仿宋_GB2312" w:eastAsia="仿宋_GB2312"/>
          <w:color w:val="auto"/>
          <w:sz w:val="24"/>
        </w:rPr>
        <w:t>（1） 对不符合合同要求的任何工程设备或材料进行修补，或者将其移出现场并进行更换；</w:t>
      </w:r>
    </w:p>
    <w:p>
      <w:pPr>
        <w:ind w:firstLine="600"/>
        <w:rPr>
          <w:rFonts w:ascii="仿宋_GB2312" w:eastAsia="仿宋_GB2312"/>
          <w:color w:val="auto"/>
          <w:sz w:val="24"/>
        </w:rPr>
      </w:pPr>
      <w:r>
        <w:rPr>
          <w:rFonts w:hint="eastAsia" w:ascii="仿宋_GB2312" w:eastAsia="仿宋_GB2312"/>
          <w:color w:val="auto"/>
          <w:sz w:val="24"/>
        </w:rPr>
        <w:t xml:space="preserve">（2） 对不符合合同的其他工作进行修补，或者将其去除并重新实施； </w:t>
      </w:r>
    </w:p>
    <w:p>
      <w:pPr>
        <w:ind w:firstLine="600"/>
        <w:rPr>
          <w:rFonts w:ascii="仿宋_GB2312" w:eastAsia="仿宋_GB2312"/>
          <w:color w:val="auto"/>
          <w:sz w:val="24"/>
        </w:rPr>
      </w:pPr>
      <w:bookmarkStart w:id="684" w:name="_Ref4708991"/>
      <w:r>
        <w:rPr>
          <w:rFonts w:hint="eastAsia" w:ascii="仿宋_GB2312" w:eastAsia="仿宋_GB2312"/>
          <w:color w:val="auto"/>
          <w:sz w:val="24"/>
        </w:rPr>
        <w:t>（3） 实施因意外、不可预见的事件或其他原因引起的、为工程的安全迫切需要的任何修补工作。</w:t>
      </w:r>
      <w:bookmarkEnd w:id="684"/>
    </w:p>
    <w:p>
      <w:pPr>
        <w:pStyle w:val="88"/>
        <w:numPr>
          <w:ilvl w:val="0"/>
          <w:numId w:val="0"/>
        </w:numPr>
        <w:rPr>
          <w:rFonts w:ascii="仿宋_GB2312" w:eastAsia="仿宋_GB2312"/>
          <w:color w:val="auto"/>
          <w:szCs w:val="24"/>
        </w:rPr>
      </w:pPr>
      <w:bookmarkStart w:id="685" w:name="_Ref11956964"/>
      <w:r>
        <w:rPr>
          <w:rFonts w:hint="eastAsia" w:ascii="仿宋_GB2312" w:eastAsia="仿宋_GB2312"/>
          <w:color w:val="auto"/>
          <w:szCs w:val="24"/>
        </w:rPr>
        <w:t>6</w:t>
      </w:r>
      <w:r>
        <w:rPr>
          <w:rFonts w:ascii="仿宋_GB2312" w:eastAsia="仿宋_GB2312"/>
          <w:color w:val="auto"/>
          <w:szCs w:val="24"/>
        </w:rPr>
        <w:t xml:space="preserve">.6.2 </w:t>
      </w:r>
      <w:r>
        <w:rPr>
          <w:rFonts w:hint="eastAsia" w:ascii="仿宋_GB2312" w:eastAsia="仿宋_GB2312"/>
          <w:color w:val="auto"/>
          <w:szCs w:val="24"/>
        </w:rPr>
        <w:t>承包人应遵守第</w:t>
      </w:r>
      <w:r>
        <w:rPr>
          <w:rFonts w:ascii="仿宋_GB2312" w:eastAsia="仿宋_GB2312"/>
          <w:color w:val="auto"/>
          <w:szCs w:val="24"/>
        </w:rPr>
        <w:t>6.6.1项下</w:t>
      </w:r>
      <w:r>
        <w:rPr>
          <w:rFonts w:hint="eastAsia" w:ascii="仿宋_GB2312" w:eastAsia="仿宋_GB2312"/>
          <w:color w:val="auto"/>
          <w:szCs w:val="24"/>
        </w:rPr>
        <w:t>指示，并在合理可行的情况下，根据上述指示中规定的时间完成修补工作。除因下列原因引起的第</w:t>
      </w:r>
      <w:r>
        <w:rPr>
          <w:rFonts w:ascii="仿宋_GB2312" w:eastAsia="仿宋_GB2312"/>
          <w:color w:val="auto"/>
          <w:szCs w:val="24"/>
        </w:rPr>
        <w:t>6.6.1</w:t>
      </w:r>
      <w:r>
        <w:rPr>
          <w:rFonts w:hint="eastAsia" w:ascii="仿宋_GB2312" w:eastAsia="仿宋_GB2312"/>
          <w:color w:val="auto"/>
          <w:szCs w:val="24"/>
        </w:rPr>
        <w:t>项第（3）目下的情形外，承包人应承担所有修补工作的费用：</w:t>
      </w:r>
      <w:bookmarkEnd w:id="685"/>
    </w:p>
    <w:p>
      <w:pPr>
        <w:ind w:firstLine="600"/>
        <w:rPr>
          <w:rFonts w:ascii="仿宋_GB2312" w:eastAsia="仿宋_GB2312"/>
          <w:color w:val="auto"/>
          <w:sz w:val="24"/>
        </w:rPr>
      </w:pPr>
      <w:r>
        <w:rPr>
          <w:rFonts w:hint="eastAsia" w:ascii="仿宋_GB2312" w:eastAsia="仿宋_GB2312"/>
          <w:color w:val="auto"/>
          <w:sz w:val="24"/>
        </w:rPr>
        <w:t>（1） 因发包人或其人员的任何行为导致的情形，且在此情况下发包人应承担因此引起的工期延误和承包人费用损失，并向承包人支付合理的利润。</w:t>
      </w:r>
    </w:p>
    <w:p>
      <w:pPr>
        <w:ind w:firstLine="600"/>
        <w:rPr>
          <w:rFonts w:ascii="仿宋_GB2312" w:eastAsia="仿宋_GB2312"/>
          <w:color w:val="auto"/>
          <w:sz w:val="24"/>
        </w:rPr>
      </w:pPr>
      <w:r>
        <w:rPr>
          <w:rFonts w:hint="eastAsia" w:ascii="仿宋_GB2312" w:eastAsia="仿宋_GB2312"/>
          <w:color w:val="auto"/>
          <w:sz w:val="24"/>
        </w:rPr>
        <w:t>（2） 第</w:t>
      </w:r>
      <w:r>
        <w:rPr>
          <w:rFonts w:ascii="仿宋_GB2312" w:eastAsia="仿宋_GB2312"/>
          <w:color w:val="auto"/>
          <w:sz w:val="24"/>
        </w:rPr>
        <w:t>17.4</w:t>
      </w:r>
      <w:r>
        <w:rPr>
          <w:rFonts w:hint="eastAsia" w:ascii="仿宋_GB2312" w:eastAsia="仿宋_GB2312"/>
          <w:color w:val="auto"/>
          <w:sz w:val="24"/>
        </w:rPr>
        <w:t>款[</w:t>
      </w:r>
      <w:r>
        <w:rPr>
          <w:rFonts w:ascii="仿宋_GB2312" w:eastAsia="仿宋_GB2312"/>
          <w:color w:val="auto"/>
          <w:sz w:val="24"/>
        </w:rPr>
        <w:t>不可抗力后果</w:t>
      </w:r>
      <w:r>
        <w:rPr>
          <w:rFonts w:hint="eastAsia" w:ascii="仿宋_GB2312" w:eastAsia="仿宋_GB2312"/>
          <w:color w:val="auto"/>
          <w:sz w:val="24"/>
        </w:rPr>
        <w:t>的</w:t>
      </w:r>
      <w:r>
        <w:rPr>
          <w:rFonts w:ascii="仿宋_GB2312" w:eastAsia="仿宋_GB2312"/>
          <w:color w:val="auto"/>
          <w:sz w:val="24"/>
        </w:rPr>
        <w:t>承担</w:t>
      </w:r>
      <w:r>
        <w:rPr>
          <w:rFonts w:hint="eastAsia" w:ascii="仿宋_GB2312" w:eastAsia="仿宋_GB2312"/>
          <w:color w:val="auto"/>
          <w:sz w:val="24"/>
        </w:rPr>
        <w:t>]中适用的不可抗力事件的情形。</w:t>
      </w:r>
    </w:p>
    <w:p>
      <w:pPr>
        <w:pStyle w:val="88"/>
        <w:numPr>
          <w:ilvl w:val="0"/>
          <w:numId w:val="0"/>
        </w:numPr>
        <w:rPr>
          <w:rFonts w:ascii="仿宋_GB2312" w:eastAsia="仿宋_GB2312"/>
          <w:color w:val="auto"/>
          <w:szCs w:val="24"/>
        </w:rPr>
      </w:pPr>
      <w:r>
        <w:rPr>
          <w:rFonts w:hint="eastAsia" w:ascii="仿宋_GB2312" w:eastAsia="仿宋_GB2312"/>
          <w:color w:val="auto"/>
          <w:szCs w:val="24"/>
        </w:rPr>
        <w:t>6</w:t>
      </w:r>
      <w:r>
        <w:rPr>
          <w:rFonts w:ascii="仿宋_GB2312" w:eastAsia="仿宋_GB2312"/>
          <w:color w:val="auto"/>
          <w:szCs w:val="24"/>
        </w:rPr>
        <w:t xml:space="preserve">.6.3 </w:t>
      </w:r>
      <w:r>
        <w:rPr>
          <w:rFonts w:hint="eastAsia" w:ascii="仿宋_GB2312" w:eastAsia="仿宋_GB2312"/>
          <w:color w:val="auto"/>
          <w:szCs w:val="24"/>
        </w:rPr>
        <w:t>如果承包人未能遵守发包人的指示，发包人可以自行决定请第三方完成上述修补工作，并有权要求承包人支付因未履行指示而产生的所有费用，但承包人根据第</w:t>
      </w:r>
      <w:r>
        <w:rPr>
          <w:rFonts w:ascii="仿宋_GB2312" w:eastAsia="仿宋_GB2312"/>
          <w:color w:val="auto"/>
          <w:szCs w:val="24"/>
        </w:rPr>
        <w:t>6.6.2</w:t>
      </w:r>
      <w:r>
        <w:rPr>
          <w:rFonts w:hint="eastAsia" w:ascii="仿宋_GB2312" w:eastAsia="仿宋_GB2312"/>
          <w:color w:val="auto"/>
          <w:szCs w:val="24"/>
        </w:rPr>
        <w:t>项有权就修补工作获得支付的情况除外。</w:t>
      </w:r>
    </w:p>
    <w:p>
      <w:pPr>
        <w:pStyle w:val="164"/>
        <w:numPr>
          <w:ilvl w:val="0"/>
          <w:numId w:val="0"/>
        </w:numPr>
        <w:wordWrap/>
        <w:topLinePunct w:val="0"/>
        <w:rPr>
          <w:b w:val="0"/>
          <w:bCs/>
          <w:color w:val="auto"/>
          <w:sz w:val="24"/>
          <w:szCs w:val="24"/>
        </w:rPr>
      </w:pPr>
      <w:bookmarkStart w:id="686" w:name="_Toc54862235"/>
      <w:bookmarkStart w:id="687" w:name="_Ref531954214"/>
      <w:r>
        <w:rPr>
          <w:rFonts w:hint="eastAsia"/>
          <w:b w:val="0"/>
          <w:bCs/>
          <w:color w:val="auto"/>
          <w:sz w:val="24"/>
          <w:szCs w:val="24"/>
        </w:rPr>
        <w:t>第7条 施工</w:t>
      </w:r>
      <w:bookmarkEnd w:id="686"/>
      <w:bookmarkEnd w:id="687"/>
    </w:p>
    <w:p>
      <w:pPr>
        <w:pStyle w:val="315"/>
        <w:widowControl/>
        <w:numPr>
          <w:ilvl w:val="0"/>
          <w:numId w:val="0"/>
        </w:numPr>
        <w:rPr>
          <w:b w:val="0"/>
          <w:bCs/>
          <w:color w:val="auto"/>
        </w:rPr>
      </w:pPr>
      <w:bookmarkStart w:id="688" w:name="_Ref531954276"/>
      <w:bookmarkStart w:id="689" w:name="_Ref531954272"/>
      <w:bookmarkStart w:id="690" w:name="_Toc54862236"/>
      <w:bookmarkStart w:id="691" w:name="_Ref531954246"/>
      <w:bookmarkStart w:id="692" w:name="_Ref531954260"/>
      <w:r>
        <w:rPr>
          <w:rFonts w:hint="eastAsia"/>
          <w:b w:val="0"/>
          <w:bCs/>
          <w:color w:val="auto"/>
        </w:rPr>
        <w:t>7</w:t>
      </w:r>
      <w:r>
        <w:rPr>
          <w:b w:val="0"/>
          <w:bCs/>
          <w:color w:val="auto"/>
        </w:rPr>
        <w:t xml:space="preserve">.1 </w:t>
      </w:r>
      <w:r>
        <w:rPr>
          <w:rFonts w:hint="eastAsia"/>
          <w:b w:val="0"/>
          <w:bCs/>
          <w:color w:val="auto"/>
        </w:rPr>
        <w:t>交通运输</w:t>
      </w:r>
      <w:bookmarkEnd w:id="688"/>
      <w:bookmarkEnd w:id="689"/>
      <w:bookmarkEnd w:id="690"/>
      <w:r>
        <w:rPr>
          <w:rFonts w:hint="eastAsia"/>
          <w:b w:val="0"/>
          <w:bCs/>
          <w:color w:val="auto"/>
        </w:rPr>
        <w:t xml:space="preserve"> </w:t>
      </w:r>
    </w:p>
    <w:p>
      <w:pPr>
        <w:pStyle w:val="88"/>
        <w:numPr>
          <w:ilvl w:val="0"/>
          <w:numId w:val="0"/>
        </w:numPr>
        <w:rPr>
          <w:rFonts w:ascii="仿宋_GB2312" w:eastAsia="仿宋_GB2312"/>
          <w:color w:val="auto"/>
          <w:szCs w:val="24"/>
        </w:rPr>
      </w:pPr>
      <w:bookmarkStart w:id="693" w:name="_Ref4422645"/>
      <w:r>
        <w:rPr>
          <w:rFonts w:hint="eastAsia" w:ascii="仿宋_GB2312" w:eastAsia="仿宋_GB2312"/>
          <w:color w:val="auto"/>
          <w:szCs w:val="24"/>
        </w:rPr>
        <w:t>7</w:t>
      </w:r>
      <w:r>
        <w:rPr>
          <w:rFonts w:ascii="仿宋_GB2312" w:eastAsia="仿宋_GB2312"/>
          <w:color w:val="auto"/>
          <w:szCs w:val="24"/>
        </w:rPr>
        <w:t xml:space="preserve">.1.1 </w:t>
      </w:r>
      <w:r>
        <w:rPr>
          <w:rFonts w:hint="eastAsia" w:ascii="仿宋_GB2312" w:eastAsia="仿宋_GB2312"/>
          <w:color w:val="auto"/>
          <w:szCs w:val="24"/>
        </w:rPr>
        <w:t>出入现场的权利</w:t>
      </w:r>
      <w:bookmarkEnd w:id="693"/>
    </w:p>
    <w:p>
      <w:pPr>
        <w:ind w:firstLine="600"/>
        <w:rPr>
          <w:rFonts w:ascii="仿宋_GB2312" w:eastAsia="仿宋_GB2312"/>
          <w:color w:val="auto"/>
          <w:sz w:val="24"/>
        </w:rPr>
      </w:pPr>
      <w:r>
        <w:rPr>
          <w:rFonts w:hint="eastAsia" w:ascii="仿宋_GB2312" w:eastAsia="仿宋_GB2312"/>
          <w:color w:val="auto"/>
          <w:sz w:val="24"/>
        </w:rPr>
        <w:t>除专用合同条件另有约定外，发包人应根据工程实施需要，负责取得出入施工现场所需的批准手续和全部权利，以及取得因工程实施所需修建道路、桥梁以及其他基础设施的权利，并承担相关手续费用和建设费用。承包人应协助发包人办理修建场内外道路、桥梁以及其他基础设施的手续。</w:t>
      </w:r>
    </w:p>
    <w:p>
      <w:pPr>
        <w:pStyle w:val="88"/>
        <w:numPr>
          <w:ilvl w:val="0"/>
          <w:numId w:val="0"/>
        </w:numPr>
        <w:rPr>
          <w:rFonts w:ascii="仿宋_GB2312" w:eastAsia="仿宋_GB2312"/>
          <w:color w:val="auto"/>
          <w:szCs w:val="24"/>
        </w:rPr>
      </w:pPr>
      <w:bookmarkStart w:id="694" w:name="_Ref18957045"/>
      <w:r>
        <w:rPr>
          <w:rFonts w:hint="eastAsia" w:ascii="仿宋_GB2312" w:eastAsia="仿宋_GB2312"/>
          <w:color w:val="auto"/>
          <w:szCs w:val="24"/>
        </w:rPr>
        <w:t>7</w:t>
      </w:r>
      <w:r>
        <w:rPr>
          <w:rFonts w:ascii="仿宋_GB2312" w:eastAsia="仿宋_GB2312"/>
          <w:color w:val="auto"/>
          <w:szCs w:val="24"/>
        </w:rPr>
        <w:t xml:space="preserve">.1.2 </w:t>
      </w:r>
      <w:r>
        <w:rPr>
          <w:rFonts w:hint="eastAsia" w:ascii="仿宋_GB2312" w:eastAsia="仿宋_GB2312"/>
          <w:color w:val="auto"/>
          <w:szCs w:val="24"/>
        </w:rPr>
        <w:t>场外交通</w:t>
      </w:r>
      <w:bookmarkEnd w:id="694"/>
    </w:p>
    <w:p>
      <w:pPr>
        <w:ind w:firstLine="600"/>
        <w:rPr>
          <w:rFonts w:ascii="仿宋_GB2312" w:eastAsia="仿宋_GB2312"/>
          <w:color w:val="auto"/>
          <w:sz w:val="24"/>
        </w:rPr>
      </w:pPr>
      <w:r>
        <w:rPr>
          <w:rFonts w:hint="eastAsia" w:ascii="仿宋_GB2312" w:eastAsia="仿宋_GB2312"/>
          <w:color w:val="auto"/>
          <w:sz w:val="24"/>
        </w:rPr>
        <w:t>除专用合同条件另有约定外，发包人应提供场外交通设施的技术参数和具体条件，场外交通设施无法满足工程施工需要的，由发包人负责承担由此产生的相关费用。承包人应遵守有关交通法规，严格按照道路和桥梁的限制荷载行驶，执行有关道路限速、限行、禁止超载的规定，并配合交通管理部门的监督和检查。承包人车辆外出行驶所需的场外公共道路的通行费、养路费和税款等由承包人承担。</w:t>
      </w:r>
    </w:p>
    <w:p>
      <w:pPr>
        <w:pStyle w:val="88"/>
        <w:numPr>
          <w:ilvl w:val="0"/>
          <w:numId w:val="0"/>
        </w:numPr>
        <w:rPr>
          <w:rFonts w:ascii="仿宋_GB2312" w:eastAsia="仿宋_GB2312"/>
          <w:color w:val="auto"/>
          <w:szCs w:val="24"/>
        </w:rPr>
      </w:pPr>
      <w:bookmarkStart w:id="695" w:name="_Ref4622358"/>
      <w:r>
        <w:rPr>
          <w:rFonts w:hint="eastAsia" w:ascii="仿宋_GB2312" w:eastAsia="仿宋_GB2312"/>
          <w:color w:val="auto"/>
          <w:szCs w:val="24"/>
        </w:rPr>
        <w:t>7</w:t>
      </w:r>
      <w:r>
        <w:rPr>
          <w:rFonts w:ascii="仿宋_GB2312" w:eastAsia="仿宋_GB2312"/>
          <w:color w:val="auto"/>
          <w:szCs w:val="24"/>
        </w:rPr>
        <w:t xml:space="preserve">.1.3 </w:t>
      </w:r>
      <w:r>
        <w:rPr>
          <w:rFonts w:hint="eastAsia" w:ascii="仿宋_GB2312" w:eastAsia="仿宋_GB2312"/>
          <w:color w:val="auto"/>
          <w:szCs w:val="24"/>
        </w:rPr>
        <w:t>场内交通</w:t>
      </w:r>
      <w:bookmarkEnd w:id="695"/>
    </w:p>
    <w:p>
      <w:pPr>
        <w:ind w:firstLine="600"/>
        <w:rPr>
          <w:rFonts w:ascii="仿宋_GB2312" w:eastAsia="仿宋_GB2312"/>
          <w:color w:val="auto"/>
          <w:sz w:val="24"/>
        </w:rPr>
      </w:pPr>
      <w:r>
        <w:rPr>
          <w:rFonts w:hint="eastAsia" w:ascii="仿宋_GB2312" w:eastAsia="仿宋_GB2312"/>
          <w:color w:val="auto"/>
          <w:sz w:val="24"/>
        </w:rPr>
        <w:t>除专用合同条件另有约定外，承包人应负责修建、维修、养护和管理施工所需的临时道路和交通设施，包括维修、养护和管理发包人提供的道路和交通设施，并承担相应费用。承包人修建的临时道路和交通设施应免费提供发包人和工程师为实现合同目的使用。场内交通与场外交通的边界由合同当事人在专用合同条件中约定。</w:t>
      </w:r>
    </w:p>
    <w:p>
      <w:pPr>
        <w:pStyle w:val="88"/>
        <w:numPr>
          <w:ilvl w:val="0"/>
          <w:numId w:val="0"/>
        </w:numPr>
        <w:rPr>
          <w:rFonts w:ascii="仿宋_GB2312" w:eastAsia="仿宋_GB2312"/>
          <w:color w:val="auto"/>
          <w:szCs w:val="24"/>
        </w:rPr>
      </w:pPr>
      <w:bookmarkStart w:id="696" w:name="_Ref4622376"/>
      <w:r>
        <w:rPr>
          <w:rFonts w:hint="eastAsia" w:ascii="仿宋_GB2312" w:eastAsia="仿宋_GB2312"/>
          <w:color w:val="auto"/>
          <w:szCs w:val="24"/>
        </w:rPr>
        <w:t>7</w:t>
      </w:r>
      <w:r>
        <w:rPr>
          <w:rFonts w:ascii="仿宋_GB2312" w:eastAsia="仿宋_GB2312"/>
          <w:color w:val="auto"/>
          <w:szCs w:val="24"/>
        </w:rPr>
        <w:t xml:space="preserve">.1.4 </w:t>
      </w:r>
      <w:r>
        <w:rPr>
          <w:rFonts w:hint="eastAsia" w:ascii="仿宋_GB2312" w:eastAsia="仿宋_GB2312"/>
          <w:color w:val="auto"/>
          <w:szCs w:val="24"/>
        </w:rPr>
        <w:t>超大件和超重件的运输</w:t>
      </w:r>
      <w:bookmarkEnd w:id="696"/>
    </w:p>
    <w:p>
      <w:pPr>
        <w:ind w:firstLine="600"/>
        <w:rPr>
          <w:rFonts w:ascii="仿宋_GB2312" w:eastAsia="仿宋_GB2312"/>
          <w:color w:val="auto"/>
          <w:sz w:val="24"/>
        </w:rPr>
      </w:pPr>
      <w:r>
        <w:rPr>
          <w:rFonts w:hint="eastAsia" w:ascii="仿宋_GB2312" w:eastAsia="仿宋_GB2312"/>
          <w:color w:val="auto"/>
          <w:sz w:val="24"/>
        </w:rPr>
        <w:t>由承包人负责运输的超大件或超重件，应由承包人负责向交通管理部门办理申请手续，发包人给予协助。运输超大件或超重件所需的道路和桥梁临时加固改造费用和其他有关费用，由承包人承担，但专用合同条件另有约定的除外。</w:t>
      </w:r>
    </w:p>
    <w:p>
      <w:pPr>
        <w:pStyle w:val="88"/>
        <w:numPr>
          <w:ilvl w:val="0"/>
          <w:numId w:val="0"/>
        </w:numPr>
        <w:rPr>
          <w:rFonts w:ascii="仿宋_GB2312" w:eastAsia="仿宋_GB2312"/>
          <w:color w:val="auto"/>
          <w:szCs w:val="24"/>
        </w:rPr>
      </w:pPr>
      <w:r>
        <w:rPr>
          <w:rFonts w:hint="eastAsia" w:ascii="仿宋_GB2312" w:eastAsia="仿宋_GB2312"/>
          <w:color w:val="auto"/>
          <w:szCs w:val="24"/>
        </w:rPr>
        <w:t>7</w:t>
      </w:r>
      <w:r>
        <w:rPr>
          <w:rFonts w:ascii="仿宋_GB2312" w:eastAsia="仿宋_GB2312"/>
          <w:color w:val="auto"/>
          <w:szCs w:val="24"/>
        </w:rPr>
        <w:t xml:space="preserve">.1.5 </w:t>
      </w:r>
      <w:r>
        <w:rPr>
          <w:rFonts w:hint="eastAsia" w:ascii="仿宋_GB2312" w:eastAsia="仿宋_GB2312"/>
          <w:color w:val="auto"/>
          <w:szCs w:val="24"/>
        </w:rPr>
        <w:t>道路和桥梁的损坏责任</w:t>
      </w:r>
    </w:p>
    <w:p>
      <w:pPr>
        <w:ind w:firstLine="600"/>
        <w:rPr>
          <w:rFonts w:ascii="仿宋_GB2312" w:eastAsia="仿宋_GB2312"/>
          <w:color w:val="auto"/>
          <w:sz w:val="24"/>
        </w:rPr>
      </w:pPr>
      <w:r>
        <w:rPr>
          <w:rFonts w:hint="eastAsia" w:ascii="仿宋_GB2312" w:eastAsia="仿宋_GB2312"/>
          <w:color w:val="auto"/>
          <w:sz w:val="24"/>
        </w:rPr>
        <w:t>因承包人运输造成施工现场内外公共道路和桥梁损坏的，由承包人承担修复损坏的全部费用和可能引起的赔偿。</w:t>
      </w:r>
    </w:p>
    <w:p>
      <w:pPr>
        <w:pStyle w:val="88"/>
        <w:numPr>
          <w:ilvl w:val="0"/>
          <w:numId w:val="0"/>
        </w:numPr>
        <w:rPr>
          <w:rFonts w:ascii="仿宋_GB2312" w:eastAsia="仿宋_GB2312"/>
          <w:color w:val="auto"/>
          <w:szCs w:val="24"/>
        </w:rPr>
      </w:pPr>
      <w:r>
        <w:rPr>
          <w:rFonts w:hint="eastAsia" w:ascii="仿宋_GB2312" w:eastAsia="仿宋_GB2312"/>
          <w:color w:val="auto"/>
          <w:szCs w:val="24"/>
        </w:rPr>
        <w:t>7</w:t>
      </w:r>
      <w:r>
        <w:rPr>
          <w:rFonts w:ascii="仿宋_GB2312" w:eastAsia="仿宋_GB2312"/>
          <w:color w:val="auto"/>
          <w:szCs w:val="24"/>
        </w:rPr>
        <w:t xml:space="preserve">.1.6 </w:t>
      </w:r>
      <w:r>
        <w:rPr>
          <w:rFonts w:hint="eastAsia" w:ascii="仿宋_GB2312" w:eastAsia="仿宋_GB2312"/>
          <w:color w:val="auto"/>
          <w:szCs w:val="24"/>
        </w:rPr>
        <w:t>水路和航空运输</w:t>
      </w:r>
    </w:p>
    <w:p>
      <w:pPr>
        <w:ind w:firstLine="600"/>
        <w:rPr>
          <w:rFonts w:ascii="仿宋_GB2312" w:eastAsia="仿宋_GB2312"/>
          <w:color w:val="auto"/>
          <w:sz w:val="24"/>
        </w:rPr>
      </w:pPr>
      <w:r>
        <w:rPr>
          <w:rFonts w:hint="eastAsia" w:ascii="仿宋_GB2312" w:eastAsia="仿宋_GB2312"/>
          <w:color w:val="auto"/>
          <w:sz w:val="24"/>
        </w:rPr>
        <w:t>本条上述各款的内容适用于水路运输和航空运输，其中“道路”一词的涵义包括河道、航线、船闸、机场、码头、堤防以及水路或航空运输中其他相似结构物；“车辆”一词的涵义包括船舶和飞机等。</w:t>
      </w:r>
    </w:p>
    <w:p>
      <w:pPr>
        <w:pStyle w:val="315"/>
        <w:widowControl/>
        <w:numPr>
          <w:ilvl w:val="0"/>
          <w:numId w:val="0"/>
        </w:numPr>
        <w:rPr>
          <w:b w:val="0"/>
          <w:bCs/>
          <w:color w:val="auto"/>
        </w:rPr>
      </w:pPr>
      <w:bookmarkStart w:id="697" w:name="_Ref11919459"/>
      <w:bookmarkStart w:id="698" w:name="_Toc54862237"/>
      <w:bookmarkStart w:id="699" w:name="_Ref11919294"/>
      <w:r>
        <w:rPr>
          <w:rFonts w:hint="eastAsia"/>
          <w:b w:val="0"/>
          <w:bCs/>
          <w:color w:val="auto"/>
        </w:rPr>
        <w:t>7</w:t>
      </w:r>
      <w:r>
        <w:rPr>
          <w:b w:val="0"/>
          <w:bCs/>
          <w:color w:val="auto"/>
        </w:rPr>
        <w:t xml:space="preserve">.2 </w:t>
      </w:r>
      <w:r>
        <w:rPr>
          <w:rFonts w:hint="eastAsia"/>
          <w:b w:val="0"/>
          <w:bCs/>
          <w:color w:val="auto"/>
        </w:rPr>
        <w:t>施工设备和临时设施</w:t>
      </w:r>
      <w:bookmarkEnd w:id="691"/>
      <w:bookmarkEnd w:id="692"/>
      <w:bookmarkEnd w:id="697"/>
      <w:bookmarkEnd w:id="698"/>
      <w:bookmarkEnd w:id="699"/>
      <w:r>
        <w:rPr>
          <w:rFonts w:hint="eastAsia"/>
          <w:b w:val="0"/>
          <w:bCs/>
          <w:color w:val="auto"/>
        </w:rPr>
        <w:t xml:space="preserve"> </w:t>
      </w:r>
    </w:p>
    <w:p>
      <w:pPr>
        <w:pStyle w:val="88"/>
        <w:numPr>
          <w:ilvl w:val="0"/>
          <w:numId w:val="0"/>
        </w:numPr>
        <w:rPr>
          <w:rFonts w:ascii="仿宋_GB2312" w:eastAsia="仿宋_GB2312"/>
          <w:color w:val="auto"/>
          <w:szCs w:val="24"/>
        </w:rPr>
      </w:pPr>
      <w:bookmarkStart w:id="700" w:name="_Ref18990767"/>
      <w:bookmarkStart w:id="701" w:name="_Ref509043186"/>
      <w:r>
        <w:rPr>
          <w:rFonts w:hint="eastAsia" w:ascii="仿宋_GB2312" w:eastAsia="仿宋_GB2312"/>
          <w:color w:val="auto"/>
          <w:szCs w:val="24"/>
        </w:rPr>
        <w:t>7</w:t>
      </w:r>
      <w:r>
        <w:rPr>
          <w:rFonts w:ascii="仿宋_GB2312" w:eastAsia="仿宋_GB2312"/>
          <w:color w:val="auto"/>
          <w:szCs w:val="24"/>
        </w:rPr>
        <w:t xml:space="preserve">.2.1 </w:t>
      </w:r>
      <w:r>
        <w:rPr>
          <w:rFonts w:hint="eastAsia" w:ascii="仿宋_GB2312" w:eastAsia="仿宋_GB2312"/>
          <w:color w:val="auto"/>
          <w:szCs w:val="24"/>
        </w:rPr>
        <w:t>承包人提供的施工设备和临时设施</w:t>
      </w:r>
      <w:bookmarkEnd w:id="700"/>
    </w:p>
    <w:p>
      <w:pPr>
        <w:ind w:firstLine="600"/>
        <w:rPr>
          <w:rFonts w:ascii="仿宋_GB2312" w:eastAsia="仿宋_GB2312"/>
          <w:color w:val="auto"/>
          <w:sz w:val="24"/>
        </w:rPr>
      </w:pPr>
      <w:r>
        <w:rPr>
          <w:rFonts w:hint="eastAsia" w:ascii="仿宋_GB2312" w:eastAsia="仿宋_GB2312"/>
          <w:color w:val="auto"/>
          <w:sz w:val="24"/>
        </w:rPr>
        <w:t>承包人应按项目进度计划的要求，及时配置施工设备和修建临时设施。进入施工现场的承包人提供的施工设备需经工程师核查后才能投入使用。承包人更换合同约定由承包人提供的施工设备的，应报工程师批准。</w:t>
      </w:r>
    </w:p>
    <w:p>
      <w:pPr>
        <w:ind w:firstLine="600"/>
        <w:rPr>
          <w:rFonts w:ascii="仿宋_GB2312" w:eastAsia="仿宋_GB2312"/>
          <w:color w:val="auto"/>
          <w:sz w:val="24"/>
        </w:rPr>
      </w:pPr>
      <w:r>
        <w:rPr>
          <w:rFonts w:hint="eastAsia" w:ascii="仿宋_GB2312" w:eastAsia="仿宋_GB2312"/>
          <w:color w:val="auto"/>
          <w:sz w:val="24"/>
        </w:rPr>
        <w:t>除专用合同条件另有约定外，承包人应自行承担修建临时设施的费用，需要临时占地的，应由发包人办理申请手续并承担相应费用。承包人应在专用合同条件</w:t>
      </w:r>
      <w:r>
        <w:rPr>
          <w:rFonts w:ascii="仿宋_GB2312" w:eastAsia="仿宋_GB2312"/>
          <w:color w:val="auto"/>
          <w:sz w:val="24"/>
        </w:rPr>
        <w:t>7.2</w:t>
      </w:r>
      <w:r>
        <w:rPr>
          <w:rFonts w:hint="eastAsia" w:ascii="仿宋_GB2312" w:eastAsia="仿宋_GB2312"/>
          <w:color w:val="auto"/>
          <w:sz w:val="24"/>
        </w:rPr>
        <w:t>款</w:t>
      </w:r>
      <w:r>
        <w:rPr>
          <w:rFonts w:ascii="仿宋_GB2312" w:eastAsia="仿宋_GB2312"/>
          <w:color w:val="auto"/>
          <w:sz w:val="24"/>
        </w:rPr>
        <w:t>约定的时间内向发包人提交临时占地资料，因承包人未能按时提交资料，导致工期延误的，由此增加的费用和（或）竣工日期延误，由承包人负责。</w:t>
      </w:r>
    </w:p>
    <w:bookmarkEnd w:id="701"/>
    <w:p>
      <w:pPr>
        <w:pStyle w:val="88"/>
        <w:numPr>
          <w:ilvl w:val="0"/>
          <w:numId w:val="0"/>
        </w:numPr>
        <w:rPr>
          <w:rFonts w:ascii="仿宋_GB2312" w:eastAsia="仿宋_GB2312"/>
          <w:color w:val="auto"/>
          <w:szCs w:val="24"/>
        </w:rPr>
      </w:pPr>
      <w:bookmarkStart w:id="702" w:name="_Ref18990784"/>
      <w:r>
        <w:rPr>
          <w:rFonts w:hint="eastAsia" w:ascii="仿宋_GB2312" w:eastAsia="仿宋_GB2312"/>
          <w:color w:val="auto"/>
          <w:szCs w:val="24"/>
        </w:rPr>
        <w:t>7</w:t>
      </w:r>
      <w:r>
        <w:rPr>
          <w:rFonts w:ascii="仿宋_GB2312" w:eastAsia="仿宋_GB2312"/>
          <w:color w:val="auto"/>
          <w:szCs w:val="24"/>
        </w:rPr>
        <w:t xml:space="preserve">.2.2 </w:t>
      </w:r>
      <w:r>
        <w:rPr>
          <w:rFonts w:hint="eastAsia" w:ascii="仿宋_GB2312" w:eastAsia="仿宋_GB2312"/>
          <w:color w:val="auto"/>
          <w:szCs w:val="24"/>
        </w:rPr>
        <w:t>发包人提供的施工设备和临时设施</w:t>
      </w:r>
      <w:bookmarkEnd w:id="702"/>
    </w:p>
    <w:p>
      <w:pPr>
        <w:ind w:firstLine="600"/>
        <w:rPr>
          <w:rFonts w:ascii="仿宋_GB2312" w:eastAsia="仿宋_GB2312"/>
          <w:color w:val="auto"/>
          <w:sz w:val="24"/>
        </w:rPr>
      </w:pPr>
      <w:r>
        <w:rPr>
          <w:rFonts w:hint="eastAsia" w:ascii="仿宋_GB2312" w:eastAsia="仿宋_GB2312"/>
          <w:color w:val="auto"/>
          <w:sz w:val="24"/>
        </w:rPr>
        <w:t>发包人提供的施工设备或临时设施在专用合同条件中约定。</w:t>
      </w:r>
    </w:p>
    <w:p>
      <w:pPr>
        <w:pStyle w:val="88"/>
        <w:numPr>
          <w:ilvl w:val="0"/>
          <w:numId w:val="0"/>
        </w:numPr>
        <w:rPr>
          <w:rFonts w:ascii="仿宋_GB2312" w:eastAsia="仿宋_GB2312"/>
          <w:color w:val="auto"/>
          <w:szCs w:val="24"/>
        </w:rPr>
      </w:pPr>
      <w:r>
        <w:rPr>
          <w:rFonts w:hint="eastAsia" w:ascii="仿宋_GB2312" w:eastAsia="仿宋_GB2312"/>
          <w:color w:val="auto"/>
          <w:szCs w:val="24"/>
        </w:rPr>
        <w:t>7</w:t>
      </w:r>
      <w:r>
        <w:rPr>
          <w:rFonts w:ascii="仿宋_GB2312" w:eastAsia="仿宋_GB2312"/>
          <w:color w:val="auto"/>
          <w:szCs w:val="24"/>
        </w:rPr>
        <w:t xml:space="preserve">.2.3 </w:t>
      </w:r>
      <w:r>
        <w:rPr>
          <w:rFonts w:hint="eastAsia" w:ascii="仿宋_GB2312" w:eastAsia="仿宋_GB2312"/>
          <w:color w:val="auto"/>
          <w:szCs w:val="24"/>
        </w:rPr>
        <w:t>要求承包人增加或更换施工设备</w:t>
      </w:r>
    </w:p>
    <w:p>
      <w:pPr>
        <w:ind w:firstLine="600"/>
        <w:rPr>
          <w:rFonts w:ascii="仿宋_GB2312" w:eastAsia="仿宋_GB2312"/>
          <w:color w:val="auto"/>
          <w:sz w:val="24"/>
        </w:rPr>
      </w:pPr>
      <w:r>
        <w:rPr>
          <w:rFonts w:hint="eastAsia" w:ascii="仿宋_GB2312" w:eastAsia="仿宋_GB2312"/>
          <w:color w:val="auto"/>
          <w:sz w:val="24"/>
        </w:rPr>
        <w:t>承包人使用的施工设备不能满足项目进度计划和（或）质量要求时，工程师有权要求承包人增加或更换施工设备，承包人应及时增加或更换，由此增加的费用和（或）延误的工期由承包人承担。</w:t>
      </w:r>
    </w:p>
    <w:p>
      <w:pPr>
        <w:pStyle w:val="88"/>
        <w:numPr>
          <w:ilvl w:val="0"/>
          <w:numId w:val="0"/>
        </w:numPr>
        <w:rPr>
          <w:rFonts w:ascii="仿宋_GB2312" w:eastAsia="仿宋_GB2312"/>
          <w:color w:val="auto"/>
          <w:szCs w:val="24"/>
        </w:rPr>
      </w:pPr>
      <w:r>
        <w:rPr>
          <w:rFonts w:hint="eastAsia" w:ascii="仿宋_GB2312" w:eastAsia="仿宋_GB2312"/>
          <w:color w:val="auto"/>
          <w:szCs w:val="24"/>
        </w:rPr>
        <w:t>7</w:t>
      </w:r>
      <w:r>
        <w:rPr>
          <w:rFonts w:ascii="仿宋_GB2312" w:eastAsia="仿宋_GB2312"/>
          <w:color w:val="auto"/>
          <w:szCs w:val="24"/>
        </w:rPr>
        <w:t xml:space="preserve">.2.4 </w:t>
      </w:r>
      <w:r>
        <w:rPr>
          <w:rFonts w:hint="eastAsia" w:ascii="仿宋_GB2312" w:eastAsia="仿宋_GB2312"/>
          <w:color w:val="auto"/>
          <w:szCs w:val="24"/>
        </w:rPr>
        <w:t>施工设备和临时设施专用于合同工程</w:t>
      </w:r>
    </w:p>
    <w:p>
      <w:pPr>
        <w:ind w:firstLine="600"/>
        <w:rPr>
          <w:rFonts w:ascii="仿宋_GB2312" w:eastAsia="仿宋_GB2312"/>
          <w:color w:val="auto"/>
          <w:sz w:val="24"/>
        </w:rPr>
      </w:pPr>
      <w:r>
        <w:rPr>
          <w:rFonts w:hint="eastAsia" w:ascii="仿宋_GB2312" w:eastAsia="仿宋_GB2312"/>
          <w:color w:val="auto"/>
          <w:sz w:val="24"/>
        </w:rPr>
        <w:t>承包人运入施工现场的施工设备以及在施工现场建设的临时设施必须专用于工程。未经发包人批准，承包人不得运出施工现场或挪作他用；经发包人批准，承包人可以根据施工进度计划撤走闲置的施工设备和其他物品。</w:t>
      </w:r>
    </w:p>
    <w:p>
      <w:pPr>
        <w:pStyle w:val="315"/>
        <w:widowControl/>
        <w:numPr>
          <w:ilvl w:val="0"/>
          <w:numId w:val="0"/>
        </w:numPr>
        <w:rPr>
          <w:b w:val="0"/>
          <w:bCs/>
          <w:color w:val="auto"/>
        </w:rPr>
      </w:pPr>
      <w:bookmarkStart w:id="703" w:name="_Ref11874352"/>
      <w:bookmarkStart w:id="704" w:name="_Toc54862238"/>
      <w:r>
        <w:rPr>
          <w:rFonts w:hint="eastAsia"/>
          <w:b w:val="0"/>
          <w:bCs/>
          <w:color w:val="auto"/>
        </w:rPr>
        <w:t>7</w:t>
      </w:r>
      <w:r>
        <w:rPr>
          <w:b w:val="0"/>
          <w:bCs/>
          <w:color w:val="auto"/>
        </w:rPr>
        <w:t xml:space="preserve">.3 </w:t>
      </w:r>
      <w:r>
        <w:rPr>
          <w:rFonts w:hint="eastAsia"/>
          <w:b w:val="0"/>
          <w:bCs/>
          <w:color w:val="auto"/>
        </w:rPr>
        <w:t>现场合作</w:t>
      </w:r>
      <w:bookmarkEnd w:id="703"/>
      <w:bookmarkEnd w:id="704"/>
    </w:p>
    <w:p>
      <w:pPr>
        <w:ind w:firstLine="600"/>
        <w:rPr>
          <w:rFonts w:ascii="仿宋_GB2312" w:eastAsia="仿宋_GB2312"/>
          <w:color w:val="auto"/>
          <w:sz w:val="24"/>
        </w:rPr>
      </w:pPr>
      <w:r>
        <w:rPr>
          <w:rFonts w:hint="eastAsia" w:ascii="仿宋_GB2312" w:eastAsia="仿宋_GB2312"/>
          <w:color w:val="auto"/>
          <w:sz w:val="24"/>
        </w:rPr>
        <w:t>承包人应按合同约定或发包人的指示，与发包人人员、发包人的其他承包人等人员就在现场或附近实施与工程有关的各项工作进行合作并提供适当条件，包括使用承包人设备、临时工程或进入现场等。</w:t>
      </w:r>
    </w:p>
    <w:p>
      <w:pPr>
        <w:ind w:firstLine="600"/>
        <w:rPr>
          <w:rFonts w:ascii="仿宋_GB2312" w:eastAsia="仿宋_GB2312"/>
          <w:color w:val="auto"/>
          <w:sz w:val="24"/>
        </w:rPr>
      </w:pPr>
      <w:r>
        <w:rPr>
          <w:rFonts w:hint="eastAsia" w:ascii="仿宋_GB2312" w:eastAsia="仿宋_GB2312"/>
          <w:color w:val="auto"/>
          <w:sz w:val="24"/>
        </w:rPr>
        <w:t>承包人应对其在现场的施工活动负责，并应尽合理努力按合同约定或发包人的指示，协调自身与发包人人员、发包人的其他承包人等人员的活动。</w:t>
      </w:r>
    </w:p>
    <w:p>
      <w:pPr>
        <w:ind w:firstLine="600"/>
        <w:rPr>
          <w:rFonts w:ascii="仿宋_GB2312" w:eastAsia="仿宋_GB2312"/>
          <w:color w:val="auto"/>
          <w:sz w:val="24"/>
        </w:rPr>
      </w:pPr>
      <w:r>
        <w:rPr>
          <w:rFonts w:hint="eastAsia" w:ascii="仿宋_GB2312" w:eastAsia="仿宋_GB2312"/>
          <w:color w:val="auto"/>
          <w:sz w:val="24"/>
        </w:rPr>
        <w:t>除专用合同条件另有约定外，如果承包人提供上述合作、条件或协调在考虑到《发包人要求》所列内容的情况下是不可预见的，则承包人有权就额外费用和合理利润从发包人处获得支付，且因此延误的工期应相应顺延。</w:t>
      </w:r>
    </w:p>
    <w:p>
      <w:pPr>
        <w:pStyle w:val="315"/>
        <w:widowControl/>
        <w:numPr>
          <w:ilvl w:val="0"/>
          <w:numId w:val="0"/>
        </w:numPr>
        <w:rPr>
          <w:b w:val="0"/>
          <w:bCs/>
          <w:color w:val="auto"/>
        </w:rPr>
      </w:pPr>
      <w:bookmarkStart w:id="705" w:name="_Toc54862239"/>
      <w:bookmarkStart w:id="706" w:name="_Ref531954285"/>
      <w:bookmarkStart w:id="707" w:name="_Ref531954287"/>
      <w:r>
        <w:rPr>
          <w:rFonts w:hint="eastAsia"/>
          <w:b w:val="0"/>
          <w:bCs/>
          <w:color w:val="auto"/>
        </w:rPr>
        <w:t>7</w:t>
      </w:r>
      <w:r>
        <w:rPr>
          <w:b w:val="0"/>
          <w:bCs/>
          <w:color w:val="auto"/>
        </w:rPr>
        <w:t xml:space="preserve">.4 </w:t>
      </w:r>
      <w:r>
        <w:rPr>
          <w:rFonts w:hint="eastAsia"/>
          <w:b w:val="0"/>
          <w:bCs/>
          <w:color w:val="auto"/>
        </w:rPr>
        <w:t>测量放线</w:t>
      </w:r>
      <w:bookmarkEnd w:id="705"/>
      <w:bookmarkEnd w:id="706"/>
      <w:bookmarkEnd w:id="707"/>
    </w:p>
    <w:p>
      <w:pPr>
        <w:pStyle w:val="88"/>
        <w:numPr>
          <w:ilvl w:val="0"/>
          <w:numId w:val="0"/>
        </w:numPr>
        <w:rPr>
          <w:rFonts w:ascii="仿宋_GB2312" w:eastAsia="仿宋_GB2312"/>
          <w:color w:val="auto"/>
          <w:szCs w:val="24"/>
        </w:rPr>
      </w:pPr>
      <w:r>
        <w:rPr>
          <w:rFonts w:hint="eastAsia" w:ascii="仿宋_GB2312" w:eastAsia="仿宋_GB2312"/>
          <w:color w:val="auto"/>
          <w:szCs w:val="24"/>
        </w:rPr>
        <w:t>7</w:t>
      </w:r>
      <w:r>
        <w:rPr>
          <w:rFonts w:ascii="仿宋_GB2312" w:eastAsia="仿宋_GB2312"/>
          <w:color w:val="auto"/>
          <w:szCs w:val="24"/>
        </w:rPr>
        <w:t xml:space="preserve">.4.1 </w:t>
      </w:r>
      <w:r>
        <w:rPr>
          <w:rFonts w:hint="eastAsia" w:ascii="仿宋_GB2312" w:eastAsia="仿宋_GB2312"/>
          <w:color w:val="auto"/>
          <w:szCs w:val="24"/>
        </w:rPr>
        <w:t>除专用合同条件另有约定外，承包人应根据国家测绘基准、测绘系统和工程测量技术规范，按基准点（线）以及合同工程精度要求，测设施工控制网，并在专用合同条件约定的期限内，将施工控制网资料报送工程师。</w:t>
      </w:r>
    </w:p>
    <w:p>
      <w:pPr>
        <w:pStyle w:val="88"/>
        <w:numPr>
          <w:ilvl w:val="0"/>
          <w:numId w:val="0"/>
        </w:numPr>
        <w:rPr>
          <w:rFonts w:ascii="仿宋_GB2312" w:eastAsia="仿宋_GB2312"/>
          <w:color w:val="auto"/>
          <w:szCs w:val="24"/>
        </w:rPr>
      </w:pPr>
      <w:r>
        <w:rPr>
          <w:rFonts w:hint="eastAsia" w:ascii="仿宋_GB2312" w:eastAsia="仿宋_GB2312"/>
          <w:color w:val="auto"/>
          <w:szCs w:val="24"/>
        </w:rPr>
        <w:t>7</w:t>
      </w:r>
      <w:r>
        <w:rPr>
          <w:rFonts w:ascii="仿宋_GB2312" w:eastAsia="仿宋_GB2312"/>
          <w:color w:val="auto"/>
          <w:szCs w:val="24"/>
        </w:rPr>
        <w:t xml:space="preserve">.4.2 </w:t>
      </w:r>
      <w:r>
        <w:rPr>
          <w:rFonts w:hint="eastAsia" w:ascii="仿宋_GB2312" w:eastAsia="仿宋_GB2312"/>
          <w:color w:val="auto"/>
          <w:szCs w:val="24"/>
        </w:rPr>
        <w:t>承包人应负责管理施工控制网点。施工控制网点丢失或损坏的，承包人应及时修复。承包人应承担施工控制网点的管理与修复费用，并在工程竣工后将施工控制网点移交发包人。承包人负责对工程、单位/区段工程、施工部位放线，并对放线的准确性负责。</w:t>
      </w:r>
    </w:p>
    <w:p>
      <w:pPr>
        <w:pStyle w:val="88"/>
        <w:numPr>
          <w:ilvl w:val="0"/>
          <w:numId w:val="0"/>
        </w:numPr>
        <w:rPr>
          <w:rFonts w:ascii="仿宋_GB2312" w:eastAsia="仿宋_GB2312"/>
          <w:color w:val="auto"/>
          <w:szCs w:val="24"/>
        </w:rPr>
      </w:pPr>
      <w:r>
        <w:rPr>
          <w:rFonts w:hint="eastAsia" w:ascii="仿宋_GB2312" w:eastAsia="仿宋_GB2312"/>
          <w:color w:val="auto"/>
          <w:szCs w:val="24"/>
        </w:rPr>
        <w:t>7</w:t>
      </w:r>
      <w:r>
        <w:rPr>
          <w:rFonts w:ascii="仿宋_GB2312" w:eastAsia="仿宋_GB2312"/>
          <w:color w:val="auto"/>
          <w:szCs w:val="24"/>
        </w:rPr>
        <w:t xml:space="preserve">.4.3 </w:t>
      </w:r>
      <w:r>
        <w:rPr>
          <w:rFonts w:hint="eastAsia" w:ascii="仿宋_GB2312" w:eastAsia="仿宋_GB2312"/>
          <w:color w:val="auto"/>
          <w:szCs w:val="24"/>
        </w:rPr>
        <w:t>承包人负责施工过程中的全部施工测量放线工作，并配置具有相应资质的人员、合格的仪器、设备和其他物品。承包人应矫正工程的位置、标高、尺寸或基准线中出现的任何差错，并对工程各部分的定位负责。施工过程中对施工现场内水准点等测量标志物的保护工作由承包人负责。</w:t>
      </w:r>
    </w:p>
    <w:p>
      <w:pPr>
        <w:pStyle w:val="315"/>
        <w:widowControl/>
        <w:numPr>
          <w:ilvl w:val="0"/>
          <w:numId w:val="0"/>
        </w:numPr>
        <w:rPr>
          <w:b w:val="0"/>
          <w:bCs/>
          <w:color w:val="auto"/>
        </w:rPr>
      </w:pPr>
      <w:bookmarkStart w:id="708" w:name="_Toc54862240"/>
      <w:bookmarkStart w:id="709" w:name="_Ref531954329"/>
      <w:bookmarkStart w:id="710" w:name="_Ref531954323"/>
      <w:bookmarkStart w:id="711" w:name="_Ref4770992"/>
      <w:r>
        <w:rPr>
          <w:rFonts w:hint="eastAsia"/>
          <w:b w:val="0"/>
          <w:bCs/>
          <w:color w:val="auto"/>
        </w:rPr>
        <w:t>7</w:t>
      </w:r>
      <w:r>
        <w:rPr>
          <w:b w:val="0"/>
          <w:bCs/>
          <w:color w:val="auto"/>
        </w:rPr>
        <w:t xml:space="preserve">.5 </w:t>
      </w:r>
      <w:r>
        <w:rPr>
          <w:rFonts w:hint="eastAsia"/>
          <w:b w:val="0"/>
          <w:bCs/>
          <w:color w:val="auto"/>
        </w:rPr>
        <w:t>现场劳动用工</w:t>
      </w:r>
      <w:bookmarkEnd w:id="708"/>
    </w:p>
    <w:p>
      <w:pPr>
        <w:pStyle w:val="88"/>
        <w:numPr>
          <w:ilvl w:val="0"/>
          <w:numId w:val="0"/>
        </w:numPr>
        <w:rPr>
          <w:rFonts w:ascii="仿宋_GB2312" w:eastAsia="仿宋_GB2312"/>
          <w:color w:val="auto"/>
          <w:szCs w:val="24"/>
        </w:rPr>
      </w:pPr>
      <w:r>
        <w:rPr>
          <w:rFonts w:ascii="仿宋_GB2312" w:eastAsia="仿宋_GB2312"/>
          <w:color w:val="auto"/>
          <w:szCs w:val="24"/>
        </w:rPr>
        <w:t>7.5.1 承包人及其分包人招用建筑工人的，</w:t>
      </w:r>
      <w:r>
        <w:rPr>
          <w:rFonts w:hint="eastAsia" w:ascii="仿宋_GB2312" w:eastAsia="仿宋_GB2312"/>
          <w:color w:val="auto"/>
          <w:szCs w:val="24"/>
        </w:rPr>
        <w:t>应当依法与所招用的建筑工人订立</w:t>
      </w:r>
      <w:r>
        <w:rPr>
          <w:rFonts w:ascii="仿宋_GB2312" w:eastAsia="仿宋_GB2312"/>
          <w:color w:val="auto"/>
          <w:szCs w:val="24"/>
        </w:rPr>
        <w:t>劳动合同，实行建筑工人劳动用工实名制管理，</w:t>
      </w:r>
      <w:r>
        <w:rPr>
          <w:rFonts w:hint="eastAsia" w:ascii="仿宋_GB2312" w:eastAsia="仿宋_GB2312"/>
          <w:color w:val="auto"/>
          <w:szCs w:val="24"/>
        </w:rPr>
        <w:t>承包人</w:t>
      </w:r>
      <w:r>
        <w:rPr>
          <w:rFonts w:ascii="仿宋_GB2312" w:eastAsia="仿宋_GB2312"/>
          <w:color w:val="auto"/>
          <w:szCs w:val="24"/>
        </w:rPr>
        <w:t>应当按照有关规定开设建筑工人工资专用账户、存储工资保证金，专项用于支付和保障该工程建设项目建筑工人工资。</w:t>
      </w:r>
    </w:p>
    <w:p>
      <w:pPr>
        <w:pStyle w:val="88"/>
        <w:numPr>
          <w:ilvl w:val="0"/>
          <w:numId w:val="0"/>
        </w:numPr>
        <w:rPr>
          <w:rFonts w:ascii="仿宋_GB2312" w:eastAsia="仿宋_GB2312"/>
          <w:color w:val="auto"/>
          <w:szCs w:val="24"/>
        </w:rPr>
      </w:pPr>
      <w:r>
        <w:rPr>
          <w:rFonts w:ascii="仿宋_GB2312" w:eastAsia="仿宋_GB2312"/>
          <w:color w:val="auto"/>
          <w:szCs w:val="24"/>
        </w:rPr>
        <w:t>7.5.2 承包人应当在工程项目部配备劳资专管员，对分包单位劳动用工及工资发放实施监督管理。</w:t>
      </w:r>
      <w:r>
        <w:rPr>
          <w:rFonts w:hint="eastAsia" w:ascii="仿宋_GB2312" w:eastAsia="仿宋_GB2312"/>
          <w:color w:val="auto"/>
          <w:szCs w:val="24"/>
        </w:rPr>
        <w:t>承包人拖欠建筑工人工资的</w:t>
      </w:r>
      <w:r>
        <w:rPr>
          <w:rFonts w:ascii="仿宋_GB2312" w:eastAsia="仿宋_GB2312"/>
          <w:color w:val="auto"/>
          <w:szCs w:val="24"/>
        </w:rPr>
        <w:t>,应当依法予以清偿。分包人拖欠建筑工人工资的,由承包人先行清偿,再依法进行追偿。</w:t>
      </w:r>
      <w:r>
        <w:rPr>
          <w:rFonts w:hint="eastAsia" w:ascii="仿宋_GB2312" w:eastAsia="仿宋_GB2312"/>
          <w:color w:val="auto"/>
          <w:szCs w:val="24"/>
        </w:rPr>
        <w:t>因发包人未按照合同约定及时拨付工程款导致建筑工人工资拖欠的，发包人应当以未结清的工程款为限先行垫付被拖欠的建筑工人工资。合同当事人可在专用合同条件中约定具体的清偿事宜和违约责任。</w:t>
      </w:r>
    </w:p>
    <w:p>
      <w:pPr>
        <w:pStyle w:val="88"/>
        <w:numPr>
          <w:ilvl w:val="0"/>
          <w:numId w:val="0"/>
        </w:numPr>
        <w:rPr>
          <w:rFonts w:ascii="仿宋_GB2312" w:eastAsia="仿宋_GB2312"/>
          <w:color w:val="auto"/>
          <w:szCs w:val="24"/>
        </w:rPr>
      </w:pPr>
      <w:r>
        <w:rPr>
          <w:rFonts w:hint="eastAsia" w:ascii="仿宋_GB2312" w:eastAsia="仿宋_GB2312"/>
          <w:color w:val="auto"/>
          <w:szCs w:val="24"/>
        </w:rPr>
        <w:t>7.5.3 承包人应当按照相关法律法规的要求，进行劳动用工管理和建筑工人工资支付。</w:t>
      </w:r>
    </w:p>
    <w:p>
      <w:pPr>
        <w:pStyle w:val="315"/>
        <w:widowControl/>
        <w:numPr>
          <w:ilvl w:val="0"/>
          <w:numId w:val="0"/>
        </w:numPr>
        <w:rPr>
          <w:b w:val="0"/>
          <w:bCs/>
          <w:color w:val="auto"/>
        </w:rPr>
      </w:pPr>
      <w:bookmarkStart w:id="712" w:name="_Toc54862241"/>
      <w:bookmarkStart w:id="713" w:name="_Ref41554059"/>
      <w:r>
        <w:rPr>
          <w:rFonts w:hint="eastAsia"/>
          <w:b w:val="0"/>
          <w:bCs/>
          <w:color w:val="auto"/>
        </w:rPr>
        <w:t>7</w:t>
      </w:r>
      <w:r>
        <w:rPr>
          <w:b w:val="0"/>
          <w:bCs/>
          <w:color w:val="auto"/>
        </w:rPr>
        <w:t xml:space="preserve">.6 </w:t>
      </w:r>
      <w:r>
        <w:rPr>
          <w:rFonts w:hint="eastAsia"/>
          <w:b w:val="0"/>
          <w:bCs/>
          <w:color w:val="auto"/>
        </w:rPr>
        <w:t>安全文明施工</w:t>
      </w:r>
      <w:bookmarkEnd w:id="709"/>
      <w:bookmarkEnd w:id="710"/>
      <w:bookmarkEnd w:id="711"/>
      <w:bookmarkEnd w:id="712"/>
      <w:bookmarkEnd w:id="713"/>
    </w:p>
    <w:p>
      <w:pPr>
        <w:pStyle w:val="88"/>
        <w:numPr>
          <w:ilvl w:val="0"/>
          <w:numId w:val="0"/>
        </w:numPr>
        <w:rPr>
          <w:rFonts w:ascii="仿宋_GB2312" w:eastAsia="仿宋_GB2312"/>
          <w:color w:val="auto"/>
          <w:szCs w:val="24"/>
        </w:rPr>
      </w:pPr>
      <w:bookmarkStart w:id="714" w:name="_Ref18990822"/>
      <w:r>
        <w:rPr>
          <w:rFonts w:hint="eastAsia" w:ascii="仿宋_GB2312" w:eastAsia="仿宋_GB2312"/>
          <w:color w:val="auto"/>
          <w:szCs w:val="24"/>
        </w:rPr>
        <w:t>7</w:t>
      </w:r>
      <w:r>
        <w:rPr>
          <w:rFonts w:ascii="仿宋_GB2312" w:eastAsia="仿宋_GB2312"/>
          <w:color w:val="auto"/>
          <w:szCs w:val="24"/>
        </w:rPr>
        <w:t xml:space="preserve">.6.1 </w:t>
      </w:r>
      <w:r>
        <w:rPr>
          <w:rFonts w:hint="eastAsia" w:ascii="仿宋_GB2312" w:eastAsia="仿宋_GB2312"/>
          <w:color w:val="auto"/>
          <w:szCs w:val="24"/>
        </w:rPr>
        <w:t>安全生产要求</w:t>
      </w:r>
      <w:bookmarkEnd w:id="714"/>
    </w:p>
    <w:p>
      <w:pPr>
        <w:ind w:firstLine="600"/>
        <w:rPr>
          <w:rFonts w:ascii="仿宋_GB2312" w:eastAsia="仿宋_GB2312"/>
          <w:color w:val="auto"/>
          <w:sz w:val="24"/>
        </w:rPr>
      </w:pPr>
      <w:r>
        <w:rPr>
          <w:rFonts w:hint="eastAsia" w:ascii="仿宋_GB2312" w:eastAsia="仿宋_GB2312"/>
          <w:color w:val="auto"/>
          <w:sz w:val="24"/>
        </w:rPr>
        <w:t>合同履行期间，合同当事人均应当遵守国家和工程所在地有关安全生产的要求，合同当事人有特别要求的，应在专用合同条件中明确安全生产标准化目标及相应事项。承包人有权拒绝发包人及工程师强令承包人违章作业、冒险施工的任何指示。</w:t>
      </w:r>
    </w:p>
    <w:p>
      <w:pPr>
        <w:ind w:firstLine="600"/>
        <w:rPr>
          <w:rFonts w:ascii="仿宋_GB2312" w:eastAsia="仿宋_GB2312"/>
          <w:color w:val="auto"/>
          <w:sz w:val="24"/>
        </w:rPr>
      </w:pPr>
      <w:r>
        <w:rPr>
          <w:rFonts w:hint="eastAsia" w:ascii="仿宋_GB2312" w:eastAsia="仿宋_GB2312"/>
          <w:color w:val="auto"/>
          <w:sz w:val="24"/>
        </w:rPr>
        <w:t>在工程实施过程中，如遇到突发的地质变动、事先未知的地下施工障碍等影响施工安全的紧急情况，承包人应及时报告工程师和发包人，发包人应当及时下令停工并采取应急措施，按照相关法律法规的要求需上报政府有关行政管理部门的，应依法上报。</w:t>
      </w:r>
    </w:p>
    <w:p>
      <w:pPr>
        <w:ind w:firstLine="600"/>
        <w:rPr>
          <w:rFonts w:ascii="仿宋_GB2312" w:eastAsia="仿宋_GB2312"/>
          <w:color w:val="auto"/>
          <w:sz w:val="24"/>
        </w:rPr>
      </w:pPr>
      <w:r>
        <w:rPr>
          <w:rFonts w:hint="eastAsia" w:ascii="仿宋_GB2312" w:eastAsia="仿宋_GB2312"/>
          <w:color w:val="auto"/>
          <w:sz w:val="24"/>
        </w:rPr>
        <w:t>因安全生产需要暂停施工的，按照第</w:t>
      </w:r>
      <w:r>
        <w:rPr>
          <w:rFonts w:ascii="仿宋_GB2312" w:eastAsia="仿宋_GB2312"/>
          <w:color w:val="auto"/>
          <w:sz w:val="24"/>
        </w:rPr>
        <w:t>8.9</w:t>
      </w:r>
      <w:r>
        <w:rPr>
          <w:rFonts w:hint="eastAsia" w:ascii="仿宋_GB2312" w:eastAsia="仿宋_GB2312"/>
          <w:color w:val="auto"/>
          <w:sz w:val="24"/>
        </w:rPr>
        <w:t>款[暂停工作]的约定执行。</w:t>
      </w:r>
    </w:p>
    <w:p>
      <w:pPr>
        <w:pStyle w:val="88"/>
        <w:numPr>
          <w:ilvl w:val="0"/>
          <w:numId w:val="0"/>
        </w:numPr>
        <w:rPr>
          <w:rFonts w:ascii="仿宋_GB2312" w:eastAsia="仿宋_GB2312"/>
          <w:color w:val="auto"/>
          <w:szCs w:val="24"/>
        </w:rPr>
      </w:pPr>
      <w:r>
        <w:rPr>
          <w:rFonts w:hint="eastAsia" w:ascii="仿宋_GB2312" w:eastAsia="仿宋_GB2312"/>
          <w:color w:val="auto"/>
          <w:szCs w:val="24"/>
        </w:rPr>
        <w:t>7</w:t>
      </w:r>
      <w:r>
        <w:rPr>
          <w:rFonts w:ascii="仿宋_GB2312" w:eastAsia="仿宋_GB2312"/>
          <w:color w:val="auto"/>
          <w:szCs w:val="24"/>
        </w:rPr>
        <w:t xml:space="preserve">.6.2 </w:t>
      </w:r>
      <w:r>
        <w:rPr>
          <w:rFonts w:hint="eastAsia" w:ascii="仿宋_GB2312" w:eastAsia="仿宋_GB2312"/>
          <w:color w:val="auto"/>
          <w:szCs w:val="24"/>
        </w:rPr>
        <w:t>安全生产保证措施</w:t>
      </w:r>
    </w:p>
    <w:p>
      <w:pPr>
        <w:ind w:firstLine="600"/>
        <w:rPr>
          <w:rFonts w:ascii="仿宋_GB2312" w:eastAsia="仿宋_GB2312"/>
          <w:color w:val="auto"/>
          <w:sz w:val="24"/>
        </w:rPr>
      </w:pPr>
      <w:r>
        <w:rPr>
          <w:rFonts w:hint="eastAsia" w:ascii="仿宋_GB2312" w:eastAsia="仿宋_GB2312"/>
          <w:color w:val="auto"/>
          <w:sz w:val="24"/>
        </w:rPr>
        <w:t>承包人应当按照法律、法规和工程建设强制性标准进行设计、在设计文件中注明涉及施工安全的重点部位和环节，提出保障施工作业人员和预防安全事故的措施建议，防止因设计不合理导致生产安全事故的发生。</w:t>
      </w:r>
    </w:p>
    <w:p>
      <w:pPr>
        <w:ind w:firstLine="600"/>
        <w:rPr>
          <w:rFonts w:ascii="仿宋_GB2312" w:eastAsia="仿宋_GB2312"/>
          <w:color w:val="auto"/>
          <w:sz w:val="24"/>
        </w:rPr>
      </w:pPr>
      <w:r>
        <w:rPr>
          <w:rFonts w:hint="eastAsia" w:ascii="仿宋_GB2312" w:eastAsia="仿宋_GB2312"/>
          <w:color w:val="auto"/>
          <w:sz w:val="24"/>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工程师及政府安全监督部门的检查与监督。</w:t>
      </w:r>
    </w:p>
    <w:p>
      <w:pPr>
        <w:ind w:firstLine="600"/>
        <w:rPr>
          <w:rFonts w:ascii="仿宋_GB2312" w:eastAsia="仿宋_GB2312"/>
          <w:color w:val="auto"/>
          <w:sz w:val="24"/>
        </w:rPr>
      </w:pPr>
      <w:r>
        <w:rPr>
          <w:rFonts w:hint="eastAsia" w:ascii="仿宋_GB2312" w:eastAsia="仿宋_GB2312"/>
          <w:color w:val="auto"/>
          <w:sz w:val="24"/>
        </w:rPr>
        <w:t>承包人应按照法律规定进行施工，开工前做好安全技术交底工作，施工过程中做好各项安全防护措施。承包人为实施合同而雇用的特殊工种的人员应受过专门的培训并已取得政府有关管理机构颁发的上岗证书。承包人应加强施工作业安全管理，特别应加强对于易燃、易爆材料、火工器材、有毒与腐蚀性材料和其他危险品的管理，以及对爆破作业和地下工程施工等危险作业的管理。</w:t>
      </w:r>
    </w:p>
    <w:p>
      <w:pPr>
        <w:pStyle w:val="88"/>
        <w:numPr>
          <w:ilvl w:val="0"/>
          <w:numId w:val="0"/>
        </w:numPr>
        <w:rPr>
          <w:rFonts w:ascii="仿宋_GB2312" w:eastAsia="仿宋_GB2312"/>
          <w:color w:val="auto"/>
          <w:szCs w:val="24"/>
        </w:rPr>
      </w:pPr>
      <w:bookmarkStart w:id="715" w:name="_Ref18990840"/>
      <w:r>
        <w:rPr>
          <w:rFonts w:hint="eastAsia" w:ascii="仿宋_GB2312" w:eastAsia="仿宋_GB2312"/>
          <w:color w:val="auto"/>
          <w:szCs w:val="24"/>
        </w:rPr>
        <w:t>7</w:t>
      </w:r>
      <w:r>
        <w:rPr>
          <w:rFonts w:ascii="仿宋_GB2312" w:eastAsia="仿宋_GB2312"/>
          <w:color w:val="auto"/>
          <w:szCs w:val="24"/>
        </w:rPr>
        <w:t xml:space="preserve">.6.3 </w:t>
      </w:r>
      <w:r>
        <w:rPr>
          <w:rFonts w:hint="eastAsia" w:ascii="仿宋_GB2312" w:eastAsia="仿宋_GB2312"/>
          <w:color w:val="auto"/>
          <w:szCs w:val="24"/>
        </w:rPr>
        <w:t>文明施工</w:t>
      </w:r>
      <w:bookmarkEnd w:id="715"/>
    </w:p>
    <w:p>
      <w:pPr>
        <w:ind w:firstLine="600"/>
        <w:rPr>
          <w:rFonts w:ascii="仿宋_GB2312" w:eastAsia="仿宋_GB2312"/>
          <w:color w:val="auto"/>
          <w:sz w:val="24"/>
        </w:rPr>
      </w:pPr>
      <w:r>
        <w:rPr>
          <w:rFonts w:hint="eastAsia" w:ascii="仿宋_GB2312" w:eastAsia="仿宋_GB2312"/>
          <w:color w:val="auto"/>
          <w:sz w:val="24"/>
        </w:rPr>
        <w:t>承包人在工程施工期间，应当采取措施保持施工现场平整，物料堆放整齐。工程所在地有关政府行政管理部门有特殊要求的，按照其要求执行。合同当事人对文明施工有其他要求的，可以在专用合同条件中明确。</w:t>
      </w:r>
    </w:p>
    <w:p>
      <w:pPr>
        <w:ind w:firstLine="600"/>
        <w:rPr>
          <w:rFonts w:ascii="仿宋_GB2312" w:eastAsia="仿宋_GB2312"/>
          <w:color w:val="auto"/>
          <w:sz w:val="24"/>
        </w:rPr>
      </w:pPr>
      <w:r>
        <w:rPr>
          <w:rFonts w:hint="eastAsia" w:ascii="仿宋_GB2312" w:eastAsia="仿宋_GB2312"/>
          <w:color w:val="auto"/>
          <w:sz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pStyle w:val="88"/>
        <w:numPr>
          <w:ilvl w:val="0"/>
          <w:numId w:val="0"/>
        </w:numPr>
        <w:rPr>
          <w:rFonts w:ascii="仿宋_GB2312" w:eastAsia="仿宋_GB2312"/>
          <w:color w:val="auto"/>
          <w:szCs w:val="24"/>
        </w:rPr>
      </w:pPr>
      <w:r>
        <w:rPr>
          <w:rFonts w:hint="eastAsia" w:ascii="仿宋_GB2312" w:eastAsia="仿宋_GB2312"/>
          <w:color w:val="auto"/>
          <w:szCs w:val="24"/>
        </w:rPr>
        <w:t>7</w:t>
      </w:r>
      <w:r>
        <w:rPr>
          <w:rFonts w:ascii="仿宋_GB2312" w:eastAsia="仿宋_GB2312"/>
          <w:color w:val="auto"/>
          <w:szCs w:val="24"/>
        </w:rPr>
        <w:t xml:space="preserve">.6.4 </w:t>
      </w:r>
      <w:r>
        <w:rPr>
          <w:rFonts w:hint="eastAsia" w:ascii="仿宋_GB2312" w:eastAsia="仿宋_GB2312"/>
          <w:color w:val="auto"/>
          <w:szCs w:val="24"/>
        </w:rPr>
        <w:t>事故处理</w:t>
      </w:r>
    </w:p>
    <w:p>
      <w:pPr>
        <w:ind w:firstLine="600"/>
        <w:rPr>
          <w:rFonts w:ascii="仿宋_GB2312" w:eastAsia="仿宋_GB2312"/>
          <w:color w:val="auto"/>
          <w:sz w:val="24"/>
        </w:rPr>
      </w:pPr>
      <w:r>
        <w:rPr>
          <w:rFonts w:hint="eastAsia" w:ascii="仿宋_GB2312" w:eastAsia="仿宋_GB2312"/>
          <w:color w:val="auto"/>
          <w:sz w:val="24"/>
        </w:rPr>
        <w:t>工程实施过程中发生事故的，承包人应立即通知工程师。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ind w:firstLine="600"/>
        <w:rPr>
          <w:rFonts w:ascii="仿宋_GB2312" w:eastAsia="仿宋_GB2312"/>
          <w:color w:val="auto"/>
          <w:sz w:val="24"/>
        </w:rPr>
      </w:pPr>
      <w:r>
        <w:rPr>
          <w:rFonts w:hint="eastAsia" w:ascii="仿宋_GB2312" w:eastAsia="仿宋_GB2312"/>
          <w:color w:val="auto"/>
          <w:sz w:val="24"/>
        </w:rPr>
        <w:t>在工程实施期间或缺陷责任期内发生危及工程安全的事件，工程师通知承包人进行抢救和抢修，承包人声明无能力或不愿立即执行的，发包人有权雇佣其他人员进行抢救和抢修。此类抢救和抢修按合同约定属于承包人义务的，由此增加的费用和（或）延误的工期由承包人承担。</w:t>
      </w:r>
    </w:p>
    <w:p>
      <w:pPr>
        <w:pStyle w:val="88"/>
        <w:numPr>
          <w:ilvl w:val="0"/>
          <w:numId w:val="0"/>
        </w:numPr>
        <w:rPr>
          <w:rFonts w:ascii="仿宋_GB2312" w:eastAsia="仿宋_GB2312"/>
          <w:color w:val="auto"/>
          <w:szCs w:val="24"/>
        </w:rPr>
      </w:pPr>
      <w:r>
        <w:rPr>
          <w:rFonts w:hint="eastAsia" w:ascii="仿宋_GB2312" w:eastAsia="仿宋_GB2312"/>
          <w:color w:val="auto"/>
          <w:szCs w:val="24"/>
        </w:rPr>
        <w:t>7</w:t>
      </w:r>
      <w:r>
        <w:rPr>
          <w:rFonts w:ascii="仿宋_GB2312" w:eastAsia="仿宋_GB2312"/>
          <w:color w:val="auto"/>
          <w:szCs w:val="24"/>
        </w:rPr>
        <w:t xml:space="preserve">.6.5 </w:t>
      </w:r>
      <w:r>
        <w:rPr>
          <w:rFonts w:hint="eastAsia" w:ascii="仿宋_GB2312" w:eastAsia="仿宋_GB2312"/>
          <w:color w:val="auto"/>
          <w:szCs w:val="24"/>
        </w:rPr>
        <w:t>安全生产责任</w:t>
      </w:r>
    </w:p>
    <w:p>
      <w:pPr>
        <w:ind w:firstLine="600"/>
        <w:rPr>
          <w:rFonts w:ascii="仿宋_GB2312" w:eastAsia="仿宋_GB2312"/>
          <w:color w:val="auto"/>
          <w:sz w:val="24"/>
        </w:rPr>
      </w:pPr>
      <w:r>
        <w:rPr>
          <w:rFonts w:hint="eastAsia" w:ascii="仿宋_GB2312" w:eastAsia="仿宋_GB2312"/>
          <w:color w:val="auto"/>
          <w:sz w:val="24"/>
        </w:rPr>
        <w:t>发包人应负责赔偿以下各种情况造成的损失：</w:t>
      </w:r>
    </w:p>
    <w:p>
      <w:pPr>
        <w:ind w:firstLine="600"/>
        <w:rPr>
          <w:rFonts w:ascii="仿宋_GB2312" w:eastAsia="仿宋_GB2312"/>
          <w:color w:val="auto"/>
          <w:sz w:val="24"/>
        </w:rPr>
      </w:pPr>
      <w:r>
        <w:rPr>
          <w:rFonts w:hint="eastAsia" w:ascii="仿宋_GB2312" w:eastAsia="仿宋_GB2312"/>
          <w:color w:val="auto"/>
          <w:sz w:val="24"/>
        </w:rPr>
        <w:t>（1） 工程或工程的任何部分对土地的占用所造成的第三者财产损失；</w:t>
      </w:r>
    </w:p>
    <w:p>
      <w:pPr>
        <w:ind w:firstLine="600"/>
        <w:rPr>
          <w:rFonts w:ascii="仿宋_GB2312" w:eastAsia="仿宋_GB2312"/>
          <w:color w:val="auto"/>
          <w:sz w:val="24"/>
        </w:rPr>
      </w:pPr>
      <w:r>
        <w:rPr>
          <w:rFonts w:hint="eastAsia" w:ascii="仿宋_GB2312" w:eastAsia="仿宋_GB2312"/>
          <w:color w:val="auto"/>
          <w:sz w:val="24"/>
        </w:rPr>
        <w:t>（2） 由于发包人原因在施工现场及其毗邻地带、履行合同工作中造成的第三者人身伤亡和财产损失；</w:t>
      </w:r>
    </w:p>
    <w:p>
      <w:pPr>
        <w:ind w:firstLine="600"/>
        <w:rPr>
          <w:rFonts w:ascii="仿宋_GB2312" w:eastAsia="仿宋_GB2312"/>
          <w:color w:val="auto"/>
          <w:sz w:val="24"/>
        </w:rPr>
      </w:pPr>
      <w:r>
        <w:rPr>
          <w:rFonts w:hint="eastAsia" w:ascii="仿宋_GB2312" w:eastAsia="仿宋_GB2312"/>
          <w:color w:val="auto"/>
          <w:sz w:val="24"/>
        </w:rPr>
        <w:t>（3） 由于发包人原因对发包人自身、承包人、工程师造成的人身伤害和财产损失。</w:t>
      </w:r>
    </w:p>
    <w:p>
      <w:pPr>
        <w:ind w:firstLine="600"/>
        <w:rPr>
          <w:rFonts w:ascii="仿宋_GB2312" w:eastAsia="仿宋_GB2312"/>
          <w:color w:val="auto"/>
          <w:sz w:val="24"/>
        </w:rPr>
      </w:pPr>
      <w:r>
        <w:rPr>
          <w:rFonts w:hint="eastAsia" w:ascii="仿宋_GB2312" w:eastAsia="仿宋_GB2312"/>
          <w:color w:val="auto"/>
          <w:sz w:val="24"/>
        </w:rPr>
        <w:t>承包人应负责赔偿由于承包人原因在施工现场及其毗邻地带、履行合同工作中造成的第三者人身伤亡和财产损失。</w:t>
      </w:r>
    </w:p>
    <w:p>
      <w:pPr>
        <w:ind w:firstLine="600"/>
        <w:rPr>
          <w:rFonts w:ascii="仿宋_GB2312" w:eastAsia="仿宋_GB2312"/>
          <w:color w:val="auto"/>
          <w:sz w:val="24"/>
        </w:rPr>
      </w:pPr>
      <w:r>
        <w:rPr>
          <w:rFonts w:hint="eastAsia" w:ascii="仿宋_GB2312" w:eastAsia="仿宋_GB2312"/>
          <w:color w:val="auto"/>
          <w:sz w:val="24"/>
        </w:rPr>
        <w:t>如果上述损失是由于发包人和承包人共同原因导致的，则双方应根据过错情况按比例承担。</w:t>
      </w:r>
    </w:p>
    <w:p>
      <w:pPr>
        <w:pStyle w:val="315"/>
        <w:widowControl/>
        <w:numPr>
          <w:ilvl w:val="0"/>
          <w:numId w:val="0"/>
        </w:numPr>
        <w:rPr>
          <w:b w:val="0"/>
          <w:bCs/>
          <w:color w:val="auto"/>
        </w:rPr>
      </w:pPr>
      <w:bookmarkStart w:id="716" w:name="_Ref41554069"/>
      <w:bookmarkStart w:id="717" w:name="_Ref11874562"/>
      <w:bookmarkStart w:id="718" w:name="_Toc54862242"/>
      <w:r>
        <w:rPr>
          <w:rFonts w:hint="eastAsia"/>
          <w:b w:val="0"/>
          <w:bCs/>
          <w:color w:val="auto"/>
        </w:rPr>
        <w:t>7</w:t>
      </w:r>
      <w:r>
        <w:rPr>
          <w:b w:val="0"/>
          <w:bCs/>
          <w:color w:val="auto"/>
        </w:rPr>
        <w:t xml:space="preserve">.7 </w:t>
      </w:r>
      <w:r>
        <w:rPr>
          <w:rFonts w:hint="eastAsia"/>
          <w:b w:val="0"/>
          <w:bCs/>
          <w:color w:val="auto"/>
        </w:rPr>
        <w:t>职业健康</w:t>
      </w:r>
      <w:bookmarkEnd w:id="716"/>
      <w:bookmarkEnd w:id="717"/>
      <w:bookmarkEnd w:id="718"/>
    </w:p>
    <w:p>
      <w:pPr>
        <w:ind w:firstLine="600"/>
        <w:rPr>
          <w:rFonts w:ascii="仿宋_GB2312" w:eastAsia="仿宋_GB2312"/>
          <w:color w:val="auto"/>
          <w:sz w:val="24"/>
        </w:rPr>
      </w:pPr>
      <w:r>
        <w:rPr>
          <w:rFonts w:hint="eastAsia" w:ascii="仿宋_GB2312" w:eastAsia="仿宋_GB2312"/>
          <w:color w:val="auto"/>
          <w:sz w:val="24"/>
        </w:rPr>
        <w:t>承包人应遵守适用的职业健康的法律和合同约定（包括对雇用、职业健康、安全、福利等方面的规定），负责现场实施过程中其人员的职业健康和保护，包括：</w:t>
      </w:r>
    </w:p>
    <w:p>
      <w:pPr>
        <w:ind w:firstLine="600"/>
        <w:rPr>
          <w:rFonts w:ascii="仿宋_GB2312" w:eastAsia="仿宋_GB2312"/>
          <w:color w:val="auto"/>
          <w:sz w:val="24"/>
        </w:rPr>
      </w:pPr>
      <w:r>
        <w:rPr>
          <w:rFonts w:hint="eastAsia" w:ascii="仿宋_GB2312" w:eastAsia="仿宋_GB2312"/>
          <w:color w:val="auto"/>
          <w:sz w:val="24"/>
        </w:rPr>
        <w:t>（1） 承包人应遵守适用的劳动法规，保护承包人员工及承包人聘用的第三方人员的合法休假权等合法权益，按照法律规定安排现场施工人员的劳动和休息时间，保障劳动者的休息时间，并支付合理的报酬和费用。因工程施工的特殊需要占用休假日或延长工作时间的，应不超过法律规定的限度，并按法律规定给予补休或酬劳。</w:t>
      </w:r>
    </w:p>
    <w:p>
      <w:pPr>
        <w:ind w:firstLine="600"/>
        <w:rPr>
          <w:rFonts w:ascii="仿宋_GB2312" w:eastAsia="仿宋_GB2312"/>
          <w:color w:val="auto"/>
          <w:sz w:val="24"/>
        </w:rPr>
      </w:pPr>
      <w:r>
        <w:rPr>
          <w:rFonts w:hint="eastAsia" w:ascii="仿宋_GB2312" w:eastAsia="仿宋_GB2312"/>
          <w:color w:val="auto"/>
          <w:sz w:val="24"/>
        </w:rPr>
        <w:t>（2） 承包人应依法为承包人</w:t>
      </w:r>
      <w:bookmarkStart w:id="719" w:name="_Hlk46339538"/>
      <w:r>
        <w:rPr>
          <w:rFonts w:hint="eastAsia" w:ascii="仿宋_GB2312" w:eastAsia="仿宋_GB2312"/>
          <w:color w:val="auto"/>
          <w:sz w:val="24"/>
        </w:rPr>
        <w:t>员工及承包人聘用的第三方人员</w:t>
      </w:r>
      <w:bookmarkEnd w:id="719"/>
      <w:r>
        <w:rPr>
          <w:rFonts w:hint="eastAsia" w:ascii="仿宋_GB2312" w:eastAsia="仿宋_GB2312"/>
          <w:color w:val="auto"/>
          <w:sz w:val="24"/>
        </w:rPr>
        <w:t>办理必要的证件、许可、保险和注册等，承包人应督促其分包人为分包人员工及分包人聘用的第三方人员办理必要的证件、许可、保险和注册等。承包人应为其履行合同所雇用的人员提供必要的膳宿条件和生活环境，必要的现场食宿条件。</w:t>
      </w:r>
    </w:p>
    <w:p>
      <w:pPr>
        <w:ind w:firstLine="600"/>
        <w:rPr>
          <w:rFonts w:ascii="仿宋_GB2312" w:eastAsia="仿宋_GB2312"/>
          <w:color w:val="auto"/>
          <w:sz w:val="24"/>
        </w:rPr>
      </w:pPr>
      <w:r>
        <w:rPr>
          <w:rFonts w:hint="eastAsia" w:ascii="仿宋_GB2312" w:eastAsia="仿宋_GB2312"/>
          <w:color w:val="auto"/>
          <w:sz w:val="24"/>
        </w:rPr>
        <w:t>（3） 承包人应对其施工人员进行相关作业的职业健康知识培训、危险及危害因素交底、安全操作规程交底、采取有效措施，按有关规定为其现场人员提供劳动保护用品、防护器具、防暑降温用品和安全生产设施。采取有效的防止粉尘、降低噪声、控制有害气体和保障高温、高寒、高空作业安全等劳动保护措施。</w:t>
      </w:r>
    </w:p>
    <w:p>
      <w:pPr>
        <w:ind w:firstLine="600"/>
        <w:rPr>
          <w:rFonts w:ascii="仿宋_GB2312" w:eastAsia="仿宋_GB2312"/>
          <w:color w:val="auto"/>
          <w:sz w:val="24"/>
        </w:rPr>
      </w:pPr>
      <w:r>
        <w:rPr>
          <w:rFonts w:hint="eastAsia" w:ascii="仿宋_GB2312" w:eastAsia="仿宋_GB2312"/>
          <w:color w:val="auto"/>
          <w:sz w:val="24"/>
        </w:rPr>
        <w:t>（4） 承包人应在有毒有害作业区域设置警示标志和说明，对有毒有害岗位进行防治检查，对不合格的防护设施、器具、搭设等及时整改，消除危害职业健康的隐患。发包人人员和工程师人员未经承包人允许、未配备相关保护器具，进入该作业区域所造成的伤害，由发包人承担责任和费用。</w:t>
      </w:r>
    </w:p>
    <w:p>
      <w:pPr>
        <w:ind w:firstLine="600"/>
        <w:rPr>
          <w:rFonts w:ascii="仿宋_GB2312" w:eastAsia="仿宋_GB2312"/>
          <w:color w:val="auto"/>
          <w:sz w:val="24"/>
        </w:rPr>
      </w:pPr>
      <w:r>
        <w:rPr>
          <w:rFonts w:hint="eastAsia" w:ascii="仿宋_GB2312" w:eastAsia="仿宋_GB2312"/>
          <w:color w:val="auto"/>
          <w:sz w:val="24"/>
        </w:rPr>
        <w:t>（5） 承包人应采取有效措施预防传染病，保持食堂的饮食卫生，保证施工人员的健康，并定期对施工现场、施工人员生活基地和工程进行防疫和卫生的专业检查和处理, 在远离城镇的施工现场，还应配备必要的伤病防治和急救的医务人员与医疗设施。承包人雇佣人员在施工中受到伤害的，承包人应立即采取有效措施进行抢救和治疗。</w:t>
      </w:r>
    </w:p>
    <w:p>
      <w:pPr>
        <w:pStyle w:val="315"/>
        <w:widowControl/>
        <w:numPr>
          <w:ilvl w:val="0"/>
          <w:numId w:val="0"/>
        </w:numPr>
        <w:rPr>
          <w:b w:val="0"/>
          <w:bCs/>
          <w:color w:val="auto"/>
        </w:rPr>
      </w:pPr>
      <w:bookmarkStart w:id="720" w:name="_Toc54862243"/>
      <w:bookmarkStart w:id="721" w:name="_Ref11874570"/>
      <w:r>
        <w:rPr>
          <w:rFonts w:hint="eastAsia"/>
          <w:b w:val="0"/>
          <w:bCs/>
          <w:color w:val="auto"/>
        </w:rPr>
        <w:t>7</w:t>
      </w:r>
      <w:r>
        <w:rPr>
          <w:b w:val="0"/>
          <w:bCs/>
          <w:color w:val="auto"/>
        </w:rPr>
        <w:t xml:space="preserve">.8 </w:t>
      </w:r>
      <w:r>
        <w:rPr>
          <w:rFonts w:hint="eastAsia"/>
          <w:b w:val="0"/>
          <w:bCs/>
          <w:color w:val="auto"/>
        </w:rPr>
        <w:t>环境保护</w:t>
      </w:r>
      <w:bookmarkEnd w:id="720"/>
      <w:bookmarkEnd w:id="721"/>
    </w:p>
    <w:p>
      <w:pPr>
        <w:pStyle w:val="88"/>
        <w:numPr>
          <w:ilvl w:val="0"/>
          <w:numId w:val="0"/>
        </w:numPr>
        <w:rPr>
          <w:rFonts w:ascii="仿宋_GB2312" w:eastAsia="仿宋_GB2312"/>
          <w:color w:val="auto"/>
          <w:szCs w:val="24"/>
        </w:rPr>
      </w:pPr>
      <w:r>
        <w:rPr>
          <w:rFonts w:hint="eastAsia" w:ascii="仿宋_GB2312" w:eastAsia="仿宋_GB2312"/>
          <w:color w:val="auto"/>
          <w:szCs w:val="24"/>
        </w:rPr>
        <w:t>7</w:t>
      </w:r>
      <w:r>
        <w:rPr>
          <w:rFonts w:ascii="仿宋_GB2312" w:eastAsia="仿宋_GB2312"/>
          <w:color w:val="auto"/>
          <w:szCs w:val="24"/>
        </w:rPr>
        <w:t xml:space="preserve">.8.1 </w:t>
      </w:r>
      <w:r>
        <w:rPr>
          <w:rFonts w:hint="eastAsia" w:ascii="仿宋_GB2312" w:eastAsia="仿宋_GB2312"/>
          <w:color w:val="auto"/>
          <w:szCs w:val="24"/>
        </w:rPr>
        <w:t>承包人负责在现场施工过程中对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如承包人已及时通知发包人，发包人未能及时作出指示的，所造成的损害、损失、赔偿等费用增加，和（或）竣工日期延误，由发包人负责。</w:t>
      </w:r>
    </w:p>
    <w:p>
      <w:pPr>
        <w:pStyle w:val="88"/>
        <w:numPr>
          <w:ilvl w:val="0"/>
          <w:numId w:val="0"/>
        </w:numPr>
        <w:rPr>
          <w:rFonts w:ascii="仿宋_GB2312" w:eastAsia="仿宋_GB2312"/>
          <w:color w:val="auto"/>
          <w:szCs w:val="24"/>
        </w:rPr>
      </w:pPr>
      <w:r>
        <w:rPr>
          <w:rFonts w:hint="eastAsia" w:ascii="仿宋_GB2312" w:eastAsia="仿宋_GB2312"/>
          <w:color w:val="auto"/>
          <w:szCs w:val="24"/>
        </w:rPr>
        <w:t>7</w:t>
      </w:r>
      <w:r>
        <w:rPr>
          <w:rFonts w:ascii="仿宋_GB2312" w:eastAsia="仿宋_GB2312"/>
          <w:color w:val="auto"/>
          <w:szCs w:val="24"/>
        </w:rPr>
        <w:t xml:space="preserve">.8.2 </w:t>
      </w:r>
      <w:r>
        <w:rPr>
          <w:rFonts w:hint="eastAsia" w:ascii="仿宋_GB2312" w:eastAsia="仿宋_GB2312"/>
          <w:color w:val="auto"/>
          <w:szCs w:val="24"/>
        </w:rPr>
        <w:t>承包人应采取措施，并负责控制和（或）处理现场的粉尘、废气、废水、固体废物和噪声对环境的污染和危害。因此发生的伤害、赔偿、罚款等费用增加，和（或）竣工日期延误，由承包人负责。</w:t>
      </w:r>
    </w:p>
    <w:p>
      <w:pPr>
        <w:pStyle w:val="88"/>
        <w:numPr>
          <w:ilvl w:val="0"/>
          <w:numId w:val="0"/>
        </w:numPr>
        <w:rPr>
          <w:rFonts w:ascii="仿宋_GB2312" w:eastAsia="仿宋_GB2312"/>
          <w:color w:val="auto"/>
          <w:szCs w:val="24"/>
        </w:rPr>
      </w:pPr>
      <w:r>
        <w:rPr>
          <w:rFonts w:hint="eastAsia" w:ascii="仿宋_GB2312" w:eastAsia="仿宋_GB2312"/>
          <w:color w:val="auto"/>
          <w:szCs w:val="24"/>
        </w:rPr>
        <w:t>7</w:t>
      </w:r>
      <w:r>
        <w:rPr>
          <w:rFonts w:ascii="仿宋_GB2312" w:eastAsia="仿宋_GB2312"/>
          <w:color w:val="auto"/>
          <w:szCs w:val="24"/>
        </w:rPr>
        <w:t xml:space="preserve">.8.3 </w:t>
      </w:r>
      <w:r>
        <w:rPr>
          <w:rFonts w:hint="eastAsia" w:ascii="仿宋_GB2312" w:eastAsia="仿宋_GB2312"/>
          <w:color w:val="auto"/>
          <w:szCs w:val="24"/>
        </w:rPr>
        <w:t>承包人及时或定期将施工现场残留、废弃的垃圾分类后运到发包人或当地有关行政部门指定的地点，防止对周围环境的污染及对作业的影响。承包人应当承担因其原因引起的环境污染侵权损害赔偿责任，因违反上述约定导致当地行政部门的罚款、赔偿等增加的费用，由承包人承担；因上述环境污染引起纠纷而导致暂停施工的，由此增加的费用和（或）延误的工期由承包人承担。</w:t>
      </w:r>
    </w:p>
    <w:p>
      <w:pPr>
        <w:pStyle w:val="315"/>
        <w:widowControl/>
        <w:numPr>
          <w:ilvl w:val="0"/>
          <w:numId w:val="0"/>
        </w:numPr>
        <w:rPr>
          <w:b w:val="0"/>
          <w:bCs/>
          <w:color w:val="auto"/>
        </w:rPr>
      </w:pPr>
      <w:bookmarkStart w:id="722" w:name="_Toc54862244"/>
      <w:bookmarkStart w:id="723" w:name="_Ref531954344"/>
      <w:bookmarkStart w:id="724" w:name="_Ref531954340"/>
      <w:bookmarkStart w:id="725" w:name="_Ref4771116"/>
      <w:r>
        <w:rPr>
          <w:rFonts w:hint="eastAsia"/>
          <w:b w:val="0"/>
          <w:bCs/>
          <w:color w:val="auto"/>
        </w:rPr>
        <w:t>7</w:t>
      </w:r>
      <w:r>
        <w:rPr>
          <w:b w:val="0"/>
          <w:bCs/>
          <w:color w:val="auto"/>
        </w:rPr>
        <w:t xml:space="preserve">.9 </w:t>
      </w:r>
      <w:r>
        <w:rPr>
          <w:rFonts w:hint="eastAsia"/>
          <w:b w:val="0"/>
          <w:bCs/>
          <w:color w:val="auto"/>
        </w:rPr>
        <w:t>临时性公用设施</w:t>
      </w:r>
      <w:bookmarkEnd w:id="722"/>
      <w:bookmarkEnd w:id="723"/>
      <w:bookmarkEnd w:id="724"/>
      <w:r>
        <w:rPr>
          <w:rFonts w:hint="eastAsia"/>
          <w:b w:val="0"/>
          <w:bCs/>
          <w:color w:val="auto"/>
        </w:rPr>
        <w:t xml:space="preserve"> </w:t>
      </w:r>
      <w:bookmarkEnd w:id="725"/>
    </w:p>
    <w:p>
      <w:pPr>
        <w:pStyle w:val="88"/>
        <w:numPr>
          <w:ilvl w:val="0"/>
          <w:numId w:val="0"/>
        </w:numPr>
        <w:rPr>
          <w:rFonts w:ascii="仿宋_GB2312" w:eastAsia="仿宋_GB2312"/>
          <w:color w:val="auto"/>
          <w:szCs w:val="24"/>
        </w:rPr>
      </w:pPr>
      <w:r>
        <w:rPr>
          <w:rFonts w:hint="eastAsia" w:ascii="仿宋_GB2312" w:eastAsia="仿宋_GB2312"/>
          <w:color w:val="auto"/>
          <w:szCs w:val="24"/>
        </w:rPr>
        <w:t>7</w:t>
      </w:r>
      <w:r>
        <w:rPr>
          <w:rFonts w:ascii="仿宋_GB2312" w:eastAsia="仿宋_GB2312"/>
          <w:color w:val="auto"/>
          <w:szCs w:val="24"/>
        </w:rPr>
        <w:t xml:space="preserve">.9.1 </w:t>
      </w:r>
      <w:r>
        <w:rPr>
          <w:rFonts w:hint="eastAsia" w:ascii="仿宋_GB2312" w:eastAsia="仿宋_GB2312"/>
          <w:color w:val="auto"/>
          <w:szCs w:val="24"/>
        </w:rPr>
        <w:t>提供临时用水、用电等和节点铺设</w:t>
      </w:r>
    </w:p>
    <w:p>
      <w:pPr>
        <w:ind w:firstLine="600"/>
        <w:rPr>
          <w:rFonts w:ascii="仿宋_GB2312" w:eastAsia="仿宋_GB2312"/>
          <w:color w:val="auto"/>
          <w:sz w:val="24"/>
        </w:rPr>
      </w:pPr>
      <w:r>
        <w:rPr>
          <w:rFonts w:hint="eastAsia" w:ascii="仿宋_GB2312" w:eastAsia="仿宋_GB2312"/>
          <w:color w:val="auto"/>
          <w:sz w:val="24"/>
        </w:rPr>
        <w:t>除专用合同条件另有约定外，发包人应在承包人进场前将施工临时用水、用电等接至约定的节点位置，并保证其需要。上述临时使用的水、电等的类别、取费单价在专用合同条件中约定，发包人按实际计量结果收费。发包人无法提供的水、电等在专用合同条件中约定，相关费用由承包人纳入报价并承担相关责任。</w:t>
      </w:r>
    </w:p>
    <w:p>
      <w:pPr>
        <w:ind w:firstLine="600"/>
        <w:rPr>
          <w:rFonts w:ascii="仿宋_GB2312" w:eastAsia="仿宋_GB2312"/>
          <w:color w:val="auto"/>
          <w:sz w:val="24"/>
        </w:rPr>
      </w:pPr>
      <w:r>
        <w:rPr>
          <w:rFonts w:hint="eastAsia" w:ascii="仿宋_GB2312" w:eastAsia="仿宋_GB2312"/>
          <w:color w:val="auto"/>
          <w:sz w:val="24"/>
        </w:rPr>
        <w:t>发包人未能按约定的类别和时间完成节点铺设，使开工时间延误，竣工日期相应顺延。未能按约定的品质、数量和时间提供水、电等，给承包人造成的损失由发包人承担，导致工程关键路径延误的，竣工日期相应顺延。</w:t>
      </w:r>
    </w:p>
    <w:p>
      <w:pPr>
        <w:pStyle w:val="88"/>
        <w:numPr>
          <w:ilvl w:val="0"/>
          <w:numId w:val="0"/>
        </w:numPr>
        <w:rPr>
          <w:rFonts w:ascii="仿宋_GB2312" w:eastAsia="仿宋_GB2312"/>
          <w:color w:val="auto"/>
          <w:szCs w:val="24"/>
        </w:rPr>
      </w:pPr>
      <w:r>
        <w:rPr>
          <w:rFonts w:hint="eastAsia" w:ascii="仿宋_GB2312" w:eastAsia="仿宋_GB2312"/>
          <w:color w:val="auto"/>
          <w:szCs w:val="24"/>
        </w:rPr>
        <w:t>7</w:t>
      </w:r>
      <w:r>
        <w:rPr>
          <w:rFonts w:ascii="仿宋_GB2312" w:eastAsia="仿宋_GB2312"/>
          <w:color w:val="auto"/>
          <w:szCs w:val="24"/>
        </w:rPr>
        <w:t xml:space="preserve">.9.2 </w:t>
      </w:r>
      <w:r>
        <w:rPr>
          <w:rFonts w:hint="eastAsia" w:ascii="仿宋_GB2312" w:eastAsia="仿宋_GB2312"/>
          <w:color w:val="auto"/>
          <w:szCs w:val="24"/>
        </w:rPr>
        <w:t>临时用水、用电等</w:t>
      </w:r>
    </w:p>
    <w:p>
      <w:pPr>
        <w:ind w:firstLine="600"/>
        <w:rPr>
          <w:rFonts w:ascii="仿宋_GB2312" w:eastAsia="仿宋_GB2312"/>
          <w:color w:val="auto"/>
          <w:sz w:val="24"/>
        </w:rPr>
      </w:pPr>
      <w:r>
        <w:rPr>
          <w:rFonts w:hint="eastAsia" w:ascii="仿宋_GB2312" w:eastAsia="仿宋_GB2312"/>
          <w:color w:val="auto"/>
          <w:sz w:val="24"/>
        </w:rPr>
        <w:t>承包人应在计划开始现场施工日期28天前或双方约定的其它时间，按专用合同条件中约定的发包人能够提供的临时用水、用电等类别，向发包人提交施工（含工程物资保管）所需的临时用水、用电等的品质、正常用量、高峰用量、使用时间和节点位置等资料。承包人自费负责计量仪器的购买、安装和维护，并依据专用合同条件中约定的单价向发包人交费，合同当事人另有约定时除外。</w:t>
      </w:r>
    </w:p>
    <w:p>
      <w:pPr>
        <w:ind w:firstLine="600"/>
        <w:rPr>
          <w:rFonts w:ascii="仿宋_GB2312" w:eastAsia="仿宋_GB2312"/>
          <w:color w:val="auto"/>
          <w:sz w:val="24"/>
        </w:rPr>
      </w:pPr>
      <w:r>
        <w:rPr>
          <w:rFonts w:hint="eastAsia" w:ascii="仿宋_GB2312" w:eastAsia="仿宋_GB2312"/>
          <w:color w:val="auto"/>
          <w:sz w:val="24"/>
        </w:rPr>
        <w:t>因承包人未能按合同约定提交上述资料，造成发包人费用增加和竣工日期延误时，由承包人负责。</w:t>
      </w:r>
      <w:bookmarkStart w:id="726" w:name="_Ref508893743"/>
    </w:p>
    <w:p>
      <w:pPr>
        <w:pStyle w:val="315"/>
        <w:widowControl/>
        <w:numPr>
          <w:ilvl w:val="0"/>
          <w:numId w:val="0"/>
        </w:numPr>
        <w:rPr>
          <w:b w:val="0"/>
          <w:bCs/>
          <w:color w:val="auto"/>
        </w:rPr>
      </w:pPr>
      <w:bookmarkStart w:id="727" w:name="_Toc54862245"/>
      <w:bookmarkStart w:id="728" w:name="_Ref531952239"/>
      <w:bookmarkStart w:id="729" w:name="_Ref531952248"/>
      <w:r>
        <w:rPr>
          <w:rFonts w:hint="eastAsia"/>
          <w:b w:val="0"/>
          <w:bCs/>
          <w:color w:val="auto"/>
        </w:rPr>
        <w:t>7</w:t>
      </w:r>
      <w:r>
        <w:rPr>
          <w:b w:val="0"/>
          <w:bCs/>
          <w:color w:val="auto"/>
        </w:rPr>
        <w:t xml:space="preserve">.10 </w:t>
      </w:r>
      <w:r>
        <w:rPr>
          <w:rFonts w:hint="eastAsia"/>
          <w:b w:val="0"/>
          <w:bCs/>
          <w:color w:val="auto"/>
        </w:rPr>
        <w:t>现场安保</w:t>
      </w:r>
      <w:bookmarkEnd w:id="727"/>
      <w:bookmarkEnd w:id="728"/>
      <w:bookmarkEnd w:id="729"/>
    </w:p>
    <w:p>
      <w:pPr>
        <w:ind w:firstLine="600"/>
        <w:rPr>
          <w:rFonts w:ascii="仿宋_GB2312" w:eastAsia="仿宋_GB2312"/>
          <w:color w:val="auto"/>
          <w:sz w:val="24"/>
        </w:rPr>
      </w:pPr>
      <w:r>
        <w:rPr>
          <w:rFonts w:hint="eastAsia" w:ascii="仿宋_GB2312" w:eastAsia="仿宋_GB2312"/>
          <w:color w:val="auto"/>
          <w:sz w:val="24"/>
        </w:rPr>
        <w:t>承包人承担自发包人向其移交施工现场、进入占有施工现场至发包人接收单位/区段工程或（和）工程之前的现场安保责任，并负责编制相关的安保制度、责任制度和报告制度，提交给发包人。除专用合同条件另有约定外，承包人的该等义务不因其与他人共同合法占有施工现场而减免。承包人有权要求发包人负责协调他人就共同合法占有现场的安保事宜接受承包人的管理。</w:t>
      </w:r>
    </w:p>
    <w:p>
      <w:pPr>
        <w:ind w:firstLine="600"/>
        <w:rPr>
          <w:rFonts w:ascii="仿宋_GB2312" w:eastAsia="仿宋_GB2312"/>
          <w:color w:val="auto"/>
          <w:sz w:val="24"/>
        </w:rPr>
      </w:pPr>
      <w:r>
        <w:rPr>
          <w:rFonts w:hint="eastAsia" w:ascii="仿宋_GB2312" w:eastAsia="仿宋_GB2312"/>
          <w:color w:val="auto"/>
          <w:sz w:val="24"/>
        </w:rPr>
        <w:t>承包人应将其作业限制在现场区域、合同约定的区域或为履行合同所需的区域内。承包人应采取一切必要的预防措施，以保持承包人的设备和人员处于现场区域内，避免其进入邻近地区。</w:t>
      </w:r>
    </w:p>
    <w:p>
      <w:pPr>
        <w:ind w:firstLine="600"/>
        <w:rPr>
          <w:rFonts w:ascii="仿宋_GB2312" w:eastAsia="仿宋_GB2312"/>
          <w:color w:val="auto"/>
          <w:sz w:val="24"/>
        </w:rPr>
      </w:pPr>
      <w:r>
        <w:rPr>
          <w:rFonts w:hint="eastAsia" w:ascii="仿宋_GB2312" w:eastAsia="仿宋_GB2312"/>
          <w:color w:val="auto"/>
          <w:sz w:val="24"/>
        </w:rPr>
        <w:t>承包人为履行合同义务而占用的其他场所（如预制加工场所、办公及生活营区） 的安保适用本款前述关于现场安保的规定。</w:t>
      </w:r>
    </w:p>
    <w:p>
      <w:pPr>
        <w:pStyle w:val="315"/>
        <w:widowControl/>
        <w:numPr>
          <w:ilvl w:val="0"/>
          <w:numId w:val="0"/>
        </w:numPr>
        <w:rPr>
          <w:b w:val="0"/>
          <w:bCs/>
          <w:color w:val="auto"/>
        </w:rPr>
      </w:pPr>
      <w:bookmarkStart w:id="730" w:name="_Toc54862246"/>
      <w:r>
        <w:rPr>
          <w:rFonts w:hint="eastAsia"/>
          <w:b w:val="0"/>
          <w:bCs/>
          <w:color w:val="auto"/>
        </w:rPr>
        <w:t>7</w:t>
      </w:r>
      <w:r>
        <w:rPr>
          <w:b w:val="0"/>
          <w:bCs/>
          <w:color w:val="auto"/>
        </w:rPr>
        <w:t xml:space="preserve">.11 </w:t>
      </w:r>
      <w:r>
        <w:rPr>
          <w:rFonts w:hint="eastAsia"/>
          <w:b w:val="0"/>
          <w:bCs/>
          <w:color w:val="auto"/>
        </w:rPr>
        <w:t>工程照管</w:t>
      </w:r>
      <w:bookmarkEnd w:id="730"/>
    </w:p>
    <w:p>
      <w:pPr>
        <w:ind w:firstLine="600"/>
        <w:rPr>
          <w:rFonts w:ascii="仿宋_GB2312" w:eastAsia="仿宋_GB2312"/>
          <w:color w:val="auto"/>
          <w:sz w:val="24"/>
        </w:rPr>
      </w:pPr>
      <w:r>
        <w:rPr>
          <w:rFonts w:hint="eastAsia" w:ascii="仿宋_GB2312" w:eastAsia="仿宋_GB2312"/>
          <w:color w:val="auto"/>
          <w:sz w:val="24"/>
        </w:rPr>
        <w:t>自开始现场施工日期起至发包人应当接收工程之日止，承包人应承担工程现场、材料、设备及承包人文件的照管和维护工作。</w:t>
      </w:r>
    </w:p>
    <w:p>
      <w:pPr>
        <w:ind w:firstLine="600"/>
        <w:rPr>
          <w:rFonts w:ascii="仿宋_GB2312" w:eastAsia="仿宋_GB2312"/>
          <w:color w:val="auto"/>
          <w:sz w:val="24"/>
        </w:rPr>
      </w:pPr>
      <w:r>
        <w:rPr>
          <w:rFonts w:hint="eastAsia" w:ascii="仿宋_GB2312" w:eastAsia="仿宋_GB2312"/>
          <w:color w:val="auto"/>
          <w:sz w:val="24"/>
        </w:rPr>
        <w:t>如部分工程于竣工验收前提前交付发包人的，则自交付之日起，该部分工程照管及维护职责由发包人承担。</w:t>
      </w:r>
    </w:p>
    <w:p>
      <w:pPr>
        <w:ind w:firstLine="600"/>
        <w:rPr>
          <w:rFonts w:ascii="仿宋_GB2312" w:eastAsia="仿宋_GB2312"/>
          <w:color w:val="auto"/>
          <w:sz w:val="24"/>
        </w:rPr>
      </w:pPr>
      <w:r>
        <w:rPr>
          <w:rFonts w:hint="eastAsia" w:ascii="仿宋_GB2312" w:eastAsia="仿宋_GB2312"/>
          <w:color w:val="auto"/>
          <w:sz w:val="24"/>
        </w:rPr>
        <w:t>如发包人及承包人进行竣工验收时尚有部分未竣工工程的，承包人应负责该未竣工工程的照管和维护工作，直至竣工后移交给发包人。</w:t>
      </w:r>
    </w:p>
    <w:p>
      <w:pPr>
        <w:ind w:firstLine="600"/>
        <w:rPr>
          <w:rFonts w:ascii="仿宋_GB2312" w:eastAsia="仿宋_GB2312"/>
          <w:color w:val="auto"/>
          <w:sz w:val="24"/>
        </w:rPr>
      </w:pPr>
      <w:r>
        <w:rPr>
          <w:rFonts w:hint="eastAsia" w:ascii="仿宋_GB2312" w:eastAsia="仿宋_GB2312"/>
          <w:color w:val="auto"/>
          <w:sz w:val="24"/>
        </w:rPr>
        <w:t>如合同解除或终止的，承包人自合同解除或终止之日起不再对工程承担照管和维护义务。</w:t>
      </w:r>
    </w:p>
    <w:p>
      <w:pPr>
        <w:pStyle w:val="164"/>
        <w:numPr>
          <w:ilvl w:val="0"/>
          <w:numId w:val="0"/>
        </w:numPr>
        <w:wordWrap/>
        <w:topLinePunct w:val="0"/>
        <w:rPr>
          <w:b w:val="0"/>
          <w:bCs/>
          <w:color w:val="auto"/>
          <w:sz w:val="24"/>
          <w:szCs w:val="24"/>
        </w:rPr>
      </w:pPr>
      <w:bookmarkStart w:id="731" w:name="_Toc54862247"/>
      <w:bookmarkStart w:id="732" w:name="_Ref508998009"/>
      <w:bookmarkStart w:id="733" w:name="_Ref531954505"/>
      <w:bookmarkStart w:id="734" w:name="_Ref531954518"/>
      <w:r>
        <w:rPr>
          <w:rFonts w:hint="eastAsia"/>
          <w:b w:val="0"/>
          <w:bCs/>
          <w:color w:val="auto"/>
          <w:sz w:val="24"/>
          <w:szCs w:val="24"/>
        </w:rPr>
        <w:t>第8条 工期和进度</w:t>
      </w:r>
      <w:bookmarkEnd w:id="731"/>
      <w:bookmarkEnd w:id="732"/>
    </w:p>
    <w:p>
      <w:pPr>
        <w:pStyle w:val="315"/>
        <w:widowControl/>
        <w:numPr>
          <w:ilvl w:val="0"/>
          <w:numId w:val="0"/>
        </w:numPr>
        <w:rPr>
          <w:b w:val="0"/>
          <w:bCs/>
          <w:color w:val="auto"/>
        </w:rPr>
      </w:pPr>
      <w:bookmarkStart w:id="735" w:name="_Ref532362777"/>
      <w:bookmarkStart w:id="736" w:name="_Toc54862248"/>
      <w:bookmarkStart w:id="737" w:name="_Ref532362075"/>
      <w:bookmarkStart w:id="738" w:name="_Ref532362774"/>
      <w:bookmarkStart w:id="739" w:name="_Ref532362072"/>
      <w:r>
        <w:rPr>
          <w:rFonts w:hint="eastAsia"/>
          <w:b w:val="0"/>
          <w:bCs/>
          <w:color w:val="auto"/>
        </w:rPr>
        <w:t>8</w:t>
      </w:r>
      <w:r>
        <w:rPr>
          <w:b w:val="0"/>
          <w:bCs/>
          <w:color w:val="auto"/>
        </w:rPr>
        <w:t xml:space="preserve">.1 </w:t>
      </w:r>
      <w:r>
        <w:rPr>
          <w:rFonts w:hint="eastAsia"/>
          <w:b w:val="0"/>
          <w:bCs/>
          <w:color w:val="auto"/>
        </w:rPr>
        <w:t>开始工作</w:t>
      </w:r>
      <w:bookmarkEnd w:id="735"/>
      <w:bookmarkEnd w:id="736"/>
      <w:bookmarkEnd w:id="737"/>
      <w:bookmarkEnd w:id="738"/>
      <w:bookmarkEnd w:id="739"/>
    </w:p>
    <w:p>
      <w:pPr>
        <w:pStyle w:val="88"/>
        <w:numPr>
          <w:ilvl w:val="0"/>
          <w:numId w:val="0"/>
        </w:numPr>
        <w:rPr>
          <w:rFonts w:ascii="仿宋_GB2312" w:eastAsia="仿宋_GB2312"/>
          <w:color w:val="auto"/>
          <w:szCs w:val="24"/>
        </w:rPr>
      </w:pPr>
      <w:bookmarkStart w:id="740" w:name="_Ref4428890"/>
      <w:r>
        <w:rPr>
          <w:rFonts w:hint="eastAsia" w:ascii="仿宋_GB2312" w:eastAsia="仿宋_GB2312"/>
          <w:color w:val="auto"/>
          <w:szCs w:val="24"/>
        </w:rPr>
        <w:t>8</w:t>
      </w:r>
      <w:r>
        <w:rPr>
          <w:rFonts w:ascii="仿宋_GB2312" w:eastAsia="仿宋_GB2312"/>
          <w:color w:val="auto"/>
          <w:szCs w:val="24"/>
        </w:rPr>
        <w:t xml:space="preserve">.1.1 </w:t>
      </w:r>
      <w:r>
        <w:rPr>
          <w:rFonts w:hint="eastAsia" w:ascii="仿宋_GB2312" w:eastAsia="仿宋_GB2312"/>
          <w:color w:val="auto"/>
          <w:szCs w:val="24"/>
        </w:rPr>
        <w:t>开始工作准备</w:t>
      </w:r>
      <w:bookmarkEnd w:id="740"/>
    </w:p>
    <w:p>
      <w:pPr>
        <w:ind w:firstLine="600"/>
        <w:rPr>
          <w:rFonts w:ascii="仿宋_GB2312" w:eastAsia="仿宋_GB2312"/>
          <w:color w:val="auto"/>
          <w:sz w:val="24"/>
        </w:rPr>
      </w:pPr>
      <w:r>
        <w:rPr>
          <w:rFonts w:hint="eastAsia" w:ascii="仿宋_GB2312" w:eastAsia="仿宋_GB2312"/>
          <w:color w:val="auto"/>
          <w:sz w:val="24"/>
        </w:rPr>
        <w:t>合同当事人应按专用合同条件约定完成开始工作准备工作。</w:t>
      </w:r>
    </w:p>
    <w:p>
      <w:pPr>
        <w:pStyle w:val="88"/>
        <w:numPr>
          <w:ilvl w:val="0"/>
          <w:numId w:val="0"/>
        </w:numPr>
        <w:rPr>
          <w:rFonts w:ascii="仿宋_GB2312" w:eastAsia="仿宋_GB2312"/>
          <w:color w:val="auto"/>
          <w:szCs w:val="24"/>
        </w:rPr>
      </w:pPr>
      <w:bookmarkStart w:id="741" w:name="_Ref536790534"/>
      <w:bookmarkStart w:id="742" w:name="_Hlk51506490"/>
      <w:r>
        <w:rPr>
          <w:rFonts w:hint="eastAsia" w:ascii="仿宋_GB2312" w:eastAsia="仿宋_GB2312"/>
          <w:color w:val="auto"/>
          <w:szCs w:val="24"/>
        </w:rPr>
        <w:t>8</w:t>
      </w:r>
      <w:r>
        <w:rPr>
          <w:rFonts w:ascii="仿宋_GB2312" w:eastAsia="仿宋_GB2312"/>
          <w:color w:val="auto"/>
          <w:szCs w:val="24"/>
        </w:rPr>
        <w:t xml:space="preserve">.1.2 </w:t>
      </w:r>
      <w:r>
        <w:rPr>
          <w:rFonts w:hint="eastAsia" w:ascii="仿宋_GB2312" w:eastAsia="仿宋_GB2312"/>
          <w:color w:val="auto"/>
          <w:szCs w:val="24"/>
        </w:rPr>
        <w:t>开始工作通知</w:t>
      </w:r>
      <w:bookmarkEnd w:id="741"/>
    </w:p>
    <w:bookmarkEnd w:id="742"/>
    <w:p>
      <w:pPr>
        <w:ind w:firstLine="600"/>
        <w:rPr>
          <w:rFonts w:ascii="仿宋_GB2312" w:eastAsia="仿宋_GB2312"/>
          <w:color w:val="auto"/>
          <w:sz w:val="24"/>
        </w:rPr>
      </w:pPr>
      <w:r>
        <w:rPr>
          <w:rFonts w:hint="eastAsia" w:ascii="仿宋_GB2312" w:eastAsia="仿宋_GB2312"/>
          <w:color w:val="auto"/>
          <w:sz w:val="24"/>
        </w:rPr>
        <w:t>经发包人同意后，工程师应提前7天向承包人发出经发包人签认的开始工作通知，工期自开始工作通知中载明的开始工作日期起算。</w:t>
      </w:r>
    </w:p>
    <w:p>
      <w:pPr>
        <w:ind w:firstLine="600"/>
        <w:rPr>
          <w:rFonts w:ascii="仿宋_GB2312" w:eastAsia="仿宋_GB2312"/>
          <w:color w:val="auto"/>
          <w:sz w:val="24"/>
        </w:rPr>
      </w:pPr>
      <w:r>
        <w:rPr>
          <w:rFonts w:hint="eastAsia" w:ascii="仿宋_GB2312" w:eastAsia="仿宋_GB2312"/>
          <w:color w:val="auto"/>
          <w:sz w:val="24"/>
        </w:rPr>
        <w:t>除专用合同条件另有约定外，因发包人原因造成实际开始现场施工日期迟于</w:t>
      </w:r>
      <w:bookmarkStart w:id="743" w:name="_Hlk51506566"/>
      <w:r>
        <w:rPr>
          <w:rFonts w:hint="eastAsia" w:ascii="仿宋_GB2312" w:eastAsia="仿宋_GB2312"/>
          <w:color w:val="auto"/>
          <w:sz w:val="24"/>
        </w:rPr>
        <w:t>计划开始现场施工日期</w:t>
      </w:r>
      <w:bookmarkEnd w:id="743"/>
      <w:r>
        <w:rPr>
          <w:rFonts w:hint="eastAsia" w:ascii="仿宋_GB2312" w:eastAsia="仿宋_GB2312"/>
          <w:color w:val="auto"/>
          <w:sz w:val="24"/>
        </w:rPr>
        <w:t>后第</w:t>
      </w:r>
      <w:r>
        <w:rPr>
          <w:rFonts w:ascii="仿宋_GB2312" w:eastAsia="仿宋_GB2312"/>
          <w:color w:val="auto"/>
          <w:sz w:val="24"/>
        </w:rPr>
        <w:t>84</w:t>
      </w:r>
      <w:r>
        <w:rPr>
          <w:rFonts w:hint="eastAsia" w:ascii="仿宋_GB2312" w:eastAsia="仿宋_GB2312"/>
          <w:color w:val="auto"/>
          <w:sz w:val="24"/>
        </w:rPr>
        <w:t>天的，承包人有权提出价格调整要求，或者解除合同。发包人应当承担由此增加的费用和（或）延误的工期，并向承包人支付合理利润。</w:t>
      </w:r>
    </w:p>
    <w:p>
      <w:pPr>
        <w:pStyle w:val="315"/>
        <w:widowControl/>
        <w:numPr>
          <w:ilvl w:val="0"/>
          <w:numId w:val="0"/>
        </w:numPr>
        <w:rPr>
          <w:b w:val="0"/>
          <w:bCs/>
          <w:color w:val="auto"/>
        </w:rPr>
      </w:pPr>
      <w:bookmarkStart w:id="744" w:name="_Ref532362124"/>
      <w:bookmarkStart w:id="745" w:name="_Toc54862249"/>
      <w:r>
        <w:rPr>
          <w:rFonts w:hint="eastAsia"/>
          <w:b w:val="0"/>
          <w:bCs/>
          <w:color w:val="auto"/>
        </w:rPr>
        <w:t>8</w:t>
      </w:r>
      <w:r>
        <w:rPr>
          <w:b w:val="0"/>
          <w:bCs/>
          <w:color w:val="auto"/>
        </w:rPr>
        <w:t xml:space="preserve">.2 </w:t>
      </w:r>
      <w:r>
        <w:rPr>
          <w:rFonts w:hint="eastAsia"/>
          <w:b w:val="0"/>
          <w:bCs/>
          <w:color w:val="auto"/>
        </w:rPr>
        <w:t>竣工日期</w:t>
      </w:r>
      <w:bookmarkEnd w:id="744"/>
      <w:bookmarkEnd w:id="745"/>
      <w:r>
        <w:rPr>
          <w:rFonts w:hint="eastAsia"/>
          <w:b w:val="0"/>
          <w:bCs/>
          <w:color w:val="auto"/>
        </w:rPr>
        <w:t xml:space="preserve"> </w:t>
      </w:r>
    </w:p>
    <w:p>
      <w:pPr>
        <w:ind w:firstLine="600"/>
        <w:rPr>
          <w:rFonts w:ascii="仿宋_GB2312" w:eastAsia="仿宋_GB2312"/>
          <w:color w:val="auto"/>
          <w:sz w:val="24"/>
        </w:rPr>
      </w:pPr>
      <w:r>
        <w:rPr>
          <w:rFonts w:hint="eastAsia" w:ascii="仿宋_GB2312" w:eastAsia="仿宋_GB2312"/>
          <w:color w:val="auto"/>
          <w:sz w:val="24"/>
        </w:rPr>
        <w:t>承包人应在合同协议书约定的工期内完成合同工作。除专用合同条件另有约定外，工程的竣工日期以第</w:t>
      </w:r>
      <w:r>
        <w:rPr>
          <w:rFonts w:ascii="仿宋_GB2312" w:eastAsia="仿宋_GB2312"/>
          <w:color w:val="auto"/>
          <w:sz w:val="24"/>
        </w:rPr>
        <w:t>10.1</w:t>
      </w:r>
      <w:r>
        <w:rPr>
          <w:rFonts w:hint="eastAsia" w:ascii="仿宋_GB2312" w:eastAsia="仿宋_GB2312"/>
          <w:color w:val="auto"/>
          <w:sz w:val="24"/>
        </w:rPr>
        <w:t>条[竣工验收]的约定为准，并在工程接收证书中写明。</w:t>
      </w:r>
    </w:p>
    <w:p>
      <w:pPr>
        <w:ind w:firstLine="600"/>
        <w:rPr>
          <w:rFonts w:ascii="仿宋_GB2312" w:eastAsia="仿宋_GB2312"/>
          <w:color w:val="auto"/>
          <w:sz w:val="24"/>
        </w:rPr>
      </w:pPr>
      <w:r>
        <w:rPr>
          <w:rFonts w:hint="eastAsia" w:ascii="仿宋_GB2312" w:eastAsia="仿宋_GB2312"/>
          <w:color w:val="auto"/>
          <w:sz w:val="24"/>
        </w:rPr>
        <w:t>因发包人原因，在工程师收到承包人竣工验收申请报告</w:t>
      </w:r>
      <w:r>
        <w:rPr>
          <w:rFonts w:ascii="仿宋_GB2312" w:eastAsia="仿宋_GB2312"/>
          <w:color w:val="auto"/>
          <w:sz w:val="24"/>
        </w:rPr>
        <w:t>42</w:t>
      </w:r>
      <w:r>
        <w:rPr>
          <w:rFonts w:hint="eastAsia" w:ascii="仿宋_GB2312" w:eastAsia="仿宋_GB2312"/>
          <w:color w:val="auto"/>
          <w:sz w:val="24"/>
        </w:rPr>
        <w:t>天后未进行验收的，视为验收合格，实际竣工日期以提交竣工验收申请报告的日期为准，但发包人由于不可抗力不能进行验收的除外。</w:t>
      </w:r>
    </w:p>
    <w:p>
      <w:pPr>
        <w:pStyle w:val="315"/>
        <w:widowControl/>
        <w:numPr>
          <w:ilvl w:val="0"/>
          <w:numId w:val="0"/>
        </w:numPr>
        <w:rPr>
          <w:b w:val="0"/>
          <w:bCs/>
          <w:color w:val="auto"/>
        </w:rPr>
      </w:pPr>
      <w:bookmarkStart w:id="746" w:name="_Toc54862250"/>
      <w:bookmarkStart w:id="747" w:name="_Ref11863334"/>
      <w:bookmarkStart w:id="748" w:name="_Ref532362207"/>
      <w:bookmarkStart w:id="749" w:name="_Ref532352856"/>
      <w:bookmarkStart w:id="750" w:name="_Ref532352853"/>
      <w:bookmarkStart w:id="751" w:name="_Ref532362204"/>
      <w:r>
        <w:rPr>
          <w:rFonts w:hint="eastAsia"/>
          <w:b w:val="0"/>
          <w:bCs/>
          <w:color w:val="auto"/>
        </w:rPr>
        <w:t>8</w:t>
      </w:r>
      <w:r>
        <w:rPr>
          <w:b w:val="0"/>
          <w:bCs/>
          <w:color w:val="auto"/>
        </w:rPr>
        <w:t xml:space="preserve">.3 </w:t>
      </w:r>
      <w:r>
        <w:rPr>
          <w:rFonts w:hint="eastAsia"/>
          <w:b w:val="0"/>
          <w:bCs/>
          <w:color w:val="auto"/>
        </w:rPr>
        <w:t>项目实施计划</w:t>
      </w:r>
      <w:bookmarkEnd w:id="746"/>
      <w:bookmarkEnd w:id="747"/>
    </w:p>
    <w:p>
      <w:pPr>
        <w:pStyle w:val="88"/>
        <w:numPr>
          <w:ilvl w:val="0"/>
          <w:numId w:val="0"/>
        </w:numPr>
        <w:rPr>
          <w:rFonts w:ascii="仿宋_GB2312" w:eastAsia="仿宋_GB2312"/>
          <w:color w:val="auto"/>
          <w:szCs w:val="24"/>
        </w:rPr>
      </w:pPr>
      <w:bookmarkStart w:id="752" w:name="_Ref18990904"/>
      <w:r>
        <w:rPr>
          <w:rFonts w:hint="eastAsia" w:ascii="仿宋_GB2312" w:eastAsia="仿宋_GB2312"/>
          <w:color w:val="auto"/>
          <w:szCs w:val="24"/>
        </w:rPr>
        <w:t>8</w:t>
      </w:r>
      <w:r>
        <w:rPr>
          <w:rFonts w:ascii="仿宋_GB2312" w:eastAsia="仿宋_GB2312"/>
          <w:color w:val="auto"/>
          <w:szCs w:val="24"/>
        </w:rPr>
        <w:t xml:space="preserve">.3.1 </w:t>
      </w:r>
      <w:r>
        <w:rPr>
          <w:rFonts w:hint="eastAsia" w:ascii="仿宋_GB2312" w:eastAsia="仿宋_GB2312"/>
          <w:color w:val="auto"/>
          <w:szCs w:val="24"/>
        </w:rPr>
        <w:t>项目实施计划的内容</w:t>
      </w:r>
      <w:bookmarkEnd w:id="752"/>
    </w:p>
    <w:p>
      <w:pPr>
        <w:ind w:firstLine="600"/>
        <w:rPr>
          <w:rFonts w:ascii="仿宋_GB2312" w:eastAsia="仿宋_GB2312"/>
          <w:color w:val="auto"/>
          <w:sz w:val="24"/>
        </w:rPr>
      </w:pPr>
      <w:r>
        <w:rPr>
          <w:rFonts w:hint="eastAsia" w:ascii="仿宋_GB2312" w:eastAsia="仿宋_GB2312"/>
          <w:color w:val="auto"/>
          <w:sz w:val="24"/>
        </w:rPr>
        <w:t>项目实施计划是依据合同和经批准的项目管理计划进行编制并用于对项目实施进行管理和控制的文件，应包含概述、总体实施方案、项目实施要点、项目初步进度计划以及合同当事人在专用合同条件中约定的其他内容。</w:t>
      </w:r>
    </w:p>
    <w:p>
      <w:pPr>
        <w:pStyle w:val="88"/>
        <w:numPr>
          <w:ilvl w:val="0"/>
          <w:numId w:val="0"/>
        </w:numPr>
        <w:rPr>
          <w:rFonts w:ascii="仿宋_GB2312" w:eastAsia="仿宋_GB2312"/>
          <w:color w:val="auto"/>
          <w:szCs w:val="24"/>
        </w:rPr>
      </w:pPr>
      <w:bookmarkStart w:id="753" w:name="_Ref18990921"/>
      <w:r>
        <w:rPr>
          <w:rFonts w:hint="eastAsia" w:ascii="仿宋_GB2312" w:eastAsia="仿宋_GB2312"/>
          <w:color w:val="auto"/>
          <w:szCs w:val="24"/>
        </w:rPr>
        <w:t>8</w:t>
      </w:r>
      <w:r>
        <w:rPr>
          <w:rFonts w:ascii="仿宋_GB2312" w:eastAsia="仿宋_GB2312"/>
          <w:color w:val="auto"/>
          <w:szCs w:val="24"/>
        </w:rPr>
        <w:t xml:space="preserve">.3.2 </w:t>
      </w:r>
      <w:r>
        <w:rPr>
          <w:rFonts w:hint="eastAsia" w:ascii="仿宋_GB2312" w:eastAsia="仿宋_GB2312"/>
          <w:color w:val="auto"/>
          <w:szCs w:val="24"/>
        </w:rPr>
        <w:t>项目实施计划的提交和修改</w:t>
      </w:r>
      <w:bookmarkEnd w:id="753"/>
    </w:p>
    <w:p>
      <w:pPr>
        <w:ind w:firstLine="600"/>
        <w:rPr>
          <w:rFonts w:ascii="仿宋_GB2312" w:eastAsia="仿宋_GB2312"/>
          <w:color w:val="auto"/>
          <w:sz w:val="24"/>
        </w:rPr>
      </w:pPr>
      <w:r>
        <w:rPr>
          <w:rFonts w:hint="eastAsia" w:ascii="仿宋_GB2312" w:eastAsia="仿宋_GB2312"/>
          <w:color w:val="auto"/>
          <w:sz w:val="24"/>
        </w:rPr>
        <w:t>除专用合同条件另有约定外，承包人应在合同订立后14天内，向工程师提交项目实施计划，工程师应在收到项目实施计划后21天内确认或提出修改意见。对工程师提出的合理意见和要求，承包人应自费修改完善。根据工程实施的实际情况需要修改项目实施计划的，承包人应向工程师提交修改后的项目实施计划。</w:t>
      </w:r>
    </w:p>
    <w:p>
      <w:pPr>
        <w:ind w:firstLine="600"/>
        <w:rPr>
          <w:rFonts w:ascii="仿宋_GB2312" w:eastAsia="仿宋_GB2312"/>
          <w:color w:val="auto"/>
          <w:sz w:val="24"/>
        </w:rPr>
      </w:pPr>
      <w:r>
        <w:rPr>
          <w:rFonts w:hint="eastAsia" w:ascii="仿宋_GB2312" w:eastAsia="仿宋_GB2312"/>
          <w:color w:val="auto"/>
          <w:sz w:val="24"/>
        </w:rPr>
        <w:t>项目进度计划的编制和修改按照第</w:t>
      </w:r>
      <w:r>
        <w:rPr>
          <w:rFonts w:ascii="仿宋_GB2312" w:eastAsia="仿宋_GB2312"/>
          <w:color w:val="auto"/>
          <w:sz w:val="24"/>
        </w:rPr>
        <w:t>8.4</w:t>
      </w:r>
      <w:r>
        <w:rPr>
          <w:rFonts w:hint="eastAsia" w:ascii="仿宋_GB2312" w:eastAsia="仿宋_GB2312"/>
          <w:color w:val="auto"/>
          <w:sz w:val="24"/>
        </w:rPr>
        <w:t>款[项目进度计划]执行。</w:t>
      </w:r>
    </w:p>
    <w:p>
      <w:pPr>
        <w:pStyle w:val="315"/>
        <w:widowControl/>
        <w:numPr>
          <w:ilvl w:val="0"/>
          <w:numId w:val="0"/>
        </w:numPr>
        <w:rPr>
          <w:b w:val="0"/>
          <w:bCs/>
          <w:color w:val="auto"/>
        </w:rPr>
      </w:pPr>
      <w:bookmarkStart w:id="754" w:name="_Ref11865507"/>
      <w:bookmarkStart w:id="755" w:name="_Toc54862251"/>
      <w:r>
        <w:rPr>
          <w:rFonts w:hint="eastAsia"/>
          <w:b w:val="0"/>
          <w:bCs/>
          <w:color w:val="auto"/>
        </w:rPr>
        <w:t>8</w:t>
      </w:r>
      <w:r>
        <w:rPr>
          <w:b w:val="0"/>
          <w:bCs/>
          <w:color w:val="auto"/>
        </w:rPr>
        <w:t xml:space="preserve">.4 </w:t>
      </w:r>
      <w:r>
        <w:rPr>
          <w:rFonts w:hint="eastAsia"/>
          <w:b w:val="0"/>
          <w:bCs/>
          <w:color w:val="auto"/>
        </w:rPr>
        <w:t>项目进度计划</w:t>
      </w:r>
      <w:bookmarkEnd w:id="748"/>
      <w:bookmarkEnd w:id="749"/>
      <w:bookmarkEnd w:id="750"/>
      <w:bookmarkEnd w:id="751"/>
      <w:bookmarkEnd w:id="754"/>
      <w:bookmarkEnd w:id="755"/>
    </w:p>
    <w:p>
      <w:pPr>
        <w:pStyle w:val="88"/>
        <w:numPr>
          <w:ilvl w:val="0"/>
          <w:numId w:val="0"/>
        </w:numPr>
        <w:rPr>
          <w:rFonts w:ascii="仿宋_GB2312" w:eastAsia="仿宋_GB2312"/>
          <w:color w:val="auto"/>
          <w:szCs w:val="24"/>
        </w:rPr>
      </w:pPr>
      <w:bookmarkStart w:id="756" w:name="_Ref4681217"/>
      <w:r>
        <w:rPr>
          <w:rFonts w:hint="eastAsia" w:ascii="仿宋_GB2312" w:eastAsia="仿宋_GB2312"/>
          <w:color w:val="auto"/>
          <w:szCs w:val="24"/>
        </w:rPr>
        <w:t>8</w:t>
      </w:r>
      <w:r>
        <w:rPr>
          <w:rFonts w:ascii="仿宋_GB2312" w:eastAsia="仿宋_GB2312"/>
          <w:color w:val="auto"/>
          <w:szCs w:val="24"/>
        </w:rPr>
        <w:t xml:space="preserve">.4.1 </w:t>
      </w:r>
      <w:r>
        <w:rPr>
          <w:rFonts w:hint="eastAsia" w:ascii="仿宋_GB2312" w:eastAsia="仿宋_GB2312"/>
          <w:color w:val="auto"/>
          <w:szCs w:val="24"/>
        </w:rPr>
        <w:t>项目进度计划的提交和修改</w:t>
      </w:r>
      <w:bookmarkEnd w:id="756"/>
    </w:p>
    <w:p>
      <w:pPr>
        <w:ind w:firstLine="600"/>
        <w:rPr>
          <w:rFonts w:ascii="仿宋_GB2312" w:eastAsia="仿宋_GB2312"/>
          <w:color w:val="auto"/>
          <w:sz w:val="24"/>
        </w:rPr>
      </w:pPr>
      <w:r>
        <w:rPr>
          <w:rFonts w:hint="eastAsia" w:ascii="仿宋_GB2312" w:eastAsia="仿宋_GB2312"/>
          <w:color w:val="auto"/>
          <w:sz w:val="24"/>
        </w:rPr>
        <w:t>承包人应按照第</w:t>
      </w:r>
      <w:r>
        <w:rPr>
          <w:rFonts w:ascii="仿宋_GB2312" w:eastAsia="仿宋_GB2312"/>
          <w:color w:val="auto"/>
          <w:sz w:val="24"/>
        </w:rPr>
        <w:t>8.3</w:t>
      </w:r>
      <w:r>
        <w:rPr>
          <w:rFonts w:hint="eastAsia" w:ascii="仿宋_GB2312" w:eastAsia="仿宋_GB2312"/>
          <w:color w:val="auto"/>
          <w:sz w:val="24"/>
        </w:rPr>
        <w:t>款[项目实施计划]约定编制并向工程师提交项目初步进度计划，经工程师批准后实施。除专用合同条件另有约定外，工程师应在21天内批复或提出修改意见，否则该项目初步进度计划视为已得到批准。对工程师提出的合理意见和要求，承包人应自费修改完善。</w:t>
      </w:r>
    </w:p>
    <w:p>
      <w:pPr>
        <w:ind w:firstLine="600"/>
        <w:rPr>
          <w:rFonts w:ascii="仿宋_GB2312" w:eastAsia="仿宋_GB2312"/>
          <w:color w:val="auto"/>
          <w:sz w:val="24"/>
        </w:rPr>
      </w:pPr>
      <w:r>
        <w:rPr>
          <w:rFonts w:hint="eastAsia" w:ascii="仿宋_GB2312" w:eastAsia="仿宋_GB2312"/>
          <w:color w:val="auto"/>
          <w:sz w:val="24"/>
        </w:rPr>
        <w:t>经工程师批准的项目初步进度计划称为项目进度计划，是控制合同工程进度的依据，工程师有权按照进度计划检查工程进度情况。承包人还应根据项目进度计划，编制更为详细的分阶段或分项的进度计划，由工程师批准。</w:t>
      </w:r>
    </w:p>
    <w:p>
      <w:pPr>
        <w:pStyle w:val="88"/>
        <w:numPr>
          <w:ilvl w:val="0"/>
          <w:numId w:val="0"/>
        </w:numPr>
        <w:rPr>
          <w:rFonts w:ascii="仿宋_GB2312" w:eastAsia="仿宋_GB2312"/>
          <w:color w:val="auto"/>
          <w:szCs w:val="24"/>
        </w:rPr>
      </w:pPr>
      <w:bookmarkStart w:id="757" w:name="_Ref4429079"/>
      <w:r>
        <w:rPr>
          <w:rFonts w:hint="eastAsia" w:ascii="仿宋_GB2312" w:eastAsia="仿宋_GB2312"/>
          <w:color w:val="auto"/>
          <w:szCs w:val="24"/>
        </w:rPr>
        <w:t>8</w:t>
      </w:r>
      <w:r>
        <w:rPr>
          <w:rFonts w:ascii="仿宋_GB2312" w:eastAsia="仿宋_GB2312"/>
          <w:color w:val="auto"/>
          <w:szCs w:val="24"/>
        </w:rPr>
        <w:t xml:space="preserve">.4.2 </w:t>
      </w:r>
      <w:r>
        <w:rPr>
          <w:rFonts w:hint="eastAsia" w:ascii="仿宋_GB2312" w:eastAsia="仿宋_GB2312"/>
          <w:color w:val="auto"/>
          <w:szCs w:val="24"/>
        </w:rPr>
        <w:t>项目进度计划的内容</w:t>
      </w:r>
      <w:bookmarkEnd w:id="757"/>
    </w:p>
    <w:p>
      <w:pPr>
        <w:ind w:firstLine="600"/>
        <w:rPr>
          <w:rFonts w:ascii="仿宋_GB2312" w:eastAsia="仿宋_GB2312"/>
          <w:color w:val="auto"/>
          <w:sz w:val="24"/>
        </w:rPr>
      </w:pPr>
      <w:r>
        <w:rPr>
          <w:rFonts w:hint="eastAsia" w:ascii="仿宋_GB2312" w:eastAsia="仿宋_GB2312"/>
          <w:color w:val="auto"/>
          <w:sz w:val="24"/>
        </w:rPr>
        <w:t>项目进度计划应当包括设计、承包人文件提交、采购、制造、检验、运达现场、施工、安装、试验的各个阶段的预期时间以及设计和施工组织方案说明等，其编制应当符合国家法律规定和一般工程实践惯例。项目进度计划的具体要求、关键路径及关键路径变化的确定原则、承包人提交的份数和时间等，在专用合同条件约定。</w:t>
      </w:r>
    </w:p>
    <w:p>
      <w:pPr>
        <w:pStyle w:val="88"/>
        <w:numPr>
          <w:ilvl w:val="0"/>
          <w:numId w:val="0"/>
        </w:numPr>
        <w:rPr>
          <w:rFonts w:ascii="仿宋_GB2312" w:eastAsia="仿宋_GB2312"/>
          <w:color w:val="auto"/>
          <w:szCs w:val="24"/>
        </w:rPr>
      </w:pPr>
      <w:bookmarkStart w:id="758" w:name="_Ref3848203"/>
      <w:r>
        <w:rPr>
          <w:rFonts w:hint="eastAsia" w:ascii="仿宋_GB2312" w:eastAsia="仿宋_GB2312"/>
          <w:color w:val="auto"/>
          <w:szCs w:val="24"/>
        </w:rPr>
        <w:t>8</w:t>
      </w:r>
      <w:r>
        <w:rPr>
          <w:rFonts w:ascii="仿宋_GB2312" w:eastAsia="仿宋_GB2312"/>
          <w:color w:val="auto"/>
          <w:szCs w:val="24"/>
        </w:rPr>
        <w:t xml:space="preserve">.4.3 </w:t>
      </w:r>
      <w:r>
        <w:rPr>
          <w:rFonts w:hint="eastAsia" w:ascii="仿宋_GB2312" w:eastAsia="仿宋_GB2312"/>
          <w:color w:val="auto"/>
          <w:szCs w:val="24"/>
        </w:rPr>
        <w:t>项目进度计划的修订</w:t>
      </w:r>
      <w:bookmarkEnd w:id="758"/>
    </w:p>
    <w:p>
      <w:pPr>
        <w:ind w:firstLine="600"/>
        <w:rPr>
          <w:rFonts w:ascii="仿宋_GB2312" w:eastAsia="仿宋_GB2312"/>
          <w:color w:val="auto"/>
          <w:sz w:val="24"/>
        </w:rPr>
      </w:pPr>
      <w:r>
        <w:rPr>
          <w:rFonts w:hint="eastAsia" w:ascii="仿宋_GB2312" w:eastAsia="仿宋_GB2312"/>
          <w:color w:val="auto"/>
          <w:sz w:val="24"/>
        </w:rPr>
        <w:t>项目进度计划不符合合同要求或与工程的实际进度不一致的，承包人应向工程师提交修订的项目进度计划，并附具有关措施和相关资料。工程师也可以直接向承包人发出修订项目进度计划的通知，承包人如接受，应按该通知修订项目进度计划，报工程师批准。承包人如不接受，应当在14天内答复，如未按时答复视作已接受修订项目进度计划通知中的内容。</w:t>
      </w:r>
    </w:p>
    <w:p>
      <w:pPr>
        <w:ind w:firstLine="600"/>
        <w:rPr>
          <w:rFonts w:ascii="仿宋_GB2312" w:eastAsia="仿宋_GB2312"/>
          <w:color w:val="auto"/>
          <w:sz w:val="24"/>
        </w:rPr>
      </w:pPr>
      <w:r>
        <w:rPr>
          <w:rFonts w:hint="eastAsia" w:ascii="仿宋_GB2312" w:eastAsia="仿宋_GB2312"/>
          <w:color w:val="auto"/>
          <w:sz w:val="24"/>
        </w:rPr>
        <w:t>除专用合同条件另有约定外，工程师应在收到修订的项目进度计划后14天内完成审批或提出修改意见，如未按时答复视作已批准承包人修订后的项目进度计划。工程师对承包人提交的项目进度计划的确认，不能减轻或免除承包人根据法律规定和合同约定应承担的任何责任或义务。</w:t>
      </w:r>
    </w:p>
    <w:p>
      <w:pPr>
        <w:ind w:firstLine="600"/>
        <w:rPr>
          <w:rFonts w:ascii="仿宋_GB2312" w:eastAsia="仿宋_GB2312"/>
          <w:color w:val="auto"/>
          <w:sz w:val="24"/>
        </w:rPr>
      </w:pPr>
      <w:r>
        <w:rPr>
          <w:rFonts w:hint="eastAsia" w:ascii="仿宋_GB2312" w:eastAsia="仿宋_GB2312"/>
          <w:color w:val="auto"/>
          <w:sz w:val="24"/>
        </w:rPr>
        <w:t>除合同当事人另有约定外，项目进度计划的修订并不能减轻或者免除双方按第</w:t>
      </w:r>
      <w:r>
        <w:rPr>
          <w:rFonts w:ascii="仿宋_GB2312" w:eastAsia="仿宋_GB2312"/>
          <w:color w:val="auto"/>
          <w:sz w:val="24"/>
        </w:rPr>
        <w:t>8.7</w:t>
      </w:r>
      <w:r>
        <w:rPr>
          <w:rFonts w:hint="eastAsia" w:ascii="仿宋_GB2312" w:eastAsia="仿宋_GB2312"/>
          <w:color w:val="auto"/>
          <w:sz w:val="24"/>
        </w:rPr>
        <w:t>款[工期延误]、第</w:t>
      </w:r>
      <w:r>
        <w:rPr>
          <w:rFonts w:ascii="仿宋_GB2312" w:eastAsia="仿宋_GB2312"/>
          <w:color w:val="auto"/>
          <w:sz w:val="24"/>
        </w:rPr>
        <w:t>8.8</w:t>
      </w:r>
      <w:r>
        <w:rPr>
          <w:rFonts w:hint="eastAsia" w:ascii="仿宋_GB2312" w:eastAsia="仿宋_GB2312"/>
          <w:color w:val="auto"/>
          <w:sz w:val="24"/>
        </w:rPr>
        <w:t>款[工期提前]、第</w:t>
      </w:r>
      <w:r>
        <w:rPr>
          <w:rFonts w:ascii="仿宋_GB2312" w:eastAsia="仿宋_GB2312"/>
          <w:color w:val="auto"/>
          <w:sz w:val="24"/>
        </w:rPr>
        <w:t>8.9</w:t>
      </w:r>
      <w:r>
        <w:rPr>
          <w:rFonts w:hint="eastAsia" w:ascii="仿宋_GB2312" w:eastAsia="仿宋_GB2312"/>
          <w:color w:val="auto"/>
          <w:sz w:val="24"/>
        </w:rPr>
        <w:t>款[暂停工作]应承担的合同责任。</w:t>
      </w:r>
    </w:p>
    <w:p>
      <w:pPr>
        <w:pStyle w:val="315"/>
        <w:widowControl/>
        <w:numPr>
          <w:ilvl w:val="0"/>
          <w:numId w:val="0"/>
        </w:numPr>
        <w:rPr>
          <w:b w:val="0"/>
          <w:bCs/>
          <w:color w:val="auto"/>
        </w:rPr>
      </w:pPr>
      <w:bookmarkStart w:id="759" w:name="_Ref532362276"/>
      <w:bookmarkStart w:id="760" w:name="_Toc54862252"/>
      <w:bookmarkStart w:id="761" w:name="_Ref532362278"/>
      <w:r>
        <w:rPr>
          <w:rFonts w:hint="eastAsia"/>
          <w:b w:val="0"/>
          <w:bCs/>
          <w:color w:val="auto"/>
        </w:rPr>
        <w:t>8</w:t>
      </w:r>
      <w:r>
        <w:rPr>
          <w:b w:val="0"/>
          <w:bCs/>
          <w:color w:val="auto"/>
        </w:rPr>
        <w:t xml:space="preserve">.5 </w:t>
      </w:r>
      <w:r>
        <w:rPr>
          <w:rFonts w:hint="eastAsia"/>
          <w:b w:val="0"/>
          <w:bCs/>
          <w:color w:val="auto"/>
        </w:rPr>
        <w:t>进度报告</w:t>
      </w:r>
      <w:bookmarkEnd w:id="759"/>
      <w:bookmarkEnd w:id="760"/>
      <w:bookmarkEnd w:id="761"/>
    </w:p>
    <w:p>
      <w:pPr>
        <w:ind w:firstLine="600"/>
        <w:rPr>
          <w:rFonts w:ascii="仿宋_GB2312" w:eastAsia="仿宋_GB2312"/>
          <w:color w:val="auto"/>
          <w:sz w:val="24"/>
        </w:rPr>
      </w:pPr>
      <w:r>
        <w:rPr>
          <w:rFonts w:hint="eastAsia" w:ascii="仿宋_GB2312" w:eastAsia="仿宋_GB2312"/>
          <w:color w:val="auto"/>
          <w:sz w:val="24"/>
        </w:rPr>
        <w:t>项目实施过程中，承包人应进行实际进度记录，并根据工程师的要求编制月进度报告，并提交给工程师。进度报告应包含以下主要内容：</w:t>
      </w:r>
    </w:p>
    <w:p>
      <w:pPr>
        <w:ind w:firstLine="600"/>
        <w:rPr>
          <w:rFonts w:ascii="仿宋_GB2312" w:eastAsia="仿宋_GB2312"/>
          <w:color w:val="auto"/>
          <w:sz w:val="24"/>
        </w:rPr>
      </w:pPr>
      <w:r>
        <w:rPr>
          <w:rFonts w:hint="eastAsia" w:ascii="仿宋_GB2312" w:eastAsia="仿宋_GB2312"/>
          <w:color w:val="auto"/>
          <w:sz w:val="24"/>
        </w:rPr>
        <w:t>（1） 工程设计、采购、施工等各个工作内容的进展报告；</w:t>
      </w:r>
    </w:p>
    <w:p>
      <w:pPr>
        <w:ind w:firstLine="600"/>
        <w:rPr>
          <w:rFonts w:ascii="仿宋_GB2312" w:eastAsia="仿宋_GB2312"/>
          <w:color w:val="auto"/>
          <w:sz w:val="24"/>
        </w:rPr>
      </w:pPr>
      <w:r>
        <w:rPr>
          <w:rFonts w:hint="eastAsia" w:ascii="仿宋_GB2312" w:eastAsia="仿宋_GB2312"/>
          <w:color w:val="auto"/>
          <w:sz w:val="24"/>
        </w:rPr>
        <w:t>（2） 工程施工方法的一般说明；</w:t>
      </w:r>
    </w:p>
    <w:p>
      <w:pPr>
        <w:ind w:firstLine="600"/>
        <w:rPr>
          <w:rFonts w:ascii="仿宋_GB2312" w:eastAsia="仿宋_GB2312"/>
          <w:color w:val="auto"/>
          <w:sz w:val="24"/>
        </w:rPr>
      </w:pPr>
      <w:r>
        <w:rPr>
          <w:rFonts w:hint="eastAsia" w:ascii="仿宋_GB2312" w:eastAsia="仿宋_GB2312"/>
          <w:color w:val="auto"/>
          <w:sz w:val="24"/>
        </w:rPr>
        <w:t>（3） 当月工程实施介入的项目人员、设备和材料的预估明细报告；</w:t>
      </w:r>
    </w:p>
    <w:p>
      <w:pPr>
        <w:ind w:firstLine="600"/>
        <w:rPr>
          <w:rFonts w:ascii="仿宋_GB2312" w:eastAsia="仿宋_GB2312"/>
          <w:color w:val="auto"/>
          <w:sz w:val="24"/>
        </w:rPr>
      </w:pPr>
      <w:r>
        <w:rPr>
          <w:rFonts w:hint="eastAsia" w:ascii="仿宋_GB2312" w:eastAsia="仿宋_GB2312"/>
          <w:color w:val="auto"/>
          <w:sz w:val="24"/>
        </w:rPr>
        <w:t xml:space="preserve">（4） 当月实际进度与进度计划对比分析，以及提出未来可能引起工期延误的情形，同时提出应对措施；需要修订项目进度计划的，应对项目进度计划的修订部分进行说明； </w:t>
      </w:r>
    </w:p>
    <w:p>
      <w:pPr>
        <w:ind w:firstLine="600"/>
        <w:rPr>
          <w:rFonts w:ascii="仿宋_GB2312" w:eastAsia="仿宋_GB2312"/>
          <w:color w:val="auto"/>
          <w:sz w:val="24"/>
        </w:rPr>
      </w:pPr>
      <w:r>
        <w:rPr>
          <w:rFonts w:hint="eastAsia" w:ascii="仿宋_GB2312" w:eastAsia="仿宋_GB2312"/>
          <w:color w:val="auto"/>
          <w:sz w:val="24"/>
        </w:rPr>
        <w:t>（5） 承包人对于解决工期延误所提出的建议；</w:t>
      </w:r>
    </w:p>
    <w:p>
      <w:pPr>
        <w:ind w:firstLine="600"/>
        <w:rPr>
          <w:rFonts w:ascii="仿宋_GB2312" w:eastAsia="仿宋_GB2312"/>
          <w:color w:val="auto"/>
          <w:sz w:val="24"/>
        </w:rPr>
      </w:pPr>
      <w:r>
        <w:rPr>
          <w:rFonts w:hint="eastAsia" w:ascii="仿宋_GB2312" w:eastAsia="仿宋_GB2312"/>
          <w:color w:val="auto"/>
          <w:sz w:val="24"/>
        </w:rPr>
        <w:t>（6） 其他与工程有关的重大事项。</w:t>
      </w:r>
    </w:p>
    <w:p>
      <w:pPr>
        <w:ind w:firstLine="600"/>
        <w:rPr>
          <w:rFonts w:ascii="仿宋_GB2312" w:eastAsia="仿宋_GB2312"/>
          <w:color w:val="auto"/>
          <w:sz w:val="24"/>
        </w:rPr>
      </w:pPr>
      <w:r>
        <w:rPr>
          <w:rFonts w:hint="eastAsia" w:ascii="仿宋_GB2312" w:eastAsia="仿宋_GB2312"/>
          <w:color w:val="auto"/>
          <w:sz w:val="24"/>
        </w:rPr>
        <w:t>进度报告的具体要求等，在专用合同条件约定。</w:t>
      </w:r>
    </w:p>
    <w:p>
      <w:pPr>
        <w:pStyle w:val="315"/>
        <w:widowControl/>
        <w:numPr>
          <w:ilvl w:val="0"/>
          <w:numId w:val="0"/>
        </w:numPr>
        <w:rPr>
          <w:b w:val="0"/>
          <w:bCs/>
          <w:color w:val="auto"/>
        </w:rPr>
      </w:pPr>
      <w:bookmarkStart w:id="762" w:name="_Toc54862253"/>
      <w:r>
        <w:rPr>
          <w:rFonts w:hint="eastAsia"/>
          <w:b w:val="0"/>
          <w:bCs/>
          <w:color w:val="auto"/>
        </w:rPr>
        <w:t>8</w:t>
      </w:r>
      <w:r>
        <w:rPr>
          <w:b w:val="0"/>
          <w:bCs/>
          <w:color w:val="auto"/>
        </w:rPr>
        <w:t xml:space="preserve">.6 </w:t>
      </w:r>
      <w:r>
        <w:rPr>
          <w:rFonts w:hint="eastAsia"/>
          <w:b w:val="0"/>
          <w:bCs/>
          <w:color w:val="auto"/>
        </w:rPr>
        <w:t>提前预警</w:t>
      </w:r>
      <w:bookmarkEnd w:id="762"/>
    </w:p>
    <w:p>
      <w:pPr>
        <w:ind w:firstLine="600"/>
        <w:rPr>
          <w:rFonts w:ascii="仿宋_GB2312" w:eastAsia="仿宋_GB2312"/>
          <w:color w:val="auto"/>
          <w:sz w:val="24"/>
        </w:rPr>
      </w:pPr>
      <w:r>
        <w:rPr>
          <w:rFonts w:hint="eastAsia" w:ascii="仿宋_GB2312" w:eastAsia="仿宋_GB2312"/>
          <w:color w:val="auto"/>
          <w:sz w:val="24"/>
        </w:rPr>
        <w:t>任何一方应当在下列情形发生时尽快书面通知另一方：</w:t>
      </w:r>
    </w:p>
    <w:p>
      <w:pPr>
        <w:ind w:firstLine="600"/>
        <w:rPr>
          <w:rFonts w:ascii="仿宋_GB2312" w:eastAsia="仿宋_GB2312"/>
          <w:color w:val="auto"/>
          <w:sz w:val="24"/>
        </w:rPr>
      </w:pPr>
      <w:r>
        <w:rPr>
          <w:rFonts w:hint="eastAsia" w:ascii="仿宋_GB2312" w:eastAsia="仿宋_GB2312"/>
          <w:color w:val="auto"/>
          <w:sz w:val="24"/>
        </w:rPr>
        <w:t>（1） 该情形可能对合同的履行或实现合同目的产生不利影响；</w:t>
      </w:r>
    </w:p>
    <w:p>
      <w:pPr>
        <w:ind w:firstLine="600"/>
        <w:rPr>
          <w:rFonts w:ascii="仿宋_GB2312" w:eastAsia="仿宋_GB2312"/>
          <w:color w:val="auto"/>
          <w:sz w:val="24"/>
        </w:rPr>
      </w:pPr>
      <w:r>
        <w:rPr>
          <w:rFonts w:hint="eastAsia" w:ascii="仿宋_GB2312" w:eastAsia="仿宋_GB2312"/>
          <w:color w:val="auto"/>
          <w:sz w:val="24"/>
        </w:rPr>
        <w:t>（2） 该情形可能对工程完成后的使用产生不利影响；</w:t>
      </w:r>
    </w:p>
    <w:p>
      <w:pPr>
        <w:ind w:firstLine="600"/>
        <w:rPr>
          <w:rFonts w:ascii="仿宋_GB2312" w:eastAsia="仿宋_GB2312"/>
          <w:color w:val="auto"/>
          <w:sz w:val="24"/>
        </w:rPr>
      </w:pPr>
      <w:r>
        <w:rPr>
          <w:rFonts w:hint="eastAsia" w:ascii="仿宋_GB2312" w:eastAsia="仿宋_GB2312"/>
          <w:color w:val="auto"/>
          <w:sz w:val="24"/>
        </w:rPr>
        <w:t>（3） 该情形可能导致合同价款增加；</w:t>
      </w:r>
    </w:p>
    <w:p>
      <w:pPr>
        <w:ind w:firstLine="600"/>
        <w:rPr>
          <w:rFonts w:ascii="仿宋_GB2312" w:eastAsia="仿宋_GB2312"/>
          <w:color w:val="auto"/>
          <w:sz w:val="24"/>
        </w:rPr>
      </w:pPr>
      <w:r>
        <w:rPr>
          <w:rFonts w:hint="eastAsia" w:ascii="仿宋_GB2312" w:eastAsia="仿宋_GB2312"/>
          <w:color w:val="auto"/>
          <w:sz w:val="24"/>
        </w:rPr>
        <w:t>（4） 该情形可能导致整个工程或单位/区段工程的工期延长。</w:t>
      </w:r>
    </w:p>
    <w:p>
      <w:pPr>
        <w:ind w:firstLine="600"/>
        <w:rPr>
          <w:rFonts w:ascii="仿宋_GB2312" w:eastAsia="仿宋_GB2312"/>
          <w:color w:val="auto"/>
          <w:sz w:val="24"/>
        </w:rPr>
      </w:pPr>
      <w:r>
        <w:rPr>
          <w:rFonts w:hint="eastAsia" w:ascii="仿宋_GB2312" w:eastAsia="仿宋_GB2312"/>
          <w:color w:val="auto"/>
          <w:sz w:val="24"/>
        </w:rPr>
        <w:t>发包人有权要求承包人根据第</w:t>
      </w:r>
      <w:r>
        <w:rPr>
          <w:rFonts w:ascii="仿宋_GB2312" w:eastAsia="仿宋_GB2312"/>
          <w:color w:val="auto"/>
          <w:sz w:val="24"/>
        </w:rPr>
        <w:t>13.2</w:t>
      </w:r>
      <w:r>
        <w:rPr>
          <w:rFonts w:hint="eastAsia" w:ascii="仿宋_GB2312" w:eastAsia="仿宋_GB2312"/>
          <w:color w:val="auto"/>
          <w:sz w:val="24"/>
        </w:rPr>
        <w:t>款[承包人的合理化建议]的约定提交变更建议，采取措施尽量避免或最小化上述情形的发生或影响。</w:t>
      </w:r>
    </w:p>
    <w:p>
      <w:pPr>
        <w:pStyle w:val="315"/>
        <w:widowControl/>
        <w:numPr>
          <w:ilvl w:val="0"/>
          <w:numId w:val="0"/>
        </w:numPr>
        <w:rPr>
          <w:b w:val="0"/>
          <w:bCs/>
          <w:color w:val="auto"/>
        </w:rPr>
      </w:pPr>
      <w:bookmarkStart w:id="763" w:name="_Toc4784159"/>
      <w:bookmarkEnd w:id="763"/>
      <w:bookmarkStart w:id="764" w:name="_Toc4784168"/>
      <w:bookmarkEnd w:id="764"/>
      <w:bookmarkStart w:id="765" w:name="_Toc4784166"/>
      <w:bookmarkEnd w:id="765"/>
      <w:bookmarkStart w:id="766" w:name="_Toc4784165"/>
      <w:bookmarkEnd w:id="766"/>
      <w:bookmarkStart w:id="767" w:name="_Toc4784158"/>
      <w:bookmarkEnd w:id="767"/>
      <w:bookmarkStart w:id="768" w:name="_Toc4784169"/>
      <w:bookmarkEnd w:id="768"/>
      <w:bookmarkStart w:id="769" w:name="_Toc4784164"/>
      <w:bookmarkEnd w:id="769"/>
      <w:bookmarkStart w:id="770" w:name="_Toc4784160"/>
      <w:bookmarkEnd w:id="770"/>
      <w:bookmarkStart w:id="771" w:name="_Toc4784155"/>
      <w:bookmarkEnd w:id="771"/>
      <w:bookmarkStart w:id="772" w:name="_Toc4784170"/>
      <w:bookmarkEnd w:id="772"/>
      <w:bookmarkStart w:id="773" w:name="_Toc4784156"/>
      <w:bookmarkEnd w:id="773"/>
      <w:bookmarkStart w:id="774" w:name="_Toc4784154"/>
      <w:bookmarkEnd w:id="774"/>
      <w:bookmarkStart w:id="775" w:name="_Toc4784172"/>
      <w:bookmarkEnd w:id="775"/>
      <w:bookmarkStart w:id="776" w:name="_Toc4784167"/>
      <w:bookmarkEnd w:id="776"/>
      <w:bookmarkStart w:id="777" w:name="_Toc4784173"/>
      <w:bookmarkEnd w:id="777"/>
      <w:bookmarkStart w:id="778" w:name="_Toc4784171"/>
      <w:bookmarkEnd w:id="778"/>
      <w:bookmarkStart w:id="779" w:name="_Toc4784161"/>
      <w:bookmarkEnd w:id="779"/>
      <w:bookmarkStart w:id="780" w:name="_Toc4784174"/>
      <w:bookmarkEnd w:id="780"/>
      <w:bookmarkStart w:id="781" w:name="_Toc4784162"/>
      <w:bookmarkEnd w:id="781"/>
      <w:bookmarkStart w:id="782" w:name="_Toc4784157"/>
      <w:bookmarkEnd w:id="782"/>
      <w:bookmarkStart w:id="783" w:name="_Toc4784163"/>
      <w:bookmarkEnd w:id="783"/>
      <w:bookmarkStart w:id="784" w:name="_Toc4784175"/>
      <w:bookmarkEnd w:id="784"/>
      <w:bookmarkStart w:id="785" w:name="_Ref4770106"/>
      <w:bookmarkStart w:id="786" w:name="_Toc54862254"/>
      <w:bookmarkStart w:id="787" w:name="_Ref532362359"/>
      <w:bookmarkStart w:id="788" w:name="_Ref532362356"/>
      <w:r>
        <w:rPr>
          <w:rFonts w:hint="eastAsia"/>
          <w:b w:val="0"/>
          <w:bCs/>
          <w:color w:val="auto"/>
        </w:rPr>
        <w:t>8</w:t>
      </w:r>
      <w:r>
        <w:rPr>
          <w:b w:val="0"/>
          <w:bCs/>
          <w:color w:val="auto"/>
        </w:rPr>
        <w:t xml:space="preserve">.7 </w:t>
      </w:r>
      <w:r>
        <w:rPr>
          <w:rFonts w:hint="eastAsia"/>
          <w:b w:val="0"/>
          <w:bCs/>
          <w:color w:val="auto"/>
        </w:rPr>
        <w:t>工期延误</w:t>
      </w:r>
      <w:bookmarkEnd w:id="785"/>
      <w:bookmarkEnd w:id="786"/>
    </w:p>
    <w:p>
      <w:pPr>
        <w:pStyle w:val="88"/>
        <w:numPr>
          <w:ilvl w:val="0"/>
          <w:numId w:val="0"/>
        </w:numPr>
        <w:rPr>
          <w:rFonts w:ascii="仿宋_GB2312" w:eastAsia="仿宋_GB2312"/>
          <w:color w:val="auto"/>
          <w:szCs w:val="24"/>
        </w:rPr>
      </w:pPr>
      <w:bookmarkStart w:id="789" w:name="_Ref4796050"/>
      <w:r>
        <w:rPr>
          <w:rFonts w:hint="eastAsia" w:ascii="仿宋_GB2312" w:eastAsia="仿宋_GB2312"/>
          <w:color w:val="auto"/>
          <w:szCs w:val="24"/>
        </w:rPr>
        <w:t>8</w:t>
      </w:r>
      <w:r>
        <w:rPr>
          <w:rFonts w:ascii="仿宋_GB2312" w:eastAsia="仿宋_GB2312"/>
          <w:color w:val="auto"/>
          <w:szCs w:val="24"/>
        </w:rPr>
        <w:t xml:space="preserve">.7.1 </w:t>
      </w:r>
      <w:r>
        <w:rPr>
          <w:rFonts w:hint="eastAsia" w:ascii="仿宋_GB2312" w:eastAsia="仿宋_GB2312"/>
          <w:color w:val="auto"/>
          <w:szCs w:val="24"/>
        </w:rPr>
        <w:t>因发包人原因导致工期延误</w:t>
      </w:r>
      <w:bookmarkEnd w:id="789"/>
    </w:p>
    <w:p>
      <w:pPr>
        <w:ind w:firstLine="600"/>
        <w:rPr>
          <w:rFonts w:ascii="仿宋_GB2312" w:eastAsia="仿宋_GB2312"/>
          <w:color w:val="auto"/>
          <w:sz w:val="24"/>
        </w:rPr>
      </w:pPr>
      <w:r>
        <w:rPr>
          <w:rFonts w:hint="eastAsia" w:ascii="仿宋_GB2312" w:eastAsia="仿宋_GB2312"/>
          <w:color w:val="auto"/>
          <w:sz w:val="24"/>
        </w:rPr>
        <w:t>在合同履行过程中，因下列情况导致工期延误和（或）费用增加的，由发包人承担由此延误的工期和（或）增加的费用，且发包人应支付承包人合理的利润：</w:t>
      </w:r>
    </w:p>
    <w:p>
      <w:pPr>
        <w:ind w:firstLine="600"/>
        <w:rPr>
          <w:rFonts w:ascii="仿宋_GB2312" w:eastAsia="仿宋_GB2312"/>
          <w:color w:val="auto"/>
          <w:sz w:val="24"/>
        </w:rPr>
      </w:pPr>
      <w:r>
        <w:rPr>
          <w:rFonts w:hint="eastAsia" w:ascii="仿宋_GB2312" w:eastAsia="仿宋_GB2312"/>
          <w:color w:val="auto"/>
          <w:sz w:val="24"/>
        </w:rPr>
        <w:t>（1） 根据第</w:t>
      </w:r>
      <w:r>
        <w:rPr>
          <w:rFonts w:ascii="仿宋_GB2312" w:eastAsia="仿宋_GB2312"/>
          <w:color w:val="auto"/>
          <w:sz w:val="24"/>
        </w:rPr>
        <w:t>13条</w:t>
      </w:r>
      <w:r>
        <w:rPr>
          <w:rFonts w:hint="eastAsia" w:ascii="仿宋_GB2312" w:eastAsia="仿宋_GB2312"/>
          <w:color w:val="auto"/>
          <w:sz w:val="24"/>
        </w:rPr>
        <w:t>[变更与调整]的约定构成一项变更的；</w:t>
      </w:r>
    </w:p>
    <w:p>
      <w:pPr>
        <w:ind w:firstLine="600"/>
        <w:rPr>
          <w:rFonts w:ascii="仿宋_GB2312" w:eastAsia="仿宋_GB2312"/>
          <w:color w:val="auto"/>
          <w:sz w:val="24"/>
        </w:rPr>
      </w:pPr>
      <w:r>
        <w:rPr>
          <w:rFonts w:hint="eastAsia" w:ascii="仿宋_GB2312" w:eastAsia="仿宋_GB2312"/>
          <w:color w:val="auto"/>
          <w:sz w:val="24"/>
        </w:rPr>
        <w:t>（2） 发包人违反本合同约定，导致工期延误和（或）费用增加的；</w:t>
      </w:r>
    </w:p>
    <w:p>
      <w:pPr>
        <w:ind w:firstLine="600"/>
        <w:rPr>
          <w:rFonts w:ascii="仿宋_GB2312" w:eastAsia="仿宋_GB2312"/>
          <w:color w:val="auto"/>
          <w:sz w:val="24"/>
        </w:rPr>
      </w:pPr>
      <w:r>
        <w:rPr>
          <w:rFonts w:hint="eastAsia" w:ascii="仿宋_GB2312" w:eastAsia="仿宋_GB2312"/>
          <w:color w:val="auto"/>
          <w:sz w:val="24"/>
        </w:rPr>
        <w:t>（3） 发包人、发包人代表、工程师或发包人聘请的任意第三方造成或引起的任何延误、妨碍和阻碍；</w:t>
      </w:r>
    </w:p>
    <w:p>
      <w:pPr>
        <w:ind w:firstLine="600"/>
        <w:rPr>
          <w:rFonts w:ascii="仿宋_GB2312" w:eastAsia="仿宋_GB2312"/>
          <w:color w:val="auto"/>
          <w:sz w:val="24"/>
        </w:rPr>
      </w:pPr>
      <w:r>
        <w:rPr>
          <w:rFonts w:hint="eastAsia" w:ascii="仿宋_GB2312" w:eastAsia="仿宋_GB2312"/>
          <w:color w:val="auto"/>
          <w:sz w:val="24"/>
        </w:rPr>
        <w:t>（4） 发包人未能依据第</w:t>
      </w:r>
      <w:r>
        <w:rPr>
          <w:rFonts w:ascii="仿宋_GB2312" w:eastAsia="仿宋_GB2312"/>
          <w:color w:val="auto"/>
          <w:sz w:val="24"/>
        </w:rPr>
        <w:t>6.2.1</w:t>
      </w:r>
      <w:r>
        <w:rPr>
          <w:rFonts w:hint="eastAsia" w:ascii="仿宋_GB2312" w:eastAsia="仿宋_GB2312"/>
          <w:color w:val="auto"/>
          <w:sz w:val="24"/>
        </w:rPr>
        <w:t>项[发包人提供的材料和工程设备]的约定提供材料和工程设备导致工期延误和（或）费用增加的；</w:t>
      </w:r>
    </w:p>
    <w:p>
      <w:pPr>
        <w:ind w:firstLine="600"/>
        <w:rPr>
          <w:rFonts w:ascii="仿宋_GB2312" w:eastAsia="仿宋_GB2312"/>
          <w:color w:val="auto"/>
          <w:sz w:val="24"/>
        </w:rPr>
      </w:pPr>
      <w:r>
        <w:rPr>
          <w:rFonts w:hint="eastAsia" w:ascii="仿宋_GB2312" w:eastAsia="仿宋_GB2312"/>
          <w:color w:val="auto"/>
          <w:sz w:val="24"/>
        </w:rPr>
        <w:t>（5） 因发包人原因导致的暂停施工；</w:t>
      </w:r>
    </w:p>
    <w:p>
      <w:pPr>
        <w:ind w:firstLine="600"/>
        <w:rPr>
          <w:rFonts w:ascii="仿宋_GB2312" w:eastAsia="仿宋_GB2312"/>
          <w:color w:val="auto"/>
          <w:sz w:val="24"/>
        </w:rPr>
      </w:pPr>
      <w:r>
        <w:rPr>
          <w:rFonts w:hint="eastAsia" w:ascii="仿宋_GB2312" w:eastAsia="仿宋_GB2312"/>
          <w:color w:val="auto"/>
          <w:sz w:val="24"/>
        </w:rPr>
        <w:t>（6） 发包人未及时履行相关合同义务，造成工期延误的其他原因。</w:t>
      </w:r>
    </w:p>
    <w:p>
      <w:pPr>
        <w:pStyle w:val="88"/>
        <w:numPr>
          <w:ilvl w:val="0"/>
          <w:numId w:val="0"/>
        </w:numPr>
        <w:rPr>
          <w:rFonts w:ascii="仿宋_GB2312" w:eastAsia="仿宋_GB2312"/>
          <w:color w:val="auto"/>
          <w:szCs w:val="24"/>
        </w:rPr>
      </w:pPr>
      <w:bookmarkStart w:id="790" w:name="_Ref4770209"/>
      <w:r>
        <w:rPr>
          <w:rFonts w:hint="eastAsia" w:ascii="仿宋_GB2312" w:eastAsia="仿宋_GB2312"/>
          <w:color w:val="auto"/>
          <w:szCs w:val="24"/>
        </w:rPr>
        <w:t>8</w:t>
      </w:r>
      <w:r>
        <w:rPr>
          <w:rFonts w:ascii="仿宋_GB2312" w:eastAsia="仿宋_GB2312"/>
          <w:color w:val="auto"/>
          <w:szCs w:val="24"/>
        </w:rPr>
        <w:t xml:space="preserve">.7.2 </w:t>
      </w:r>
      <w:r>
        <w:rPr>
          <w:rFonts w:hint="eastAsia" w:ascii="仿宋_GB2312" w:eastAsia="仿宋_GB2312"/>
          <w:color w:val="auto"/>
          <w:szCs w:val="24"/>
        </w:rPr>
        <w:t>因承包人原因导致工期延误</w:t>
      </w:r>
      <w:bookmarkEnd w:id="790"/>
    </w:p>
    <w:p>
      <w:pPr>
        <w:ind w:firstLine="600"/>
        <w:rPr>
          <w:rFonts w:ascii="仿宋_GB2312" w:eastAsia="仿宋_GB2312"/>
          <w:color w:val="auto"/>
          <w:sz w:val="24"/>
        </w:rPr>
      </w:pPr>
      <w:r>
        <w:rPr>
          <w:rFonts w:hint="eastAsia" w:ascii="仿宋_GB2312" w:eastAsia="仿宋_GB2312"/>
          <w:color w:val="auto"/>
          <w:sz w:val="24"/>
        </w:rPr>
        <w:t>由于承包人的原因，未能按项目进度计划完成工作，承包人应采取措施加快进度，并承担加快进度所增加的费用。</w:t>
      </w:r>
    </w:p>
    <w:p>
      <w:pPr>
        <w:ind w:firstLine="600"/>
        <w:rPr>
          <w:rFonts w:ascii="仿宋_GB2312" w:eastAsia="仿宋_GB2312"/>
          <w:color w:val="auto"/>
          <w:sz w:val="24"/>
        </w:rPr>
      </w:pPr>
      <w:r>
        <w:rPr>
          <w:rFonts w:hint="eastAsia" w:ascii="仿宋_GB2312" w:eastAsia="仿宋_GB2312"/>
          <w:color w:val="auto"/>
          <w:sz w:val="24"/>
        </w:rPr>
        <w:t>由于承包人原因造成工期延误并导致逾期竣工的，承包人应支付逾期竣工违约金。逾期竣工违约金的计算方法和最高限额在专用合同条件中约定。承包人支付逾期竣工违约金，不免除承包人完成工作及修补缺陷的义务，且发包人有权从工程进度款、竣工结算款或约定提交的履约担保中扣除相当于逾期竣工违约金的金额。</w:t>
      </w:r>
    </w:p>
    <w:p>
      <w:pPr>
        <w:pStyle w:val="88"/>
        <w:numPr>
          <w:ilvl w:val="0"/>
          <w:numId w:val="0"/>
        </w:numPr>
        <w:rPr>
          <w:rFonts w:ascii="仿宋_GB2312" w:eastAsia="仿宋_GB2312"/>
          <w:color w:val="auto"/>
          <w:szCs w:val="24"/>
        </w:rPr>
      </w:pPr>
      <w:bookmarkStart w:id="791" w:name="_Ref4770872"/>
      <w:r>
        <w:rPr>
          <w:rFonts w:hint="eastAsia" w:ascii="仿宋_GB2312" w:eastAsia="仿宋_GB2312"/>
          <w:color w:val="auto"/>
          <w:szCs w:val="24"/>
        </w:rPr>
        <w:t>8</w:t>
      </w:r>
      <w:r>
        <w:rPr>
          <w:rFonts w:ascii="仿宋_GB2312" w:eastAsia="仿宋_GB2312"/>
          <w:color w:val="auto"/>
          <w:szCs w:val="24"/>
        </w:rPr>
        <w:t xml:space="preserve">.7.3 </w:t>
      </w:r>
      <w:r>
        <w:rPr>
          <w:rFonts w:hint="eastAsia" w:ascii="仿宋_GB2312" w:eastAsia="仿宋_GB2312"/>
          <w:color w:val="auto"/>
          <w:szCs w:val="24"/>
        </w:rPr>
        <w:t>行政审批迟延</w:t>
      </w:r>
      <w:bookmarkEnd w:id="791"/>
      <w:r>
        <w:rPr>
          <w:rFonts w:hint="eastAsia" w:ascii="仿宋_GB2312" w:eastAsia="仿宋_GB2312"/>
          <w:color w:val="auto"/>
          <w:szCs w:val="24"/>
        </w:rPr>
        <w:t xml:space="preserve"> </w:t>
      </w:r>
    </w:p>
    <w:p>
      <w:pPr>
        <w:ind w:firstLine="600"/>
        <w:rPr>
          <w:rFonts w:ascii="仿宋_GB2312" w:eastAsia="仿宋_GB2312"/>
          <w:color w:val="auto"/>
          <w:sz w:val="24"/>
        </w:rPr>
      </w:pPr>
      <w:r>
        <w:rPr>
          <w:rFonts w:hint="eastAsia" w:ascii="仿宋_GB2312" w:eastAsia="仿宋_GB2312"/>
          <w:color w:val="auto"/>
          <w:sz w:val="24"/>
        </w:rPr>
        <w:t>合同约定范围内的工作需国家有关部门审批的，发包人和（或）承包人应按照专用合同条件约定的职责分工完成行政审批报送。因国家有关部门审批迟延造成工期延误的，竣工日期相应顺延。造成费用增加的，由双方在负责的范围内各自承担。</w:t>
      </w:r>
    </w:p>
    <w:p>
      <w:pPr>
        <w:pStyle w:val="88"/>
        <w:numPr>
          <w:ilvl w:val="0"/>
          <w:numId w:val="0"/>
        </w:numPr>
        <w:rPr>
          <w:rFonts w:ascii="仿宋_GB2312" w:eastAsia="仿宋_GB2312"/>
          <w:color w:val="auto"/>
          <w:szCs w:val="24"/>
        </w:rPr>
      </w:pPr>
      <w:bookmarkStart w:id="792" w:name="_Ref4770933"/>
      <w:r>
        <w:rPr>
          <w:rFonts w:hint="eastAsia" w:ascii="仿宋_GB2312" w:eastAsia="仿宋_GB2312"/>
          <w:color w:val="auto"/>
          <w:szCs w:val="24"/>
        </w:rPr>
        <w:t>8</w:t>
      </w:r>
      <w:r>
        <w:rPr>
          <w:rFonts w:ascii="仿宋_GB2312" w:eastAsia="仿宋_GB2312"/>
          <w:color w:val="auto"/>
          <w:szCs w:val="24"/>
        </w:rPr>
        <w:t xml:space="preserve">.7.4 </w:t>
      </w:r>
      <w:r>
        <w:rPr>
          <w:rFonts w:hint="eastAsia" w:ascii="仿宋_GB2312" w:eastAsia="仿宋_GB2312"/>
          <w:color w:val="auto"/>
          <w:szCs w:val="24"/>
        </w:rPr>
        <w:t>异常恶劣的气候条件</w:t>
      </w:r>
      <w:bookmarkEnd w:id="792"/>
    </w:p>
    <w:p>
      <w:pPr>
        <w:ind w:firstLine="600"/>
        <w:rPr>
          <w:rFonts w:ascii="仿宋_GB2312" w:eastAsia="仿宋_GB2312"/>
          <w:color w:val="auto"/>
          <w:sz w:val="24"/>
        </w:rPr>
      </w:pPr>
      <w:r>
        <w:rPr>
          <w:rFonts w:hint="eastAsia" w:ascii="仿宋_GB2312" w:eastAsia="仿宋_GB2312"/>
          <w:color w:val="auto"/>
          <w:sz w:val="24"/>
        </w:rPr>
        <w:t>异常恶劣的气候条件是指在施工过程中遇到的，有经验的承包人在订立合同时不可预见的，对合同履行造成实质性影响的，但尚未构成不可抗力事件的恶劣气候条件。合同当事人可以在专用合同条件中约定异常恶劣的气候条件的具体情形。</w:t>
      </w:r>
    </w:p>
    <w:p>
      <w:pPr>
        <w:ind w:firstLine="600"/>
        <w:rPr>
          <w:rFonts w:ascii="仿宋_GB2312" w:eastAsia="仿宋_GB2312"/>
          <w:color w:val="auto"/>
          <w:sz w:val="24"/>
        </w:rPr>
      </w:pPr>
      <w:r>
        <w:rPr>
          <w:rFonts w:hint="eastAsia" w:ascii="仿宋_GB2312" w:eastAsia="仿宋_GB2312"/>
          <w:color w:val="auto"/>
          <w:sz w:val="24"/>
        </w:rPr>
        <w:t>承包人应采取克服异常恶劣的气候条件的合理措施继续施工，并及时通知工程师。工程师应当及时发出指示，指示构成变更的，按第</w:t>
      </w:r>
      <w:r>
        <w:rPr>
          <w:rFonts w:ascii="仿宋_GB2312" w:eastAsia="仿宋_GB2312"/>
          <w:color w:val="auto"/>
          <w:sz w:val="24"/>
        </w:rPr>
        <w:t>13条</w:t>
      </w:r>
      <w:r>
        <w:rPr>
          <w:rFonts w:hint="eastAsia" w:ascii="仿宋_GB2312" w:eastAsia="仿宋_GB2312"/>
          <w:color w:val="auto"/>
          <w:sz w:val="24"/>
        </w:rPr>
        <w:t>[变更与调整]约定办理。承包人因采取合理措施而延误的工期由发包人承担。</w:t>
      </w:r>
    </w:p>
    <w:p>
      <w:pPr>
        <w:pStyle w:val="315"/>
        <w:widowControl/>
        <w:numPr>
          <w:ilvl w:val="0"/>
          <w:numId w:val="0"/>
        </w:numPr>
        <w:rPr>
          <w:b w:val="0"/>
          <w:bCs/>
          <w:color w:val="auto"/>
        </w:rPr>
      </w:pPr>
      <w:bookmarkStart w:id="793" w:name="_Toc54862255"/>
      <w:bookmarkStart w:id="794" w:name="_Ref4781828"/>
      <w:r>
        <w:rPr>
          <w:rFonts w:hint="eastAsia"/>
          <w:b w:val="0"/>
          <w:bCs/>
          <w:color w:val="auto"/>
        </w:rPr>
        <w:t>8</w:t>
      </w:r>
      <w:r>
        <w:rPr>
          <w:b w:val="0"/>
          <w:bCs/>
          <w:color w:val="auto"/>
        </w:rPr>
        <w:t xml:space="preserve">.8 </w:t>
      </w:r>
      <w:r>
        <w:rPr>
          <w:rFonts w:hint="eastAsia"/>
          <w:b w:val="0"/>
          <w:bCs/>
          <w:color w:val="auto"/>
        </w:rPr>
        <w:t>工期提前</w:t>
      </w:r>
      <w:bookmarkEnd w:id="787"/>
      <w:bookmarkEnd w:id="788"/>
      <w:bookmarkEnd w:id="793"/>
      <w:bookmarkEnd w:id="794"/>
    </w:p>
    <w:p>
      <w:pPr>
        <w:pStyle w:val="88"/>
        <w:numPr>
          <w:ilvl w:val="0"/>
          <w:numId w:val="0"/>
        </w:numPr>
        <w:rPr>
          <w:rFonts w:ascii="仿宋_GB2312" w:eastAsia="仿宋_GB2312"/>
          <w:color w:val="auto"/>
          <w:szCs w:val="24"/>
        </w:rPr>
      </w:pPr>
      <w:r>
        <w:rPr>
          <w:rFonts w:hint="eastAsia" w:ascii="仿宋_GB2312" w:eastAsia="仿宋_GB2312"/>
          <w:color w:val="auto"/>
          <w:szCs w:val="24"/>
        </w:rPr>
        <w:t>8</w:t>
      </w:r>
      <w:r>
        <w:rPr>
          <w:rFonts w:ascii="仿宋_GB2312" w:eastAsia="仿宋_GB2312"/>
          <w:color w:val="auto"/>
          <w:szCs w:val="24"/>
        </w:rPr>
        <w:t xml:space="preserve">.8.1 </w:t>
      </w:r>
      <w:r>
        <w:rPr>
          <w:rFonts w:hint="eastAsia" w:ascii="仿宋_GB2312" w:eastAsia="仿宋_GB2312"/>
          <w:color w:val="auto"/>
          <w:szCs w:val="24"/>
        </w:rPr>
        <w:t>发包人指示承包人提前竣工且被承包人接受的，应与承包人共同协商采取加快工程进度的措施和修订项目进度计划。发包人应承担承包人由此增加的费用，增加的费用按第</w:t>
      </w:r>
      <w:r>
        <w:rPr>
          <w:rFonts w:ascii="仿宋_GB2312" w:eastAsia="仿宋_GB2312"/>
          <w:color w:val="auto"/>
          <w:szCs w:val="24"/>
        </w:rPr>
        <w:t>13条</w:t>
      </w:r>
      <w:r>
        <w:rPr>
          <w:rFonts w:hint="eastAsia" w:ascii="仿宋_GB2312" w:eastAsia="仿宋_GB2312"/>
          <w:color w:val="auto"/>
          <w:szCs w:val="24"/>
        </w:rPr>
        <w:t>[</w:t>
      </w:r>
      <w:r>
        <w:rPr>
          <w:rFonts w:ascii="仿宋_GB2312" w:eastAsia="仿宋_GB2312"/>
          <w:color w:val="auto"/>
          <w:szCs w:val="24"/>
        </w:rPr>
        <w:t>变更与调整</w:t>
      </w:r>
      <w:r>
        <w:rPr>
          <w:rFonts w:hint="eastAsia" w:ascii="仿宋_GB2312" w:eastAsia="仿宋_GB2312"/>
          <w:color w:val="auto"/>
          <w:szCs w:val="24"/>
        </w:rPr>
        <w:t>]的约定执行；发包人不得以任何理由要求承包人超过合理限度压缩工期。承包人有权不接受提前竣工的指示，工期按照合同约定执行。</w:t>
      </w:r>
    </w:p>
    <w:p>
      <w:pPr>
        <w:pStyle w:val="88"/>
        <w:numPr>
          <w:ilvl w:val="0"/>
          <w:numId w:val="0"/>
        </w:numPr>
        <w:rPr>
          <w:rFonts w:ascii="仿宋_GB2312" w:eastAsia="仿宋_GB2312"/>
          <w:color w:val="auto"/>
          <w:szCs w:val="24"/>
        </w:rPr>
      </w:pPr>
      <w:bookmarkStart w:id="795" w:name="_Ref4429347"/>
      <w:r>
        <w:rPr>
          <w:rFonts w:hint="eastAsia" w:ascii="仿宋_GB2312" w:eastAsia="仿宋_GB2312"/>
          <w:color w:val="auto"/>
          <w:szCs w:val="24"/>
        </w:rPr>
        <w:t>8</w:t>
      </w:r>
      <w:r>
        <w:rPr>
          <w:rFonts w:ascii="仿宋_GB2312" w:eastAsia="仿宋_GB2312"/>
          <w:color w:val="auto"/>
          <w:szCs w:val="24"/>
        </w:rPr>
        <w:t xml:space="preserve">.8.2 </w:t>
      </w:r>
      <w:r>
        <w:rPr>
          <w:rFonts w:hint="eastAsia" w:ascii="仿宋_GB2312" w:eastAsia="仿宋_GB2312"/>
          <w:color w:val="auto"/>
          <w:szCs w:val="24"/>
        </w:rPr>
        <w:t>承包人提出提前竣工的建议且发包人接受的，应与发包人共同协商采取加快工程进度的措施和修订项目进度计划。发包人应承担承包人由此增加的费用，增加的费用按第</w:t>
      </w:r>
      <w:r>
        <w:rPr>
          <w:rFonts w:ascii="仿宋_GB2312" w:eastAsia="仿宋_GB2312"/>
          <w:color w:val="auto"/>
          <w:szCs w:val="24"/>
        </w:rPr>
        <w:t>13条</w:t>
      </w:r>
      <w:r>
        <w:rPr>
          <w:rFonts w:hint="eastAsia" w:ascii="仿宋_GB2312" w:eastAsia="仿宋_GB2312"/>
          <w:color w:val="auto"/>
          <w:szCs w:val="24"/>
        </w:rPr>
        <w:t>[</w:t>
      </w:r>
      <w:r>
        <w:rPr>
          <w:rFonts w:ascii="仿宋_GB2312" w:eastAsia="仿宋_GB2312"/>
          <w:color w:val="auto"/>
          <w:szCs w:val="24"/>
        </w:rPr>
        <w:t>变更与调整</w:t>
      </w:r>
      <w:r>
        <w:rPr>
          <w:rFonts w:hint="eastAsia" w:ascii="仿宋_GB2312" w:eastAsia="仿宋_GB2312"/>
          <w:color w:val="auto"/>
          <w:szCs w:val="24"/>
        </w:rPr>
        <w:t>]的约定执行，并向承包人支付专用合同条件约定的相应奖励金。</w:t>
      </w:r>
      <w:bookmarkEnd w:id="795"/>
    </w:p>
    <w:p>
      <w:pPr>
        <w:pStyle w:val="315"/>
        <w:widowControl/>
        <w:numPr>
          <w:ilvl w:val="0"/>
          <w:numId w:val="0"/>
        </w:numPr>
        <w:rPr>
          <w:b w:val="0"/>
          <w:bCs/>
          <w:color w:val="auto"/>
        </w:rPr>
      </w:pPr>
      <w:bookmarkStart w:id="796" w:name="_Ref4615031"/>
      <w:bookmarkStart w:id="797" w:name="_Toc54862256"/>
      <w:bookmarkStart w:id="798" w:name="_Ref4615040"/>
      <w:r>
        <w:rPr>
          <w:rFonts w:hint="eastAsia"/>
          <w:b w:val="0"/>
          <w:bCs/>
          <w:color w:val="auto"/>
        </w:rPr>
        <w:t>8</w:t>
      </w:r>
      <w:r>
        <w:rPr>
          <w:b w:val="0"/>
          <w:bCs/>
          <w:color w:val="auto"/>
        </w:rPr>
        <w:t xml:space="preserve">.9 </w:t>
      </w:r>
      <w:r>
        <w:rPr>
          <w:rFonts w:hint="eastAsia"/>
          <w:b w:val="0"/>
          <w:bCs/>
          <w:color w:val="auto"/>
        </w:rPr>
        <w:t>暂停工作</w:t>
      </w:r>
      <w:bookmarkEnd w:id="796"/>
      <w:bookmarkEnd w:id="797"/>
      <w:bookmarkEnd w:id="798"/>
      <w:r>
        <w:rPr>
          <w:rFonts w:hint="eastAsia"/>
          <w:b w:val="0"/>
          <w:bCs/>
          <w:color w:val="auto"/>
        </w:rPr>
        <w:t xml:space="preserve"> </w:t>
      </w:r>
    </w:p>
    <w:p>
      <w:pPr>
        <w:pStyle w:val="88"/>
        <w:numPr>
          <w:ilvl w:val="0"/>
          <w:numId w:val="0"/>
        </w:numPr>
        <w:rPr>
          <w:rFonts w:ascii="仿宋_GB2312" w:eastAsia="仿宋_GB2312"/>
          <w:color w:val="auto"/>
          <w:szCs w:val="24"/>
        </w:rPr>
      </w:pPr>
      <w:bookmarkStart w:id="799" w:name="_Ref4709151"/>
      <w:r>
        <w:rPr>
          <w:rFonts w:hint="eastAsia" w:ascii="仿宋_GB2312" w:eastAsia="仿宋_GB2312"/>
          <w:color w:val="auto"/>
          <w:szCs w:val="24"/>
        </w:rPr>
        <w:t>8</w:t>
      </w:r>
      <w:r>
        <w:rPr>
          <w:rFonts w:ascii="仿宋_GB2312" w:eastAsia="仿宋_GB2312"/>
          <w:color w:val="auto"/>
          <w:szCs w:val="24"/>
        </w:rPr>
        <w:t xml:space="preserve">.9.1 </w:t>
      </w:r>
      <w:r>
        <w:rPr>
          <w:rFonts w:hint="eastAsia" w:ascii="仿宋_GB2312" w:eastAsia="仿宋_GB2312"/>
          <w:color w:val="auto"/>
          <w:szCs w:val="24"/>
        </w:rPr>
        <w:t>由发包人暂停工作</w:t>
      </w:r>
      <w:bookmarkEnd w:id="799"/>
    </w:p>
    <w:p>
      <w:pPr>
        <w:ind w:firstLine="600"/>
        <w:rPr>
          <w:rFonts w:ascii="仿宋_GB2312" w:eastAsia="仿宋_GB2312"/>
          <w:color w:val="auto"/>
          <w:sz w:val="24"/>
        </w:rPr>
      </w:pPr>
      <w:r>
        <w:rPr>
          <w:rFonts w:hint="eastAsia" w:ascii="仿宋_GB2312" w:eastAsia="仿宋_GB2312"/>
          <w:color w:val="auto"/>
          <w:sz w:val="24"/>
        </w:rPr>
        <w:t>发包人认为必要时，可通过工程师向承包人发出经发包人签认的暂停工作通知，应列明暂停原因、暂停的日期及预计暂停的期限。承包人应按该通知暂停工作。</w:t>
      </w:r>
      <w:bookmarkStart w:id="800" w:name="_Ref4709233"/>
    </w:p>
    <w:p>
      <w:pPr>
        <w:ind w:firstLine="600"/>
        <w:rPr>
          <w:rFonts w:ascii="仿宋_GB2312" w:eastAsia="仿宋_GB2312"/>
          <w:color w:val="auto"/>
          <w:sz w:val="24"/>
        </w:rPr>
      </w:pPr>
      <w:r>
        <w:rPr>
          <w:rFonts w:hint="eastAsia" w:ascii="仿宋_GB2312" w:eastAsia="仿宋_GB2312"/>
          <w:color w:val="auto"/>
          <w:sz w:val="24"/>
        </w:rPr>
        <w:t>承包人因执行暂停工作通知而造成费用的增加和（或）工期延误由发包人承担，并有权要求发包人支付合理利润，但</w:t>
      </w:r>
      <w:bookmarkEnd w:id="800"/>
      <w:r>
        <w:rPr>
          <w:rFonts w:hint="eastAsia" w:ascii="仿宋_GB2312" w:eastAsia="仿宋_GB2312"/>
          <w:color w:val="auto"/>
          <w:sz w:val="24"/>
        </w:rPr>
        <w:t>由于承包人原因造成发包人暂停工作的除外。</w:t>
      </w:r>
    </w:p>
    <w:p>
      <w:pPr>
        <w:pStyle w:val="88"/>
        <w:numPr>
          <w:ilvl w:val="0"/>
          <w:numId w:val="0"/>
        </w:numPr>
        <w:rPr>
          <w:rFonts w:ascii="仿宋_GB2312" w:eastAsia="仿宋_GB2312"/>
          <w:color w:val="auto"/>
          <w:szCs w:val="24"/>
        </w:rPr>
      </w:pPr>
      <w:bookmarkStart w:id="801" w:name="_Ref18972173"/>
      <w:r>
        <w:rPr>
          <w:rFonts w:hint="eastAsia" w:ascii="仿宋_GB2312" w:eastAsia="仿宋_GB2312"/>
          <w:color w:val="auto"/>
          <w:szCs w:val="24"/>
        </w:rPr>
        <w:t>8</w:t>
      </w:r>
      <w:r>
        <w:rPr>
          <w:rFonts w:ascii="仿宋_GB2312" w:eastAsia="仿宋_GB2312"/>
          <w:color w:val="auto"/>
          <w:szCs w:val="24"/>
        </w:rPr>
        <w:t xml:space="preserve">.9.2 </w:t>
      </w:r>
      <w:r>
        <w:rPr>
          <w:rFonts w:hint="eastAsia" w:ascii="仿宋_GB2312" w:eastAsia="仿宋_GB2312"/>
          <w:color w:val="auto"/>
          <w:szCs w:val="24"/>
        </w:rPr>
        <w:t>由承包人暂停工作</w:t>
      </w:r>
      <w:bookmarkEnd w:id="801"/>
      <w:r>
        <w:rPr>
          <w:rFonts w:hint="eastAsia" w:ascii="仿宋_GB2312" w:eastAsia="仿宋_GB2312"/>
          <w:color w:val="auto"/>
          <w:szCs w:val="24"/>
        </w:rPr>
        <w:t xml:space="preserve"> </w:t>
      </w:r>
    </w:p>
    <w:p>
      <w:pPr>
        <w:ind w:firstLine="600"/>
        <w:rPr>
          <w:rFonts w:ascii="仿宋_GB2312" w:eastAsia="仿宋_GB2312"/>
          <w:color w:val="auto"/>
          <w:sz w:val="24"/>
        </w:rPr>
      </w:pPr>
      <w:r>
        <w:rPr>
          <w:rFonts w:hint="eastAsia" w:ascii="仿宋_GB2312" w:eastAsia="仿宋_GB2312"/>
          <w:color w:val="auto"/>
          <w:sz w:val="24"/>
        </w:rPr>
        <w:t>因承包人原因所造成部分或全部工程的暂停，承包人应采取措施尽快复工并赶上进度，由此造成费用的增加或工期延误由承包人承担。因此造成逾期竣工的，承包人应按第</w:t>
      </w:r>
      <w:r>
        <w:rPr>
          <w:rFonts w:ascii="仿宋_GB2312" w:eastAsia="仿宋_GB2312"/>
          <w:color w:val="auto"/>
          <w:sz w:val="24"/>
        </w:rPr>
        <w:t>8.7.2</w:t>
      </w:r>
      <w:r>
        <w:rPr>
          <w:rFonts w:hint="eastAsia" w:ascii="仿宋_GB2312" w:eastAsia="仿宋_GB2312"/>
          <w:color w:val="auto"/>
          <w:sz w:val="24"/>
        </w:rPr>
        <w:t>项[</w:t>
      </w:r>
      <w:r>
        <w:rPr>
          <w:rFonts w:ascii="仿宋_GB2312" w:eastAsia="仿宋_GB2312"/>
          <w:color w:val="auto"/>
          <w:sz w:val="24"/>
        </w:rPr>
        <w:t>因承包人原因导致工期延误</w:t>
      </w:r>
      <w:r>
        <w:rPr>
          <w:rFonts w:hint="eastAsia" w:ascii="仿宋_GB2312" w:eastAsia="仿宋_GB2312"/>
          <w:color w:val="auto"/>
          <w:sz w:val="24"/>
        </w:rPr>
        <w:t>]承担逾期竣工违约责任。</w:t>
      </w:r>
    </w:p>
    <w:p>
      <w:pPr>
        <w:ind w:firstLine="600"/>
        <w:rPr>
          <w:rFonts w:ascii="仿宋_GB2312" w:eastAsia="仿宋_GB2312"/>
          <w:color w:val="auto"/>
          <w:sz w:val="24"/>
        </w:rPr>
      </w:pPr>
      <w:r>
        <w:rPr>
          <w:rFonts w:hint="eastAsia" w:ascii="仿宋_GB2312" w:eastAsia="仿宋_GB2312"/>
          <w:color w:val="auto"/>
          <w:sz w:val="24"/>
        </w:rPr>
        <w:t>合同履行过程中发生下列情形之一的，承包人可向发包人发出通知，要求发包人采取有效措施予以纠正。发包人收到承包人通知后的28天内仍不予以纠正，承包人有权暂停施工，并通知工程师。承包人有权要求发包人延长工期和（或）增加费用，并支付合理利润：</w:t>
      </w:r>
    </w:p>
    <w:p>
      <w:pPr>
        <w:ind w:firstLine="600"/>
        <w:rPr>
          <w:rFonts w:ascii="仿宋_GB2312" w:eastAsia="仿宋_GB2312"/>
          <w:color w:val="auto"/>
          <w:sz w:val="24"/>
        </w:rPr>
      </w:pPr>
      <w:bookmarkStart w:id="802" w:name="_Ref4709224"/>
      <w:r>
        <w:rPr>
          <w:rFonts w:hint="eastAsia" w:ascii="仿宋_GB2312" w:eastAsia="仿宋_GB2312"/>
          <w:color w:val="auto"/>
          <w:sz w:val="24"/>
        </w:rPr>
        <w:t>（1） 发包人拖延、拒绝批准付款申请和支付证书，或未能按合同约定支付价款，导致付款延误的；</w:t>
      </w:r>
      <w:bookmarkEnd w:id="802"/>
    </w:p>
    <w:p>
      <w:pPr>
        <w:ind w:firstLine="600"/>
        <w:rPr>
          <w:rFonts w:ascii="仿宋_GB2312" w:eastAsia="仿宋_GB2312"/>
          <w:color w:val="auto"/>
          <w:sz w:val="24"/>
        </w:rPr>
      </w:pPr>
      <w:r>
        <w:rPr>
          <w:rFonts w:hint="eastAsia" w:ascii="仿宋_GB2312" w:eastAsia="仿宋_GB2312"/>
          <w:color w:val="auto"/>
          <w:sz w:val="24"/>
        </w:rPr>
        <w:t>（2） 发包人未按约定履行合同其他义务导致承包人无法继续履行合同的，或者发包人明确表示暂停或实质上已暂停履行合同的。</w:t>
      </w:r>
    </w:p>
    <w:p>
      <w:pPr>
        <w:pStyle w:val="88"/>
        <w:numPr>
          <w:ilvl w:val="0"/>
          <w:numId w:val="0"/>
        </w:numPr>
        <w:rPr>
          <w:rFonts w:ascii="仿宋_GB2312" w:eastAsia="仿宋_GB2312"/>
          <w:color w:val="auto"/>
          <w:szCs w:val="24"/>
        </w:rPr>
      </w:pPr>
      <w:r>
        <w:rPr>
          <w:rFonts w:hint="eastAsia" w:ascii="仿宋_GB2312" w:eastAsia="仿宋_GB2312"/>
          <w:color w:val="auto"/>
          <w:szCs w:val="24"/>
        </w:rPr>
        <w:t>8</w:t>
      </w:r>
      <w:r>
        <w:rPr>
          <w:rFonts w:ascii="仿宋_GB2312" w:eastAsia="仿宋_GB2312"/>
          <w:color w:val="auto"/>
          <w:szCs w:val="24"/>
        </w:rPr>
        <w:t xml:space="preserve">.9.3 </w:t>
      </w:r>
      <w:r>
        <w:rPr>
          <w:rFonts w:hint="eastAsia" w:ascii="仿宋_GB2312" w:eastAsia="仿宋_GB2312"/>
          <w:color w:val="auto"/>
          <w:szCs w:val="24"/>
        </w:rPr>
        <w:t>除上述原因以外的暂停工作，双方应遵守第1</w:t>
      </w:r>
      <w:r>
        <w:rPr>
          <w:rFonts w:ascii="仿宋_GB2312" w:eastAsia="仿宋_GB2312"/>
          <w:color w:val="auto"/>
          <w:szCs w:val="24"/>
        </w:rPr>
        <w:t>7</w:t>
      </w:r>
      <w:r>
        <w:rPr>
          <w:rFonts w:hint="eastAsia" w:ascii="仿宋_GB2312" w:eastAsia="仿宋_GB2312"/>
          <w:color w:val="auto"/>
          <w:szCs w:val="24"/>
        </w:rPr>
        <w:t>条[不可抗力]的相关约定。</w:t>
      </w:r>
    </w:p>
    <w:p>
      <w:pPr>
        <w:pStyle w:val="88"/>
        <w:numPr>
          <w:ilvl w:val="0"/>
          <w:numId w:val="0"/>
        </w:numPr>
        <w:rPr>
          <w:rFonts w:ascii="仿宋_GB2312" w:eastAsia="仿宋_GB2312"/>
          <w:color w:val="auto"/>
          <w:szCs w:val="24"/>
        </w:rPr>
      </w:pPr>
      <w:bookmarkStart w:id="803" w:name="_Ref4709158"/>
      <w:r>
        <w:rPr>
          <w:rFonts w:hint="eastAsia" w:ascii="仿宋_GB2312" w:eastAsia="仿宋_GB2312"/>
          <w:color w:val="auto"/>
          <w:szCs w:val="24"/>
        </w:rPr>
        <w:t>8</w:t>
      </w:r>
      <w:r>
        <w:rPr>
          <w:rFonts w:ascii="仿宋_GB2312" w:eastAsia="仿宋_GB2312"/>
          <w:color w:val="auto"/>
          <w:szCs w:val="24"/>
        </w:rPr>
        <w:t xml:space="preserve">.9.4 </w:t>
      </w:r>
      <w:r>
        <w:rPr>
          <w:rFonts w:hint="eastAsia" w:ascii="仿宋_GB2312" w:eastAsia="仿宋_GB2312"/>
          <w:color w:val="auto"/>
          <w:szCs w:val="24"/>
        </w:rPr>
        <w:t>暂停工作期间的工程照管</w:t>
      </w:r>
      <w:bookmarkEnd w:id="803"/>
      <w:r>
        <w:rPr>
          <w:rFonts w:hint="eastAsia" w:ascii="仿宋_GB2312" w:eastAsia="仿宋_GB2312"/>
          <w:color w:val="auto"/>
          <w:szCs w:val="24"/>
        </w:rPr>
        <w:t xml:space="preserve"> </w:t>
      </w:r>
    </w:p>
    <w:p>
      <w:pPr>
        <w:ind w:firstLine="600"/>
        <w:rPr>
          <w:rFonts w:ascii="仿宋_GB2312" w:eastAsia="仿宋_GB2312"/>
          <w:color w:val="auto"/>
          <w:sz w:val="24"/>
        </w:rPr>
      </w:pPr>
      <w:r>
        <w:rPr>
          <w:rFonts w:hint="eastAsia" w:ascii="仿宋_GB2312" w:eastAsia="仿宋_GB2312"/>
          <w:color w:val="auto"/>
          <w:sz w:val="24"/>
        </w:rPr>
        <w:t>不论由于何种原因引起暂停工作的，暂停工作期间，承包人应负责对工程、工程物资及文件等进行照管和保护，并提供安全保障，由此增加的费用按第</w:t>
      </w:r>
      <w:r>
        <w:rPr>
          <w:rFonts w:ascii="仿宋_GB2312" w:eastAsia="仿宋_GB2312"/>
          <w:color w:val="auto"/>
          <w:sz w:val="24"/>
        </w:rPr>
        <w:t>8.9.1</w:t>
      </w:r>
      <w:r>
        <w:rPr>
          <w:rFonts w:hint="eastAsia" w:ascii="仿宋_GB2312" w:eastAsia="仿宋_GB2312"/>
          <w:color w:val="auto"/>
          <w:sz w:val="24"/>
        </w:rPr>
        <w:t>项[由发包人暂停工作]和第</w:t>
      </w:r>
      <w:r>
        <w:rPr>
          <w:rFonts w:ascii="仿宋_GB2312" w:eastAsia="仿宋_GB2312"/>
          <w:color w:val="auto"/>
          <w:sz w:val="24"/>
        </w:rPr>
        <w:t>8.9.2</w:t>
      </w:r>
      <w:r>
        <w:rPr>
          <w:rFonts w:hint="eastAsia" w:ascii="仿宋_GB2312" w:eastAsia="仿宋_GB2312"/>
          <w:color w:val="auto"/>
          <w:sz w:val="24"/>
        </w:rPr>
        <w:t>项[由承包人暂停工作]的约定承担。</w:t>
      </w:r>
    </w:p>
    <w:p>
      <w:pPr>
        <w:ind w:firstLine="600"/>
        <w:rPr>
          <w:rFonts w:ascii="仿宋_GB2312" w:eastAsia="仿宋_GB2312"/>
          <w:color w:val="auto"/>
          <w:sz w:val="24"/>
        </w:rPr>
      </w:pPr>
      <w:r>
        <w:rPr>
          <w:rFonts w:hint="eastAsia" w:ascii="仿宋_GB2312" w:eastAsia="仿宋_GB2312"/>
          <w:color w:val="auto"/>
          <w:sz w:val="24"/>
        </w:rPr>
        <w:t>因承包人未能尽到照管、保护的责任造成损失的，使发包人的费用增加，（或）竣工日期延误的，由承包人按本合同约定承担责任。</w:t>
      </w:r>
    </w:p>
    <w:p>
      <w:pPr>
        <w:pStyle w:val="88"/>
        <w:numPr>
          <w:ilvl w:val="0"/>
          <w:numId w:val="0"/>
        </w:numPr>
        <w:rPr>
          <w:rFonts w:ascii="仿宋_GB2312" w:eastAsia="仿宋_GB2312"/>
          <w:color w:val="auto"/>
          <w:szCs w:val="24"/>
        </w:rPr>
      </w:pPr>
      <w:r>
        <w:rPr>
          <w:rFonts w:hint="eastAsia" w:ascii="仿宋_GB2312" w:eastAsia="仿宋_GB2312"/>
          <w:color w:val="auto"/>
          <w:szCs w:val="24"/>
        </w:rPr>
        <w:t>8</w:t>
      </w:r>
      <w:r>
        <w:rPr>
          <w:rFonts w:ascii="仿宋_GB2312" w:eastAsia="仿宋_GB2312"/>
          <w:color w:val="auto"/>
          <w:szCs w:val="24"/>
        </w:rPr>
        <w:t xml:space="preserve">.9.5 </w:t>
      </w:r>
      <w:r>
        <w:rPr>
          <w:rFonts w:hint="eastAsia" w:ascii="仿宋_GB2312" w:eastAsia="仿宋_GB2312"/>
          <w:color w:val="auto"/>
          <w:szCs w:val="24"/>
        </w:rPr>
        <w:t>拖长的暂停</w:t>
      </w:r>
    </w:p>
    <w:p>
      <w:pPr>
        <w:ind w:firstLine="600"/>
        <w:rPr>
          <w:rFonts w:ascii="仿宋_GB2312" w:eastAsia="仿宋_GB2312"/>
          <w:color w:val="auto"/>
          <w:sz w:val="24"/>
        </w:rPr>
      </w:pPr>
      <w:r>
        <w:rPr>
          <w:rFonts w:hint="eastAsia" w:ascii="仿宋_GB2312" w:eastAsia="仿宋_GB2312"/>
          <w:color w:val="auto"/>
          <w:sz w:val="24"/>
        </w:rPr>
        <w:t>根据第</w:t>
      </w:r>
      <w:r>
        <w:rPr>
          <w:rFonts w:ascii="仿宋_GB2312" w:eastAsia="仿宋_GB2312"/>
          <w:color w:val="auto"/>
          <w:sz w:val="24"/>
        </w:rPr>
        <w:t>8.9.1</w:t>
      </w:r>
      <w:r>
        <w:rPr>
          <w:rFonts w:hint="eastAsia" w:ascii="仿宋_GB2312" w:eastAsia="仿宋_GB2312"/>
          <w:color w:val="auto"/>
          <w:sz w:val="24"/>
        </w:rPr>
        <w:t>项[由发包人暂停工作]暂停工作持续超过56天的，承包人可向发包人发出要求复工的通知。如果发包人没有在收到书面通知后28天内准许已暂停工作的全部或部分继续工作，承包人有权根据第</w:t>
      </w:r>
      <w:r>
        <w:rPr>
          <w:rFonts w:ascii="仿宋_GB2312" w:eastAsia="仿宋_GB2312"/>
          <w:color w:val="auto"/>
          <w:sz w:val="24"/>
        </w:rPr>
        <w:t>13条</w:t>
      </w:r>
      <w:r>
        <w:rPr>
          <w:rFonts w:hint="eastAsia" w:ascii="仿宋_GB2312" w:eastAsia="仿宋_GB2312"/>
          <w:color w:val="auto"/>
          <w:sz w:val="24"/>
        </w:rPr>
        <w:t>[变更与调整]的约定，要求以变更方式调减受暂停影响的部分工程。发包人的暂停超过56天且暂停影响到整个工程的，承包人有权根据第</w:t>
      </w:r>
      <w:r>
        <w:rPr>
          <w:rFonts w:ascii="仿宋_GB2312" w:eastAsia="仿宋_GB2312"/>
          <w:color w:val="auto"/>
          <w:sz w:val="24"/>
        </w:rPr>
        <w:t>16.2</w:t>
      </w:r>
      <w:r>
        <w:rPr>
          <w:rFonts w:hint="eastAsia" w:ascii="仿宋_GB2312" w:eastAsia="仿宋_GB2312"/>
          <w:color w:val="auto"/>
          <w:sz w:val="24"/>
        </w:rPr>
        <w:t>款[</w:t>
      </w:r>
      <w:r>
        <w:rPr>
          <w:rFonts w:ascii="仿宋_GB2312" w:eastAsia="仿宋_GB2312"/>
          <w:color w:val="auto"/>
          <w:sz w:val="24"/>
        </w:rPr>
        <w:t>由承包人解除合同</w:t>
      </w:r>
      <w:r>
        <w:rPr>
          <w:rFonts w:hint="eastAsia" w:ascii="仿宋_GB2312" w:eastAsia="仿宋_GB2312"/>
          <w:color w:val="auto"/>
          <w:sz w:val="24"/>
        </w:rPr>
        <w:t>]的约定，发出解除合同的通知。</w:t>
      </w:r>
    </w:p>
    <w:p>
      <w:pPr>
        <w:pStyle w:val="315"/>
        <w:widowControl/>
        <w:numPr>
          <w:ilvl w:val="0"/>
          <w:numId w:val="0"/>
        </w:numPr>
        <w:rPr>
          <w:b w:val="0"/>
          <w:bCs/>
          <w:color w:val="auto"/>
        </w:rPr>
      </w:pPr>
      <w:bookmarkStart w:id="804" w:name="_Toc54862257"/>
      <w:r>
        <w:rPr>
          <w:rFonts w:hint="eastAsia"/>
          <w:b w:val="0"/>
          <w:bCs/>
          <w:color w:val="auto"/>
        </w:rPr>
        <w:t>8</w:t>
      </w:r>
      <w:r>
        <w:rPr>
          <w:b w:val="0"/>
          <w:bCs/>
          <w:color w:val="auto"/>
        </w:rPr>
        <w:t xml:space="preserve">.10 </w:t>
      </w:r>
      <w:r>
        <w:rPr>
          <w:rFonts w:hint="eastAsia"/>
          <w:b w:val="0"/>
          <w:bCs/>
          <w:color w:val="auto"/>
        </w:rPr>
        <w:t>复工</w:t>
      </w:r>
      <w:bookmarkEnd w:id="804"/>
      <w:r>
        <w:rPr>
          <w:rFonts w:hint="eastAsia"/>
          <w:b w:val="0"/>
          <w:bCs/>
          <w:color w:val="auto"/>
        </w:rPr>
        <w:t xml:space="preserve"> </w:t>
      </w:r>
    </w:p>
    <w:p>
      <w:pPr>
        <w:pStyle w:val="88"/>
        <w:numPr>
          <w:ilvl w:val="0"/>
          <w:numId w:val="0"/>
        </w:numPr>
        <w:rPr>
          <w:rFonts w:ascii="仿宋_GB2312" w:eastAsia="仿宋_GB2312"/>
          <w:color w:val="auto"/>
          <w:szCs w:val="24"/>
        </w:rPr>
      </w:pPr>
      <w:r>
        <w:rPr>
          <w:rFonts w:hint="eastAsia" w:ascii="仿宋_GB2312" w:eastAsia="仿宋_GB2312"/>
          <w:color w:val="auto"/>
          <w:szCs w:val="24"/>
        </w:rPr>
        <w:t>8</w:t>
      </w:r>
      <w:r>
        <w:rPr>
          <w:rFonts w:ascii="仿宋_GB2312" w:eastAsia="仿宋_GB2312"/>
          <w:color w:val="auto"/>
          <w:szCs w:val="24"/>
        </w:rPr>
        <w:t xml:space="preserve">.10.1 </w:t>
      </w:r>
      <w:r>
        <w:rPr>
          <w:rFonts w:hint="eastAsia" w:ascii="仿宋_GB2312" w:eastAsia="仿宋_GB2312"/>
          <w:color w:val="auto"/>
          <w:szCs w:val="24"/>
        </w:rPr>
        <w:t>收到发包人的复工通知后，承包人应按通知时间复工；发包人通知的复工时间应当给予承包人必要的准备复工时间。</w:t>
      </w:r>
    </w:p>
    <w:p>
      <w:pPr>
        <w:pStyle w:val="88"/>
        <w:numPr>
          <w:ilvl w:val="0"/>
          <w:numId w:val="0"/>
        </w:numPr>
        <w:rPr>
          <w:rFonts w:ascii="仿宋_GB2312" w:eastAsia="仿宋_GB2312"/>
          <w:color w:val="auto"/>
          <w:szCs w:val="24"/>
        </w:rPr>
      </w:pPr>
      <w:r>
        <w:rPr>
          <w:rFonts w:hint="eastAsia" w:ascii="仿宋_GB2312" w:eastAsia="仿宋_GB2312"/>
          <w:color w:val="auto"/>
          <w:szCs w:val="24"/>
        </w:rPr>
        <w:t>8</w:t>
      </w:r>
      <w:r>
        <w:rPr>
          <w:rFonts w:ascii="仿宋_GB2312" w:eastAsia="仿宋_GB2312"/>
          <w:color w:val="auto"/>
          <w:szCs w:val="24"/>
        </w:rPr>
        <w:t xml:space="preserve">.10.2 </w:t>
      </w:r>
      <w:r>
        <w:rPr>
          <w:rFonts w:hint="eastAsia" w:ascii="仿宋_GB2312" w:eastAsia="仿宋_GB2312"/>
          <w:color w:val="auto"/>
          <w:szCs w:val="24"/>
        </w:rPr>
        <w:t>不论由于何种原因引起暂停工作，双方均可要求对方一同对受暂停影响的工程、工程设备和工程物资进行检查，承包人应将检查结果及需要恢复、修复的内容和估算通知发包人。</w:t>
      </w:r>
    </w:p>
    <w:p>
      <w:pPr>
        <w:pStyle w:val="88"/>
        <w:numPr>
          <w:ilvl w:val="0"/>
          <w:numId w:val="0"/>
        </w:numPr>
        <w:rPr>
          <w:rFonts w:ascii="仿宋_GB2312" w:eastAsia="仿宋_GB2312"/>
          <w:color w:val="auto"/>
          <w:szCs w:val="24"/>
        </w:rPr>
      </w:pPr>
      <w:r>
        <w:rPr>
          <w:rFonts w:hint="eastAsia" w:ascii="仿宋_GB2312" w:eastAsia="仿宋_GB2312"/>
          <w:color w:val="auto"/>
          <w:szCs w:val="24"/>
        </w:rPr>
        <w:t>8</w:t>
      </w:r>
      <w:r>
        <w:rPr>
          <w:rFonts w:ascii="仿宋_GB2312" w:eastAsia="仿宋_GB2312"/>
          <w:color w:val="auto"/>
          <w:szCs w:val="24"/>
        </w:rPr>
        <w:t xml:space="preserve">.10.3 </w:t>
      </w:r>
      <w:r>
        <w:rPr>
          <w:rFonts w:hint="eastAsia" w:ascii="仿宋_GB2312" w:eastAsia="仿宋_GB2312"/>
          <w:color w:val="auto"/>
          <w:szCs w:val="24"/>
        </w:rPr>
        <w:t>除第</w:t>
      </w:r>
      <w:r>
        <w:rPr>
          <w:rFonts w:ascii="仿宋_GB2312" w:eastAsia="仿宋_GB2312"/>
          <w:color w:val="auto"/>
          <w:szCs w:val="24"/>
        </w:rPr>
        <w:t>17条</w:t>
      </w:r>
      <w:r>
        <w:rPr>
          <w:rFonts w:hint="eastAsia" w:ascii="仿宋_GB2312" w:eastAsia="仿宋_GB2312"/>
          <w:color w:val="auto"/>
          <w:szCs w:val="24"/>
        </w:rPr>
        <w:t>[不可抗力]另有约定外，发生的恢复、修复价款及工期延误的后果由责任方承担。</w:t>
      </w:r>
    </w:p>
    <w:p>
      <w:pPr>
        <w:pStyle w:val="164"/>
        <w:numPr>
          <w:ilvl w:val="0"/>
          <w:numId w:val="0"/>
        </w:numPr>
        <w:wordWrap/>
        <w:topLinePunct w:val="0"/>
        <w:rPr>
          <w:b w:val="0"/>
          <w:bCs/>
          <w:color w:val="auto"/>
          <w:sz w:val="24"/>
          <w:szCs w:val="24"/>
        </w:rPr>
      </w:pPr>
      <w:bookmarkStart w:id="805" w:name="_Toc54862258"/>
      <w:bookmarkStart w:id="806" w:name="_Ref4621041"/>
      <w:bookmarkStart w:id="807" w:name="_Ref4621029"/>
      <w:r>
        <w:rPr>
          <w:rFonts w:hint="eastAsia"/>
          <w:b w:val="0"/>
          <w:bCs/>
          <w:color w:val="auto"/>
          <w:sz w:val="24"/>
          <w:szCs w:val="24"/>
        </w:rPr>
        <w:t>第9条 竣工试验</w:t>
      </w:r>
      <w:bookmarkEnd w:id="733"/>
      <w:bookmarkEnd w:id="805"/>
      <w:bookmarkEnd w:id="806"/>
      <w:bookmarkEnd w:id="807"/>
      <w:r>
        <w:rPr>
          <w:rFonts w:hint="eastAsia"/>
          <w:b w:val="0"/>
          <w:bCs/>
          <w:color w:val="auto"/>
          <w:sz w:val="24"/>
          <w:szCs w:val="24"/>
        </w:rPr>
        <w:t xml:space="preserve"> </w:t>
      </w:r>
    </w:p>
    <w:p>
      <w:pPr>
        <w:pStyle w:val="315"/>
        <w:widowControl/>
        <w:numPr>
          <w:ilvl w:val="0"/>
          <w:numId w:val="0"/>
        </w:numPr>
        <w:rPr>
          <w:b w:val="0"/>
          <w:bCs/>
          <w:color w:val="auto"/>
        </w:rPr>
      </w:pPr>
      <w:bookmarkStart w:id="808" w:name="_Toc54862259"/>
      <w:bookmarkStart w:id="809" w:name="_Ref532586251"/>
      <w:bookmarkStart w:id="810" w:name="_Ref532586248"/>
      <w:r>
        <w:rPr>
          <w:rFonts w:hint="eastAsia"/>
          <w:b w:val="0"/>
          <w:bCs/>
          <w:color w:val="auto"/>
        </w:rPr>
        <w:t>9</w:t>
      </w:r>
      <w:r>
        <w:rPr>
          <w:b w:val="0"/>
          <w:bCs/>
          <w:color w:val="auto"/>
        </w:rPr>
        <w:t xml:space="preserve">.1 </w:t>
      </w:r>
      <w:r>
        <w:rPr>
          <w:rFonts w:hint="eastAsia"/>
          <w:b w:val="0"/>
          <w:bCs/>
          <w:color w:val="auto"/>
        </w:rPr>
        <w:t>竣工试验的义务</w:t>
      </w:r>
      <w:bookmarkEnd w:id="808"/>
      <w:bookmarkEnd w:id="809"/>
      <w:bookmarkEnd w:id="810"/>
    </w:p>
    <w:p>
      <w:pPr>
        <w:pStyle w:val="88"/>
        <w:numPr>
          <w:ilvl w:val="0"/>
          <w:numId w:val="0"/>
        </w:numPr>
        <w:rPr>
          <w:rFonts w:ascii="仿宋_GB2312" w:eastAsia="仿宋_GB2312"/>
          <w:color w:val="auto"/>
          <w:szCs w:val="24"/>
        </w:rPr>
      </w:pPr>
      <w:r>
        <w:rPr>
          <w:rFonts w:hint="eastAsia" w:ascii="仿宋_GB2312" w:eastAsia="仿宋_GB2312"/>
          <w:color w:val="auto"/>
          <w:szCs w:val="24"/>
        </w:rPr>
        <w:t>9</w:t>
      </w:r>
      <w:r>
        <w:rPr>
          <w:rFonts w:ascii="仿宋_GB2312" w:eastAsia="仿宋_GB2312"/>
          <w:color w:val="auto"/>
          <w:szCs w:val="24"/>
        </w:rPr>
        <w:t xml:space="preserve">.1.1 </w:t>
      </w:r>
      <w:r>
        <w:rPr>
          <w:rFonts w:hint="eastAsia" w:ascii="仿宋_GB2312" w:eastAsia="仿宋_GB2312"/>
          <w:color w:val="auto"/>
          <w:szCs w:val="24"/>
        </w:rPr>
        <w:t>承包人完成工程或区段工程进行竣工试验所需的作业，并根据第</w:t>
      </w:r>
      <w:r>
        <w:rPr>
          <w:rFonts w:ascii="仿宋_GB2312" w:eastAsia="仿宋_GB2312"/>
          <w:color w:val="auto"/>
          <w:szCs w:val="24"/>
        </w:rPr>
        <w:t>5.4</w:t>
      </w:r>
      <w:r>
        <w:rPr>
          <w:rFonts w:hint="eastAsia" w:ascii="仿宋_GB2312" w:eastAsia="仿宋_GB2312"/>
          <w:color w:val="auto"/>
          <w:szCs w:val="24"/>
        </w:rPr>
        <w:t>款[竣工文件]和第</w:t>
      </w:r>
      <w:r>
        <w:rPr>
          <w:rFonts w:ascii="仿宋_GB2312" w:eastAsia="仿宋_GB2312"/>
          <w:color w:val="auto"/>
          <w:szCs w:val="24"/>
        </w:rPr>
        <w:t>5.5</w:t>
      </w:r>
      <w:r>
        <w:rPr>
          <w:rFonts w:hint="eastAsia" w:ascii="仿宋_GB2312" w:eastAsia="仿宋_GB2312"/>
          <w:color w:val="auto"/>
          <w:szCs w:val="24"/>
        </w:rPr>
        <w:t>款[操作和维修手册]提交文件后，进行竣工试验。</w:t>
      </w:r>
      <w:bookmarkStart w:id="811" w:name="_Ref532586608"/>
    </w:p>
    <w:p>
      <w:pPr>
        <w:pStyle w:val="88"/>
        <w:numPr>
          <w:ilvl w:val="0"/>
          <w:numId w:val="0"/>
        </w:numPr>
        <w:rPr>
          <w:rFonts w:ascii="仿宋_GB2312" w:eastAsia="仿宋_GB2312"/>
          <w:color w:val="auto"/>
          <w:szCs w:val="24"/>
        </w:rPr>
      </w:pPr>
      <w:bookmarkStart w:id="812" w:name="_Ref11919920"/>
      <w:r>
        <w:rPr>
          <w:rFonts w:hint="eastAsia" w:ascii="仿宋_GB2312" w:eastAsia="仿宋_GB2312"/>
          <w:color w:val="auto"/>
          <w:szCs w:val="24"/>
        </w:rPr>
        <w:t>9</w:t>
      </w:r>
      <w:r>
        <w:rPr>
          <w:rFonts w:ascii="仿宋_GB2312" w:eastAsia="仿宋_GB2312"/>
          <w:color w:val="auto"/>
          <w:szCs w:val="24"/>
        </w:rPr>
        <w:t xml:space="preserve">.1.2 </w:t>
      </w:r>
      <w:r>
        <w:rPr>
          <w:rFonts w:hint="eastAsia" w:ascii="仿宋_GB2312" w:eastAsia="仿宋_GB2312"/>
          <w:color w:val="auto"/>
          <w:szCs w:val="24"/>
        </w:rPr>
        <w:t>承包人应在进行竣工试验之前，至少提前42天向工程师提交详细的竣工试验计划，该计划应载明竣工试验的内容、地点、拟开展时间和需要发包人提供的资源条件。</w:t>
      </w:r>
      <w:bookmarkEnd w:id="811"/>
      <w:r>
        <w:rPr>
          <w:rFonts w:hint="eastAsia" w:ascii="仿宋_GB2312" w:eastAsia="仿宋_GB2312"/>
          <w:color w:val="auto"/>
          <w:szCs w:val="24"/>
        </w:rPr>
        <w:t>工程师应在收到计划后的14天内进行审查，并就该计划不符合合同的部分提出意见，承包人应在收到意见后的14天内自费对计划进行修正。工程师逾期未提出意见的，视为竣工试验计划已得到确认。除提交竣工试验计划外，承包人还应提前21天将可以开始进行各项竣工试验的日期通知工程师，并在该日期后的14天内或工程师指示的日期进行竣工试验。</w:t>
      </w:r>
      <w:bookmarkEnd w:id="812"/>
    </w:p>
    <w:p>
      <w:pPr>
        <w:pStyle w:val="88"/>
        <w:numPr>
          <w:ilvl w:val="0"/>
          <w:numId w:val="0"/>
        </w:numPr>
        <w:rPr>
          <w:rFonts w:ascii="仿宋_GB2312" w:eastAsia="仿宋_GB2312"/>
          <w:color w:val="auto"/>
          <w:szCs w:val="24"/>
        </w:rPr>
      </w:pPr>
      <w:bookmarkStart w:id="813" w:name="_Ref532688147"/>
      <w:r>
        <w:rPr>
          <w:rFonts w:hint="eastAsia" w:ascii="仿宋_GB2312" w:eastAsia="仿宋_GB2312"/>
          <w:color w:val="auto"/>
          <w:szCs w:val="24"/>
        </w:rPr>
        <w:t>9</w:t>
      </w:r>
      <w:r>
        <w:rPr>
          <w:rFonts w:ascii="仿宋_GB2312" w:eastAsia="仿宋_GB2312"/>
          <w:color w:val="auto"/>
          <w:szCs w:val="24"/>
        </w:rPr>
        <w:t xml:space="preserve">.1.3 </w:t>
      </w:r>
      <w:r>
        <w:rPr>
          <w:rFonts w:hint="eastAsia" w:ascii="仿宋_GB2312" w:eastAsia="仿宋_GB2312"/>
          <w:color w:val="auto"/>
          <w:szCs w:val="24"/>
        </w:rPr>
        <w:t>承包人应根据经确认的竣工试验计划以及第</w:t>
      </w:r>
      <w:r>
        <w:rPr>
          <w:rFonts w:ascii="仿宋_GB2312" w:eastAsia="仿宋_GB2312"/>
          <w:color w:val="auto"/>
          <w:szCs w:val="24"/>
        </w:rPr>
        <w:t>6.5</w:t>
      </w:r>
      <w:r>
        <w:rPr>
          <w:rFonts w:hint="eastAsia" w:ascii="仿宋_GB2312" w:eastAsia="仿宋_GB2312"/>
          <w:color w:val="auto"/>
          <w:szCs w:val="24"/>
        </w:rPr>
        <w:t>款[</w:t>
      </w:r>
      <w:r>
        <w:rPr>
          <w:rFonts w:ascii="仿宋_GB2312" w:eastAsia="仿宋_GB2312"/>
          <w:color w:val="auto"/>
          <w:szCs w:val="24"/>
        </w:rPr>
        <w:t>由承包人试验</w:t>
      </w:r>
      <w:r>
        <w:rPr>
          <w:rFonts w:hint="eastAsia" w:ascii="仿宋_GB2312" w:eastAsia="仿宋_GB2312"/>
          <w:color w:val="auto"/>
          <w:szCs w:val="24"/>
        </w:rPr>
        <w:t>和</w:t>
      </w:r>
      <w:r>
        <w:rPr>
          <w:rFonts w:ascii="仿宋_GB2312" w:eastAsia="仿宋_GB2312"/>
          <w:color w:val="auto"/>
          <w:szCs w:val="24"/>
        </w:rPr>
        <w:t>检验</w:t>
      </w:r>
      <w:r>
        <w:rPr>
          <w:rFonts w:hint="eastAsia" w:ascii="仿宋_GB2312" w:eastAsia="仿宋_GB2312"/>
          <w:color w:val="auto"/>
          <w:szCs w:val="24"/>
        </w:rPr>
        <w:t>]进行竣工试验。除《发包人要求》中另有说明外，竣工试验应按以下顺序分阶段进行，即只有在工程或区段工程已通过上一阶段试验的情况下，才可进行下一阶段试验：</w:t>
      </w:r>
      <w:bookmarkEnd w:id="813"/>
    </w:p>
    <w:p>
      <w:pPr>
        <w:ind w:firstLine="600"/>
        <w:rPr>
          <w:rFonts w:ascii="仿宋_GB2312" w:eastAsia="仿宋_GB2312"/>
          <w:color w:val="auto"/>
          <w:sz w:val="24"/>
        </w:rPr>
      </w:pPr>
      <w:r>
        <w:rPr>
          <w:rFonts w:hint="eastAsia" w:ascii="仿宋_GB2312" w:eastAsia="仿宋_GB2312"/>
          <w:color w:val="auto"/>
          <w:sz w:val="24"/>
        </w:rPr>
        <w:t>（1） 承包人进行启动前试验，包括适当的检查和功能性试验，以证明工程或区段工程的每一部分均能够安全地承受下一阶段试验；</w:t>
      </w:r>
    </w:p>
    <w:p>
      <w:pPr>
        <w:ind w:firstLine="600"/>
        <w:rPr>
          <w:rFonts w:ascii="仿宋_GB2312" w:eastAsia="仿宋_GB2312"/>
          <w:color w:val="auto"/>
          <w:sz w:val="24"/>
        </w:rPr>
      </w:pPr>
      <w:r>
        <w:rPr>
          <w:rFonts w:hint="eastAsia" w:ascii="仿宋_GB2312" w:eastAsia="仿宋_GB2312"/>
          <w:color w:val="auto"/>
          <w:sz w:val="24"/>
        </w:rPr>
        <w:t>（2） 承包人进行启动试验，以证明工程或区段工程能够在所有可利用的操作条件下安全运行，并按照专用合同条件和《发包人要求》中的规定操作；</w:t>
      </w:r>
    </w:p>
    <w:p>
      <w:pPr>
        <w:ind w:firstLine="600"/>
        <w:rPr>
          <w:rFonts w:ascii="仿宋_GB2312" w:eastAsia="仿宋_GB2312"/>
          <w:color w:val="auto"/>
          <w:sz w:val="24"/>
        </w:rPr>
      </w:pPr>
      <w:r>
        <w:rPr>
          <w:rFonts w:hint="eastAsia" w:ascii="仿宋_GB2312" w:eastAsia="仿宋_GB2312"/>
          <w:color w:val="auto"/>
          <w:sz w:val="24"/>
        </w:rPr>
        <w:t>（3） 承包人进行试运行试验。当工程或区段工程能稳定安全运行时，承包人应通知工程师，可以进行其他竣工试验，包括各种性能测试，以证明工程或区段工程符合《发包人要求》中列明的性能保证指标。</w:t>
      </w:r>
    </w:p>
    <w:p>
      <w:pPr>
        <w:ind w:firstLine="600"/>
        <w:rPr>
          <w:rFonts w:ascii="仿宋_GB2312" w:eastAsia="仿宋_GB2312"/>
          <w:color w:val="auto"/>
          <w:sz w:val="24"/>
        </w:rPr>
      </w:pPr>
      <w:r>
        <w:rPr>
          <w:rFonts w:hint="eastAsia" w:ascii="仿宋_GB2312" w:eastAsia="仿宋_GB2312"/>
          <w:color w:val="auto"/>
          <w:sz w:val="24"/>
        </w:rPr>
        <w:t>进行上述试验不应构成第</w:t>
      </w:r>
      <w:r>
        <w:rPr>
          <w:rFonts w:ascii="仿宋_GB2312" w:eastAsia="仿宋_GB2312"/>
          <w:color w:val="auto"/>
          <w:sz w:val="24"/>
        </w:rPr>
        <w:t>10条</w:t>
      </w:r>
      <w:r>
        <w:rPr>
          <w:rFonts w:hint="eastAsia" w:ascii="仿宋_GB2312" w:eastAsia="仿宋_GB2312"/>
          <w:color w:val="auto"/>
          <w:sz w:val="24"/>
        </w:rPr>
        <w:t>[验收和工程接收]规定的接收，但试验所产生的任何产品或其他收益均应归属于发包人。</w:t>
      </w:r>
    </w:p>
    <w:p>
      <w:pPr>
        <w:pStyle w:val="88"/>
        <w:numPr>
          <w:ilvl w:val="0"/>
          <w:numId w:val="0"/>
        </w:numPr>
        <w:rPr>
          <w:rFonts w:ascii="仿宋_GB2312" w:eastAsia="仿宋_GB2312"/>
          <w:color w:val="auto"/>
          <w:szCs w:val="24"/>
        </w:rPr>
      </w:pPr>
      <w:r>
        <w:rPr>
          <w:rFonts w:hint="eastAsia" w:ascii="仿宋_GB2312" w:eastAsia="仿宋_GB2312"/>
          <w:color w:val="auto"/>
          <w:szCs w:val="24"/>
        </w:rPr>
        <w:t>9</w:t>
      </w:r>
      <w:r>
        <w:rPr>
          <w:rFonts w:ascii="仿宋_GB2312" w:eastAsia="仿宋_GB2312"/>
          <w:color w:val="auto"/>
          <w:szCs w:val="24"/>
        </w:rPr>
        <w:t xml:space="preserve">.1.4 </w:t>
      </w:r>
      <w:r>
        <w:rPr>
          <w:rFonts w:hint="eastAsia" w:ascii="仿宋_GB2312" w:eastAsia="仿宋_GB2312"/>
          <w:color w:val="auto"/>
          <w:szCs w:val="24"/>
        </w:rPr>
        <w:t>完成上述各阶段竣工试验后，承包人应向工程师提交试验结果报告，试验结果须符合约定的标准、规范和数据。工程师应在收到报告后14天内予以回复，逾期未回复的，视为认可竣工试验结果。但在考虑工程或区段工程是否通过竣工试验时，应适当考虑发包人对工程或其任何部分的使用，对工程或区段工程的性能、特性和试验结果产生的影响。</w:t>
      </w:r>
    </w:p>
    <w:p>
      <w:pPr>
        <w:pStyle w:val="315"/>
        <w:widowControl/>
        <w:numPr>
          <w:ilvl w:val="0"/>
          <w:numId w:val="0"/>
        </w:numPr>
        <w:rPr>
          <w:b w:val="0"/>
          <w:bCs/>
          <w:color w:val="auto"/>
        </w:rPr>
      </w:pPr>
      <w:bookmarkStart w:id="814" w:name="_Toc54862260"/>
      <w:r>
        <w:rPr>
          <w:rFonts w:hint="eastAsia"/>
          <w:b w:val="0"/>
          <w:bCs/>
          <w:color w:val="auto"/>
        </w:rPr>
        <w:t>9</w:t>
      </w:r>
      <w:r>
        <w:rPr>
          <w:b w:val="0"/>
          <w:bCs/>
          <w:color w:val="auto"/>
        </w:rPr>
        <w:t xml:space="preserve">.2 </w:t>
      </w:r>
      <w:r>
        <w:rPr>
          <w:rFonts w:hint="eastAsia"/>
          <w:b w:val="0"/>
          <w:bCs/>
          <w:color w:val="auto"/>
        </w:rPr>
        <w:t>延误的试验</w:t>
      </w:r>
      <w:bookmarkEnd w:id="814"/>
    </w:p>
    <w:p>
      <w:pPr>
        <w:pStyle w:val="88"/>
        <w:numPr>
          <w:ilvl w:val="0"/>
          <w:numId w:val="0"/>
        </w:numPr>
        <w:rPr>
          <w:rFonts w:ascii="仿宋_GB2312" w:eastAsia="仿宋_GB2312"/>
          <w:color w:val="auto"/>
          <w:szCs w:val="24"/>
        </w:rPr>
      </w:pPr>
      <w:r>
        <w:rPr>
          <w:rFonts w:hint="eastAsia" w:ascii="仿宋_GB2312" w:eastAsia="仿宋_GB2312"/>
          <w:color w:val="auto"/>
          <w:szCs w:val="24"/>
        </w:rPr>
        <w:t>9</w:t>
      </w:r>
      <w:r>
        <w:rPr>
          <w:rFonts w:ascii="仿宋_GB2312" w:eastAsia="仿宋_GB2312"/>
          <w:color w:val="auto"/>
          <w:szCs w:val="24"/>
        </w:rPr>
        <w:t xml:space="preserve">.2.1 </w:t>
      </w:r>
      <w:r>
        <w:rPr>
          <w:rFonts w:hint="eastAsia" w:ascii="仿宋_GB2312" w:eastAsia="仿宋_GB2312"/>
          <w:color w:val="auto"/>
          <w:szCs w:val="24"/>
        </w:rPr>
        <w:t>如果承包人已根据第</w:t>
      </w:r>
      <w:r>
        <w:rPr>
          <w:rFonts w:ascii="仿宋_GB2312" w:eastAsia="仿宋_GB2312"/>
          <w:color w:val="auto"/>
          <w:szCs w:val="24"/>
        </w:rPr>
        <w:t>9.1</w:t>
      </w:r>
      <w:r>
        <w:rPr>
          <w:rFonts w:hint="eastAsia" w:ascii="仿宋_GB2312" w:eastAsia="仿宋_GB2312"/>
          <w:color w:val="auto"/>
          <w:szCs w:val="24"/>
        </w:rPr>
        <w:t>款[竣工试验的义务]就可以开始进行各项竣工试验的日期通知工程师，但该等试验因发包人原因被延误14天以上的，发包人应承担由此增加的费用和工期延误，并支付承包人合理利润。同时，承包人应在合理可行的情况下尽快进行竣工试验。</w:t>
      </w:r>
    </w:p>
    <w:p>
      <w:pPr>
        <w:pStyle w:val="88"/>
        <w:numPr>
          <w:ilvl w:val="0"/>
          <w:numId w:val="0"/>
        </w:numPr>
        <w:rPr>
          <w:rFonts w:ascii="仿宋_GB2312" w:eastAsia="仿宋_GB2312"/>
          <w:color w:val="auto"/>
          <w:szCs w:val="24"/>
        </w:rPr>
      </w:pPr>
      <w:r>
        <w:rPr>
          <w:rFonts w:hint="eastAsia" w:ascii="仿宋_GB2312" w:eastAsia="仿宋_GB2312"/>
          <w:color w:val="auto"/>
          <w:szCs w:val="24"/>
        </w:rPr>
        <w:t>9</w:t>
      </w:r>
      <w:r>
        <w:rPr>
          <w:rFonts w:ascii="仿宋_GB2312" w:eastAsia="仿宋_GB2312"/>
          <w:color w:val="auto"/>
          <w:szCs w:val="24"/>
        </w:rPr>
        <w:t xml:space="preserve">.2.2 </w:t>
      </w:r>
      <w:r>
        <w:rPr>
          <w:rFonts w:hint="eastAsia" w:ascii="仿宋_GB2312" w:eastAsia="仿宋_GB2312"/>
          <w:color w:val="auto"/>
          <w:szCs w:val="24"/>
        </w:rPr>
        <w:t>承包人无正当理由延误进行竣工试验的，工程师可向其发出通知，要求其在收到通知后的21天内进行该项竣工试验。承包人应在该21天的期限内确定进行试验的日期，并至少提前7天通知工程师。</w:t>
      </w:r>
    </w:p>
    <w:p>
      <w:pPr>
        <w:pStyle w:val="88"/>
        <w:numPr>
          <w:ilvl w:val="0"/>
          <w:numId w:val="0"/>
        </w:numPr>
        <w:rPr>
          <w:rFonts w:ascii="仿宋_GB2312" w:eastAsia="仿宋_GB2312"/>
          <w:color w:val="auto"/>
          <w:szCs w:val="24"/>
        </w:rPr>
      </w:pPr>
      <w:r>
        <w:rPr>
          <w:rFonts w:hint="eastAsia" w:ascii="仿宋_GB2312" w:eastAsia="仿宋_GB2312"/>
          <w:color w:val="auto"/>
          <w:szCs w:val="24"/>
        </w:rPr>
        <w:t>9</w:t>
      </w:r>
      <w:r>
        <w:rPr>
          <w:rFonts w:ascii="仿宋_GB2312" w:eastAsia="仿宋_GB2312"/>
          <w:color w:val="auto"/>
          <w:szCs w:val="24"/>
        </w:rPr>
        <w:t xml:space="preserve">.2.3 </w:t>
      </w:r>
      <w:r>
        <w:rPr>
          <w:rFonts w:hint="eastAsia" w:ascii="仿宋_GB2312" w:eastAsia="仿宋_GB2312"/>
          <w:color w:val="auto"/>
          <w:szCs w:val="24"/>
        </w:rPr>
        <w:t>如果承包人未在该期限内进行竣工试验，则发包人有权自行组织该项竣工试验，由此产生的合理费用由承包人承担。发包人应在试验完成后28天内向承包人发送试验结果。</w:t>
      </w:r>
    </w:p>
    <w:p>
      <w:pPr>
        <w:pStyle w:val="315"/>
        <w:widowControl/>
        <w:numPr>
          <w:ilvl w:val="0"/>
          <w:numId w:val="0"/>
        </w:numPr>
        <w:rPr>
          <w:b w:val="0"/>
          <w:bCs/>
          <w:color w:val="auto"/>
        </w:rPr>
      </w:pPr>
      <w:bookmarkStart w:id="815" w:name="_Ref532594588"/>
      <w:bookmarkStart w:id="816" w:name="_Ref532594592"/>
      <w:bookmarkStart w:id="817" w:name="_Toc54862261"/>
      <w:r>
        <w:rPr>
          <w:rFonts w:hint="eastAsia"/>
          <w:b w:val="0"/>
          <w:bCs/>
          <w:color w:val="auto"/>
        </w:rPr>
        <w:t>9</w:t>
      </w:r>
      <w:r>
        <w:rPr>
          <w:b w:val="0"/>
          <w:bCs/>
          <w:color w:val="auto"/>
        </w:rPr>
        <w:t xml:space="preserve">.3 </w:t>
      </w:r>
      <w:r>
        <w:rPr>
          <w:rFonts w:hint="eastAsia"/>
          <w:b w:val="0"/>
          <w:bCs/>
          <w:color w:val="auto"/>
        </w:rPr>
        <w:t>重新试验</w:t>
      </w:r>
      <w:bookmarkEnd w:id="815"/>
      <w:bookmarkEnd w:id="816"/>
      <w:bookmarkEnd w:id="817"/>
      <w:r>
        <w:rPr>
          <w:rFonts w:hint="eastAsia"/>
          <w:b w:val="0"/>
          <w:bCs/>
          <w:color w:val="auto"/>
        </w:rPr>
        <w:t xml:space="preserve"> </w:t>
      </w:r>
    </w:p>
    <w:p>
      <w:pPr>
        <w:ind w:firstLine="600"/>
        <w:rPr>
          <w:rFonts w:ascii="仿宋_GB2312" w:eastAsia="仿宋_GB2312"/>
          <w:color w:val="auto"/>
          <w:sz w:val="24"/>
        </w:rPr>
      </w:pPr>
      <w:r>
        <w:rPr>
          <w:rFonts w:hint="eastAsia" w:ascii="仿宋_GB2312" w:eastAsia="仿宋_GB2312"/>
          <w:color w:val="auto"/>
          <w:sz w:val="24"/>
        </w:rPr>
        <w:t>如果工程或区段工程未能通过竣工试验，则承包人应根据第</w:t>
      </w:r>
      <w:r>
        <w:rPr>
          <w:rFonts w:ascii="仿宋_GB2312" w:eastAsia="仿宋_GB2312"/>
          <w:color w:val="auto"/>
          <w:sz w:val="24"/>
        </w:rPr>
        <w:t>6.6</w:t>
      </w:r>
      <w:r>
        <w:rPr>
          <w:rFonts w:hint="eastAsia" w:ascii="仿宋_GB2312" w:eastAsia="仿宋_GB2312"/>
          <w:color w:val="auto"/>
          <w:sz w:val="24"/>
        </w:rPr>
        <w:t>款[缺陷和修补]修补缺陷。发包人或承包人可要求按相同的条件，重新进行未通过的试验以及相关工程或区段工程的竣工试验。该等重新进行的试验仍应适用本条对于竣工试验的规定。</w:t>
      </w:r>
    </w:p>
    <w:p>
      <w:pPr>
        <w:pStyle w:val="315"/>
        <w:widowControl/>
        <w:numPr>
          <w:ilvl w:val="0"/>
          <w:numId w:val="0"/>
        </w:numPr>
        <w:rPr>
          <w:b w:val="0"/>
          <w:bCs/>
          <w:color w:val="auto"/>
        </w:rPr>
      </w:pPr>
      <w:bookmarkStart w:id="818" w:name="_Toc54862262"/>
      <w:bookmarkStart w:id="819" w:name="_Ref532688226"/>
      <w:bookmarkStart w:id="820" w:name="_Ref532688221"/>
      <w:r>
        <w:rPr>
          <w:rFonts w:hint="eastAsia"/>
          <w:b w:val="0"/>
          <w:bCs/>
          <w:color w:val="auto"/>
        </w:rPr>
        <w:t>9</w:t>
      </w:r>
      <w:r>
        <w:rPr>
          <w:b w:val="0"/>
          <w:bCs/>
          <w:color w:val="auto"/>
        </w:rPr>
        <w:t xml:space="preserve">.4 </w:t>
      </w:r>
      <w:r>
        <w:rPr>
          <w:rFonts w:hint="eastAsia"/>
          <w:b w:val="0"/>
          <w:bCs/>
          <w:color w:val="auto"/>
        </w:rPr>
        <w:t>未能通过竣工试验</w:t>
      </w:r>
      <w:bookmarkEnd w:id="818"/>
      <w:bookmarkEnd w:id="819"/>
      <w:bookmarkEnd w:id="820"/>
    </w:p>
    <w:p>
      <w:pPr>
        <w:pStyle w:val="88"/>
        <w:numPr>
          <w:ilvl w:val="0"/>
          <w:numId w:val="0"/>
        </w:numPr>
        <w:rPr>
          <w:rFonts w:ascii="仿宋_GB2312" w:eastAsia="仿宋_GB2312"/>
          <w:color w:val="auto"/>
          <w:szCs w:val="24"/>
        </w:rPr>
      </w:pPr>
      <w:r>
        <w:rPr>
          <w:rFonts w:hint="eastAsia" w:ascii="仿宋_GB2312" w:eastAsia="仿宋_GB2312"/>
          <w:color w:val="auto"/>
          <w:szCs w:val="24"/>
        </w:rPr>
        <w:t>9</w:t>
      </w:r>
      <w:r>
        <w:rPr>
          <w:rFonts w:ascii="仿宋_GB2312" w:eastAsia="仿宋_GB2312"/>
          <w:color w:val="auto"/>
          <w:szCs w:val="24"/>
        </w:rPr>
        <w:t xml:space="preserve">.4.1 </w:t>
      </w:r>
      <w:r>
        <w:rPr>
          <w:rFonts w:hint="eastAsia" w:ascii="仿宋_GB2312" w:eastAsia="仿宋_GB2312"/>
          <w:color w:val="auto"/>
          <w:szCs w:val="24"/>
        </w:rPr>
        <w:t>因发包人原因导致竣工试验未能通过的，承包人进行竣工试验的费用由发包人承担，竣工日期相应顺延。</w:t>
      </w:r>
    </w:p>
    <w:p>
      <w:pPr>
        <w:pStyle w:val="88"/>
        <w:numPr>
          <w:ilvl w:val="0"/>
          <w:numId w:val="0"/>
        </w:numPr>
        <w:rPr>
          <w:rFonts w:ascii="仿宋_GB2312" w:eastAsia="仿宋_GB2312"/>
          <w:color w:val="auto"/>
          <w:szCs w:val="24"/>
        </w:rPr>
      </w:pPr>
      <w:r>
        <w:rPr>
          <w:rFonts w:hint="eastAsia" w:ascii="仿宋_GB2312" w:eastAsia="仿宋_GB2312"/>
          <w:color w:val="auto"/>
          <w:szCs w:val="24"/>
        </w:rPr>
        <w:t>9</w:t>
      </w:r>
      <w:r>
        <w:rPr>
          <w:rFonts w:ascii="仿宋_GB2312" w:eastAsia="仿宋_GB2312"/>
          <w:color w:val="auto"/>
          <w:szCs w:val="24"/>
        </w:rPr>
        <w:t xml:space="preserve">.4.2 </w:t>
      </w:r>
      <w:r>
        <w:rPr>
          <w:rFonts w:hint="eastAsia" w:ascii="仿宋_GB2312" w:eastAsia="仿宋_GB2312"/>
          <w:color w:val="auto"/>
          <w:szCs w:val="24"/>
        </w:rPr>
        <w:t>如果工程或区段工程未能通过根据第</w:t>
      </w:r>
      <w:r>
        <w:rPr>
          <w:rFonts w:ascii="仿宋_GB2312" w:eastAsia="仿宋_GB2312"/>
          <w:color w:val="auto"/>
          <w:szCs w:val="24"/>
        </w:rPr>
        <w:t>9.3</w:t>
      </w:r>
      <w:r>
        <w:rPr>
          <w:rFonts w:hint="eastAsia" w:ascii="仿宋_GB2312" w:eastAsia="仿宋_GB2312"/>
          <w:color w:val="auto"/>
          <w:szCs w:val="24"/>
        </w:rPr>
        <w:t>款[重新试验]重新进行的竣工试验的，则：</w:t>
      </w:r>
    </w:p>
    <w:p>
      <w:pPr>
        <w:ind w:firstLine="600"/>
        <w:rPr>
          <w:rFonts w:ascii="仿宋_GB2312" w:eastAsia="仿宋_GB2312"/>
          <w:color w:val="auto"/>
          <w:sz w:val="24"/>
        </w:rPr>
      </w:pPr>
      <w:r>
        <w:rPr>
          <w:rFonts w:hint="eastAsia" w:ascii="仿宋_GB2312" w:eastAsia="仿宋_GB2312"/>
          <w:color w:val="auto"/>
          <w:sz w:val="24"/>
        </w:rPr>
        <w:t>（1） 发包人有权要求承包人根据第</w:t>
      </w:r>
      <w:r>
        <w:rPr>
          <w:rFonts w:ascii="仿宋_GB2312" w:eastAsia="仿宋_GB2312"/>
          <w:color w:val="auto"/>
          <w:sz w:val="24"/>
        </w:rPr>
        <w:t>6.6</w:t>
      </w:r>
      <w:r>
        <w:rPr>
          <w:rFonts w:hint="eastAsia" w:ascii="仿宋_GB2312" w:eastAsia="仿宋_GB2312"/>
          <w:color w:val="auto"/>
          <w:sz w:val="24"/>
        </w:rPr>
        <w:t>款[缺陷和修补]继续进行修补和改正，并根据第</w:t>
      </w:r>
      <w:r>
        <w:rPr>
          <w:rFonts w:ascii="仿宋_GB2312" w:eastAsia="仿宋_GB2312"/>
          <w:color w:val="auto"/>
          <w:sz w:val="24"/>
        </w:rPr>
        <w:t>9.3</w:t>
      </w:r>
      <w:r>
        <w:rPr>
          <w:rFonts w:hint="eastAsia" w:ascii="仿宋_GB2312" w:eastAsia="仿宋_GB2312"/>
          <w:color w:val="auto"/>
          <w:sz w:val="24"/>
        </w:rPr>
        <w:t>款[重新试验]再次进行竣工试验；</w:t>
      </w:r>
    </w:p>
    <w:p>
      <w:pPr>
        <w:ind w:firstLine="600"/>
        <w:rPr>
          <w:rFonts w:ascii="仿宋_GB2312" w:eastAsia="仿宋_GB2312"/>
          <w:color w:val="auto"/>
          <w:sz w:val="24"/>
        </w:rPr>
      </w:pPr>
      <w:r>
        <w:rPr>
          <w:rFonts w:hint="eastAsia" w:ascii="仿宋_GB2312" w:eastAsia="仿宋_GB2312"/>
          <w:color w:val="auto"/>
          <w:sz w:val="24"/>
        </w:rPr>
        <w:t>（2） 未能通过竣工试验，对工程或区段工程的操作或使用未产生实质性影响的，发包人有权要求承包人自费修复，承担因此增加的费用和误期损害赔偿责任，并赔偿发包人的相应损失；无法修复时，发包人有权扣减该部分的相应付款，同时视为通过竣工验收；</w:t>
      </w:r>
    </w:p>
    <w:p>
      <w:pPr>
        <w:ind w:firstLine="600"/>
        <w:rPr>
          <w:rFonts w:ascii="仿宋_GB2312" w:eastAsia="仿宋_GB2312"/>
          <w:color w:val="auto"/>
          <w:sz w:val="24"/>
        </w:rPr>
      </w:pPr>
      <w:bookmarkStart w:id="821" w:name="_Ref4621461"/>
      <w:r>
        <w:rPr>
          <w:rFonts w:hint="eastAsia" w:ascii="仿宋_GB2312" w:eastAsia="仿宋_GB2312"/>
          <w:color w:val="auto"/>
          <w:sz w:val="24"/>
        </w:rPr>
        <w:t>（3） 未能通过竣工试验，使工程或区段工程的任何主要部分丧失了生产、使用功能时，发包人有权指令承包人更换相关部分，承包人应承担因此增加的费用和误期损害赔偿责任，并赔偿发包人的相应损失</w:t>
      </w:r>
      <w:bookmarkEnd w:id="821"/>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（4） 未能通过竣工试验，使整个工程或区段工程丧失了生产、使用功能时，发包人可拒收工程或区段工程，或指令承包人重新设计、重置相关部分，承包人应承担因此增加的费用和误期损害赔偿责任，并赔偿发包人的相应损失。同时发包人有权根据第</w:t>
      </w:r>
      <w:r>
        <w:rPr>
          <w:rFonts w:ascii="仿宋_GB2312" w:eastAsia="仿宋_GB2312"/>
          <w:color w:val="auto"/>
          <w:sz w:val="24"/>
        </w:rPr>
        <w:t>16.1</w:t>
      </w:r>
      <w:r>
        <w:rPr>
          <w:rFonts w:hint="eastAsia" w:ascii="仿宋_GB2312" w:eastAsia="仿宋_GB2312"/>
          <w:color w:val="auto"/>
          <w:sz w:val="24"/>
        </w:rPr>
        <w:t>款[由发包人解除合同]的约定解除合同。</w:t>
      </w:r>
    </w:p>
    <w:p>
      <w:pPr>
        <w:pStyle w:val="164"/>
        <w:numPr>
          <w:ilvl w:val="0"/>
          <w:numId w:val="0"/>
        </w:numPr>
        <w:wordWrap/>
        <w:topLinePunct w:val="0"/>
        <w:rPr>
          <w:b w:val="0"/>
          <w:bCs/>
          <w:color w:val="auto"/>
          <w:sz w:val="24"/>
          <w:szCs w:val="24"/>
        </w:rPr>
      </w:pPr>
      <w:bookmarkStart w:id="822" w:name="_Toc54862263"/>
      <w:bookmarkStart w:id="823" w:name="_Ref4618338"/>
      <w:bookmarkStart w:id="824" w:name="_Ref4618348"/>
      <w:bookmarkStart w:id="825" w:name="_Ref4624043"/>
      <w:r>
        <w:rPr>
          <w:rFonts w:hint="eastAsia"/>
          <w:b w:val="0"/>
          <w:bCs/>
          <w:color w:val="auto"/>
          <w:sz w:val="24"/>
          <w:szCs w:val="24"/>
        </w:rPr>
        <w:t>第1</w:t>
      </w:r>
      <w:r>
        <w:rPr>
          <w:b w:val="0"/>
          <w:bCs/>
          <w:color w:val="auto"/>
          <w:sz w:val="24"/>
          <w:szCs w:val="24"/>
        </w:rPr>
        <w:t>0</w:t>
      </w:r>
      <w:r>
        <w:rPr>
          <w:rFonts w:hint="eastAsia"/>
          <w:b w:val="0"/>
          <w:bCs/>
          <w:color w:val="auto"/>
          <w:sz w:val="24"/>
          <w:szCs w:val="24"/>
        </w:rPr>
        <w:t>条 验收和工程接收</w:t>
      </w:r>
      <w:bookmarkEnd w:id="822"/>
      <w:bookmarkEnd w:id="823"/>
      <w:bookmarkEnd w:id="824"/>
      <w:bookmarkEnd w:id="825"/>
    </w:p>
    <w:p>
      <w:pPr>
        <w:pStyle w:val="315"/>
        <w:widowControl/>
        <w:numPr>
          <w:ilvl w:val="0"/>
          <w:numId w:val="0"/>
        </w:numPr>
        <w:rPr>
          <w:b w:val="0"/>
          <w:bCs/>
          <w:color w:val="auto"/>
        </w:rPr>
      </w:pPr>
      <w:bookmarkStart w:id="826" w:name="_Ref532300804"/>
      <w:bookmarkStart w:id="827" w:name="_Ref532301202"/>
      <w:bookmarkStart w:id="828" w:name="_Ref532359143"/>
      <w:bookmarkStart w:id="829" w:name="_Ref532300801"/>
      <w:bookmarkStart w:id="830" w:name="_Ref532359152"/>
      <w:bookmarkStart w:id="831" w:name="_Ref532301199"/>
      <w:bookmarkStart w:id="832" w:name="_Toc54862264"/>
      <w:r>
        <w:rPr>
          <w:rFonts w:hint="eastAsia"/>
          <w:b w:val="0"/>
          <w:bCs/>
          <w:color w:val="auto"/>
        </w:rPr>
        <w:t>1</w:t>
      </w:r>
      <w:r>
        <w:rPr>
          <w:b w:val="0"/>
          <w:bCs/>
          <w:color w:val="auto"/>
        </w:rPr>
        <w:t xml:space="preserve">0.1 </w:t>
      </w:r>
      <w:r>
        <w:rPr>
          <w:rFonts w:hint="eastAsia"/>
          <w:b w:val="0"/>
          <w:bCs/>
          <w:color w:val="auto"/>
        </w:rPr>
        <w:t>竣工验收</w:t>
      </w:r>
      <w:bookmarkEnd w:id="826"/>
      <w:bookmarkEnd w:id="827"/>
      <w:bookmarkEnd w:id="828"/>
      <w:bookmarkEnd w:id="829"/>
      <w:bookmarkEnd w:id="830"/>
      <w:bookmarkEnd w:id="831"/>
      <w:bookmarkEnd w:id="832"/>
    </w:p>
    <w:p>
      <w:pPr>
        <w:pStyle w:val="88"/>
        <w:numPr>
          <w:ilvl w:val="0"/>
          <w:numId w:val="0"/>
        </w:numPr>
        <w:rPr>
          <w:rFonts w:ascii="仿宋_GB2312" w:eastAsia="仿宋_GB2312"/>
          <w:color w:val="auto"/>
          <w:szCs w:val="24"/>
        </w:rPr>
      </w:pPr>
      <w:bookmarkStart w:id="833" w:name="_Ref532628356"/>
      <w:r>
        <w:rPr>
          <w:rFonts w:hint="eastAsia" w:ascii="仿宋_GB2312" w:eastAsia="仿宋_GB2312"/>
          <w:color w:val="auto"/>
          <w:szCs w:val="24"/>
        </w:rPr>
        <w:t>1</w:t>
      </w:r>
      <w:r>
        <w:rPr>
          <w:rFonts w:ascii="仿宋_GB2312" w:eastAsia="仿宋_GB2312"/>
          <w:color w:val="auto"/>
          <w:szCs w:val="24"/>
        </w:rPr>
        <w:t xml:space="preserve">0.1.1 </w:t>
      </w:r>
      <w:r>
        <w:rPr>
          <w:rFonts w:hint="eastAsia" w:ascii="仿宋_GB2312" w:eastAsia="仿宋_GB2312"/>
          <w:color w:val="auto"/>
          <w:szCs w:val="24"/>
        </w:rPr>
        <w:t>竣工验收条件</w:t>
      </w:r>
    </w:p>
    <w:p>
      <w:pPr>
        <w:ind w:firstLine="600"/>
        <w:rPr>
          <w:rFonts w:ascii="仿宋_GB2312" w:eastAsia="仿宋_GB2312"/>
          <w:color w:val="auto"/>
          <w:sz w:val="24"/>
        </w:rPr>
      </w:pPr>
      <w:r>
        <w:rPr>
          <w:rFonts w:hint="eastAsia" w:ascii="仿宋_GB2312" w:eastAsia="仿宋_GB2312"/>
          <w:color w:val="auto"/>
          <w:sz w:val="24"/>
        </w:rPr>
        <w:t>工程具备以下条件的，承包人可以申请竣工验收：</w:t>
      </w:r>
    </w:p>
    <w:p>
      <w:pPr>
        <w:ind w:firstLine="600"/>
        <w:rPr>
          <w:rFonts w:ascii="仿宋_GB2312" w:eastAsia="仿宋_GB2312"/>
          <w:color w:val="auto"/>
          <w:sz w:val="24"/>
        </w:rPr>
      </w:pPr>
      <w:r>
        <w:rPr>
          <w:rFonts w:hint="eastAsia" w:ascii="仿宋_GB2312" w:eastAsia="仿宋_GB2312"/>
          <w:color w:val="auto"/>
          <w:sz w:val="24"/>
        </w:rPr>
        <w:t>（1） 除因第</w:t>
      </w:r>
      <w:r>
        <w:rPr>
          <w:rFonts w:ascii="仿宋_GB2312" w:eastAsia="仿宋_GB2312"/>
          <w:color w:val="auto"/>
          <w:sz w:val="24"/>
        </w:rPr>
        <w:t>13条</w:t>
      </w:r>
      <w:r>
        <w:rPr>
          <w:rFonts w:hint="eastAsia" w:ascii="仿宋_GB2312" w:eastAsia="仿宋_GB2312"/>
          <w:color w:val="auto"/>
          <w:sz w:val="24"/>
        </w:rPr>
        <w:t>[变更与调整]导致的工程量删减和第</w:t>
      </w:r>
      <w:r>
        <w:rPr>
          <w:rFonts w:ascii="仿宋_GB2312" w:eastAsia="仿宋_GB2312"/>
          <w:color w:val="auto"/>
          <w:sz w:val="24"/>
        </w:rPr>
        <w:t>14.5.3</w:t>
      </w:r>
      <w:r>
        <w:rPr>
          <w:rFonts w:hint="eastAsia" w:ascii="仿宋_GB2312" w:eastAsia="仿宋_GB2312"/>
          <w:color w:val="auto"/>
          <w:sz w:val="24"/>
        </w:rPr>
        <w:t>项[扫尾工作清单]列入缺陷责任期内完成的扫尾工程和缺陷修补工作外，合同范围内的全部单位/区段工程以及有关工作，包括合同要求的试验和竣工试验均已完成，并符合合同要求；</w:t>
      </w:r>
    </w:p>
    <w:p>
      <w:pPr>
        <w:ind w:firstLine="600"/>
        <w:rPr>
          <w:rFonts w:ascii="仿宋_GB2312" w:eastAsia="仿宋_GB2312"/>
          <w:color w:val="auto"/>
          <w:sz w:val="24"/>
        </w:rPr>
      </w:pPr>
      <w:r>
        <w:rPr>
          <w:rFonts w:hint="eastAsia" w:ascii="仿宋_GB2312" w:eastAsia="仿宋_GB2312"/>
          <w:color w:val="auto"/>
          <w:sz w:val="24"/>
        </w:rPr>
        <w:t>（2） 已按合同约定编制了扫尾工作和缺陷修补工作清单以及相应实施计划；</w:t>
      </w:r>
    </w:p>
    <w:p>
      <w:pPr>
        <w:ind w:firstLine="600"/>
        <w:rPr>
          <w:rFonts w:ascii="仿宋_GB2312" w:eastAsia="仿宋_GB2312"/>
          <w:color w:val="auto"/>
          <w:sz w:val="24"/>
        </w:rPr>
      </w:pPr>
      <w:r>
        <w:rPr>
          <w:rFonts w:hint="eastAsia" w:ascii="仿宋_GB2312" w:eastAsia="仿宋_GB2312"/>
          <w:color w:val="auto"/>
          <w:sz w:val="24"/>
        </w:rPr>
        <w:t>（3） 已按合同约定的内容和份数备齐竣工资料；</w:t>
      </w:r>
    </w:p>
    <w:p>
      <w:pPr>
        <w:ind w:firstLine="600"/>
        <w:rPr>
          <w:rFonts w:ascii="仿宋_GB2312" w:eastAsia="仿宋_GB2312"/>
          <w:color w:val="auto"/>
          <w:sz w:val="24"/>
        </w:rPr>
      </w:pPr>
      <w:r>
        <w:rPr>
          <w:rFonts w:hint="eastAsia" w:ascii="仿宋_GB2312" w:eastAsia="仿宋_GB2312"/>
          <w:color w:val="auto"/>
          <w:sz w:val="24"/>
        </w:rPr>
        <w:t>（4） 合同约定要求在竣工验收前应完成的其他工作。</w:t>
      </w:r>
    </w:p>
    <w:bookmarkEnd w:id="833"/>
    <w:p>
      <w:pPr>
        <w:pStyle w:val="88"/>
        <w:numPr>
          <w:ilvl w:val="0"/>
          <w:numId w:val="0"/>
        </w:numPr>
        <w:rPr>
          <w:rFonts w:ascii="仿宋_GB2312" w:eastAsia="仿宋_GB2312"/>
          <w:color w:val="auto"/>
          <w:szCs w:val="24"/>
        </w:rPr>
      </w:pPr>
      <w:bookmarkStart w:id="834" w:name="_Ref4429424"/>
      <w:bookmarkStart w:id="835" w:name="_Hlk51506601"/>
      <w:r>
        <w:rPr>
          <w:rFonts w:hint="eastAsia" w:ascii="仿宋_GB2312" w:eastAsia="仿宋_GB2312"/>
          <w:color w:val="auto"/>
          <w:szCs w:val="24"/>
        </w:rPr>
        <w:t>1</w:t>
      </w:r>
      <w:r>
        <w:rPr>
          <w:rFonts w:ascii="仿宋_GB2312" w:eastAsia="仿宋_GB2312"/>
          <w:color w:val="auto"/>
          <w:szCs w:val="24"/>
        </w:rPr>
        <w:t xml:space="preserve">0.1.2 </w:t>
      </w:r>
      <w:r>
        <w:rPr>
          <w:rFonts w:hint="eastAsia" w:ascii="仿宋_GB2312" w:eastAsia="仿宋_GB2312"/>
          <w:color w:val="auto"/>
          <w:szCs w:val="24"/>
        </w:rPr>
        <w:t>竣工验收程序</w:t>
      </w:r>
      <w:bookmarkEnd w:id="834"/>
    </w:p>
    <w:bookmarkEnd w:id="835"/>
    <w:p>
      <w:pPr>
        <w:ind w:firstLine="600"/>
        <w:rPr>
          <w:rFonts w:ascii="仿宋_GB2312" w:eastAsia="仿宋_GB2312"/>
          <w:color w:val="auto"/>
          <w:sz w:val="24"/>
        </w:rPr>
      </w:pPr>
      <w:r>
        <w:rPr>
          <w:rFonts w:hint="eastAsia" w:ascii="仿宋_GB2312" w:eastAsia="仿宋_GB2312"/>
          <w:color w:val="auto"/>
          <w:sz w:val="24"/>
        </w:rPr>
        <w:t>除专用合同条件另有约定外，承包人申请竣工验收的，应当按照以下程序进行：</w:t>
      </w:r>
    </w:p>
    <w:p>
      <w:pPr>
        <w:ind w:firstLine="600"/>
        <w:rPr>
          <w:rFonts w:ascii="仿宋_GB2312" w:eastAsia="仿宋_GB2312"/>
          <w:color w:val="auto"/>
          <w:sz w:val="24"/>
        </w:rPr>
      </w:pPr>
      <w:r>
        <w:rPr>
          <w:rFonts w:hint="eastAsia" w:ascii="仿宋_GB2312" w:eastAsia="仿宋_GB2312"/>
          <w:color w:val="auto"/>
          <w:sz w:val="24"/>
        </w:rPr>
        <w:t>（1） 承包人向工程师报送竣工验收申请报告，工程师应在收到竣工验收申请报告后14天内完成审查并报送发包人。工程师审查后认为尚不具备竣工验收条件的，应在收到竣工验收申请报告后的</w:t>
      </w:r>
      <w:r>
        <w:rPr>
          <w:rFonts w:ascii="仿宋_GB2312" w:eastAsia="仿宋_GB2312"/>
          <w:color w:val="auto"/>
          <w:sz w:val="24"/>
        </w:rPr>
        <w:t>14</w:t>
      </w:r>
      <w:r>
        <w:rPr>
          <w:rFonts w:hint="eastAsia" w:ascii="仿宋_GB2312" w:eastAsia="仿宋_GB2312"/>
          <w:color w:val="auto"/>
          <w:sz w:val="24"/>
        </w:rPr>
        <w:t>天内通知承包人，指出在颁发接收证书前承包人还需进行的工作内容。承包人完成工程师通知的全部工作内容后，应再次提交竣工验收申请报告，直至工程师同意为止。</w:t>
      </w:r>
    </w:p>
    <w:p>
      <w:pPr>
        <w:ind w:firstLine="600"/>
        <w:rPr>
          <w:rFonts w:ascii="仿宋_GB2312" w:eastAsia="仿宋_GB2312"/>
          <w:color w:val="auto"/>
          <w:sz w:val="24"/>
        </w:rPr>
      </w:pPr>
      <w:r>
        <w:rPr>
          <w:rFonts w:hint="eastAsia" w:ascii="仿宋_GB2312" w:eastAsia="仿宋_GB2312"/>
          <w:color w:val="auto"/>
          <w:sz w:val="24"/>
        </w:rPr>
        <w:t>（2） 工程师同意承包人提交的竣工验收申请报告的，或工程师收到竣工验收申请报告后</w:t>
      </w:r>
      <w:r>
        <w:rPr>
          <w:rFonts w:ascii="仿宋_GB2312" w:eastAsia="仿宋_GB2312"/>
          <w:color w:val="auto"/>
          <w:sz w:val="24"/>
        </w:rPr>
        <w:t>14</w:t>
      </w:r>
      <w:r>
        <w:rPr>
          <w:rFonts w:hint="eastAsia" w:ascii="仿宋_GB2312" w:eastAsia="仿宋_GB2312"/>
          <w:color w:val="auto"/>
          <w:sz w:val="24"/>
        </w:rPr>
        <w:t>天内不予答复的，视为发包人收到并同意承包人的竣工验收申请，发包人应在收到该竣工验收申请报告后的28天内进行竣工验收。工程经竣工验收合格的，以竣工验收合格之日为实际竣工日期，并在工程接收证书中载明；完成竣工验收但发包人不予签发工程接收证书的，视为竣工验收合格，以完成竣工验收之日为实际竣工日期。</w:t>
      </w:r>
    </w:p>
    <w:p>
      <w:pPr>
        <w:ind w:firstLine="600"/>
        <w:rPr>
          <w:rFonts w:ascii="仿宋_GB2312" w:eastAsia="仿宋_GB2312"/>
          <w:color w:val="auto"/>
          <w:sz w:val="24"/>
        </w:rPr>
      </w:pPr>
      <w:r>
        <w:rPr>
          <w:rFonts w:hint="eastAsia" w:ascii="仿宋_GB2312" w:eastAsia="仿宋_GB2312"/>
          <w:color w:val="auto"/>
          <w:sz w:val="24"/>
        </w:rPr>
        <w:t>（3） 竣工验收不合格的，工程师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ind w:firstLine="600"/>
        <w:rPr>
          <w:rFonts w:ascii="仿宋_GB2312" w:eastAsia="仿宋_GB2312"/>
          <w:color w:val="auto"/>
          <w:sz w:val="24"/>
        </w:rPr>
      </w:pPr>
      <w:bookmarkStart w:id="836" w:name="_Hlk51506640"/>
      <w:r>
        <w:rPr>
          <w:rFonts w:hint="eastAsia" w:ascii="仿宋_GB2312" w:eastAsia="仿宋_GB2312"/>
          <w:color w:val="auto"/>
          <w:sz w:val="24"/>
        </w:rPr>
        <w:t>（4） 因发包人原因，未在工程师收到承包人竣工验收申请报告之日起</w:t>
      </w:r>
      <w:r>
        <w:rPr>
          <w:rFonts w:ascii="仿宋_GB2312" w:eastAsia="仿宋_GB2312"/>
          <w:color w:val="auto"/>
          <w:sz w:val="24"/>
        </w:rPr>
        <w:t>42</w:t>
      </w:r>
      <w:r>
        <w:rPr>
          <w:rFonts w:hint="eastAsia" w:ascii="仿宋_GB2312" w:eastAsia="仿宋_GB2312"/>
          <w:color w:val="auto"/>
          <w:sz w:val="24"/>
        </w:rPr>
        <w:t>天内完成竣工验收的，以承包人提交竣工验收申请报告之日</w:t>
      </w:r>
      <w:r>
        <w:rPr>
          <w:rFonts w:ascii="仿宋_GB2312" w:eastAsia="仿宋_GB2312"/>
          <w:color w:val="auto"/>
          <w:sz w:val="24"/>
        </w:rPr>
        <w:t>作为工程实际竣工日期</w:t>
      </w:r>
      <w:r>
        <w:rPr>
          <w:rFonts w:hint="eastAsia" w:ascii="仿宋_GB2312" w:eastAsia="仿宋_GB2312"/>
          <w:color w:val="auto"/>
          <w:sz w:val="24"/>
        </w:rPr>
        <w:t>。</w:t>
      </w:r>
    </w:p>
    <w:bookmarkEnd w:id="836"/>
    <w:p>
      <w:pPr>
        <w:ind w:firstLine="600"/>
        <w:rPr>
          <w:rFonts w:ascii="仿宋_GB2312" w:eastAsia="仿宋_GB2312"/>
          <w:color w:val="auto"/>
          <w:sz w:val="24"/>
        </w:rPr>
      </w:pPr>
      <w:r>
        <w:rPr>
          <w:rFonts w:hint="eastAsia" w:ascii="仿宋_GB2312" w:eastAsia="仿宋_GB2312"/>
          <w:color w:val="auto"/>
          <w:sz w:val="24"/>
        </w:rPr>
        <w:t>（5） 工程未经竣工验收，发包人擅自使用的，以转移占有工程之日为实际竣工日期。</w:t>
      </w:r>
    </w:p>
    <w:p>
      <w:pPr>
        <w:ind w:firstLine="600"/>
        <w:rPr>
          <w:rFonts w:ascii="仿宋_GB2312" w:eastAsia="仿宋_GB2312"/>
          <w:color w:val="auto"/>
          <w:sz w:val="24"/>
        </w:rPr>
      </w:pPr>
      <w:r>
        <w:rPr>
          <w:rFonts w:hint="eastAsia" w:ascii="仿宋_GB2312" w:eastAsia="仿宋_GB2312"/>
          <w:color w:val="auto"/>
          <w:sz w:val="24"/>
        </w:rPr>
        <w:t>除专用合同条件另有约定外，发包人不按照本项和第</w:t>
      </w:r>
      <w:r>
        <w:rPr>
          <w:rFonts w:ascii="仿宋_GB2312" w:eastAsia="仿宋_GB2312"/>
          <w:color w:val="auto"/>
          <w:sz w:val="24"/>
        </w:rPr>
        <w:t>10.4</w:t>
      </w:r>
      <w:r>
        <w:rPr>
          <w:rFonts w:hint="eastAsia" w:ascii="仿宋_GB2312" w:eastAsia="仿宋_GB2312"/>
          <w:color w:val="auto"/>
          <w:sz w:val="24"/>
        </w:rPr>
        <w:t>款</w:t>
      </w:r>
      <w:r>
        <w:rPr>
          <w:rFonts w:ascii="仿宋_GB2312" w:eastAsia="仿宋_GB2312"/>
          <w:color w:val="auto"/>
          <w:sz w:val="24"/>
        </w:rPr>
        <w:t>[接收证书]</w:t>
      </w:r>
      <w:r>
        <w:rPr>
          <w:rFonts w:hint="eastAsia" w:ascii="仿宋_GB2312" w:eastAsia="仿宋_GB2312"/>
          <w:color w:val="auto"/>
          <w:sz w:val="24"/>
        </w:rPr>
        <w:t>约定组织竣工验收、颁发工程接收证书的，每逾期一天，应以签约合同价为基数，按照贷款市场报价利率（LPR）支付违约金。</w:t>
      </w:r>
    </w:p>
    <w:p>
      <w:pPr>
        <w:pStyle w:val="315"/>
        <w:widowControl/>
        <w:numPr>
          <w:ilvl w:val="0"/>
          <w:numId w:val="0"/>
        </w:numPr>
        <w:rPr>
          <w:b w:val="0"/>
          <w:bCs/>
          <w:color w:val="auto"/>
        </w:rPr>
      </w:pPr>
      <w:bookmarkStart w:id="837" w:name="_Ref532301210"/>
      <w:bookmarkStart w:id="838" w:name="_Ref532301213"/>
      <w:bookmarkStart w:id="839" w:name="_Toc54862265"/>
      <w:r>
        <w:rPr>
          <w:rFonts w:hint="eastAsia"/>
          <w:b w:val="0"/>
          <w:bCs/>
          <w:color w:val="auto"/>
        </w:rPr>
        <w:t>1</w:t>
      </w:r>
      <w:r>
        <w:rPr>
          <w:b w:val="0"/>
          <w:bCs/>
          <w:color w:val="auto"/>
        </w:rPr>
        <w:t xml:space="preserve">0.2 </w:t>
      </w:r>
      <w:r>
        <w:rPr>
          <w:rFonts w:hint="eastAsia"/>
          <w:b w:val="0"/>
          <w:bCs/>
          <w:color w:val="auto"/>
        </w:rPr>
        <w:t>单位/区段工程的验收</w:t>
      </w:r>
      <w:bookmarkEnd w:id="837"/>
      <w:bookmarkEnd w:id="838"/>
      <w:bookmarkEnd w:id="839"/>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0.2.1 </w:t>
      </w:r>
      <w:r>
        <w:rPr>
          <w:rFonts w:hint="eastAsia" w:ascii="仿宋_GB2312" w:eastAsia="仿宋_GB2312"/>
          <w:color w:val="auto"/>
          <w:szCs w:val="24"/>
        </w:rPr>
        <w:t>发包人根据项目进度计划安排，在全部工程竣工前需要使用已经竣工的单位/区段工程时，或承包人提出经发包人同意时，可进行单位/区段工程验收。验收的程序可参照第</w:t>
      </w:r>
      <w:r>
        <w:rPr>
          <w:rFonts w:ascii="仿宋_GB2312" w:eastAsia="仿宋_GB2312"/>
          <w:color w:val="auto"/>
          <w:szCs w:val="24"/>
        </w:rPr>
        <w:t>10.1</w:t>
      </w:r>
      <w:r>
        <w:rPr>
          <w:rFonts w:hint="eastAsia" w:ascii="仿宋_GB2312" w:eastAsia="仿宋_GB2312"/>
          <w:color w:val="auto"/>
          <w:szCs w:val="24"/>
        </w:rPr>
        <w:t>款[竣工验收]的约定进行。验收合格后，由工程师向承包人出具经发包人签认的单位/区段工程验收证书。单位/区段工程的验收成果和结论作为全部工程竣工验收申请报告的附件。</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0.2.2 </w:t>
      </w:r>
      <w:r>
        <w:rPr>
          <w:rFonts w:hint="eastAsia" w:ascii="仿宋_GB2312" w:eastAsia="仿宋_GB2312"/>
          <w:color w:val="auto"/>
          <w:szCs w:val="24"/>
        </w:rPr>
        <w:t>发包人在全部工程竣工前，使用已接收的单位/区段工程导致承包人费用增加的，发包人应承担由此增加的费用和（或）工期延误，并支付承包人合理利润。</w:t>
      </w:r>
    </w:p>
    <w:p>
      <w:pPr>
        <w:pStyle w:val="315"/>
        <w:widowControl/>
        <w:numPr>
          <w:ilvl w:val="0"/>
          <w:numId w:val="0"/>
        </w:numPr>
        <w:rPr>
          <w:b w:val="0"/>
          <w:bCs/>
          <w:color w:val="auto"/>
        </w:rPr>
      </w:pPr>
      <w:bookmarkStart w:id="840" w:name="_Toc54862266"/>
      <w:bookmarkStart w:id="841" w:name="_Ref4429473"/>
      <w:bookmarkStart w:id="842" w:name="_Ref532688351"/>
      <w:bookmarkStart w:id="843" w:name="_Ref532688354"/>
      <w:r>
        <w:rPr>
          <w:rFonts w:hint="eastAsia"/>
          <w:b w:val="0"/>
          <w:bCs/>
          <w:color w:val="auto"/>
        </w:rPr>
        <w:t>1</w:t>
      </w:r>
      <w:r>
        <w:rPr>
          <w:b w:val="0"/>
          <w:bCs/>
          <w:color w:val="auto"/>
        </w:rPr>
        <w:t xml:space="preserve">0.3 </w:t>
      </w:r>
      <w:r>
        <w:rPr>
          <w:rFonts w:hint="eastAsia"/>
          <w:b w:val="0"/>
          <w:bCs/>
          <w:color w:val="auto"/>
        </w:rPr>
        <w:t>工程的接收</w:t>
      </w:r>
      <w:bookmarkEnd w:id="840"/>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0.3.1 </w:t>
      </w:r>
      <w:r>
        <w:rPr>
          <w:rFonts w:hint="eastAsia" w:ascii="仿宋_GB2312" w:eastAsia="仿宋_GB2312"/>
          <w:color w:val="auto"/>
          <w:szCs w:val="24"/>
        </w:rPr>
        <w:t>根据工程项目的具体情况和特点，可按工程或单位/区段工程进行接收，并在专用合同条件约定接收的先后顺序、时间安排和其他要求。</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0.3.2 </w:t>
      </w:r>
      <w:r>
        <w:rPr>
          <w:rFonts w:hint="eastAsia" w:ascii="仿宋_GB2312" w:eastAsia="仿宋_GB2312"/>
          <w:color w:val="auto"/>
          <w:szCs w:val="24"/>
        </w:rPr>
        <w:t>除按本条约定已经提交的资料外，接收工程时承包人需提交竣工验收资料的类别、内容、份数和提交时间，在专用合同条件中约定。</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0.3.3 </w:t>
      </w:r>
      <w:r>
        <w:rPr>
          <w:rFonts w:hint="eastAsia" w:ascii="仿宋_GB2312" w:eastAsia="仿宋_GB2312"/>
          <w:color w:val="auto"/>
          <w:szCs w:val="24"/>
        </w:rPr>
        <w:t>发包人无正当理由不接收工程的，发包人自应当接收工程之日起，承担工程照管、成品保护、保管等与工程有关的各项费用，合同当事人可以在专用合同条件中另行约定发包人逾期接收工程的违约责任。</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0.3.4 </w:t>
      </w:r>
      <w:r>
        <w:rPr>
          <w:rFonts w:hint="eastAsia" w:ascii="仿宋_GB2312" w:eastAsia="仿宋_GB2312"/>
          <w:color w:val="auto"/>
          <w:szCs w:val="24"/>
        </w:rPr>
        <w:t>承包人无正当理由不移交工程的，承包人应承担工程照管、成品保护、保管等与工程有关的各项费用，合同当事人可以在专用合同条件中另行约定承包人无正当理由不移交工程的违约责任。</w:t>
      </w:r>
    </w:p>
    <w:p>
      <w:pPr>
        <w:pStyle w:val="315"/>
        <w:widowControl/>
        <w:numPr>
          <w:ilvl w:val="0"/>
          <w:numId w:val="0"/>
        </w:numPr>
        <w:rPr>
          <w:b w:val="0"/>
          <w:bCs/>
          <w:color w:val="auto"/>
        </w:rPr>
      </w:pPr>
      <w:bookmarkStart w:id="844" w:name="_Toc54862267"/>
      <w:r>
        <w:rPr>
          <w:rFonts w:hint="eastAsia"/>
          <w:b w:val="0"/>
          <w:bCs/>
          <w:color w:val="auto"/>
        </w:rPr>
        <w:t>1</w:t>
      </w:r>
      <w:r>
        <w:rPr>
          <w:b w:val="0"/>
          <w:bCs/>
          <w:color w:val="auto"/>
        </w:rPr>
        <w:t xml:space="preserve">0.4 </w:t>
      </w:r>
      <w:r>
        <w:rPr>
          <w:rFonts w:hint="eastAsia"/>
          <w:b w:val="0"/>
          <w:bCs/>
          <w:color w:val="auto"/>
        </w:rPr>
        <w:t>接收证书</w:t>
      </w:r>
      <w:bookmarkEnd w:id="841"/>
      <w:bookmarkEnd w:id="844"/>
    </w:p>
    <w:p>
      <w:pPr>
        <w:pStyle w:val="88"/>
        <w:numPr>
          <w:ilvl w:val="0"/>
          <w:numId w:val="0"/>
        </w:numPr>
        <w:rPr>
          <w:rFonts w:ascii="仿宋_GB2312" w:eastAsia="仿宋_GB2312"/>
          <w:color w:val="auto"/>
          <w:szCs w:val="24"/>
        </w:rPr>
      </w:pPr>
      <w:bookmarkStart w:id="845" w:name="_Ref4429542"/>
      <w:r>
        <w:rPr>
          <w:rFonts w:hint="eastAsia" w:ascii="仿宋_GB2312" w:eastAsia="仿宋_GB2312"/>
          <w:color w:val="auto"/>
          <w:szCs w:val="24"/>
        </w:rPr>
        <w:t>1</w:t>
      </w:r>
      <w:r>
        <w:rPr>
          <w:rFonts w:ascii="仿宋_GB2312" w:eastAsia="仿宋_GB2312"/>
          <w:color w:val="auto"/>
          <w:szCs w:val="24"/>
        </w:rPr>
        <w:t xml:space="preserve">0.4.1 </w:t>
      </w:r>
      <w:r>
        <w:rPr>
          <w:rFonts w:hint="eastAsia" w:ascii="仿宋_GB2312" w:eastAsia="仿宋_GB2312"/>
          <w:color w:val="auto"/>
          <w:szCs w:val="24"/>
        </w:rPr>
        <w:t>除专用合同条件另有约定外，承包人应在竣工验收合格后向发包人提交第</w:t>
      </w:r>
      <w:r>
        <w:rPr>
          <w:rFonts w:ascii="仿宋_GB2312" w:eastAsia="仿宋_GB2312"/>
          <w:color w:val="auto"/>
          <w:szCs w:val="24"/>
        </w:rPr>
        <w:t>14.6</w:t>
      </w:r>
      <w:r>
        <w:rPr>
          <w:rFonts w:hint="eastAsia" w:ascii="仿宋_GB2312" w:eastAsia="仿宋_GB2312"/>
          <w:color w:val="auto"/>
          <w:szCs w:val="24"/>
        </w:rPr>
        <w:t>款[质量保证金]约定的质量保证金，发包人应在竣工验收合格且工程具备接收条件后的14天内向承包人颁发工程接收证书，但承包人未提交质量保证金的，发包人有权拒绝颁发。发包人拒绝颁发工程接收证书的，应向承包人发出通知，说明理由并指出在颁发接收证书前承包人需要做的工作，需要修补的缺陷和承包人需要提供的文件。</w:t>
      </w:r>
      <w:bookmarkEnd w:id="845"/>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0.4.2 </w:t>
      </w:r>
      <w:r>
        <w:rPr>
          <w:rFonts w:hint="eastAsia" w:ascii="仿宋_GB2312" w:eastAsia="仿宋_GB2312"/>
          <w:color w:val="auto"/>
          <w:szCs w:val="24"/>
        </w:rPr>
        <w:t>发包人向承包人颁发的接收证书，应注明工程或单位/区段工程经验收合格的实际竣工日期，并列明不在接收范围内的，在收尾工作和缺陷修补完成之前对工程或单位/区段工程预期使用目的没有实质影响的少量收尾工作和缺陷。</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0.4.3 </w:t>
      </w:r>
      <w:r>
        <w:rPr>
          <w:rFonts w:hint="eastAsia" w:ascii="仿宋_GB2312" w:eastAsia="仿宋_GB2312"/>
          <w:color w:val="auto"/>
          <w:szCs w:val="24"/>
        </w:rPr>
        <w:t>竣工验收合格而发包人无正当理由逾期不颁发工程接收证书的，自验收合格后第15天起视为已颁发工程接收证书。</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0.4.4 </w:t>
      </w:r>
      <w:r>
        <w:rPr>
          <w:rFonts w:hint="eastAsia" w:ascii="仿宋_GB2312" w:eastAsia="仿宋_GB2312"/>
          <w:color w:val="auto"/>
          <w:szCs w:val="24"/>
        </w:rPr>
        <w:t>工程未经验收或验收不合格，发包人擅自使用的，应在转移占有工程后7天内向承包人颁发工程接收证书；发包人无正当理由逾期不颁发工程接收证书的，自转移占有后第15天起视为已颁发工程接收证书。</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0.4.5 </w:t>
      </w:r>
      <w:r>
        <w:rPr>
          <w:rFonts w:hint="eastAsia" w:ascii="仿宋_GB2312" w:eastAsia="仿宋_GB2312"/>
          <w:color w:val="auto"/>
          <w:szCs w:val="24"/>
        </w:rPr>
        <w:t>存在扫尾工作的，工程接收证书中应当将第</w:t>
      </w:r>
      <w:r>
        <w:rPr>
          <w:rFonts w:ascii="仿宋_GB2312" w:eastAsia="仿宋_GB2312"/>
          <w:color w:val="auto"/>
          <w:szCs w:val="24"/>
        </w:rPr>
        <w:t>14.5.3</w:t>
      </w:r>
      <w:r>
        <w:rPr>
          <w:rFonts w:hint="eastAsia" w:ascii="仿宋_GB2312" w:eastAsia="仿宋_GB2312"/>
          <w:color w:val="auto"/>
          <w:szCs w:val="24"/>
        </w:rPr>
        <w:t>项[扫尾工作清单]中约定的扫尾工作清单作为工程接收证书附件。</w:t>
      </w:r>
    </w:p>
    <w:bookmarkEnd w:id="842"/>
    <w:bookmarkEnd w:id="843"/>
    <w:p>
      <w:pPr>
        <w:pStyle w:val="315"/>
        <w:widowControl/>
        <w:numPr>
          <w:ilvl w:val="0"/>
          <w:numId w:val="0"/>
        </w:numPr>
        <w:rPr>
          <w:b w:val="0"/>
          <w:bCs/>
          <w:color w:val="auto"/>
        </w:rPr>
      </w:pPr>
      <w:bookmarkStart w:id="846" w:name="_Ref4429935"/>
      <w:bookmarkStart w:id="847" w:name="_Toc54862268"/>
      <w:bookmarkStart w:id="848" w:name="_Ref4429932"/>
      <w:r>
        <w:rPr>
          <w:rFonts w:hint="eastAsia"/>
          <w:b w:val="0"/>
          <w:bCs/>
          <w:color w:val="auto"/>
        </w:rPr>
        <w:t>1</w:t>
      </w:r>
      <w:r>
        <w:rPr>
          <w:b w:val="0"/>
          <w:bCs/>
          <w:color w:val="auto"/>
        </w:rPr>
        <w:t xml:space="preserve">0.5 </w:t>
      </w:r>
      <w:r>
        <w:rPr>
          <w:rFonts w:hint="eastAsia"/>
          <w:b w:val="0"/>
          <w:bCs/>
          <w:color w:val="auto"/>
        </w:rPr>
        <w:t>竣工退场</w:t>
      </w:r>
      <w:bookmarkEnd w:id="846"/>
      <w:bookmarkEnd w:id="847"/>
      <w:bookmarkEnd w:id="848"/>
    </w:p>
    <w:p>
      <w:pPr>
        <w:pStyle w:val="88"/>
        <w:numPr>
          <w:ilvl w:val="0"/>
          <w:numId w:val="0"/>
        </w:numPr>
        <w:rPr>
          <w:rFonts w:ascii="仿宋_GB2312" w:eastAsia="仿宋_GB2312"/>
          <w:color w:val="auto"/>
          <w:szCs w:val="24"/>
        </w:rPr>
      </w:pPr>
      <w:bookmarkStart w:id="849" w:name="_Ref4429943"/>
      <w:r>
        <w:rPr>
          <w:rFonts w:hint="eastAsia" w:ascii="仿宋_GB2312" w:eastAsia="仿宋_GB2312"/>
          <w:color w:val="auto"/>
          <w:szCs w:val="24"/>
        </w:rPr>
        <w:t>1</w:t>
      </w:r>
      <w:r>
        <w:rPr>
          <w:rFonts w:ascii="仿宋_GB2312" w:eastAsia="仿宋_GB2312"/>
          <w:color w:val="auto"/>
          <w:szCs w:val="24"/>
        </w:rPr>
        <w:t xml:space="preserve">0.5.1 </w:t>
      </w:r>
      <w:r>
        <w:rPr>
          <w:rFonts w:hint="eastAsia" w:ascii="仿宋_GB2312" w:eastAsia="仿宋_GB2312"/>
          <w:color w:val="auto"/>
          <w:szCs w:val="24"/>
        </w:rPr>
        <w:t>竣工退场</w:t>
      </w:r>
      <w:bookmarkEnd w:id="849"/>
    </w:p>
    <w:p>
      <w:pPr>
        <w:ind w:firstLine="600"/>
        <w:rPr>
          <w:rFonts w:ascii="仿宋_GB2312" w:eastAsia="仿宋_GB2312"/>
          <w:color w:val="auto"/>
          <w:sz w:val="24"/>
        </w:rPr>
      </w:pPr>
      <w:r>
        <w:rPr>
          <w:rFonts w:hint="eastAsia" w:ascii="仿宋_GB2312" w:eastAsia="仿宋_GB2312"/>
          <w:color w:val="auto"/>
          <w:sz w:val="24"/>
        </w:rPr>
        <w:t>颁发工程接收证书后，承包人应对施工现场进行清理，并撤离相关人员，使得施工现场处于以下状态，直至工程师检验合格为止：</w:t>
      </w:r>
    </w:p>
    <w:p>
      <w:pPr>
        <w:ind w:firstLine="600"/>
        <w:rPr>
          <w:rFonts w:ascii="仿宋_GB2312" w:eastAsia="仿宋_GB2312"/>
          <w:color w:val="auto"/>
          <w:sz w:val="24"/>
        </w:rPr>
      </w:pPr>
      <w:r>
        <w:rPr>
          <w:rFonts w:hint="eastAsia" w:ascii="仿宋_GB2312" w:eastAsia="仿宋_GB2312"/>
          <w:color w:val="auto"/>
          <w:sz w:val="24"/>
        </w:rPr>
        <w:t>（1） 施工现场内残留的垃圾已全部清除出场；</w:t>
      </w:r>
    </w:p>
    <w:p>
      <w:pPr>
        <w:ind w:firstLine="600"/>
        <w:rPr>
          <w:rFonts w:ascii="仿宋_GB2312" w:eastAsia="仿宋_GB2312"/>
          <w:color w:val="auto"/>
          <w:sz w:val="24"/>
        </w:rPr>
      </w:pPr>
      <w:r>
        <w:rPr>
          <w:rFonts w:hint="eastAsia" w:ascii="仿宋_GB2312" w:eastAsia="仿宋_GB2312"/>
          <w:color w:val="auto"/>
          <w:sz w:val="24"/>
        </w:rPr>
        <w:t>（2） 临时工程已拆除，场地已按合同约定进行清理、平整或复原；</w:t>
      </w:r>
    </w:p>
    <w:p>
      <w:pPr>
        <w:ind w:firstLine="600"/>
        <w:rPr>
          <w:rFonts w:ascii="仿宋_GB2312" w:eastAsia="仿宋_GB2312"/>
          <w:color w:val="auto"/>
          <w:sz w:val="24"/>
        </w:rPr>
      </w:pPr>
      <w:r>
        <w:rPr>
          <w:rFonts w:hint="eastAsia" w:ascii="仿宋_GB2312" w:eastAsia="仿宋_GB2312"/>
          <w:color w:val="auto"/>
          <w:sz w:val="24"/>
        </w:rPr>
        <w:t>（3） 按合同约定应撤离的人员、承包人提供的施工设备和剩余的材料，包括废弃的施工设备和材料，已按计划撤离施工现场；</w:t>
      </w:r>
    </w:p>
    <w:p>
      <w:pPr>
        <w:ind w:firstLine="600"/>
        <w:rPr>
          <w:rFonts w:ascii="仿宋_GB2312" w:eastAsia="仿宋_GB2312"/>
          <w:color w:val="auto"/>
          <w:sz w:val="24"/>
        </w:rPr>
      </w:pPr>
      <w:r>
        <w:rPr>
          <w:rFonts w:hint="eastAsia" w:ascii="仿宋_GB2312" w:eastAsia="仿宋_GB2312"/>
          <w:color w:val="auto"/>
          <w:sz w:val="24"/>
        </w:rPr>
        <w:t>（4） 施工现场周边及其附近道路、河道的施工堆积物，已全部清理；</w:t>
      </w:r>
    </w:p>
    <w:p>
      <w:pPr>
        <w:ind w:firstLine="600"/>
        <w:rPr>
          <w:rFonts w:ascii="仿宋_GB2312" w:eastAsia="仿宋_GB2312"/>
          <w:color w:val="auto"/>
          <w:sz w:val="24"/>
        </w:rPr>
      </w:pPr>
      <w:r>
        <w:rPr>
          <w:rFonts w:hint="eastAsia" w:ascii="仿宋_GB2312" w:eastAsia="仿宋_GB2312"/>
          <w:color w:val="auto"/>
          <w:sz w:val="24"/>
        </w:rPr>
        <w:t>（5） 施工现场其他竣工退场工作已全部完成。</w:t>
      </w:r>
    </w:p>
    <w:p>
      <w:pPr>
        <w:ind w:firstLine="600"/>
        <w:rPr>
          <w:rFonts w:ascii="仿宋_GB2312" w:eastAsia="仿宋_GB2312"/>
          <w:color w:val="auto"/>
          <w:sz w:val="24"/>
        </w:rPr>
      </w:pPr>
      <w:r>
        <w:rPr>
          <w:rFonts w:hint="eastAsia" w:ascii="仿宋_GB2312" w:eastAsia="仿宋_GB2312"/>
          <w:color w:val="auto"/>
          <w:sz w:val="24"/>
        </w:rPr>
        <w:t>施工现场的竣工退场费用由承包人承担。承包人应在专用合同条件约定的期限内完成竣工退场，逾期未完成的，发包人有权出售或另行处理承包人遗留的物品，由此支出的费用由承包人承担，发包人出售承包人遗留物品所得款项在扣除必要费用后应返还承包人。</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0.5.2 </w:t>
      </w:r>
      <w:r>
        <w:rPr>
          <w:rFonts w:hint="eastAsia" w:ascii="仿宋_GB2312" w:eastAsia="仿宋_GB2312"/>
          <w:color w:val="auto"/>
          <w:szCs w:val="24"/>
        </w:rPr>
        <w:t>地表还原</w:t>
      </w:r>
    </w:p>
    <w:p>
      <w:pPr>
        <w:ind w:firstLine="600"/>
        <w:rPr>
          <w:rFonts w:ascii="仿宋_GB2312" w:eastAsia="仿宋_GB2312"/>
          <w:color w:val="auto"/>
          <w:sz w:val="24"/>
        </w:rPr>
      </w:pPr>
      <w:r>
        <w:rPr>
          <w:rFonts w:hint="eastAsia" w:ascii="仿宋_GB2312" w:eastAsia="仿宋_GB2312"/>
          <w:color w:val="auto"/>
          <w:sz w:val="24"/>
        </w:rPr>
        <w:t>承包人应按合同约定和工程师的要求恢复临时占地及清理场地，否则发包人有权委托其他人恢复或清理，所发生的费用由承包人承担。</w:t>
      </w:r>
    </w:p>
    <w:p>
      <w:pPr>
        <w:pStyle w:val="88"/>
        <w:numPr>
          <w:ilvl w:val="0"/>
          <w:numId w:val="0"/>
        </w:numPr>
        <w:rPr>
          <w:rFonts w:ascii="仿宋_GB2312" w:eastAsia="仿宋_GB2312"/>
          <w:color w:val="auto"/>
          <w:szCs w:val="24"/>
        </w:rPr>
      </w:pPr>
      <w:bookmarkStart w:id="850" w:name="_Ref20159437"/>
      <w:r>
        <w:rPr>
          <w:rFonts w:hint="eastAsia" w:ascii="仿宋_GB2312" w:eastAsia="仿宋_GB2312"/>
          <w:color w:val="auto"/>
          <w:szCs w:val="24"/>
        </w:rPr>
        <w:t>1</w:t>
      </w:r>
      <w:r>
        <w:rPr>
          <w:rFonts w:ascii="仿宋_GB2312" w:eastAsia="仿宋_GB2312"/>
          <w:color w:val="auto"/>
          <w:szCs w:val="24"/>
        </w:rPr>
        <w:t xml:space="preserve">0.5.3 </w:t>
      </w:r>
      <w:r>
        <w:rPr>
          <w:rFonts w:hint="eastAsia" w:ascii="仿宋_GB2312" w:eastAsia="仿宋_GB2312"/>
          <w:color w:val="auto"/>
          <w:szCs w:val="24"/>
        </w:rPr>
        <w:t>人员撤离</w:t>
      </w:r>
      <w:bookmarkEnd w:id="850"/>
    </w:p>
    <w:p>
      <w:pPr>
        <w:ind w:firstLine="600"/>
        <w:rPr>
          <w:rFonts w:ascii="仿宋_GB2312" w:eastAsia="仿宋_GB2312"/>
          <w:color w:val="auto"/>
          <w:sz w:val="24"/>
        </w:rPr>
      </w:pPr>
      <w:r>
        <w:rPr>
          <w:rFonts w:hint="eastAsia" w:ascii="仿宋_GB2312" w:eastAsia="仿宋_GB2312"/>
          <w:color w:val="auto"/>
          <w:sz w:val="24"/>
        </w:rPr>
        <w:t>除了经工程师同意需在缺陷责任期内继续工作和使用的人员、施工设备和临时工程外，承包人应按专用合同条件约定和工程师的要求将其余的人员、施工设备和临时工程撤离施工现场或拆除。除专用合同条件另有约定外，缺陷责任期满时，承包人的人员和施工设备应全部撤离施工现场。</w:t>
      </w:r>
      <w:bookmarkEnd w:id="734"/>
    </w:p>
    <w:p>
      <w:pPr>
        <w:pStyle w:val="164"/>
        <w:numPr>
          <w:ilvl w:val="0"/>
          <w:numId w:val="0"/>
        </w:numPr>
        <w:wordWrap/>
        <w:topLinePunct w:val="0"/>
        <w:rPr>
          <w:b w:val="0"/>
          <w:bCs/>
          <w:color w:val="auto"/>
          <w:sz w:val="24"/>
          <w:szCs w:val="24"/>
        </w:rPr>
      </w:pPr>
      <w:bookmarkStart w:id="851" w:name="_Ref531955009"/>
      <w:bookmarkStart w:id="852" w:name="_Toc54862269"/>
      <w:bookmarkStart w:id="853" w:name="_Ref4796909"/>
      <w:bookmarkStart w:id="854" w:name="_Ref4796906"/>
      <w:r>
        <w:rPr>
          <w:rFonts w:hint="eastAsia"/>
          <w:b w:val="0"/>
          <w:bCs/>
          <w:color w:val="auto"/>
          <w:sz w:val="24"/>
          <w:szCs w:val="24"/>
        </w:rPr>
        <w:t>第1</w:t>
      </w:r>
      <w:r>
        <w:rPr>
          <w:b w:val="0"/>
          <w:bCs/>
          <w:color w:val="auto"/>
          <w:sz w:val="24"/>
          <w:szCs w:val="24"/>
        </w:rPr>
        <w:t>1</w:t>
      </w:r>
      <w:r>
        <w:rPr>
          <w:rFonts w:hint="eastAsia"/>
          <w:b w:val="0"/>
          <w:bCs/>
          <w:color w:val="auto"/>
          <w:sz w:val="24"/>
          <w:szCs w:val="24"/>
        </w:rPr>
        <w:t>条 缺陷责任与保修</w:t>
      </w:r>
      <w:bookmarkEnd w:id="851"/>
      <w:bookmarkEnd w:id="852"/>
      <w:bookmarkEnd w:id="853"/>
      <w:bookmarkEnd w:id="854"/>
      <w:r>
        <w:rPr>
          <w:rFonts w:hint="eastAsia"/>
          <w:b w:val="0"/>
          <w:bCs/>
          <w:color w:val="auto"/>
          <w:sz w:val="24"/>
          <w:szCs w:val="24"/>
        </w:rPr>
        <w:t xml:space="preserve"> </w:t>
      </w:r>
    </w:p>
    <w:p>
      <w:pPr>
        <w:pStyle w:val="315"/>
        <w:widowControl/>
        <w:numPr>
          <w:ilvl w:val="0"/>
          <w:numId w:val="0"/>
        </w:numPr>
        <w:rPr>
          <w:b w:val="0"/>
          <w:bCs/>
          <w:color w:val="auto"/>
        </w:rPr>
      </w:pPr>
      <w:bookmarkStart w:id="855" w:name="_Toc54862270"/>
      <w:bookmarkStart w:id="856" w:name="_Ref531955245"/>
      <w:bookmarkStart w:id="857" w:name="_Ref531955248"/>
      <w:bookmarkStart w:id="858" w:name="_Ref532362928"/>
      <w:bookmarkStart w:id="859" w:name="_Toc296503147"/>
      <w:bookmarkStart w:id="860" w:name="_Toc296346648"/>
      <w:bookmarkStart w:id="861" w:name="_Toc337558841"/>
      <w:r>
        <w:rPr>
          <w:rFonts w:hint="eastAsia"/>
          <w:b w:val="0"/>
          <w:bCs/>
          <w:color w:val="auto"/>
        </w:rPr>
        <w:t>1</w:t>
      </w:r>
      <w:r>
        <w:rPr>
          <w:b w:val="0"/>
          <w:bCs/>
          <w:color w:val="auto"/>
        </w:rPr>
        <w:t xml:space="preserve">1.1 </w:t>
      </w:r>
      <w:r>
        <w:rPr>
          <w:rFonts w:hint="eastAsia"/>
          <w:b w:val="0"/>
          <w:bCs/>
          <w:color w:val="auto"/>
        </w:rPr>
        <w:t>工程保修的原则</w:t>
      </w:r>
      <w:bookmarkEnd w:id="855"/>
    </w:p>
    <w:p>
      <w:pPr>
        <w:ind w:firstLine="600"/>
        <w:rPr>
          <w:rFonts w:ascii="仿宋_GB2312" w:eastAsia="仿宋_GB2312"/>
          <w:color w:val="auto"/>
          <w:sz w:val="24"/>
        </w:rPr>
      </w:pPr>
      <w:r>
        <w:rPr>
          <w:rFonts w:hint="eastAsia" w:ascii="仿宋_GB2312" w:eastAsia="仿宋_GB2312"/>
          <w:color w:val="auto"/>
          <w:sz w:val="24"/>
        </w:rPr>
        <w:t>在工程移交发包人后，因承包人原因产生的质量缺陷，承包人应承担质量缺陷责任和保修义务。缺陷责任期届满，承包人仍应按合同约定的工程各部位保修年限承担保修义务。</w:t>
      </w:r>
    </w:p>
    <w:p>
      <w:pPr>
        <w:pStyle w:val="315"/>
        <w:widowControl/>
        <w:numPr>
          <w:ilvl w:val="0"/>
          <w:numId w:val="0"/>
        </w:numPr>
        <w:rPr>
          <w:b w:val="0"/>
          <w:bCs/>
          <w:color w:val="auto"/>
        </w:rPr>
      </w:pPr>
      <w:bookmarkStart w:id="862" w:name="_Toc54862271"/>
      <w:bookmarkStart w:id="863" w:name="_Ref4430062"/>
      <w:r>
        <w:rPr>
          <w:rFonts w:hint="eastAsia"/>
          <w:b w:val="0"/>
          <w:bCs/>
          <w:color w:val="auto"/>
        </w:rPr>
        <w:t>1</w:t>
      </w:r>
      <w:r>
        <w:rPr>
          <w:b w:val="0"/>
          <w:bCs/>
          <w:color w:val="auto"/>
        </w:rPr>
        <w:t xml:space="preserve">1.2 </w:t>
      </w:r>
      <w:r>
        <w:rPr>
          <w:rFonts w:hint="eastAsia"/>
          <w:b w:val="0"/>
          <w:bCs/>
          <w:color w:val="auto"/>
        </w:rPr>
        <w:t>缺陷责任</w:t>
      </w:r>
      <w:bookmarkEnd w:id="856"/>
      <w:bookmarkEnd w:id="857"/>
      <w:r>
        <w:rPr>
          <w:rFonts w:hint="eastAsia"/>
          <w:b w:val="0"/>
          <w:bCs/>
          <w:color w:val="auto"/>
        </w:rPr>
        <w:t>期</w:t>
      </w:r>
      <w:bookmarkEnd w:id="858"/>
      <w:bookmarkEnd w:id="862"/>
      <w:bookmarkEnd w:id="863"/>
      <w:r>
        <w:rPr>
          <w:rFonts w:hint="eastAsia"/>
          <w:b w:val="0"/>
          <w:bCs/>
          <w:color w:val="auto"/>
        </w:rPr>
        <w:t xml:space="preserve"> </w:t>
      </w:r>
    </w:p>
    <w:p>
      <w:pPr>
        <w:ind w:firstLine="600"/>
        <w:rPr>
          <w:rFonts w:ascii="仿宋_GB2312" w:eastAsia="仿宋_GB2312"/>
          <w:color w:val="auto"/>
          <w:sz w:val="24"/>
        </w:rPr>
      </w:pPr>
      <w:r>
        <w:rPr>
          <w:rFonts w:hint="eastAsia" w:ascii="仿宋_GB2312" w:eastAsia="仿宋_GB2312"/>
          <w:color w:val="auto"/>
          <w:sz w:val="24"/>
        </w:rPr>
        <w:t>缺陷责任期原则上从工程竣工验收合格之日起计算，合同当事人应在专用合同条件约定缺陷责任期的具体期限，但该期限最长不超过24个月。</w:t>
      </w:r>
    </w:p>
    <w:p>
      <w:pPr>
        <w:ind w:firstLine="600"/>
        <w:rPr>
          <w:rFonts w:ascii="仿宋_GB2312" w:eastAsia="仿宋_GB2312"/>
          <w:color w:val="auto"/>
          <w:sz w:val="24"/>
        </w:rPr>
      </w:pPr>
      <w:r>
        <w:rPr>
          <w:rFonts w:hint="eastAsia" w:ascii="仿宋_GB2312" w:eastAsia="仿宋_GB2312"/>
          <w:color w:val="auto"/>
          <w:sz w:val="24"/>
        </w:rPr>
        <w:t>单位/区段工程先于全部工程进行验收，经验收合格并交付使用的，该单位/区段工程缺陷责任期自单位/区段工程验收合格之日起算。因发包人原因导致工程未在合同约定期限进行验收，但工程经验收合格的，以承包人提交竣工验收报告之日起算；因发包人原因导致工程未能进行竣工验收的，在承包人提交竣工验收报告90天后，工程自动进入缺陷责任期；发包人未经竣工验收擅自使用工程的，缺陷责任期自工程转移占有之日起开始计算。</w:t>
      </w:r>
    </w:p>
    <w:p>
      <w:pPr>
        <w:ind w:firstLine="600"/>
        <w:rPr>
          <w:rFonts w:ascii="仿宋_GB2312" w:eastAsia="仿宋_GB2312"/>
          <w:color w:val="auto"/>
          <w:sz w:val="24"/>
        </w:rPr>
      </w:pPr>
      <w:r>
        <w:rPr>
          <w:rFonts w:hint="eastAsia" w:ascii="仿宋_GB2312" w:eastAsia="仿宋_GB2312"/>
          <w:color w:val="auto"/>
          <w:sz w:val="24"/>
        </w:rPr>
        <w:t>由于承包人原因造成某项缺陷或损坏使某项工程或工程设备不能按原定目标使用而需要再次检查、检验和修复的，发包人有权要求承包人延长该项工程或工程设备的缺陷责任期，并应在原缺陷责任期届满前发出延长通知。但缺陷责任期最长不超过24个月。</w:t>
      </w:r>
    </w:p>
    <w:p>
      <w:pPr>
        <w:pStyle w:val="315"/>
        <w:widowControl/>
        <w:numPr>
          <w:ilvl w:val="0"/>
          <w:numId w:val="0"/>
        </w:numPr>
        <w:rPr>
          <w:b w:val="0"/>
          <w:bCs/>
          <w:color w:val="auto"/>
        </w:rPr>
      </w:pPr>
      <w:bookmarkStart w:id="864" w:name="_Toc54862272"/>
      <w:bookmarkStart w:id="865" w:name="_Ref532662486"/>
      <w:bookmarkStart w:id="866" w:name="_Ref532662491"/>
      <w:r>
        <w:rPr>
          <w:rFonts w:hint="eastAsia"/>
          <w:b w:val="0"/>
          <w:bCs/>
          <w:color w:val="auto"/>
        </w:rPr>
        <w:t>1</w:t>
      </w:r>
      <w:r>
        <w:rPr>
          <w:b w:val="0"/>
          <w:bCs/>
          <w:color w:val="auto"/>
        </w:rPr>
        <w:t xml:space="preserve">1.3 </w:t>
      </w:r>
      <w:r>
        <w:rPr>
          <w:rFonts w:hint="eastAsia"/>
          <w:b w:val="0"/>
          <w:bCs/>
          <w:color w:val="auto"/>
        </w:rPr>
        <w:t>缺陷调查</w:t>
      </w:r>
      <w:bookmarkEnd w:id="864"/>
      <w:bookmarkEnd w:id="865"/>
      <w:bookmarkEnd w:id="866"/>
    </w:p>
    <w:p>
      <w:pPr>
        <w:pStyle w:val="88"/>
        <w:numPr>
          <w:ilvl w:val="0"/>
          <w:numId w:val="0"/>
        </w:numPr>
        <w:rPr>
          <w:rFonts w:ascii="仿宋_GB2312" w:eastAsia="仿宋_GB2312"/>
          <w:b/>
          <w:color w:val="auto"/>
          <w:szCs w:val="24"/>
        </w:rPr>
      </w:pPr>
      <w:r>
        <w:rPr>
          <w:rFonts w:hint="eastAsia" w:ascii="仿宋_GB2312" w:eastAsia="仿宋_GB2312"/>
          <w:color w:val="auto"/>
          <w:szCs w:val="24"/>
        </w:rPr>
        <w:t>1</w:t>
      </w:r>
      <w:r>
        <w:rPr>
          <w:rFonts w:ascii="仿宋_GB2312" w:eastAsia="仿宋_GB2312"/>
          <w:color w:val="auto"/>
          <w:szCs w:val="24"/>
        </w:rPr>
        <w:t xml:space="preserve">1.3.1 </w:t>
      </w:r>
      <w:r>
        <w:rPr>
          <w:rFonts w:hint="eastAsia" w:ascii="仿宋_GB2312" w:eastAsia="仿宋_GB2312"/>
          <w:color w:val="auto"/>
          <w:szCs w:val="24"/>
        </w:rPr>
        <w:t>承包人缺陷调查</w:t>
      </w:r>
    </w:p>
    <w:p>
      <w:pPr>
        <w:ind w:firstLine="600"/>
        <w:rPr>
          <w:rFonts w:ascii="仿宋_GB2312" w:eastAsia="仿宋_GB2312"/>
          <w:color w:val="auto"/>
          <w:sz w:val="24"/>
        </w:rPr>
      </w:pPr>
      <w:r>
        <w:rPr>
          <w:rFonts w:hint="eastAsia" w:ascii="仿宋_GB2312" w:eastAsia="仿宋_GB2312"/>
          <w:color w:val="auto"/>
          <w:sz w:val="24"/>
        </w:rPr>
        <w:t>如果发包人指示承包人调查任何缺陷的原因，承包人应在发包人的指导下进行调查。承包人应在发包人指示中说明的日期或与发包人达成一致的其他日期开展调查。除非该缺陷应由承包人负责自费进行修补，承包人有权就调查的成本和利润获得支付。</w:t>
      </w:r>
    </w:p>
    <w:p>
      <w:pPr>
        <w:ind w:firstLine="600"/>
        <w:rPr>
          <w:rFonts w:ascii="仿宋_GB2312" w:eastAsia="仿宋_GB2312"/>
          <w:color w:val="auto"/>
          <w:sz w:val="24"/>
        </w:rPr>
      </w:pPr>
      <w:r>
        <w:rPr>
          <w:rFonts w:hint="eastAsia" w:ascii="仿宋_GB2312" w:eastAsia="仿宋_GB2312"/>
          <w:color w:val="auto"/>
          <w:sz w:val="24"/>
        </w:rPr>
        <w:t>如果承包人未能根据本款开展调查，该调查可由发包人开展。但应将上述调查开展的日期通知承包人，承包人可自费参加调查。如果该缺陷应由承包人自费进行修补，则发包人有权要求承包人支付发包人因调查产生的合理费用。</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1.3.2 </w:t>
      </w:r>
      <w:r>
        <w:rPr>
          <w:rFonts w:hint="eastAsia" w:ascii="仿宋_GB2312" w:eastAsia="仿宋_GB2312"/>
          <w:color w:val="auto"/>
          <w:szCs w:val="24"/>
        </w:rPr>
        <w:t>缺陷责任</w:t>
      </w:r>
    </w:p>
    <w:p>
      <w:pPr>
        <w:ind w:firstLine="600"/>
        <w:rPr>
          <w:rFonts w:ascii="仿宋_GB2312" w:eastAsia="仿宋_GB2312"/>
          <w:color w:val="auto"/>
          <w:sz w:val="24"/>
        </w:rPr>
      </w:pPr>
      <w:r>
        <w:rPr>
          <w:rFonts w:hint="eastAsia" w:ascii="仿宋_GB2312" w:eastAsia="仿宋_GB2312"/>
          <w:color w:val="auto"/>
          <w:sz w:val="24"/>
        </w:rPr>
        <w:t>缺陷责任期内，由承包人原因造成的缺陷，承包人应负责维修，并承担鉴定及维修费用。如承包人不维修也不承担费用，发包人可按合同约定从质量保证金中扣除，费用超出质量保证金金额的，发包人可按合同约定向承包人进行索赔。承包人维修并承担相应费用后，不免除对工程的损失赔偿责任。发包人在使用过程中，发现已修补的缺陷部位或部件还存在质量缺陷的，承包人应负责修复，直至检验合格为止。</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1.3.3 </w:t>
      </w:r>
      <w:r>
        <w:rPr>
          <w:rFonts w:hint="eastAsia" w:ascii="仿宋_GB2312" w:eastAsia="仿宋_GB2312"/>
          <w:color w:val="auto"/>
          <w:szCs w:val="24"/>
        </w:rPr>
        <w:t>修复费用</w:t>
      </w:r>
    </w:p>
    <w:p>
      <w:pPr>
        <w:ind w:firstLine="600"/>
        <w:rPr>
          <w:rFonts w:ascii="仿宋_GB2312" w:eastAsia="仿宋_GB2312"/>
          <w:color w:val="auto"/>
          <w:sz w:val="24"/>
        </w:rPr>
      </w:pPr>
      <w:r>
        <w:rPr>
          <w:rFonts w:hint="eastAsia" w:ascii="仿宋_GB2312" w:eastAsia="仿宋_GB2312"/>
          <w:color w:val="auto"/>
          <w:sz w:val="24"/>
        </w:rPr>
        <w:t>发包人和承包人应共同查清缺陷或损坏的原因。经查明属承包人原因造成的，应由承包人承担修复的费用。经查验非承包人原因造成的，发包人应承担修复的费用，并支付承包人合理利润。</w:t>
      </w:r>
    </w:p>
    <w:p>
      <w:pPr>
        <w:pStyle w:val="88"/>
        <w:numPr>
          <w:ilvl w:val="0"/>
          <w:numId w:val="0"/>
        </w:numPr>
        <w:rPr>
          <w:rFonts w:ascii="仿宋_GB2312" w:eastAsia="仿宋_GB2312"/>
          <w:color w:val="auto"/>
          <w:szCs w:val="24"/>
        </w:rPr>
      </w:pPr>
      <w:bookmarkStart w:id="867" w:name="_Ref531955041"/>
      <w:r>
        <w:rPr>
          <w:rFonts w:hint="eastAsia" w:ascii="仿宋_GB2312" w:eastAsia="仿宋_GB2312"/>
          <w:color w:val="auto"/>
          <w:szCs w:val="24"/>
        </w:rPr>
        <w:t>1</w:t>
      </w:r>
      <w:r>
        <w:rPr>
          <w:rFonts w:ascii="仿宋_GB2312" w:eastAsia="仿宋_GB2312"/>
          <w:color w:val="auto"/>
          <w:szCs w:val="24"/>
        </w:rPr>
        <w:t xml:space="preserve">1.3.4 </w:t>
      </w:r>
      <w:r>
        <w:rPr>
          <w:rFonts w:hint="eastAsia" w:ascii="仿宋_GB2312" w:eastAsia="仿宋_GB2312"/>
          <w:color w:val="auto"/>
          <w:szCs w:val="24"/>
        </w:rPr>
        <w:t>修复通知</w:t>
      </w:r>
      <w:bookmarkEnd w:id="867"/>
    </w:p>
    <w:p>
      <w:pPr>
        <w:ind w:firstLine="600"/>
        <w:rPr>
          <w:rFonts w:ascii="仿宋_GB2312" w:eastAsia="仿宋_GB2312"/>
          <w:color w:val="auto"/>
          <w:sz w:val="24"/>
        </w:rPr>
      </w:pPr>
      <w:r>
        <w:rPr>
          <w:rFonts w:hint="eastAsia" w:ascii="仿宋_GB2312" w:eastAsia="仿宋_GB2312"/>
          <w:color w:val="auto"/>
          <w:sz w:val="24"/>
        </w:rPr>
        <w:t>在缺陷责任期内，发包人在使用过程中，发现已接收的工程存在缺陷或损坏的，应书面通知承包人予以修复，但情况紧急必须立即修复缺陷或损坏的，发包人可以口头通知承包人并在口头通知后48小时内书面确认，承包人应在专用合同条件约定的合理期限内到达工程现场并修复缺陷或损坏。</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1.3.5 </w:t>
      </w:r>
      <w:r>
        <w:rPr>
          <w:rFonts w:hint="eastAsia" w:ascii="仿宋_GB2312" w:eastAsia="仿宋_GB2312"/>
          <w:color w:val="auto"/>
          <w:szCs w:val="24"/>
        </w:rPr>
        <w:t>在现场外修复</w:t>
      </w:r>
    </w:p>
    <w:p>
      <w:pPr>
        <w:ind w:firstLine="600"/>
        <w:rPr>
          <w:rFonts w:ascii="仿宋_GB2312" w:eastAsia="仿宋_GB2312"/>
          <w:color w:val="auto"/>
          <w:sz w:val="24"/>
        </w:rPr>
      </w:pPr>
      <w:r>
        <w:rPr>
          <w:rFonts w:hint="eastAsia" w:ascii="仿宋_GB2312" w:eastAsia="仿宋_GB2312"/>
          <w:color w:val="auto"/>
          <w:sz w:val="24"/>
        </w:rPr>
        <w:t>在缺陷责任期内，承包人认为设备中的缺陷或损害不能在现场得到迅速修复，承包人应当向发包人发出通知，请求发包人同意把这些有缺陷或者损害的设备移出现场进行修复，通知应当注明有缺陷或者损害的设备及维修的相关内容，发包人可要求承包人按移出设备的全部重置成本增加质量保证金的数额。</w:t>
      </w:r>
    </w:p>
    <w:p>
      <w:pPr>
        <w:pStyle w:val="88"/>
        <w:numPr>
          <w:ilvl w:val="0"/>
          <w:numId w:val="0"/>
        </w:numPr>
        <w:rPr>
          <w:rFonts w:ascii="仿宋_GB2312" w:eastAsia="仿宋_GB2312"/>
          <w:color w:val="auto"/>
          <w:szCs w:val="24"/>
        </w:rPr>
      </w:pPr>
      <w:bookmarkStart w:id="868" w:name="_Ref4534291"/>
      <w:bookmarkStart w:id="869" w:name="_Hlk51506786"/>
      <w:r>
        <w:rPr>
          <w:rFonts w:hint="eastAsia" w:ascii="仿宋_GB2312" w:eastAsia="仿宋_GB2312"/>
          <w:color w:val="auto"/>
          <w:szCs w:val="24"/>
        </w:rPr>
        <w:t>1</w:t>
      </w:r>
      <w:r>
        <w:rPr>
          <w:rFonts w:ascii="仿宋_GB2312" w:eastAsia="仿宋_GB2312"/>
          <w:color w:val="auto"/>
          <w:szCs w:val="24"/>
        </w:rPr>
        <w:t xml:space="preserve">1.3.6 </w:t>
      </w:r>
      <w:r>
        <w:rPr>
          <w:rFonts w:hint="eastAsia" w:ascii="仿宋_GB2312" w:eastAsia="仿宋_GB2312"/>
          <w:color w:val="auto"/>
          <w:szCs w:val="24"/>
        </w:rPr>
        <w:t>未能修复</w:t>
      </w:r>
      <w:bookmarkEnd w:id="868"/>
    </w:p>
    <w:bookmarkEnd w:id="869"/>
    <w:p>
      <w:pPr>
        <w:ind w:firstLine="600"/>
        <w:rPr>
          <w:rFonts w:ascii="仿宋_GB2312" w:eastAsia="仿宋_GB2312"/>
          <w:color w:val="auto"/>
          <w:sz w:val="24"/>
        </w:rPr>
      </w:pPr>
      <w:r>
        <w:rPr>
          <w:rFonts w:hint="eastAsia" w:ascii="仿宋_GB2312" w:eastAsia="仿宋_GB2312"/>
          <w:color w:val="auto"/>
          <w:sz w:val="24"/>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ind w:firstLine="600"/>
        <w:rPr>
          <w:rFonts w:ascii="仿宋_GB2312" w:eastAsia="仿宋_GB2312"/>
          <w:color w:val="auto"/>
          <w:sz w:val="24"/>
        </w:rPr>
      </w:pPr>
      <w:r>
        <w:rPr>
          <w:rFonts w:hint="eastAsia" w:ascii="仿宋_GB2312" w:eastAsia="仿宋_GB2312"/>
          <w:color w:val="auto"/>
          <w:sz w:val="24"/>
        </w:rPr>
        <w:t>如果工程或工程设备的缺陷或损害使发包人实质上失去了工程的整体功能，发包人有权向承包人追回已支付的工程款项，并要求其赔偿发包人相应损失。</w:t>
      </w:r>
    </w:p>
    <w:bookmarkEnd w:id="859"/>
    <w:bookmarkEnd w:id="860"/>
    <w:bookmarkEnd w:id="861"/>
    <w:p>
      <w:pPr>
        <w:pStyle w:val="315"/>
        <w:widowControl/>
        <w:numPr>
          <w:ilvl w:val="0"/>
          <w:numId w:val="0"/>
        </w:numPr>
        <w:rPr>
          <w:b w:val="0"/>
          <w:bCs/>
          <w:color w:val="auto"/>
        </w:rPr>
      </w:pPr>
      <w:bookmarkStart w:id="870" w:name="_Toc54862273"/>
      <w:bookmarkStart w:id="871" w:name="_Ref532662552"/>
      <w:bookmarkStart w:id="872" w:name="_Ref532662554"/>
      <w:r>
        <w:rPr>
          <w:rFonts w:hint="eastAsia"/>
          <w:b w:val="0"/>
          <w:bCs/>
          <w:color w:val="auto"/>
        </w:rPr>
        <w:t>1</w:t>
      </w:r>
      <w:r>
        <w:rPr>
          <w:b w:val="0"/>
          <w:bCs/>
          <w:color w:val="auto"/>
        </w:rPr>
        <w:t xml:space="preserve">1.4 </w:t>
      </w:r>
      <w:r>
        <w:rPr>
          <w:rFonts w:hint="eastAsia"/>
          <w:b w:val="0"/>
          <w:bCs/>
          <w:color w:val="auto"/>
        </w:rPr>
        <w:t>缺陷修复后的进一步试验</w:t>
      </w:r>
      <w:bookmarkEnd w:id="870"/>
      <w:bookmarkEnd w:id="871"/>
      <w:bookmarkEnd w:id="872"/>
    </w:p>
    <w:p>
      <w:pPr>
        <w:ind w:firstLine="600"/>
        <w:rPr>
          <w:rFonts w:ascii="仿宋_GB2312" w:eastAsia="仿宋_GB2312"/>
          <w:color w:val="auto"/>
          <w:sz w:val="24"/>
        </w:rPr>
      </w:pPr>
      <w:r>
        <w:rPr>
          <w:rFonts w:hint="eastAsia" w:ascii="仿宋_GB2312" w:eastAsia="仿宋_GB2312"/>
          <w:color w:val="auto"/>
          <w:sz w:val="24"/>
        </w:rPr>
        <w:t>任何一项缺陷修补后的7天内，承包人应向发包人发出通知，告知已修补的情况。如根据第</w:t>
      </w:r>
      <w:r>
        <w:rPr>
          <w:rFonts w:ascii="仿宋_GB2312" w:eastAsia="仿宋_GB2312"/>
          <w:color w:val="auto"/>
          <w:sz w:val="24"/>
        </w:rPr>
        <w:t>9条</w:t>
      </w:r>
      <w:r>
        <w:rPr>
          <w:rFonts w:hint="eastAsia" w:ascii="仿宋_GB2312" w:eastAsia="仿宋_GB2312"/>
          <w:color w:val="auto"/>
          <w:sz w:val="24"/>
        </w:rPr>
        <w:t>[竣工试验]或第</w:t>
      </w:r>
      <w:r>
        <w:rPr>
          <w:rFonts w:ascii="仿宋_GB2312" w:eastAsia="仿宋_GB2312"/>
          <w:color w:val="auto"/>
          <w:sz w:val="24"/>
        </w:rPr>
        <w:t>12条</w:t>
      </w:r>
      <w:r>
        <w:rPr>
          <w:rFonts w:hint="eastAsia" w:ascii="仿宋_GB2312" w:eastAsia="仿宋_GB2312"/>
          <w:color w:val="auto"/>
          <w:sz w:val="24"/>
        </w:rPr>
        <w:t>[</w:t>
      </w:r>
      <w:r>
        <w:rPr>
          <w:rFonts w:ascii="仿宋_GB2312" w:eastAsia="仿宋_GB2312"/>
          <w:color w:val="auto"/>
          <w:sz w:val="24"/>
        </w:rPr>
        <w:t>竣工后试验</w:t>
      </w:r>
      <w:r>
        <w:rPr>
          <w:rFonts w:hint="eastAsia" w:ascii="仿宋_GB2312" w:eastAsia="仿宋_GB2312"/>
          <w:color w:val="auto"/>
          <w:sz w:val="24"/>
        </w:rPr>
        <w:t>]的规定适用重新试验的，还应建议重新试验。发包人应在收到重新试验的通知后14天内答复，逾期未进行答复的视为同意重新试验。承包人未建议重新试验的，发包人也可在缺陷修补后的14天内指示进行必要的重新试验，以证明已修复的部分符合合同要求。</w:t>
      </w:r>
    </w:p>
    <w:p>
      <w:pPr>
        <w:ind w:firstLine="600"/>
        <w:rPr>
          <w:rFonts w:ascii="仿宋_GB2312" w:eastAsia="仿宋_GB2312"/>
          <w:color w:val="auto"/>
          <w:sz w:val="24"/>
        </w:rPr>
      </w:pPr>
      <w:r>
        <w:rPr>
          <w:rFonts w:hint="eastAsia" w:ascii="仿宋_GB2312" w:eastAsia="仿宋_GB2312"/>
          <w:color w:val="auto"/>
          <w:sz w:val="24"/>
        </w:rPr>
        <w:t>所有的重复试验应按照适用于先前试验的条款进行，但应由责任方承担修补工作的成本和重新试验的风险和费用。</w:t>
      </w:r>
    </w:p>
    <w:p>
      <w:pPr>
        <w:pStyle w:val="315"/>
        <w:widowControl/>
        <w:numPr>
          <w:ilvl w:val="0"/>
          <w:numId w:val="0"/>
        </w:numPr>
        <w:rPr>
          <w:b w:val="0"/>
          <w:bCs/>
          <w:color w:val="auto"/>
        </w:rPr>
      </w:pPr>
      <w:bookmarkStart w:id="873" w:name="_Toc54862274"/>
      <w:r>
        <w:rPr>
          <w:rFonts w:hint="eastAsia"/>
          <w:b w:val="0"/>
          <w:bCs/>
          <w:color w:val="auto"/>
        </w:rPr>
        <w:t>1</w:t>
      </w:r>
      <w:r>
        <w:rPr>
          <w:b w:val="0"/>
          <w:bCs/>
          <w:color w:val="auto"/>
        </w:rPr>
        <w:t xml:space="preserve">1.5 </w:t>
      </w:r>
      <w:r>
        <w:rPr>
          <w:rFonts w:hint="eastAsia"/>
          <w:b w:val="0"/>
          <w:bCs/>
          <w:color w:val="auto"/>
        </w:rPr>
        <w:t>承包人出入权</w:t>
      </w:r>
      <w:bookmarkEnd w:id="873"/>
    </w:p>
    <w:p>
      <w:pPr>
        <w:ind w:firstLine="600"/>
        <w:rPr>
          <w:rFonts w:ascii="仿宋_GB2312" w:eastAsia="仿宋_GB2312"/>
          <w:color w:val="auto"/>
          <w:sz w:val="24"/>
        </w:rPr>
      </w:pPr>
      <w:r>
        <w:rPr>
          <w:rFonts w:hint="eastAsia" w:ascii="仿宋_GB2312" w:eastAsia="仿宋_GB2312"/>
          <w:color w:val="auto"/>
          <w:sz w:val="24"/>
        </w:rPr>
        <w:t>在缺陷责任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安保和保密等规定。</w:t>
      </w:r>
    </w:p>
    <w:p>
      <w:pPr>
        <w:pStyle w:val="315"/>
        <w:widowControl/>
        <w:numPr>
          <w:ilvl w:val="0"/>
          <w:numId w:val="0"/>
        </w:numPr>
        <w:rPr>
          <w:b w:val="0"/>
          <w:bCs/>
          <w:color w:val="auto"/>
        </w:rPr>
      </w:pPr>
      <w:bookmarkStart w:id="874" w:name="_Ref4430223"/>
      <w:bookmarkStart w:id="875" w:name="_Ref4430229"/>
      <w:bookmarkStart w:id="876" w:name="_Toc54862275"/>
      <w:r>
        <w:rPr>
          <w:rFonts w:hint="eastAsia"/>
          <w:b w:val="0"/>
          <w:bCs/>
          <w:color w:val="auto"/>
        </w:rPr>
        <w:t>1</w:t>
      </w:r>
      <w:r>
        <w:rPr>
          <w:b w:val="0"/>
          <w:bCs/>
          <w:color w:val="auto"/>
        </w:rPr>
        <w:t xml:space="preserve">1.6 </w:t>
      </w:r>
      <w:r>
        <w:rPr>
          <w:rFonts w:hint="eastAsia"/>
          <w:b w:val="0"/>
          <w:bCs/>
          <w:color w:val="auto"/>
        </w:rPr>
        <w:t>缺陷责任期终止证书</w:t>
      </w:r>
      <w:bookmarkEnd w:id="874"/>
      <w:bookmarkEnd w:id="875"/>
      <w:bookmarkEnd w:id="876"/>
    </w:p>
    <w:p>
      <w:pPr>
        <w:ind w:firstLine="600"/>
        <w:rPr>
          <w:rFonts w:ascii="仿宋_GB2312" w:eastAsia="仿宋_GB2312"/>
          <w:color w:val="auto"/>
          <w:sz w:val="24"/>
        </w:rPr>
      </w:pPr>
      <w:r>
        <w:rPr>
          <w:rFonts w:hint="eastAsia" w:ascii="仿宋_GB2312" w:eastAsia="仿宋_GB2312"/>
          <w:color w:val="auto"/>
          <w:sz w:val="24"/>
        </w:rPr>
        <w:t>除专用合同条件另有约定外，</w:t>
      </w:r>
      <w:bookmarkStart w:id="877" w:name="_Hlk4686672"/>
      <w:r>
        <w:rPr>
          <w:rFonts w:hint="eastAsia" w:ascii="仿宋_GB2312" w:eastAsia="仿宋_GB2312"/>
          <w:color w:val="auto"/>
          <w:sz w:val="24"/>
        </w:rPr>
        <w:t>承包人应于缺陷责任期届满前7天内向发包人发出缺陷责任期即将届满通知，发包人应在收到通知后</w:t>
      </w:r>
      <w:r>
        <w:rPr>
          <w:rFonts w:ascii="仿宋_GB2312" w:eastAsia="仿宋_GB2312"/>
          <w:color w:val="auto"/>
          <w:sz w:val="24"/>
        </w:rPr>
        <w:t>7</w:t>
      </w:r>
      <w:r>
        <w:rPr>
          <w:rFonts w:hint="eastAsia" w:ascii="仿宋_GB2312" w:eastAsia="仿宋_GB2312"/>
          <w:color w:val="auto"/>
          <w:sz w:val="24"/>
        </w:rPr>
        <w:t>天内核实承包人是否履行缺陷修复义务，承包人未能履行缺陷修复义务的，发包人有权扣除相应金额的维修费用。发包人应在缺陷责任期届满之日，向承包人颁发缺陷责任期终止证书，并按第</w:t>
      </w:r>
      <w:r>
        <w:rPr>
          <w:rFonts w:ascii="仿宋_GB2312" w:eastAsia="仿宋_GB2312"/>
          <w:color w:val="auto"/>
          <w:sz w:val="24"/>
        </w:rPr>
        <w:t>14.6.3</w:t>
      </w:r>
      <w:r>
        <w:rPr>
          <w:rFonts w:hint="eastAsia" w:ascii="仿宋_GB2312" w:eastAsia="仿宋_GB2312"/>
          <w:color w:val="auto"/>
          <w:sz w:val="24"/>
        </w:rPr>
        <w:t>项[质量保证金的返还]返还质量保证金。</w:t>
      </w:r>
      <w:bookmarkEnd w:id="877"/>
    </w:p>
    <w:p>
      <w:pPr>
        <w:ind w:firstLine="600"/>
        <w:rPr>
          <w:rFonts w:ascii="仿宋_GB2312" w:eastAsia="仿宋_GB2312"/>
          <w:color w:val="auto"/>
          <w:sz w:val="24"/>
        </w:rPr>
      </w:pPr>
      <w:r>
        <w:rPr>
          <w:rFonts w:hint="eastAsia" w:ascii="仿宋_GB2312" w:eastAsia="仿宋_GB2312"/>
          <w:color w:val="auto"/>
          <w:sz w:val="24"/>
        </w:rPr>
        <w:t>如根据第</w:t>
      </w:r>
      <w:r>
        <w:rPr>
          <w:rFonts w:ascii="仿宋_GB2312" w:eastAsia="仿宋_GB2312"/>
          <w:color w:val="auto"/>
          <w:sz w:val="24"/>
        </w:rPr>
        <w:t>10.5.3</w:t>
      </w:r>
      <w:r>
        <w:rPr>
          <w:rFonts w:hint="eastAsia" w:ascii="仿宋_GB2312" w:eastAsia="仿宋_GB2312"/>
          <w:color w:val="auto"/>
          <w:sz w:val="24"/>
        </w:rPr>
        <w:t>项[人员撤离]承包人在施工现场还留有人员、施工设备和临时工程的，承包人应当在收到缺陷责任期终止证书后28天内，将上述人员、施工设备和临时工程撤离施工现场。</w:t>
      </w:r>
    </w:p>
    <w:p>
      <w:pPr>
        <w:pStyle w:val="315"/>
        <w:widowControl/>
        <w:numPr>
          <w:ilvl w:val="0"/>
          <w:numId w:val="0"/>
        </w:numPr>
        <w:rPr>
          <w:b w:val="0"/>
          <w:bCs/>
          <w:color w:val="auto"/>
        </w:rPr>
      </w:pPr>
      <w:bookmarkStart w:id="878" w:name="_Ref4430272"/>
      <w:bookmarkStart w:id="879" w:name="_Toc54862276"/>
      <w:r>
        <w:rPr>
          <w:rFonts w:hint="eastAsia"/>
          <w:b w:val="0"/>
          <w:bCs/>
          <w:color w:val="auto"/>
        </w:rPr>
        <w:t>1</w:t>
      </w:r>
      <w:r>
        <w:rPr>
          <w:b w:val="0"/>
          <w:bCs/>
          <w:color w:val="auto"/>
        </w:rPr>
        <w:t xml:space="preserve">1.7 </w:t>
      </w:r>
      <w:r>
        <w:rPr>
          <w:rFonts w:hint="eastAsia"/>
          <w:b w:val="0"/>
          <w:bCs/>
          <w:color w:val="auto"/>
        </w:rPr>
        <w:t>保修责任</w:t>
      </w:r>
      <w:bookmarkEnd w:id="878"/>
      <w:bookmarkEnd w:id="879"/>
    </w:p>
    <w:p>
      <w:pPr>
        <w:ind w:firstLine="600"/>
        <w:rPr>
          <w:rFonts w:ascii="仿宋_GB2312" w:eastAsia="仿宋_GB2312"/>
          <w:color w:val="auto"/>
          <w:sz w:val="24"/>
        </w:rPr>
      </w:pPr>
      <w:r>
        <w:rPr>
          <w:rFonts w:hint="eastAsia" w:ascii="仿宋_GB2312" w:eastAsia="仿宋_GB2312"/>
          <w:color w:val="auto"/>
          <w:sz w:val="24"/>
        </w:rPr>
        <w:t>因承包人原因导致的质量缺陷责任，由合同当事人根据有关法律规定，在专用合同条件和工程质量保修书中约定工程质量保修范围、期限和责任。</w:t>
      </w:r>
      <w:bookmarkEnd w:id="726"/>
      <w:bookmarkStart w:id="880" w:name="_Ref531957860"/>
      <w:bookmarkStart w:id="881" w:name="_Ref531958289"/>
    </w:p>
    <w:bookmarkEnd w:id="880"/>
    <w:p>
      <w:pPr>
        <w:pStyle w:val="164"/>
        <w:numPr>
          <w:ilvl w:val="0"/>
          <w:numId w:val="0"/>
        </w:numPr>
        <w:wordWrap/>
        <w:topLinePunct w:val="0"/>
        <w:rPr>
          <w:b w:val="0"/>
          <w:bCs/>
          <w:color w:val="auto"/>
          <w:sz w:val="24"/>
          <w:szCs w:val="24"/>
        </w:rPr>
      </w:pPr>
      <w:bookmarkStart w:id="882" w:name="_Toc54862277"/>
      <w:bookmarkStart w:id="883" w:name="_Ref4621057"/>
      <w:bookmarkStart w:id="884" w:name="_Ref4621065"/>
      <w:bookmarkStart w:id="885" w:name="_Ref4796955"/>
      <w:bookmarkStart w:id="886" w:name="_Ref4796958"/>
      <w:r>
        <w:rPr>
          <w:rFonts w:hint="eastAsia"/>
          <w:b w:val="0"/>
          <w:bCs/>
          <w:color w:val="auto"/>
          <w:sz w:val="24"/>
          <w:szCs w:val="24"/>
        </w:rPr>
        <w:t>第1</w:t>
      </w:r>
      <w:r>
        <w:rPr>
          <w:b w:val="0"/>
          <w:bCs/>
          <w:color w:val="auto"/>
          <w:sz w:val="24"/>
          <w:szCs w:val="24"/>
        </w:rPr>
        <w:t>2</w:t>
      </w:r>
      <w:r>
        <w:rPr>
          <w:rFonts w:hint="eastAsia"/>
          <w:b w:val="0"/>
          <w:bCs/>
          <w:color w:val="auto"/>
          <w:sz w:val="24"/>
          <w:szCs w:val="24"/>
        </w:rPr>
        <w:t>条 竣工后试验</w:t>
      </w:r>
      <w:bookmarkEnd w:id="882"/>
      <w:bookmarkEnd w:id="883"/>
      <w:bookmarkEnd w:id="884"/>
    </w:p>
    <w:p>
      <w:pPr>
        <w:ind w:firstLine="600"/>
        <w:rPr>
          <w:rFonts w:ascii="仿宋_GB2312" w:eastAsia="仿宋_GB2312"/>
          <w:color w:val="auto"/>
          <w:sz w:val="24"/>
        </w:rPr>
      </w:pPr>
      <w:r>
        <w:rPr>
          <w:rFonts w:hint="eastAsia" w:ascii="仿宋_GB2312" w:eastAsia="仿宋_GB2312"/>
          <w:color w:val="auto"/>
          <w:sz w:val="24"/>
        </w:rPr>
        <w:t>本合同工程包含竣工后试验的，遵守本条约定。</w:t>
      </w:r>
    </w:p>
    <w:p>
      <w:pPr>
        <w:pStyle w:val="315"/>
        <w:widowControl/>
        <w:numPr>
          <w:ilvl w:val="0"/>
          <w:numId w:val="0"/>
        </w:numPr>
        <w:rPr>
          <w:b w:val="0"/>
          <w:bCs/>
          <w:color w:val="auto"/>
        </w:rPr>
      </w:pPr>
      <w:bookmarkStart w:id="887" w:name="_Ref531954601"/>
      <w:bookmarkStart w:id="888" w:name="_Ref531954604"/>
      <w:bookmarkStart w:id="889" w:name="_Toc54862278"/>
      <w:bookmarkStart w:id="890" w:name="_Ref531954694"/>
      <w:bookmarkStart w:id="891" w:name="_Hlk522259976"/>
      <w:r>
        <w:rPr>
          <w:rFonts w:hint="eastAsia"/>
          <w:b w:val="0"/>
          <w:bCs/>
          <w:color w:val="auto"/>
        </w:rPr>
        <w:t>1</w:t>
      </w:r>
      <w:r>
        <w:rPr>
          <w:b w:val="0"/>
          <w:bCs/>
          <w:color w:val="auto"/>
        </w:rPr>
        <w:t xml:space="preserve">2.1 </w:t>
      </w:r>
      <w:r>
        <w:rPr>
          <w:rFonts w:hint="eastAsia"/>
          <w:b w:val="0"/>
          <w:bCs/>
          <w:color w:val="auto"/>
        </w:rPr>
        <w:t>竣工后试验</w:t>
      </w:r>
      <w:bookmarkEnd w:id="887"/>
      <w:bookmarkEnd w:id="888"/>
      <w:r>
        <w:rPr>
          <w:rFonts w:hint="eastAsia"/>
          <w:b w:val="0"/>
          <w:bCs/>
          <w:color w:val="auto"/>
        </w:rPr>
        <w:t>的程序</w:t>
      </w:r>
      <w:bookmarkEnd w:id="889"/>
      <w:bookmarkEnd w:id="890"/>
    </w:p>
    <w:p>
      <w:pPr>
        <w:pStyle w:val="88"/>
        <w:numPr>
          <w:ilvl w:val="0"/>
          <w:numId w:val="0"/>
        </w:numPr>
        <w:rPr>
          <w:rFonts w:ascii="仿宋_GB2312" w:eastAsia="仿宋_GB2312"/>
          <w:color w:val="auto"/>
          <w:szCs w:val="24"/>
        </w:rPr>
      </w:pPr>
      <w:bookmarkStart w:id="892" w:name="_Ref11920184"/>
      <w:r>
        <w:rPr>
          <w:rFonts w:hint="eastAsia" w:ascii="仿宋_GB2312" w:eastAsia="仿宋_GB2312"/>
          <w:color w:val="auto"/>
          <w:szCs w:val="24"/>
        </w:rPr>
        <w:t>1</w:t>
      </w:r>
      <w:r>
        <w:rPr>
          <w:rFonts w:ascii="仿宋_GB2312" w:eastAsia="仿宋_GB2312"/>
          <w:color w:val="auto"/>
          <w:szCs w:val="24"/>
        </w:rPr>
        <w:t xml:space="preserve">2.1.1 </w:t>
      </w:r>
      <w:r>
        <w:rPr>
          <w:rFonts w:hint="eastAsia" w:ascii="仿宋_GB2312" w:eastAsia="仿宋_GB2312"/>
          <w:color w:val="auto"/>
          <w:szCs w:val="24"/>
        </w:rPr>
        <w:t>工程或区段工程被发包人接收后，在合理可行的情况下应根据合同约定尽早进行竣工后试验。</w:t>
      </w:r>
      <w:bookmarkEnd w:id="892"/>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2.1.2 </w:t>
      </w:r>
      <w:r>
        <w:rPr>
          <w:rFonts w:hint="eastAsia" w:ascii="仿宋_GB2312" w:eastAsia="仿宋_GB2312"/>
          <w:color w:val="auto"/>
          <w:szCs w:val="24"/>
        </w:rPr>
        <w:t>除专用合同条件另有约定外，发包人应提供全部电力、水、污水处理、燃料、消耗品和材料，以及全部其他仪器、协助、文件或其他信息、设备、工具、劳力，启动工程设备，并组织安排有适当资质、经验和能力的工作人员实施竣工后试验。</w:t>
      </w:r>
    </w:p>
    <w:p>
      <w:pPr>
        <w:pStyle w:val="88"/>
        <w:numPr>
          <w:ilvl w:val="0"/>
          <w:numId w:val="0"/>
        </w:numPr>
        <w:rPr>
          <w:rFonts w:ascii="仿宋_GB2312" w:eastAsia="仿宋_GB2312"/>
          <w:color w:val="auto"/>
          <w:szCs w:val="24"/>
        </w:rPr>
      </w:pPr>
      <w:bookmarkStart w:id="893" w:name="_Ref11920162"/>
      <w:r>
        <w:rPr>
          <w:rFonts w:hint="eastAsia" w:ascii="仿宋_GB2312" w:eastAsia="仿宋_GB2312"/>
          <w:color w:val="auto"/>
          <w:szCs w:val="24"/>
        </w:rPr>
        <w:t>1</w:t>
      </w:r>
      <w:r>
        <w:rPr>
          <w:rFonts w:ascii="仿宋_GB2312" w:eastAsia="仿宋_GB2312"/>
          <w:color w:val="auto"/>
          <w:szCs w:val="24"/>
        </w:rPr>
        <w:t xml:space="preserve">2.1.3 </w:t>
      </w:r>
      <w:r>
        <w:rPr>
          <w:rFonts w:hint="eastAsia" w:ascii="仿宋_GB2312" w:eastAsia="仿宋_GB2312"/>
          <w:color w:val="auto"/>
          <w:szCs w:val="24"/>
        </w:rPr>
        <w:t>除《发包人要求》另有约定外，发包人应在合理可行的情况下尽快进行每项竣工后试验，并至少提前21天将该项竣工后试验的内容、地点和时间，以及显示其他竣工后试验拟开展时间的竣工后试验计划通知承包人。</w:t>
      </w:r>
      <w:bookmarkEnd w:id="893"/>
    </w:p>
    <w:p>
      <w:pPr>
        <w:pStyle w:val="88"/>
        <w:numPr>
          <w:ilvl w:val="0"/>
          <w:numId w:val="0"/>
        </w:numPr>
        <w:rPr>
          <w:rFonts w:ascii="仿宋_GB2312" w:eastAsia="仿宋_GB2312"/>
          <w:color w:val="auto"/>
          <w:szCs w:val="24"/>
        </w:rPr>
      </w:pPr>
      <w:bookmarkStart w:id="894" w:name="_Ref11920146"/>
      <w:r>
        <w:rPr>
          <w:rFonts w:hint="eastAsia" w:ascii="仿宋_GB2312" w:eastAsia="仿宋_GB2312"/>
          <w:color w:val="auto"/>
          <w:szCs w:val="24"/>
        </w:rPr>
        <w:t>1</w:t>
      </w:r>
      <w:r>
        <w:rPr>
          <w:rFonts w:ascii="仿宋_GB2312" w:eastAsia="仿宋_GB2312"/>
          <w:color w:val="auto"/>
          <w:szCs w:val="24"/>
        </w:rPr>
        <w:t xml:space="preserve">2.1.4 </w:t>
      </w:r>
      <w:r>
        <w:rPr>
          <w:rFonts w:hint="eastAsia" w:ascii="仿宋_GB2312" w:eastAsia="仿宋_GB2312"/>
          <w:color w:val="auto"/>
          <w:szCs w:val="24"/>
        </w:rPr>
        <w:t>发包人应根据《发包人要求》、承包人按照第</w:t>
      </w:r>
      <w:r>
        <w:rPr>
          <w:rFonts w:ascii="仿宋_GB2312" w:eastAsia="仿宋_GB2312"/>
          <w:color w:val="auto"/>
          <w:szCs w:val="24"/>
        </w:rPr>
        <w:t>5.5</w:t>
      </w:r>
      <w:r>
        <w:rPr>
          <w:rFonts w:hint="eastAsia" w:ascii="仿宋_GB2312" w:eastAsia="仿宋_GB2312"/>
          <w:color w:val="auto"/>
          <w:szCs w:val="24"/>
        </w:rPr>
        <w:t>款</w:t>
      </w:r>
      <w:bookmarkStart w:id="895" w:name="_Hlk18943978"/>
      <w:r>
        <w:rPr>
          <w:rFonts w:hint="eastAsia" w:ascii="仿宋_GB2312" w:eastAsia="仿宋_GB2312"/>
          <w:color w:val="auto"/>
          <w:szCs w:val="24"/>
        </w:rPr>
        <w:t>[</w:t>
      </w:r>
      <w:r>
        <w:rPr>
          <w:rFonts w:ascii="仿宋_GB2312" w:eastAsia="仿宋_GB2312"/>
          <w:color w:val="auto"/>
          <w:szCs w:val="24"/>
        </w:rPr>
        <w:t>操作和维修手册</w:t>
      </w:r>
      <w:r>
        <w:rPr>
          <w:rFonts w:hint="eastAsia" w:ascii="仿宋_GB2312" w:eastAsia="仿宋_GB2312"/>
          <w:color w:val="auto"/>
          <w:szCs w:val="24"/>
        </w:rPr>
        <w:t>]</w:t>
      </w:r>
      <w:bookmarkEnd w:id="895"/>
      <w:r>
        <w:rPr>
          <w:rFonts w:hint="eastAsia" w:ascii="仿宋_GB2312" w:eastAsia="仿宋_GB2312"/>
          <w:color w:val="auto"/>
          <w:szCs w:val="24"/>
        </w:rPr>
        <w:t>提交的文件，以及承包人被要求提供的指导进行竣工后试验。如承包人未在发包人通知的时间和地点参加竣工后试验，发包人可自行进行，该试验应被视为是承包人在场的情况下进行的，且承包人应视为认可试验数据。</w:t>
      </w:r>
      <w:bookmarkEnd w:id="894"/>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2.1.5 </w:t>
      </w:r>
      <w:r>
        <w:rPr>
          <w:rFonts w:hint="eastAsia" w:ascii="仿宋_GB2312" w:eastAsia="仿宋_GB2312"/>
          <w:color w:val="auto"/>
          <w:szCs w:val="24"/>
        </w:rPr>
        <w:t>竣工后试验的结果应由双方进行整理和评价，并应适当考虑发包人对工程或其任何部分的使用，对工程或区段工程的性能、特性和试验结果产生的影响。</w:t>
      </w:r>
    </w:p>
    <w:p>
      <w:pPr>
        <w:pStyle w:val="315"/>
        <w:widowControl/>
        <w:numPr>
          <w:ilvl w:val="0"/>
          <w:numId w:val="0"/>
        </w:numPr>
        <w:rPr>
          <w:b w:val="0"/>
          <w:bCs/>
          <w:color w:val="auto"/>
        </w:rPr>
      </w:pPr>
      <w:bookmarkStart w:id="896" w:name="_Ref531954781"/>
      <w:bookmarkStart w:id="897" w:name="_Ref531954785"/>
      <w:bookmarkStart w:id="898" w:name="_Toc54862279"/>
      <w:r>
        <w:rPr>
          <w:rFonts w:hint="eastAsia"/>
          <w:b w:val="0"/>
          <w:bCs/>
          <w:color w:val="auto"/>
        </w:rPr>
        <w:t>1</w:t>
      </w:r>
      <w:r>
        <w:rPr>
          <w:b w:val="0"/>
          <w:bCs/>
          <w:color w:val="auto"/>
        </w:rPr>
        <w:t xml:space="preserve">2.2 </w:t>
      </w:r>
      <w:r>
        <w:rPr>
          <w:rFonts w:hint="eastAsia"/>
          <w:b w:val="0"/>
          <w:bCs/>
          <w:color w:val="auto"/>
        </w:rPr>
        <w:t>延误的试验</w:t>
      </w:r>
      <w:bookmarkEnd w:id="896"/>
      <w:bookmarkEnd w:id="897"/>
      <w:bookmarkEnd w:id="898"/>
      <w:r>
        <w:rPr>
          <w:rFonts w:hint="eastAsia"/>
          <w:b w:val="0"/>
          <w:bCs/>
          <w:color w:val="auto"/>
        </w:rPr>
        <w:t xml:space="preserve"> </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2.2.1 </w:t>
      </w:r>
      <w:r>
        <w:rPr>
          <w:rFonts w:hint="eastAsia" w:ascii="仿宋_GB2312" w:eastAsia="仿宋_GB2312"/>
          <w:color w:val="auto"/>
          <w:szCs w:val="24"/>
        </w:rPr>
        <w:t>如果竣工后试验因发包人原因被延误的，发包人应承担承包人由此增加的费用并支付承包人合理利润。</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2.2.2 </w:t>
      </w:r>
      <w:r>
        <w:rPr>
          <w:rFonts w:hint="eastAsia" w:ascii="仿宋_GB2312" w:eastAsia="仿宋_GB2312"/>
          <w:color w:val="auto"/>
          <w:szCs w:val="24"/>
        </w:rPr>
        <w:t>如果因承包人以外的原因，导致竣工后试验未能在缺陷责任期或双方另行同意的其他期限内完成，则相关工程或区段工程应视为已通过该竣工后试验。</w:t>
      </w:r>
    </w:p>
    <w:p>
      <w:pPr>
        <w:pStyle w:val="315"/>
        <w:widowControl/>
        <w:numPr>
          <w:ilvl w:val="0"/>
          <w:numId w:val="0"/>
        </w:numPr>
        <w:rPr>
          <w:b w:val="0"/>
          <w:bCs/>
          <w:color w:val="auto"/>
        </w:rPr>
      </w:pPr>
      <w:bookmarkStart w:id="899" w:name="_Toc54862280"/>
      <w:r>
        <w:rPr>
          <w:rFonts w:hint="eastAsia"/>
          <w:b w:val="0"/>
          <w:bCs/>
          <w:color w:val="auto"/>
        </w:rPr>
        <w:t>1</w:t>
      </w:r>
      <w:r>
        <w:rPr>
          <w:b w:val="0"/>
          <w:bCs/>
          <w:color w:val="auto"/>
        </w:rPr>
        <w:t xml:space="preserve">2.3 </w:t>
      </w:r>
      <w:r>
        <w:rPr>
          <w:rFonts w:hint="eastAsia"/>
          <w:b w:val="0"/>
          <w:bCs/>
          <w:color w:val="auto"/>
        </w:rPr>
        <w:t>重新试验</w:t>
      </w:r>
      <w:bookmarkEnd w:id="899"/>
    </w:p>
    <w:p>
      <w:pPr>
        <w:ind w:firstLine="600"/>
        <w:rPr>
          <w:rFonts w:ascii="仿宋_GB2312" w:eastAsia="仿宋_GB2312"/>
          <w:color w:val="auto"/>
          <w:sz w:val="24"/>
        </w:rPr>
      </w:pPr>
      <w:r>
        <w:rPr>
          <w:rFonts w:hint="eastAsia" w:ascii="仿宋_GB2312" w:eastAsia="仿宋_GB2312"/>
          <w:color w:val="auto"/>
          <w:sz w:val="24"/>
        </w:rPr>
        <w:t>如工程或区段工程未能通过竣工后试验，则承包人应根据第</w:t>
      </w:r>
      <w:r>
        <w:rPr>
          <w:rFonts w:ascii="仿宋_GB2312" w:eastAsia="仿宋_GB2312"/>
          <w:color w:val="auto"/>
          <w:sz w:val="24"/>
        </w:rPr>
        <w:t>11.3</w:t>
      </w:r>
      <w:r>
        <w:rPr>
          <w:rFonts w:hint="eastAsia" w:ascii="仿宋_GB2312" w:eastAsia="仿宋_GB2312"/>
          <w:color w:val="auto"/>
          <w:sz w:val="24"/>
        </w:rPr>
        <w:t>款[缺陷调查]的规定修补缺陷，以达到合同约定的要求；并按照第</w:t>
      </w:r>
      <w:r>
        <w:rPr>
          <w:rFonts w:ascii="仿宋_GB2312" w:eastAsia="仿宋_GB2312"/>
          <w:color w:val="auto"/>
          <w:sz w:val="24"/>
        </w:rPr>
        <w:t>11.4</w:t>
      </w:r>
      <w:r>
        <w:rPr>
          <w:rFonts w:hint="eastAsia" w:ascii="仿宋_GB2312" w:eastAsia="仿宋_GB2312"/>
          <w:color w:val="auto"/>
          <w:sz w:val="24"/>
        </w:rPr>
        <w:t>款[缺陷修复后的进一步试验]重新进行竣工后试验以及承担风险和费用。如未通过试验和重新试验是承包人原因造成的，则承包人还应承担发包人因此增加的费用。</w:t>
      </w:r>
    </w:p>
    <w:bookmarkEnd w:id="891"/>
    <w:p>
      <w:pPr>
        <w:pStyle w:val="315"/>
        <w:widowControl/>
        <w:numPr>
          <w:ilvl w:val="0"/>
          <w:numId w:val="0"/>
        </w:numPr>
        <w:rPr>
          <w:b w:val="0"/>
          <w:bCs/>
          <w:color w:val="auto"/>
        </w:rPr>
      </w:pPr>
      <w:bookmarkStart w:id="900" w:name="_Toc54862281"/>
      <w:bookmarkStart w:id="901" w:name="_Ref531954811"/>
      <w:bookmarkStart w:id="902" w:name="_Ref531954819"/>
      <w:r>
        <w:rPr>
          <w:rFonts w:hint="eastAsia"/>
          <w:b w:val="0"/>
          <w:bCs/>
          <w:color w:val="auto"/>
        </w:rPr>
        <w:t>1</w:t>
      </w:r>
      <w:r>
        <w:rPr>
          <w:b w:val="0"/>
          <w:bCs/>
          <w:color w:val="auto"/>
        </w:rPr>
        <w:t xml:space="preserve">2.4 </w:t>
      </w:r>
      <w:r>
        <w:rPr>
          <w:rFonts w:hint="eastAsia"/>
          <w:b w:val="0"/>
          <w:bCs/>
          <w:color w:val="auto"/>
        </w:rPr>
        <w:t>未能通过竣工后试验</w:t>
      </w:r>
      <w:bookmarkEnd w:id="900"/>
      <w:bookmarkEnd w:id="901"/>
      <w:bookmarkEnd w:id="902"/>
    </w:p>
    <w:p>
      <w:pPr>
        <w:pStyle w:val="88"/>
        <w:numPr>
          <w:ilvl w:val="0"/>
          <w:numId w:val="0"/>
        </w:numPr>
        <w:rPr>
          <w:rFonts w:ascii="仿宋_GB2312" w:eastAsia="仿宋_GB2312"/>
          <w:color w:val="auto"/>
          <w:szCs w:val="24"/>
        </w:rPr>
      </w:pPr>
      <w:bookmarkStart w:id="903" w:name="_Ref531954829"/>
      <w:r>
        <w:rPr>
          <w:rFonts w:hint="eastAsia" w:ascii="仿宋_GB2312" w:eastAsia="仿宋_GB2312"/>
          <w:color w:val="auto"/>
          <w:szCs w:val="24"/>
        </w:rPr>
        <w:t>1</w:t>
      </w:r>
      <w:r>
        <w:rPr>
          <w:rFonts w:ascii="仿宋_GB2312" w:eastAsia="仿宋_GB2312"/>
          <w:color w:val="auto"/>
          <w:szCs w:val="24"/>
        </w:rPr>
        <w:t xml:space="preserve">2.4.1 </w:t>
      </w:r>
      <w:r>
        <w:rPr>
          <w:rFonts w:hint="eastAsia" w:ascii="仿宋_GB2312" w:eastAsia="仿宋_GB2312"/>
          <w:color w:val="auto"/>
          <w:szCs w:val="24"/>
        </w:rPr>
        <w:t>工程或区段工程未能通过竣工后试验，且合同中就该项未通过的试验约定了性能损害赔偿违约金及其计算方法的，或者就该项未通过的试验另行达成补充协议的，承包人在缺陷责任期内向发包人支付相应违约金或按补充协议履行后，视为通过竣工后试验。</w:t>
      </w:r>
      <w:bookmarkEnd w:id="903"/>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2.4.2 </w:t>
      </w:r>
      <w:r>
        <w:rPr>
          <w:rFonts w:hint="eastAsia" w:ascii="仿宋_GB2312" w:eastAsia="仿宋_GB2312"/>
          <w:color w:val="auto"/>
          <w:szCs w:val="24"/>
        </w:rPr>
        <w:t>对未能通过竣工后试验的工程或区段工程，承包人可向发包人建议，由承包人对该工程或区段工程进行调整或修补。发包人收到建议后，可向承包人发出通知，指示其在发包人方便的合理时间进入工程或区段工程进行调查、调整或修补，并为承包人的进入提供方便。承包人提出建议，但未在缺陷责任期内收到上述发包人通知的，相关工程或区段工程应视为已通过该竣工后试验。</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2.4.3 </w:t>
      </w:r>
      <w:r>
        <w:rPr>
          <w:rFonts w:hint="eastAsia" w:ascii="仿宋_GB2312" w:eastAsia="仿宋_GB2312"/>
          <w:color w:val="auto"/>
          <w:szCs w:val="24"/>
        </w:rPr>
        <w:t>发包人无故拖延给予承包人进行调查、调整或修补所需的进入工程或区段工程的许可，并造成承包人费用增加的，应承担由此增加的费用并支付承包人合理利润。</w:t>
      </w:r>
    </w:p>
    <w:p>
      <w:pPr>
        <w:pStyle w:val="164"/>
        <w:numPr>
          <w:ilvl w:val="0"/>
          <w:numId w:val="0"/>
        </w:numPr>
        <w:wordWrap/>
        <w:topLinePunct w:val="0"/>
        <w:rPr>
          <w:b w:val="0"/>
          <w:bCs/>
          <w:color w:val="auto"/>
          <w:sz w:val="24"/>
          <w:szCs w:val="24"/>
        </w:rPr>
      </w:pPr>
      <w:bookmarkStart w:id="904" w:name="_Toc54862282"/>
      <w:bookmarkStart w:id="905" w:name="_Ref4415801"/>
      <w:r>
        <w:rPr>
          <w:rFonts w:hint="eastAsia"/>
          <w:b w:val="0"/>
          <w:bCs/>
          <w:color w:val="auto"/>
          <w:sz w:val="24"/>
          <w:szCs w:val="24"/>
        </w:rPr>
        <w:t>第1</w:t>
      </w:r>
      <w:r>
        <w:rPr>
          <w:b w:val="0"/>
          <w:bCs/>
          <w:color w:val="auto"/>
          <w:sz w:val="24"/>
          <w:szCs w:val="24"/>
        </w:rPr>
        <w:t>3</w:t>
      </w:r>
      <w:r>
        <w:rPr>
          <w:rFonts w:hint="eastAsia"/>
          <w:b w:val="0"/>
          <w:bCs/>
          <w:color w:val="auto"/>
          <w:sz w:val="24"/>
          <w:szCs w:val="24"/>
        </w:rPr>
        <w:t>条 变更与调整</w:t>
      </w:r>
      <w:bookmarkEnd w:id="904"/>
      <w:bookmarkEnd w:id="905"/>
    </w:p>
    <w:p>
      <w:pPr>
        <w:pStyle w:val="315"/>
        <w:widowControl/>
        <w:numPr>
          <w:ilvl w:val="0"/>
          <w:numId w:val="0"/>
        </w:numPr>
        <w:rPr>
          <w:b w:val="0"/>
          <w:bCs/>
          <w:color w:val="auto"/>
        </w:rPr>
      </w:pPr>
      <w:bookmarkStart w:id="906" w:name="_Ref532668573"/>
      <w:bookmarkStart w:id="907" w:name="_Ref532677087"/>
      <w:bookmarkStart w:id="908" w:name="_Ref532670395"/>
      <w:bookmarkStart w:id="909" w:name="_Ref532677084"/>
      <w:bookmarkStart w:id="910" w:name="_Toc54862283"/>
      <w:bookmarkStart w:id="911" w:name="_Ref532670393"/>
      <w:bookmarkStart w:id="912" w:name="_Ref532668569"/>
      <w:r>
        <w:rPr>
          <w:rFonts w:hint="eastAsia"/>
          <w:b w:val="0"/>
          <w:bCs/>
          <w:color w:val="auto"/>
        </w:rPr>
        <w:t>1</w:t>
      </w:r>
      <w:r>
        <w:rPr>
          <w:b w:val="0"/>
          <w:bCs/>
          <w:color w:val="auto"/>
        </w:rPr>
        <w:t xml:space="preserve">3.1 </w:t>
      </w:r>
      <w:r>
        <w:rPr>
          <w:rFonts w:hint="eastAsia"/>
          <w:b w:val="0"/>
          <w:bCs/>
          <w:color w:val="auto"/>
        </w:rPr>
        <w:t>发包人变更权</w:t>
      </w:r>
      <w:bookmarkEnd w:id="906"/>
      <w:bookmarkEnd w:id="907"/>
      <w:bookmarkEnd w:id="908"/>
      <w:bookmarkEnd w:id="909"/>
      <w:bookmarkEnd w:id="910"/>
      <w:bookmarkEnd w:id="911"/>
      <w:bookmarkEnd w:id="912"/>
      <w:r>
        <w:rPr>
          <w:rFonts w:hint="eastAsia"/>
          <w:b w:val="0"/>
          <w:bCs/>
          <w:color w:val="auto"/>
        </w:rPr>
        <w:t xml:space="preserve"> </w:t>
      </w:r>
    </w:p>
    <w:p>
      <w:pPr>
        <w:pStyle w:val="88"/>
        <w:numPr>
          <w:ilvl w:val="0"/>
          <w:numId w:val="0"/>
        </w:numPr>
        <w:rPr>
          <w:rFonts w:ascii="仿宋_GB2312" w:eastAsia="仿宋_GB2312"/>
          <w:color w:val="auto"/>
          <w:szCs w:val="24"/>
        </w:rPr>
      </w:pPr>
      <w:bookmarkStart w:id="913" w:name="_Ref4534979"/>
      <w:r>
        <w:rPr>
          <w:rFonts w:hint="eastAsia" w:ascii="仿宋_GB2312" w:eastAsia="仿宋_GB2312"/>
          <w:color w:val="auto"/>
          <w:szCs w:val="24"/>
        </w:rPr>
        <w:t>1</w:t>
      </w:r>
      <w:r>
        <w:rPr>
          <w:rFonts w:ascii="仿宋_GB2312" w:eastAsia="仿宋_GB2312"/>
          <w:color w:val="auto"/>
          <w:szCs w:val="24"/>
        </w:rPr>
        <w:t xml:space="preserve">3.1.1 </w:t>
      </w:r>
      <w:r>
        <w:rPr>
          <w:rFonts w:hint="eastAsia" w:ascii="仿宋_GB2312" w:eastAsia="仿宋_GB2312"/>
          <w:color w:val="auto"/>
          <w:szCs w:val="24"/>
        </w:rPr>
        <w:t>变更指示应经发包人同意，并由工程师发出经发包人签认的变更指示。除第</w:t>
      </w:r>
      <w:r>
        <w:rPr>
          <w:rFonts w:ascii="仿宋_GB2312" w:eastAsia="仿宋_GB2312"/>
          <w:color w:val="auto"/>
          <w:szCs w:val="24"/>
        </w:rPr>
        <w:t>11.3.6</w:t>
      </w:r>
      <w:r>
        <w:rPr>
          <w:rFonts w:hint="eastAsia" w:ascii="仿宋_GB2312" w:eastAsia="仿宋_GB2312"/>
          <w:color w:val="auto"/>
          <w:szCs w:val="24"/>
        </w:rPr>
        <w:t>项[未能修复]约定的情况外，变更不应包括准备将任何工作删减并交由他人或发包人自行实施的情况。承包人收到变更指示后，方可实施变更。未经许可，承包人不得擅自对工程的任何部分进行变更。</w:t>
      </w:r>
      <w:bookmarkEnd w:id="913"/>
      <w:r>
        <w:rPr>
          <w:rFonts w:hint="eastAsia" w:ascii="仿宋_GB2312" w:eastAsia="仿宋_GB2312"/>
          <w:color w:val="auto"/>
          <w:szCs w:val="24"/>
        </w:rPr>
        <w:t>发包人与承包人对某项指示或批准是否构成变更产生争议的，按第</w:t>
      </w:r>
      <w:r>
        <w:rPr>
          <w:rFonts w:ascii="仿宋_GB2312" w:eastAsia="仿宋_GB2312"/>
          <w:color w:val="auto"/>
          <w:szCs w:val="24"/>
        </w:rPr>
        <w:t>20条</w:t>
      </w:r>
      <w:r>
        <w:rPr>
          <w:rFonts w:hint="eastAsia" w:ascii="仿宋_GB2312" w:eastAsia="仿宋_GB2312"/>
          <w:color w:val="auto"/>
          <w:szCs w:val="24"/>
        </w:rPr>
        <w:t>[争议解决]处理。</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3.1.2 </w:t>
      </w:r>
      <w:r>
        <w:rPr>
          <w:rFonts w:hint="eastAsia" w:ascii="仿宋_GB2312" w:eastAsia="仿宋_GB2312"/>
          <w:color w:val="auto"/>
          <w:szCs w:val="24"/>
        </w:rPr>
        <w:t>承包人应按照变更指示执行，除非承包人及时向工程师发出通知，说明该项变更指示将降低工程的安全性、稳定性或适用性；涉及的工作内容和范围不可预见；所涉设备难以采购；导致承包人无法执行第</w:t>
      </w:r>
      <w:r>
        <w:rPr>
          <w:rFonts w:ascii="仿宋_GB2312" w:eastAsia="仿宋_GB2312"/>
          <w:color w:val="auto"/>
          <w:szCs w:val="24"/>
        </w:rPr>
        <w:t>7.5</w:t>
      </w:r>
      <w:r>
        <w:rPr>
          <w:rFonts w:hint="eastAsia" w:ascii="仿宋_GB2312" w:eastAsia="仿宋_GB2312"/>
          <w:color w:val="auto"/>
          <w:szCs w:val="24"/>
        </w:rPr>
        <w:t>款[现场劳动用工]、第7</w:t>
      </w:r>
      <w:r>
        <w:rPr>
          <w:rFonts w:ascii="仿宋_GB2312" w:eastAsia="仿宋_GB2312"/>
          <w:color w:val="auto"/>
          <w:szCs w:val="24"/>
        </w:rPr>
        <w:t>.6</w:t>
      </w:r>
      <w:r>
        <w:rPr>
          <w:rFonts w:hint="eastAsia" w:ascii="仿宋_GB2312" w:eastAsia="仿宋_GB2312"/>
          <w:color w:val="auto"/>
          <w:szCs w:val="24"/>
        </w:rPr>
        <w:t>款[安全文明施工</w:t>
      </w:r>
      <w:r>
        <w:rPr>
          <w:rFonts w:ascii="仿宋_GB2312" w:eastAsia="仿宋_GB2312"/>
          <w:color w:val="auto"/>
          <w:szCs w:val="24"/>
        </w:rPr>
        <w:t>]</w:t>
      </w:r>
      <w:r>
        <w:rPr>
          <w:rFonts w:hint="eastAsia" w:ascii="仿宋_GB2312" w:eastAsia="仿宋_GB2312"/>
          <w:color w:val="auto"/>
          <w:szCs w:val="24"/>
        </w:rPr>
        <w:t>、第</w:t>
      </w:r>
      <w:r>
        <w:rPr>
          <w:rFonts w:ascii="仿宋_GB2312" w:eastAsia="仿宋_GB2312"/>
          <w:color w:val="auto"/>
          <w:szCs w:val="24"/>
        </w:rPr>
        <w:t>7.7</w:t>
      </w:r>
      <w:r>
        <w:rPr>
          <w:rFonts w:hint="eastAsia" w:ascii="仿宋_GB2312" w:eastAsia="仿宋_GB2312"/>
          <w:color w:val="auto"/>
          <w:szCs w:val="24"/>
        </w:rPr>
        <w:t>款[</w:t>
      </w:r>
      <w:r>
        <w:rPr>
          <w:rFonts w:ascii="仿宋_GB2312" w:eastAsia="仿宋_GB2312"/>
          <w:color w:val="auto"/>
          <w:szCs w:val="24"/>
        </w:rPr>
        <w:t>职业健康]</w:t>
      </w:r>
      <w:r>
        <w:rPr>
          <w:rFonts w:hint="eastAsia" w:ascii="仿宋_GB2312" w:eastAsia="仿宋_GB2312"/>
          <w:color w:val="auto"/>
          <w:szCs w:val="24"/>
        </w:rPr>
        <w:t>或第</w:t>
      </w:r>
      <w:r>
        <w:rPr>
          <w:rFonts w:ascii="仿宋_GB2312" w:eastAsia="仿宋_GB2312"/>
          <w:color w:val="auto"/>
          <w:szCs w:val="24"/>
        </w:rPr>
        <w:t>7.8</w:t>
      </w:r>
      <w:r>
        <w:rPr>
          <w:rFonts w:hint="eastAsia" w:ascii="仿宋_GB2312" w:eastAsia="仿宋_GB2312"/>
          <w:color w:val="auto"/>
          <w:szCs w:val="24"/>
        </w:rPr>
        <w:t>款[环境保护</w:t>
      </w:r>
      <w:r>
        <w:rPr>
          <w:rFonts w:ascii="仿宋_GB2312" w:eastAsia="仿宋_GB2312"/>
          <w:color w:val="auto"/>
          <w:szCs w:val="24"/>
        </w:rPr>
        <w:t>]</w:t>
      </w:r>
      <w:r>
        <w:rPr>
          <w:rFonts w:hint="eastAsia" w:ascii="仿宋_GB2312" w:eastAsia="仿宋_GB2312"/>
          <w:color w:val="auto"/>
          <w:szCs w:val="24"/>
        </w:rPr>
        <w:t>内容；将造成工期延误；与第</w:t>
      </w:r>
      <w:r>
        <w:rPr>
          <w:rFonts w:ascii="仿宋_GB2312" w:eastAsia="仿宋_GB2312"/>
          <w:color w:val="auto"/>
          <w:szCs w:val="24"/>
        </w:rPr>
        <w:t>4.1</w:t>
      </w:r>
      <w:r>
        <w:rPr>
          <w:rFonts w:hint="eastAsia" w:ascii="仿宋_GB2312" w:eastAsia="仿宋_GB2312"/>
          <w:color w:val="auto"/>
          <w:szCs w:val="24"/>
        </w:rPr>
        <w:t>款[</w:t>
      </w:r>
      <w:r>
        <w:rPr>
          <w:rFonts w:ascii="仿宋_GB2312" w:eastAsia="仿宋_GB2312"/>
          <w:color w:val="auto"/>
          <w:szCs w:val="24"/>
        </w:rPr>
        <w:t>承包人的一般义务]</w:t>
      </w:r>
      <w:r>
        <w:rPr>
          <w:rFonts w:hint="eastAsia" w:ascii="仿宋_GB2312" w:eastAsia="仿宋_GB2312"/>
          <w:color w:val="auto"/>
          <w:szCs w:val="24"/>
        </w:rPr>
        <w:t>相冲突等无法执行的理由。工程师接到承包人的通知后，应作出经发包人签认的取消、确认或改变原指示的书面回复。</w:t>
      </w:r>
    </w:p>
    <w:p>
      <w:pPr>
        <w:pStyle w:val="315"/>
        <w:widowControl/>
        <w:numPr>
          <w:ilvl w:val="0"/>
          <w:numId w:val="0"/>
        </w:numPr>
        <w:rPr>
          <w:b w:val="0"/>
          <w:bCs/>
          <w:color w:val="auto"/>
        </w:rPr>
      </w:pPr>
      <w:bookmarkStart w:id="914" w:name="_Ref531955590"/>
      <w:bookmarkStart w:id="915" w:name="_Ref531955587"/>
      <w:bookmarkStart w:id="916" w:name="_Toc54862284"/>
      <w:bookmarkStart w:id="917" w:name="_Ref4623207"/>
      <w:r>
        <w:rPr>
          <w:rFonts w:hint="eastAsia"/>
          <w:b w:val="0"/>
          <w:bCs/>
          <w:color w:val="auto"/>
        </w:rPr>
        <w:t>1</w:t>
      </w:r>
      <w:r>
        <w:rPr>
          <w:b w:val="0"/>
          <w:bCs/>
          <w:color w:val="auto"/>
        </w:rPr>
        <w:t xml:space="preserve">3.2 </w:t>
      </w:r>
      <w:r>
        <w:rPr>
          <w:rFonts w:hint="eastAsia"/>
          <w:b w:val="0"/>
          <w:bCs/>
          <w:color w:val="auto"/>
        </w:rPr>
        <w:t>承</w:t>
      </w:r>
      <w:bookmarkEnd w:id="914"/>
      <w:bookmarkEnd w:id="915"/>
      <w:r>
        <w:rPr>
          <w:rFonts w:hint="eastAsia"/>
          <w:b w:val="0"/>
          <w:bCs/>
          <w:color w:val="auto"/>
        </w:rPr>
        <w:t>包人的合理化建议</w:t>
      </w:r>
      <w:bookmarkEnd w:id="916"/>
      <w:bookmarkEnd w:id="917"/>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3.2.1 </w:t>
      </w:r>
      <w:r>
        <w:rPr>
          <w:rFonts w:hint="eastAsia" w:ascii="仿宋_GB2312" w:eastAsia="仿宋_GB2312"/>
          <w:color w:val="auto"/>
          <w:szCs w:val="24"/>
        </w:rPr>
        <w:t>承包人提出合理化建议的，应向工程师提交合理化建议说明，说明建议的内容、理由以及实施该建议对合同价格和工期的影响。</w:t>
      </w:r>
    </w:p>
    <w:p>
      <w:pPr>
        <w:pStyle w:val="88"/>
        <w:numPr>
          <w:ilvl w:val="0"/>
          <w:numId w:val="0"/>
        </w:numPr>
        <w:rPr>
          <w:rFonts w:ascii="仿宋_GB2312" w:eastAsia="仿宋_GB2312"/>
          <w:color w:val="auto"/>
          <w:szCs w:val="24"/>
        </w:rPr>
      </w:pPr>
      <w:bookmarkStart w:id="918" w:name="_Ref4681686"/>
      <w:r>
        <w:rPr>
          <w:rFonts w:hint="eastAsia" w:ascii="仿宋_GB2312" w:eastAsia="仿宋_GB2312"/>
          <w:color w:val="auto"/>
          <w:szCs w:val="24"/>
        </w:rPr>
        <w:t>1</w:t>
      </w:r>
      <w:r>
        <w:rPr>
          <w:rFonts w:ascii="仿宋_GB2312" w:eastAsia="仿宋_GB2312"/>
          <w:color w:val="auto"/>
          <w:szCs w:val="24"/>
        </w:rPr>
        <w:t xml:space="preserve">3.2.2 </w:t>
      </w:r>
      <w:r>
        <w:rPr>
          <w:rFonts w:hint="eastAsia" w:ascii="仿宋_GB2312" w:eastAsia="仿宋_GB2312"/>
          <w:color w:val="auto"/>
          <w:szCs w:val="24"/>
        </w:rPr>
        <w:t>除专用合同条件另有约定外，</w:t>
      </w:r>
      <w:bookmarkStart w:id="919" w:name="_Hlk4682273"/>
      <w:r>
        <w:rPr>
          <w:rFonts w:hint="eastAsia" w:ascii="仿宋_GB2312" w:eastAsia="仿宋_GB2312"/>
          <w:color w:val="auto"/>
          <w:szCs w:val="24"/>
        </w:rPr>
        <w:t>工程师应在收到承包人提交的合理化建议后7天内审查完毕并报送发包人，发现其中存在技术上的缺陷，应通知承包人修改。发包人应在收到工程师报送的合理化建议后7天内审批完毕。合理化建议经发包人批准的，工程师应及时发出变更指示，由此引起的合同价格调整按照第</w:t>
      </w:r>
      <w:r>
        <w:rPr>
          <w:rFonts w:ascii="仿宋_GB2312" w:eastAsia="仿宋_GB2312"/>
          <w:color w:val="auto"/>
          <w:szCs w:val="24"/>
        </w:rPr>
        <w:t>13.3.3</w:t>
      </w:r>
      <w:r>
        <w:rPr>
          <w:rFonts w:hint="eastAsia" w:ascii="仿宋_GB2312" w:eastAsia="仿宋_GB2312"/>
          <w:color w:val="auto"/>
          <w:szCs w:val="24"/>
        </w:rPr>
        <w:t>项[</w:t>
      </w:r>
      <w:r>
        <w:rPr>
          <w:rFonts w:ascii="仿宋_GB2312" w:eastAsia="仿宋_GB2312"/>
          <w:color w:val="auto"/>
          <w:szCs w:val="24"/>
        </w:rPr>
        <w:t>变更估价</w:t>
      </w:r>
      <w:r>
        <w:rPr>
          <w:rFonts w:hint="eastAsia" w:ascii="仿宋_GB2312" w:eastAsia="仿宋_GB2312"/>
          <w:color w:val="auto"/>
          <w:szCs w:val="24"/>
        </w:rPr>
        <w:t>]约定执行。发包人不同意变更的，工程师应书面通知承包人</w:t>
      </w:r>
      <w:bookmarkEnd w:id="918"/>
      <w:r>
        <w:rPr>
          <w:rFonts w:hint="eastAsia" w:ascii="仿宋_GB2312" w:eastAsia="仿宋_GB2312"/>
          <w:color w:val="auto"/>
          <w:szCs w:val="24"/>
        </w:rPr>
        <w:t>。</w:t>
      </w:r>
    </w:p>
    <w:p>
      <w:pPr>
        <w:pStyle w:val="88"/>
        <w:numPr>
          <w:ilvl w:val="0"/>
          <w:numId w:val="0"/>
        </w:numPr>
        <w:rPr>
          <w:rFonts w:ascii="仿宋_GB2312" w:eastAsia="仿宋_GB2312"/>
          <w:color w:val="auto"/>
          <w:szCs w:val="24"/>
        </w:rPr>
      </w:pPr>
      <w:r>
        <w:rPr>
          <w:rFonts w:ascii="仿宋_GB2312" w:eastAsia="仿宋_GB2312"/>
          <w:color w:val="auto"/>
          <w:szCs w:val="24"/>
        </w:rPr>
        <w:t xml:space="preserve">13.2.3 </w:t>
      </w:r>
      <w:r>
        <w:rPr>
          <w:rFonts w:hint="eastAsia" w:ascii="仿宋_GB2312" w:eastAsia="仿宋_GB2312"/>
          <w:color w:val="auto"/>
          <w:szCs w:val="24"/>
        </w:rPr>
        <w:t>合理化建议降低了合同价格、缩短了工期或者提高了工程经济效益的，双方可以按照专用合同条件的约定进行利益分享。</w:t>
      </w:r>
    </w:p>
    <w:bookmarkEnd w:id="919"/>
    <w:p>
      <w:pPr>
        <w:pStyle w:val="315"/>
        <w:widowControl/>
        <w:numPr>
          <w:ilvl w:val="0"/>
          <w:numId w:val="0"/>
        </w:numPr>
        <w:rPr>
          <w:b w:val="0"/>
          <w:bCs/>
          <w:color w:val="auto"/>
        </w:rPr>
      </w:pPr>
      <w:bookmarkStart w:id="920" w:name="_Ref532671480"/>
      <w:bookmarkStart w:id="921" w:name="_Ref532671484"/>
      <w:bookmarkStart w:id="922" w:name="_Ref532669305"/>
      <w:bookmarkStart w:id="923" w:name="_Ref532673541"/>
      <w:bookmarkStart w:id="924" w:name="_Ref532673538"/>
      <w:bookmarkStart w:id="925" w:name="_Toc54862285"/>
      <w:bookmarkStart w:id="926" w:name="_Ref532669302"/>
      <w:r>
        <w:rPr>
          <w:rFonts w:hint="eastAsia"/>
          <w:b w:val="0"/>
          <w:bCs/>
          <w:color w:val="auto"/>
        </w:rPr>
        <w:t>1</w:t>
      </w:r>
      <w:r>
        <w:rPr>
          <w:b w:val="0"/>
          <w:bCs/>
          <w:color w:val="auto"/>
        </w:rPr>
        <w:t xml:space="preserve">3.3 </w:t>
      </w:r>
      <w:r>
        <w:rPr>
          <w:rFonts w:hint="eastAsia"/>
          <w:b w:val="0"/>
          <w:bCs/>
          <w:color w:val="auto"/>
        </w:rPr>
        <w:t>变更程序</w:t>
      </w:r>
      <w:bookmarkEnd w:id="920"/>
      <w:bookmarkEnd w:id="921"/>
      <w:bookmarkEnd w:id="922"/>
      <w:bookmarkEnd w:id="923"/>
      <w:bookmarkEnd w:id="924"/>
      <w:bookmarkEnd w:id="925"/>
      <w:bookmarkEnd w:id="926"/>
    </w:p>
    <w:p>
      <w:pPr>
        <w:pStyle w:val="88"/>
        <w:numPr>
          <w:ilvl w:val="0"/>
          <w:numId w:val="0"/>
        </w:numPr>
        <w:rPr>
          <w:rFonts w:ascii="仿宋_GB2312" w:eastAsia="仿宋_GB2312"/>
          <w:color w:val="auto"/>
          <w:szCs w:val="24"/>
        </w:rPr>
      </w:pPr>
      <w:bookmarkStart w:id="927" w:name="_Ref4534600"/>
      <w:r>
        <w:rPr>
          <w:rFonts w:hint="eastAsia" w:ascii="仿宋_GB2312" w:eastAsia="仿宋_GB2312"/>
          <w:color w:val="auto"/>
          <w:szCs w:val="24"/>
        </w:rPr>
        <w:t>1</w:t>
      </w:r>
      <w:r>
        <w:rPr>
          <w:rFonts w:ascii="仿宋_GB2312" w:eastAsia="仿宋_GB2312"/>
          <w:color w:val="auto"/>
          <w:szCs w:val="24"/>
        </w:rPr>
        <w:t xml:space="preserve">3.3.1 </w:t>
      </w:r>
      <w:r>
        <w:rPr>
          <w:rFonts w:hint="eastAsia" w:ascii="仿宋_GB2312" w:eastAsia="仿宋_GB2312"/>
          <w:color w:val="auto"/>
          <w:szCs w:val="24"/>
        </w:rPr>
        <w:t>发包人提出变更</w:t>
      </w:r>
      <w:bookmarkEnd w:id="927"/>
    </w:p>
    <w:p>
      <w:pPr>
        <w:ind w:firstLine="600"/>
        <w:rPr>
          <w:rFonts w:ascii="仿宋_GB2312" w:eastAsia="仿宋_GB2312"/>
          <w:color w:val="auto"/>
          <w:sz w:val="24"/>
        </w:rPr>
      </w:pPr>
      <w:r>
        <w:rPr>
          <w:rFonts w:hint="eastAsia" w:ascii="仿宋_GB2312" w:eastAsia="仿宋_GB2312"/>
          <w:color w:val="auto"/>
          <w:sz w:val="24"/>
        </w:rPr>
        <w:t>发包人提出变更的，应通过工程师向承包人发出书面形式的变更指示，变更指示应说明计划变更的工程范围和变更的内容。</w:t>
      </w:r>
    </w:p>
    <w:p>
      <w:pPr>
        <w:pStyle w:val="88"/>
        <w:numPr>
          <w:ilvl w:val="0"/>
          <w:numId w:val="0"/>
        </w:numPr>
        <w:rPr>
          <w:rFonts w:ascii="仿宋_GB2312" w:eastAsia="仿宋_GB2312"/>
          <w:color w:val="auto"/>
          <w:szCs w:val="24"/>
        </w:rPr>
      </w:pPr>
      <w:bookmarkStart w:id="928" w:name="_Ref4534617"/>
      <w:r>
        <w:rPr>
          <w:rFonts w:hint="eastAsia" w:ascii="仿宋_GB2312" w:eastAsia="仿宋_GB2312"/>
          <w:color w:val="auto"/>
          <w:szCs w:val="24"/>
        </w:rPr>
        <w:t>1</w:t>
      </w:r>
      <w:r>
        <w:rPr>
          <w:rFonts w:ascii="仿宋_GB2312" w:eastAsia="仿宋_GB2312"/>
          <w:color w:val="auto"/>
          <w:szCs w:val="24"/>
        </w:rPr>
        <w:t xml:space="preserve">3.3.2 </w:t>
      </w:r>
      <w:r>
        <w:rPr>
          <w:rFonts w:hint="eastAsia" w:ascii="仿宋_GB2312" w:eastAsia="仿宋_GB2312"/>
          <w:color w:val="auto"/>
          <w:szCs w:val="24"/>
        </w:rPr>
        <w:t>变更执行</w:t>
      </w:r>
      <w:bookmarkEnd w:id="928"/>
    </w:p>
    <w:p>
      <w:pPr>
        <w:ind w:firstLine="600"/>
        <w:rPr>
          <w:rFonts w:ascii="仿宋_GB2312" w:eastAsia="仿宋_GB2312"/>
          <w:color w:val="auto"/>
          <w:sz w:val="24"/>
        </w:rPr>
      </w:pPr>
      <w:r>
        <w:rPr>
          <w:rFonts w:hint="eastAsia" w:ascii="仿宋_GB2312" w:eastAsia="仿宋_GB2312"/>
          <w:color w:val="auto"/>
          <w:sz w:val="24"/>
        </w:rPr>
        <w:t>承包人收到工程师下达的变更指示后，认为不能执行，应在合理期限内提出不能执行该变更指示的理由。承包人认为可以执行变更的，应当书面说明实施该变更指示需要采取的具体措施及对合同价格和工期的影响，且合同当事人应当按照第</w:t>
      </w:r>
      <w:r>
        <w:rPr>
          <w:rFonts w:ascii="仿宋_GB2312" w:eastAsia="仿宋_GB2312"/>
          <w:color w:val="auto"/>
          <w:sz w:val="24"/>
        </w:rPr>
        <w:t>13.3.3</w:t>
      </w:r>
      <w:r>
        <w:rPr>
          <w:rFonts w:hint="eastAsia" w:ascii="仿宋_GB2312" w:eastAsia="仿宋_GB2312"/>
          <w:color w:val="auto"/>
          <w:sz w:val="24"/>
        </w:rPr>
        <w:t>项[变更估价]约定确定变更估价。</w:t>
      </w:r>
    </w:p>
    <w:p>
      <w:pPr>
        <w:pStyle w:val="88"/>
        <w:numPr>
          <w:ilvl w:val="0"/>
          <w:numId w:val="0"/>
        </w:numPr>
        <w:rPr>
          <w:rFonts w:ascii="仿宋_GB2312" w:eastAsia="仿宋_GB2312"/>
          <w:color w:val="auto"/>
          <w:szCs w:val="24"/>
        </w:rPr>
      </w:pPr>
      <w:bookmarkStart w:id="929" w:name="_Ref3835481"/>
      <w:r>
        <w:rPr>
          <w:rFonts w:hint="eastAsia" w:ascii="仿宋_GB2312" w:eastAsia="仿宋_GB2312"/>
          <w:color w:val="auto"/>
          <w:szCs w:val="24"/>
        </w:rPr>
        <w:t>1</w:t>
      </w:r>
      <w:r>
        <w:rPr>
          <w:rFonts w:ascii="仿宋_GB2312" w:eastAsia="仿宋_GB2312"/>
          <w:color w:val="auto"/>
          <w:szCs w:val="24"/>
        </w:rPr>
        <w:t xml:space="preserve">3.3.3 </w:t>
      </w:r>
      <w:r>
        <w:rPr>
          <w:rFonts w:hint="eastAsia" w:ascii="仿宋_GB2312" w:eastAsia="仿宋_GB2312"/>
          <w:color w:val="auto"/>
          <w:szCs w:val="24"/>
        </w:rPr>
        <w:t>变更估价</w:t>
      </w:r>
      <w:bookmarkEnd w:id="929"/>
    </w:p>
    <w:p>
      <w:pPr>
        <w:pStyle w:val="249"/>
        <w:widowControl/>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3.3.3.1 </w:t>
      </w:r>
      <w:r>
        <w:rPr>
          <w:rFonts w:hint="eastAsia" w:ascii="仿宋_GB2312" w:eastAsia="仿宋_GB2312"/>
          <w:color w:val="auto"/>
          <w:szCs w:val="24"/>
        </w:rPr>
        <w:t>变更估价原则</w:t>
      </w:r>
    </w:p>
    <w:p>
      <w:pPr>
        <w:ind w:firstLine="600"/>
        <w:rPr>
          <w:rFonts w:ascii="仿宋_GB2312" w:eastAsia="仿宋_GB2312"/>
          <w:color w:val="auto"/>
          <w:sz w:val="24"/>
        </w:rPr>
      </w:pPr>
      <w:r>
        <w:rPr>
          <w:rFonts w:hint="eastAsia" w:ascii="仿宋_GB2312" w:eastAsia="仿宋_GB2312"/>
          <w:color w:val="auto"/>
          <w:sz w:val="24"/>
        </w:rPr>
        <w:t>除专用合同条件另有约定外，变更估价按照本款约定处理：</w:t>
      </w:r>
    </w:p>
    <w:p>
      <w:pPr>
        <w:ind w:firstLine="600"/>
        <w:rPr>
          <w:rFonts w:ascii="仿宋_GB2312" w:eastAsia="仿宋_GB2312"/>
          <w:color w:val="auto"/>
          <w:sz w:val="24"/>
        </w:rPr>
      </w:pPr>
      <w:r>
        <w:rPr>
          <w:rFonts w:hint="eastAsia" w:ascii="仿宋_GB2312" w:eastAsia="仿宋_GB2312"/>
          <w:color w:val="auto"/>
          <w:sz w:val="24"/>
        </w:rPr>
        <w:t>（1） 合同中未包含价格清单，合同价格应按照所执行的变更工程的成本加利润调整；</w:t>
      </w:r>
    </w:p>
    <w:p>
      <w:pPr>
        <w:ind w:firstLine="600"/>
        <w:rPr>
          <w:rFonts w:ascii="仿宋_GB2312" w:eastAsia="仿宋_GB2312"/>
          <w:color w:val="auto"/>
          <w:sz w:val="24"/>
        </w:rPr>
      </w:pPr>
      <w:r>
        <w:rPr>
          <w:rFonts w:hint="eastAsia" w:ascii="仿宋_GB2312" w:eastAsia="仿宋_GB2312"/>
          <w:color w:val="auto"/>
          <w:sz w:val="24"/>
        </w:rPr>
        <w:t>（2） 合同中包含价格清单，合同价格按照如下规则调整：</w:t>
      </w:r>
    </w:p>
    <w:p>
      <w:pPr>
        <w:ind w:firstLine="600"/>
        <w:rPr>
          <w:rFonts w:ascii="仿宋_GB2312" w:eastAsia="仿宋_GB2312"/>
          <w:color w:val="auto"/>
          <w:sz w:val="24"/>
        </w:rPr>
      </w:pPr>
      <w:r>
        <w:rPr>
          <w:rFonts w:hint="eastAsia" w:ascii="仿宋_GB2312" w:eastAsia="仿宋_GB2312"/>
          <w:color w:val="auto"/>
          <w:sz w:val="24"/>
        </w:rPr>
        <w:t>1） 价格清单中有适用于变更工程项目的，应采用该项目的费率和价格；</w:t>
      </w:r>
    </w:p>
    <w:p>
      <w:pPr>
        <w:ind w:firstLine="600"/>
        <w:rPr>
          <w:rFonts w:ascii="仿宋_GB2312" w:eastAsia="仿宋_GB2312"/>
          <w:color w:val="auto"/>
          <w:sz w:val="24"/>
        </w:rPr>
      </w:pPr>
      <w:r>
        <w:rPr>
          <w:rFonts w:hint="eastAsia" w:ascii="仿宋_GB2312" w:eastAsia="仿宋_GB2312"/>
          <w:color w:val="auto"/>
          <w:sz w:val="24"/>
        </w:rPr>
        <w:t>2） 价格清单中没有适用但有类似于变更工程项目的，可在合理范围内参照类似项目的费率或价格；</w:t>
      </w:r>
    </w:p>
    <w:p>
      <w:pPr>
        <w:ind w:firstLine="600"/>
        <w:rPr>
          <w:rFonts w:ascii="仿宋_GB2312" w:eastAsia="仿宋_GB2312"/>
          <w:color w:val="auto"/>
          <w:sz w:val="24"/>
        </w:rPr>
      </w:pPr>
      <w:r>
        <w:rPr>
          <w:rFonts w:hint="eastAsia" w:ascii="仿宋_GB2312" w:eastAsia="仿宋_GB2312"/>
          <w:color w:val="auto"/>
          <w:sz w:val="24"/>
        </w:rPr>
        <w:t>3） 价格清单中没有适用也没有类似于变更工程项目的，该工程项目应按成本加利润原则调整适用新的费率或价格。</w:t>
      </w:r>
    </w:p>
    <w:p>
      <w:pPr>
        <w:pStyle w:val="249"/>
        <w:widowControl/>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3.3.</w:t>
      </w:r>
      <w:r>
        <w:rPr>
          <w:rFonts w:hint="eastAsia" w:ascii="仿宋_GB2312" w:eastAsia="仿宋_GB2312"/>
          <w:color w:val="auto"/>
          <w:szCs w:val="24"/>
        </w:rPr>
        <w:t>3</w:t>
      </w:r>
      <w:r>
        <w:rPr>
          <w:rFonts w:ascii="仿宋_GB2312" w:eastAsia="仿宋_GB2312"/>
          <w:color w:val="auto"/>
          <w:szCs w:val="24"/>
        </w:rPr>
        <w:t xml:space="preserve">.2 </w:t>
      </w:r>
      <w:r>
        <w:rPr>
          <w:rFonts w:hint="eastAsia" w:ascii="仿宋_GB2312" w:eastAsia="仿宋_GB2312"/>
          <w:color w:val="auto"/>
          <w:szCs w:val="24"/>
        </w:rPr>
        <w:t>变更估价程序</w:t>
      </w:r>
    </w:p>
    <w:p>
      <w:pPr>
        <w:ind w:firstLine="600"/>
        <w:rPr>
          <w:rFonts w:ascii="仿宋_GB2312" w:eastAsia="仿宋_GB2312"/>
          <w:color w:val="auto"/>
          <w:sz w:val="24"/>
        </w:rPr>
      </w:pPr>
      <w:bookmarkStart w:id="930" w:name="_Ref531955607"/>
      <w:bookmarkStart w:id="931" w:name="_Ref531955605"/>
      <w:bookmarkStart w:id="932" w:name="_Toc337558844"/>
      <w:bookmarkStart w:id="933" w:name="_Toc296503150"/>
      <w:bookmarkStart w:id="934" w:name="_Toc296346651"/>
      <w:r>
        <w:rPr>
          <w:rFonts w:hint="eastAsia" w:ascii="仿宋_GB2312" w:eastAsia="仿宋_GB2312"/>
          <w:color w:val="auto"/>
          <w:sz w:val="24"/>
        </w:rPr>
        <w:t>承包人应在收到变更指示后14天内，向工程师提交变更估价申请。工程师应在收到承包人提交的变更估价申请后7天内审查完毕并报送发包人，工程师对变更估价申请有异议，通知承包人修改后重新提交。发包人应在承包人提交变更估价申请后14天内审批完毕。发包人逾期未完成审批或未提出异议的，视为认可承包人提交的变更估价申请。</w:t>
      </w:r>
    </w:p>
    <w:p>
      <w:pPr>
        <w:ind w:firstLine="600"/>
        <w:rPr>
          <w:rFonts w:ascii="仿宋_GB2312" w:eastAsia="仿宋_GB2312"/>
          <w:color w:val="auto"/>
          <w:sz w:val="24"/>
        </w:rPr>
      </w:pPr>
      <w:r>
        <w:rPr>
          <w:rFonts w:hint="eastAsia" w:ascii="仿宋_GB2312" w:eastAsia="仿宋_GB2312"/>
          <w:color w:val="auto"/>
          <w:sz w:val="24"/>
        </w:rPr>
        <w:t>因变更引起的价格调整应计入最近一期的进度款中支付。</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3.3.4 </w:t>
      </w:r>
      <w:r>
        <w:rPr>
          <w:rFonts w:hint="eastAsia" w:ascii="仿宋_GB2312" w:eastAsia="仿宋_GB2312"/>
          <w:color w:val="auto"/>
          <w:szCs w:val="24"/>
        </w:rPr>
        <w:t>变更引起的工期调整</w:t>
      </w:r>
    </w:p>
    <w:p>
      <w:pPr>
        <w:ind w:firstLine="600"/>
        <w:rPr>
          <w:rFonts w:ascii="仿宋_GB2312" w:eastAsia="仿宋_GB2312"/>
          <w:color w:val="auto"/>
          <w:sz w:val="24"/>
        </w:rPr>
      </w:pPr>
      <w:r>
        <w:rPr>
          <w:rFonts w:hint="eastAsia" w:ascii="仿宋_GB2312" w:eastAsia="仿宋_GB2312"/>
          <w:color w:val="auto"/>
          <w:sz w:val="24"/>
        </w:rPr>
        <w:t>因变更引起工期变化的，合同当事人均可要求调整合同工期，由合同当事人按照第</w:t>
      </w:r>
      <w:r>
        <w:rPr>
          <w:rFonts w:ascii="仿宋_GB2312" w:eastAsia="仿宋_GB2312"/>
          <w:color w:val="auto"/>
          <w:sz w:val="24"/>
        </w:rPr>
        <w:t>3.6</w:t>
      </w:r>
      <w:r>
        <w:rPr>
          <w:rFonts w:hint="eastAsia" w:ascii="仿宋_GB2312" w:eastAsia="仿宋_GB2312"/>
          <w:color w:val="auto"/>
          <w:sz w:val="24"/>
        </w:rPr>
        <w:t>款[商定或确定]并参考工程所在地的工期定额标准确定增减工期天数。</w:t>
      </w:r>
    </w:p>
    <w:p>
      <w:pPr>
        <w:pStyle w:val="315"/>
        <w:widowControl/>
        <w:numPr>
          <w:ilvl w:val="0"/>
          <w:numId w:val="0"/>
        </w:numPr>
        <w:rPr>
          <w:b w:val="0"/>
          <w:bCs/>
          <w:color w:val="auto"/>
        </w:rPr>
      </w:pPr>
      <w:bookmarkStart w:id="935" w:name="_Toc54862286"/>
      <w:bookmarkStart w:id="936" w:name="_Ref4431237"/>
      <w:r>
        <w:rPr>
          <w:rFonts w:hint="eastAsia"/>
          <w:b w:val="0"/>
          <w:bCs/>
          <w:color w:val="auto"/>
        </w:rPr>
        <w:t>1</w:t>
      </w:r>
      <w:r>
        <w:rPr>
          <w:b w:val="0"/>
          <w:bCs/>
          <w:color w:val="auto"/>
        </w:rPr>
        <w:t xml:space="preserve">3.4 </w:t>
      </w:r>
      <w:r>
        <w:rPr>
          <w:rFonts w:hint="eastAsia"/>
          <w:b w:val="0"/>
          <w:bCs/>
          <w:color w:val="auto"/>
        </w:rPr>
        <w:t>暂估价</w:t>
      </w:r>
      <w:bookmarkEnd w:id="935"/>
      <w:bookmarkEnd w:id="936"/>
    </w:p>
    <w:p>
      <w:pPr>
        <w:pStyle w:val="88"/>
        <w:numPr>
          <w:ilvl w:val="0"/>
          <w:numId w:val="0"/>
        </w:numPr>
        <w:rPr>
          <w:rFonts w:ascii="仿宋_GB2312" w:eastAsia="仿宋_GB2312"/>
          <w:color w:val="auto"/>
          <w:szCs w:val="24"/>
        </w:rPr>
      </w:pPr>
      <w:bookmarkStart w:id="937" w:name="_Ref4616729"/>
      <w:r>
        <w:rPr>
          <w:rFonts w:hint="eastAsia" w:ascii="仿宋_GB2312" w:eastAsia="仿宋_GB2312"/>
          <w:color w:val="auto"/>
          <w:szCs w:val="24"/>
        </w:rPr>
        <w:t>1</w:t>
      </w:r>
      <w:r>
        <w:rPr>
          <w:rFonts w:ascii="仿宋_GB2312" w:eastAsia="仿宋_GB2312"/>
          <w:color w:val="auto"/>
          <w:szCs w:val="24"/>
        </w:rPr>
        <w:t xml:space="preserve">3.4.1 </w:t>
      </w:r>
      <w:r>
        <w:rPr>
          <w:rFonts w:hint="eastAsia" w:ascii="仿宋_GB2312" w:eastAsia="仿宋_GB2312"/>
          <w:color w:val="auto"/>
          <w:szCs w:val="24"/>
        </w:rPr>
        <w:t>依法必须招标的暂估价项目</w:t>
      </w:r>
      <w:bookmarkEnd w:id="937"/>
    </w:p>
    <w:p>
      <w:pPr>
        <w:ind w:firstLine="600"/>
        <w:rPr>
          <w:rFonts w:ascii="仿宋_GB2312" w:eastAsia="仿宋_GB2312"/>
          <w:color w:val="auto"/>
          <w:sz w:val="24"/>
        </w:rPr>
      </w:pPr>
      <w:r>
        <w:rPr>
          <w:rFonts w:hint="eastAsia" w:ascii="仿宋_GB2312" w:eastAsia="仿宋_GB2312"/>
          <w:color w:val="auto"/>
          <w:sz w:val="24"/>
        </w:rPr>
        <w:t>对于依法必须招标的暂估价项目，专用合同条件约定由承包人作为招标人的，招标文件、评标方案、评标结果应报送发包人批准。与组织招标工作有关的费用应当被认为已经包括在承包人的签约合同价中。</w:t>
      </w:r>
    </w:p>
    <w:p>
      <w:pPr>
        <w:pStyle w:val="154"/>
        <w:numPr>
          <w:ilvl w:val="0"/>
          <w:numId w:val="0"/>
        </w:numPr>
        <w:ind w:firstLine="480" w:firstLineChars="200"/>
        <w:rPr>
          <w:rFonts w:ascii="仿宋_GB2312" w:eastAsia="仿宋_GB2312"/>
          <w:color w:val="auto"/>
          <w:szCs w:val="24"/>
        </w:rPr>
      </w:pPr>
      <w:r>
        <w:rPr>
          <w:rFonts w:hint="eastAsia" w:ascii="仿宋_GB2312" w:eastAsia="仿宋_GB2312"/>
          <w:color w:val="auto"/>
          <w:szCs w:val="24"/>
        </w:rPr>
        <w:t>专用合同条件约定由发包人和承包人共同作为招标人的，与组织招标工作有关的费用在专用合同条件中约定。</w:t>
      </w:r>
    </w:p>
    <w:p>
      <w:pPr>
        <w:ind w:firstLine="600"/>
        <w:rPr>
          <w:rFonts w:ascii="仿宋_GB2312" w:eastAsia="仿宋_GB2312"/>
          <w:color w:val="auto"/>
          <w:sz w:val="24"/>
        </w:rPr>
      </w:pPr>
      <w:r>
        <w:rPr>
          <w:rFonts w:hint="eastAsia" w:ascii="仿宋_GB2312" w:eastAsia="仿宋_GB2312"/>
          <w:color w:val="auto"/>
          <w:sz w:val="24"/>
        </w:rPr>
        <w:t>具体的招标程序以及发包人和承包人权利义务关系可在专用合同条件中约定。暂估价项目的中标金额与价格清单中所列暂估价的金额差以及相应的税金等其他费用应列入合同价格。</w:t>
      </w:r>
    </w:p>
    <w:p>
      <w:pPr>
        <w:pStyle w:val="88"/>
        <w:numPr>
          <w:ilvl w:val="0"/>
          <w:numId w:val="0"/>
        </w:numPr>
        <w:rPr>
          <w:rFonts w:ascii="仿宋_GB2312" w:eastAsia="仿宋_GB2312"/>
          <w:color w:val="auto"/>
          <w:szCs w:val="24"/>
        </w:rPr>
      </w:pPr>
      <w:bookmarkStart w:id="938" w:name="_Ref4682312"/>
      <w:r>
        <w:rPr>
          <w:rFonts w:hint="eastAsia" w:ascii="仿宋_GB2312" w:eastAsia="仿宋_GB2312"/>
          <w:color w:val="auto"/>
          <w:szCs w:val="24"/>
        </w:rPr>
        <w:t>1</w:t>
      </w:r>
      <w:r>
        <w:rPr>
          <w:rFonts w:ascii="仿宋_GB2312" w:eastAsia="仿宋_GB2312"/>
          <w:color w:val="auto"/>
          <w:szCs w:val="24"/>
        </w:rPr>
        <w:t xml:space="preserve">3.4.2 </w:t>
      </w:r>
      <w:r>
        <w:rPr>
          <w:rFonts w:hint="eastAsia" w:ascii="仿宋_GB2312" w:eastAsia="仿宋_GB2312"/>
          <w:color w:val="auto"/>
          <w:szCs w:val="24"/>
        </w:rPr>
        <w:t>不属于依法必须招标的暂估价项目</w:t>
      </w:r>
      <w:bookmarkEnd w:id="938"/>
    </w:p>
    <w:p>
      <w:pPr>
        <w:ind w:firstLine="600"/>
        <w:rPr>
          <w:rFonts w:ascii="仿宋_GB2312" w:eastAsia="仿宋_GB2312"/>
          <w:color w:val="auto"/>
          <w:sz w:val="24"/>
        </w:rPr>
      </w:pPr>
      <w:r>
        <w:rPr>
          <w:rFonts w:hint="eastAsia" w:ascii="仿宋_GB2312" w:eastAsia="仿宋_GB2312"/>
          <w:color w:val="auto"/>
          <w:sz w:val="24"/>
        </w:rPr>
        <w:t>对于不属于依法必须招标的暂估价项目，承包人具备实施暂估价项目的资格和条件的，经发包人和承包人协商一致后，可由承包人自行实施暂估价项目，具体的协商和估价程序以及发包人和承包人权利义务关系可在专用合同条件中约定。确定后的暂估价项目金额与价格清单中所列暂估价的金额差以及相应的税金等其他费用应列入合同价格。</w:t>
      </w:r>
    </w:p>
    <w:p>
      <w:pPr>
        <w:ind w:firstLine="600"/>
        <w:rPr>
          <w:rFonts w:ascii="仿宋_GB2312" w:eastAsia="仿宋_GB2312"/>
          <w:color w:val="auto"/>
          <w:sz w:val="24"/>
        </w:rPr>
      </w:pPr>
      <w:r>
        <w:rPr>
          <w:rFonts w:hint="eastAsia" w:ascii="仿宋_GB2312" w:eastAsia="仿宋_GB2312"/>
          <w:color w:val="auto"/>
          <w:sz w:val="24"/>
        </w:rPr>
        <w:t>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315"/>
        <w:widowControl/>
        <w:numPr>
          <w:ilvl w:val="0"/>
          <w:numId w:val="0"/>
        </w:numPr>
        <w:rPr>
          <w:b w:val="0"/>
          <w:bCs/>
          <w:color w:val="auto"/>
        </w:rPr>
      </w:pPr>
      <w:bookmarkStart w:id="939" w:name="_Ref4431250"/>
      <w:bookmarkStart w:id="940" w:name="_Toc54862287"/>
      <w:r>
        <w:rPr>
          <w:rFonts w:hint="eastAsia"/>
          <w:b w:val="0"/>
          <w:bCs/>
          <w:color w:val="auto"/>
        </w:rPr>
        <w:t>1</w:t>
      </w:r>
      <w:r>
        <w:rPr>
          <w:b w:val="0"/>
          <w:bCs/>
          <w:color w:val="auto"/>
        </w:rPr>
        <w:t xml:space="preserve">3.5 </w:t>
      </w:r>
      <w:r>
        <w:rPr>
          <w:rFonts w:hint="eastAsia"/>
          <w:b w:val="0"/>
          <w:bCs/>
          <w:color w:val="auto"/>
        </w:rPr>
        <w:t>暂列金额</w:t>
      </w:r>
      <w:bookmarkEnd w:id="939"/>
      <w:bookmarkEnd w:id="940"/>
      <w:r>
        <w:rPr>
          <w:rFonts w:hint="eastAsia"/>
          <w:b w:val="0"/>
          <w:bCs/>
          <w:color w:val="auto"/>
        </w:rPr>
        <w:t xml:space="preserve"> </w:t>
      </w:r>
      <w:bookmarkEnd w:id="930"/>
      <w:bookmarkEnd w:id="931"/>
    </w:p>
    <w:bookmarkEnd w:id="932"/>
    <w:bookmarkEnd w:id="933"/>
    <w:bookmarkEnd w:id="934"/>
    <w:p>
      <w:pPr>
        <w:ind w:firstLine="600"/>
        <w:rPr>
          <w:rFonts w:ascii="仿宋_GB2312" w:eastAsia="仿宋_GB2312"/>
          <w:color w:val="auto"/>
          <w:sz w:val="24"/>
        </w:rPr>
      </w:pPr>
      <w:r>
        <w:rPr>
          <w:rFonts w:hint="eastAsia" w:ascii="仿宋_GB2312" w:eastAsia="仿宋_GB2312"/>
          <w:color w:val="auto"/>
          <w:sz w:val="24"/>
        </w:rPr>
        <w:t>除专用合同条件另有约定外，每一笔暂列金额只能按照发包人的指示全部或部分使用，并对合同价格进行相应调整。付给承包人的总金额应仅包括发包人已指示的，与暂列金额相关的工作、货物或服务的应付款项。</w:t>
      </w:r>
    </w:p>
    <w:p>
      <w:pPr>
        <w:ind w:firstLine="600"/>
        <w:rPr>
          <w:rFonts w:ascii="仿宋_GB2312" w:eastAsia="仿宋_GB2312"/>
          <w:color w:val="auto"/>
          <w:sz w:val="24"/>
        </w:rPr>
      </w:pPr>
      <w:r>
        <w:rPr>
          <w:rFonts w:hint="eastAsia" w:ascii="仿宋_GB2312" w:eastAsia="仿宋_GB2312"/>
          <w:color w:val="auto"/>
          <w:sz w:val="24"/>
        </w:rPr>
        <w:t>对于每笔暂列金额，发包人可以指示用于下列支付：</w:t>
      </w:r>
    </w:p>
    <w:p>
      <w:pPr>
        <w:ind w:firstLine="600"/>
        <w:rPr>
          <w:rFonts w:ascii="仿宋_GB2312" w:eastAsia="仿宋_GB2312"/>
          <w:color w:val="auto"/>
          <w:sz w:val="24"/>
        </w:rPr>
      </w:pPr>
      <w:r>
        <w:rPr>
          <w:rFonts w:hint="eastAsia" w:ascii="仿宋_GB2312" w:eastAsia="仿宋_GB2312"/>
          <w:color w:val="auto"/>
          <w:sz w:val="24"/>
        </w:rPr>
        <w:t>（1） 发包人根据第</w:t>
      </w:r>
      <w:r>
        <w:rPr>
          <w:rFonts w:ascii="仿宋_GB2312" w:eastAsia="仿宋_GB2312"/>
          <w:color w:val="auto"/>
          <w:sz w:val="24"/>
        </w:rPr>
        <w:t>13.1</w:t>
      </w:r>
      <w:r>
        <w:rPr>
          <w:rFonts w:hint="eastAsia" w:ascii="仿宋_GB2312" w:eastAsia="仿宋_GB2312"/>
          <w:color w:val="auto"/>
          <w:sz w:val="24"/>
        </w:rPr>
        <w:t>款[发包人变更权]指示变更，决定对合同价格和付款计划表（如有）进行调整的、由承包人实施的工作（包括要提供的工程设备、材料和服务）；</w:t>
      </w:r>
    </w:p>
    <w:p>
      <w:pPr>
        <w:ind w:firstLine="600"/>
        <w:rPr>
          <w:rFonts w:ascii="仿宋_GB2312" w:eastAsia="仿宋_GB2312"/>
          <w:color w:val="auto"/>
          <w:sz w:val="24"/>
        </w:rPr>
      </w:pPr>
      <w:r>
        <w:rPr>
          <w:rFonts w:hint="eastAsia" w:ascii="仿宋_GB2312" w:eastAsia="仿宋_GB2312"/>
          <w:color w:val="auto"/>
          <w:sz w:val="24"/>
        </w:rPr>
        <w:t>（2） 承包人购买的工程设备、材料、工作或服务，应支付包括承包人已付（或应付）的实际金额以及相应的管理费等费用和利润（管理费和利润应以实际金额为基数根据合同约定的费率（如有）或百分比计算）。</w:t>
      </w:r>
    </w:p>
    <w:p>
      <w:pPr>
        <w:ind w:firstLine="600"/>
        <w:rPr>
          <w:rFonts w:ascii="仿宋_GB2312" w:eastAsia="仿宋_GB2312"/>
          <w:color w:val="auto"/>
          <w:sz w:val="24"/>
        </w:rPr>
      </w:pPr>
      <w:r>
        <w:rPr>
          <w:rFonts w:hint="eastAsia" w:ascii="仿宋_GB2312" w:eastAsia="仿宋_GB2312"/>
          <w:color w:val="auto"/>
          <w:sz w:val="24"/>
        </w:rPr>
        <w:t>发包人根据上述(1)和（或）(2)指示支付暂列金额的，可以要求承包人提交其供应商提供的全部或部分要实施的工程或拟购买的工程设备、材料、工作或服务的项目报价单。发包人可以发出通知指示承包人接受其中的一个报价或指示撤销支付，发包人在收到项目报价单的7天内未作回应的，承包人应有权自行接受其中任何一个报价。</w:t>
      </w:r>
    </w:p>
    <w:p>
      <w:pPr>
        <w:ind w:firstLine="600"/>
        <w:rPr>
          <w:rFonts w:ascii="仿宋_GB2312" w:eastAsia="仿宋_GB2312"/>
          <w:color w:val="auto"/>
          <w:sz w:val="24"/>
        </w:rPr>
      </w:pPr>
      <w:r>
        <w:rPr>
          <w:rFonts w:hint="eastAsia" w:ascii="仿宋_GB2312" w:eastAsia="仿宋_GB2312"/>
          <w:color w:val="auto"/>
          <w:sz w:val="24"/>
        </w:rPr>
        <w:t>每份包含暂列金额的文件还应包括用以证明暂列金额的所有有效的发票、凭证和账户或收据。</w:t>
      </w:r>
    </w:p>
    <w:p>
      <w:pPr>
        <w:pStyle w:val="315"/>
        <w:widowControl/>
        <w:numPr>
          <w:ilvl w:val="0"/>
          <w:numId w:val="0"/>
        </w:numPr>
        <w:rPr>
          <w:b w:val="0"/>
          <w:bCs/>
          <w:color w:val="auto"/>
        </w:rPr>
      </w:pPr>
      <w:bookmarkStart w:id="941" w:name="_Toc54862288"/>
      <w:bookmarkStart w:id="942" w:name="_Toc296346653"/>
      <w:bookmarkStart w:id="943" w:name="_Toc296503152"/>
      <w:bookmarkStart w:id="944" w:name="_Toc337558845"/>
      <w:bookmarkStart w:id="945" w:name="_Ref4431438"/>
      <w:r>
        <w:rPr>
          <w:rFonts w:hint="eastAsia"/>
          <w:b w:val="0"/>
          <w:bCs/>
          <w:color w:val="auto"/>
        </w:rPr>
        <w:t>1</w:t>
      </w:r>
      <w:r>
        <w:rPr>
          <w:b w:val="0"/>
          <w:bCs/>
          <w:color w:val="auto"/>
        </w:rPr>
        <w:t xml:space="preserve">3.6 </w:t>
      </w:r>
      <w:r>
        <w:rPr>
          <w:rFonts w:hint="eastAsia"/>
          <w:b w:val="0"/>
          <w:bCs/>
          <w:color w:val="auto"/>
        </w:rPr>
        <w:t>计日工</w:t>
      </w:r>
      <w:bookmarkEnd w:id="941"/>
      <w:bookmarkEnd w:id="942"/>
      <w:bookmarkEnd w:id="943"/>
      <w:bookmarkEnd w:id="944"/>
      <w:bookmarkEnd w:id="945"/>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3.6.1 </w:t>
      </w:r>
      <w:r>
        <w:rPr>
          <w:rFonts w:hint="eastAsia" w:ascii="仿宋_GB2312" w:eastAsia="仿宋_GB2312"/>
          <w:color w:val="auto"/>
          <w:szCs w:val="24"/>
        </w:rPr>
        <w:t>需要采用计日工方式的，经发包人同意后，由工程师通知承包人以计日工计价方式实施相应的工作，其价款按列入价格清单或预算书中的计日工计价项目及其单价进行计算；价格清单或预算书中无相应的计日工单价的，按照合理的成本与利润构成的原则，由工程师按照第</w:t>
      </w:r>
      <w:r>
        <w:rPr>
          <w:rFonts w:ascii="仿宋_GB2312" w:eastAsia="仿宋_GB2312"/>
          <w:color w:val="auto"/>
          <w:szCs w:val="24"/>
        </w:rPr>
        <w:t>3.6</w:t>
      </w:r>
      <w:r>
        <w:rPr>
          <w:rFonts w:hint="eastAsia" w:ascii="仿宋_GB2312" w:eastAsia="仿宋_GB2312"/>
          <w:color w:val="auto"/>
          <w:szCs w:val="24"/>
        </w:rPr>
        <w:t>款[商定或确定]确定计日工的单价。</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3.6.2 </w:t>
      </w:r>
      <w:r>
        <w:rPr>
          <w:rFonts w:hint="eastAsia" w:ascii="仿宋_GB2312" w:eastAsia="仿宋_GB2312"/>
          <w:color w:val="auto"/>
          <w:szCs w:val="24"/>
        </w:rPr>
        <w:t>采用计日工计价的任何一项工作，承包人应在该项工作实施过程中，每天提交以下报表和有关凭证报送工程师审查：</w:t>
      </w:r>
    </w:p>
    <w:p>
      <w:pPr>
        <w:ind w:firstLine="600"/>
        <w:rPr>
          <w:rFonts w:ascii="仿宋_GB2312" w:eastAsia="仿宋_GB2312"/>
          <w:color w:val="auto"/>
          <w:sz w:val="24"/>
        </w:rPr>
      </w:pPr>
      <w:r>
        <w:rPr>
          <w:rFonts w:hint="eastAsia" w:ascii="仿宋_GB2312" w:eastAsia="仿宋_GB2312"/>
          <w:color w:val="auto"/>
          <w:sz w:val="24"/>
        </w:rPr>
        <w:t>（1） 工作名称、内容和数量；</w:t>
      </w:r>
    </w:p>
    <w:p>
      <w:pPr>
        <w:ind w:firstLine="600"/>
        <w:rPr>
          <w:rFonts w:ascii="仿宋_GB2312" w:eastAsia="仿宋_GB2312"/>
          <w:color w:val="auto"/>
          <w:sz w:val="24"/>
        </w:rPr>
      </w:pPr>
      <w:r>
        <w:rPr>
          <w:rFonts w:hint="eastAsia" w:ascii="仿宋_GB2312" w:eastAsia="仿宋_GB2312"/>
          <w:color w:val="auto"/>
          <w:sz w:val="24"/>
        </w:rPr>
        <w:t>（2） 投入该工作的所有人员的姓名、专业、工种、级别和耗用工时；</w:t>
      </w:r>
    </w:p>
    <w:p>
      <w:pPr>
        <w:ind w:firstLine="600"/>
        <w:rPr>
          <w:rFonts w:ascii="仿宋_GB2312" w:eastAsia="仿宋_GB2312"/>
          <w:color w:val="auto"/>
          <w:sz w:val="24"/>
        </w:rPr>
      </w:pPr>
      <w:r>
        <w:rPr>
          <w:rFonts w:hint="eastAsia" w:ascii="仿宋_GB2312" w:eastAsia="仿宋_GB2312"/>
          <w:color w:val="auto"/>
          <w:sz w:val="24"/>
        </w:rPr>
        <w:t>（3） 投入该工作的材料类别和数量；</w:t>
      </w:r>
    </w:p>
    <w:p>
      <w:pPr>
        <w:ind w:firstLine="600"/>
        <w:rPr>
          <w:rFonts w:ascii="仿宋_GB2312" w:eastAsia="仿宋_GB2312"/>
          <w:color w:val="auto"/>
          <w:sz w:val="24"/>
        </w:rPr>
      </w:pPr>
      <w:r>
        <w:rPr>
          <w:rFonts w:hint="eastAsia" w:ascii="仿宋_GB2312" w:eastAsia="仿宋_GB2312"/>
          <w:color w:val="auto"/>
          <w:sz w:val="24"/>
        </w:rPr>
        <w:t>（4） 投入该工作的施工设备型号、台数和耗用台时；</w:t>
      </w:r>
    </w:p>
    <w:p>
      <w:pPr>
        <w:ind w:firstLine="6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5</w:t>
      </w:r>
      <w:r>
        <w:rPr>
          <w:rFonts w:hint="eastAsia" w:ascii="仿宋_GB2312" w:eastAsia="仿宋_GB2312"/>
          <w:color w:val="auto"/>
          <w:sz w:val="24"/>
        </w:rPr>
        <w:t>） 其他有关资料和凭证。</w:t>
      </w:r>
    </w:p>
    <w:p>
      <w:pPr>
        <w:ind w:firstLine="600"/>
        <w:rPr>
          <w:rFonts w:ascii="仿宋_GB2312" w:eastAsia="仿宋_GB2312"/>
          <w:color w:val="auto"/>
          <w:sz w:val="24"/>
        </w:rPr>
      </w:pPr>
      <w:r>
        <w:rPr>
          <w:rFonts w:hint="eastAsia" w:ascii="仿宋_GB2312" w:eastAsia="仿宋_GB2312"/>
          <w:color w:val="auto"/>
          <w:sz w:val="24"/>
        </w:rPr>
        <w:t>计日工由承包人汇总后，列入最近一期进度付款申请单，由工程师审查并经发包人批准后列入进度付款。</w:t>
      </w:r>
    </w:p>
    <w:p>
      <w:pPr>
        <w:pStyle w:val="315"/>
        <w:widowControl/>
        <w:numPr>
          <w:ilvl w:val="0"/>
          <w:numId w:val="0"/>
        </w:numPr>
        <w:rPr>
          <w:b w:val="0"/>
          <w:bCs/>
          <w:color w:val="auto"/>
        </w:rPr>
      </w:pPr>
      <w:bookmarkStart w:id="946" w:name="_Ref4617318"/>
      <w:bookmarkStart w:id="947" w:name="_Toc54862289"/>
      <w:bookmarkStart w:id="948" w:name="_Ref4617331"/>
      <w:r>
        <w:rPr>
          <w:rFonts w:hint="eastAsia"/>
          <w:b w:val="0"/>
          <w:bCs/>
          <w:color w:val="auto"/>
        </w:rPr>
        <w:t>1</w:t>
      </w:r>
      <w:r>
        <w:rPr>
          <w:b w:val="0"/>
          <w:bCs/>
          <w:color w:val="auto"/>
        </w:rPr>
        <w:t xml:space="preserve">3.7 </w:t>
      </w:r>
      <w:r>
        <w:rPr>
          <w:rFonts w:hint="eastAsia"/>
          <w:b w:val="0"/>
          <w:bCs/>
          <w:color w:val="auto"/>
        </w:rPr>
        <w:t>法律变化引起的调整</w:t>
      </w:r>
      <w:bookmarkEnd w:id="946"/>
      <w:bookmarkEnd w:id="947"/>
      <w:bookmarkEnd w:id="948"/>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3.7.1 </w:t>
      </w:r>
      <w:r>
        <w:rPr>
          <w:rFonts w:hint="eastAsia" w:ascii="仿宋_GB2312" w:eastAsia="仿宋_GB2312"/>
          <w:color w:val="auto"/>
          <w:szCs w:val="24"/>
        </w:rPr>
        <w:t>基准日期后，法律变化导致承包人在合同履行过程中所需要的费用发生除第13.</w:t>
      </w:r>
      <w:r>
        <w:rPr>
          <w:rFonts w:ascii="仿宋_GB2312" w:eastAsia="仿宋_GB2312"/>
          <w:color w:val="auto"/>
          <w:szCs w:val="24"/>
        </w:rPr>
        <w:t>8</w:t>
      </w:r>
      <w:r>
        <w:rPr>
          <w:rFonts w:hint="eastAsia" w:ascii="仿宋_GB2312" w:eastAsia="仿宋_GB2312"/>
          <w:color w:val="auto"/>
          <w:szCs w:val="24"/>
        </w:rPr>
        <w:t>款[市场价格波动引起的调整]约定以外的增加时，由发包人承担由此增加的费用；减少时，应从合同价格中予以扣减。基准日期后，因法律变化造成工期延误时，工期应予以顺延。</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3.7.2 </w:t>
      </w:r>
      <w:r>
        <w:rPr>
          <w:rFonts w:hint="eastAsia" w:ascii="仿宋_GB2312" w:eastAsia="仿宋_GB2312"/>
          <w:color w:val="auto"/>
          <w:szCs w:val="24"/>
        </w:rPr>
        <w:t>因法律变化引起的合同价格和工期调整，合同当事人无法达成一致的，由工程师按第</w:t>
      </w:r>
      <w:r>
        <w:rPr>
          <w:rFonts w:ascii="仿宋_GB2312" w:eastAsia="仿宋_GB2312"/>
          <w:color w:val="auto"/>
          <w:szCs w:val="24"/>
        </w:rPr>
        <w:t>3.6</w:t>
      </w:r>
      <w:r>
        <w:rPr>
          <w:rFonts w:hint="eastAsia" w:ascii="仿宋_GB2312" w:eastAsia="仿宋_GB2312"/>
          <w:color w:val="auto"/>
          <w:szCs w:val="24"/>
        </w:rPr>
        <w:t>款[商定或确定]的约定处理。</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3.7.3 </w:t>
      </w:r>
      <w:r>
        <w:rPr>
          <w:rFonts w:hint="eastAsia" w:ascii="仿宋_GB2312" w:eastAsia="仿宋_GB2312"/>
          <w:color w:val="auto"/>
          <w:szCs w:val="24"/>
        </w:rPr>
        <w:t>因承包人原因造成工期延误，在工期延误期间出现法律变化的，由此增加的费用和（或）延误的工期由承包人承担。</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3.7.4 </w:t>
      </w:r>
      <w:r>
        <w:rPr>
          <w:rFonts w:hint="eastAsia" w:ascii="仿宋_GB2312" w:eastAsia="仿宋_GB2312"/>
          <w:color w:val="auto"/>
          <w:szCs w:val="24"/>
        </w:rPr>
        <w:t>因法律变化而需要对工程的实施进行任何调整的，承包人应迅速通知发包人，或者发包人应迅速通知承包人，并附上详细的辅助资料。发包人接到通知后，应根据第</w:t>
      </w:r>
      <w:r>
        <w:rPr>
          <w:rFonts w:ascii="仿宋_GB2312" w:eastAsia="仿宋_GB2312"/>
          <w:color w:val="auto"/>
          <w:szCs w:val="24"/>
        </w:rPr>
        <w:t>13.3</w:t>
      </w:r>
      <w:r>
        <w:rPr>
          <w:rFonts w:hint="eastAsia" w:ascii="仿宋_GB2312" w:eastAsia="仿宋_GB2312"/>
          <w:color w:val="auto"/>
          <w:szCs w:val="24"/>
        </w:rPr>
        <w:t>款[</w:t>
      </w:r>
      <w:r>
        <w:rPr>
          <w:rFonts w:ascii="仿宋_GB2312" w:eastAsia="仿宋_GB2312"/>
          <w:color w:val="auto"/>
          <w:szCs w:val="24"/>
        </w:rPr>
        <w:t>变更程序</w:t>
      </w:r>
      <w:r>
        <w:rPr>
          <w:rFonts w:hint="eastAsia" w:ascii="仿宋_GB2312" w:eastAsia="仿宋_GB2312"/>
          <w:color w:val="auto"/>
          <w:szCs w:val="24"/>
        </w:rPr>
        <w:t>]发出变更指示。</w:t>
      </w:r>
    </w:p>
    <w:p>
      <w:pPr>
        <w:pStyle w:val="315"/>
        <w:widowControl/>
        <w:numPr>
          <w:ilvl w:val="0"/>
          <w:numId w:val="0"/>
        </w:numPr>
        <w:rPr>
          <w:b w:val="0"/>
          <w:bCs/>
          <w:color w:val="auto"/>
        </w:rPr>
      </w:pPr>
      <w:bookmarkStart w:id="949" w:name="_Ref531955627"/>
      <w:bookmarkStart w:id="950" w:name="_Ref18977613"/>
      <w:bookmarkStart w:id="951" w:name="_Ref531955630"/>
      <w:bookmarkStart w:id="952" w:name="_Toc54862290"/>
      <w:r>
        <w:rPr>
          <w:rFonts w:hint="eastAsia"/>
          <w:b w:val="0"/>
          <w:bCs/>
          <w:color w:val="auto"/>
        </w:rPr>
        <w:t>1</w:t>
      </w:r>
      <w:r>
        <w:rPr>
          <w:b w:val="0"/>
          <w:bCs/>
          <w:color w:val="auto"/>
        </w:rPr>
        <w:t xml:space="preserve">3.8 </w:t>
      </w:r>
      <w:r>
        <w:rPr>
          <w:rFonts w:hint="eastAsia"/>
          <w:b w:val="0"/>
          <w:bCs/>
          <w:color w:val="auto"/>
        </w:rPr>
        <w:t>市场价格波动引起的调整</w:t>
      </w:r>
      <w:bookmarkEnd w:id="949"/>
      <w:bookmarkEnd w:id="950"/>
      <w:bookmarkEnd w:id="951"/>
      <w:bookmarkEnd w:id="952"/>
    </w:p>
    <w:p>
      <w:pPr>
        <w:pStyle w:val="88"/>
        <w:numPr>
          <w:ilvl w:val="0"/>
          <w:numId w:val="0"/>
        </w:numPr>
        <w:rPr>
          <w:rFonts w:ascii="仿宋_GB2312" w:eastAsia="仿宋_GB2312"/>
          <w:color w:val="auto"/>
          <w:szCs w:val="24"/>
        </w:rPr>
      </w:pPr>
      <w:bookmarkStart w:id="953" w:name="_Ref4709841"/>
      <w:r>
        <w:rPr>
          <w:rFonts w:hint="eastAsia" w:ascii="仿宋_GB2312" w:eastAsia="仿宋_GB2312"/>
          <w:color w:val="auto"/>
          <w:szCs w:val="24"/>
        </w:rPr>
        <w:t>1</w:t>
      </w:r>
      <w:r>
        <w:rPr>
          <w:rFonts w:ascii="仿宋_GB2312" w:eastAsia="仿宋_GB2312"/>
          <w:color w:val="auto"/>
          <w:szCs w:val="24"/>
        </w:rPr>
        <w:t xml:space="preserve">3.8.1 </w:t>
      </w:r>
      <w:r>
        <w:rPr>
          <w:rFonts w:hint="eastAsia" w:ascii="仿宋_GB2312" w:eastAsia="仿宋_GB2312"/>
          <w:color w:val="auto"/>
          <w:szCs w:val="24"/>
        </w:rPr>
        <w:t>主要工程材料、设备、人工价格与招标时基期价相比，波动幅度超过合同约定幅度的，双方按照合同约定的价格调整方式调整。</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3.8.2 </w:t>
      </w:r>
      <w:r>
        <w:rPr>
          <w:rFonts w:hint="eastAsia" w:ascii="仿宋_GB2312" w:eastAsia="仿宋_GB2312"/>
          <w:color w:val="auto"/>
          <w:szCs w:val="24"/>
        </w:rPr>
        <w:t>发包人与承包人在专用合同条件中约定采用《价格指数权重表》的，适用本项约定。</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3.8.2.1 </w:t>
      </w:r>
      <w:r>
        <w:rPr>
          <w:rFonts w:hint="eastAsia" w:ascii="仿宋_GB2312" w:eastAsia="仿宋_GB2312"/>
          <w:color w:val="auto"/>
          <w:szCs w:val="24"/>
        </w:rPr>
        <w:t>双方当事人可以将部分主要工程材料、工程设备、人工价格及其他双方认为应当根据市场价格调整的费用列入附件</w:t>
      </w:r>
      <w:r>
        <w:rPr>
          <w:rFonts w:ascii="仿宋_GB2312" w:eastAsia="仿宋_GB2312"/>
          <w:color w:val="auto"/>
          <w:szCs w:val="24"/>
        </w:rPr>
        <w:t>6</w:t>
      </w:r>
      <w:r>
        <w:rPr>
          <w:rFonts w:hint="eastAsia" w:ascii="仿宋_GB2312" w:eastAsia="仿宋_GB2312"/>
          <w:color w:val="auto"/>
          <w:szCs w:val="24"/>
        </w:rPr>
        <w:t>[</w:t>
      </w:r>
      <w:r>
        <w:rPr>
          <w:rFonts w:ascii="仿宋_GB2312" w:eastAsia="仿宋_GB2312"/>
          <w:color w:val="auto"/>
          <w:szCs w:val="24"/>
        </w:rPr>
        <w:t>价格指数权重表</w:t>
      </w:r>
      <w:r>
        <w:rPr>
          <w:rFonts w:hint="eastAsia" w:ascii="仿宋_GB2312" w:eastAsia="仿宋_GB2312"/>
          <w:color w:val="auto"/>
          <w:szCs w:val="24"/>
        </w:rPr>
        <w:t>]</w:t>
      </w:r>
      <w:r>
        <w:rPr>
          <w:rFonts w:ascii="仿宋_GB2312" w:eastAsia="仿宋_GB2312"/>
          <w:color w:val="auto"/>
          <w:szCs w:val="24"/>
        </w:rPr>
        <w:t>，并根据以下公式计算差额并调整合同价格：</w:t>
      </w:r>
    </w:p>
    <w:bookmarkEnd w:id="953"/>
    <w:p>
      <w:pPr>
        <w:ind w:firstLine="600"/>
        <w:rPr>
          <w:rFonts w:hint="eastAsia" w:ascii="仿宋_GB2312" w:eastAsia="仿宋_GB2312"/>
          <w:color w:val="auto"/>
          <w:sz w:val="24"/>
        </w:rPr>
      </w:pPr>
      <w:bookmarkStart w:id="954" w:name="_Ref4616996"/>
      <w:r>
        <w:rPr>
          <w:rFonts w:hint="eastAsia" w:ascii="仿宋_GB2312" w:eastAsia="仿宋_GB2312"/>
          <w:color w:val="auto"/>
          <w:sz w:val="24"/>
        </w:rPr>
        <w:t>（1） 价格调整公式</w:t>
      </w:r>
      <w:bookmarkEnd w:id="954"/>
    </w:p>
    <w:p>
      <w:pPr>
        <w:rPr>
          <w:rFonts w:hint="eastAsia" w:ascii="仿宋_GB2312" w:eastAsia="仿宋_GB2312"/>
          <w:color w:val="auto"/>
          <w:sz w:val="24"/>
        </w:rPr>
      </w:pPr>
      <w:r>
        <w:rPr>
          <w:color w:val="auto"/>
          <w:sz w:val="24"/>
        </w:rPr>
        <w:drawing>
          <wp:inline distT="0" distB="0" distL="114300" distR="114300">
            <wp:extent cx="4777740" cy="678815"/>
            <wp:effectExtent l="0" t="0" r="3810" b="698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7"/>
                    <a:stretch>
                      <a:fillRect/>
                    </a:stretch>
                  </pic:blipFill>
                  <pic:spPr>
                    <a:xfrm>
                      <a:off x="0" y="0"/>
                      <a:ext cx="4777740" cy="678815"/>
                    </a:xfrm>
                    <a:prstGeom prst="rect">
                      <a:avLst/>
                    </a:prstGeom>
                    <a:noFill/>
                    <a:ln>
                      <a:noFill/>
                    </a:ln>
                  </pic:spPr>
                </pic:pic>
              </a:graphicData>
            </a:graphic>
          </wp:inline>
        </w:drawing>
      </w:r>
    </w:p>
    <w:p>
      <w:pPr>
        <w:ind w:firstLine="600"/>
        <w:rPr>
          <w:rFonts w:ascii="仿宋_GB2312" w:eastAsia="仿宋_GB2312"/>
          <w:color w:val="auto"/>
          <w:sz w:val="24"/>
        </w:rPr>
      </w:pPr>
      <w:r>
        <w:rPr>
          <w:rFonts w:hint="eastAsia" w:ascii="仿宋_GB2312" w:eastAsia="仿宋_GB2312"/>
          <w:color w:val="auto"/>
          <w:sz w:val="24"/>
        </w:rPr>
        <w:t>公式中：△P---需调整的价格差额；</w:t>
      </w:r>
    </w:p>
    <w:p>
      <w:pPr>
        <w:ind w:firstLine="600"/>
        <w:rPr>
          <w:rFonts w:ascii="仿宋_GB2312" w:eastAsia="仿宋_GB2312"/>
          <w:color w:val="auto"/>
          <w:sz w:val="24"/>
        </w:rPr>
      </w:pPr>
      <w:r>
        <w:rPr>
          <w:rFonts w:hint="eastAsia" w:ascii="仿宋_GB2312" w:eastAsia="仿宋_GB2312"/>
          <w:color w:val="auto"/>
          <w:sz w:val="24"/>
        </w:rPr>
        <w:t>P</w:t>
      </w:r>
      <w:r>
        <w:rPr>
          <w:rFonts w:hint="eastAsia" w:ascii="仿宋_GB2312" w:eastAsia="仿宋_GB2312"/>
          <w:color w:val="auto"/>
          <w:sz w:val="24"/>
          <w:vertAlign w:val="subscript"/>
        </w:rPr>
        <w:t>O</w:t>
      </w:r>
      <w:r>
        <w:rPr>
          <w:rFonts w:hint="eastAsia" w:ascii="仿宋_GB2312" w:eastAsia="仿宋_GB2312"/>
          <w:color w:val="auto"/>
          <w:sz w:val="24"/>
        </w:rPr>
        <w:t>---付款证书中承包人应得到的已完成工作量的金额。此项金额应不包括价格调整、不计质量保证金的预留和支付、预付款的支付和扣回。第13条[变更与</w:t>
      </w:r>
      <w:r>
        <w:rPr>
          <w:rFonts w:ascii="仿宋_GB2312" w:eastAsia="仿宋_GB2312"/>
          <w:color w:val="auto"/>
          <w:sz w:val="24"/>
        </w:rPr>
        <w:t>调整</w:t>
      </w:r>
      <w:r>
        <w:rPr>
          <w:rFonts w:hint="eastAsia" w:ascii="仿宋_GB2312" w:eastAsia="仿宋_GB2312"/>
          <w:color w:val="auto"/>
          <w:sz w:val="24"/>
        </w:rPr>
        <w:t>]约定的变更及其他金额已按当期价格计价的，也不计在内；</w:t>
      </w:r>
    </w:p>
    <w:p>
      <w:pPr>
        <w:ind w:firstLine="600"/>
        <w:rPr>
          <w:rFonts w:ascii="仿宋_GB2312" w:eastAsia="仿宋_GB2312"/>
          <w:color w:val="auto"/>
          <w:sz w:val="24"/>
        </w:rPr>
      </w:pPr>
      <w:r>
        <w:rPr>
          <w:rFonts w:hint="eastAsia" w:ascii="仿宋_GB2312" w:eastAsia="仿宋_GB2312"/>
          <w:color w:val="auto"/>
          <w:sz w:val="24"/>
        </w:rPr>
        <w:t xml:space="preserve">A ---定值权重（即不调部分的权重）； </w:t>
      </w:r>
    </w:p>
    <w:p>
      <w:pPr>
        <w:ind w:firstLine="600"/>
        <w:rPr>
          <w:rFonts w:ascii="仿宋_GB2312" w:eastAsia="仿宋_GB2312"/>
          <w:color w:val="auto"/>
          <w:sz w:val="24"/>
        </w:rPr>
      </w:pPr>
      <w:bookmarkStart w:id="955" w:name="_Hlk24103184"/>
      <w:r>
        <w:rPr>
          <w:rFonts w:hint="eastAsia" w:ascii="仿宋_GB2312" w:eastAsia="仿宋_GB2312"/>
          <w:color w:val="auto"/>
          <w:sz w:val="24"/>
        </w:rPr>
        <w:t>B</w:t>
      </w:r>
      <w:r>
        <w:rPr>
          <w:rFonts w:hint="eastAsia" w:ascii="仿宋_GB2312" w:eastAsia="仿宋_GB2312"/>
          <w:color w:val="auto"/>
          <w:sz w:val="24"/>
          <w:vertAlign w:val="subscript"/>
        </w:rPr>
        <w:t>1</w:t>
      </w:r>
      <w:bookmarkEnd w:id="955"/>
      <w:r>
        <w:rPr>
          <w:rFonts w:hint="eastAsia" w:ascii="仿宋_GB2312" w:eastAsia="仿宋_GB2312"/>
          <w:color w:val="auto"/>
          <w:sz w:val="24"/>
        </w:rPr>
        <w:t>；</w:t>
      </w:r>
      <w:bookmarkStart w:id="956" w:name="_Hlk24103205"/>
      <w:r>
        <w:rPr>
          <w:rFonts w:hint="eastAsia" w:ascii="仿宋_GB2312" w:eastAsia="仿宋_GB2312"/>
          <w:color w:val="auto"/>
          <w:sz w:val="24"/>
        </w:rPr>
        <w:t>B</w:t>
      </w:r>
      <w:r>
        <w:rPr>
          <w:rFonts w:hint="eastAsia" w:ascii="仿宋_GB2312" w:eastAsia="仿宋_GB2312"/>
          <w:color w:val="auto"/>
          <w:sz w:val="24"/>
          <w:vertAlign w:val="subscript"/>
        </w:rPr>
        <w:t>2</w:t>
      </w:r>
      <w:bookmarkEnd w:id="956"/>
      <w:r>
        <w:rPr>
          <w:rFonts w:hint="eastAsia" w:ascii="仿宋_GB2312" w:eastAsia="仿宋_GB2312"/>
          <w:color w:val="auto"/>
          <w:sz w:val="24"/>
        </w:rPr>
        <w:t>；</w:t>
      </w:r>
      <w:bookmarkStart w:id="957" w:name="_Hlk24103220"/>
      <w:r>
        <w:rPr>
          <w:rFonts w:hint="eastAsia" w:ascii="仿宋_GB2312" w:eastAsia="仿宋_GB2312"/>
          <w:color w:val="auto"/>
          <w:sz w:val="24"/>
        </w:rPr>
        <w:t>B</w:t>
      </w:r>
      <w:r>
        <w:rPr>
          <w:rFonts w:hint="eastAsia" w:ascii="仿宋_GB2312" w:eastAsia="仿宋_GB2312"/>
          <w:color w:val="auto"/>
          <w:sz w:val="24"/>
          <w:vertAlign w:val="subscript"/>
        </w:rPr>
        <w:t>3</w:t>
      </w:r>
      <w:bookmarkEnd w:id="957"/>
      <w:r>
        <w:rPr>
          <w:rFonts w:hint="eastAsia" w:ascii="仿宋_GB2312" w:eastAsia="仿宋_GB2312"/>
          <w:color w:val="auto"/>
          <w:sz w:val="24"/>
        </w:rPr>
        <w:t>；……</w:t>
      </w:r>
      <w:bookmarkStart w:id="958" w:name="_Hlk24103245"/>
      <w:r>
        <w:rPr>
          <w:rFonts w:hint="eastAsia" w:ascii="仿宋_GB2312" w:eastAsia="仿宋_GB2312"/>
          <w:color w:val="auto"/>
          <w:sz w:val="24"/>
        </w:rPr>
        <w:t>B</w:t>
      </w:r>
      <w:r>
        <w:rPr>
          <w:rFonts w:hint="eastAsia" w:ascii="仿宋_GB2312" w:eastAsia="仿宋_GB2312"/>
          <w:color w:val="auto"/>
          <w:sz w:val="24"/>
          <w:vertAlign w:val="subscript"/>
        </w:rPr>
        <w:t>n</w:t>
      </w:r>
      <w:bookmarkEnd w:id="958"/>
      <w:r>
        <w:rPr>
          <w:rFonts w:hint="eastAsia" w:ascii="仿宋_GB2312" w:eastAsia="仿宋_GB2312"/>
          <w:color w:val="auto"/>
          <w:sz w:val="24"/>
        </w:rPr>
        <w:t>---各可调因子的变值权重（即可调部分的权重）为各可调因子在投标函投标总报价中所占的比例，且A+B</w:t>
      </w:r>
      <w:r>
        <w:rPr>
          <w:rFonts w:hint="eastAsia" w:ascii="仿宋_GB2312" w:eastAsia="仿宋_GB2312"/>
          <w:color w:val="auto"/>
          <w:sz w:val="24"/>
          <w:vertAlign w:val="subscript"/>
        </w:rPr>
        <w:t>1</w:t>
      </w:r>
      <w:r>
        <w:rPr>
          <w:rFonts w:hint="eastAsia" w:ascii="仿宋_GB2312" w:eastAsia="仿宋_GB2312"/>
          <w:color w:val="auto"/>
          <w:sz w:val="24"/>
        </w:rPr>
        <w:t>+B</w:t>
      </w:r>
      <w:r>
        <w:rPr>
          <w:rFonts w:hint="eastAsia" w:ascii="仿宋_GB2312" w:eastAsia="仿宋_GB2312"/>
          <w:color w:val="auto"/>
          <w:sz w:val="24"/>
          <w:vertAlign w:val="subscript"/>
        </w:rPr>
        <w:t>2</w:t>
      </w:r>
      <w:r>
        <w:rPr>
          <w:rFonts w:hint="eastAsia" w:ascii="仿宋_GB2312" w:eastAsia="仿宋_GB2312"/>
          <w:color w:val="auto"/>
          <w:sz w:val="24"/>
        </w:rPr>
        <w:t>+B</w:t>
      </w:r>
      <w:r>
        <w:rPr>
          <w:rFonts w:hint="eastAsia" w:ascii="仿宋_GB2312" w:eastAsia="仿宋_GB2312"/>
          <w:color w:val="auto"/>
          <w:sz w:val="24"/>
          <w:vertAlign w:val="subscript"/>
        </w:rPr>
        <w:t>3</w:t>
      </w:r>
      <w:r>
        <w:rPr>
          <w:rFonts w:hint="eastAsia" w:ascii="仿宋_GB2312" w:eastAsia="仿宋_GB2312"/>
          <w:color w:val="auto"/>
          <w:sz w:val="24"/>
        </w:rPr>
        <w:t>+……+B</w:t>
      </w:r>
      <w:r>
        <w:rPr>
          <w:rFonts w:hint="eastAsia" w:ascii="仿宋_GB2312" w:eastAsia="仿宋_GB2312"/>
          <w:color w:val="auto"/>
          <w:sz w:val="24"/>
          <w:vertAlign w:val="subscript"/>
        </w:rPr>
        <w:t>n</w:t>
      </w:r>
      <w:r>
        <w:rPr>
          <w:rFonts w:hint="eastAsia" w:ascii="仿宋_GB2312" w:eastAsia="仿宋_GB2312"/>
          <w:color w:val="auto"/>
          <w:sz w:val="24"/>
        </w:rPr>
        <w:t>=1；</w:t>
      </w:r>
    </w:p>
    <w:p>
      <w:pPr>
        <w:ind w:firstLine="600"/>
        <w:rPr>
          <w:rFonts w:ascii="仿宋_GB2312" w:eastAsia="仿宋_GB2312"/>
          <w:color w:val="auto"/>
          <w:sz w:val="24"/>
        </w:rPr>
      </w:pPr>
      <w:r>
        <w:rPr>
          <w:rFonts w:hint="eastAsia" w:ascii="仿宋_GB2312" w:eastAsia="仿宋_GB2312"/>
          <w:color w:val="auto"/>
          <w:sz w:val="24"/>
        </w:rPr>
        <w:t>F</w:t>
      </w:r>
      <w:r>
        <w:rPr>
          <w:rFonts w:hint="eastAsia" w:ascii="仿宋_GB2312" w:eastAsia="仿宋_GB2312"/>
          <w:color w:val="auto"/>
          <w:sz w:val="24"/>
          <w:vertAlign w:val="subscript"/>
        </w:rPr>
        <w:t>t1</w:t>
      </w:r>
      <w:r>
        <w:rPr>
          <w:rFonts w:hint="eastAsia" w:ascii="仿宋_GB2312" w:eastAsia="仿宋_GB2312"/>
          <w:color w:val="auto"/>
          <w:sz w:val="24"/>
        </w:rPr>
        <w:t>；F</w:t>
      </w:r>
      <w:r>
        <w:rPr>
          <w:rFonts w:hint="eastAsia" w:ascii="仿宋_GB2312" w:eastAsia="仿宋_GB2312"/>
          <w:color w:val="auto"/>
          <w:sz w:val="24"/>
          <w:vertAlign w:val="subscript"/>
        </w:rPr>
        <w:t>t2</w:t>
      </w:r>
      <w:r>
        <w:rPr>
          <w:rFonts w:hint="eastAsia" w:ascii="仿宋_GB2312" w:eastAsia="仿宋_GB2312"/>
          <w:color w:val="auto"/>
          <w:sz w:val="24"/>
        </w:rPr>
        <w:t>；F</w:t>
      </w:r>
      <w:r>
        <w:rPr>
          <w:rFonts w:hint="eastAsia" w:ascii="仿宋_GB2312" w:eastAsia="仿宋_GB2312"/>
          <w:color w:val="auto"/>
          <w:sz w:val="24"/>
          <w:vertAlign w:val="subscript"/>
        </w:rPr>
        <w:t>t3</w:t>
      </w:r>
      <w:r>
        <w:rPr>
          <w:rFonts w:hint="eastAsia" w:ascii="仿宋_GB2312" w:eastAsia="仿宋_GB2312"/>
          <w:color w:val="auto"/>
          <w:sz w:val="24"/>
        </w:rPr>
        <w:t>；……F</w:t>
      </w:r>
      <w:r>
        <w:rPr>
          <w:rFonts w:hint="eastAsia" w:ascii="仿宋_GB2312" w:eastAsia="仿宋_GB2312"/>
          <w:color w:val="auto"/>
          <w:sz w:val="24"/>
          <w:vertAlign w:val="subscript"/>
        </w:rPr>
        <w:t>tn</w:t>
      </w:r>
      <w:r>
        <w:rPr>
          <w:rFonts w:hint="eastAsia" w:ascii="仿宋_GB2312" w:eastAsia="仿宋_GB2312"/>
          <w:color w:val="auto"/>
          <w:sz w:val="24"/>
        </w:rPr>
        <w:t>---各可调因子的当期价格指数，指付款证书相关周期最后一天的前42天的各可调因子的价格指数；</w:t>
      </w:r>
    </w:p>
    <w:p>
      <w:pPr>
        <w:ind w:firstLine="600"/>
        <w:rPr>
          <w:rFonts w:ascii="仿宋_GB2312" w:eastAsia="仿宋_GB2312"/>
          <w:color w:val="auto"/>
          <w:sz w:val="24"/>
        </w:rPr>
      </w:pPr>
      <w:r>
        <w:rPr>
          <w:rFonts w:hint="eastAsia" w:ascii="仿宋_GB2312" w:eastAsia="仿宋_GB2312"/>
          <w:color w:val="auto"/>
          <w:sz w:val="24"/>
        </w:rPr>
        <w:t>F</w:t>
      </w:r>
      <w:r>
        <w:rPr>
          <w:rFonts w:hint="eastAsia" w:ascii="仿宋_GB2312" w:eastAsia="仿宋_GB2312"/>
          <w:color w:val="auto"/>
          <w:sz w:val="24"/>
          <w:vertAlign w:val="subscript"/>
        </w:rPr>
        <w:t>01</w:t>
      </w:r>
      <w:r>
        <w:rPr>
          <w:rFonts w:hint="eastAsia" w:ascii="仿宋_GB2312" w:eastAsia="仿宋_GB2312"/>
          <w:color w:val="auto"/>
          <w:sz w:val="24"/>
        </w:rPr>
        <w:t>；F</w:t>
      </w:r>
      <w:r>
        <w:rPr>
          <w:rFonts w:hint="eastAsia" w:ascii="仿宋_GB2312" w:eastAsia="仿宋_GB2312"/>
          <w:color w:val="auto"/>
          <w:sz w:val="24"/>
          <w:vertAlign w:val="subscript"/>
        </w:rPr>
        <w:t>02</w:t>
      </w:r>
      <w:r>
        <w:rPr>
          <w:rFonts w:hint="eastAsia" w:ascii="仿宋_GB2312" w:eastAsia="仿宋_GB2312"/>
          <w:color w:val="auto"/>
          <w:sz w:val="24"/>
        </w:rPr>
        <w:t>；F</w:t>
      </w:r>
      <w:r>
        <w:rPr>
          <w:rFonts w:hint="eastAsia" w:ascii="仿宋_GB2312" w:eastAsia="仿宋_GB2312"/>
          <w:color w:val="auto"/>
          <w:sz w:val="24"/>
          <w:vertAlign w:val="subscript"/>
        </w:rPr>
        <w:t>03</w:t>
      </w:r>
      <w:r>
        <w:rPr>
          <w:rFonts w:hint="eastAsia" w:ascii="仿宋_GB2312" w:eastAsia="仿宋_GB2312"/>
          <w:color w:val="auto"/>
          <w:sz w:val="24"/>
        </w:rPr>
        <w:t>；……F</w:t>
      </w:r>
      <w:r>
        <w:rPr>
          <w:rFonts w:hint="eastAsia" w:ascii="仿宋_GB2312" w:eastAsia="仿宋_GB2312"/>
          <w:color w:val="auto"/>
          <w:sz w:val="24"/>
          <w:vertAlign w:val="subscript"/>
        </w:rPr>
        <w:t>0n</w:t>
      </w:r>
      <w:r>
        <w:rPr>
          <w:rFonts w:hint="eastAsia" w:ascii="仿宋_GB2312" w:eastAsia="仿宋_GB2312"/>
          <w:color w:val="auto"/>
          <w:sz w:val="24"/>
        </w:rPr>
        <w:t>---各可调因子的基本价格指数，指基准日期的各可调因子的价格指数。</w:t>
      </w:r>
    </w:p>
    <w:p>
      <w:pPr>
        <w:ind w:firstLine="600"/>
        <w:rPr>
          <w:rFonts w:ascii="仿宋_GB2312" w:eastAsia="仿宋_GB2312"/>
          <w:color w:val="auto"/>
          <w:sz w:val="24"/>
        </w:rPr>
      </w:pPr>
      <w:r>
        <w:rPr>
          <w:rFonts w:hint="eastAsia" w:ascii="仿宋_GB2312" w:eastAsia="仿宋_GB2312"/>
          <w:color w:val="auto"/>
          <w:sz w:val="24"/>
        </w:rPr>
        <w:t>以上价格调整公式中的各可调因子、定值和变值权重，以及基本价格指数及其来源在投标函附录价格指数和权重表中约定。价格指数应首先采用投标函附录中载明的有关部门提供的价格指数，缺乏上述价格指数时，可采用有关部门提供的价格代替。</w:t>
      </w:r>
    </w:p>
    <w:p>
      <w:pPr>
        <w:ind w:firstLine="600"/>
        <w:rPr>
          <w:rFonts w:ascii="仿宋_GB2312" w:eastAsia="仿宋_GB2312"/>
          <w:color w:val="auto"/>
          <w:sz w:val="24"/>
        </w:rPr>
      </w:pPr>
      <w:r>
        <w:rPr>
          <w:rFonts w:hint="eastAsia" w:ascii="仿宋_GB2312" w:eastAsia="仿宋_GB2312"/>
          <w:color w:val="auto"/>
          <w:sz w:val="24"/>
        </w:rPr>
        <w:t>（2） 暂时确定调整差额</w:t>
      </w:r>
    </w:p>
    <w:p>
      <w:pPr>
        <w:ind w:firstLine="600"/>
        <w:rPr>
          <w:rFonts w:ascii="仿宋_GB2312" w:eastAsia="仿宋_GB2312"/>
          <w:color w:val="auto"/>
          <w:sz w:val="24"/>
        </w:rPr>
      </w:pPr>
      <w:r>
        <w:rPr>
          <w:rFonts w:hint="eastAsia" w:ascii="仿宋_GB2312" w:eastAsia="仿宋_GB2312"/>
          <w:color w:val="auto"/>
          <w:sz w:val="24"/>
        </w:rPr>
        <w:t>在计算调整差额时得不到当期价格指数的，可暂用上一次价格指数计算，并在以后的付款中再按实际价格指数进行调整。</w:t>
      </w:r>
    </w:p>
    <w:p>
      <w:pPr>
        <w:ind w:firstLine="600"/>
        <w:rPr>
          <w:rFonts w:ascii="仿宋_GB2312" w:eastAsia="仿宋_GB2312"/>
          <w:color w:val="auto"/>
          <w:sz w:val="24"/>
        </w:rPr>
      </w:pPr>
      <w:r>
        <w:rPr>
          <w:rFonts w:hint="eastAsia" w:ascii="仿宋_GB2312" w:eastAsia="仿宋_GB2312"/>
          <w:color w:val="auto"/>
          <w:sz w:val="24"/>
        </w:rPr>
        <w:t>（3） 权重的调整</w:t>
      </w:r>
    </w:p>
    <w:p>
      <w:pPr>
        <w:ind w:firstLine="600"/>
        <w:rPr>
          <w:rFonts w:ascii="仿宋_GB2312" w:eastAsia="仿宋_GB2312"/>
          <w:color w:val="auto"/>
          <w:sz w:val="24"/>
        </w:rPr>
      </w:pPr>
      <w:r>
        <w:rPr>
          <w:rFonts w:hint="eastAsia" w:ascii="仿宋_GB2312" w:eastAsia="仿宋_GB2312"/>
          <w:color w:val="auto"/>
          <w:sz w:val="24"/>
        </w:rPr>
        <w:t>按第</w:t>
      </w:r>
      <w:r>
        <w:rPr>
          <w:rFonts w:ascii="仿宋_GB2312" w:eastAsia="仿宋_GB2312"/>
          <w:color w:val="auto"/>
          <w:sz w:val="24"/>
        </w:rPr>
        <w:t>13.1</w:t>
      </w:r>
      <w:r>
        <w:rPr>
          <w:rFonts w:hint="eastAsia" w:ascii="仿宋_GB2312" w:eastAsia="仿宋_GB2312"/>
          <w:color w:val="auto"/>
          <w:sz w:val="24"/>
        </w:rPr>
        <w:t>款[发包人变更权]约定的变更导致原定合同中的权重不合理的，由工程师与承包人和发包人协商后进行调整。</w:t>
      </w:r>
    </w:p>
    <w:p>
      <w:pPr>
        <w:ind w:firstLine="600"/>
        <w:rPr>
          <w:rFonts w:ascii="仿宋_GB2312" w:eastAsia="仿宋_GB2312"/>
          <w:color w:val="auto"/>
          <w:sz w:val="24"/>
        </w:rPr>
      </w:pPr>
      <w:r>
        <w:rPr>
          <w:rFonts w:hint="eastAsia" w:ascii="仿宋_GB2312" w:eastAsia="仿宋_GB2312"/>
          <w:color w:val="auto"/>
          <w:sz w:val="24"/>
        </w:rPr>
        <w:t>（4） 承包人原因工期延误后的价格调整</w:t>
      </w:r>
    </w:p>
    <w:p>
      <w:pPr>
        <w:ind w:firstLine="600"/>
        <w:rPr>
          <w:rFonts w:ascii="仿宋_GB2312" w:eastAsia="仿宋_GB2312"/>
          <w:color w:val="auto"/>
          <w:sz w:val="24"/>
        </w:rPr>
      </w:pPr>
      <w:r>
        <w:rPr>
          <w:rFonts w:hint="eastAsia" w:ascii="仿宋_GB2312" w:eastAsia="仿宋_GB2312"/>
          <w:color w:val="auto"/>
          <w:sz w:val="24"/>
        </w:rPr>
        <w:t>因承包人原因未在约定的工期内竣工的，则对原约定竣工日期后继续施工的工程，在使用本款第(1)项价格调整公式时，应采用原约定竣工日期与实际竣工日期的两个价格指数中较低的一个作为当期价格指数。</w:t>
      </w:r>
    </w:p>
    <w:p>
      <w:pPr>
        <w:ind w:firstLine="600"/>
        <w:rPr>
          <w:rFonts w:ascii="仿宋_GB2312" w:eastAsia="仿宋_GB2312"/>
          <w:color w:val="auto"/>
          <w:sz w:val="24"/>
        </w:rPr>
      </w:pPr>
      <w:r>
        <w:rPr>
          <w:rFonts w:hint="eastAsia" w:ascii="仿宋_GB2312" w:eastAsia="仿宋_GB2312"/>
          <w:color w:val="auto"/>
          <w:sz w:val="24"/>
        </w:rPr>
        <w:t>（5） 发包人引起的工期延误后的价格调整</w:t>
      </w:r>
    </w:p>
    <w:p>
      <w:pPr>
        <w:ind w:firstLine="600"/>
        <w:rPr>
          <w:rFonts w:ascii="仿宋_GB2312" w:eastAsia="仿宋_GB2312"/>
          <w:color w:val="auto"/>
          <w:sz w:val="24"/>
        </w:rPr>
      </w:pPr>
      <w:r>
        <w:rPr>
          <w:rFonts w:hint="eastAsia" w:ascii="仿宋_GB2312" w:eastAsia="仿宋_GB2312"/>
          <w:color w:val="auto"/>
          <w:sz w:val="24"/>
        </w:rPr>
        <w:t>由于发包人原因未在约定的工期内竣工的，则对原约定竣工日期后继续施工的工程，在使用本款第（1）目价格调整公式时，应采用原约定竣工日期与实际竣工日期的两个价格指数中较高的一个作为当期价格指数。</w:t>
      </w:r>
    </w:p>
    <w:p>
      <w:pPr>
        <w:pStyle w:val="249"/>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3.8.2.2 </w:t>
      </w:r>
      <w:r>
        <w:rPr>
          <w:rFonts w:hint="eastAsia" w:ascii="仿宋_GB2312" w:eastAsia="仿宋_GB2312"/>
          <w:color w:val="auto"/>
          <w:szCs w:val="24"/>
        </w:rPr>
        <w:t>未列入</w:t>
      </w:r>
      <w:bookmarkStart w:id="959" w:name="_Hlk24494865"/>
      <w:r>
        <w:rPr>
          <w:rFonts w:hint="eastAsia" w:ascii="仿宋_GB2312" w:eastAsia="仿宋_GB2312"/>
          <w:color w:val="auto"/>
          <w:szCs w:val="24"/>
        </w:rPr>
        <w:t>《价格指数权重表》</w:t>
      </w:r>
      <w:bookmarkEnd w:id="959"/>
      <w:r>
        <w:rPr>
          <w:rFonts w:hint="eastAsia" w:ascii="仿宋_GB2312" w:eastAsia="仿宋_GB2312"/>
          <w:color w:val="auto"/>
          <w:szCs w:val="24"/>
        </w:rPr>
        <w:t>的费用不因市场变化而调整。</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3.8.3 </w:t>
      </w:r>
      <w:r>
        <w:rPr>
          <w:rFonts w:hint="eastAsia" w:ascii="仿宋_GB2312" w:eastAsia="仿宋_GB2312"/>
          <w:color w:val="auto"/>
          <w:szCs w:val="24"/>
        </w:rPr>
        <w:t>双方约定采用其他方式调整合同价款的，以专用合同条件约定为准。</w:t>
      </w:r>
    </w:p>
    <w:p>
      <w:pPr>
        <w:pStyle w:val="164"/>
        <w:numPr>
          <w:ilvl w:val="0"/>
          <w:numId w:val="0"/>
        </w:numPr>
        <w:wordWrap/>
        <w:topLinePunct w:val="0"/>
        <w:rPr>
          <w:b w:val="0"/>
          <w:bCs/>
          <w:color w:val="auto"/>
          <w:sz w:val="24"/>
          <w:szCs w:val="24"/>
        </w:rPr>
      </w:pPr>
      <w:bookmarkStart w:id="960" w:name="_Ref531955885"/>
      <w:bookmarkStart w:id="961" w:name="_Ref531955880"/>
      <w:bookmarkStart w:id="962" w:name="_Toc54862291"/>
      <w:r>
        <w:rPr>
          <w:rFonts w:hint="eastAsia"/>
          <w:b w:val="0"/>
          <w:bCs/>
          <w:color w:val="auto"/>
          <w:sz w:val="24"/>
          <w:szCs w:val="24"/>
        </w:rPr>
        <w:t>第1</w:t>
      </w:r>
      <w:r>
        <w:rPr>
          <w:b w:val="0"/>
          <w:bCs/>
          <w:color w:val="auto"/>
          <w:sz w:val="24"/>
          <w:szCs w:val="24"/>
        </w:rPr>
        <w:t>4</w:t>
      </w:r>
      <w:r>
        <w:rPr>
          <w:rFonts w:hint="eastAsia"/>
          <w:b w:val="0"/>
          <w:bCs/>
          <w:color w:val="auto"/>
          <w:sz w:val="24"/>
          <w:szCs w:val="24"/>
        </w:rPr>
        <w:t>条 合同价格与支付</w:t>
      </w:r>
      <w:bookmarkEnd w:id="960"/>
      <w:bookmarkEnd w:id="961"/>
      <w:bookmarkEnd w:id="962"/>
    </w:p>
    <w:p>
      <w:pPr>
        <w:pStyle w:val="315"/>
        <w:widowControl/>
        <w:numPr>
          <w:ilvl w:val="0"/>
          <w:numId w:val="0"/>
        </w:numPr>
        <w:rPr>
          <w:b w:val="0"/>
          <w:bCs/>
          <w:color w:val="auto"/>
        </w:rPr>
      </w:pPr>
      <w:bookmarkStart w:id="963" w:name="_Ref4431531"/>
      <w:bookmarkStart w:id="964" w:name="_Toc54862292"/>
      <w:bookmarkStart w:id="965" w:name="_Ref4431521"/>
      <w:r>
        <w:rPr>
          <w:rFonts w:hint="eastAsia"/>
          <w:b w:val="0"/>
          <w:bCs/>
          <w:color w:val="auto"/>
        </w:rPr>
        <w:t>1</w:t>
      </w:r>
      <w:r>
        <w:rPr>
          <w:b w:val="0"/>
          <w:bCs/>
          <w:color w:val="auto"/>
        </w:rPr>
        <w:t xml:space="preserve">4.1 </w:t>
      </w:r>
      <w:r>
        <w:rPr>
          <w:rFonts w:hint="eastAsia"/>
          <w:b w:val="0"/>
          <w:bCs/>
          <w:color w:val="auto"/>
        </w:rPr>
        <w:t>合同价格形式</w:t>
      </w:r>
      <w:bookmarkEnd w:id="963"/>
      <w:bookmarkEnd w:id="964"/>
      <w:bookmarkEnd w:id="965"/>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4.1.1 </w:t>
      </w:r>
      <w:r>
        <w:rPr>
          <w:rFonts w:hint="eastAsia" w:ascii="仿宋_GB2312" w:eastAsia="仿宋_GB2312"/>
          <w:color w:val="auto"/>
          <w:szCs w:val="24"/>
        </w:rPr>
        <w:t>除专用合同条件中另有约定外，本合同为总价合同，除根据第</w:t>
      </w:r>
      <w:r>
        <w:rPr>
          <w:rFonts w:ascii="仿宋_GB2312" w:eastAsia="仿宋_GB2312"/>
          <w:color w:val="auto"/>
          <w:szCs w:val="24"/>
        </w:rPr>
        <w:t>13条</w:t>
      </w:r>
      <w:r>
        <w:rPr>
          <w:rFonts w:hint="eastAsia" w:ascii="仿宋_GB2312" w:eastAsia="仿宋_GB2312"/>
          <w:color w:val="auto"/>
          <w:szCs w:val="24"/>
        </w:rPr>
        <w:t>[</w:t>
      </w:r>
      <w:r>
        <w:rPr>
          <w:rFonts w:ascii="仿宋_GB2312" w:eastAsia="仿宋_GB2312"/>
          <w:color w:val="auto"/>
          <w:szCs w:val="24"/>
        </w:rPr>
        <w:t>变更与调整]</w:t>
      </w:r>
      <w:r>
        <w:rPr>
          <w:rFonts w:hint="eastAsia" w:ascii="仿宋_GB2312" w:eastAsia="仿宋_GB2312"/>
          <w:color w:val="auto"/>
          <w:szCs w:val="24"/>
        </w:rPr>
        <w:t>，以及合同中其它相关增减金额的约定进行调整外，合同价格不做调整。</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4.1.2 </w:t>
      </w:r>
      <w:r>
        <w:rPr>
          <w:rFonts w:hint="eastAsia" w:ascii="仿宋_GB2312" w:eastAsia="仿宋_GB2312"/>
          <w:color w:val="auto"/>
          <w:szCs w:val="24"/>
        </w:rPr>
        <w:t>除专用合同条件另有约定外：</w:t>
      </w:r>
    </w:p>
    <w:p>
      <w:pPr>
        <w:ind w:firstLine="600"/>
        <w:rPr>
          <w:rFonts w:ascii="仿宋_GB2312" w:eastAsia="仿宋_GB2312"/>
          <w:color w:val="auto"/>
          <w:sz w:val="24"/>
        </w:rPr>
      </w:pPr>
      <w:r>
        <w:rPr>
          <w:rFonts w:hint="eastAsia" w:ascii="仿宋_GB2312" w:eastAsia="仿宋_GB2312"/>
          <w:color w:val="auto"/>
          <w:sz w:val="24"/>
        </w:rPr>
        <w:t>（1） 工程款的支付应以合同协议书约定的签约合同价格为基础，按照合同约定进行调整；</w:t>
      </w:r>
    </w:p>
    <w:p>
      <w:pPr>
        <w:ind w:firstLine="600"/>
        <w:rPr>
          <w:rFonts w:ascii="仿宋_GB2312" w:eastAsia="仿宋_GB2312"/>
          <w:color w:val="auto"/>
          <w:sz w:val="24"/>
        </w:rPr>
      </w:pPr>
      <w:r>
        <w:rPr>
          <w:rFonts w:hint="eastAsia" w:ascii="仿宋_GB2312" w:eastAsia="仿宋_GB2312"/>
          <w:color w:val="auto"/>
          <w:sz w:val="24"/>
        </w:rPr>
        <w:t>（2） 承包人应支付根据法律规定或合同约定应由其支付的各项税费，除第</w:t>
      </w:r>
      <w:r>
        <w:rPr>
          <w:rFonts w:ascii="仿宋_GB2312" w:eastAsia="仿宋_GB2312"/>
          <w:color w:val="auto"/>
          <w:sz w:val="24"/>
        </w:rPr>
        <w:t>13.7</w:t>
      </w:r>
      <w:r>
        <w:rPr>
          <w:rFonts w:hint="eastAsia" w:ascii="仿宋_GB2312" w:eastAsia="仿宋_GB2312"/>
          <w:color w:val="auto"/>
          <w:sz w:val="24"/>
        </w:rPr>
        <w:t>款[</w:t>
      </w:r>
      <w:r>
        <w:rPr>
          <w:rFonts w:ascii="仿宋_GB2312" w:eastAsia="仿宋_GB2312"/>
          <w:color w:val="auto"/>
          <w:sz w:val="24"/>
        </w:rPr>
        <w:t>法律变化引起的调整]</w:t>
      </w:r>
      <w:r>
        <w:rPr>
          <w:rFonts w:hint="eastAsia" w:ascii="仿宋_GB2312" w:eastAsia="仿宋_GB2312"/>
          <w:color w:val="auto"/>
          <w:sz w:val="24"/>
        </w:rPr>
        <w:t>约定外，合同价格不应因任何这些税费进行调整；</w:t>
      </w:r>
    </w:p>
    <w:p>
      <w:pPr>
        <w:ind w:firstLine="600"/>
        <w:rPr>
          <w:rFonts w:ascii="仿宋_GB2312" w:eastAsia="仿宋_GB2312"/>
          <w:color w:val="auto"/>
          <w:sz w:val="24"/>
        </w:rPr>
      </w:pPr>
      <w:r>
        <w:rPr>
          <w:rFonts w:hint="eastAsia" w:ascii="仿宋_GB2312" w:eastAsia="仿宋_GB2312"/>
          <w:color w:val="auto"/>
          <w:sz w:val="24"/>
        </w:rPr>
        <w:t>（3） 价格清单列出的任何数量仅为估算的工作量，不得将其视为要求承包人实施的工程的实际或准确的工作量。在价格清单中列出的任何工作量和价格数据应仅限用于变更和支付的参考资料，而不能用于其他目的。</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4.1.3 </w:t>
      </w:r>
      <w:r>
        <w:rPr>
          <w:rFonts w:hint="eastAsia" w:ascii="仿宋_GB2312" w:eastAsia="仿宋_GB2312"/>
          <w:color w:val="auto"/>
          <w:szCs w:val="24"/>
        </w:rPr>
        <w:t>合同约定工程的某部分按照实际完成的工程量进行支付的，应按照专用合同条件的约定进行计量和估价，并据此调整合同价格。</w:t>
      </w:r>
    </w:p>
    <w:p>
      <w:pPr>
        <w:pStyle w:val="315"/>
        <w:widowControl/>
        <w:numPr>
          <w:ilvl w:val="0"/>
          <w:numId w:val="0"/>
        </w:numPr>
        <w:rPr>
          <w:b w:val="0"/>
          <w:bCs/>
          <w:color w:val="auto"/>
        </w:rPr>
      </w:pPr>
      <w:bookmarkStart w:id="966" w:name="_Toc54862293"/>
      <w:bookmarkStart w:id="967" w:name="_Ref531956881"/>
      <w:bookmarkStart w:id="968" w:name="_Ref531956884"/>
      <w:r>
        <w:rPr>
          <w:rFonts w:hint="eastAsia"/>
          <w:b w:val="0"/>
          <w:bCs/>
          <w:color w:val="auto"/>
        </w:rPr>
        <w:t>1</w:t>
      </w:r>
      <w:r>
        <w:rPr>
          <w:b w:val="0"/>
          <w:bCs/>
          <w:color w:val="auto"/>
        </w:rPr>
        <w:t xml:space="preserve">4.2 </w:t>
      </w:r>
      <w:r>
        <w:rPr>
          <w:rFonts w:hint="eastAsia"/>
          <w:b w:val="0"/>
          <w:bCs/>
          <w:color w:val="auto"/>
        </w:rPr>
        <w:t>预付款</w:t>
      </w:r>
      <w:bookmarkEnd w:id="966"/>
      <w:bookmarkEnd w:id="967"/>
      <w:bookmarkEnd w:id="968"/>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4.2.1 </w:t>
      </w:r>
      <w:r>
        <w:rPr>
          <w:rFonts w:hint="eastAsia" w:ascii="仿宋_GB2312" w:eastAsia="仿宋_GB2312"/>
          <w:color w:val="auto"/>
          <w:szCs w:val="24"/>
        </w:rPr>
        <w:t>预付款支付</w:t>
      </w:r>
    </w:p>
    <w:p>
      <w:pPr>
        <w:ind w:firstLine="600"/>
        <w:rPr>
          <w:rFonts w:ascii="仿宋_GB2312" w:eastAsia="仿宋_GB2312"/>
          <w:color w:val="auto"/>
          <w:sz w:val="24"/>
        </w:rPr>
      </w:pPr>
      <w:r>
        <w:rPr>
          <w:rFonts w:hint="eastAsia" w:ascii="仿宋_GB2312" w:eastAsia="仿宋_GB2312"/>
          <w:color w:val="auto"/>
          <w:sz w:val="24"/>
        </w:rPr>
        <w:t>预付款的额度和支付按照专用合同条件约定执行。预付款应当专用于承包人为合同工程的设计和工程实施购置材料、工程设备、施工设备、修建临时设施以及组织施工队伍进场等合同工作。</w:t>
      </w:r>
    </w:p>
    <w:p>
      <w:pPr>
        <w:ind w:firstLine="600"/>
        <w:rPr>
          <w:rFonts w:ascii="仿宋_GB2312" w:eastAsia="仿宋_GB2312"/>
          <w:color w:val="auto"/>
          <w:sz w:val="24"/>
        </w:rPr>
      </w:pPr>
      <w:r>
        <w:rPr>
          <w:rFonts w:hint="eastAsia" w:ascii="仿宋_GB2312" w:eastAsia="仿宋_GB2312"/>
          <w:color w:val="auto"/>
          <w:sz w:val="24"/>
        </w:rPr>
        <w:t>除专用合同条件另有约定外，预付款在进度付款中同比例扣回。在颁发工程接收证书前，提前解除合同的，尚未扣完的预付款应与合同价款一并结算。</w:t>
      </w:r>
    </w:p>
    <w:p>
      <w:pPr>
        <w:ind w:firstLine="600"/>
        <w:rPr>
          <w:rFonts w:ascii="仿宋_GB2312" w:eastAsia="仿宋_GB2312"/>
          <w:color w:val="auto"/>
          <w:sz w:val="24"/>
        </w:rPr>
      </w:pPr>
      <w:r>
        <w:rPr>
          <w:rFonts w:hint="eastAsia" w:ascii="仿宋_GB2312" w:eastAsia="仿宋_GB2312"/>
          <w:color w:val="auto"/>
          <w:sz w:val="24"/>
        </w:rPr>
        <w:t>发包人逾期支付预付款超过7天的，承包人有权向发包人发出要求预付的催告通知，发包人收到通知后7天内仍未支付的，承包人有权暂停施工，并按第15.1.1项[发包人违约的情形]执行。</w:t>
      </w:r>
    </w:p>
    <w:p>
      <w:pPr>
        <w:pStyle w:val="88"/>
        <w:numPr>
          <w:ilvl w:val="0"/>
          <w:numId w:val="0"/>
        </w:numPr>
        <w:rPr>
          <w:rFonts w:ascii="仿宋_GB2312" w:eastAsia="仿宋_GB2312"/>
          <w:color w:val="auto"/>
          <w:szCs w:val="24"/>
        </w:rPr>
      </w:pPr>
      <w:bookmarkStart w:id="969" w:name="_Ref531956907"/>
      <w:bookmarkStart w:id="970" w:name="_Ref4797624"/>
      <w:bookmarkStart w:id="971" w:name="_Hlk54429963"/>
      <w:r>
        <w:rPr>
          <w:rFonts w:hint="eastAsia" w:ascii="仿宋_GB2312" w:eastAsia="仿宋_GB2312"/>
          <w:color w:val="auto"/>
          <w:szCs w:val="24"/>
        </w:rPr>
        <w:t>1</w:t>
      </w:r>
      <w:r>
        <w:rPr>
          <w:rFonts w:ascii="仿宋_GB2312" w:eastAsia="仿宋_GB2312"/>
          <w:color w:val="auto"/>
          <w:szCs w:val="24"/>
        </w:rPr>
        <w:t xml:space="preserve">4.2.2 </w:t>
      </w:r>
      <w:r>
        <w:rPr>
          <w:rFonts w:hint="eastAsia" w:ascii="仿宋_GB2312" w:eastAsia="仿宋_GB2312"/>
          <w:color w:val="auto"/>
          <w:szCs w:val="24"/>
        </w:rPr>
        <w:t>预付款</w:t>
      </w:r>
      <w:bookmarkEnd w:id="969"/>
      <w:r>
        <w:rPr>
          <w:rFonts w:hint="eastAsia" w:ascii="仿宋_GB2312" w:eastAsia="仿宋_GB2312"/>
          <w:color w:val="auto"/>
          <w:szCs w:val="24"/>
        </w:rPr>
        <w:t>担保</w:t>
      </w:r>
      <w:bookmarkEnd w:id="970"/>
    </w:p>
    <w:bookmarkEnd w:id="971"/>
    <w:p>
      <w:pPr>
        <w:ind w:firstLine="600"/>
        <w:rPr>
          <w:rFonts w:ascii="仿宋_GB2312" w:eastAsia="仿宋_GB2312"/>
          <w:color w:val="auto"/>
          <w:sz w:val="24"/>
        </w:rPr>
      </w:pPr>
      <w:r>
        <w:rPr>
          <w:rFonts w:hint="eastAsia" w:ascii="仿宋_GB2312" w:eastAsia="仿宋_GB2312"/>
          <w:color w:val="auto"/>
          <w:sz w:val="24"/>
        </w:rPr>
        <w:t>发包人指示承包人提供预付款担保的，承包人应在发包人支付预付款7天前提供预付款担保，专用合同条件另有约定除外。预付款担保可采用银行保函、担保公司担保等形式，具体由合同当事人在专用合同条件中约定。在预付款完全扣回之前，承包人应保证预付款担保持续有效。</w:t>
      </w:r>
    </w:p>
    <w:p>
      <w:pPr>
        <w:ind w:firstLine="600"/>
        <w:rPr>
          <w:rFonts w:ascii="仿宋_GB2312" w:eastAsia="仿宋_GB2312"/>
          <w:color w:val="auto"/>
          <w:sz w:val="24"/>
        </w:rPr>
      </w:pPr>
      <w:r>
        <w:rPr>
          <w:rFonts w:hint="eastAsia" w:ascii="仿宋_GB2312" w:eastAsia="仿宋_GB2312"/>
          <w:color w:val="auto"/>
          <w:sz w:val="24"/>
        </w:rPr>
        <w:t>发包人在工程款中逐期扣回预付款后，预付款担保额度应相应减少，但剩余的预付款担保金额不得低于未被扣回的预付款金额。</w:t>
      </w:r>
    </w:p>
    <w:p>
      <w:pPr>
        <w:pStyle w:val="315"/>
        <w:widowControl/>
        <w:numPr>
          <w:ilvl w:val="0"/>
          <w:numId w:val="0"/>
        </w:numPr>
        <w:rPr>
          <w:b w:val="0"/>
          <w:bCs/>
          <w:color w:val="auto"/>
        </w:rPr>
      </w:pPr>
      <w:bookmarkStart w:id="972" w:name="_Toc4784195"/>
      <w:bookmarkEnd w:id="972"/>
      <w:bookmarkStart w:id="973" w:name="_Toc4784193"/>
      <w:bookmarkEnd w:id="973"/>
      <w:bookmarkStart w:id="974" w:name="_Toc4784194"/>
      <w:bookmarkEnd w:id="974"/>
      <w:bookmarkStart w:id="975" w:name="_Toc54862294"/>
      <w:bookmarkStart w:id="976" w:name="_Ref531956963"/>
      <w:bookmarkStart w:id="977" w:name="_Ref4623398"/>
      <w:bookmarkStart w:id="978" w:name="_Ref531956967"/>
      <w:r>
        <w:rPr>
          <w:rFonts w:hint="eastAsia"/>
          <w:b w:val="0"/>
          <w:bCs/>
          <w:color w:val="auto"/>
        </w:rPr>
        <w:t>1</w:t>
      </w:r>
      <w:r>
        <w:rPr>
          <w:b w:val="0"/>
          <w:bCs/>
          <w:color w:val="auto"/>
        </w:rPr>
        <w:t xml:space="preserve">4.3 </w:t>
      </w:r>
      <w:r>
        <w:rPr>
          <w:rFonts w:hint="eastAsia"/>
          <w:b w:val="0"/>
          <w:bCs/>
          <w:color w:val="auto"/>
        </w:rPr>
        <w:t>工程进度款</w:t>
      </w:r>
      <w:bookmarkEnd w:id="975"/>
      <w:bookmarkEnd w:id="976"/>
      <w:bookmarkEnd w:id="977"/>
      <w:bookmarkEnd w:id="978"/>
    </w:p>
    <w:p>
      <w:pPr>
        <w:pStyle w:val="88"/>
        <w:numPr>
          <w:ilvl w:val="0"/>
          <w:numId w:val="0"/>
        </w:numPr>
        <w:rPr>
          <w:rFonts w:ascii="仿宋_GB2312" w:eastAsia="仿宋_GB2312"/>
          <w:color w:val="auto"/>
          <w:szCs w:val="24"/>
        </w:rPr>
      </w:pPr>
      <w:bookmarkStart w:id="979" w:name="_Ref532679934"/>
      <w:bookmarkStart w:id="980" w:name="_Ref531956987"/>
      <w:r>
        <w:rPr>
          <w:rFonts w:hint="eastAsia" w:ascii="仿宋_GB2312" w:eastAsia="仿宋_GB2312"/>
          <w:color w:val="auto"/>
          <w:szCs w:val="24"/>
        </w:rPr>
        <w:t>1</w:t>
      </w:r>
      <w:r>
        <w:rPr>
          <w:rFonts w:ascii="仿宋_GB2312" w:eastAsia="仿宋_GB2312"/>
          <w:color w:val="auto"/>
          <w:szCs w:val="24"/>
        </w:rPr>
        <w:t xml:space="preserve">4.3.1 </w:t>
      </w:r>
      <w:r>
        <w:rPr>
          <w:rFonts w:hint="eastAsia" w:ascii="仿宋_GB2312" w:eastAsia="仿宋_GB2312"/>
          <w:color w:val="auto"/>
          <w:szCs w:val="24"/>
        </w:rPr>
        <w:t>工程进度付款申请</w:t>
      </w:r>
      <w:bookmarkEnd w:id="979"/>
      <w:bookmarkEnd w:id="980"/>
    </w:p>
    <w:p>
      <w:pPr>
        <w:ind w:firstLine="600"/>
        <w:rPr>
          <w:rFonts w:ascii="仿宋_GB2312" w:eastAsia="仿宋_GB2312"/>
          <w:color w:val="auto"/>
          <w:sz w:val="24"/>
        </w:rPr>
      </w:pPr>
      <w:r>
        <w:rPr>
          <w:rFonts w:hint="eastAsia" w:ascii="仿宋_GB2312" w:eastAsia="仿宋_GB2312"/>
          <w:color w:val="auto"/>
          <w:sz w:val="24"/>
        </w:rPr>
        <w:t>（1）人工费的申请</w:t>
      </w:r>
    </w:p>
    <w:p>
      <w:pPr>
        <w:ind w:firstLine="600"/>
        <w:rPr>
          <w:rFonts w:ascii="仿宋_GB2312" w:eastAsia="仿宋_GB2312"/>
          <w:color w:val="auto"/>
          <w:sz w:val="24"/>
        </w:rPr>
      </w:pPr>
      <w:r>
        <w:rPr>
          <w:rFonts w:ascii="仿宋_GB2312" w:eastAsia="仿宋_GB2312"/>
          <w:color w:val="auto"/>
          <w:sz w:val="24"/>
        </w:rPr>
        <w:t>人工费应按月支付，工程师应在收到承包人人工费付款申请单以及相关资料后7天内完成审查并报送发包人，发包人应在收到后7天内完成审批并向承包人签发人工费支付证书，发包人应在人工费支付证书签发后7天内完成支付。已支付的人工费部分，发包人支付进度款时予以相应扣除</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（2）除专用合同条件另有约定外，承包人应在每月月末向工程师提交进度付款申请单，该进度付款申请单应包括下列内容：</w:t>
      </w:r>
    </w:p>
    <w:p>
      <w:pPr>
        <w:ind w:firstLine="600"/>
        <w:rPr>
          <w:rFonts w:ascii="仿宋_GB2312" w:eastAsia="仿宋_GB2312"/>
          <w:color w:val="auto"/>
          <w:sz w:val="24"/>
        </w:rPr>
      </w:pPr>
      <w:bookmarkStart w:id="981" w:name="_Ref24496054"/>
      <w:r>
        <w:rPr>
          <w:rFonts w:hint="eastAsia" w:ascii="仿宋_GB2312" w:eastAsia="仿宋_GB2312"/>
          <w:color w:val="auto"/>
          <w:sz w:val="24"/>
        </w:rPr>
        <w:t>1） 截至本次付款周期内已完成工作对应的金额；</w:t>
      </w:r>
      <w:bookmarkEnd w:id="981"/>
    </w:p>
    <w:p>
      <w:pPr>
        <w:ind w:firstLine="600"/>
        <w:rPr>
          <w:rFonts w:ascii="仿宋_GB2312" w:eastAsia="仿宋_GB2312"/>
          <w:color w:val="auto"/>
          <w:sz w:val="24"/>
        </w:rPr>
      </w:pPr>
      <w:r>
        <w:rPr>
          <w:rFonts w:ascii="仿宋_GB2312" w:eastAsia="仿宋_GB2312"/>
          <w:color w:val="auto"/>
          <w:sz w:val="24"/>
        </w:rPr>
        <w:t>2</w:t>
      </w:r>
      <w:r>
        <w:rPr>
          <w:rFonts w:hint="eastAsia" w:ascii="仿宋_GB2312" w:eastAsia="仿宋_GB2312"/>
          <w:color w:val="auto"/>
          <w:sz w:val="24"/>
        </w:rPr>
        <w:t>） 扣除依据本款第（</w:t>
      </w:r>
      <w:r>
        <w:rPr>
          <w:rFonts w:ascii="仿宋_GB2312" w:eastAsia="仿宋_GB2312"/>
          <w:color w:val="auto"/>
          <w:sz w:val="24"/>
        </w:rPr>
        <w:t>1）</w:t>
      </w:r>
      <w:r>
        <w:rPr>
          <w:rFonts w:hint="eastAsia" w:ascii="仿宋_GB2312" w:eastAsia="仿宋_GB2312"/>
          <w:color w:val="auto"/>
          <w:sz w:val="24"/>
        </w:rPr>
        <w:t>目</w:t>
      </w:r>
      <w:r>
        <w:rPr>
          <w:rFonts w:ascii="仿宋_GB2312" w:eastAsia="仿宋_GB2312"/>
          <w:color w:val="auto"/>
          <w:sz w:val="24"/>
        </w:rPr>
        <w:t>约定中已扣除的人工费金额</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3） 根据第</w:t>
      </w:r>
      <w:r>
        <w:rPr>
          <w:rFonts w:ascii="仿宋_GB2312" w:eastAsia="仿宋_GB2312"/>
          <w:color w:val="auto"/>
          <w:sz w:val="24"/>
        </w:rPr>
        <w:t>13条</w:t>
      </w:r>
      <w:r>
        <w:rPr>
          <w:rFonts w:hint="eastAsia" w:ascii="仿宋_GB2312" w:eastAsia="仿宋_GB2312"/>
          <w:color w:val="auto"/>
          <w:sz w:val="24"/>
        </w:rPr>
        <w:t>[变更与调整]应增加和扣减的变更金额；</w:t>
      </w:r>
    </w:p>
    <w:p>
      <w:pPr>
        <w:ind w:firstLine="600"/>
        <w:rPr>
          <w:rFonts w:ascii="仿宋_GB2312" w:eastAsia="仿宋_GB2312"/>
          <w:color w:val="auto"/>
          <w:sz w:val="24"/>
        </w:rPr>
      </w:pPr>
      <w:r>
        <w:rPr>
          <w:rFonts w:ascii="仿宋_GB2312" w:eastAsia="仿宋_GB2312"/>
          <w:color w:val="auto"/>
          <w:sz w:val="24"/>
        </w:rPr>
        <w:t>4</w:t>
      </w:r>
      <w:r>
        <w:rPr>
          <w:rFonts w:hint="eastAsia" w:ascii="仿宋_GB2312" w:eastAsia="仿宋_GB2312"/>
          <w:color w:val="auto"/>
          <w:sz w:val="24"/>
        </w:rPr>
        <w:t>） 根据第</w:t>
      </w:r>
      <w:r>
        <w:rPr>
          <w:rFonts w:ascii="仿宋_GB2312" w:eastAsia="仿宋_GB2312"/>
          <w:color w:val="auto"/>
          <w:sz w:val="24"/>
        </w:rPr>
        <w:t>14.2</w:t>
      </w:r>
      <w:r>
        <w:rPr>
          <w:rFonts w:hint="eastAsia" w:ascii="仿宋_GB2312" w:eastAsia="仿宋_GB2312"/>
          <w:color w:val="auto"/>
          <w:sz w:val="24"/>
        </w:rPr>
        <w:t>款[预付款]约定应支付的预付款和扣减的返还预付款；</w:t>
      </w:r>
    </w:p>
    <w:p>
      <w:pPr>
        <w:ind w:firstLine="600"/>
        <w:rPr>
          <w:rFonts w:ascii="仿宋_GB2312" w:eastAsia="仿宋_GB2312"/>
          <w:color w:val="auto"/>
          <w:sz w:val="24"/>
        </w:rPr>
      </w:pPr>
      <w:r>
        <w:rPr>
          <w:rFonts w:ascii="仿宋_GB2312" w:eastAsia="仿宋_GB2312"/>
          <w:color w:val="auto"/>
          <w:sz w:val="24"/>
        </w:rPr>
        <w:t>5</w:t>
      </w:r>
      <w:r>
        <w:rPr>
          <w:rFonts w:hint="eastAsia" w:ascii="仿宋_GB2312" w:eastAsia="仿宋_GB2312"/>
          <w:color w:val="auto"/>
          <w:sz w:val="24"/>
        </w:rPr>
        <w:t>） 根据第</w:t>
      </w:r>
      <w:r>
        <w:rPr>
          <w:rFonts w:ascii="仿宋_GB2312" w:eastAsia="仿宋_GB2312"/>
          <w:color w:val="auto"/>
          <w:sz w:val="24"/>
        </w:rPr>
        <w:t>14.6.2</w:t>
      </w:r>
      <w:r>
        <w:rPr>
          <w:rFonts w:hint="eastAsia" w:ascii="仿宋_GB2312" w:eastAsia="仿宋_GB2312"/>
          <w:color w:val="auto"/>
          <w:sz w:val="24"/>
        </w:rPr>
        <w:t>项[质量保证金的预留]约定应预留的质量保证金金额；</w:t>
      </w:r>
    </w:p>
    <w:p>
      <w:pPr>
        <w:ind w:firstLine="600"/>
        <w:rPr>
          <w:rFonts w:ascii="仿宋_GB2312" w:eastAsia="仿宋_GB2312"/>
          <w:color w:val="auto"/>
          <w:sz w:val="24"/>
        </w:rPr>
      </w:pPr>
      <w:r>
        <w:rPr>
          <w:rFonts w:ascii="仿宋_GB2312" w:eastAsia="仿宋_GB2312"/>
          <w:color w:val="auto"/>
          <w:sz w:val="24"/>
        </w:rPr>
        <w:t>6</w:t>
      </w:r>
      <w:r>
        <w:rPr>
          <w:rFonts w:hint="eastAsia" w:ascii="仿宋_GB2312" w:eastAsia="仿宋_GB2312"/>
          <w:color w:val="auto"/>
          <w:sz w:val="24"/>
        </w:rPr>
        <w:t>） 根据第</w:t>
      </w:r>
      <w:r>
        <w:rPr>
          <w:rFonts w:ascii="仿宋_GB2312" w:eastAsia="仿宋_GB2312"/>
          <w:color w:val="auto"/>
          <w:sz w:val="24"/>
        </w:rPr>
        <w:t>19条</w:t>
      </w:r>
      <w:r>
        <w:rPr>
          <w:rFonts w:hint="eastAsia" w:ascii="仿宋_GB2312" w:eastAsia="仿宋_GB2312"/>
          <w:color w:val="auto"/>
          <w:sz w:val="24"/>
        </w:rPr>
        <w:t>[索赔]应增加和扣减的索赔金额；</w:t>
      </w:r>
    </w:p>
    <w:p>
      <w:pPr>
        <w:ind w:firstLine="600"/>
        <w:rPr>
          <w:rFonts w:ascii="仿宋_GB2312" w:eastAsia="仿宋_GB2312"/>
          <w:color w:val="auto"/>
          <w:sz w:val="24"/>
        </w:rPr>
      </w:pPr>
      <w:r>
        <w:rPr>
          <w:rFonts w:ascii="仿宋_GB2312" w:eastAsia="仿宋_GB2312"/>
          <w:color w:val="auto"/>
          <w:sz w:val="24"/>
        </w:rPr>
        <w:t>7</w:t>
      </w:r>
      <w:r>
        <w:rPr>
          <w:rFonts w:hint="eastAsia" w:ascii="仿宋_GB2312" w:eastAsia="仿宋_GB2312"/>
          <w:color w:val="auto"/>
          <w:sz w:val="24"/>
        </w:rPr>
        <w:t>） 对已签发的进度款支付证书中出现错误的修正，应在本次进度付款中支付或扣除的金额；</w:t>
      </w:r>
    </w:p>
    <w:p>
      <w:pPr>
        <w:ind w:firstLine="600"/>
        <w:rPr>
          <w:rFonts w:ascii="仿宋_GB2312" w:eastAsia="仿宋_GB2312"/>
          <w:color w:val="auto"/>
          <w:sz w:val="24"/>
        </w:rPr>
      </w:pPr>
      <w:r>
        <w:rPr>
          <w:rFonts w:hint="eastAsia" w:ascii="仿宋_GB2312" w:eastAsia="仿宋_GB2312"/>
          <w:color w:val="auto"/>
          <w:sz w:val="24"/>
        </w:rPr>
        <w:t>8） 根据合同约定应增加和扣减的其他金额。</w:t>
      </w:r>
    </w:p>
    <w:p>
      <w:pPr>
        <w:pStyle w:val="88"/>
        <w:numPr>
          <w:ilvl w:val="0"/>
          <w:numId w:val="0"/>
        </w:numPr>
        <w:rPr>
          <w:rFonts w:ascii="仿宋_GB2312" w:eastAsia="仿宋_GB2312"/>
          <w:color w:val="auto"/>
          <w:szCs w:val="24"/>
        </w:rPr>
      </w:pPr>
      <w:bookmarkStart w:id="982" w:name="_Ref531957608"/>
      <w:r>
        <w:rPr>
          <w:rFonts w:hint="eastAsia" w:ascii="仿宋_GB2312" w:eastAsia="仿宋_GB2312"/>
          <w:color w:val="auto"/>
          <w:szCs w:val="24"/>
        </w:rPr>
        <w:t>1</w:t>
      </w:r>
      <w:r>
        <w:rPr>
          <w:rFonts w:ascii="仿宋_GB2312" w:eastAsia="仿宋_GB2312"/>
          <w:color w:val="auto"/>
          <w:szCs w:val="24"/>
        </w:rPr>
        <w:t xml:space="preserve">4.3.2 </w:t>
      </w:r>
      <w:r>
        <w:rPr>
          <w:rFonts w:hint="eastAsia" w:ascii="仿宋_GB2312" w:eastAsia="仿宋_GB2312"/>
          <w:color w:val="auto"/>
          <w:szCs w:val="24"/>
        </w:rPr>
        <w:t>进度付款审核和支付</w:t>
      </w:r>
      <w:bookmarkEnd w:id="982"/>
    </w:p>
    <w:p>
      <w:pPr>
        <w:pStyle w:val="154"/>
        <w:numPr>
          <w:ilvl w:val="0"/>
          <w:numId w:val="0"/>
        </w:numPr>
        <w:ind w:firstLine="480" w:firstLineChars="200"/>
        <w:rPr>
          <w:rFonts w:ascii="仿宋_GB2312" w:eastAsia="仿宋_GB2312"/>
          <w:color w:val="auto"/>
          <w:szCs w:val="24"/>
        </w:rPr>
      </w:pPr>
      <w:r>
        <w:rPr>
          <w:rFonts w:hint="eastAsia" w:ascii="仿宋_GB2312" w:eastAsia="仿宋_GB2312"/>
          <w:color w:val="auto"/>
          <w:szCs w:val="24"/>
        </w:rPr>
        <w:t>除专用合同条件另有约定外，工程师应在收到承包人进度付款申请单以及相关资料后7天内完成审查并报送发包人，发包人应在收到后7天内完成审批并向承包人签发进度款支付证书。发包人逾期（包括因工程师原因延误报送的时间）未完成审批且未提出异议的，视为已签发进度款支付证书。</w:t>
      </w:r>
    </w:p>
    <w:p>
      <w:pPr>
        <w:ind w:firstLine="600"/>
        <w:rPr>
          <w:rFonts w:ascii="仿宋_GB2312" w:eastAsia="仿宋_GB2312"/>
          <w:color w:val="auto"/>
          <w:sz w:val="24"/>
        </w:rPr>
      </w:pPr>
      <w:r>
        <w:rPr>
          <w:rFonts w:hint="eastAsia" w:ascii="仿宋_GB2312" w:eastAsia="仿宋_GB2312"/>
          <w:color w:val="auto"/>
          <w:sz w:val="24"/>
        </w:rPr>
        <w:t>工程师对承包人的进度付款申请单有异议的，有权要求承包人修正和提供补充资料，承包人应提交修正后的进度付款申请单。工程师应在收到承包人修正后的进度付款申请单及相关资料后7天内完成审查并报送发包人，发包人应在收到工程师报送的进度付款申请单及相关资料后7天内，向承包人签发无异议部分的进度款支付证书。存在争议的部分，按照第</w:t>
      </w:r>
      <w:r>
        <w:rPr>
          <w:rFonts w:ascii="仿宋_GB2312" w:eastAsia="仿宋_GB2312"/>
          <w:color w:val="auto"/>
          <w:sz w:val="24"/>
        </w:rPr>
        <w:t>20条</w:t>
      </w:r>
      <w:r>
        <w:rPr>
          <w:rFonts w:hint="eastAsia" w:ascii="仿宋_GB2312" w:eastAsia="仿宋_GB2312"/>
          <w:color w:val="auto"/>
          <w:sz w:val="24"/>
        </w:rPr>
        <w:t>[争议解决]的约定处理。</w:t>
      </w:r>
    </w:p>
    <w:p>
      <w:pPr>
        <w:pStyle w:val="154"/>
        <w:numPr>
          <w:ilvl w:val="0"/>
          <w:numId w:val="0"/>
        </w:numPr>
        <w:ind w:firstLine="480" w:firstLineChars="200"/>
        <w:rPr>
          <w:rFonts w:ascii="仿宋_GB2312" w:eastAsia="仿宋_GB2312"/>
          <w:color w:val="auto"/>
          <w:szCs w:val="24"/>
        </w:rPr>
      </w:pPr>
      <w:r>
        <w:rPr>
          <w:rFonts w:hint="eastAsia" w:ascii="仿宋_GB2312" w:eastAsia="仿宋_GB2312"/>
          <w:color w:val="auto"/>
          <w:szCs w:val="24"/>
        </w:rPr>
        <w:t xml:space="preserve">除专用合同条件另有约定外，发包人应在进度款支付证书签发后14天内完成支付，发包人逾期支付进度款的，按照贷款市场报价利率（LPR）支付利息；逾期支付超过56天的，按照贷款市场报价利率（LPR）的两倍支付利息。 </w:t>
      </w:r>
    </w:p>
    <w:p>
      <w:pPr>
        <w:pStyle w:val="154"/>
        <w:numPr>
          <w:ilvl w:val="0"/>
          <w:numId w:val="0"/>
        </w:numPr>
        <w:ind w:firstLine="480" w:firstLineChars="200"/>
        <w:rPr>
          <w:rFonts w:ascii="仿宋_GB2312" w:eastAsia="仿宋_GB2312"/>
          <w:color w:val="auto"/>
          <w:szCs w:val="24"/>
        </w:rPr>
      </w:pPr>
      <w:r>
        <w:rPr>
          <w:rFonts w:hint="eastAsia" w:ascii="仿宋_GB2312" w:eastAsia="仿宋_GB2312"/>
          <w:color w:val="auto"/>
          <w:szCs w:val="24"/>
        </w:rPr>
        <w:t>发包人签发进度款支付证书，不表明发包人已同意、批准或接受了承包人完成的相应部分的工作。</w:t>
      </w:r>
    </w:p>
    <w:p>
      <w:pPr>
        <w:pStyle w:val="88"/>
        <w:numPr>
          <w:ilvl w:val="0"/>
          <w:numId w:val="0"/>
        </w:numPr>
        <w:rPr>
          <w:rFonts w:ascii="仿宋_GB2312" w:eastAsia="仿宋_GB2312"/>
          <w:color w:val="auto"/>
          <w:szCs w:val="24"/>
        </w:rPr>
      </w:pPr>
      <w:bookmarkStart w:id="983" w:name="_Ref531957023"/>
      <w:r>
        <w:rPr>
          <w:rFonts w:hint="eastAsia" w:ascii="仿宋_GB2312" w:eastAsia="仿宋_GB2312"/>
          <w:color w:val="auto"/>
          <w:szCs w:val="24"/>
        </w:rPr>
        <w:t>1</w:t>
      </w:r>
      <w:r>
        <w:rPr>
          <w:rFonts w:ascii="仿宋_GB2312" w:eastAsia="仿宋_GB2312"/>
          <w:color w:val="auto"/>
          <w:szCs w:val="24"/>
        </w:rPr>
        <w:t xml:space="preserve">4.3.3 </w:t>
      </w:r>
      <w:r>
        <w:rPr>
          <w:rFonts w:hint="eastAsia" w:ascii="仿宋_GB2312" w:eastAsia="仿宋_GB2312"/>
          <w:color w:val="auto"/>
          <w:szCs w:val="24"/>
        </w:rPr>
        <w:t>进度付款的修正</w:t>
      </w:r>
      <w:bookmarkEnd w:id="983"/>
    </w:p>
    <w:p>
      <w:pPr>
        <w:ind w:firstLine="600"/>
        <w:rPr>
          <w:rFonts w:ascii="仿宋_GB2312" w:eastAsia="仿宋_GB2312"/>
          <w:color w:val="auto"/>
          <w:sz w:val="24"/>
        </w:rPr>
      </w:pPr>
      <w:r>
        <w:rPr>
          <w:rFonts w:hint="eastAsia" w:ascii="仿宋_GB2312" w:eastAsia="仿宋_GB2312"/>
          <w:color w:val="auto"/>
          <w:sz w:val="24"/>
        </w:rPr>
        <w:t>在对已签发的进度款支付证书进行阶段汇总和复核中发现错误、遗漏或重复的，发包人和承包人均有权提出修正申请。经发包人和承包人同意的修正，应在下期进度付款中支付或扣除。</w:t>
      </w:r>
    </w:p>
    <w:p>
      <w:pPr>
        <w:pStyle w:val="315"/>
        <w:widowControl/>
        <w:numPr>
          <w:ilvl w:val="0"/>
          <w:numId w:val="0"/>
        </w:numPr>
        <w:rPr>
          <w:b w:val="0"/>
          <w:bCs/>
          <w:color w:val="auto"/>
        </w:rPr>
      </w:pPr>
      <w:bookmarkStart w:id="984" w:name="_Ref4538578"/>
      <w:bookmarkStart w:id="985" w:name="_Toc54862295"/>
      <w:bookmarkStart w:id="986" w:name="_Ref536647822"/>
      <w:bookmarkStart w:id="987" w:name="_Ref536647814"/>
      <w:r>
        <w:rPr>
          <w:rFonts w:hint="eastAsia"/>
          <w:b w:val="0"/>
          <w:bCs/>
          <w:color w:val="auto"/>
        </w:rPr>
        <w:t>1</w:t>
      </w:r>
      <w:r>
        <w:rPr>
          <w:b w:val="0"/>
          <w:bCs/>
          <w:color w:val="auto"/>
        </w:rPr>
        <w:t xml:space="preserve">4.4 </w:t>
      </w:r>
      <w:r>
        <w:rPr>
          <w:rFonts w:hint="eastAsia"/>
          <w:b w:val="0"/>
          <w:bCs/>
          <w:color w:val="auto"/>
        </w:rPr>
        <w:t>付款计划表</w:t>
      </w:r>
      <w:bookmarkEnd w:id="984"/>
      <w:bookmarkEnd w:id="985"/>
    </w:p>
    <w:p>
      <w:pPr>
        <w:pStyle w:val="88"/>
        <w:numPr>
          <w:ilvl w:val="0"/>
          <w:numId w:val="0"/>
        </w:numPr>
        <w:rPr>
          <w:rFonts w:ascii="仿宋_GB2312" w:eastAsia="仿宋_GB2312"/>
          <w:color w:val="auto"/>
          <w:szCs w:val="24"/>
        </w:rPr>
      </w:pPr>
      <w:bookmarkStart w:id="988" w:name="_Ref4570974"/>
      <w:r>
        <w:rPr>
          <w:rFonts w:hint="eastAsia" w:ascii="仿宋_GB2312" w:eastAsia="仿宋_GB2312"/>
          <w:color w:val="auto"/>
          <w:szCs w:val="24"/>
        </w:rPr>
        <w:t>1</w:t>
      </w:r>
      <w:r>
        <w:rPr>
          <w:rFonts w:ascii="仿宋_GB2312" w:eastAsia="仿宋_GB2312"/>
          <w:color w:val="auto"/>
          <w:szCs w:val="24"/>
        </w:rPr>
        <w:t xml:space="preserve">4.4.1 </w:t>
      </w:r>
      <w:r>
        <w:rPr>
          <w:rFonts w:hint="eastAsia" w:ascii="仿宋_GB2312" w:eastAsia="仿宋_GB2312"/>
          <w:color w:val="auto"/>
          <w:szCs w:val="24"/>
        </w:rPr>
        <w:t>付款计划表的编制要求</w:t>
      </w:r>
      <w:bookmarkEnd w:id="988"/>
    </w:p>
    <w:p>
      <w:pPr>
        <w:ind w:firstLine="600"/>
        <w:rPr>
          <w:rFonts w:ascii="仿宋_GB2312" w:eastAsia="仿宋_GB2312"/>
          <w:color w:val="auto"/>
          <w:sz w:val="24"/>
        </w:rPr>
      </w:pPr>
      <w:r>
        <w:rPr>
          <w:rFonts w:hint="eastAsia" w:ascii="仿宋_GB2312" w:eastAsia="仿宋_GB2312"/>
          <w:color w:val="auto"/>
          <w:sz w:val="24"/>
        </w:rPr>
        <w:t>除专用合同条件另有约定外，付款计划表按如下要求编制：</w:t>
      </w:r>
    </w:p>
    <w:p>
      <w:pPr>
        <w:ind w:firstLine="600"/>
        <w:rPr>
          <w:rFonts w:ascii="仿宋_GB2312" w:eastAsia="仿宋_GB2312"/>
          <w:color w:val="auto"/>
          <w:sz w:val="24"/>
        </w:rPr>
      </w:pPr>
      <w:r>
        <w:rPr>
          <w:rFonts w:hint="eastAsia" w:ascii="仿宋_GB2312" w:eastAsia="仿宋_GB2312"/>
          <w:color w:val="auto"/>
          <w:sz w:val="24"/>
        </w:rPr>
        <w:t>（1） 付款计划表中所列的每期付款金额，应为第</w:t>
      </w:r>
      <w:r>
        <w:rPr>
          <w:rFonts w:ascii="仿宋_GB2312" w:eastAsia="仿宋_GB2312"/>
          <w:color w:val="auto"/>
          <w:sz w:val="24"/>
        </w:rPr>
        <w:t>14.3.1</w:t>
      </w:r>
      <w:r>
        <w:rPr>
          <w:rFonts w:hint="eastAsia" w:ascii="仿宋_GB2312" w:eastAsia="仿宋_GB2312"/>
          <w:color w:val="auto"/>
          <w:sz w:val="24"/>
        </w:rPr>
        <w:t>项[工程进度付款申请]每期进度款的估算金额；</w:t>
      </w:r>
    </w:p>
    <w:p>
      <w:pPr>
        <w:ind w:firstLine="600"/>
        <w:rPr>
          <w:rFonts w:ascii="仿宋_GB2312" w:eastAsia="仿宋_GB2312"/>
          <w:color w:val="auto"/>
          <w:sz w:val="24"/>
        </w:rPr>
      </w:pPr>
      <w:r>
        <w:rPr>
          <w:rFonts w:hint="eastAsia" w:ascii="仿宋_GB2312" w:eastAsia="仿宋_GB2312"/>
          <w:color w:val="auto"/>
          <w:sz w:val="24"/>
        </w:rPr>
        <w:t>（2） 实际进度与项目进度计划不一致的，合同当事人可按照第</w:t>
      </w:r>
      <w:r>
        <w:rPr>
          <w:rFonts w:ascii="仿宋_GB2312" w:eastAsia="仿宋_GB2312"/>
          <w:color w:val="auto"/>
          <w:sz w:val="24"/>
        </w:rPr>
        <w:t>3.6</w:t>
      </w:r>
      <w:r>
        <w:rPr>
          <w:rFonts w:hint="eastAsia" w:ascii="仿宋_GB2312" w:eastAsia="仿宋_GB2312"/>
          <w:color w:val="auto"/>
          <w:sz w:val="24"/>
        </w:rPr>
        <w:t>款[</w:t>
      </w:r>
      <w:r>
        <w:rPr>
          <w:rFonts w:ascii="仿宋_GB2312" w:eastAsia="仿宋_GB2312"/>
          <w:color w:val="auto"/>
          <w:sz w:val="24"/>
        </w:rPr>
        <w:t>商定或确定</w:t>
      </w:r>
      <w:r>
        <w:rPr>
          <w:rFonts w:hint="eastAsia" w:ascii="仿宋_GB2312" w:eastAsia="仿宋_GB2312"/>
          <w:color w:val="auto"/>
          <w:sz w:val="24"/>
        </w:rPr>
        <w:t>]修改付款计划表；</w:t>
      </w:r>
    </w:p>
    <w:p>
      <w:pPr>
        <w:ind w:firstLine="600"/>
        <w:rPr>
          <w:rFonts w:ascii="仿宋_GB2312" w:eastAsia="仿宋_GB2312"/>
          <w:color w:val="auto"/>
          <w:sz w:val="24"/>
        </w:rPr>
      </w:pPr>
      <w:r>
        <w:rPr>
          <w:rFonts w:hint="eastAsia" w:ascii="仿宋_GB2312" w:eastAsia="仿宋_GB2312"/>
          <w:color w:val="auto"/>
          <w:sz w:val="24"/>
        </w:rPr>
        <w:t>（3） 不采用付款计划表的，承包人应向工程师提交按季度编制的支付估算付款计划表，用于支付参考。</w:t>
      </w:r>
    </w:p>
    <w:p>
      <w:pPr>
        <w:pStyle w:val="88"/>
        <w:numPr>
          <w:ilvl w:val="0"/>
          <w:numId w:val="0"/>
        </w:numPr>
        <w:rPr>
          <w:rFonts w:ascii="仿宋_GB2312" w:eastAsia="仿宋_GB2312"/>
          <w:color w:val="auto"/>
          <w:szCs w:val="24"/>
        </w:rPr>
      </w:pPr>
      <w:bookmarkStart w:id="989" w:name="_Ref4571011"/>
      <w:r>
        <w:rPr>
          <w:rFonts w:hint="eastAsia" w:ascii="仿宋_GB2312" w:eastAsia="仿宋_GB2312"/>
          <w:color w:val="auto"/>
          <w:szCs w:val="24"/>
        </w:rPr>
        <w:t>1</w:t>
      </w:r>
      <w:r>
        <w:rPr>
          <w:rFonts w:ascii="仿宋_GB2312" w:eastAsia="仿宋_GB2312"/>
          <w:color w:val="auto"/>
          <w:szCs w:val="24"/>
        </w:rPr>
        <w:t xml:space="preserve">4.4.2 </w:t>
      </w:r>
      <w:r>
        <w:rPr>
          <w:rFonts w:hint="eastAsia" w:ascii="仿宋_GB2312" w:eastAsia="仿宋_GB2312"/>
          <w:color w:val="auto"/>
          <w:szCs w:val="24"/>
        </w:rPr>
        <w:t>付款计划表的编制与审批</w:t>
      </w:r>
      <w:bookmarkEnd w:id="989"/>
    </w:p>
    <w:p>
      <w:pPr>
        <w:ind w:firstLine="600"/>
        <w:rPr>
          <w:rFonts w:ascii="仿宋_GB2312" w:eastAsia="仿宋_GB2312"/>
          <w:color w:val="auto"/>
          <w:sz w:val="24"/>
        </w:rPr>
      </w:pPr>
      <w:r>
        <w:rPr>
          <w:rFonts w:hint="eastAsia" w:ascii="仿宋_GB2312" w:eastAsia="仿宋_GB2312"/>
          <w:color w:val="auto"/>
          <w:sz w:val="24"/>
        </w:rPr>
        <w:t>（1） 除专用合同条件另有约定外，承包人应根据第</w:t>
      </w:r>
      <w:r>
        <w:rPr>
          <w:rFonts w:ascii="仿宋_GB2312" w:eastAsia="仿宋_GB2312"/>
          <w:color w:val="auto"/>
          <w:sz w:val="24"/>
        </w:rPr>
        <w:t>8.4</w:t>
      </w:r>
      <w:r>
        <w:rPr>
          <w:rFonts w:hint="eastAsia" w:ascii="仿宋_GB2312" w:eastAsia="仿宋_GB2312"/>
          <w:color w:val="auto"/>
          <w:sz w:val="24"/>
        </w:rPr>
        <w:t>款[项目进度计划]约定的项目进度计划、签约合同价和工程量等因素对总价合同进行分解，确定付款期数、计划每期达到的主要形象进度和（或）完成的主要计划工程量（含设计、采购、施工、竣工试验和竣工后试验等）等目标任务，编制付款计划表。其中人工费应按月确定付款期和付款计划。承包人应当在收到工程师和发包人批准的项目进度计划后7天内，将付款计划表及编制付款计划表的支持性资料报送工程师。</w:t>
      </w:r>
    </w:p>
    <w:p>
      <w:pPr>
        <w:ind w:firstLine="600"/>
        <w:rPr>
          <w:rFonts w:ascii="仿宋_GB2312" w:eastAsia="仿宋_GB2312"/>
          <w:color w:val="auto"/>
          <w:sz w:val="24"/>
        </w:rPr>
      </w:pPr>
      <w:r>
        <w:rPr>
          <w:rFonts w:hint="eastAsia" w:ascii="仿宋_GB2312" w:eastAsia="仿宋_GB2312"/>
          <w:color w:val="auto"/>
          <w:sz w:val="24"/>
        </w:rPr>
        <w:t>（2） 工程师应在收到付款计划表后7天内完成审核并报送发包人。发包人应在收到经工程师审核的付款计划表后7天内完成审批，经发包人批准的付款计划表为有约束力的付款计划表。</w:t>
      </w:r>
    </w:p>
    <w:p>
      <w:pPr>
        <w:ind w:firstLine="600"/>
        <w:rPr>
          <w:rFonts w:ascii="仿宋_GB2312" w:eastAsia="仿宋_GB2312"/>
          <w:color w:val="auto"/>
          <w:sz w:val="24"/>
        </w:rPr>
      </w:pPr>
      <w:r>
        <w:rPr>
          <w:rFonts w:hint="eastAsia" w:ascii="仿宋_GB2312" w:eastAsia="仿宋_GB2312"/>
          <w:color w:val="auto"/>
          <w:sz w:val="24"/>
        </w:rPr>
        <w:t>（3） 发包人逾期未完成付款计划表审批的，也未及时要求承包人进行修正和提供补充资料的，则承包人提交的付款计划表视为已经获得发包人批准。</w:t>
      </w:r>
    </w:p>
    <w:p>
      <w:pPr>
        <w:pStyle w:val="315"/>
        <w:widowControl/>
        <w:numPr>
          <w:ilvl w:val="0"/>
          <w:numId w:val="0"/>
        </w:numPr>
        <w:rPr>
          <w:b w:val="0"/>
          <w:bCs/>
          <w:color w:val="auto"/>
        </w:rPr>
      </w:pPr>
      <w:bookmarkStart w:id="990" w:name="_Ref4538634"/>
      <w:bookmarkStart w:id="991" w:name="_Toc54862296"/>
      <w:r>
        <w:rPr>
          <w:rFonts w:hint="eastAsia"/>
          <w:b w:val="0"/>
          <w:bCs/>
          <w:color w:val="auto"/>
        </w:rPr>
        <w:t>1</w:t>
      </w:r>
      <w:r>
        <w:rPr>
          <w:b w:val="0"/>
          <w:bCs/>
          <w:color w:val="auto"/>
        </w:rPr>
        <w:t xml:space="preserve">4.5 </w:t>
      </w:r>
      <w:r>
        <w:rPr>
          <w:rFonts w:hint="eastAsia"/>
          <w:b w:val="0"/>
          <w:bCs/>
          <w:color w:val="auto"/>
        </w:rPr>
        <w:t>竣工结算</w:t>
      </w:r>
      <w:bookmarkEnd w:id="990"/>
      <w:bookmarkEnd w:id="991"/>
    </w:p>
    <w:p>
      <w:pPr>
        <w:pStyle w:val="88"/>
        <w:numPr>
          <w:ilvl w:val="0"/>
          <w:numId w:val="0"/>
        </w:numPr>
        <w:rPr>
          <w:rFonts w:ascii="仿宋_GB2312" w:eastAsia="仿宋_GB2312"/>
          <w:color w:val="auto"/>
          <w:szCs w:val="24"/>
        </w:rPr>
      </w:pPr>
      <w:bookmarkStart w:id="992" w:name="_Ref4571361"/>
      <w:r>
        <w:rPr>
          <w:rFonts w:hint="eastAsia" w:ascii="仿宋_GB2312" w:eastAsia="仿宋_GB2312"/>
          <w:color w:val="auto"/>
          <w:szCs w:val="24"/>
        </w:rPr>
        <w:t>1</w:t>
      </w:r>
      <w:r>
        <w:rPr>
          <w:rFonts w:ascii="仿宋_GB2312" w:eastAsia="仿宋_GB2312"/>
          <w:color w:val="auto"/>
          <w:szCs w:val="24"/>
        </w:rPr>
        <w:t xml:space="preserve">4.5.1 </w:t>
      </w:r>
      <w:r>
        <w:rPr>
          <w:rFonts w:hint="eastAsia" w:ascii="仿宋_GB2312" w:eastAsia="仿宋_GB2312"/>
          <w:color w:val="auto"/>
          <w:szCs w:val="24"/>
        </w:rPr>
        <w:t>竣工结算申请</w:t>
      </w:r>
      <w:bookmarkEnd w:id="992"/>
    </w:p>
    <w:p>
      <w:pPr>
        <w:ind w:firstLine="600"/>
        <w:rPr>
          <w:rFonts w:ascii="仿宋_GB2312" w:eastAsia="仿宋_GB2312"/>
          <w:color w:val="auto"/>
          <w:sz w:val="24"/>
        </w:rPr>
      </w:pPr>
      <w:r>
        <w:rPr>
          <w:rFonts w:hint="eastAsia" w:ascii="仿宋_GB2312" w:eastAsia="仿宋_GB2312"/>
          <w:color w:val="auto"/>
          <w:sz w:val="24"/>
        </w:rPr>
        <w:t>除专用合同条件另有约定外，承包人应在工程竣工验收合格后42天内向工程师提交竣工结算申请单，并提交完整的结算资料，有关竣工结算申请单的资料清单和份数等要求由合同当事人在专用合同条件中约定。</w:t>
      </w:r>
    </w:p>
    <w:p>
      <w:pPr>
        <w:ind w:firstLine="600"/>
        <w:rPr>
          <w:rFonts w:ascii="仿宋_GB2312" w:eastAsia="仿宋_GB2312"/>
          <w:color w:val="auto"/>
          <w:sz w:val="24"/>
        </w:rPr>
      </w:pPr>
      <w:r>
        <w:rPr>
          <w:rFonts w:hint="eastAsia" w:ascii="仿宋_GB2312" w:eastAsia="仿宋_GB2312"/>
          <w:color w:val="auto"/>
          <w:sz w:val="24"/>
        </w:rPr>
        <w:t>除专用合同条件另有约定外，竣工结算申请单应包括以下内容：</w:t>
      </w:r>
    </w:p>
    <w:p>
      <w:pPr>
        <w:ind w:firstLine="600"/>
        <w:rPr>
          <w:rFonts w:ascii="仿宋_GB2312" w:eastAsia="仿宋_GB2312"/>
          <w:color w:val="auto"/>
          <w:sz w:val="24"/>
        </w:rPr>
      </w:pPr>
      <w:r>
        <w:rPr>
          <w:rFonts w:hint="eastAsia" w:ascii="仿宋_GB2312" w:eastAsia="仿宋_GB2312"/>
          <w:color w:val="auto"/>
          <w:sz w:val="24"/>
        </w:rPr>
        <w:t>（1） 竣工结算合同价格；</w:t>
      </w:r>
    </w:p>
    <w:p>
      <w:pPr>
        <w:ind w:firstLine="600"/>
        <w:rPr>
          <w:rFonts w:ascii="仿宋_GB2312" w:eastAsia="仿宋_GB2312"/>
          <w:color w:val="auto"/>
          <w:sz w:val="24"/>
        </w:rPr>
      </w:pPr>
      <w:r>
        <w:rPr>
          <w:rFonts w:hint="eastAsia" w:ascii="仿宋_GB2312" w:eastAsia="仿宋_GB2312"/>
          <w:color w:val="auto"/>
          <w:sz w:val="24"/>
        </w:rPr>
        <w:t>（2） 发包人已支付承包人的款项；</w:t>
      </w:r>
    </w:p>
    <w:p>
      <w:pPr>
        <w:ind w:firstLine="600"/>
        <w:rPr>
          <w:rFonts w:ascii="仿宋_GB2312" w:eastAsia="仿宋_GB2312"/>
          <w:color w:val="auto"/>
          <w:sz w:val="24"/>
        </w:rPr>
      </w:pPr>
      <w:r>
        <w:rPr>
          <w:rFonts w:hint="eastAsia" w:ascii="仿宋_GB2312" w:eastAsia="仿宋_GB2312"/>
          <w:color w:val="auto"/>
          <w:sz w:val="24"/>
        </w:rPr>
        <w:t>（3） 采用第</w:t>
      </w:r>
      <w:r>
        <w:rPr>
          <w:rFonts w:ascii="仿宋_GB2312" w:eastAsia="仿宋_GB2312"/>
          <w:color w:val="auto"/>
          <w:sz w:val="24"/>
        </w:rPr>
        <w:t>14.6.1</w:t>
      </w:r>
      <w:r>
        <w:rPr>
          <w:rFonts w:hint="eastAsia" w:ascii="仿宋_GB2312" w:eastAsia="仿宋_GB2312"/>
          <w:color w:val="auto"/>
          <w:sz w:val="24"/>
        </w:rPr>
        <w:t>项[承包人提供质量保证金的方式]第（2）种方式提供质量保证金的，应当列明应预留的质量保证金金额；采用第</w:t>
      </w:r>
      <w:r>
        <w:rPr>
          <w:rFonts w:ascii="仿宋_GB2312" w:eastAsia="仿宋_GB2312"/>
          <w:color w:val="auto"/>
          <w:sz w:val="24"/>
        </w:rPr>
        <w:t>14.6.1</w:t>
      </w:r>
      <w:r>
        <w:rPr>
          <w:rFonts w:hint="eastAsia" w:ascii="仿宋_GB2312" w:eastAsia="仿宋_GB2312"/>
          <w:color w:val="auto"/>
          <w:sz w:val="24"/>
        </w:rPr>
        <w:t>项[承包人提供质量保证金的方式]中其他方式提供质量保证金的，应当按第</w:t>
      </w:r>
      <w:r>
        <w:rPr>
          <w:rFonts w:ascii="仿宋_GB2312" w:eastAsia="仿宋_GB2312"/>
          <w:color w:val="auto"/>
          <w:sz w:val="24"/>
        </w:rPr>
        <w:t>14.6</w:t>
      </w:r>
      <w:r>
        <w:rPr>
          <w:rFonts w:hint="eastAsia" w:ascii="仿宋_GB2312" w:eastAsia="仿宋_GB2312"/>
          <w:color w:val="auto"/>
          <w:sz w:val="24"/>
        </w:rPr>
        <w:t>款[质量保证金]提供相关文件作为附件；</w:t>
      </w:r>
    </w:p>
    <w:p>
      <w:pPr>
        <w:ind w:firstLine="600"/>
        <w:rPr>
          <w:rFonts w:hint="eastAsia" w:ascii="仿宋_GB2312" w:eastAsia="仿宋_GB2312"/>
          <w:color w:val="auto"/>
          <w:sz w:val="24"/>
        </w:rPr>
      </w:pPr>
      <w:r>
        <w:rPr>
          <w:rFonts w:hint="eastAsia" w:ascii="仿宋_GB2312" w:eastAsia="仿宋_GB2312"/>
          <w:color w:val="auto"/>
          <w:sz w:val="24"/>
        </w:rPr>
        <w:t>（4） 发包人应支付承包人的合同价款。</w:t>
      </w:r>
    </w:p>
    <w:p>
      <w:pPr>
        <w:pStyle w:val="17"/>
        <w:ind w:firstLine="720" w:firstLineChars="300"/>
        <w:rPr>
          <w:rFonts w:hint="eastAsia" w:eastAsia="仿宋_GB2312"/>
          <w:color w:val="auto"/>
        </w:rPr>
      </w:pPr>
      <w:r>
        <w:rPr>
          <w:rFonts w:hint="eastAsia" w:ascii="仿宋_GB2312" w:eastAsia="仿宋_GB2312"/>
          <w:color w:val="auto"/>
          <w:sz w:val="24"/>
        </w:rPr>
        <w:t>（5）结算方式：</w:t>
      </w:r>
    </w:p>
    <w:p>
      <w:pPr>
        <w:ind w:firstLine="600"/>
        <w:rPr>
          <w:rFonts w:hint="eastAsia" w:ascii="仿宋_GB2312" w:eastAsia="仿宋_GB2312"/>
          <w:color w:val="auto"/>
          <w:sz w:val="24"/>
        </w:rPr>
      </w:pPr>
      <w:r>
        <w:rPr>
          <w:rFonts w:hint="eastAsia" w:ascii="仿宋_GB2312" w:eastAsia="仿宋_GB2312"/>
          <w:color w:val="auto"/>
          <w:sz w:val="24"/>
        </w:rPr>
        <w:t>5.1设计费用按固定价方式结算，除招标人要求增加设计内容以外，结算时不予调整。</w:t>
      </w:r>
    </w:p>
    <w:p>
      <w:pPr>
        <w:ind w:firstLine="600"/>
        <w:rPr>
          <w:rFonts w:hint="eastAsia" w:ascii="仿宋_GB2312" w:eastAsia="仿宋_GB2312"/>
          <w:color w:val="auto"/>
          <w:sz w:val="24"/>
        </w:rPr>
      </w:pPr>
      <w:r>
        <w:rPr>
          <w:rFonts w:hint="eastAsia" w:ascii="仿宋_GB2312" w:eastAsia="仿宋_GB2312"/>
          <w:color w:val="auto"/>
          <w:sz w:val="24"/>
        </w:rPr>
        <w:t>5.2建安工程费按以下方式进行结算。</w:t>
      </w:r>
    </w:p>
    <w:p>
      <w:pPr>
        <w:ind w:firstLine="600"/>
        <w:rPr>
          <w:rFonts w:hint="eastAsia" w:ascii="仿宋_GB2312" w:eastAsia="仿宋_GB2312"/>
          <w:color w:val="auto"/>
          <w:sz w:val="24"/>
        </w:rPr>
      </w:pPr>
      <w:r>
        <w:rPr>
          <w:rFonts w:hint="eastAsia" w:ascii="仿宋_GB2312" w:eastAsia="仿宋_GB2312"/>
          <w:color w:val="auto"/>
          <w:sz w:val="24"/>
        </w:rPr>
        <w:t>5.2.1计价办法按湘建价【2020】56号文，定额按湘建价【2020】56号文中市政、园林等消耗量标准及相关解释文件。</w:t>
      </w:r>
    </w:p>
    <w:p>
      <w:pPr>
        <w:ind w:firstLine="600"/>
        <w:rPr>
          <w:rFonts w:hint="eastAsia" w:ascii="仿宋_GB2312" w:eastAsia="仿宋_GB2312"/>
          <w:color w:val="auto"/>
          <w:sz w:val="24"/>
        </w:rPr>
      </w:pPr>
      <w:r>
        <w:rPr>
          <w:rFonts w:hint="eastAsia" w:ascii="仿宋_GB2312" w:eastAsia="仿宋_GB2312"/>
          <w:color w:val="auto"/>
          <w:sz w:val="24"/>
        </w:rPr>
        <w:t>5.2.2施工过程中如有新的法律法规及主管部门的政策性文件对人工、机械、材料各种税费产生变化的按相关法律法规和文件执行。</w:t>
      </w:r>
    </w:p>
    <w:p>
      <w:pPr>
        <w:ind w:firstLine="600"/>
        <w:rPr>
          <w:rFonts w:hint="eastAsia" w:ascii="仿宋_GB2312" w:eastAsia="仿宋_GB2312"/>
          <w:color w:val="auto"/>
          <w:sz w:val="24"/>
        </w:rPr>
      </w:pPr>
      <w:r>
        <w:rPr>
          <w:rFonts w:hint="eastAsia" w:ascii="仿宋_GB2312" w:eastAsia="仿宋_GB2312"/>
          <w:color w:val="auto"/>
          <w:sz w:val="24"/>
        </w:rPr>
        <w:t>5.2.3结算材料价格按施工同期《岳阳工程造价》发布的预算价为准，施工期间土建及市政工程材料实际采购价高于同期《岳阳工程造价》发布预算价3%(3%以内不调整)、装修及安装工程材料实际采购价高于同期《岳阳工程造价》发布预算价5%(5%以内不调整)时，经发包人核实，结算时按实际采购价调整(3%以内不调整)、装修及安装工程5%(5%以内不调整)，经发包人核实，结算时按实际采购价调整。</w:t>
      </w:r>
    </w:p>
    <w:p>
      <w:pPr>
        <w:ind w:firstLine="600"/>
        <w:rPr>
          <w:rFonts w:hint="eastAsia" w:ascii="仿宋_GB2312" w:eastAsia="仿宋_GB2312"/>
          <w:color w:val="auto"/>
          <w:sz w:val="24"/>
        </w:rPr>
      </w:pPr>
      <w:r>
        <w:rPr>
          <w:rFonts w:hint="eastAsia" w:ascii="仿宋_GB2312" w:eastAsia="仿宋_GB2312"/>
          <w:color w:val="auto"/>
          <w:sz w:val="24"/>
        </w:rPr>
        <w:t>5.2.4本项目工程量以实际发生工程量结算。</w:t>
      </w:r>
    </w:p>
    <w:p>
      <w:pPr>
        <w:ind w:firstLine="600"/>
        <w:rPr>
          <w:rFonts w:hint="eastAsia" w:ascii="仿宋_GB2312" w:eastAsia="仿宋_GB2312"/>
          <w:color w:val="auto"/>
          <w:sz w:val="24"/>
        </w:rPr>
      </w:pPr>
      <w:r>
        <w:rPr>
          <w:rFonts w:hint="eastAsia" w:ascii="仿宋_GB2312" w:eastAsia="仿宋_GB2312"/>
          <w:color w:val="auto"/>
          <w:sz w:val="24"/>
        </w:rPr>
        <w:t>5.2.5本项目最终结算价以岳阳市</w:t>
      </w:r>
      <w:r>
        <w:rPr>
          <w:rFonts w:hint="eastAsia" w:ascii="仿宋_GB2312" w:eastAsia="仿宋_GB2312"/>
          <w:color w:val="auto"/>
          <w:sz w:val="24"/>
          <w:lang w:val="en-US" w:eastAsia="zh-CN"/>
        </w:rPr>
        <w:t>岳阳楼区</w:t>
      </w:r>
      <w:r>
        <w:rPr>
          <w:rFonts w:hint="eastAsia" w:ascii="仿宋_GB2312" w:eastAsia="仿宋_GB2312"/>
          <w:color w:val="auto"/>
          <w:sz w:val="24"/>
        </w:rPr>
        <w:t>财评中心审定的金额为准。</w:t>
      </w:r>
    </w:p>
    <w:p>
      <w:pPr>
        <w:ind w:firstLine="600"/>
        <w:rPr>
          <w:color w:val="auto"/>
        </w:rPr>
      </w:pPr>
      <w:r>
        <w:rPr>
          <w:rFonts w:hint="eastAsia" w:ascii="仿宋_GB2312" w:eastAsia="仿宋_GB2312"/>
          <w:color w:val="auto"/>
          <w:sz w:val="24"/>
        </w:rPr>
        <w:t>5.2.6项目实施过程中为严控投资，承包人除严格遵循招标文件、发包人和监理人现场指定外，涉及到变更的按相关规定，报市级监管部门和市政府相关部门审批后方可实施。</w:t>
      </w:r>
    </w:p>
    <w:p>
      <w:pPr>
        <w:pStyle w:val="88"/>
        <w:numPr>
          <w:ilvl w:val="0"/>
          <w:numId w:val="0"/>
        </w:numPr>
        <w:rPr>
          <w:rFonts w:ascii="仿宋_GB2312" w:eastAsia="仿宋_GB2312"/>
          <w:color w:val="auto"/>
          <w:szCs w:val="24"/>
        </w:rPr>
      </w:pPr>
      <w:bookmarkStart w:id="993" w:name="_Ref4571384"/>
      <w:r>
        <w:rPr>
          <w:rFonts w:hint="eastAsia" w:ascii="仿宋_GB2312" w:eastAsia="仿宋_GB2312"/>
          <w:color w:val="auto"/>
          <w:szCs w:val="24"/>
        </w:rPr>
        <w:t>1</w:t>
      </w:r>
      <w:r>
        <w:rPr>
          <w:rFonts w:ascii="仿宋_GB2312" w:eastAsia="仿宋_GB2312"/>
          <w:color w:val="auto"/>
          <w:szCs w:val="24"/>
        </w:rPr>
        <w:t xml:space="preserve">4.5.2 </w:t>
      </w:r>
      <w:r>
        <w:rPr>
          <w:rFonts w:hint="eastAsia" w:ascii="仿宋_GB2312" w:eastAsia="仿宋_GB2312"/>
          <w:color w:val="auto"/>
          <w:szCs w:val="24"/>
        </w:rPr>
        <w:t>竣工结算审核</w:t>
      </w:r>
      <w:bookmarkEnd w:id="993"/>
    </w:p>
    <w:p>
      <w:pPr>
        <w:ind w:firstLine="600"/>
        <w:rPr>
          <w:rFonts w:ascii="仿宋_GB2312" w:eastAsia="仿宋_GB2312"/>
          <w:color w:val="auto"/>
          <w:sz w:val="24"/>
        </w:rPr>
      </w:pPr>
      <w:r>
        <w:rPr>
          <w:rFonts w:hint="eastAsia" w:ascii="仿宋_GB2312" w:eastAsia="仿宋_GB2312"/>
          <w:color w:val="auto"/>
          <w:sz w:val="24"/>
        </w:rPr>
        <w:t>（1） 除专用合同条件另有约定外，工程师应在收到竣工结算申请单后14天内完成核查并报送发包人。发包人应在收到工程师提交的经审核的竣工结算申请单后14天内完成审批，并由工程师向承包人签发经发包人签认的竣工付款证书。工程师或发包人对竣工结算申请单有异议的，有权要求承包人进行修正和提供补充资料，承包人应提交修正后的竣工结算申请单。</w:t>
      </w:r>
    </w:p>
    <w:p>
      <w:pPr>
        <w:ind w:firstLine="600"/>
        <w:rPr>
          <w:rFonts w:ascii="仿宋_GB2312" w:eastAsia="仿宋_GB2312"/>
          <w:color w:val="auto"/>
          <w:sz w:val="24"/>
        </w:rPr>
      </w:pPr>
      <w:r>
        <w:rPr>
          <w:rFonts w:hint="eastAsia" w:ascii="仿宋_GB2312" w:eastAsia="仿宋_GB2312"/>
          <w:color w:val="auto"/>
          <w:sz w:val="24"/>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ind w:firstLine="600"/>
        <w:rPr>
          <w:rFonts w:ascii="仿宋_GB2312" w:eastAsia="仿宋_GB2312"/>
          <w:color w:val="auto"/>
          <w:sz w:val="24"/>
        </w:rPr>
      </w:pPr>
      <w:bookmarkStart w:id="994" w:name="_Ref4618006"/>
      <w:r>
        <w:rPr>
          <w:rFonts w:hint="eastAsia" w:ascii="仿宋_GB2312" w:eastAsia="仿宋_GB2312"/>
          <w:color w:val="auto"/>
          <w:sz w:val="24"/>
        </w:rPr>
        <w:t>（2） 除专用合同条件另有约定外，发包人应在签发竣工付款证书后的14天内，完成对承包人的竣工付款。发包人逾期支付的，按照贷款市场报价利率（LPR）支付违约金；逾期支付超过56天的，按照贷款市场报价利率（LPR）的两倍支付违约金。</w:t>
      </w:r>
      <w:bookmarkEnd w:id="994"/>
    </w:p>
    <w:p>
      <w:pPr>
        <w:ind w:firstLine="600"/>
        <w:rPr>
          <w:rFonts w:ascii="仿宋_GB2312" w:eastAsia="仿宋_GB2312"/>
          <w:color w:val="auto"/>
          <w:sz w:val="24"/>
        </w:rPr>
      </w:pPr>
      <w:r>
        <w:rPr>
          <w:rFonts w:hint="eastAsia" w:ascii="仿宋_GB2312" w:eastAsia="仿宋_GB2312"/>
          <w:color w:val="auto"/>
          <w:sz w:val="24"/>
        </w:rPr>
        <w:t>（3） 承包人对发包人签认的竣工付款证书有异议的，对于有异议部分应在收到发包人签认的竣工付款证书后7天内提出异议，并由合同当事人按照专用合同条件约定的方式和程序进行复核，或按照第</w:t>
      </w:r>
      <w:r>
        <w:rPr>
          <w:rFonts w:ascii="仿宋_GB2312" w:eastAsia="仿宋_GB2312"/>
          <w:color w:val="auto"/>
          <w:sz w:val="24"/>
        </w:rPr>
        <w:t>20条</w:t>
      </w:r>
      <w:r>
        <w:rPr>
          <w:rFonts w:hint="eastAsia" w:ascii="仿宋_GB2312" w:eastAsia="仿宋_GB2312"/>
          <w:color w:val="auto"/>
          <w:sz w:val="24"/>
        </w:rPr>
        <w:t>[争议解决]约定处理。对于无异议部分，发包人应签发临时竣工付款证书，并按本款第（2）项完成付款。承包人逾期未提出异议的，视为认可发包人的审批结果。</w:t>
      </w:r>
    </w:p>
    <w:p>
      <w:pPr>
        <w:pStyle w:val="88"/>
        <w:numPr>
          <w:ilvl w:val="0"/>
          <w:numId w:val="0"/>
        </w:numPr>
        <w:rPr>
          <w:rFonts w:ascii="仿宋_GB2312" w:eastAsia="仿宋_GB2312"/>
          <w:color w:val="auto"/>
          <w:szCs w:val="24"/>
        </w:rPr>
      </w:pPr>
      <w:bookmarkStart w:id="995" w:name="_Ref15484305"/>
      <w:r>
        <w:rPr>
          <w:rFonts w:hint="eastAsia" w:ascii="仿宋_GB2312" w:eastAsia="仿宋_GB2312"/>
          <w:color w:val="auto"/>
          <w:szCs w:val="24"/>
        </w:rPr>
        <w:t>1</w:t>
      </w:r>
      <w:r>
        <w:rPr>
          <w:rFonts w:ascii="仿宋_GB2312" w:eastAsia="仿宋_GB2312"/>
          <w:color w:val="auto"/>
          <w:szCs w:val="24"/>
        </w:rPr>
        <w:t xml:space="preserve">4.5.3 </w:t>
      </w:r>
      <w:r>
        <w:rPr>
          <w:rFonts w:hint="eastAsia" w:ascii="仿宋_GB2312" w:eastAsia="仿宋_GB2312"/>
          <w:color w:val="auto"/>
          <w:szCs w:val="24"/>
        </w:rPr>
        <w:t>扫尾工作清单</w:t>
      </w:r>
      <w:bookmarkEnd w:id="995"/>
    </w:p>
    <w:p>
      <w:pPr>
        <w:ind w:firstLine="600"/>
        <w:rPr>
          <w:rFonts w:ascii="仿宋_GB2312" w:eastAsia="仿宋_GB2312"/>
          <w:color w:val="auto"/>
          <w:sz w:val="24"/>
        </w:rPr>
      </w:pPr>
      <w:r>
        <w:rPr>
          <w:rFonts w:hint="eastAsia" w:ascii="仿宋_GB2312" w:eastAsia="仿宋_GB2312"/>
          <w:color w:val="auto"/>
          <w:sz w:val="24"/>
        </w:rPr>
        <w:t>经双方协商，部分工作在工程竣工验收后进行的，承包人应当编制扫尾工作清单，扫尾工作清单中应当列明承包人应当完成的扫尾工作的内容及完成时间。</w:t>
      </w:r>
    </w:p>
    <w:p>
      <w:pPr>
        <w:ind w:firstLine="600"/>
        <w:rPr>
          <w:rFonts w:ascii="仿宋_GB2312" w:eastAsia="仿宋_GB2312"/>
          <w:color w:val="auto"/>
          <w:sz w:val="24"/>
        </w:rPr>
      </w:pPr>
      <w:r>
        <w:rPr>
          <w:rFonts w:hint="eastAsia" w:ascii="仿宋_GB2312" w:eastAsia="仿宋_GB2312"/>
          <w:color w:val="auto"/>
          <w:sz w:val="24"/>
        </w:rPr>
        <w:t>承包人完成扫尾工作清单中的内容应取得的费用包含在第</w:t>
      </w:r>
      <w:r>
        <w:rPr>
          <w:rFonts w:ascii="仿宋_GB2312" w:eastAsia="仿宋_GB2312"/>
          <w:color w:val="auto"/>
          <w:sz w:val="24"/>
        </w:rPr>
        <w:t>14.5.1</w:t>
      </w:r>
      <w:r>
        <w:rPr>
          <w:rFonts w:hint="eastAsia" w:ascii="仿宋_GB2312" w:eastAsia="仿宋_GB2312"/>
          <w:color w:val="auto"/>
          <w:sz w:val="24"/>
        </w:rPr>
        <w:t>项[</w:t>
      </w:r>
      <w:r>
        <w:rPr>
          <w:rFonts w:ascii="仿宋_GB2312" w:eastAsia="仿宋_GB2312"/>
          <w:color w:val="auto"/>
          <w:sz w:val="24"/>
        </w:rPr>
        <w:t>竣工结算申请</w:t>
      </w:r>
      <w:r>
        <w:rPr>
          <w:rFonts w:hint="eastAsia" w:ascii="仿宋_GB2312" w:eastAsia="仿宋_GB2312"/>
          <w:color w:val="auto"/>
          <w:sz w:val="24"/>
        </w:rPr>
        <w:t>]及第</w:t>
      </w:r>
      <w:r>
        <w:rPr>
          <w:rFonts w:ascii="仿宋_GB2312" w:eastAsia="仿宋_GB2312"/>
          <w:color w:val="auto"/>
          <w:sz w:val="24"/>
        </w:rPr>
        <w:t>14.5.2</w:t>
      </w:r>
      <w:r>
        <w:rPr>
          <w:rFonts w:hint="eastAsia" w:ascii="仿宋_GB2312" w:eastAsia="仿宋_GB2312"/>
          <w:color w:val="auto"/>
          <w:sz w:val="24"/>
        </w:rPr>
        <w:t>项[竣工结算审核]中一并结算。</w:t>
      </w:r>
    </w:p>
    <w:p>
      <w:pPr>
        <w:ind w:firstLine="600"/>
        <w:rPr>
          <w:rFonts w:ascii="仿宋_GB2312" w:eastAsia="仿宋_GB2312"/>
          <w:color w:val="auto"/>
          <w:sz w:val="24"/>
        </w:rPr>
      </w:pPr>
      <w:r>
        <w:rPr>
          <w:rFonts w:hint="eastAsia" w:ascii="仿宋_GB2312" w:eastAsia="仿宋_GB2312"/>
          <w:color w:val="auto"/>
          <w:sz w:val="24"/>
        </w:rPr>
        <w:t>扫尾工作的缺陷责任期按第</w:t>
      </w:r>
      <w:r>
        <w:rPr>
          <w:rFonts w:ascii="仿宋_GB2312" w:eastAsia="仿宋_GB2312"/>
          <w:color w:val="auto"/>
          <w:sz w:val="24"/>
        </w:rPr>
        <w:t>11条</w:t>
      </w:r>
      <w:r>
        <w:rPr>
          <w:rFonts w:hint="eastAsia" w:ascii="仿宋_GB2312" w:eastAsia="仿宋_GB2312"/>
          <w:color w:val="auto"/>
          <w:sz w:val="24"/>
        </w:rPr>
        <w:t>[缺陷责任与</w:t>
      </w:r>
      <w:r>
        <w:rPr>
          <w:rFonts w:ascii="仿宋_GB2312" w:eastAsia="仿宋_GB2312"/>
          <w:color w:val="auto"/>
          <w:sz w:val="24"/>
        </w:rPr>
        <w:t>保</w:t>
      </w:r>
      <w:r>
        <w:rPr>
          <w:rFonts w:hint="eastAsia" w:ascii="仿宋_GB2312" w:eastAsia="仿宋_GB2312"/>
          <w:color w:val="auto"/>
          <w:sz w:val="24"/>
        </w:rPr>
        <w:t>修]处理。承包人未能按照扫尾工作清单约定的完成时间完成扫尾工作的，视为承包人原因导致的工程质量缺陷按照第</w:t>
      </w:r>
      <w:r>
        <w:rPr>
          <w:rFonts w:ascii="仿宋_GB2312" w:eastAsia="仿宋_GB2312"/>
          <w:color w:val="auto"/>
          <w:sz w:val="24"/>
        </w:rPr>
        <w:t>11.3</w:t>
      </w:r>
      <w:r>
        <w:rPr>
          <w:rFonts w:hint="eastAsia" w:ascii="仿宋_GB2312" w:eastAsia="仿宋_GB2312"/>
          <w:color w:val="auto"/>
          <w:sz w:val="24"/>
        </w:rPr>
        <w:t>款[缺陷调查]处理。</w:t>
      </w:r>
    </w:p>
    <w:p>
      <w:pPr>
        <w:pStyle w:val="315"/>
        <w:widowControl/>
        <w:numPr>
          <w:ilvl w:val="0"/>
          <w:numId w:val="0"/>
        </w:numPr>
        <w:rPr>
          <w:b w:val="0"/>
          <w:bCs/>
          <w:color w:val="auto"/>
        </w:rPr>
      </w:pPr>
      <w:bookmarkStart w:id="996" w:name="_Toc54862297"/>
      <w:bookmarkStart w:id="997" w:name="_Ref4571127"/>
      <w:bookmarkStart w:id="998" w:name="_Ref4582115"/>
      <w:bookmarkStart w:id="999" w:name="_Ref4617592"/>
      <w:bookmarkStart w:id="1000" w:name="_Ref4617582"/>
      <w:bookmarkStart w:id="1001" w:name="_Ref15395020"/>
      <w:bookmarkStart w:id="1002" w:name="_Ref4571100"/>
      <w:bookmarkStart w:id="1003" w:name="_Hlk15394931"/>
      <w:r>
        <w:rPr>
          <w:rFonts w:hint="eastAsia"/>
          <w:b w:val="0"/>
          <w:bCs/>
          <w:color w:val="auto"/>
        </w:rPr>
        <w:t>1</w:t>
      </w:r>
      <w:r>
        <w:rPr>
          <w:b w:val="0"/>
          <w:bCs/>
          <w:color w:val="auto"/>
        </w:rPr>
        <w:t xml:space="preserve">4.6 </w:t>
      </w:r>
      <w:r>
        <w:rPr>
          <w:rFonts w:hint="eastAsia"/>
          <w:b w:val="0"/>
          <w:bCs/>
          <w:color w:val="auto"/>
        </w:rPr>
        <w:t>质量保证金</w:t>
      </w:r>
      <w:bookmarkEnd w:id="986"/>
      <w:bookmarkEnd w:id="987"/>
      <w:bookmarkEnd w:id="996"/>
      <w:bookmarkEnd w:id="997"/>
      <w:bookmarkEnd w:id="998"/>
      <w:bookmarkEnd w:id="999"/>
      <w:bookmarkEnd w:id="1000"/>
      <w:bookmarkEnd w:id="1001"/>
      <w:bookmarkEnd w:id="1002"/>
      <w:r>
        <w:rPr>
          <w:rFonts w:hint="eastAsia"/>
          <w:b w:val="0"/>
          <w:bCs/>
          <w:color w:val="auto"/>
        </w:rPr>
        <w:t xml:space="preserve"> </w:t>
      </w:r>
    </w:p>
    <w:p>
      <w:pPr>
        <w:ind w:firstLine="600"/>
        <w:rPr>
          <w:rFonts w:ascii="仿宋_GB2312" w:eastAsia="仿宋_GB2312"/>
          <w:color w:val="auto"/>
          <w:sz w:val="24"/>
        </w:rPr>
      </w:pPr>
      <w:r>
        <w:rPr>
          <w:rFonts w:hint="eastAsia" w:ascii="仿宋_GB2312" w:eastAsia="仿宋_GB2312"/>
          <w:color w:val="auto"/>
          <w:sz w:val="24"/>
        </w:rPr>
        <w:t>经合同当事人协商一致提供质量保证金的，应在专用合同条件中予以明确。在工程项目竣工前，承包人已经提供履约担保的，发包人不得同时要求承包人提供质量保证金。</w:t>
      </w:r>
    </w:p>
    <w:bookmarkEnd w:id="1003"/>
    <w:p>
      <w:pPr>
        <w:pStyle w:val="88"/>
        <w:numPr>
          <w:ilvl w:val="0"/>
          <w:numId w:val="0"/>
        </w:numPr>
        <w:rPr>
          <w:rFonts w:ascii="仿宋_GB2312" w:eastAsia="仿宋_GB2312"/>
          <w:color w:val="auto"/>
          <w:szCs w:val="24"/>
        </w:rPr>
      </w:pPr>
      <w:bookmarkStart w:id="1004" w:name="_Ref531955069"/>
      <w:bookmarkStart w:id="1005" w:name="_Ref531957153"/>
      <w:r>
        <w:rPr>
          <w:rFonts w:hint="eastAsia" w:ascii="仿宋_GB2312" w:eastAsia="仿宋_GB2312"/>
          <w:color w:val="auto"/>
          <w:szCs w:val="24"/>
        </w:rPr>
        <w:t>1</w:t>
      </w:r>
      <w:r>
        <w:rPr>
          <w:rFonts w:ascii="仿宋_GB2312" w:eastAsia="仿宋_GB2312"/>
          <w:color w:val="auto"/>
          <w:szCs w:val="24"/>
        </w:rPr>
        <w:t xml:space="preserve">4.6.1 </w:t>
      </w:r>
      <w:r>
        <w:rPr>
          <w:rFonts w:hint="eastAsia" w:ascii="仿宋_GB2312" w:eastAsia="仿宋_GB2312"/>
          <w:color w:val="auto"/>
          <w:szCs w:val="24"/>
        </w:rPr>
        <w:t>承包人提供质量保证金的方式</w:t>
      </w:r>
      <w:bookmarkEnd w:id="1004"/>
    </w:p>
    <w:p>
      <w:pPr>
        <w:ind w:firstLine="600"/>
        <w:rPr>
          <w:rFonts w:ascii="仿宋_GB2312" w:eastAsia="仿宋_GB2312"/>
          <w:color w:val="auto"/>
          <w:sz w:val="24"/>
        </w:rPr>
      </w:pPr>
      <w:r>
        <w:rPr>
          <w:rFonts w:hint="eastAsia" w:ascii="仿宋_GB2312" w:eastAsia="仿宋_GB2312"/>
          <w:color w:val="auto"/>
          <w:sz w:val="24"/>
        </w:rPr>
        <w:t>承包人提供质量保证金有以下三种方式：</w:t>
      </w:r>
    </w:p>
    <w:p>
      <w:pPr>
        <w:ind w:firstLine="600"/>
        <w:rPr>
          <w:rFonts w:ascii="仿宋_GB2312" w:eastAsia="仿宋_GB2312"/>
          <w:color w:val="auto"/>
          <w:sz w:val="24"/>
        </w:rPr>
      </w:pPr>
      <w:bookmarkStart w:id="1006" w:name="_Ref531955096"/>
      <w:r>
        <w:rPr>
          <w:rFonts w:hint="eastAsia" w:ascii="仿宋_GB2312" w:eastAsia="仿宋_GB2312"/>
          <w:color w:val="auto"/>
          <w:sz w:val="24"/>
        </w:rPr>
        <w:t>（1） 提交工程质量保证担保；</w:t>
      </w:r>
      <w:bookmarkEnd w:id="1006"/>
    </w:p>
    <w:p>
      <w:pPr>
        <w:ind w:firstLine="600"/>
        <w:rPr>
          <w:rFonts w:ascii="仿宋_GB2312" w:eastAsia="仿宋_GB2312"/>
          <w:color w:val="auto"/>
          <w:sz w:val="24"/>
        </w:rPr>
      </w:pPr>
      <w:bookmarkStart w:id="1007" w:name="_Ref531955107"/>
      <w:r>
        <w:rPr>
          <w:rFonts w:hint="eastAsia" w:ascii="仿宋_GB2312" w:eastAsia="仿宋_GB2312"/>
          <w:color w:val="auto"/>
          <w:sz w:val="24"/>
        </w:rPr>
        <w:t>（2） 预留相应比例的工程款；</w:t>
      </w:r>
      <w:bookmarkEnd w:id="1007"/>
    </w:p>
    <w:p>
      <w:pPr>
        <w:ind w:firstLine="600"/>
        <w:rPr>
          <w:rFonts w:ascii="仿宋_GB2312" w:eastAsia="仿宋_GB2312"/>
          <w:color w:val="auto"/>
          <w:sz w:val="24"/>
        </w:rPr>
      </w:pPr>
      <w:bookmarkStart w:id="1008" w:name="_Ref531955117"/>
      <w:r>
        <w:rPr>
          <w:rFonts w:hint="eastAsia" w:ascii="仿宋_GB2312" w:eastAsia="仿宋_GB2312"/>
          <w:color w:val="auto"/>
          <w:sz w:val="24"/>
        </w:rPr>
        <w:t>（3） 双方约定的其他方式。</w:t>
      </w:r>
      <w:bookmarkEnd w:id="1008"/>
    </w:p>
    <w:p>
      <w:pPr>
        <w:ind w:firstLine="600"/>
        <w:rPr>
          <w:rFonts w:ascii="仿宋_GB2312" w:eastAsia="仿宋_GB2312"/>
          <w:color w:val="auto"/>
          <w:sz w:val="24"/>
        </w:rPr>
      </w:pPr>
      <w:r>
        <w:rPr>
          <w:rFonts w:hint="eastAsia" w:ascii="仿宋_GB2312" w:eastAsia="仿宋_GB2312"/>
          <w:color w:val="auto"/>
          <w:sz w:val="24"/>
        </w:rPr>
        <w:t>除专用合同条件另有约定外，质量保证金原则上采用上述第（1）种方式，且承包人应在工程竣工验收合格后7天内，向发包人提交工程质量保证担保。承包人提交工程质量保证担保时，发包人应同时返还预留的作为质量保证金的工程价款（如有）。但不论承包人以何种方式提供质量保证金，累计金额均不得高于工程价款结算总额的3%。</w:t>
      </w:r>
    </w:p>
    <w:p>
      <w:pPr>
        <w:pStyle w:val="88"/>
        <w:numPr>
          <w:ilvl w:val="0"/>
          <w:numId w:val="0"/>
        </w:numPr>
        <w:rPr>
          <w:rFonts w:ascii="仿宋_GB2312" w:eastAsia="仿宋_GB2312"/>
          <w:color w:val="auto"/>
          <w:szCs w:val="24"/>
        </w:rPr>
      </w:pPr>
      <w:bookmarkStart w:id="1009" w:name="_Ref15419738"/>
      <w:bookmarkStart w:id="1010" w:name="_Ref18931667"/>
      <w:r>
        <w:rPr>
          <w:rFonts w:hint="eastAsia" w:ascii="仿宋_GB2312" w:eastAsia="仿宋_GB2312"/>
          <w:color w:val="auto"/>
          <w:szCs w:val="24"/>
        </w:rPr>
        <w:t>1</w:t>
      </w:r>
      <w:r>
        <w:rPr>
          <w:rFonts w:ascii="仿宋_GB2312" w:eastAsia="仿宋_GB2312"/>
          <w:color w:val="auto"/>
          <w:szCs w:val="24"/>
        </w:rPr>
        <w:t xml:space="preserve">4.6.2 </w:t>
      </w:r>
      <w:r>
        <w:rPr>
          <w:rFonts w:hint="eastAsia" w:ascii="仿宋_GB2312" w:eastAsia="仿宋_GB2312"/>
          <w:color w:val="auto"/>
          <w:szCs w:val="24"/>
        </w:rPr>
        <w:t>质量保证金的预留</w:t>
      </w:r>
      <w:bookmarkEnd w:id="1009"/>
      <w:bookmarkEnd w:id="1010"/>
    </w:p>
    <w:p>
      <w:pPr>
        <w:ind w:firstLine="600"/>
        <w:rPr>
          <w:rFonts w:ascii="仿宋_GB2312" w:eastAsia="仿宋_GB2312"/>
          <w:color w:val="auto"/>
          <w:sz w:val="24"/>
        </w:rPr>
      </w:pPr>
      <w:r>
        <w:rPr>
          <w:rFonts w:hint="eastAsia" w:ascii="仿宋_GB2312" w:eastAsia="仿宋_GB2312"/>
          <w:color w:val="auto"/>
          <w:sz w:val="24"/>
        </w:rPr>
        <w:t>双方约定采用预留相应比例的工程款方式提供质量保证金的，质量保证金的预留有以下三种方式：</w:t>
      </w:r>
    </w:p>
    <w:p>
      <w:pPr>
        <w:ind w:firstLine="600"/>
        <w:rPr>
          <w:rFonts w:ascii="仿宋_GB2312" w:eastAsia="仿宋_GB2312"/>
          <w:color w:val="auto"/>
          <w:sz w:val="24"/>
        </w:rPr>
      </w:pPr>
      <w:bookmarkStart w:id="1011" w:name="_Hlk18840714"/>
      <w:bookmarkStart w:id="1012" w:name="_Ref531955143"/>
      <w:r>
        <w:rPr>
          <w:rFonts w:hint="eastAsia" w:ascii="仿宋_GB2312" w:eastAsia="仿宋_GB2312"/>
          <w:color w:val="auto"/>
          <w:sz w:val="24"/>
        </w:rPr>
        <w:t>（1） 按专用合同条件的约定在支付工程进度款时逐次预留，直至预留的质量保证金总额达到专用合同条件约定的金额或比例为止</w:t>
      </w:r>
      <w:bookmarkEnd w:id="1011"/>
      <w:r>
        <w:rPr>
          <w:rFonts w:hint="eastAsia" w:ascii="仿宋_GB2312" w:eastAsia="仿宋_GB2312"/>
          <w:color w:val="auto"/>
          <w:sz w:val="24"/>
        </w:rPr>
        <w:t>。在此情形下，质量保证金的计算基数不包括预付款的支付、扣回以及价格调整的金额；</w:t>
      </w:r>
      <w:bookmarkEnd w:id="1012"/>
    </w:p>
    <w:p>
      <w:pPr>
        <w:ind w:firstLine="600"/>
        <w:rPr>
          <w:rFonts w:ascii="仿宋_GB2312" w:eastAsia="仿宋_GB2312"/>
          <w:color w:val="auto"/>
          <w:sz w:val="24"/>
        </w:rPr>
      </w:pPr>
      <w:bookmarkStart w:id="1013" w:name="_Ref531955151"/>
      <w:r>
        <w:rPr>
          <w:rFonts w:hint="eastAsia" w:ascii="仿宋_GB2312" w:eastAsia="仿宋_GB2312"/>
          <w:color w:val="auto"/>
          <w:sz w:val="24"/>
        </w:rPr>
        <w:t>（2） 工程竣工结算时一次性预留质量保证金；</w:t>
      </w:r>
      <w:bookmarkEnd w:id="1013"/>
    </w:p>
    <w:p>
      <w:pPr>
        <w:ind w:firstLine="600"/>
        <w:rPr>
          <w:rFonts w:ascii="仿宋_GB2312" w:eastAsia="仿宋_GB2312"/>
          <w:color w:val="auto"/>
          <w:sz w:val="24"/>
        </w:rPr>
      </w:pPr>
      <w:bookmarkStart w:id="1014" w:name="_Ref531955161"/>
      <w:r>
        <w:rPr>
          <w:rFonts w:hint="eastAsia" w:ascii="仿宋_GB2312" w:eastAsia="仿宋_GB2312"/>
          <w:color w:val="auto"/>
          <w:sz w:val="24"/>
        </w:rPr>
        <w:t>（3） 双方约定的其他预留方式。</w:t>
      </w:r>
      <w:bookmarkEnd w:id="1014"/>
    </w:p>
    <w:p>
      <w:pPr>
        <w:ind w:firstLine="600"/>
        <w:rPr>
          <w:rFonts w:ascii="仿宋_GB2312" w:eastAsia="仿宋_GB2312"/>
          <w:color w:val="auto"/>
          <w:sz w:val="24"/>
        </w:rPr>
      </w:pPr>
      <w:r>
        <w:rPr>
          <w:rFonts w:hint="eastAsia" w:ascii="仿宋_GB2312" w:eastAsia="仿宋_GB2312"/>
          <w:color w:val="auto"/>
          <w:sz w:val="24"/>
        </w:rPr>
        <w:t>除专用合同条件另有约定外，质量保证金的预留原则上采用上述第（1）种方式。如承包人在发包人签发竣工付款证书后28天内提交工程质量保证担保，发包人应同时返还预留的作为质量保证金的工程价款。发包人在返还本条款项下的质量保证金的同时，按照中国人民银行同期同类存款基准利率支付利息。</w:t>
      </w:r>
    </w:p>
    <w:p>
      <w:pPr>
        <w:pStyle w:val="88"/>
        <w:numPr>
          <w:ilvl w:val="0"/>
          <w:numId w:val="0"/>
        </w:numPr>
        <w:rPr>
          <w:rFonts w:ascii="仿宋_GB2312" w:eastAsia="仿宋_GB2312"/>
          <w:color w:val="auto"/>
          <w:szCs w:val="24"/>
        </w:rPr>
      </w:pPr>
      <w:bookmarkStart w:id="1015" w:name="_Ref532690096"/>
      <w:bookmarkStart w:id="1016" w:name="_Ref4571243"/>
      <w:r>
        <w:rPr>
          <w:rFonts w:hint="eastAsia" w:ascii="仿宋_GB2312" w:eastAsia="仿宋_GB2312"/>
          <w:color w:val="auto"/>
          <w:szCs w:val="24"/>
        </w:rPr>
        <w:t>1</w:t>
      </w:r>
      <w:r>
        <w:rPr>
          <w:rFonts w:ascii="仿宋_GB2312" w:eastAsia="仿宋_GB2312"/>
          <w:color w:val="auto"/>
          <w:szCs w:val="24"/>
        </w:rPr>
        <w:t xml:space="preserve">4.6.3 </w:t>
      </w:r>
      <w:r>
        <w:rPr>
          <w:rFonts w:hint="eastAsia" w:ascii="仿宋_GB2312" w:eastAsia="仿宋_GB2312"/>
          <w:color w:val="auto"/>
          <w:szCs w:val="24"/>
        </w:rPr>
        <w:t>质量保证金的</w:t>
      </w:r>
      <w:bookmarkEnd w:id="1015"/>
      <w:r>
        <w:rPr>
          <w:rFonts w:hint="eastAsia" w:ascii="仿宋_GB2312" w:eastAsia="仿宋_GB2312"/>
          <w:color w:val="auto"/>
          <w:szCs w:val="24"/>
        </w:rPr>
        <w:t>返还</w:t>
      </w:r>
      <w:bookmarkEnd w:id="1016"/>
    </w:p>
    <w:p>
      <w:pPr>
        <w:ind w:firstLine="600"/>
        <w:rPr>
          <w:rFonts w:ascii="仿宋_GB2312" w:eastAsia="仿宋_GB2312"/>
          <w:color w:val="auto"/>
          <w:sz w:val="24"/>
        </w:rPr>
      </w:pPr>
      <w:r>
        <w:rPr>
          <w:rFonts w:hint="eastAsia" w:ascii="仿宋_GB2312" w:eastAsia="仿宋_GB2312"/>
          <w:color w:val="auto"/>
          <w:sz w:val="24"/>
        </w:rPr>
        <w:t>缺陷责任期内，承包人认真履行合同约定的责任，缺陷责任期满，发包人根据第</w:t>
      </w:r>
      <w:r>
        <w:rPr>
          <w:rFonts w:ascii="仿宋_GB2312" w:eastAsia="仿宋_GB2312"/>
          <w:color w:val="auto"/>
          <w:sz w:val="24"/>
        </w:rPr>
        <w:t>11.6</w:t>
      </w:r>
      <w:r>
        <w:rPr>
          <w:rFonts w:hint="eastAsia" w:ascii="仿宋_GB2312" w:eastAsia="仿宋_GB2312"/>
          <w:color w:val="auto"/>
          <w:sz w:val="24"/>
        </w:rPr>
        <w:t>款[缺陷责任期终止证书]向承包人颁发缺陷责任期终止证书后，承包人可向发包人申请返还质量保证金。</w:t>
      </w:r>
    </w:p>
    <w:p>
      <w:pPr>
        <w:ind w:firstLine="600"/>
        <w:rPr>
          <w:rFonts w:ascii="仿宋_GB2312" w:eastAsia="仿宋_GB2312"/>
          <w:color w:val="auto"/>
          <w:sz w:val="24"/>
        </w:rPr>
      </w:pPr>
      <w:r>
        <w:rPr>
          <w:rFonts w:hint="eastAsia" w:ascii="仿宋_GB2312" w:eastAsia="仿宋_GB2312"/>
          <w:color w:val="auto"/>
          <w:sz w:val="24"/>
        </w:rPr>
        <w:t>发包人在接到承包人返还质量保证金申请后，应于</w:t>
      </w:r>
      <w:r>
        <w:rPr>
          <w:rFonts w:ascii="仿宋_GB2312" w:eastAsia="仿宋_GB2312"/>
          <w:color w:val="auto"/>
          <w:sz w:val="24"/>
        </w:rPr>
        <w:t>7</w:t>
      </w:r>
      <w:r>
        <w:rPr>
          <w:rFonts w:hint="eastAsia" w:ascii="仿宋_GB2312" w:eastAsia="仿宋_GB2312"/>
          <w:color w:val="auto"/>
          <w:sz w:val="24"/>
        </w:rPr>
        <w:t>天内将质量保证金返还承包人，逾期未返还的，应承担违约责任。发包人在接到承包人返还质量保证金申请后</w:t>
      </w:r>
      <w:r>
        <w:rPr>
          <w:rFonts w:ascii="仿宋_GB2312" w:eastAsia="仿宋_GB2312"/>
          <w:color w:val="auto"/>
          <w:sz w:val="24"/>
        </w:rPr>
        <w:t>7</w:t>
      </w:r>
      <w:r>
        <w:rPr>
          <w:rFonts w:hint="eastAsia" w:ascii="仿宋_GB2312" w:eastAsia="仿宋_GB2312"/>
          <w:color w:val="auto"/>
          <w:sz w:val="24"/>
        </w:rPr>
        <w:t>天内不予答复，视同认可承包人的返还质量保证金申请。</w:t>
      </w:r>
    </w:p>
    <w:p>
      <w:pPr>
        <w:ind w:firstLine="600"/>
        <w:rPr>
          <w:rFonts w:ascii="仿宋_GB2312" w:eastAsia="仿宋_GB2312"/>
          <w:color w:val="auto"/>
          <w:sz w:val="24"/>
        </w:rPr>
      </w:pPr>
      <w:r>
        <w:rPr>
          <w:rFonts w:hint="eastAsia" w:ascii="仿宋_GB2312" w:eastAsia="仿宋_GB2312"/>
          <w:color w:val="auto"/>
          <w:sz w:val="24"/>
        </w:rPr>
        <w:t>发包人和承包人对质量保证金预留、返还以及工程维修质量、费用有争议的，按本合同第</w:t>
      </w:r>
      <w:r>
        <w:rPr>
          <w:rFonts w:ascii="仿宋_GB2312" w:eastAsia="仿宋_GB2312"/>
          <w:color w:val="auto"/>
          <w:sz w:val="24"/>
        </w:rPr>
        <w:t>20条</w:t>
      </w:r>
      <w:r>
        <w:rPr>
          <w:rFonts w:hint="eastAsia" w:ascii="仿宋_GB2312" w:eastAsia="仿宋_GB2312"/>
          <w:color w:val="auto"/>
          <w:sz w:val="24"/>
        </w:rPr>
        <w:t>[争议解决]约定的争议和纠纷解决程序处理。</w:t>
      </w:r>
    </w:p>
    <w:bookmarkEnd w:id="1005"/>
    <w:p>
      <w:pPr>
        <w:pStyle w:val="315"/>
        <w:widowControl/>
        <w:numPr>
          <w:ilvl w:val="0"/>
          <w:numId w:val="0"/>
        </w:numPr>
        <w:rPr>
          <w:b w:val="0"/>
          <w:bCs/>
          <w:color w:val="auto"/>
        </w:rPr>
      </w:pPr>
      <w:bookmarkStart w:id="1017" w:name="_Ref531957341"/>
      <w:bookmarkStart w:id="1018" w:name="_Toc54862298"/>
      <w:bookmarkStart w:id="1019" w:name="_Ref531957339"/>
      <w:r>
        <w:rPr>
          <w:rFonts w:hint="eastAsia"/>
          <w:b w:val="0"/>
          <w:bCs/>
          <w:color w:val="auto"/>
        </w:rPr>
        <w:t>1</w:t>
      </w:r>
      <w:r>
        <w:rPr>
          <w:b w:val="0"/>
          <w:bCs/>
          <w:color w:val="auto"/>
        </w:rPr>
        <w:t xml:space="preserve">4.7 </w:t>
      </w:r>
      <w:r>
        <w:rPr>
          <w:rFonts w:hint="eastAsia"/>
          <w:b w:val="0"/>
          <w:bCs/>
          <w:color w:val="auto"/>
        </w:rPr>
        <w:t>最终结清</w:t>
      </w:r>
      <w:bookmarkEnd w:id="1017"/>
      <w:bookmarkEnd w:id="1018"/>
      <w:bookmarkEnd w:id="1019"/>
      <w:r>
        <w:rPr>
          <w:rFonts w:hint="eastAsia"/>
          <w:b w:val="0"/>
          <w:bCs/>
          <w:color w:val="auto"/>
        </w:rPr>
        <w:t xml:space="preserve"> </w:t>
      </w:r>
    </w:p>
    <w:p>
      <w:pPr>
        <w:pStyle w:val="88"/>
        <w:numPr>
          <w:ilvl w:val="0"/>
          <w:numId w:val="0"/>
        </w:numPr>
        <w:rPr>
          <w:rFonts w:ascii="仿宋_GB2312" w:eastAsia="仿宋_GB2312"/>
          <w:color w:val="auto"/>
          <w:szCs w:val="24"/>
        </w:rPr>
      </w:pPr>
      <w:bookmarkStart w:id="1020" w:name="_Ref531957350"/>
      <w:r>
        <w:rPr>
          <w:rFonts w:hint="eastAsia" w:ascii="仿宋_GB2312" w:eastAsia="仿宋_GB2312"/>
          <w:color w:val="auto"/>
          <w:szCs w:val="24"/>
        </w:rPr>
        <w:t>1</w:t>
      </w:r>
      <w:r>
        <w:rPr>
          <w:rFonts w:ascii="仿宋_GB2312" w:eastAsia="仿宋_GB2312"/>
          <w:color w:val="auto"/>
          <w:szCs w:val="24"/>
        </w:rPr>
        <w:t xml:space="preserve">4.7.1 </w:t>
      </w:r>
      <w:r>
        <w:rPr>
          <w:rFonts w:hint="eastAsia" w:ascii="仿宋_GB2312" w:eastAsia="仿宋_GB2312"/>
          <w:color w:val="auto"/>
          <w:szCs w:val="24"/>
        </w:rPr>
        <w:t>最终结清申请</w:t>
      </w:r>
      <w:bookmarkEnd w:id="1020"/>
      <w:r>
        <w:rPr>
          <w:rFonts w:hint="eastAsia" w:ascii="仿宋_GB2312" w:eastAsia="仿宋_GB2312"/>
          <w:color w:val="auto"/>
          <w:szCs w:val="24"/>
        </w:rPr>
        <w:t>单</w:t>
      </w:r>
    </w:p>
    <w:p>
      <w:pPr>
        <w:ind w:firstLine="600"/>
        <w:rPr>
          <w:rFonts w:ascii="仿宋_GB2312" w:eastAsia="仿宋_GB2312"/>
          <w:color w:val="auto"/>
          <w:sz w:val="24"/>
        </w:rPr>
      </w:pPr>
      <w:r>
        <w:rPr>
          <w:rFonts w:hint="eastAsia" w:ascii="仿宋_GB2312" w:eastAsia="仿宋_GB2312"/>
          <w:color w:val="auto"/>
          <w:sz w:val="24"/>
        </w:rPr>
        <w:t>（1） 除专用合同条件另有约定外，承包人应在缺陷责任期终止证书颁发后7天内，按专用合同条件约定的份数向发包人提交最终结清申请单，并提供相关证明材料。</w:t>
      </w:r>
    </w:p>
    <w:p>
      <w:pPr>
        <w:ind w:firstLine="600"/>
        <w:rPr>
          <w:rFonts w:ascii="仿宋_GB2312" w:eastAsia="仿宋_GB2312"/>
          <w:color w:val="auto"/>
          <w:sz w:val="24"/>
        </w:rPr>
      </w:pPr>
      <w:r>
        <w:rPr>
          <w:rFonts w:hint="eastAsia" w:ascii="仿宋_GB2312" w:eastAsia="仿宋_GB2312"/>
          <w:color w:val="auto"/>
          <w:sz w:val="24"/>
        </w:rPr>
        <w:t>除专用合同条件另有约定外，最终结清申请单应列明质量保证金、应扣除的质量保证金、缺陷责任期内发生的增减费用。</w:t>
      </w:r>
    </w:p>
    <w:p>
      <w:pPr>
        <w:ind w:firstLine="600"/>
        <w:rPr>
          <w:rFonts w:ascii="仿宋_GB2312" w:eastAsia="仿宋_GB2312"/>
          <w:color w:val="auto"/>
          <w:sz w:val="24"/>
        </w:rPr>
      </w:pPr>
      <w:r>
        <w:rPr>
          <w:rFonts w:hint="eastAsia" w:ascii="仿宋_GB2312" w:eastAsia="仿宋_GB2312"/>
          <w:color w:val="auto"/>
          <w:sz w:val="24"/>
        </w:rPr>
        <w:t>（2） 发包人对最终结清申请单内容有异议的，有权要求承包人进行修正和提供补充资料，承包人应向发包人提交修正后的最终结清申请单。</w:t>
      </w:r>
    </w:p>
    <w:p>
      <w:pPr>
        <w:pStyle w:val="88"/>
        <w:numPr>
          <w:ilvl w:val="0"/>
          <w:numId w:val="0"/>
        </w:numPr>
        <w:rPr>
          <w:rFonts w:ascii="仿宋_GB2312" w:eastAsia="仿宋_GB2312"/>
          <w:color w:val="auto"/>
          <w:szCs w:val="24"/>
        </w:rPr>
      </w:pPr>
      <w:bookmarkStart w:id="1021" w:name="_Ref531957369"/>
      <w:bookmarkStart w:id="1022" w:name="_Ref4624099"/>
      <w:r>
        <w:rPr>
          <w:rFonts w:hint="eastAsia" w:ascii="仿宋_GB2312" w:eastAsia="仿宋_GB2312"/>
          <w:color w:val="auto"/>
          <w:szCs w:val="24"/>
        </w:rPr>
        <w:t>1</w:t>
      </w:r>
      <w:r>
        <w:rPr>
          <w:rFonts w:ascii="仿宋_GB2312" w:eastAsia="仿宋_GB2312"/>
          <w:color w:val="auto"/>
          <w:szCs w:val="24"/>
        </w:rPr>
        <w:t xml:space="preserve">4.7.2 </w:t>
      </w:r>
      <w:r>
        <w:rPr>
          <w:rFonts w:hint="eastAsia" w:ascii="仿宋_GB2312" w:eastAsia="仿宋_GB2312"/>
          <w:color w:val="auto"/>
          <w:szCs w:val="24"/>
        </w:rPr>
        <w:t>最终结清证书</w:t>
      </w:r>
      <w:bookmarkEnd w:id="1021"/>
      <w:r>
        <w:rPr>
          <w:rFonts w:hint="eastAsia" w:ascii="仿宋_GB2312" w:eastAsia="仿宋_GB2312"/>
          <w:color w:val="auto"/>
          <w:szCs w:val="24"/>
        </w:rPr>
        <w:t>和支付</w:t>
      </w:r>
      <w:bookmarkEnd w:id="1022"/>
    </w:p>
    <w:p>
      <w:pPr>
        <w:ind w:firstLine="600"/>
        <w:rPr>
          <w:rFonts w:ascii="仿宋_GB2312" w:eastAsia="仿宋_GB2312"/>
          <w:color w:val="auto"/>
          <w:sz w:val="24"/>
        </w:rPr>
      </w:pPr>
      <w:r>
        <w:rPr>
          <w:rFonts w:hint="eastAsia" w:ascii="仿宋_GB2312" w:eastAsia="仿宋_GB2312"/>
          <w:color w:val="auto"/>
          <w:sz w:val="24"/>
        </w:rPr>
        <w:t>（1） 除专用合同条件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ind w:firstLine="600"/>
        <w:rPr>
          <w:rFonts w:ascii="仿宋_GB2312" w:eastAsia="仿宋_GB2312"/>
          <w:color w:val="auto"/>
          <w:sz w:val="24"/>
        </w:rPr>
      </w:pPr>
      <w:r>
        <w:rPr>
          <w:rFonts w:hint="eastAsia" w:ascii="仿宋_GB2312" w:eastAsia="仿宋_GB2312"/>
          <w:color w:val="auto"/>
          <w:sz w:val="24"/>
        </w:rPr>
        <w:t>（2） 除专用合同条件另有约定外，发包人应在颁发最终结清证书后7天内完成支付。发包人逾期支付的，按照贷款市场报价利率（LPR）支付利息；逾期支付超过56天的，按照贷款市场报价利率（LPR）的两倍支付利息。</w:t>
      </w:r>
    </w:p>
    <w:p>
      <w:pPr>
        <w:ind w:firstLine="600"/>
        <w:rPr>
          <w:rFonts w:ascii="仿宋_GB2312" w:eastAsia="仿宋_GB2312"/>
          <w:color w:val="auto"/>
          <w:sz w:val="24"/>
        </w:rPr>
      </w:pPr>
      <w:r>
        <w:rPr>
          <w:rFonts w:hint="eastAsia" w:ascii="仿宋_GB2312" w:eastAsia="仿宋_GB2312"/>
          <w:color w:val="auto"/>
          <w:sz w:val="24"/>
        </w:rPr>
        <w:t>（3） 承包人对发包人颁发的最终结清证书有异议的，按第</w:t>
      </w:r>
      <w:r>
        <w:rPr>
          <w:rFonts w:ascii="仿宋_GB2312" w:eastAsia="仿宋_GB2312"/>
          <w:color w:val="auto"/>
          <w:sz w:val="24"/>
        </w:rPr>
        <w:t>20条</w:t>
      </w:r>
      <w:r>
        <w:rPr>
          <w:rFonts w:hint="eastAsia" w:ascii="仿宋_GB2312" w:eastAsia="仿宋_GB2312"/>
          <w:color w:val="auto"/>
          <w:sz w:val="24"/>
        </w:rPr>
        <w:t>[争议解决]的约定办理。</w:t>
      </w:r>
    </w:p>
    <w:p>
      <w:pPr>
        <w:pStyle w:val="164"/>
        <w:numPr>
          <w:ilvl w:val="0"/>
          <w:numId w:val="0"/>
        </w:numPr>
        <w:wordWrap/>
        <w:topLinePunct w:val="0"/>
        <w:rPr>
          <w:b w:val="0"/>
          <w:bCs/>
          <w:color w:val="auto"/>
          <w:sz w:val="24"/>
          <w:szCs w:val="24"/>
        </w:rPr>
      </w:pPr>
      <w:bookmarkStart w:id="1023" w:name="_Toc54862299"/>
      <w:bookmarkStart w:id="1024" w:name="_Ref11920396"/>
      <w:bookmarkStart w:id="1025" w:name="_Ref11874957"/>
      <w:bookmarkStart w:id="1026" w:name="_Ref11920407"/>
      <w:r>
        <w:rPr>
          <w:rFonts w:hint="eastAsia"/>
          <w:b w:val="0"/>
          <w:bCs/>
          <w:color w:val="auto"/>
          <w:sz w:val="24"/>
          <w:szCs w:val="24"/>
        </w:rPr>
        <w:t>第1</w:t>
      </w:r>
      <w:r>
        <w:rPr>
          <w:b w:val="0"/>
          <w:bCs/>
          <w:color w:val="auto"/>
          <w:sz w:val="24"/>
          <w:szCs w:val="24"/>
        </w:rPr>
        <w:t>5</w:t>
      </w:r>
      <w:r>
        <w:rPr>
          <w:rFonts w:hint="eastAsia"/>
          <w:b w:val="0"/>
          <w:bCs/>
          <w:color w:val="auto"/>
          <w:sz w:val="24"/>
          <w:szCs w:val="24"/>
        </w:rPr>
        <w:t>条 违约</w:t>
      </w:r>
      <w:bookmarkEnd w:id="881"/>
      <w:bookmarkEnd w:id="885"/>
      <w:bookmarkEnd w:id="886"/>
      <w:bookmarkEnd w:id="1023"/>
      <w:bookmarkEnd w:id="1024"/>
      <w:bookmarkEnd w:id="1025"/>
      <w:bookmarkEnd w:id="1026"/>
    </w:p>
    <w:p>
      <w:pPr>
        <w:pStyle w:val="315"/>
        <w:widowControl/>
        <w:numPr>
          <w:ilvl w:val="0"/>
          <w:numId w:val="0"/>
        </w:numPr>
        <w:rPr>
          <w:b w:val="0"/>
          <w:bCs/>
          <w:color w:val="auto"/>
        </w:rPr>
      </w:pPr>
      <w:bookmarkStart w:id="1027" w:name="_Ref4534411"/>
      <w:bookmarkStart w:id="1028" w:name="_Ref4534399"/>
      <w:bookmarkStart w:id="1029" w:name="_Ref4534376"/>
      <w:bookmarkStart w:id="1030" w:name="_Ref4534384"/>
      <w:bookmarkStart w:id="1031" w:name="_Toc54862300"/>
      <w:r>
        <w:rPr>
          <w:rFonts w:hint="eastAsia"/>
          <w:b w:val="0"/>
          <w:bCs/>
          <w:color w:val="auto"/>
        </w:rPr>
        <w:t>1</w:t>
      </w:r>
      <w:r>
        <w:rPr>
          <w:b w:val="0"/>
          <w:bCs/>
          <w:color w:val="auto"/>
        </w:rPr>
        <w:t xml:space="preserve">5.1 </w:t>
      </w:r>
      <w:r>
        <w:rPr>
          <w:rFonts w:hint="eastAsia"/>
          <w:b w:val="0"/>
          <w:bCs/>
          <w:color w:val="auto"/>
        </w:rPr>
        <w:t>发包人违约</w:t>
      </w:r>
      <w:bookmarkEnd w:id="1027"/>
      <w:bookmarkEnd w:id="1028"/>
      <w:bookmarkEnd w:id="1029"/>
      <w:bookmarkEnd w:id="1030"/>
      <w:bookmarkEnd w:id="1031"/>
    </w:p>
    <w:p>
      <w:pPr>
        <w:pStyle w:val="88"/>
        <w:numPr>
          <w:ilvl w:val="0"/>
          <w:numId w:val="0"/>
        </w:numPr>
        <w:rPr>
          <w:rFonts w:ascii="仿宋_GB2312" w:eastAsia="仿宋_GB2312"/>
          <w:color w:val="auto"/>
          <w:szCs w:val="24"/>
        </w:rPr>
      </w:pPr>
      <w:bookmarkStart w:id="1032" w:name="_Ref3841087"/>
      <w:r>
        <w:rPr>
          <w:rFonts w:hint="eastAsia" w:ascii="仿宋_GB2312" w:eastAsia="仿宋_GB2312"/>
          <w:color w:val="auto"/>
          <w:szCs w:val="24"/>
        </w:rPr>
        <w:t>1</w:t>
      </w:r>
      <w:r>
        <w:rPr>
          <w:rFonts w:ascii="仿宋_GB2312" w:eastAsia="仿宋_GB2312"/>
          <w:color w:val="auto"/>
          <w:szCs w:val="24"/>
        </w:rPr>
        <w:t xml:space="preserve">5.1.1 </w:t>
      </w:r>
      <w:r>
        <w:rPr>
          <w:rFonts w:hint="eastAsia" w:ascii="仿宋_GB2312" w:eastAsia="仿宋_GB2312"/>
          <w:color w:val="auto"/>
          <w:szCs w:val="24"/>
        </w:rPr>
        <w:t>发包人违约的情形</w:t>
      </w:r>
      <w:bookmarkEnd w:id="1032"/>
    </w:p>
    <w:p>
      <w:pPr>
        <w:ind w:firstLine="600"/>
        <w:rPr>
          <w:rFonts w:ascii="仿宋_GB2312" w:eastAsia="仿宋_GB2312"/>
          <w:color w:val="auto"/>
          <w:sz w:val="24"/>
        </w:rPr>
      </w:pPr>
      <w:r>
        <w:rPr>
          <w:rFonts w:hint="eastAsia" w:ascii="仿宋_GB2312" w:eastAsia="仿宋_GB2312"/>
          <w:color w:val="auto"/>
          <w:sz w:val="24"/>
        </w:rPr>
        <w:t>除专用合同条件另有约定外，在合同履行过程中发生的下列情形，属于发包人违约：</w:t>
      </w:r>
    </w:p>
    <w:p>
      <w:pPr>
        <w:ind w:firstLine="600"/>
        <w:rPr>
          <w:rFonts w:ascii="仿宋_GB2312" w:eastAsia="仿宋_GB2312"/>
          <w:color w:val="auto"/>
          <w:sz w:val="24"/>
        </w:rPr>
      </w:pPr>
      <w:r>
        <w:rPr>
          <w:rFonts w:hint="eastAsia" w:ascii="仿宋_GB2312" w:eastAsia="仿宋_GB2312"/>
          <w:color w:val="auto"/>
          <w:sz w:val="24"/>
        </w:rPr>
        <w:t xml:space="preserve">（1） 因发包人原因导致开始工作日期延误的； </w:t>
      </w:r>
    </w:p>
    <w:p>
      <w:pPr>
        <w:ind w:firstLine="600"/>
        <w:rPr>
          <w:rFonts w:ascii="仿宋_GB2312" w:eastAsia="仿宋_GB2312"/>
          <w:color w:val="auto"/>
          <w:sz w:val="24"/>
        </w:rPr>
      </w:pPr>
      <w:r>
        <w:rPr>
          <w:rFonts w:hint="eastAsia" w:ascii="仿宋_GB2312" w:eastAsia="仿宋_GB2312"/>
          <w:color w:val="auto"/>
          <w:sz w:val="24"/>
        </w:rPr>
        <w:t>（2） 因发包人原因未能按合同约定支付合同价款的；</w:t>
      </w:r>
    </w:p>
    <w:p>
      <w:pPr>
        <w:ind w:firstLine="600"/>
        <w:rPr>
          <w:rFonts w:ascii="仿宋_GB2312" w:eastAsia="仿宋_GB2312"/>
          <w:color w:val="auto"/>
          <w:sz w:val="24"/>
        </w:rPr>
      </w:pPr>
      <w:r>
        <w:rPr>
          <w:rFonts w:hint="eastAsia" w:ascii="仿宋_GB2312" w:eastAsia="仿宋_GB2312"/>
          <w:color w:val="auto"/>
          <w:sz w:val="24"/>
        </w:rPr>
        <w:t>（3） 发包人违反第</w:t>
      </w:r>
      <w:r>
        <w:rPr>
          <w:rFonts w:ascii="仿宋_GB2312" w:eastAsia="仿宋_GB2312"/>
          <w:color w:val="auto"/>
          <w:sz w:val="24"/>
        </w:rPr>
        <w:t>13.1.1</w:t>
      </w:r>
      <w:r>
        <w:rPr>
          <w:rFonts w:hint="eastAsia" w:ascii="仿宋_GB2312" w:eastAsia="仿宋_GB2312"/>
          <w:color w:val="auto"/>
          <w:sz w:val="24"/>
        </w:rPr>
        <w:t>项约定，自行实施被取消的工作或转由他人实施的；</w:t>
      </w:r>
    </w:p>
    <w:p>
      <w:pPr>
        <w:ind w:firstLine="600"/>
        <w:rPr>
          <w:rFonts w:ascii="仿宋_GB2312" w:eastAsia="仿宋_GB2312"/>
          <w:color w:val="auto"/>
          <w:sz w:val="24"/>
        </w:rPr>
      </w:pPr>
      <w:r>
        <w:rPr>
          <w:rFonts w:hint="eastAsia" w:ascii="仿宋_GB2312" w:eastAsia="仿宋_GB2312"/>
          <w:color w:val="auto"/>
          <w:sz w:val="24"/>
        </w:rPr>
        <w:t>（4） 因发包人违反合同约定造成工程暂停施工的；</w:t>
      </w:r>
    </w:p>
    <w:p>
      <w:pPr>
        <w:ind w:firstLine="600"/>
        <w:rPr>
          <w:rFonts w:ascii="仿宋_GB2312" w:eastAsia="仿宋_GB2312"/>
          <w:color w:val="auto"/>
          <w:sz w:val="24"/>
        </w:rPr>
      </w:pPr>
      <w:r>
        <w:rPr>
          <w:rFonts w:hint="eastAsia" w:ascii="仿宋_GB2312" w:eastAsia="仿宋_GB2312"/>
          <w:color w:val="auto"/>
          <w:sz w:val="24"/>
        </w:rPr>
        <w:t>（5） 工程师无正当理由没有在约定期限内发出复工指示，导致承包人无法复工的；</w:t>
      </w:r>
    </w:p>
    <w:p>
      <w:pPr>
        <w:ind w:firstLine="600"/>
        <w:rPr>
          <w:rFonts w:ascii="仿宋_GB2312" w:eastAsia="仿宋_GB2312"/>
          <w:color w:val="auto"/>
          <w:sz w:val="24"/>
        </w:rPr>
      </w:pPr>
      <w:r>
        <w:rPr>
          <w:rFonts w:hint="eastAsia" w:ascii="仿宋_GB2312" w:eastAsia="仿宋_GB2312"/>
          <w:color w:val="auto"/>
          <w:sz w:val="24"/>
        </w:rPr>
        <w:t>（6） 发包人明确表示或者以其行为表明不履行合同主要义务的；</w:t>
      </w:r>
    </w:p>
    <w:p>
      <w:pPr>
        <w:ind w:firstLine="600"/>
        <w:rPr>
          <w:rFonts w:ascii="仿宋_GB2312" w:eastAsia="仿宋_GB2312"/>
          <w:color w:val="auto"/>
          <w:sz w:val="24"/>
        </w:rPr>
      </w:pPr>
      <w:r>
        <w:rPr>
          <w:rFonts w:hint="eastAsia" w:ascii="仿宋_GB2312" w:eastAsia="仿宋_GB2312"/>
          <w:color w:val="auto"/>
          <w:sz w:val="24"/>
        </w:rPr>
        <w:t>（7） 发包人未能按照合同约定履行其他义务的。</w:t>
      </w:r>
    </w:p>
    <w:p>
      <w:pPr>
        <w:pStyle w:val="88"/>
        <w:numPr>
          <w:ilvl w:val="0"/>
          <w:numId w:val="0"/>
        </w:numPr>
        <w:rPr>
          <w:rFonts w:ascii="仿宋_GB2312" w:eastAsia="仿宋_GB2312"/>
          <w:color w:val="auto"/>
          <w:szCs w:val="24"/>
        </w:rPr>
      </w:pPr>
      <w:bookmarkStart w:id="1033" w:name="_Ref4535692"/>
      <w:r>
        <w:rPr>
          <w:rFonts w:hint="eastAsia" w:ascii="仿宋_GB2312" w:eastAsia="仿宋_GB2312"/>
          <w:color w:val="auto"/>
          <w:szCs w:val="24"/>
        </w:rPr>
        <w:t>1</w:t>
      </w:r>
      <w:r>
        <w:rPr>
          <w:rFonts w:ascii="仿宋_GB2312" w:eastAsia="仿宋_GB2312"/>
          <w:color w:val="auto"/>
          <w:szCs w:val="24"/>
        </w:rPr>
        <w:t xml:space="preserve">5.1.2 </w:t>
      </w:r>
      <w:r>
        <w:rPr>
          <w:rFonts w:hint="eastAsia" w:ascii="仿宋_GB2312" w:eastAsia="仿宋_GB2312"/>
          <w:color w:val="auto"/>
          <w:szCs w:val="24"/>
        </w:rPr>
        <w:t>通知改正</w:t>
      </w:r>
      <w:bookmarkEnd w:id="1033"/>
    </w:p>
    <w:p>
      <w:pPr>
        <w:ind w:firstLine="600"/>
        <w:rPr>
          <w:rFonts w:ascii="仿宋_GB2312" w:eastAsia="仿宋_GB2312"/>
          <w:color w:val="auto"/>
          <w:sz w:val="24"/>
        </w:rPr>
      </w:pPr>
      <w:bookmarkStart w:id="1034" w:name="_Hlk16248297"/>
      <w:r>
        <w:rPr>
          <w:rFonts w:hint="eastAsia" w:ascii="仿宋_GB2312" w:eastAsia="仿宋_GB2312"/>
          <w:color w:val="auto"/>
          <w:sz w:val="24"/>
        </w:rPr>
        <w:t>发包人发生除第</w:t>
      </w:r>
      <w:r>
        <w:rPr>
          <w:rFonts w:ascii="仿宋_GB2312" w:eastAsia="仿宋_GB2312"/>
          <w:color w:val="auto"/>
          <w:sz w:val="24"/>
        </w:rPr>
        <w:t>15.1.1</w:t>
      </w:r>
      <w:r>
        <w:rPr>
          <w:rFonts w:hint="eastAsia" w:ascii="仿宋_GB2312" w:eastAsia="仿宋_GB2312"/>
          <w:color w:val="auto"/>
          <w:sz w:val="24"/>
        </w:rPr>
        <w:t>项第(</w:t>
      </w:r>
      <w:r>
        <w:rPr>
          <w:rFonts w:ascii="仿宋_GB2312" w:eastAsia="仿宋_GB2312"/>
          <w:color w:val="auto"/>
          <w:sz w:val="24"/>
        </w:rPr>
        <w:t>6</w:t>
      </w:r>
      <w:r>
        <w:rPr>
          <w:rFonts w:hint="eastAsia" w:ascii="仿宋_GB2312" w:eastAsia="仿宋_GB2312"/>
          <w:color w:val="auto"/>
          <w:sz w:val="24"/>
        </w:rPr>
        <w:t>)目以外的违约情况时，承包人可向发包人发出通知，要求发包人采取有效措施纠正违约行为。发包人收到承包人通知后28天内仍不纠正违约行为的，承包人有权暂停相应部位工程实施，并通知工程师。</w:t>
      </w:r>
      <w:bookmarkEnd w:id="1034"/>
    </w:p>
    <w:p>
      <w:pPr>
        <w:pStyle w:val="88"/>
        <w:numPr>
          <w:ilvl w:val="0"/>
          <w:numId w:val="0"/>
        </w:numPr>
        <w:rPr>
          <w:rFonts w:ascii="仿宋_GB2312" w:eastAsia="仿宋_GB2312"/>
          <w:color w:val="auto"/>
          <w:szCs w:val="24"/>
        </w:rPr>
      </w:pPr>
      <w:bookmarkStart w:id="1035" w:name="_Ref3841132"/>
      <w:r>
        <w:rPr>
          <w:rFonts w:hint="eastAsia" w:ascii="仿宋_GB2312" w:eastAsia="仿宋_GB2312"/>
          <w:color w:val="auto"/>
          <w:szCs w:val="24"/>
        </w:rPr>
        <w:t>1</w:t>
      </w:r>
      <w:r>
        <w:rPr>
          <w:rFonts w:ascii="仿宋_GB2312" w:eastAsia="仿宋_GB2312"/>
          <w:color w:val="auto"/>
          <w:szCs w:val="24"/>
        </w:rPr>
        <w:t xml:space="preserve">5.1.3 </w:t>
      </w:r>
      <w:r>
        <w:rPr>
          <w:rFonts w:hint="eastAsia" w:ascii="仿宋_GB2312" w:eastAsia="仿宋_GB2312"/>
          <w:color w:val="auto"/>
          <w:szCs w:val="24"/>
        </w:rPr>
        <w:t>发包人违约的责任</w:t>
      </w:r>
      <w:bookmarkEnd w:id="1035"/>
    </w:p>
    <w:p>
      <w:pPr>
        <w:ind w:firstLine="600"/>
        <w:rPr>
          <w:rFonts w:ascii="仿宋_GB2312" w:eastAsia="仿宋_GB2312"/>
          <w:color w:val="auto"/>
          <w:sz w:val="24"/>
        </w:rPr>
      </w:pPr>
      <w:bookmarkStart w:id="1036" w:name="_Hlk16247984"/>
      <w:r>
        <w:rPr>
          <w:rFonts w:hint="eastAsia" w:ascii="仿宋_GB2312" w:eastAsia="仿宋_GB2312"/>
          <w:color w:val="auto"/>
          <w:sz w:val="24"/>
        </w:rPr>
        <w:t>发包人应承担因其违约给承包人增加的费用和（或）延误的工期，并支付承包人合理的利润。此外，合同当事人可在专用合同条件中另行约定发包人违约责任的承担方式和计算方法。</w:t>
      </w:r>
      <w:bookmarkEnd w:id="1036"/>
    </w:p>
    <w:p>
      <w:pPr>
        <w:pStyle w:val="315"/>
        <w:widowControl/>
        <w:numPr>
          <w:ilvl w:val="0"/>
          <w:numId w:val="0"/>
        </w:numPr>
        <w:rPr>
          <w:b w:val="0"/>
          <w:bCs/>
          <w:color w:val="auto"/>
        </w:rPr>
      </w:pPr>
      <w:bookmarkStart w:id="1037" w:name="_Ref11958660"/>
      <w:bookmarkStart w:id="1038" w:name="_Ref11958663"/>
      <w:bookmarkStart w:id="1039" w:name="_Toc54862301"/>
      <w:r>
        <w:rPr>
          <w:rFonts w:hint="eastAsia"/>
          <w:b w:val="0"/>
          <w:bCs/>
          <w:color w:val="auto"/>
        </w:rPr>
        <w:t>1</w:t>
      </w:r>
      <w:r>
        <w:rPr>
          <w:b w:val="0"/>
          <w:bCs/>
          <w:color w:val="auto"/>
        </w:rPr>
        <w:t xml:space="preserve">5.2 </w:t>
      </w:r>
      <w:r>
        <w:rPr>
          <w:rFonts w:hint="eastAsia"/>
          <w:b w:val="0"/>
          <w:bCs/>
          <w:color w:val="auto"/>
        </w:rPr>
        <w:t>承包人违约</w:t>
      </w:r>
      <w:bookmarkEnd w:id="1037"/>
      <w:bookmarkEnd w:id="1038"/>
      <w:bookmarkEnd w:id="1039"/>
    </w:p>
    <w:p>
      <w:pPr>
        <w:pStyle w:val="88"/>
        <w:numPr>
          <w:ilvl w:val="0"/>
          <w:numId w:val="0"/>
        </w:numPr>
        <w:rPr>
          <w:rFonts w:ascii="仿宋_GB2312" w:eastAsia="仿宋_GB2312"/>
          <w:color w:val="auto"/>
          <w:szCs w:val="24"/>
        </w:rPr>
      </w:pPr>
      <w:bookmarkStart w:id="1040" w:name="_Ref3841153"/>
      <w:r>
        <w:rPr>
          <w:rFonts w:hint="eastAsia" w:ascii="仿宋_GB2312" w:eastAsia="仿宋_GB2312"/>
          <w:color w:val="auto"/>
          <w:szCs w:val="24"/>
        </w:rPr>
        <w:t>1</w:t>
      </w:r>
      <w:r>
        <w:rPr>
          <w:rFonts w:ascii="仿宋_GB2312" w:eastAsia="仿宋_GB2312"/>
          <w:color w:val="auto"/>
          <w:szCs w:val="24"/>
        </w:rPr>
        <w:t xml:space="preserve">5.2.1 </w:t>
      </w:r>
      <w:r>
        <w:rPr>
          <w:rFonts w:hint="eastAsia" w:ascii="仿宋_GB2312" w:eastAsia="仿宋_GB2312"/>
          <w:color w:val="auto"/>
          <w:szCs w:val="24"/>
        </w:rPr>
        <w:t>承包人违约的情形</w:t>
      </w:r>
      <w:bookmarkEnd w:id="1040"/>
    </w:p>
    <w:p>
      <w:pPr>
        <w:ind w:firstLine="600"/>
        <w:rPr>
          <w:rFonts w:ascii="仿宋_GB2312" w:eastAsia="仿宋_GB2312"/>
          <w:color w:val="auto"/>
          <w:sz w:val="24"/>
        </w:rPr>
      </w:pPr>
      <w:r>
        <w:rPr>
          <w:rFonts w:hint="eastAsia" w:ascii="仿宋_GB2312" w:eastAsia="仿宋_GB2312"/>
          <w:color w:val="auto"/>
          <w:sz w:val="24"/>
        </w:rPr>
        <w:t>除专用合同条件另有约定外，在履行合同过程中发生的下列情况之一的，属于承包人违约：</w:t>
      </w:r>
    </w:p>
    <w:p>
      <w:pPr>
        <w:ind w:firstLine="600"/>
        <w:rPr>
          <w:rFonts w:ascii="仿宋_GB2312" w:eastAsia="仿宋_GB2312"/>
          <w:color w:val="auto"/>
          <w:sz w:val="24"/>
        </w:rPr>
      </w:pPr>
      <w:r>
        <w:rPr>
          <w:rFonts w:hint="eastAsia" w:ascii="仿宋_GB2312" w:eastAsia="仿宋_GB2312"/>
          <w:color w:val="auto"/>
          <w:sz w:val="24"/>
        </w:rPr>
        <w:t>（1） 承包人的原因导致的承包人文件、实施和竣工的工程不符合法律法规、工程质量验收标准以及合同约定；</w:t>
      </w:r>
    </w:p>
    <w:p>
      <w:pPr>
        <w:ind w:firstLine="600"/>
        <w:rPr>
          <w:rFonts w:ascii="仿宋_GB2312" w:eastAsia="仿宋_GB2312"/>
          <w:color w:val="auto"/>
          <w:sz w:val="24"/>
        </w:rPr>
      </w:pPr>
      <w:r>
        <w:rPr>
          <w:rFonts w:hint="eastAsia" w:ascii="仿宋_GB2312" w:eastAsia="仿宋_GB2312"/>
          <w:color w:val="auto"/>
          <w:sz w:val="24"/>
        </w:rPr>
        <w:t>（2） 承包人违反合同约定进行转包或违法分包的；</w:t>
      </w:r>
    </w:p>
    <w:p>
      <w:pPr>
        <w:ind w:firstLine="600"/>
        <w:rPr>
          <w:rFonts w:ascii="仿宋_GB2312" w:eastAsia="仿宋_GB2312"/>
          <w:color w:val="auto"/>
          <w:sz w:val="24"/>
        </w:rPr>
      </w:pPr>
      <w:r>
        <w:rPr>
          <w:rFonts w:hint="eastAsia" w:ascii="仿宋_GB2312" w:eastAsia="仿宋_GB2312"/>
          <w:color w:val="auto"/>
          <w:sz w:val="24"/>
        </w:rPr>
        <w:t>（3） 承包人违反约定采购和使用不合格材料或工程设备；</w:t>
      </w:r>
    </w:p>
    <w:p>
      <w:pPr>
        <w:ind w:firstLine="600"/>
        <w:rPr>
          <w:rFonts w:ascii="仿宋_GB2312" w:eastAsia="仿宋_GB2312"/>
          <w:color w:val="auto"/>
          <w:sz w:val="24"/>
        </w:rPr>
      </w:pPr>
      <w:r>
        <w:rPr>
          <w:rFonts w:hint="eastAsia" w:ascii="仿宋_GB2312" w:eastAsia="仿宋_GB2312"/>
          <w:color w:val="auto"/>
          <w:sz w:val="24"/>
        </w:rPr>
        <w:t>（4） 因承包人原因导致工程质量不符合合同要求的；</w:t>
      </w:r>
    </w:p>
    <w:p>
      <w:pPr>
        <w:ind w:firstLine="600"/>
        <w:rPr>
          <w:rFonts w:ascii="仿宋_GB2312" w:eastAsia="仿宋_GB2312"/>
          <w:color w:val="auto"/>
          <w:sz w:val="24"/>
        </w:rPr>
      </w:pPr>
      <w:r>
        <w:rPr>
          <w:rFonts w:hint="eastAsia" w:ascii="仿宋_GB2312" w:eastAsia="仿宋_GB2312"/>
          <w:color w:val="auto"/>
          <w:sz w:val="24"/>
        </w:rPr>
        <w:t>（5） 承包人未经工程师批准，擅自将已按合同约定进入施工现场的施工设备、临时设施或材料撤离施工现场；</w:t>
      </w:r>
    </w:p>
    <w:p>
      <w:pPr>
        <w:ind w:firstLine="600"/>
        <w:rPr>
          <w:rFonts w:ascii="仿宋_GB2312" w:eastAsia="仿宋_GB2312"/>
          <w:color w:val="auto"/>
          <w:sz w:val="24"/>
        </w:rPr>
      </w:pPr>
      <w:r>
        <w:rPr>
          <w:rFonts w:hint="eastAsia" w:ascii="仿宋_GB2312" w:eastAsia="仿宋_GB2312"/>
          <w:color w:val="auto"/>
          <w:sz w:val="24"/>
        </w:rPr>
        <w:t>（6） 承包人未能按项目进度计划及时完成合同约定的工作，造成工期延误；</w:t>
      </w:r>
    </w:p>
    <w:p>
      <w:pPr>
        <w:ind w:firstLine="600"/>
        <w:rPr>
          <w:rFonts w:ascii="仿宋_GB2312" w:eastAsia="仿宋_GB2312"/>
          <w:color w:val="auto"/>
          <w:sz w:val="24"/>
        </w:rPr>
      </w:pPr>
      <w:r>
        <w:rPr>
          <w:rFonts w:hint="eastAsia" w:ascii="仿宋_GB2312" w:eastAsia="仿宋_GB2312"/>
          <w:color w:val="auto"/>
          <w:sz w:val="24"/>
        </w:rPr>
        <w:t>（7） 由于承包人原因未能通过竣工试验或竣工后试验的；</w:t>
      </w:r>
    </w:p>
    <w:p>
      <w:pPr>
        <w:ind w:firstLine="600"/>
        <w:rPr>
          <w:rFonts w:ascii="仿宋_GB2312" w:eastAsia="仿宋_GB2312"/>
          <w:color w:val="auto"/>
          <w:sz w:val="24"/>
        </w:rPr>
      </w:pPr>
      <w:r>
        <w:rPr>
          <w:rFonts w:hint="eastAsia" w:ascii="仿宋_GB2312" w:eastAsia="仿宋_GB2312"/>
          <w:color w:val="auto"/>
          <w:sz w:val="24"/>
        </w:rPr>
        <w:t>（8） 承包人在缺陷责任期及保修期内，未能在合理期限对工程缺陷进行修复，或拒绝按发包人指示进行修复的；</w:t>
      </w:r>
    </w:p>
    <w:p>
      <w:pPr>
        <w:ind w:firstLine="600"/>
        <w:rPr>
          <w:rFonts w:ascii="仿宋_GB2312" w:eastAsia="仿宋_GB2312"/>
          <w:color w:val="auto"/>
          <w:sz w:val="24"/>
        </w:rPr>
      </w:pPr>
      <w:r>
        <w:rPr>
          <w:rFonts w:hint="eastAsia" w:ascii="仿宋_GB2312" w:eastAsia="仿宋_GB2312"/>
          <w:color w:val="auto"/>
          <w:sz w:val="24"/>
        </w:rPr>
        <w:t>（9） 承包人明确表示或者以其行为表明不履行合同主要义务的；</w:t>
      </w:r>
    </w:p>
    <w:p>
      <w:pPr>
        <w:ind w:firstLine="600"/>
        <w:rPr>
          <w:rFonts w:ascii="仿宋_GB2312" w:eastAsia="仿宋_GB2312"/>
          <w:color w:val="auto"/>
          <w:sz w:val="24"/>
        </w:rPr>
      </w:pPr>
      <w:r>
        <w:rPr>
          <w:rFonts w:hint="eastAsia" w:ascii="仿宋_GB2312" w:eastAsia="仿宋_GB2312"/>
          <w:color w:val="auto"/>
          <w:sz w:val="24"/>
        </w:rPr>
        <w:t>（1</w:t>
      </w:r>
      <w:r>
        <w:rPr>
          <w:rFonts w:ascii="仿宋_GB2312" w:eastAsia="仿宋_GB2312"/>
          <w:color w:val="auto"/>
          <w:sz w:val="24"/>
        </w:rPr>
        <w:t>0</w:t>
      </w:r>
      <w:r>
        <w:rPr>
          <w:rFonts w:hint="eastAsia" w:ascii="仿宋_GB2312" w:eastAsia="仿宋_GB2312"/>
          <w:color w:val="auto"/>
          <w:sz w:val="24"/>
        </w:rPr>
        <w:t>） 承包人未能按照合同约定履行其他义务的。</w:t>
      </w:r>
    </w:p>
    <w:p>
      <w:pPr>
        <w:pStyle w:val="88"/>
        <w:numPr>
          <w:ilvl w:val="0"/>
          <w:numId w:val="0"/>
        </w:numPr>
        <w:rPr>
          <w:rFonts w:ascii="仿宋_GB2312" w:eastAsia="仿宋_GB2312"/>
          <w:color w:val="auto"/>
          <w:szCs w:val="24"/>
        </w:rPr>
      </w:pPr>
      <w:bookmarkStart w:id="1041" w:name="_Ref531958512"/>
      <w:r>
        <w:rPr>
          <w:rFonts w:hint="eastAsia" w:ascii="仿宋_GB2312" w:eastAsia="仿宋_GB2312"/>
          <w:color w:val="auto"/>
          <w:szCs w:val="24"/>
        </w:rPr>
        <w:t>1</w:t>
      </w:r>
      <w:r>
        <w:rPr>
          <w:rFonts w:ascii="仿宋_GB2312" w:eastAsia="仿宋_GB2312"/>
          <w:color w:val="auto"/>
          <w:szCs w:val="24"/>
        </w:rPr>
        <w:t xml:space="preserve">5.2.2 </w:t>
      </w:r>
      <w:r>
        <w:rPr>
          <w:rFonts w:hint="eastAsia" w:ascii="仿宋_GB2312" w:eastAsia="仿宋_GB2312"/>
          <w:color w:val="auto"/>
          <w:szCs w:val="24"/>
        </w:rPr>
        <w:t>通知改正</w:t>
      </w:r>
      <w:bookmarkEnd w:id="1041"/>
    </w:p>
    <w:p>
      <w:pPr>
        <w:ind w:firstLine="600"/>
        <w:rPr>
          <w:rFonts w:ascii="仿宋_GB2312" w:eastAsia="仿宋_GB2312"/>
          <w:color w:val="auto"/>
          <w:sz w:val="24"/>
        </w:rPr>
      </w:pPr>
      <w:r>
        <w:rPr>
          <w:rFonts w:hint="eastAsia" w:ascii="仿宋_GB2312" w:eastAsia="仿宋_GB2312"/>
          <w:color w:val="auto"/>
          <w:sz w:val="24"/>
        </w:rPr>
        <w:t>承包人发生除第</w:t>
      </w:r>
      <w:r>
        <w:rPr>
          <w:rFonts w:ascii="仿宋_GB2312" w:eastAsia="仿宋_GB2312"/>
          <w:color w:val="auto"/>
          <w:sz w:val="24"/>
        </w:rPr>
        <w:t>15.2.1</w:t>
      </w:r>
      <w:r>
        <w:rPr>
          <w:rFonts w:hint="eastAsia" w:ascii="仿宋_GB2312" w:eastAsia="仿宋_GB2312"/>
          <w:color w:val="auto"/>
          <w:sz w:val="24"/>
        </w:rPr>
        <w:t>项第(7)目、第(9)目约定以外的其他违约情况时，工程师可在专用合同条件约定的合理期限内向承包人发出整改通知，要求其在指定的期限内改正。</w:t>
      </w:r>
    </w:p>
    <w:p>
      <w:pPr>
        <w:pStyle w:val="88"/>
        <w:numPr>
          <w:ilvl w:val="0"/>
          <w:numId w:val="0"/>
        </w:numPr>
        <w:rPr>
          <w:rFonts w:ascii="仿宋_GB2312" w:eastAsia="仿宋_GB2312"/>
          <w:color w:val="auto"/>
          <w:szCs w:val="24"/>
        </w:rPr>
      </w:pPr>
      <w:bookmarkStart w:id="1042" w:name="_Ref3841166"/>
      <w:r>
        <w:rPr>
          <w:rFonts w:hint="eastAsia" w:ascii="仿宋_GB2312" w:eastAsia="仿宋_GB2312"/>
          <w:color w:val="auto"/>
          <w:szCs w:val="24"/>
        </w:rPr>
        <w:t>1</w:t>
      </w:r>
      <w:r>
        <w:rPr>
          <w:rFonts w:ascii="仿宋_GB2312" w:eastAsia="仿宋_GB2312"/>
          <w:color w:val="auto"/>
          <w:szCs w:val="24"/>
        </w:rPr>
        <w:t xml:space="preserve">5.2.3 </w:t>
      </w:r>
      <w:r>
        <w:rPr>
          <w:rFonts w:hint="eastAsia" w:ascii="仿宋_GB2312" w:eastAsia="仿宋_GB2312"/>
          <w:color w:val="auto"/>
          <w:szCs w:val="24"/>
        </w:rPr>
        <w:t>承包人违约的责任</w:t>
      </w:r>
      <w:bookmarkEnd w:id="1042"/>
    </w:p>
    <w:p>
      <w:pPr>
        <w:ind w:firstLine="600"/>
        <w:rPr>
          <w:rFonts w:ascii="仿宋_GB2312" w:eastAsia="仿宋_GB2312"/>
          <w:color w:val="auto"/>
          <w:sz w:val="24"/>
        </w:rPr>
      </w:pPr>
      <w:r>
        <w:rPr>
          <w:rFonts w:hint="eastAsia" w:ascii="仿宋_GB2312" w:eastAsia="仿宋_GB2312"/>
          <w:color w:val="auto"/>
          <w:sz w:val="24"/>
        </w:rPr>
        <w:t>承包人应承担因其违约行为而增加的费用和（或）延误的工期。此外，合同当事人可在专用合同条件中另行约定承包人违约责任的承担方式和计算方法。</w:t>
      </w:r>
    </w:p>
    <w:p>
      <w:pPr>
        <w:pStyle w:val="315"/>
        <w:widowControl/>
        <w:numPr>
          <w:ilvl w:val="0"/>
          <w:numId w:val="0"/>
        </w:numPr>
        <w:rPr>
          <w:b w:val="0"/>
          <w:bCs/>
          <w:color w:val="auto"/>
        </w:rPr>
      </w:pPr>
      <w:bookmarkStart w:id="1043" w:name="_Toc54862302"/>
      <w:r>
        <w:rPr>
          <w:rFonts w:hint="eastAsia"/>
          <w:b w:val="0"/>
          <w:bCs/>
          <w:color w:val="auto"/>
        </w:rPr>
        <w:t>1</w:t>
      </w:r>
      <w:r>
        <w:rPr>
          <w:b w:val="0"/>
          <w:bCs/>
          <w:color w:val="auto"/>
        </w:rPr>
        <w:t xml:space="preserve">5.3 </w:t>
      </w:r>
      <w:r>
        <w:rPr>
          <w:rFonts w:hint="eastAsia"/>
          <w:b w:val="0"/>
          <w:bCs/>
          <w:color w:val="auto"/>
        </w:rPr>
        <w:t>第三人造成的违约</w:t>
      </w:r>
      <w:bookmarkEnd w:id="1043"/>
    </w:p>
    <w:p>
      <w:pPr>
        <w:ind w:firstLine="600"/>
        <w:rPr>
          <w:rFonts w:ascii="仿宋_GB2312" w:eastAsia="仿宋_GB2312"/>
          <w:color w:val="auto"/>
          <w:sz w:val="24"/>
        </w:rPr>
      </w:pPr>
      <w:r>
        <w:rPr>
          <w:rFonts w:hint="eastAsia" w:ascii="仿宋_GB2312" w:eastAsia="仿宋_GB2312"/>
          <w:color w:val="auto"/>
          <w:sz w:val="24"/>
        </w:rPr>
        <w:t>在履行合同过程中，一方当事人因第三人的原因造成违约的，应当向对方当事人承担违约责任。一方当事人和第三人之间的纠纷，依照法律规定或者按照约定解决。</w:t>
      </w:r>
    </w:p>
    <w:p>
      <w:pPr>
        <w:pStyle w:val="164"/>
        <w:numPr>
          <w:ilvl w:val="0"/>
          <w:numId w:val="0"/>
        </w:numPr>
        <w:wordWrap/>
        <w:topLinePunct w:val="0"/>
        <w:rPr>
          <w:b w:val="0"/>
          <w:bCs/>
          <w:color w:val="auto"/>
          <w:sz w:val="24"/>
          <w:szCs w:val="24"/>
        </w:rPr>
      </w:pPr>
      <w:bookmarkStart w:id="1044" w:name="_Toc54862303"/>
      <w:bookmarkStart w:id="1045" w:name="_Ref4510572"/>
      <w:bookmarkStart w:id="1046" w:name="_Ref532142069"/>
      <w:bookmarkStart w:id="1047" w:name="_Ref3840457"/>
      <w:r>
        <w:rPr>
          <w:rFonts w:hint="eastAsia"/>
          <w:b w:val="0"/>
          <w:bCs/>
          <w:color w:val="auto"/>
          <w:sz w:val="24"/>
          <w:szCs w:val="24"/>
        </w:rPr>
        <w:t>第1</w:t>
      </w:r>
      <w:r>
        <w:rPr>
          <w:b w:val="0"/>
          <w:bCs/>
          <w:color w:val="auto"/>
          <w:sz w:val="24"/>
          <w:szCs w:val="24"/>
        </w:rPr>
        <w:t>6</w:t>
      </w:r>
      <w:r>
        <w:rPr>
          <w:rFonts w:hint="eastAsia"/>
          <w:b w:val="0"/>
          <w:bCs/>
          <w:color w:val="auto"/>
          <w:sz w:val="24"/>
          <w:szCs w:val="24"/>
        </w:rPr>
        <w:t>条 合同解除</w:t>
      </w:r>
      <w:bookmarkEnd w:id="1044"/>
      <w:bookmarkEnd w:id="1045"/>
    </w:p>
    <w:p>
      <w:pPr>
        <w:pStyle w:val="315"/>
        <w:widowControl/>
        <w:numPr>
          <w:ilvl w:val="0"/>
          <w:numId w:val="0"/>
        </w:numPr>
        <w:rPr>
          <w:b w:val="0"/>
          <w:bCs/>
          <w:color w:val="auto"/>
        </w:rPr>
      </w:pPr>
      <w:bookmarkStart w:id="1048" w:name="_Ref531958502"/>
      <w:bookmarkStart w:id="1049" w:name="_Toc54862304"/>
      <w:bookmarkStart w:id="1050" w:name="_Ref531958499"/>
      <w:r>
        <w:rPr>
          <w:rFonts w:hint="eastAsia"/>
          <w:b w:val="0"/>
          <w:bCs/>
          <w:color w:val="auto"/>
        </w:rPr>
        <w:t>1</w:t>
      </w:r>
      <w:r>
        <w:rPr>
          <w:b w:val="0"/>
          <w:bCs/>
          <w:color w:val="auto"/>
        </w:rPr>
        <w:t xml:space="preserve">6.1 </w:t>
      </w:r>
      <w:r>
        <w:rPr>
          <w:rFonts w:hint="eastAsia"/>
          <w:b w:val="0"/>
          <w:bCs/>
          <w:color w:val="auto"/>
        </w:rPr>
        <w:t>由发包人解除合同</w:t>
      </w:r>
      <w:bookmarkEnd w:id="1048"/>
      <w:bookmarkEnd w:id="1049"/>
      <w:bookmarkEnd w:id="1050"/>
    </w:p>
    <w:p>
      <w:pPr>
        <w:pStyle w:val="88"/>
        <w:numPr>
          <w:ilvl w:val="0"/>
          <w:numId w:val="0"/>
        </w:numPr>
        <w:rPr>
          <w:rFonts w:ascii="仿宋_GB2312" w:eastAsia="仿宋_GB2312"/>
          <w:color w:val="auto"/>
          <w:szCs w:val="24"/>
        </w:rPr>
      </w:pPr>
      <w:bookmarkStart w:id="1051" w:name="_Ref4535422"/>
      <w:r>
        <w:rPr>
          <w:rFonts w:hint="eastAsia" w:ascii="仿宋_GB2312" w:eastAsia="仿宋_GB2312"/>
          <w:color w:val="auto"/>
          <w:szCs w:val="24"/>
        </w:rPr>
        <w:t>1</w:t>
      </w:r>
      <w:r>
        <w:rPr>
          <w:rFonts w:ascii="仿宋_GB2312" w:eastAsia="仿宋_GB2312"/>
          <w:color w:val="auto"/>
          <w:szCs w:val="24"/>
        </w:rPr>
        <w:t xml:space="preserve">6.1.1 </w:t>
      </w:r>
      <w:r>
        <w:rPr>
          <w:rFonts w:hint="eastAsia" w:ascii="仿宋_GB2312" w:eastAsia="仿宋_GB2312"/>
          <w:color w:val="auto"/>
          <w:szCs w:val="24"/>
        </w:rPr>
        <w:t>因承包人违约解除合同</w:t>
      </w:r>
      <w:bookmarkEnd w:id="1051"/>
    </w:p>
    <w:p>
      <w:pPr>
        <w:ind w:firstLine="600"/>
        <w:rPr>
          <w:rFonts w:ascii="仿宋_GB2312" w:eastAsia="仿宋_GB2312"/>
          <w:color w:val="auto"/>
          <w:sz w:val="24"/>
        </w:rPr>
      </w:pPr>
      <w:r>
        <w:rPr>
          <w:rFonts w:hint="eastAsia" w:ascii="仿宋_GB2312" w:eastAsia="仿宋_GB2312"/>
          <w:color w:val="auto"/>
          <w:sz w:val="24"/>
        </w:rPr>
        <w:t>除专用合同条件另有约定外，发包人有权基于下列原因，以书面形式通知承包人解除合同，解除通知中应注明是根据第</w:t>
      </w:r>
      <w:r>
        <w:rPr>
          <w:rFonts w:ascii="仿宋_GB2312" w:eastAsia="仿宋_GB2312"/>
          <w:color w:val="auto"/>
          <w:sz w:val="24"/>
        </w:rPr>
        <w:t>16.1.1</w:t>
      </w:r>
      <w:r>
        <w:rPr>
          <w:rFonts w:hint="eastAsia" w:ascii="仿宋_GB2312" w:eastAsia="仿宋_GB2312"/>
          <w:color w:val="auto"/>
          <w:sz w:val="24"/>
        </w:rPr>
        <w:t>项发出的，发包人应在发出正式解除合同通知14天前告知承包人其解除合同意向，除非承包人在收到该解除合同意向通知后14天内采取了补救措施，否则发包人可向承包人发出正式解除合同通知立即解除合同。解除日期应为承包人收到正式解除合同通知的日期，但在第(</w:t>
      </w:r>
      <w:r>
        <w:rPr>
          <w:rFonts w:ascii="仿宋_GB2312" w:eastAsia="仿宋_GB2312"/>
          <w:color w:val="auto"/>
          <w:sz w:val="24"/>
        </w:rPr>
        <w:t>5</w:t>
      </w:r>
      <w:r>
        <w:rPr>
          <w:rFonts w:hint="eastAsia" w:ascii="仿宋_GB2312" w:eastAsia="仿宋_GB2312"/>
          <w:color w:val="auto"/>
          <w:sz w:val="24"/>
        </w:rPr>
        <w:t>)目的情况下，发包人无须提前告知承包人其解除合同意向，可直接发出正式解除合同通知立即解除合同：</w:t>
      </w:r>
    </w:p>
    <w:p>
      <w:pPr>
        <w:ind w:firstLine="600"/>
        <w:rPr>
          <w:rFonts w:ascii="仿宋_GB2312" w:eastAsia="仿宋_GB2312"/>
          <w:color w:val="auto"/>
          <w:sz w:val="24"/>
        </w:rPr>
      </w:pPr>
      <w:bookmarkStart w:id="1052" w:name="_Ref531958536"/>
      <w:r>
        <w:rPr>
          <w:rFonts w:hint="eastAsia" w:ascii="仿宋_GB2312" w:eastAsia="仿宋_GB2312"/>
          <w:color w:val="auto"/>
          <w:sz w:val="24"/>
        </w:rPr>
        <w:t>（1） 承包人未能遵守第</w:t>
      </w:r>
      <w:r>
        <w:rPr>
          <w:rFonts w:ascii="仿宋_GB2312" w:eastAsia="仿宋_GB2312"/>
          <w:color w:val="auto"/>
          <w:sz w:val="24"/>
        </w:rPr>
        <w:t>4.2</w:t>
      </w:r>
      <w:r>
        <w:rPr>
          <w:rFonts w:hint="eastAsia" w:ascii="仿宋_GB2312" w:eastAsia="仿宋_GB2312"/>
          <w:color w:val="auto"/>
          <w:sz w:val="24"/>
        </w:rPr>
        <w:t>款</w:t>
      </w:r>
      <w:bookmarkStart w:id="1053" w:name="_Hlk18839947"/>
      <w:r>
        <w:rPr>
          <w:rFonts w:hint="eastAsia" w:ascii="仿宋_GB2312" w:eastAsia="仿宋_GB2312"/>
          <w:color w:val="auto"/>
          <w:sz w:val="24"/>
        </w:rPr>
        <w:t>[履约担保]</w:t>
      </w:r>
      <w:bookmarkEnd w:id="1053"/>
      <w:r>
        <w:rPr>
          <w:rFonts w:hint="eastAsia" w:ascii="仿宋_GB2312" w:eastAsia="仿宋_GB2312"/>
          <w:color w:val="auto"/>
          <w:sz w:val="24"/>
        </w:rPr>
        <w:t>的约定；</w:t>
      </w:r>
    </w:p>
    <w:p>
      <w:pPr>
        <w:ind w:firstLine="600"/>
        <w:rPr>
          <w:rFonts w:ascii="仿宋_GB2312" w:eastAsia="仿宋_GB2312"/>
          <w:color w:val="auto"/>
          <w:sz w:val="24"/>
        </w:rPr>
      </w:pPr>
      <w:r>
        <w:rPr>
          <w:rFonts w:hint="eastAsia" w:ascii="仿宋_GB2312" w:eastAsia="仿宋_GB2312"/>
          <w:color w:val="auto"/>
          <w:sz w:val="24"/>
        </w:rPr>
        <w:t>（2） 承包人未能遵守第</w:t>
      </w:r>
      <w:r>
        <w:rPr>
          <w:rFonts w:ascii="仿宋_GB2312" w:eastAsia="仿宋_GB2312"/>
          <w:color w:val="auto"/>
          <w:sz w:val="24"/>
        </w:rPr>
        <w:t>4.5</w:t>
      </w:r>
      <w:r>
        <w:rPr>
          <w:rFonts w:hint="eastAsia" w:ascii="仿宋_GB2312" w:eastAsia="仿宋_GB2312"/>
          <w:color w:val="auto"/>
          <w:sz w:val="24"/>
        </w:rPr>
        <w:t>款[分包]有关分包和转包的约定；</w:t>
      </w:r>
    </w:p>
    <w:p>
      <w:pPr>
        <w:ind w:firstLine="600"/>
        <w:rPr>
          <w:rFonts w:ascii="仿宋_GB2312" w:eastAsia="仿宋_GB2312"/>
          <w:color w:val="auto"/>
          <w:sz w:val="24"/>
        </w:rPr>
      </w:pPr>
      <w:r>
        <w:rPr>
          <w:rFonts w:hint="eastAsia" w:ascii="仿宋_GB2312" w:eastAsia="仿宋_GB2312"/>
          <w:color w:val="auto"/>
          <w:sz w:val="24"/>
        </w:rPr>
        <w:t>（3） 承包人实际进度明显落后于进度计划，并且未按发包人的指令采取措施并修正进度计划；</w:t>
      </w:r>
    </w:p>
    <w:p>
      <w:pPr>
        <w:ind w:firstLine="600"/>
        <w:rPr>
          <w:rFonts w:ascii="仿宋_GB2312" w:eastAsia="仿宋_GB2312"/>
          <w:color w:val="auto"/>
          <w:sz w:val="24"/>
        </w:rPr>
      </w:pPr>
      <w:r>
        <w:rPr>
          <w:rFonts w:hint="eastAsia" w:ascii="仿宋_GB2312" w:eastAsia="仿宋_GB2312"/>
          <w:color w:val="auto"/>
          <w:sz w:val="24"/>
        </w:rPr>
        <w:t>（4） 工程质量有严重缺陷，承包人无正当理由使修复开始日期拖延达28天以上；</w:t>
      </w:r>
    </w:p>
    <w:p>
      <w:pPr>
        <w:ind w:firstLine="600"/>
        <w:rPr>
          <w:rFonts w:ascii="仿宋_GB2312" w:eastAsia="仿宋_GB2312"/>
          <w:color w:val="auto"/>
          <w:sz w:val="24"/>
        </w:rPr>
      </w:pPr>
      <w:r>
        <w:rPr>
          <w:rFonts w:hint="eastAsia" w:ascii="仿宋_GB2312" w:eastAsia="仿宋_GB2312"/>
          <w:color w:val="auto"/>
          <w:sz w:val="24"/>
        </w:rPr>
        <w:t>（5） 承包人破产、停业清理或进入清算程序，或情况表明承包人将进入破产和（或）清算程序，已有对其财产的接管令或管理令，与债权人达成和解，或为其债权人的利益在财产接管人、受托人或管理人的监督下营业，或采取了任何行动或发生任何事件（根据有关适用法律）具有与前述行动或事件相似的效果；</w:t>
      </w:r>
    </w:p>
    <w:p>
      <w:pPr>
        <w:ind w:firstLine="600"/>
        <w:rPr>
          <w:rFonts w:ascii="仿宋_GB2312" w:eastAsia="仿宋_GB2312"/>
          <w:color w:val="auto"/>
          <w:sz w:val="24"/>
        </w:rPr>
      </w:pPr>
      <w:r>
        <w:rPr>
          <w:rFonts w:hint="eastAsia" w:ascii="仿宋_GB2312" w:eastAsia="仿宋_GB2312"/>
          <w:color w:val="auto"/>
          <w:sz w:val="24"/>
        </w:rPr>
        <w:t>（6） 承包人明确表示或以自己的行为表明不履行合同、或经发包人以书面形式通知其履约后仍未能依约履行合同、或以不适当的方式履行合同；</w:t>
      </w:r>
    </w:p>
    <w:p>
      <w:pPr>
        <w:ind w:firstLine="600"/>
        <w:rPr>
          <w:rFonts w:ascii="仿宋_GB2312" w:eastAsia="仿宋_GB2312"/>
          <w:color w:val="auto"/>
          <w:sz w:val="24"/>
        </w:rPr>
      </w:pPr>
      <w:r>
        <w:rPr>
          <w:rFonts w:hint="eastAsia" w:ascii="仿宋_GB2312" w:eastAsia="仿宋_GB2312"/>
          <w:color w:val="auto"/>
          <w:sz w:val="24"/>
        </w:rPr>
        <w:t>（7） 未能通过的竣工试验、未能通过的竣工后试验，使工程的任何部分和（或）整个工程丧失了主要使用功能、生产功能；</w:t>
      </w:r>
    </w:p>
    <w:p>
      <w:pPr>
        <w:ind w:firstLine="600"/>
        <w:rPr>
          <w:rFonts w:ascii="仿宋_GB2312" w:eastAsia="仿宋_GB2312"/>
          <w:color w:val="auto"/>
          <w:sz w:val="24"/>
        </w:rPr>
      </w:pPr>
      <w:r>
        <w:rPr>
          <w:rFonts w:hint="eastAsia" w:ascii="仿宋_GB2312" w:eastAsia="仿宋_GB2312"/>
          <w:color w:val="auto"/>
          <w:sz w:val="24"/>
        </w:rPr>
        <w:t>（8） 因承包人的原因暂停工作超过56天且暂停影响到整个工程，或因承包人的原因暂停工作超过182天；</w:t>
      </w:r>
    </w:p>
    <w:p>
      <w:pPr>
        <w:ind w:firstLine="600"/>
        <w:rPr>
          <w:rFonts w:ascii="仿宋_GB2312" w:eastAsia="仿宋_GB2312"/>
          <w:color w:val="auto"/>
          <w:sz w:val="24"/>
        </w:rPr>
      </w:pPr>
      <w:r>
        <w:rPr>
          <w:rFonts w:hint="eastAsia" w:ascii="仿宋_GB2312" w:eastAsia="仿宋_GB2312"/>
          <w:color w:val="auto"/>
          <w:sz w:val="24"/>
        </w:rPr>
        <w:t>（9） 承包人未能遵守第</w:t>
      </w:r>
      <w:r>
        <w:rPr>
          <w:rFonts w:ascii="仿宋_GB2312" w:eastAsia="仿宋_GB2312"/>
          <w:color w:val="auto"/>
          <w:sz w:val="24"/>
        </w:rPr>
        <w:t>8.2</w:t>
      </w:r>
      <w:r>
        <w:rPr>
          <w:rFonts w:hint="eastAsia" w:ascii="仿宋_GB2312" w:eastAsia="仿宋_GB2312"/>
          <w:color w:val="auto"/>
          <w:sz w:val="24"/>
        </w:rPr>
        <w:t>款[竣工日期]规定，延误超过1</w:t>
      </w:r>
      <w:r>
        <w:rPr>
          <w:rFonts w:ascii="仿宋_GB2312" w:eastAsia="仿宋_GB2312"/>
          <w:color w:val="auto"/>
          <w:sz w:val="24"/>
        </w:rPr>
        <w:t>82</w:t>
      </w:r>
      <w:r>
        <w:rPr>
          <w:rFonts w:hint="eastAsia" w:ascii="仿宋_GB2312" w:eastAsia="仿宋_GB2312"/>
          <w:color w:val="auto"/>
          <w:sz w:val="24"/>
        </w:rPr>
        <w:t>天；</w:t>
      </w:r>
    </w:p>
    <w:p>
      <w:pPr>
        <w:ind w:firstLine="600"/>
        <w:rPr>
          <w:rFonts w:ascii="仿宋_GB2312" w:eastAsia="仿宋_GB2312"/>
          <w:color w:val="auto"/>
          <w:sz w:val="24"/>
        </w:rPr>
      </w:pPr>
      <w:r>
        <w:rPr>
          <w:rFonts w:hint="eastAsia" w:ascii="仿宋_GB2312" w:eastAsia="仿宋_GB2312"/>
          <w:color w:val="auto"/>
          <w:sz w:val="24"/>
        </w:rPr>
        <w:t>（1</w:t>
      </w:r>
      <w:r>
        <w:rPr>
          <w:rFonts w:ascii="仿宋_GB2312" w:eastAsia="仿宋_GB2312"/>
          <w:color w:val="auto"/>
          <w:sz w:val="24"/>
        </w:rPr>
        <w:t>0</w:t>
      </w:r>
      <w:r>
        <w:rPr>
          <w:rFonts w:hint="eastAsia" w:ascii="仿宋_GB2312" w:eastAsia="仿宋_GB2312"/>
          <w:color w:val="auto"/>
          <w:sz w:val="24"/>
        </w:rPr>
        <w:t>） 工程师根据第</w:t>
      </w:r>
      <w:r>
        <w:rPr>
          <w:rFonts w:ascii="仿宋_GB2312" w:eastAsia="仿宋_GB2312"/>
          <w:color w:val="auto"/>
          <w:sz w:val="24"/>
        </w:rPr>
        <w:t>15.2.2</w:t>
      </w:r>
      <w:r>
        <w:rPr>
          <w:rFonts w:hint="eastAsia" w:ascii="仿宋_GB2312" w:eastAsia="仿宋_GB2312"/>
          <w:color w:val="auto"/>
          <w:sz w:val="24"/>
        </w:rPr>
        <w:t>项[通知改正]发出整改通知后，承包人在指定的合理期限内仍不纠正违约行为并致使合同目的不能实现的。</w:t>
      </w:r>
    </w:p>
    <w:bookmarkEnd w:id="1052"/>
    <w:p>
      <w:pPr>
        <w:pStyle w:val="88"/>
        <w:numPr>
          <w:ilvl w:val="0"/>
          <w:numId w:val="0"/>
        </w:numPr>
        <w:rPr>
          <w:rFonts w:ascii="仿宋_GB2312" w:eastAsia="仿宋_GB2312"/>
          <w:color w:val="auto"/>
          <w:szCs w:val="24"/>
        </w:rPr>
      </w:pPr>
      <w:bookmarkStart w:id="1054" w:name="_Ref3841839"/>
      <w:bookmarkStart w:id="1055" w:name="_Ref4624315"/>
      <w:r>
        <w:rPr>
          <w:rFonts w:hint="eastAsia" w:ascii="仿宋_GB2312" w:eastAsia="仿宋_GB2312"/>
          <w:color w:val="auto"/>
          <w:szCs w:val="24"/>
        </w:rPr>
        <w:t>1</w:t>
      </w:r>
      <w:r>
        <w:rPr>
          <w:rFonts w:ascii="仿宋_GB2312" w:eastAsia="仿宋_GB2312"/>
          <w:color w:val="auto"/>
          <w:szCs w:val="24"/>
        </w:rPr>
        <w:t xml:space="preserve">6.1.2 </w:t>
      </w:r>
      <w:r>
        <w:rPr>
          <w:rFonts w:hint="eastAsia" w:ascii="仿宋_GB2312" w:eastAsia="仿宋_GB2312"/>
          <w:color w:val="auto"/>
          <w:szCs w:val="24"/>
        </w:rPr>
        <w:t>因承包人违约解除合同后</w:t>
      </w:r>
      <w:bookmarkEnd w:id="1054"/>
      <w:r>
        <w:rPr>
          <w:rFonts w:hint="eastAsia" w:ascii="仿宋_GB2312" w:eastAsia="仿宋_GB2312"/>
          <w:color w:val="auto"/>
          <w:szCs w:val="24"/>
        </w:rPr>
        <w:t>承包人的义务</w:t>
      </w:r>
      <w:bookmarkEnd w:id="1055"/>
    </w:p>
    <w:p>
      <w:pPr>
        <w:ind w:firstLine="600"/>
        <w:rPr>
          <w:rFonts w:ascii="仿宋_GB2312" w:eastAsia="仿宋_GB2312"/>
          <w:color w:val="auto"/>
          <w:sz w:val="24"/>
        </w:rPr>
      </w:pPr>
      <w:r>
        <w:rPr>
          <w:rFonts w:hint="eastAsia" w:ascii="仿宋_GB2312" w:eastAsia="仿宋_GB2312"/>
          <w:color w:val="auto"/>
          <w:sz w:val="24"/>
        </w:rPr>
        <w:t>合同解除后，承包人应按以下约定执行：</w:t>
      </w:r>
    </w:p>
    <w:p>
      <w:pPr>
        <w:ind w:firstLine="600"/>
        <w:rPr>
          <w:rFonts w:ascii="仿宋_GB2312" w:eastAsia="仿宋_GB2312"/>
          <w:color w:val="auto"/>
          <w:sz w:val="24"/>
        </w:rPr>
      </w:pPr>
      <w:r>
        <w:rPr>
          <w:rFonts w:hint="eastAsia" w:ascii="仿宋_GB2312" w:eastAsia="仿宋_GB2312"/>
          <w:color w:val="auto"/>
          <w:sz w:val="24"/>
        </w:rPr>
        <w:t>（1） 除了为保护生命、财产或工程安全、清理和必须执行的工作外，停止执行所有被通知解除的工作，并将相关人员撤离现场；</w:t>
      </w:r>
    </w:p>
    <w:p>
      <w:pPr>
        <w:ind w:firstLine="600"/>
        <w:rPr>
          <w:rFonts w:ascii="仿宋_GB2312" w:eastAsia="仿宋_GB2312"/>
          <w:color w:val="auto"/>
          <w:sz w:val="24"/>
        </w:rPr>
      </w:pPr>
      <w:r>
        <w:rPr>
          <w:rFonts w:hint="eastAsia" w:ascii="仿宋_GB2312" w:eastAsia="仿宋_GB2312"/>
          <w:color w:val="auto"/>
          <w:sz w:val="24"/>
        </w:rPr>
        <w:t>（2） 经发包人批准，承包人应将与被解除合同相关的和正在执行的分包合同及相关的责任和义务转让至发包人和（或）发包人指定方的名下，包括永久性工程及工程物资，以及相关工作；</w:t>
      </w:r>
    </w:p>
    <w:p>
      <w:pPr>
        <w:ind w:firstLine="600"/>
        <w:rPr>
          <w:rFonts w:ascii="仿宋_GB2312" w:eastAsia="仿宋_GB2312"/>
          <w:color w:val="auto"/>
          <w:sz w:val="24"/>
        </w:rPr>
      </w:pPr>
      <w:r>
        <w:rPr>
          <w:rFonts w:hint="eastAsia" w:ascii="仿宋_GB2312" w:eastAsia="仿宋_GB2312"/>
          <w:color w:val="auto"/>
          <w:sz w:val="24"/>
        </w:rPr>
        <w:t>（3） 移交已完成的永久性工程及负责已运抵现场的工程物资。在移交前，妥善做好己完工程和已运抵现场的工程物资的保管、维护和保养；</w:t>
      </w:r>
    </w:p>
    <w:p>
      <w:pPr>
        <w:ind w:firstLine="600"/>
        <w:rPr>
          <w:rFonts w:ascii="仿宋_GB2312" w:eastAsia="仿宋_GB2312"/>
          <w:color w:val="auto"/>
          <w:sz w:val="24"/>
        </w:rPr>
      </w:pPr>
      <w:r>
        <w:rPr>
          <w:rFonts w:hint="eastAsia" w:ascii="仿宋_GB2312" w:eastAsia="仿宋_GB2312"/>
          <w:color w:val="auto"/>
          <w:sz w:val="24"/>
        </w:rPr>
        <w:t>（4） 将发包人提供的所有信息及承包人为本工程编制的设计文件、技术资料及其它文件移交给发包人。在承包人留有的资料文件中，销毁与发包人提供的所有信息相关的数据及资料的备份；</w:t>
      </w:r>
    </w:p>
    <w:p>
      <w:pPr>
        <w:ind w:firstLine="600"/>
        <w:rPr>
          <w:rFonts w:ascii="仿宋_GB2312" w:eastAsia="仿宋_GB2312"/>
          <w:color w:val="auto"/>
          <w:sz w:val="24"/>
        </w:rPr>
      </w:pPr>
      <w:r>
        <w:rPr>
          <w:rFonts w:hint="eastAsia" w:ascii="仿宋_GB2312" w:eastAsia="仿宋_GB2312"/>
          <w:color w:val="auto"/>
          <w:sz w:val="24"/>
        </w:rPr>
        <w:t>（5） 移交相应实施阶段已经付款的并已完成的和尚待完成的设计文件、图纸、资料、操作维修手册、施工组织设计、质检资料、竣工资料等；</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6.1.3 </w:t>
      </w:r>
      <w:r>
        <w:rPr>
          <w:rFonts w:hint="eastAsia" w:ascii="仿宋_GB2312" w:eastAsia="仿宋_GB2312"/>
          <w:color w:val="auto"/>
          <w:szCs w:val="24"/>
        </w:rPr>
        <w:t>因承包人违约解除合同后的估价、付款和结算</w:t>
      </w:r>
    </w:p>
    <w:p>
      <w:pPr>
        <w:ind w:firstLine="600"/>
        <w:rPr>
          <w:rFonts w:ascii="仿宋_GB2312" w:eastAsia="仿宋_GB2312"/>
          <w:color w:val="auto"/>
          <w:sz w:val="24"/>
        </w:rPr>
      </w:pPr>
      <w:r>
        <w:rPr>
          <w:rFonts w:hint="eastAsia" w:ascii="仿宋_GB2312" w:eastAsia="仿宋_GB2312"/>
          <w:color w:val="auto"/>
          <w:sz w:val="24"/>
        </w:rPr>
        <w:t>因承包人原因导致合同解除的，则合同当事人应在合同解除后28天内完成估价、付款和清算，并按以下约定执行：</w:t>
      </w:r>
    </w:p>
    <w:p>
      <w:pPr>
        <w:ind w:firstLine="600"/>
        <w:rPr>
          <w:rFonts w:ascii="仿宋_GB2312" w:eastAsia="仿宋_GB2312"/>
          <w:color w:val="auto"/>
          <w:sz w:val="24"/>
        </w:rPr>
      </w:pPr>
      <w:r>
        <w:rPr>
          <w:rFonts w:hint="eastAsia" w:ascii="仿宋_GB2312" w:eastAsia="仿宋_GB2312"/>
          <w:color w:val="auto"/>
          <w:sz w:val="24"/>
        </w:rPr>
        <w:t>（1） 合同解除后，按第</w:t>
      </w:r>
      <w:r>
        <w:rPr>
          <w:rFonts w:ascii="仿宋_GB2312" w:eastAsia="仿宋_GB2312"/>
          <w:color w:val="auto"/>
          <w:sz w:val="24"/>
        </w:rPr>
        <w:t>3.6</w:t>
      </w:r>
      <w:r>
        <w:rPr>
          <w:rFonts w:hint="eastAsia" w:ascii="仿宋_GB2312" w:eastAsia="仿宋_GB2312"/>
          <w:color w:val="auto"/>
          <w:sz w:val="24"/>
        </w:rPr>
        <w:t>款[商定或确定]商定或确定承包人实际完成工作对应的合同价款，以及承包人已提供的材料、工程设备、施工设备和临时工程等的价值；</w:t>
      </w:r>
    </w:p>
    <w:p>
      <w:pPr>
        <w:ind w:firstLine="600"/>
        <w:rPr>
          <w:rFonts w:ascii="仿宋_GB2312" w:eastAsia="仿宋_GB2312"/>
          <w:color w:val="auto"/>
          <w:sz w:val="24"/>
        </w:rPr>
      </w:pPr>
      <w:r>
        <w:rPr>
          <w:rFonts w:hint="eastAsia" w:ascii="仿宋_GB2312" w:eastAsia="仿宋_GB2312"/>
          <w:color w:val="auto"/>
          <w:sz w:val="24"/>
        </w:rPr>
        <w:t>（2） 合同解除后，承包人应支付的违约金；</w:t>
      </w:r>
    </w:p>
    <w:p>
      <w:pPr>
        <w:ind w:firstLine="600"/>
        <w:rPr>
          <w:rFonts w:ascii="仿宋_GB2312" w:eastAsia="仿宋_GB2312"/>
          <w:color w:val="auto"/>
          <w:sz w:val="24"/>
        </w:rPr>
      </w:pPr>
      <w:r>
        <w:rPr>
          <w:rFonts w:hint="eastAsia" w:ascii="仿宋_GB2312" w:eastAsia="仿宋_GB2312"/>
          <w:color w:val="auto"/>
          <w:sz w:val="24"/>
        </w:rPr>
        <w:t>（3） 合同解除后，因解除合同给发包人造成的损失；</w:t>
      </w:r>
    </w:p>
    <w:p>
      <w:pPr>
        <w:ind w:firstLine="600"/>
        <w:rPr>
          <w:rFonts w:ascii="仿宋_GB2312" w:eastAsia="仿宋_GB2312"/>
          <w:color w:val="auto"/>
          <w:sz w:val="24"/>
        </w:rPr>
      </w:pPr>
      <w:r>
        <w:rPr>
          <w:rFonts w:hint="eastAsia" w:ascii="仿宋_GB2312" w:eastAsia="仿宋_GB2312"/>
          <w:color w:val="auto"/>
          <w:sz w:val="24"/>
        </w:rPr>
        <w:t>（4） 合同解除后，承包人应按照发包人的指示完成现场的清理和撤离；</w:t>
      </w:r>
    </w:p>
    <w:p>
      <w:pPr>
        <w:ind w:firstLine="600"/>
        <w:rPr>
          <w:rFonts w:ascii="仿宋_GB2312" w:eastAsia="仿宋_GB2312"/>
          <w:color w:val="auto"/>
          <w:sz w:val="24"/>
        </w:rPr>
      </w:pPr>
      <w:r>
        <w:rPr>
          <w:rFonts w:hint="eastAsia" w:ascii="仿宋_GB2312" w:eastAsia="仿宋_GB2312"/>
          <w:color w:val="auto"/>
          <w:sz w:val="24"/>
        </w:rPr>
        <w:t>（5） 发包人和承包人应在合同解除后进行清算，出具最终结清付款证书，结清全部款项。</w:t>
      </w:r>
    </w:p>
    <w:p>
      <w:pPr>
        <w:ind w:firstLine="600"/>
        <w:rPr>
          <w:rFonts w:ascii="仿宋_GB2312" w:eastAsia="仿宋_GB2312"/>
          <w:color w:val="auto"/>
          <w:sz w:val="24"/>
        </w:rPr>
      </w:pPr>
      <w:r>
        <w:rPr>
          <w:rFonts w:hint="eastAsia" w:ascii="仿宋_GB2312" w:eastAsia="仿宋_GB2312"/>
          <w:color w:val="auto"/>
          <w:sz w:val="24"/>
        </w:rPr>
        <w:t>因承包人违约解除合同的，发包人有权暂停对承包人的付款，查清各项付款和已扣款项，发包人和承包人未能就合同解除后的清算和款项支付达成一致的，按照第</w:t>
      </w:r>
      <w:r>
        <w:rPr>
          <w:rFonts w:ascii="仿宋_GB2312" w:eastAsia="仿宋_GB2312"/>
          <w:color w:val="auto"/>
          <w:sz w:val="24"/>
        </w:rPr>
        <w:t>20条[争议解决]的约定处理</w:t>
      </w:r>
      <w:r>
        <w:rPr>
          <w:rFonts w:hint="eastAsia" w:ascii="仿宋_GB2312" w:eastAsia="仿宋_GB2312"/>
          <w:color w:val="auto"/>
          <w:sz w:val="24"/>
        </w:rPr>
        <w:t>。</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6.1.4 </w:t>
      </w:r>
      <w:r>
        <w:rPr>
          <w:rFonts w:hint="eastAsia" w:ascii="仿宋_GB2312" w:eastAsia="仿宋_GB2312"/>
          <w:color w:val="auto"/>
          <w:szCs w:val="24"/>
        </w:rPr>
        <w:t>因承包人违约解除合同的合同权益转让</w:t>
      </w:r>
    </w:p>
    <w:p>
      <w:pPr>
        <w:ind w:firstLine="600"/>
        <w:rPr>
          <w:rFonts w:ascii="仿宋_GB2312" w:eastAsia="仿宋_GB2312"/>
          <w:color w:val="auto"/>
          <w:sz w:val="24"/>
        </w:rPr>
      </w:pPr>
      <w:r>
        <w:rPr>
          <w:rFonts w:hint="eastAsia" w:ascii="仿宋_GB2312" w:eastAsia="仿宋_GB2312"/>
          <w:color w:val="auto"/>
          <w:sz w:val="24"/>
        </w:rPr>
        <w:t>合同解除后，发包人可以继续完成工程，和（或）安排第三人完成。发包人有权要求承包人将其为实施合同而订立的材料和设备的订货合同或任何服务合同利益转让给发包人，并在承包人收到解除合同通知后的14天内，依法办理转让手续。发包人和（或）第三人有权使用承包人在施工现场的材料、设备、临时工程、承包人文件和由承包人或以其名义编制的其他文件。</w:t>
      </w:r>
    </w:p>
    <w:p>
      <w:pPr>
        <w:pStyle w:val="315"/>
        <w:widowControl/>
        <w:numPr>
          <w:ilvl w:val="0"/>
          <w:numId w:val="0"/>
        </w:numPr>
        <w:rPr>
          <w:b w:val="0"/>
          <w:bCs/>
          <w:color w:val="auto"/>
        </w:rPr>
      </w:pPr>
      <w:bookmarkStart w:id="1056" w:name="_Toc54862305"/>
      <w:bookmarkStart w:id="1057" w:name="_Ref531958549"/>
      <w:bookmarkStart w:id="1058" w:name="_Ref531958554"/>
      <w:r>
        <w:rPr>
          <w:rFonts w:hint="eastAsia"/>
          <w:b w:val="0"/>
          <w:bCs/>
          <w:color w:val="auto"/>
        </w:rPr>
        <w:t>1</w:t>
      </w:r>
      <w:r>
        <w:rPr>
          <w:b w:val="0"/>
          <w:bCs/>
          <w:color w:val="auto"/>
        </w:rPr>
        <w:t xml:space="preserve">6.2 </w:t>
      </w:r>
      <w:r>
        <w:rPr>
          <w:rFonts w:hint="eastAsia"/>
          <w:b w:val="0"/>
          <w:bCs/>
          <w:color w:val="auto"/>
        </w:rPr>
        <w:t>由承包人解除合同</w:t>
      </w:r>
      <w:bookmarkEnd w:id="1056"/>
      <w:bookmarkEnd w:id="1057"/>
      <w:bookmarkEnd w:id="1058"/>
    </w:p>
    <w:p>
      <w:pPr>
        <w:pStyle w:val="88"/>
        <w:numPr>
          <w:ilvl w:val="0"/>
          <w:numId w:val="0"/>
        </w:numPr>
        <w:rPr>
          <w:rFonts w:ascii="仿宋_GB2312" w:eastAsia="仿宋_GB2312"/>
          <w:color w:val="auto"/>
          <w:szCs w:val="24"/>
        </w:rPr>
      </w:pPr>
      <w:bookmarkStart w:id="1059" w:name="_Ref3841758"/>
      <w:r>
        <w:rPr>
          <w:rFonts w:hint="eastAsia" w:ascii="仿宋_GB2312" w:eastAsia="仿宋_GB2312"/>
          <w:color w:val="auto"/>
          <w:szCs w:val="24"/>
        </w:rPr>
        <w:t>1</w:t>
      </w:r>
      <w:r>
        <w:rPr>
          <w:rFonts w:ascii="仿宋_GB2312" w:eastAsia="仿宋_GB2312"/>
          <w:color w:val="auto"/>
          <w:szCs w:val="24"/>
        </w:rPr>
        <w:t xml:space="preserve">6.2.1 </w:t>
      </w:r>
      <w:r>
        <w:rPr>
          <w:rFonts w:hint="eastAsia" w:ascii="仿宋_GB2312" w:eastAsia="仿宋_GB2312"/>
          <w:color w:val="auto"/>
          <w:szCs w:val="24"/>
        </w:rPr>
        <w:t>因发包人违约解除合同</w:t>
      </w:r>
      <w:bookmarkEnd w:id="1059"/>
    </w:p>
    <w:p>
      <w:pPr>
        <w:ind w:firstLine="600"/>
        <w:rPr>
          <w:rFonts w:ascii="仿宋_GB2312" w:eastAsia="仿宋_GB2312"/>
          <w:color w:val="auto"/>
          <w:sz w:val="24"/>
        </w:rPr>
      </w:pPr>
      <w:r>
        <w:rPr>
          <w:rFonts w:hint="eastAsia" w:ascii="仿宋_GB2312" w:eastAsia="仿宋_GB2312"/>
          <w:color w:val="auto"/>
          <w:sz w:val="24"/>
        </w:rPr>
        <w:t>除专用合同条件另有约定外，承包人有权基于下列原因，以书面形式通知发包人解除合同，解除通知中应注明是根据第</w:t>
      </w:r>
      <w:r>
        <w:rPr>
          <w:rFonts w:ascii="仿宋_GB2312" w:eastAsia="仿宋_GB2312"/>
          <w:color w:val="auto"/>
          <w:sz w:val="24"/>
        </w:rPr>
        <w:t>16.2.1</w:t>
      </w:r>
      <w:r>
        <w:rPr>
          <w:rFonts w:hint="eastAsia" w:ascii="仿宋_GB2312" w:eastAsia="仿宋_GB2312"/>
          <w:color w:val="auto"/>
          <w:sz w:val="24"/>
        </w:rPr>
        <w:t>项发出的，承包人应在发出正式解除合同通知14天前告知发包人其解除合同意向，除非发包人在收到该解除合同意向通知后14天内采取了补救措施，否则承包人可向发包人发出正式解除合同通知立即解除合同。解除日期应为发包人收到正式解除合同通知的日期，但在第(5)目的情况下，承包人无须提前告知发包人其解除合同意向，可直接发出正式解除合同通知立即解除合同：</w:t>
      </w:r>
    </w:p>
    <w:p>
      <w:pPr>
        <w:ind w:firstLine="600"/>
        <w:rPr>
          <w:rFonts w:ascii="仿宋_GB2312" w:eastAsia="仿宋_GB2312"/>
          <w:color w:val="auto"/>
          <w:sz w:val="24"/>
        </w:rPr>
      </w:pPr>
      <w:r>
        <w:rPr>
          <w:rFonts w:hint="eastAsia" w:ascii="仿宋_GB2312" w:eastAsia="仿宋_GB2312"/>
          <w:color w:val="auto"/>
          <w:sz w:val="24"/>
        </w:rPr>
        <w:t>（1） 承包人就发包人未能遵守第2.</w:t>
      </w:r>
      <w:r>
        <w:rPr>
          <w:rFonts w:ascii="仿宋_GB2312" w:eastAsia="仿宋_GB2312"/>
          <w:color w:val="auto"/>
          <w:sz w:val="24"/>
        </w:rPr>
        <w:t>5.2</w:t>
      </w:r>
      <w:r>
        <w:rPr>
          <w:rFonts w:hint="eastAsia" w:ascii="仿宋_GB2312" w:eastAsia="仿宋_GB2312"/>
          <w:color w:val="auto"/>
          <w:sz w:val="24"/>
        </w:rPr>
        <w:t>项关于发包人的资金安排发出通知后42天内，仍未收到合理的证明；</w:t>
      </w:r>
    </w:p>
    <w:p>
      <w:pPr>
        <w:ind w:firstLine="600"/>
        <w:rPr>
          <w:rFonts w:ascii="仿宋_GB2312" w:eastAsia="仿宋_GB2312"/>
          <w:color w:val="auto"/>
          <w:sz w:val="24"/>
        </w:rPr>
      </w:pPr>
      <w:r>
        <w:rPr>
          <w:rFonts w:hint="eastAsia" w:ascii="仿宋_GB2312" w:eastAsia="仿宋_GB2312"/>
          <w:color w:val="auto"/>
          <w:sz w:val="24"/>
        </w:rPr>
        <w:t xml:space="preserve">（2） 在第14条规定的付款时间到期后42天内，承包人仍未收到应付款项； </w:t>
      </w:r>
    </w:p>
    <w:p>
      <w:pPr>
        <w:ind w:firstLine="600"/>
        <w:rPr>
          <w:rFonts w:ascii="仿宋_GB2312" w:eastAsia="仿宋_GB2312"/>
          <w:color w:val="auto"/>
          <w:sz w:val="24"/>
        </w:rPr>
      </w:pPr>
      <w:r>
        <w:rPr>
          <w:rFonts w:hint="eastAsia" w:ascii="仿宋_GB2312" w:eastAsia="仿宋_GB2312"/>
          <w:color w:val="auto"/>
          <w:sz w:val="24"/>
        </w:rPr>
        <w:t>（3） 发包人实质上未能根据合同约定履行其义务，构成根本性违约；</w:t>
      </w:r>
    </w:p>
    <w:p>
      <w:pPr>
        <w:ind w:firstLine="600"/>
        <w:rPr>
          <w:rFonts w:ascii="仿宋_GB2312" w:eastAsia="仿宋_GB2312"/>
          <w:color w:val="auto"/>
          <w:sz w:val="24"/>
        </w:rPr>
      </w:pPr>
      <w:r>
        <w:rPr>
          <w:rFonts w:hint="eastAsia" w:ascii="仿宋_GB2312" w:eastAsia="仿宋_GB2312"/>
          <w:color w:val="auto"/>
          <w:sz w:val="24"/>
        </w:rPr>
        <w:t>（4） 发承包双方订立本合同协议书后的84天内，承包人未收到根据第</w:t>
      </w:r>
      <w:r>
        <w:rPr>
          <w:rFonts w:ascii="仿宋_GB2312" w:eastAsia="仿宋_GB2312"/>
          <w:color w:val="auto"/>
          <w:sz w:val="24"/>
        </w:rPr>
        <w:t>8.1</w:t>
      </w:r>
      <w:r>
        <w:rPr>
          <w:rFonts w:hint="eastAsia" w:ascii="仿宋_GB2312" w:eastAsia="仿宋_GB2312"/>
          <w:color w:val="auto"/>
          <w:sz w:val="24"/>
        </w:rPr>
        <w:t>款[开始工作]的开始工作通知；</w:t>
      </w:r>
    </w:p>
    <w:p>
      <w:pPr>
        <w:ind w:firstLine="600"/>
        <w:rPr>
          <w:rFonts w:ascii="仿宋_GB2312" w:eastAsia="仿宋_GB2312"/>
          <w:color w:val="auto"/>
          <w:sz w:val="24"/>
        </w:rPr>
      </w:pPr>
      <w:r>
        <w:rPr>
          <w:rFonts w:hint="eastAsia" w:ascii="仿宋_GB2312" w:eastAsia="仿宋_GB2312"/>
          <w:color w:val="auto"/>
          <w:sz w:val="24"/>
        </w:rPr>
        <w:t>（5） 发包人破产、停业清理或进入清算程序，或情况表明发包人将进入破产和（或）清算程序或发包人资信严重恶化，已有对其财产的接管令或管理令，与债权人达成和解，或为其债权人的利益在财产接管人、受托人或管理人的监督下营业，或采取了任何行动或发生任何事件（根据有关适用法律）具有与前述行动或事件相似的效果；</w:t>
      </w:r>
    </w:p>
    <w:p>
      <w:pPr>
        <w:ind w:firstLine="600"/>
        <w:rPr>
          <w:rFonts w:ascii="仿宋_GB2312" w:eastAsia="仿宋_GB2312"/>
          <w:color w:val="auto"/>
          <w:sz w:val="24"/>
        </w:rPr>
      </w:pPr>
      <w:r>
        <w:rPr>
          <w:rFonts w:hint="eastAsia" w:ascii="仿宋_GB2312" w:eastAsia="仿宋_GB2312"/>
          <w:color w:val="auto"/>
          <w:sz w:val="24"/>
        </w:rPr>
        <w:t>（6） 发包人未能遵守第</w:t>
      </w:r>
      <w:r>
        <w:rPr>
          <w:rFonts w:ascii="仿宋_GB2312" w:eastAsia="仿宋_GB2312"/>
          <w:color w:val="auto"/>
          <w:sz w:val="24"/>
        </w:rPr>
        <w:t>2.5.3</w:t>
      </w:r>
      <w:r>
        <w:rPr>
          <w:rFonts w:hint="eastAsia" w:ascii="仿宋_GB2312" w:eastAsia="仿宋_GB2312"/>
          <w:color w:val="auto"/>
          <w:sz w:val="24"/>
        </w:rPr>
        <w:t>项的约定提交支付担保；</w:t>
      </w:r>
    </w:p>
    <w:p>
      <w:pPr>
        <w:ind w:firstLine="600"/>
        <w:rPr>
          <w:rFonts w:ascii="仿宋_GB2312" w:eastAsia="仿宋_GB2312"/>
          <w:color w:val="auto"/>
          <w:sz w:val="24"/>
        </w:rPr>
      </w:pPr>
      <w:r>
        <w:rPr>
          <w:rFonts w:hint="eastAsia" w:ascii="仿宋_GB2312" w:eastAsia="仿宋_GB2312"/>
          <w:color w:val="auto"/>
          <w:sz w:val="24"/>
        </w:rPr>
        <w:t>（7） 发包人未能执行第</w:t>
      </w:r>
      <w:r>
        <w:rPr>
          <w:rFonts w:ascii="仿宋_GB2312" w:eastAsia="仿宋_GB2312"/>
          <w:color w:val="auto"/>
          <w:sz w:val="24"/>
        </w:rPr>
        <w:t>15.1.2</w:t>
      </w:r>
      <w:r>
        <w:rPr>
          <w:rFonts w:hint="eastAsia" w:ascii="仿宋_GB2312" w:eastAsia="仿宋_GB2312"/>
          <w:color w:val="auto"/>
          <w:sz w:val="24"/>
        </w:rPr>
        <w:t>项[通知改正]的约定，致使合同目的不能实现的；</w:t>
      </w:r>
    </w:p>
    <w:p>
      <w:pPr>
        <w:ind w:firstLine="600"/>
        <w:rPr>
          <w:rFonts w:ascii="仿宋_GB2312" w:eastAsia="仿宋_GB2312"/>
          <w:color w:val="auto"/>
          <w:sz w:val="24"/>
        </w:rPr>
      </w:pPr>
      <w:r>
        <w:rPr>
          <w:rFonts w:hint="eastAsia" w:ascii="仿宋_GB2312" w:eastAsia="仿宋_GB2312"/>
          <w:color w:val="auto"/>
          <w:sz w:val="24"/>
        </w:rPr>
        <w:t>（8） 因发包人的原因暂停工作超过56天且暂停影响到整个工程，或因发包人的原因暂停工作超过182天的；</w:t>
      </w:r>
    </w:p>
    <w:p>
      <w:pPr>
        <w:ind w:firstLine="600"/>
        <w:rPr>
          <w:rFonts w:ascii="仿宋_GB2312" w:eastAsia="仿宋_GB2312"/>
          <w:color w:val="auto"/>
          <w:sz w:val="24"/>
        </w:rPr>
      </w:pPr>
      <w:r>
        <w:rPr>
          <w:rFonts w:hint="eastAsia" w:ascii="仿宋_GB2312" w:eastAsia="仿宋_GB2312"/>
          <w:color w:val="auto"/>
          <w:sz w:val="24"/>
        </w:rPr>
        <w:t>（9） 因发包人原因造成开始工作日期迟于承包人收到中标通知书（或在无中标通知书的情况下，订立本合同之日）后第</w:t>
      </w:r>
      <w:r>
        <w:rPr>
          <w:rFonts w:ascii="仿宋_GB2312" w:eastAsia="仿宋_GB2312"/>
          <w:color w:val="auto"/>
          <w:sz w:val="24"/>
        </w:rPr>
        <w:t>84</w:t>
      </w:r>
      <w:r>
        <w:rPr>
          <w:rFonts w:hint="eastAsia" w:ascii="仿宋_GB2312" w:eastAsia="仿宋_GB2312"/>
          <w:color w:val="auto"/>
          <w:sz w:val="24"/>
        </w:rPr>
        <w:t>天的。</w:t>
      </w:r>
    </w:p>
    <w:p>
      <w:pPr>
        <w:ind w:firstLine="600"/>
        <w:rPr>
          <w:rFonts w:ascii="仿宋_GB2312" w:eastAsia="仿宋_GB2312"/>
          <w:color w:val="auto"/>
          <w:sz w:val="24"/>
        </w:rPr>
      </w:pPr>
      <w:r>
        <w:rPr>
          <w:rFonts w:hint="eastAsia" w:ascii="仿宋_GB2312" w:eastAsia="仿宋_GB2312"/>
          <w:color w:val="auto"/>
          <w:sz w:val="24"/>
        </w:rPr>
        <w:t>发包人接到承包人解除合同意向通知后14天内，发包人随后给予了付款，或同意复工、或继续履行其义务、或提供了支付担保等，承包人应尽快安排并恢复正常工作；因此造成工期延误的，竣工日期顺延；承包人因此增加的费用，由发包人承担。</w:t>
      </w:r>
    </w:p>
    <w:p>
      <w:pPr>
        <w:pStyle w:val="88"/>
        <w:numPr>
          <w:ilvl w:val="0"/>
          <w:numId w:val="0"/>
        </w:numPr>
        <w:rPr>
          <w:rFonts w:ascii="仿宋_GB2312" w:eastAsia="仿宋_GB2312"/>
          <w:color w:val="auto"/>
          <w:szCs w:val="24"/>
        </w:rPr>
      </w:pPr>
      <w:bookmarkStart w:id="1060" w:name="_Ref3842018"/>
      <w:bookmarkStart w:id="1061" w:name="_Ref4624336"/>
      <w:r>
        <w:rPr>
          <w:rFonts w:hint="eastAsia" w:ascii="仿宋_GB2312" w:eastAsia="仿宋_GB2312"/>
          <w:color w:val="auto"/>
          <w:szCs w:val="24"/>
        </w:rPr>
        <w:t>1</w:t>
      </w:r>
      <w:r>
        <w:rPr>
          <w:rFonts w:ascii="仿宋_GB2312" w:eastAsia="仿宋_GB2312"/>
          <w:color w:val="auto"/>
          <w:szCs w:val="24"/>
        </w:rPr>
        <w:t xml:space="preserve">6.2.2 </w:t>
      </w:r>
      <w:r>
        <w:rPr>
          <w:rFonts w:hint="eastAsia" w:ascii="仿宋_GB2312" w:eastAsia="仿宋_GB2312"/>
          <w:color w:val="auto"/>
          <w:szCs w:val="24"/>
        </w:rPr>
        <w:t>因发包人违约解除合同后</w:t>
      </w:r>
      <w:bookmarkEnd w:id="1060"/>
      <w:r>
        <w:rPr>
          <w:rFonts w:hint="eastAsia" w:ascii="仿宋_GB2312" w:eastAsia="仿宋_GB2312"/>
          <w:color w:val="auto"/>
          <w:szCs w:val="24"/>
        </w:rPr>
        <w:t>承包人的义务</w:t>
      </w:r>
      <w:bookmarkEnd w:id="1061"/>
    </w:p>
    <w:p>
      <w:pPr>
        <w:pStyle w:val="154"/>
        <w:numPr>
          <w:ilvl w:val="0"/>
          <w:numId w:val="0"/>
        </w:numPr>
        <w:ind w:left="400" w:firstLine="425"/>
        <w:rPr>
          <w:rFonts w:ascii="仿宋_GB2312" w:eastAsia="仿宋_GB2312"/>
          <w:color w:val="auto"/>
          <w:szCs w:val="24"/>
        </w:rPr>
      </w:pPr>
      <w:r>
        <w:rPr>
          <w:rFonts w:hint="eastAsia" w:ascii="仿宋_GB2312" w:eastAsia="仿宋_GB2312"/>
          <w:color w:val="auto"/>
          <w:szCs w:val="24"/>
        </w:rPr>
        <w:t>合同解除后，承包人应按以下约定执行：</w:t>
      </w:r>
    </w:p>
    <w:p>
      <w:pPr>
        <w:ind w:firstLine="600"/>
        <w:rPr>
          <w:rFonts w:ascii="仿宋_GB2312" w:eastAsia="仿宋_GB2312"/>
          <w:color w:val="auto"/>
          <w:sz w:val="24"/>
        </w:rPr>
      </w:pPr>
      <w:r>
        <w:rPr>
          <w:rFonts w:hint="eastAsia" w:ascii="仿宋_GB2312" w:eastAsia="仿宋_GB2312"/>
          <w:color w:val="auto"/>
          <w:sz w:val="24"/>
        </w:rPr>
        <w:t>（1） 除为保护生命、财产、工程安全的工作外，停止所有进一步的工作；承包人因执行该保护工作而产生费用的，由发包人承担；</w:t>
      </w:r>
    </w:p>
    <w:p>
      <w:pPr>
        <w:ind w:firstLine="600"/>
        <w:rPr>
          <w:rFonts w:ascii="仿宋_GB2312" w:eastAsia="仿宋_GB2312"/>
          <w:color w:val="auto"/>
          <w:sz w:val="24"/>
        </w:rPr>
      </w:pPr>
      <w:r>
        <w:rPr>
          <w:rFonts w:hint="eastAsia" w:ascii="仿宋_GB2312" w:eastAsia="仿宋_GB2312"/>
          <w:color w:val="auto"/>
          <w:sz w:val="24"/>
        </w:rPr>
        <w:t>（2） 向发包人移交承包人已获得支付的承包人文件、生产设备、材料和其他工作；</w:t>
      </w:r>
    </w:p>
    <w:p>
      <w:pPr>
        <w:ind w:firstLine="600"/>
        <w:rPr>
          <w:rFonts w:ascii="仿宋_GB2312" w:eastAsia="仿宋_GB2312"/>
          <w:color w:val="auto"/>
          <w:sz w:val="24"/>
        </w:rPr>
      </w:pPr>
      <w:r>
        <w:rPr>
          <w:rFonts w:hint="eastAsia" w:ascii="仿宋_GB2312" w:eastAsia="仿宋_GB2312"/>
          <w:color w:val="auto"/>
          <w:sz w:val="24"/>
        </w:rPr>
        <w:t>（3） 从现场运走除为了安全需要以外的所有属于承包人的其他货物，并撤离现场。</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6.2.3 </w:t>
      </w:r>
      <w:r>
        <w:rPr>
          <w:rFonts w:hint="eastAsia" w:ascii="仿宋_GB2312" w:eastAsia="仿宋_GB2312"/>
          <w:color w:val="auto"/>
          <w:szCs w:val="24"/>
        </w:rPr>
        <w:t>因发包人违约解除合同后的付款</w:t>
      </w:r>
    </w:p>
    <w:p>
      <w:pPr>
        <w:ind w:firstLine="600"/>
        <w:rPr>
          <w:rFonts w:ascii="仿宋_GB2312" w:eastAsia="仿宋_GB2312"/>
          <w:color w:val="auto"/>
          <w:sz w:val="24"/>
        </w:rPr>
      </w:pPr>
      <w:r>
        <w:rPr>
          <w:rFonts w:hint="eastAsia" w:ascii="仿宋_GB2312" w:eastAsia="仿宋_GB2312"/>
          <w:color w:val="auto"/>
          <w:sz w:val="24"/>
        </w:rPr>
        <w:t>承包人按照本款约定解除合同的，发包人应在解除合同后28天内支付下列款项，并退还履约担保：</w:t>
      </w:r>
    </w:p>
    <w:p>
      <w:pPr>
        <w:ind w:firstLine="600"/>
        <w:rPr>
          <w:rFonts w:ascii="仿宋_GB2312" w:eastAsia="仿宋_GB2312"/>
          <w:color w:val="auto"/>
          <w:sz w:val="24"/>
        </w:rPr>
      </w:pPr>
      <w:r>
        <w:rPr>
          <w:rFonts w:hint="eastAsia" w:ascii="仿宋_GB2312" w:eastAsia="仿宋_GB2312"/>
          <w:color w:val="auto"/>
          <w:sz w:val="24"/>
        </w:rPr>
        <w:t>（1） 合同解除前所完成工作的价款；</w:t>
      </w:r>
    </w:p>
    <w:p>
      <w:pPr>
        <w:ind w:firstLine="600"/>
        <w:rPr>
          <w:rFonts w:ascii="仿宋_GB2312" w:eastAsia="仿宋_GB2312"/>
          <w:color w:val="auto"/>
          <w:sz w:val="24"/>
        </w:rPr>
      </w:pPr>
      <w:r>
        <w:rPr>
          <w:rFonts w:hint="eastAsia" w:ascii="仿宋_GB2312" w:eastAsia="仿宋_GB2312"/>
          <w:color w:val="auto"/>
          <w:sz w:val="24"/>
        </w:rPr>
        <w:t>（2） 承包人为工程施工订购并已付款的材料、工程设备和其他物品的价款；发包人付款后，该材料、工程设备和其他物品归发包人所有；</w:t>
      </w:r>
    </w:p>
    <w:p>
      <w:pPr>
        <w:ind w:firstLine="600"/>
        <w:rPr>
          <w:rFonts w:ascii="仿宋_GB2312" w:eastAsia="仿宋_GB2312"/>
          <w:color w:val="auto"/>
          <w:sz w:val="24"/>
        </w:rPr>
      </w:pPr>
      <w:r>
        <w:rPr>
          <w:rFonts w:hint="eastAsia" w:ascii="仿宋_GB2312" w:eastAsia="仿宋_GB2312"/>
          <w:color w:val="auto"/>
          <w:sz w:val="24"/>
        </w:rPr>
        <w:t>（3） 承包人为完成工程所发生的，而发包人未支付的金额；</w:t>
      </w:r>
    </w:p>
    <w:p>
      <w:pPr>
        <w:ind w:firstLine="600"/>
        <w:rPr>
          <w:rFonts w:ascii="仿宋_GB2312" w:eastAsia="仿宋_GB2312"/>
          <w:color w:val="auto"/>
          <w:sz w:val="24"/>
        </w:rPr>
      </w:pPr>
      <w:r>
        <w:rPr>
          <w:rFonts w:hint="eastAsia" w:ascii="仿宋_GB2312" w:eastAsia="仿宋_GB2312"/>
          <w:color w:val="auto"/>
          <w:sz w:val="24"/>
        </w:rPr>
        <w:t>（4） 承包人撤离施工现场以及遣散承包人人员的款项；</w:t>
      </w:r>
    </w:p>
    <w:p>
      <w:pPr>
        <w:ind w:firstLine="600"/>
        <w:rPr>
          <w:rFonts w:ascii="仿宋_GB2312" w:eastAsia="仿宋_GB2312"/>
          <w:color w:val="auto"/>
          <w:sz w:val="24"/>
        </w:rPr>
      </w:pPr>
      <w:r>
        <w:rPr>
          <w:rFonts w:hint="eastAsia" w:ascii="仿宋_GB2312" w:eastAsia="仿宋_GB2312"/>
          <w:color w:val="auto"/>
          <w:sz w:val="24"/>
        </w:rPr>
        <w:t>（5） 按照合同约定在合同解除前应支付的违约金；</w:t>
      </w:r>
    </w:p>
    <w:p>
      <w:pPr>
        <w:ind w:firstLine="600"/>
        <w:rPr>
          <w:rFonts w:ascii="仿宋_GB2312" w:eastAsia="仿宋_GB2312"/>
          <w:color w:val="auto"/>
          <w:sz w:val="24"/>
        </w:rPr>
      </w:pPr>
      <w:r>
        <w:rPr>
          <w:rFonts w:hint="eastAsia" w:ascii="仿宋_GB2312" w:eastAsia="仿宋_GB2312"/>
          <w:color w:val="auto"/>
          <w:sz w:val="24"/>
        </w:rPr>
        <w:t>（6） 按照合同约定应当支付给承包人的其他款项；</w:t>
      </w:r>
    </w:p>
    <w:p>
      <w:pPr>
        <w:ind w:firstLine="600"/>
        <w:rPr>
          <w:rFonts w:ascii="仿宋_GB2312" w:eastAsia="仿宋_GB2312"/>
          <w:color w:val="auto"/>
          <w:sz w:val="24"/>
        </w:rPr>
      </w:pPr>
      <w:r>
        <w:rPr>
          <w:rFonts w:hint="eastAsia" w:ascii="仿宋_GB2312" w:eastAsia="仿宋_GB2312"/>
          <w:color w:val="auto"/>
          <w:sz w:val="24"/>
        </w:rPr>
        <w:t>（7） 按照合同约定应返还的质量保证金；</w:t>
      </w:r>
    </w:p>
    <w:p>
      <w:pPr>
        <w:ind w:firstLine="600"/>
        <w:rPr>
          <w:rFonts w:ascii="仿宋_GB2312" w:eastAsia="仿宋_GB2312"/>
          <w:color w:val="auto"/>
          <w:sz w:val="24"/>
        </w:rPr>
      </w:pPr>
      <w:r>
        <w:rPr>
          <w:rFonts w:hint="eastAsia" w:ascii="仿宋_GB2312" w:eastAsia="仿宋_GB2312"/>
          <w:color w:val="auto"/>
          <w:sz w:val="24"/>
        </w:rPr>
        <w:t>（8） 因解除合同给承包人造成的损失。</w:t>
      </w:r>
    </w:p>
    <w:p>
      <w:pPr>
        <w:ind w:firstLine="600"/>
        <w:rPr>
          <w:rFonts w:ascii="仿宋_GB2312" w:eastAsia="仿宋_GB2312"/>
          <w:color w:val="auto"/>
          <w:sz w:val="24"/>
        </w:rPr>
      </w:pPr>
      <w:r>
        <w:rPr>
          <w:rFonts w:hint="eastAsia" w:ascii="仿宋_GB2312" w:eastAsia="仿宋_GB2312"/>
          <w:color w:val="auto"/>
          <w:sz w:val="24"/>
        </w:rPr>
        <w:t>承包人应妥善做好已完工程和与工程有关的已购材料、工程设备的保护和移交工作，并将施工设备和人员撤出施工现场，发包人应为承包人撤出提供必要条件。</w:t>
      </w:r>
    </w:p>
    <w:p>
      <w:pPr>
        <w:pStyle w:val="315"/>
        <w:widowControl/>
        <w:numPr>
          <w:ilvl w:val="0"/>
          <w:numId w:val="0"/>
        </w:numPr>
        <w:rPr>
          <w:b w:val="0"/>
          <w:bCs/>
          <w:color w:val="auto"/>
        </w:rPr>
      </w:pPr>
      <w:bookmarkStart w:id="1062" w:name="_Ref3841966"/>
      <w:bookmarkStart w:id="1063" w:name="_Toc54862306"/>
      <w:r>
        <w:rPr>
          <w:rFonts w:hint="eastAsia"/>
          <w:b w:val="0"/>
          <w:bCs/>
          <w:color w:val="auto"/>
        </w:rPr>
        <w:t>1</w:t>
      </w:r>
      <w:r>
        <w:rPr>
          <w:b w:val="0"/>
          <w:bCs/>
          <w:color w:val="auto"/>
        </w:rPr>
        <w:t xml:space="preserve">6.3 </w:t>
      </w:r>
      <w:r>
        <w:rPr>
          <w:rFonts w:hint="eastAsia"/>
          <w:b w:val="0"/>
          <w:bCs/>
          <w:color w:val="auto"/>
        </w:rPr>
        <w:t>合同解除后的事项</w:t>
      </w:r>
      <w:bookmarkEnd w:id="1062"/>
      <w:bookmarkEnd w:id="1063"/>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6.3.1 </w:t>
      </w:r>
      <w:r>
        <w:rPr>
          <w:rFonts w:hint="eastAsia" w:ascii="仿宋_GB2312" w:eastAsia="仿宋_GB2312"/>
          <w:color w:val="auto"/>
          <w:szCs w:val="24"/>
        </w:rPr>
        <w:t>结算约定依然有效</w:t>
      </w:r>
    </w:p>
    <w:p>
      <w:pPr>
        <w:ind w:firstLine="600"/>
        <w:rPr>
          <w:rFonts w:ascii="仿宋_GB2312" w:eastAsia="仿宋_GB2312"/>
          <w:color w:val="auto"/>
          <w:sz w:val="24"/>
        </w:rPr>
      </w:pPr>
      <w:r>
        <w:rPr>
          <w:rFonts w:hint="eastAsia" w:ascii="仿宋_GB2312" w:eastAsia="仿宋_GB2312"/>
          <w:color w:val="auto"/>
          <w:sz w:val="24"/>
        </w:rPr>
        <w:t>合同解除后，由发包人或由承包人解除合同的结算及结算后的付款约定仍然有效，直至解除合同的结算工作结清。</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6.3.2 </w:t>
      </w:r>
      <w:r>
        <w:rPr>
          <w:rFonts w:hint="eastAsia" w:ascii="仿宋_GB2312" w:eastAsia="仿宋_GB2312"/>
          <w:color w:val="auto"/>
          <w:szCs w:val="24"/>
        </w:rPr>
        <w:t>解除合同的争议</w:t>
      </w:r>
    </w:p>
    <w:p>
      <w:pPr>
        <w:ind w:firstLine="600"/>
        <w:rPr>
          <w:rFonts w:ascii="仿宋_GB2312" w:eastAsia="仿宋_GB2312"/>
          <w:color w:val="auto"/>
          <w:sz w:val="24"/>
        </w:rPr>
      </w:pPr>
      <w:bookmarkStart w:id="1064" w:name="_Hlk18988355"/>
      <w:r>
        <w:rPr>
          <w:rFonts w:hint="eastAsia" w:ascii="仿宋_GB2312" w:eastAsia="仿宋_GB2312"/>
          <w:color w:val="auto"/>
          <w:sz w:val="24"/>
        </w:rPr>
        <w:t>双方对解除合同或解除合同后的结算有争议的，按照第</w:t>
      </w:r>
      <w:r>
        <w:rPr>
          <w:rFonts w:ascii="仿宋_GB2312" w:eastAsia="仿宋_GB2312"/>
          <w:color w:val="auto"/>
          <w:sz w:val="24"/>
        </w:rPr>
        <w:t>20条</w:t>
      </w:r>
      <w:r>
        <w:rPr>
          <w:rFonts w:hint="eastAsia" w:ascii="仿宋_GB2312" w:eastAsia="仿宋_GB2312"/>
          <w:color w:val="auto"/>
          <w:sz w:val="24"/>
        </w:rPr>
        <w:t>[</w:t>
      </w:r>
      <w:r>
        <w:rPr>
          <w:rFonts w:ascii="仿宋_GB2312" w:eastAsia="仿宋_GB2312"/>
          <w:color w:val="auto"/>
          <w:sz w:val="24"/>
        </w:rPr>
        <w:t>争议解决</w:t>
      </w:r>
      <w:r>
        <w:rPr>
          <w:rFonts w:hint="eastAsia" w:ascii="仿宋_GB2312" w:eastAsia="仿宋_GB2312"/>
          <w:color w:val="auto"/>
          <w:sz w:val="24"/>
        </w:rPr>
        <w:t>]的约定处理。</w:t>
      </w:r>
      <w:bookmarkEnd w:id="1064"/>
    </w:p>
    <w:p>
      <w:pPr>
        <w:pStyle w:val="164"/>
        <w:numPr>
          <w:ilvl w:val="0"/>
          <w:numId w:val="0"/>
        </w:numPr>
        <w:wordWrap/>
        <w:topLinePunct w:val="0"/>
        <w:rPr>
          <w:b w:val="0"/>
          <w:bCs/>
          <w:color w:val="auto"/>
          <w:sz w:val="24"/>
          <w:szCs w:val="24"/>
        </w:rPr>
      </w:pPr>
      <w:bookmarkStart w:id="1065" w:name="_Ref3840974"/>
      <w:bookmarkStart w:id="1066" w:name="_Toc54862307"/>
      <w:bookmarkStart w:id="1067" w:name="_Ref3840605"/>
      <w:r>
        <w:rPr>
          <w:rFonts w:hint="eastAsia"/>
          <w:b w:val="0"/>
          <w:bCs/>
          <w:color w:val="auto"/>
          <w:sz w:val="24"/>
          <w:szCs w:val="24"/>
        </w:rPr>
        <w:t>第1</w:t>
      </w:r>
      <w:r>
        <w:rPr>
          <w:b w:val="0"/>
          <w:bCs/>
          <w:color w:val="auto"/>
          <w:sz w:val="24"/>
          <w:szCs w:val="24"/>
        </w:rPr>
        <w:t>7</w:t>
      </w:r>
      <w:r>
        <w:rPr>
          <w:rFonts w:hint="eastAsia"/>
          <w:b w:val="0"/>
          <w:bCs/>
          <w:color w:val="auto"/>
          <w:sz w:val="24"/>
          <w:szCs w:val="24"/>
        </w:rPr>
        <w:t>条 不可抗力</w:t>
      </w:r>
      <w:bookmarkEnd w:id="1065"/>
      <w:bookmarkEnd w:id="1066"/>
    </w:p>
    <w:p>
      <w:pPr>
        <w:pStyle w:val="315"/>
        <w:widowControl/>
        <w:numPr>
          <w:ilvl w:val="0"/>
          <w:numId w:val="0"/>
        </w:numPr>
        <w:rPr>
          <w:b w:val="0"/>
          <w:bCs/>
          <w:color w:val="auto"/>
        </w:rPr>
      </w:pPr>
      <w:bookmarkStart w:id="1068" w:name="_Ref531958158"/>
      <w:bookmarkStart w:id="1069" w:name="_Ref531958161"/>
      <w:bookmarkStart w:id="1070" w:name="_Toc54862308"/>
      <w:r>
        <w:rPr>
          <w:rFonts w:hint="eastAsia"/>
          <w:b w:val="0"/>
          <w:bCs/>
          <w:color w:val="auto"/>
        </w:rPr>
        <w:t>1</w:t>
      </w:r>
      <w:r>
        <w:rPr>
          <w:b w:val="0"/>
          <w:bCs/>
          <w:color w:val="auto"/>
        </w:rPr>
        <w:t xml:space="preserve">7.1 </w:t>
      </w:r>
      <w:r>
        <w:rPr>
          <w:rFonts w:hint="eastAsia"/>
          <w:b w:val="0"/>
          <w:bCs/>
          <w:color w:val="auto"/>
        </w:rPr>
        <w:t>不可抗力的</w:t>
      </w:r>
      <w:bookmarkEnd w:id="1068"/>
      <w:bookmarkEnd w:id="1069"/>
      <w:r>
        <w:rPr>
          <w:rFonts w:hint="eastAsia"/>
          <w:b w:val="0"/>
          <w:bCs/>
          <w:color w:val="auto"/>
        </w:rPr>
        <w:t>定义</w:t>
      </w:r>
      <w:bookmarkEnd w:id="1070"/>
    </w:p>
    <w:p>
      <w:pPr>
        <w:ind w:firstLine="600"/>
        <w:rPr>
          <w:rFonts w:ascii="仿宋_GB2312" w:eastAsia="仿宋_GB2312"/>
          <w:color w:val="auto"/>
          <w:sz w:val="24"/>
        </w:rPr>
      </w:pPr>
      <w:r>
        <w:rPr>
          <w:rFonts w:hint="eastAsia" w:ascii="仿宋_GB2312" w:eastAsia="仿宋_GB2312"/>
          <w:color w:val="auto"/>
          <w:sz w:val="24"/>
        </w:rPr>
        <w:t>不可抗力是指合同当事人在订立合同时不可预见，在合同履行过程中不可避免、不能克服且不能提前防备的自然灾害和社会性突发事件，如地震、海啸、瘟疫、骚乱、戒严、暴动、战争和专用合同条件中约定的其他情形。</w:t>
      </w:r>
    </w:p>
    <w:p>
      <w:pPr>
        <w:pStyle w:val="315"/>
        <w:widowControl/>
        <w:numPr>
          <w:ilvl w:val="0"/>
          <w:numId w:val="0"/>
        </w:numPr>
        <w:rPr>
          <w:b w:val="0"/>
          <w:bCs/>
          <w:color w:val="auto"/>
        </w:rPr>
      </w:pPr>
      <w:bookmarkStart w:id="1071" w:name="_Toc54862309"/>
      <w:r>
        <w:rPr>
          <w:rFonts w:hint="eastAsia"/>
          <w:b w:val="0"/>
          <w:bCs/>
          <w:color w:val="auto"/>
        </w:rPr>
        <w:t>1</w:t>
      </w:r>
      <w:r>
        <w:rPr>
          <w:b w:val="0"/>
          <w:bCs/>
          <w:color w:val="auto"/>
        </w:rPr>
        <w:t xml:space="preserve">7.2 </w:t>
      </w:r>
      <w:r>
        <w:rPr>
          <w:rFonts w:hint="eastAsia"/>
          <w:b w:val="0"/>
          <w:bCs/>
          <w:color w:val="auto"/>
        </w:rPr>
        <w:t>不可抗力的通知</w:t>
      </w:r>
      <w:bookmarkEnd w:id="1071"/>
      <w:r>
        <w:rPr>
          <w:rFonts w:hint="eastAsia"/>
          <w:b w:val="0"/>
          <w:bCs/>
          <w:color w:val="auto"/>
        </w:rPr>
        <w:t xml:space="preserve"> </w:t>
      </w:r>
    </w:p>
    <w:p>
      <w:pPr>
        <w:ind w:firstLine="600"/>
        <w:rPr>
          <w:rFonts w:ascii="仿宋_GB2312" w:eastAsia="仿宋_GB2312"/>
          <w:color w:val="auto"/>
          <w:sz w:val="24"/>
        </w:rPr>
      </w:pPr>
      <w:r>
        <w:rPr>
          <w:rFonts w:hint="eastAsia" w:ascii="仿宋_GB2312" w:eastAsia="仿宋_GB2312"/>
          <w:color w:val="auto"/>
          <w:sz w:val="24"/>
        </w:rPr>
        <w:t>合同一方当事人觉察或发现不可抗力事件发生，使其履行合同义务受到阻碍时，有义务立即通知合同另一方当事人和工程师，书面说明不可抗力和受阻碍的详细情况，并提供必要的证明。</w:t>
      </w:r>
    </w:p>
    <w:p>
      <w:pPr>
        <w:ind w:firstLine="600"/>
        <w:rPr>
          <w:rFonts w:ascii="仿宋_GB2312" w:eastAsia="仿宋_GB2312"/>
          <w:color w:val="auto"/>
          <w:sz w:val="24"/>
        </w:rPr>
      </w:pPr>
      <w:r>
        <w:rPr>
          <w:rFonts w:hint="eastAsia" w:ascii="仿宋_GB2312" w:eastAsia="仿宋_GB2312"/>
          <w:color w:val="auto"/>
          <w:sz w:val="24"/>
        </w:rPr>
        <w:t>不可抗力持续发生的，合同一方当事人应每隔28天向合同另一方当事人和工程师提交中间报告，说明不可抗力和履行合同受阻的情况，并于不可抗力事件结束后28天内提交最终报告及有关资料。</w:t>
      </w:r>
    </w:p>
    <w:p>
      <w:pPr>
        <w:pStyle w:val="315"/>
        <w:widowControl/>
        <w:numPr>
          <w:ilvl w:val="0"/>
          <w:numId w:val="0"/>
        </w:numPr>
        <w:rPr>
          <w:b w:val="0"/>
          <w:bCs/>
          <w:color w:val="auto"/>
        </w:rPr>
      </w:pPr>
      <w:bookmarkStart w:id="1072" w:name="_Toc54862310"/>
      <w:r>
        <w:rPr>
          <w:rFonts w:hint="eastAsia"/>
          <w:b w:val="0"/>
          <w:bCs/>
          <w:color w:val="auto"/>
        </w:rPr>
        <w:t>1</w:t>
      </w:r>
      <w:r>
        <w:rPr>
          <w:b w:val="0"/>
          <w:bCs/>
          <w:color w:val="auto"/>
        </w:rPr>
        <w:t xml:space="preserve">7.3 </w:t>
      </w:r>
      <w:r>
        <w:rPr>
          <w:rFonts w:hint="eastAsia"/>
          <w:b w:val="0"/>
          <w:bCs/>
          <w:color w:val="auto"/>
        </w:rPr>
        <w:t>将损失减至最小的义务</w:t>
      </w:r>
      <w:bookmarkEnd w:id="1072"/>
    </w:p>
    <w:p>
      <w:pPr>
        <w:ind w:firstLine="600"/>
        <w:rPr>
          <w:rFonts w:ascii="仿宋_GB2312" w:eastAsia="仿宋_GB2312"/>
          <w:color w:val="auto"/>
          <w:sz w:val="24"/>
        </w:rPr>
      </w:pPr>
      <w:r>
        <w:rPr>
          <w:rFonts w:hint="eastAsia" w:ascii="仿宋_GB2312" w:eastAsia="仿宋_GB2312"/>
          <w:color w:val="auto"/>
          <w:sz w:val="24"/>
        </w:rPr>
        <w:t>不可抗力发生后，合同当事人均应采取措施尽量避免和减少损失的扩大，使不可抗力对履行合同造成的损失减至最小。另一方全力协助并采取措施，需暂停实施的工作，立即停止。任何一方当事人没有采取有效措施导致损失扩大的，应对扩大的损失承担责任。</w:t>
      </w:r>
    </w:p>
    <w:p>
      <w:pPr>
        <w:pStyle w:val="315"/>
        <w:widowControl/>
        <w:numPr>
          <w:ilvl w:val="0"/>
          <w:numId w:val="0"/>
        </w:numPr>
        <w:rPr>
          <w:b w:val="0"/>
          <w:bCs/>
          <w:color w:val="auto"/>
        </w:rPr>
      </w:pPr>
      <w:bookmarkStart w:id="1073" w:name="_Ref531958172"/>
      <w:bookmarkStart w:id="1074" w:name="_Ref531958170"/>
      <w:bookmarkStart w:id="1075" w:name="_Ref3840916"/>
      <w:bookmarkStart w:id="1076" w:name="_Toc54862311"/>
      <w:r>
        <w:rPr>
          <w:rFonts w:hint="eastAsia"/>
          <w:b w:val="0"/>
          <w:bCs/>
          <w:color w:val="auto"/>
        </w:rPr>
        <w:t>1</w:t>
      </w:r>
      <w:r>
        <w:rPr>
          <w:b w:val="0"/>
          <w:bCs/>
          <w:color w:val="auto"/>
        </w:rPr>
        <w:t xml:space="preserve">7.4 </w:t>
      </w:r>
      <w:r>
        <w:rPr>
          <w:rFonts w:hint="eastAsia"/>
          <w:b w:val="0"/>
          <w:bCs/>
          <w:color w:val="auto"/>
        </w:rPr>
        <w:t>不可抗力后果</w:t>
      </w:r>
      <w:bookmarkEnd w:id="1073"/>
      <w:bookmarkEnd w:id="1074"/>
      <w:r>
        <w:rPr>
          <w:rFonts w:hint="eastAsia"/>
          <w:b w:val="0"/>
          <w:bCs/>
          <w:color w:val="auto"/>
        </w:rPr>
        <w:t>的承担</w:t>
      </w:r>
      <w:bookmarkEnd w:id="1075"/>
      <w:bookmarkEnd w:id="1076"/>
      <w:r>
        <w:rPr>
          <w:rFonts w:hint="eastAsia"/>
          <w:b w:val="0"/>
          <w:bCs/>
          <w:color w:val="auto"/>
        </w:rPr>
        <w:t xml:space="preserve"> </w:t>
      </w:r>
    </w:p>
    <w:p>
      <w:pPr>
        <w:ind w:firstLine="600"/>
        <w:rPr>
          <w:rFonts w:ascii="仿宋_GB2312" w:eastAsia="仿宋_GB2312"/>
          <w:color w:val="auto"/>
          <w:sz w:val="24"/>
        </w:rPr>
      </w:pPr>
      <w:r>
        <w:rPr>
          <w:rFonts w:hint="eastAsia" w:ascii="仿宋_GB2312" w:eastAsia="仿宋_GB2312"/>
          <w:color w:val="auto"/>
          <w:sz w:val="24"/>
        </w:rPr>
        <w:t>不可抗力导致的人员伤亡、财产损失、费用增加和（或）工期延误等后果，由合同当事人按以下原则承担：</w:t>
      </w:r>
    </w:p>
    <w:p>
      <w:pPr>
        <w:ind w:firstLine="600"/>
        <w:rPr>
          <w:rFonts w:ascii="仿宋_GB2312" w:eastAsia="仿宋_GB2312"/>
          <w:color w:val="auto"/>
          <w:sz w:val="24"/>
        </w:rPr>
      </w:pPr>
      <w:r>
        <w:rPr>
          <w:rFonts w:hint="eastAsia" w:ascii="仿宋_GB2312" w:eastAsia="仿宋_GB2312"/>
          <w:color w:val="auto"/>
          <w:sz w:val="24"/>
        </w:rPr>
        <w:t>（1） 永久工程，包括已运至施工现场的材料和工程设备的损害，以及因工程损害造成的第三人人员伤亡和财产损失由发包人承担；</w:t>
      </w:r>
    </w:p>
    <w:p>
      <w:pPr>
        <w:ind w:firstLine="600"/>
        <w:rPr>
          <w:rFonts w:ascii="仿宋_GB2312" w:eastAsia="仿宋_GB2312"/>
          <w:color w:val="auto"/>
          <w:sz w:val="24"/>
        </w:rPr>
      </w:pPr>
      <w:r>
        <w:rPr>
          <w:rFonts w:hint="eastAsia" w:ascii="仿宋_GB2312" w:eastAsia="仿宋_GB2312"/>
          <w:color w:val="auto"/>
          <w:sz w:val="24"/>
        </w:rPr>
        <w:t>（2） 承包人提供的施工设备的损坏由承包人承担；</w:t>
      </w:r>
    </w:p>
    <w:p>
      <w:pPr>
        <w:ind w:firstLine="600"/>
        <w:rPr>
          <w:rFonts w:ascii="仿宋_GB2312" w:eastAsia="仿宋_GB2312"/>
          <w:color w:val="auto"/>
          <w:sz w:val="24"/>
        </w:rPr>
      </w:pPr>
      <w:r>
        <w:rPr>
          <w:rFonts w:hint="eastAsia" w:ascii="仿宋_GB2312" w:eastAsia="仿宋_GB2312"/>
          <w:color w:val="auto"/>
          <w:sz w:val="24"/>
        </w:rPr>
        <w:t>（3） 发包人和承包人各自承担其人员伤亡及其他财产损失；</w:t>
      </w:r>
    </w:p>
    <w:p>
      <w:pPr>
        <w:ind w:firstLine="600"/>
        <w:rPr>
          <w:rFonts w:ascii="仿宋_GB2312" w:eastAsia="仿宋_GB2312"/>
          <w:color w:val="auto"/>
          <w:sz w:val="24"/>
        </w:rPr>
      </w:pPr>
      <w:r>
        <w:rPr>
          <w:rFonts w:hint="eastAsia" w:ascii="仿宋_GB2312" w:eastAsia="仿宋_GB2312"/>
          <w:color w:val="auto"/>
          <w:sz w:val="24"/>
        </w:rPr>
        <w:t>（4） 因不可抗力影响承包人履行合同约定的义务，已经引起或将引起工期延误的，应当顺延工期，由此导致承包人停工的费用损失由发包人和承包人合理分担，</w:t>
      </w:r>
      <w:bookmarkStart w:id="1077" w:name="_Hlk51507024"/>
      <w:r>
        <w:rPr>
          <w:rFonts w:hint="eastAsia" w:ascii="仿宋_GB2312" w:eastAsia="仿宋_GB2312"/>
          <w:color w:val="auto"/>
          <w:sz w:val="24"/>
        </w:rPr>
        <w:t>停工期间必须支付的现场必要的工人工资</w:t>
      </w:r>
      <w:bookmarkEnd w:id="1077"/>
      <w:r>
        <w:rPr>
          <w:rFonts w:hint="eastAsia" w:ascii="仿宋_GB2312" w:eastAsia="仿宋_GB2312"/>
          <w:color w:val="auto"/>
          <w:sz w:val="24"/>
        </w:rPr>
        <w:t>由发包人承担；</w:t>
      </w:r>
    </w:p>
    <w:p>
      <w:pPr>
        <w:ind w:firstLine="600"/>
        <w:rPr>
          <w:rFonts w:ascii="仿宋_GB2312" w:eastAsia="仿宋_GB2312"/>
          <w:color w:val="auto"/>
          <w:sz w:val="24"/>
        </w:rPr>
      </w:pPr>
      <w:r>
        <w:rPr>
          <w:rFonts w:hint="eastAsia" w:ascii="仿宋_GB2312" w:eastAsia="仿宋_GB2312"/>
          <w:color w:val="auto"/>
          <w:sz w:val="24"/>
        </w:rPr>
        <w:t>（5） 因不可抗力引起或将引起工期延误，发包人指示赶工的，由此增加的赶工费用由发包人承担；</w:t>
      </w:r>
    </w:p>
    <w:p>
      <w:pPr>
        <w:ind w:firstLine="600"/>
        <w:rPr>
          <w:rFonts w:ascii="仿宋_GB2312" w:eastAsia="仿宋_GB2312"/>
          <w:color w:val="auto"/>
          <w:sz w:val="24"/>
        </w:rPr>
      </w:pPr>
      <w:r>
        <w:rPr>
          <w:rFonts w:hint="eastAsia" w:ascii="仿宋_GB2312" w:eastAsia="仿宋_GB2312"/>
          <w:color w:val="auto"/>
          <w:sz w:val="24"/>
        </w:rPr>
        <w:t>（6） 承包人在停工期间按照工程师或发包人要求照管、清理和修复工程的费用由发包人承担。</w:t>
      </w:r>
    </w:p>
    <w:p>
      <w:pPr>
        <w:ind w:firstLine="600"/>
        <w:rPr>
          <w:rFonts w:ascii="仿宋_GB2312" w:eastAsia="仿宋_GB2312"/>
          <w:color w:val="auto"/>
          <w:sz w:val="24"/>
        </w:rPr>
      </w:pPr>
      <w:r>
        <w:rPr>
          <w:rFonts w:hint="eastAsia" w:ascii="仿宋_GB2312" w:eastAsia="仿宋_GB2312"/>
          <w:color w:val="auto"/>
          <w:sz w:val="24"/>
        </w:rPr>
        <w:t>不可抗力引起的后果及造成的损失由合同当事人按照法律规定及合同约定各自承担。不可抗力发生前已完成的工程应当按照合同约定进行支付。</w:t>
      </w:r>
    </w:p>
    <w:p>
      <w:pPr>
        <w:pStyle w:val="315"/>
        <w:widowControl/>
        <w:numPr>
          <w:ilvl w:val="0"/>
          <w:numId w:val="0"/>
        </w:numPr>
        <w:rPr>
          <w:b w:val="0"/>
          <w:bCs/>
          <w:color w:val="auto"/>
        </w:rPr>
      </w:pPr>
      <w:bookmarkStart w:id="1078" w:name="_Toc54862312"/>
      <w:r>
        <w:rPr>
          <w:rFonts w:hint="eastAsia"/>
          <w:b w:val="0"/>
          <w:bCs/>
          <w:color w:val="auto"/>
        </w:rPr>
        <w:t>1</w:t>
      </w:r>
      <w:r>
        <w:rPr>
          <w:b w:val="0"/>
          <w:bCs/>
          <w:color w:val="auto"/>
        </w:rPr>
        <w:t xml:space="preserve">7.5 </w:t>
      </w:r>
      <w:r>
        <w:rPr>
          <w:rFonts w:hint="eastAsia"/>
          <w:b w:val="0"/>
          <w:bCs/>
          <w:color w:val="auto"/>
        </w:rPr>
        <w:t>不可抗力影响分包人</w:t>
      </w:r>
      <w:bookmarkEnd w:id="1078"/>
      <w:r>
        <w:rPr>
          <w:rFonts w:hint="eastAsia"/>
          <w:b w:val="0"/>
          <w:bCs/>
          <w:color w:val="auto"/>
        </w:rPr>
        <w:t xml:space="preserve"> </w:t>
      </w:r>
    </w:p>
    <w:p>
      <w:pPr>
        <w:ind w:firstLine="600"/>
        <w:rPr>
          <w:rFonts w:ascii="仿宋_GB2312" w:eastAsia="仿宋_GB2312"/>
          <w:color w:val="auto"/>
          <w:sz w:val="24"/>
        </w:rPr>
      </w:pPr>
      <w:r>
        <w:rPr>
          <w:rFonts w:hint="eastAsia" w:ascii="仿宋_GB2312" w:eastAsia="仿宋_GB2312"/>
          <w:color w:val="auto"/>
          <w:sz w:val="24"/>
        </w:rPr>
        <w:t>分包人根据分包合同的约定，有权获得更多或者更广的不可抗力而免除某些义务时，承包人不得以分包合同中不可抗力约定向发包人抗辩免除其义务。</w:t>
      </w:r>
    </w:p>
    <w:p>
      <w:pPr>
        <w:pStyle w:val="315"/>
        <w:widowControl/>
        <w:numPr>
          <w:ilvl w:val="0"/>
          <w:numId w:val="0"/>
        </w:numPr>
        <w:rPr>
          <w:b w:val="0"/>
          <w:bCs/>
          <w:color w:val="auto"/>
        </w:rPr>
      </w:pPr>
      <w:bookmarkStart w:id="1079" w:name="_Ref531958184"/>
      <w:bookmarkStart w:id="1080" w:name="_Ref531958181"/>
      <w:bookmarkStart w:id="1081" w:name="_Toc54862313"/>
      <w:bookmarkStart w:id="1082" w:name="_Ref3840892"/>
      <w:bookmarkStart w:id="1083" w:name="_Ref4538024"/>
      <w:r>
        <w:rPr>
          <w:rFonts w:hint="eastAsia"/>
          <w:b w:val="0"/>
          <w:bCs/>
          <w:color w:val="auto"/>
        </w:rPr>
        <w:t>1</w:t>
      </w:r>
      <w:r>
        <w:rPr>
          <w:b w:val="0"/>
          <w:bCs/>
          <w:color w:val="auto"/>
        </w:rPr>
        <w:t xml:space="preserve">7.6 </w:t>
      </w:r>
      <w:r>
        <w:rPr>
          <w:rFonts w:hint="eastAsia"/>
          <w:b w:val="0"/>
          <w:bCs/>
          <w:color w:val="auto"/>
        </w:rPr>
        <w:t>因不可抗力解除</w:t>
      </w:r>
      <w:bookmarkEnd w:id="1079"/>
      <w:bookmarkEnd w:id="1080"/>
      <w:r>
        <w:rPr>
          <w:rFonts w:hint="eastAsia"/>
          <w:b w:val="0"/>
          <w:bCs/>
          <w:color w:val="auto"/>
        </w:rPr>
        <w:t>合同</w:t>
      </w:r>
      <w:bookmarkEnd w:id="1081"/>
      <w:bookmarkEnd w:id="1082"/>
      <w:bookmarkEnd w:id="1083"/>
      <w:r>
        <w:rPr>
          <w:rFonts w:hint="eastAsia"/>
          <w:b w:val="0"/>
          <w:bCs/>
          <w:color w:val="auto"/>
        </w:rPr>
        <w:t xml:space="preserve"> </w:t>
      </w:r>
    </w:p>
    <w:p>
      <w:pPr>
        <w:ind w:firstLine="600"/>
        <w:rPr>
          <w:rFonts w:ascii="仿宋_GB2312" w:eastAsia="仿宋_GB2312"/>
          <w:color w:val="auto"/>
          <w:sz w:val="24"/>
        </w:rPr>
      </w:pPr>
      <w:r>
        <w:rPr>
          <w:rFonts w:hint="eastAsia" w:ascii="仿宋_GB2312" w:eastAsia="仿宋_GB2312"/>
          <w:color w:val="auto"/>
          <w:sz w:val="24"/>
        </w:rPr>
        <w:t>因单次不可抗力导致合同无法履行连续超过84天或累计超过140天的，发包人和承包人均有权解除合同。合同解除后，承包人应按照第</w:t>
      </w:r>
      <w:r>
        <w:rPr>
          <w:rFonts w:ascii="仿宋_GB2312" w:eastAsia="仿宋_GB2312"/>
          <w:color w:val="auto"/>
          <w:sz w:val="24"/>
        </w:rPr>
        <w:t>10.5</w:t>
      </w:r>
      <w:r>
        <w:rPr>
          <w:rFonts w:hint="eastAsia" w:ascii="仿宋_GB2312" w:eastAsia="仿宋_GB2312"/>
          <w:color w:val="auto"/>
          <w:sz w:val="24"/>
        </w:rPr>
        <w:t>款[竣工退场]的规定进行。由双方当事人按照第</w:t>
      </w:r>
      <w:r>
        <w:rPr>
          <w:rFonts w:ascii="仿宋_GB2312" w:eastAsia="仿宋_GB2312"/>
          <w:color w:val="auto"/>
          <w:sz w:val="24"/>
        </w:rPr>
        <w:t>3.6</w:t>
      </w:r>
      <w:r>
        <w:rPr>
          <w:rFonts w:hint="eastAsia" w:ascii="仿宋_GB2312" w:eastAsia="仿宋_GB2312"/>
          <w:color w:val="auto"/>
          <w:sz w:val="24"/>
        </w:rPr>
        <w:t>款[商定或确定]商定或确定发包人应支付的款项，该款项包括：</w:t>
      </w:r>
    </w:p>
    <w:p>
      <w:pPr>
        <w:ind w:firstLine="600"/>
        <w:rPr>
          <w:rFonts w:ascii="仿宋_GB2312" w:eastAsia="仿宋_GB2312"/>
          <w:color w:val="auto"/>
          <w:sz w:val="24"/>
        </w:rPr>
      </w:pPr>
      <w:r>
        <w:rPr>
          <w:rFonts w:hint="eastAsia" w:ascii="仿宋_GB2312" w:eastAsia="仿宋_GB2312"/>
          <w:color w:val="auto"/>
          <w:sz w:val="24"/>
        </w:rPr>
        <w:t>（1） 合同解除前承包人已完成工作的价款；</w:t>
      </w:r>
    </w:p>
    <w:p>
      <w:pPr>
        <w:ind w:firstLine="600"/>
        <w:rPr>
          <w:rFonts w:ascii="仿宋_GB2312" w:eastAsia="仿宋_GB2312"/>
          <w:color w:val="auto"/>
          <w:sz w:val="24"/>
        </w:rPr>
      </w:pPr>
      <w:r>
        <w:rPr>
          <w:rFonts w:hint="eastAsia" w:ascii="仿宋_GB2312" w:eastAsia="仿宋_GB2312"/>
          <w:color w:val="auto"/>
          <w:sz w:val="24"/>
        </w:rPr>
        <w:t>（2） 承包人为工程订购的并已交付给承包人，或承包人有责任接受交付的材料、工程设备和其他物品的价款；当发包人支付上述费用后，此项材料、工程设备与其他物品应成为发包人的财产，承包人应将其交由发包人处理；</w:t>
      </w:r>
    </w:p>
    <w:p>
      <w:pPr>
        <w:ind w:firstLine="600"/>
        <w:rPr>
          <w:rFonts w:ascii="仿宋_GB2312" w:eastAsia="仿宋_GB2312"/>
          <w:color w:val="auto"/>
          <w:sz w:val="24"/>
        </w:rPr>
      </w:pPr>
      <w:r>
        <w:rPr>
          <w:rFonts w:hint="eastAsia" w:ascii="仿宋_GB2312" w:eastAsia="仿宋_GB2312"/>
          <w:color w:val="auto"/>
          <w:sz w:val="24"/>
        </w:rPr>
        <w:t>（3） 发包人指示承包人退货或解除订货合同而产生的费用，或因不能退货或解除合同而产生的损失；</w:t>
      </w:r>
    </w:p>
    <w:p>
      <w:pPr>
        <w:ind w:firstLine="600"/>
        <w:rPr>
          <w:rFonts w:ascii="仿宋_GB2312" w:eastAsia="仿宋_GB2312"/>
          <w:color w:val="auto"/>
          <w:sz w:val="24"/>
        </w:rPr>
      </w:pPr>
      <w:r>
        <w:rPr>
          <w:rFonts w:hint="eastAsia" w:ascii="仿宋_GB2312" w:eastAsia="仿宋_GB2312"/>
          <w:color w:val="auto"/>
          <w:sz w:val="24"/>
        </w:rPr>
        <w:t>（4） 承包人撤离施工现场以及遣散承包人人员的费用；</w:t>
      </w:r>
    </w:p>
    <w:p>
      <w:pPr>
        <w:ind w:firstLine="600"/>
        <w:rPr>
          <w:rFonts w:ascii="仿宋_GB2312" w:eastAsia="仿宋_GB2312"/>
          <w:color w:val="auto"/>
          <w:sz w:val="24"/>
        </w:rPr>
      </w:pPr>
      <w:r>
        <w:rPr>
          <w:rFonts w:hint="eastAsia" w:ascii="仿宋_GB2312" w:eastAsia="仿宋_GB2312"/>
          <w:color w:val="auto"/>
          <w:sz w:val="24"/>
        </w:rPr>
        <w:t>（5） 按照合同约定在合同解除前应支付给承包人的其他款项；</w:t>
      </w:r>
    </w:p>
    <w:p>
      <w:pPr>
        <w:ind w:firstLine="600"/>
        <w:rPr>
          <w:rFonts w:ascii="仿宋_GB2312" w:eastAsia="仿宋_GB2312"/>
          <w:color w:val="auto"/>
          <w:sz w:val="24"/>
        </w:rPr>
      </w:pPr>
      <w:r>
        <w:rPr>
          <w:rFonts w:hint="eastAsia" w:ascii="仿宋_GB2312" w:eastAsia="仿宋_GB2312"/>
          <w:color w:val="auto"/>
          <w:sz w:val="24"/>
        </w:rPr>
        <w:t>（6） 扣减承包人按照合同约定应向发包人支付的款项；</w:t>
      </w:r>
    </w:p>
    <w:p>
      <w:pPr>
        <w:ind w:firstLine="600"/>
        <w:rPr>
          <w:rFonts w:ascii="仿宋_GB2312" w:eastAsia="仿宋_GB2312"/>
          <w:color w:val="auto"/>
          <w:sz w:val="24"/>
        </w:rPr>
      </w:pPr>
      <w:r>
        <w:rPr>
          <w:rFonts w:hint="eastAsia" w:ascii="仿宋_GB2312" w:eastAsia="仿宋_GB2312"/>
          <w:color w:val="auto"/>
          <w:sz w:val="24"/>
        </w:rPr>
        <w:t>（7） 双方商定或确定的其他款项。</w:t>
      </w:r>
    </w:p>
    <w:p>
      <w:pPr>
        <w:ind w:firstLine="600"/>
        <w:rPr>
          <w:rFonts w:ascii="仿宋_GB2312" w:eastAsia="仿宋_GB2312"/>
          <w:color w:val="auto"/>
          <w:sz w:val="24"/>
        </w:rPr>
      </w:pPr>
      <w:r>
        <w:rPr>
          <w:rFonts w:hint="eastAsia" w:ascii="仿宋_GB2312" w:eastAsia="仿宋_GB2312"/>
          <w:color w:val="auto"/>
          <w:sz w:val="24"/>
        </w:rPr>
        <w:t>除专用合同条件另有约定外，合同解除后，发包人应当在商定或确定上述款项后28天内完成上述款项的支付。</w:t>
      </w:r>
    </w:p>
    <w:p>
      <w:pPr>
        <w:pStyle w:val="164"/>
        <w:numPr>
          <w:ilvl w:val="0"/>
          <w:numId w:val="0"/>
        </w:numPr>
        <w:wordWrap/>
        <w:topLinePunct w:val="0"/>
        <w:rPr>
          <w:b w:val="0"/>
          <w:bCs/>
          <w:color w:val="auto"/>
          <w:sz w:val="24"/>
          <w:szCs w:val="24"/>
        </w:rPr>
      </w:pPr>
      <w:bookmarkStart w:id="1084" w:name="_Toc54862314"/>
      <w:bookmarkStart w:id="1085" w:name="_Ref11848264"/>
      <w:bookmarkStart w:id="1086" w:name="_Ref11848274"/>
      <w:r>
        <w:rPr>
          <w:rFonts w:hint="eastAsia"/>
          <w:b w:val="0"/>
          <w:bCs/>
          <w:color w:val="auto"/>
          <w:sz w:val="24"/>
          <w:szCs w:val="24"/>
        </w:rPr>
        <w:t>第1</w:t>
      </w:r>
      <w:r>
        <w:rPr>
          <w:b w:val="0"/>
          <w:bCs/>
          <w:color w:val="auto"/>
          <w:sz w:val="24"/>
          <w:szCs w:val="24"/>
        </w:rPr>
        <w:t>8</w:t>
      </w:r>
      <w:r>
        <w:rPr>
          <w:rFonts w:hint="eastAsia"/>
          <w:b w:val="0"/>
          <w:bCs/>
          <w:color w:val="auto"/>
          <w:sz w:val="24"/>
          <w:szCs w:val="24"/>
        </w:rPr>
        <w:t>条 保险</w:t>
      </w:r>
      <w:bookmarkEnd w:id="1067"/>
      <w:bookmarkEnd w:id="1084"/>
      <w:bookmarkEnd w:id="1085"/>
      <w:bookmarkEnd w:id="1086"/>
      <w:r>
        <w:rPr>
          <w:rFonts w:hint="eastAsia"/>
          <w:b w:val="0"/>
          <w:bCs/>
          <w:color w:val="auto"/>
          <w:sz w:val="24"/>
          <w:szCs w:val="24"/>
        </w:rPr>
        <w:t xml:space="preserve"> </w:t>
      </w:r>
    </w:p>
    <w:p>
      <w:pPr>
        <w:pStyle w:val="315"/>
        <w:widowControl/>
        <w:numPr>
          <w:ilvl w:val="0"/>
          <w:numId w:val="0"/>
        </w:numPr>
        <w:rPr>
          <w:b w:val="0"/>
          <w:bCs/>
          <w:color w:val="auto"/>
        </w:rPr>
      </w:pPr>
      <w:bookmarkStart w:id="1087" w:name="_Toc54862315"/>
      <w:bookmarkStart w:id="1088" w:name="_Ref3840734"/>
      <w:bookmarkStart w:id="1089" w:name="_Ref3840730"/>
      <w:bookmarkStart w:id="1090" w:name="_Ref531957914"/>
      <w:bookmarkStart w:id="1091" w:name="_Ref531957911"/>
      <w:bookmarkStart w:id="1092" w:name="_Toc351203616"/>
      <w:r>
        <w:rPr>
          <w:rFonts w:hint="eastAsia"/>
          <w:b w:val="0"/>
          <w:bCs/>
          <w:color w:val="auto"/>
        </w:rPr>
        <w:t>1</w:t>
      </w:r>
      <w:r>
        <w:rPr>
          <w:b w:val="0"/>
          <w:bCs/>
          <w:color w:val="auto"/>
        </w:rPr>
        <w:t xml:space="preserve">8.1 </w:t>
      </w:r>
      <w:r>
        <w:rPr>
          <w:rFonts w:hint="eastAsia"/>
          <w:b w:val="0"/>
          <w:bCs/>
          <w:color w:val="auto"/>
        </w:rPr>
        <w:t>设计和工程保险</w:t>
      </w:r>
      <w:bookmarkEnd w:id="1087"/>
      <w:bookmarkEnd w:id="1088"/>
      <w:bookmarkEnd w:id="1089"/>
    </w:p>
    <w:bookmarkEnd w:id="1090"/>
    <w:bookmarkEnd w:id="1091"/>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8.1.1 </w:t>
      </w:r>
      <w:r>
        <w:rPr>
          <w:rFonts w:hint="eastAsia" w:ascii="仿宋_GB2312" w:eastAsia="仿宋_GB2312"/>
          <w:color w:val="auto"/>
          <w:szCs w:val="24"/>
        </w:rPr>
        <w:t>双方应按照专用合同条件的约定向双方同意的保险人投保建设工程设计责任险、建筑安装工程一切险等保险。具体的投保险种、保险范围、保险金额、保险费率、保险期限等有关内容应当在专用合同条件中明确约定。</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8.1.2 </w:t>
      </w:r>
      <w:r>
        <w:rPr>
          <w:rFonts w:hint="eastAsia" w:ascii="仿宋_GB2312" w:eastAsia="仿宋_GB2312"/>
          <w:color w:val="auto"/>
          <w:szCs w:val="24"/>
        </w:rPr>
        <w:t>双方应按照专用合同条件的约定投保第三者责任险，并在缺陷责任期终止证书颁发前维持其持续有效。第三者责任险最低投保额应在专用合同条件内约定。</w:t>
      </w:r>
    </w:p>
    <w:p>
      <w:pPr>
        <w:pStyle w:val="315"/>
        <w:widowControl/>
        <w:numPr>
          <w:ilvl w:val="0"/>
          <w:numId w:val="0"/>
        </w:numPr>
        <w:rPr>
          <w:b w:val="0"/>
          <w:bCs/>
          <w:color w:val="auto"/>
        </w:rPr>
      </w:pPr>
      <w:bookmarkStart w:id="1093" w:name="_Toc54862316"/>
      <w:bookmarkStart w:id="1094" w:name="_Ref3840683"/>
      <w:r>
        <w:rPr>
          <w:rFonts w:hint="eastAsia"/>
          <w:b w:val="0"/>
          <w:bCs/>
          <w:color w:val="auto"/>
        </w:rPr>
        <w:t>1</w:t>
      </w:r>
      <w:r>
        <w:rPr>
          <w:b w:val="0"/>
          <w:bCs/>
          <w:color w:val="auto"/>
        </w:rPr>
        <w:t xml:space="preserve">8.2 </w:t>
      </w:r>
      <w:r>
        <w:rPr>
          <w:rFonts w:hint="eastAsia"/>
          <w:b w:val="0"/>
          <w:bCs/>
          <w:color w:val="auto"/>
        </w:rPr>
        <w:t>工伤和意外伤害保险</w:t>
      </w:r>
      <w:bookmarkEnd w:id="1093"/>
      <w:bookmarkEnd w:id="1094"/>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8.2.1 </w:t>
      </w:r>
      <w:r>
        <w:rPr>
          <w:rFonts w:hint="eastAsia" w:ascii="仿宋_GB2312" w:eastAsia="仿宋_GB2312"/>
          <w:color w:val="auto"/>
          <w:szCs w:val="24"/>
        </w:rPr>
        <w:t>发包人应依照法律规定为其在施工现场的雇用人员办理工伤保险，缴纳工伤保险费；并要求工程师及由发包人为履行合同聘请的第三方在施工现场的雇用人员依法办理工伤保险。</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8.2.2 </w:t>
      </w:r>
      <w:r>
        <w:rPr>
          <w:rFonts w:hint="eastAsia" w:ascii="仿宋_GB2312" w:eastAsia="仿宋_GB2312"/>
          <w:color w:val="auto"/>
          <w:szCs w:val="24"/>
        </w:rPr>
        <w:t>承包人应依照法律规定为其履行合同雇用的全部人员办理工伤保险，缴纳工伤保险费，并要求分包人及由承包人为履行合同聘请的第三方雇用的全部人员依法办理工伤保险。</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8.2.3 </w:t>
      </w:r>
      <w:r>
        <w:rPr>
          <w:rFonts w:hint="eastAsia" w:ascii="仿宋_GB2312" w:eastAsia="仿宋_GB2312"/>
          <w:color w:val="auto"/>
          <w:szCs w:val="24"/>
        </w:rPr>
        <w:t>发包人和承包人可以为其施工现场的全部人员办理意外伤害保险并支付保险费，包括其员工及为履行合同聘请的第三方的人员，具体事项由合同当事人在专用合同条件约定。</w:t>
      </w:r>
    </w:p>
    <w:p>
      <w:pPr>
        <w:pStyle w:val="315"/>
        <w:widowControl/>
        <w:numPr>
          <w:ilvl w:val="0"/>
          <w:numId w:val="0"/>
        </w:numPr>
        <w:rPr>
          <w:b w:val="0"/>
          <w:bCs/>
          <w:color w:val="auto"/>
        </w:rPr>
      </w:pPr>
      <w:bookmarkStart w:id="1095" w:name="_Toc54862317"/>
      <w:bookmarkStart w:id="1096" w:name="_Ref3840782"/>
      <w:r>
        <w:rPr>
          <w:rFonts w:hint="eastAsia"/>
          <w:b w:val="0"/>
          <w:bCs/>
          <w:color w:val="auto"/>
        </w:rPr>
        <w:t>1</w:t>
      </w:r>
      <w:r>
        <w:rPr>
          <w:b w:val="0"/>
          <w:bCs/>
          <w:color w:val="auto"/>
        </w:rPr>
        <w:t xml:space="preserve">8.3 </w:t>
      </w:r>
      <w:r>
        <w:rPr>
          <w:rFonts w:hint="eastAsia"/>
          <w:b w:val="0"/>
          <w:bCs/>
          <w:color w:val="auto"/>
        </w:rPr>
        <w:t>货物保险</w:t>
      </w:r>
      <w:bookmarkEnd w:id="1095"/>
      <w:bookmarkEnd w:id="1096"/>
    </w:p>
    <w:p>
      <w:pPr>
        <w:ind w:firstLine="600"/>
        <w:rPr>
          <w:rFonts w:ascii="仿宋_GB2312" w:eastAsia="仿宋_GB2312"/>
          <w:color w:val="auto"/>
          <w:sz w:val="24"/>
        </w:rPr>
      </w:pPr>
      <w:r>
        <w:rPr>
          <w:rFonts w:hint="eastAsia" w:ascii="仿宋_GB2312" w:eastAsia="仿宋_GB2312"/>
          <w:color w:val="auto"/>
          <w:sz w:val="24"/>
        </w:rPr>
        <w:t>承包人应</w:t>
      </w:r>
      <w:r>
        <w:rPr>
          <w:rFonts w:hint="eastAsia" w:ascii="仿宋_GB2312" w:eastAsia="仿宋_GB2312"/>
          <w:iCs/>
          <w:color w:val="auto"/>
          <w:sz w:val="24"/>
        </w:rPr>
        <w:t>按照</w:t>
      </w:r>
      <w:r>
        <w:rPr>
          <w:rFonts w:hint="eastAsia" w:ascii="仿宋_GB2312" w:eastAsia="仿宋_GB2312"/>
          <w:color w:val="auto"/>
          <w:sz w:val="24"/>
        </w:rPr>
        <w:t>专用合同条件的约定为</w:t>
      </w:r>
      <w:r>
        <w:rPr>
          <w:rFonts w:hint="eastAsia" w:ascii="仿宋_GB2312" w:eastAsia="仿宋_GB2312"/>
          <w:iCs/>
          <w:color w:val="auto"/>
          <w:sz w:val="24"/>
        </w:rPr>
        <w:t>运抵现场的</w:t>
      </w:r>
      <w:r>
        <w:rPr>
          <w:rFonts w:hint="eastAsia" w:ascii="仿宋_GB2312" w:eastAsia="仿宋_GB2312"/>
          <w:color w:val="auto"/>
          <w:sz w:val="24"/>
        </w:rPr>
        <w:t>施工设备、材料、工程设备和临时工程等办理财产保险，保险期限自上述货物运抵现场至其不再为工程所需要为止。</w:t>
      </w:r>
    </w:p>
    <w:p>
      <w:pPr>
        <w:pStyle w:val="315"/>
        <w:widowControl/>
        <w:numPr>
          <w:ilvl w:val="0"/>
          <w:numId w:val="0"/>
        </w:numPr>
        <w:rPr>
          <w:b w:val="0"/>
          <w:bCs/>
          <w:color w:val="auto"/>
        </w:rPr>
      </w:pPr>
      <w:bookmarkStart w:id="1097" w:name="_Ref4692231"/>
      <w:bookmarkStart w:id="1098" w:name="_Toc54862318"/>
      <w:bookmarkStart w:id="1099" w:name="_Ref4692238"/>
      <w:r>
        <w:rPr>
          <w:rFonts w:hint="eastAsia"/>
          <w:b w:val="0"/>
          <w:bCs/>
          <w:color w:val="auto"/>
        </w:rPr>
        <w:t>1</w:t>
      </w:r>
      <w:r>
        <w:rPr>
          <w:b w:val="0"/>
          <w:bCs/>
          <w:color w:val="auto"/>
        </w:rPr>
        <w:t xml:space="preserve">8.4 </w:t>
      </w:r>
      <w:r>
        <w:rPr>
          <w:rFonts w:hint="eastAsia"/>
          <w:b w:val="0"/>
          <w:bCs/>
          <w:color w:val="auto"/>
        </w:rPr>
        <w:t>其他保险</w:t>
      </w:r>
      <w:bookmarkEnd w:id="1097"/>
      <w:bookmarkEnd w:id="1098"/>
      <w:bookmarkEnd w:id="1099"/>
    </w:p>
    <w:p>
      <w:pPr>
        <w:ind w:firstLine="600"/>
        <w:rPr>
          <w:rFonts w:ascii="仿宋_GB2312" w:eastAsia="仿宋_GB2312"/>
          <w:color w:val="auto"/>
          <w:sz w:val="24"/>
        </w:rPr>
      </w:pPr>
      <w:r>
        <w:rPr>
          <w:rFonts w:hint="eastAsia" w:ascii="仿宋_GB2312" w:eastAsia="仿宋_GB2312"/>
          <w:color w:val="auto"/>
          <w:sz w:val="24"/>
        </w:rPr>
        <w:t>发包人应按照工程总承包模式所适用的法律法规和专用合同条件约定，投保其他保险并保持保险有效，其投保费用发包人自行承担。承包人应按照工程总承包模式所适用法律法规和专用合同条件约定投保相应保险并保持保险有效，其投</w:t>
      </w:r>
      <w:bookmarkEnd w:id="1092"/>
      <w:r>
        <w:rPr>
          <w:rFonts w:hint="eastAsia" w:ascii="仿宋_GB2312" w:eastAsia="仿宋_GB2312"/>
          <w:color w:val="auto"/>
          <w:sz w:val="24"/>
        </w:rPr>
        <w:t>保费用包含在合同价格中，但在合同执行过程中，新颁布适用的法律法规规定由承包人投保的强制保险，应根据本合同</w:t>
      </w:r>
      <w:bookmarkStart w:id="1100" w:name="_Toc351203617"/>
      <w:bookmarkStart w:id="1101" w:name="_Toc296346627"/>
      <w:bookmarkStart w:id="1102" w:name="_Toc337558832"/>
      <w:bookmarkStart w:id="1103" w:name="_Toc296503126"/>
      <w:r>
        <w:rPr>
          <w:rFonts w:hint="eastAsia" w:ascii="仿宋_GB2312" w:eastAsia="仿宋_GB2312"/>
          <w:color w:val="auto"/>
          <w:sz w:val="24"/>
        </w:rPr>
        <w:t>第</w:t>
      </w:r>
      <w:r>
        <w:rPr>
          <w:rFonts w:ascii="仿宋_GB2312" w:eastAsia="仿宋_GB2312"/>
          <w:color w:val="auto"/>
          <w:sz w:val="24"/>
        </w:rPr>
        <w:t>13条</w:t>
      </w:r>
      <w:r>
        <w:rPr>
          <w:rFonts w:hint="eastAsia" w:ascii="仿宋_GB2312" w:eastAsia="仿宋_GB2312"/>
          <w:color w:val="auto"/>
          <w:sz w:val="24"/>
        </w:rPr>
        <w:t>[</w:t>
      </w:r>
      <w:r>
        <w:rPr>
          <w:rFonts w:ascii="仿宋_GB2312" w:eastAsia="仿宋_GB2312"/>
          <w:color w:val="auto"/>
          <w:sz w:val="24"/>
        </w:rPr>
        <w:t>变更与调整</w:t>
      </w:r>
      <w:r>
        <w:rPr>
          <w:rFonts w:hint="eastAsia" w:ascii="仿宋_GB2312" w:eastAsia="仿宋_GB2312"/>
          <w:color w:val="auto"/>
          <w:sz w:val="24"/>
        </w:rPr>
        <w:t>]的约定增加合同价款。</w:t>
      </w:r>
    </w:p>
    <w:p>
      <w:pPr>
        <w:pStyle w:val="315"/>
        <w:widowControl/>
        <w:numPr>
          <w:ilvl w:val="0"/>
          <w:numId w:val="0"/>
        </w:numPr>
        <w:rPr>
          <w:b w:val="0"/>
          <w:bCs/>
          <w:color w:val="auto"/>
        </w:rPr>
      </w:pPr>
      <w:bookmarkStart w:id="1104" w:name="_Ref3840659"/>
      <w:bookmarkStart w:id="1105" w:name="_Toc54862319"/>
      <w:r>
        <w:rPr>
          <w:rFonts w:hint="eastAsia"/>
          <w:b w:val="0"/>
          <w:bCs/>
          <w:color w:val="auto"/>
        </w:rPr>
        <w:t>1</w:t>
      </w:r>
      <w:r>
        <w:rPr>
          <w:b w:val="0"/>
          <w:bCs/>
          <w:color w:val="auto"/>
        </w:rPr>
        <w:t xml:space="preserve">8.5 </w:t>
      </w:r>
      <w:r>
        <w:rPr>
          <w:rFonts w:hint="eastAsia"/>
          <w:b w:val="0"/>
          <w:bCs/>
          <w:color w:val="auto"/>
        </w:rPr>
        <w:t>对各项保险的一般要求</w:t>
      </w:r>
      <w:bookmarkEnd w:id="1104"/>
      <w:bookmarkEnd w:id="1105"/>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8.5.1 </w:t>
      </w:r>
      <w:r>
        <w:rPr>
          <w:rFonts w:hint="eastAsia" w:ascii="仿宋_GB2312" w:eastAsia="仿宋_GB2312"/>
          <w:color w:val="auto"/>
          <w:szCs w:val="24"/>
        </w:rPr>
        <w:t>持续保险</w:t>
      </w:r>
    </w:p>
    <w:p>
      <w:pPr>
        <w:ind w:firstLine="600"/>
        <w:rPr>
          <w:rFonts w:ascii="仿宋_GB2312" w:eastAsia="仿宋_GB2312"/>
          <w:color w:val="auto"/>
          <w:sz w:val="24"/>
        </w:rPr>
      </w:pPr>
      <w:r>
        <w:rPr>
          <w:rFonts w:hint="eastAsia" w:ascii="仿宋_GB2312" w:eastAsia="仿宋_GB2312"/>
          <w:color w:val="auto"/>
          <w:sz w:val="24"/>
        </w:rPr>
        <w:t>合同当事人应与保险人保持联系，使保险人能够随时了</w:t>
      </w:r>
      <w:bookmarkEnd w:id="1100"/>
      <w:r>
        <w:rPr>
          <w:rFonts w:hint="eastAsia" w:ascii="仿宋_GB2312" w:eastAsia="仿宋_GB2312"/>
          <w:color w:val="auto"/>
          <w:sz w:val="24"/>
        </w:rPr>
        <w:t>解</w:t>
      </w:r>
      <w:bookmarkEnd w:id="1101"/>
      <w:bookmarkEnd w:id="1102"/>
      <w:bookmarkEnd w:id="1103"/>
      <w:r>
        <w:rPr>
          <w:rFonts w:hint="eastAsia" w:ascii="仿宋_GB2312" w:eastAsia="仿宋_GB2312"/>
          <w:color w:val="auto"/>
          <w:sz w:val="24"/>
        </w:rPr>
        <w:t>工程实施中的变动，并确保按保险合同条款要求持续保险。</w:t>
      </w:r>
    </w:p>
    <w:p>
      <w:pPr>
        <w:pStyle w:val="88"/>
        <w:numPr>
          <w:ilvl w:val="0"/>
          <w:numId w:val="0"/>
        </w:numPr>
        <w:rPr>
          <w:rFonts w:ascii="仿宋_GB2312" w:eastAsia="仿宋_GB2312"/>
          <w:color w:val="auto"/>
          <w:szCs w:val="24"/>
        </w:rPr>
      </w:pPr>
      <w:bookmarkStart w:id="1106" w:name="_Ref4777650"/>
      <w:r>
        <w:rPr>
          <w:rFonts w:hint="eastAsia" w:ascii="仿宋_GB2312" w:eastAsia="仿宋_GB2312"/>
          <w:color w:val="auto"/>
          <w:szCs w:val="24"/>
        </w:rPr>
        <w:t>1</w:t>
      </w:r>
      <w:r>
        <w:rPr>
          <w:rFonts w:ascii="仿宋_GB2312" w:eastAsia="仿宋_GB2312"/>
          <w:color w:val="auto"/>
          <w:szCs w:val="24"/>
        </w:rPr>
        <w:t xml:space="preserve">8.5.2 </w:t>
      </w:r>
      <w:r>
        <w:rPr>
          <w:rFonts w:hint="eastAsia" w:ascii="仿宋_GB2312" w:eastAsia="仿宋_GB2312"/>
          <w:color w:val="auto"/>
          <w:szCs w:val="24"/>
        </w:rPr>
        <w:t>保险凭证</w:t>
      </w:r>
      <w:bookmarkEnd w:id="1106"/>
    </w:p>
    <w:p>
      <w:pPr>
        <w:ind w:firstLine="600"/>
        <w:rPr>
          <w:rFonts w:ascii="仿宋_GB2312" w:eastAsia="仿宋_GB2312"/>
          <w:color w:val="auto"/>
          <w:sz w:val="24"/>
        </w:rPr>
      </w:pPr>
      <w:r>
        <w:rPr>
          <w:rFonts w:hint="eastAsia" w:ascii="仿宋_GB2312" w:eastAsia="仿宋_GB2312"/>
          <w:color w:val="auto"/>
          <w:sz w:val="24"/>
        </w:rPr>
        <w:t>合同当事人应及时向另一方当事人提交其已投保的各项保险的凭证和保险单复印件，保险单必须与专用合同条件约定的条件保持一致。</w:t>
      </w:r>
    </w:p>
    <w:p>
      <w:pPr>
        <w:pStyle w:val="88"/>
        <w:numPr>
          <w:ilvl w:val="0"/>
          <w:numId w:val="0"/>
        </w:numPr>
        <w:rPr>
          <w:rFonts w:ascii="仿宋_GB2312" w:eastAsia="仿宋_GB2312"/>
          <w:color w:val="auto"/>
          <w:szCs w:val="24"/>
        </w:rPr>
      </w:pPr>
      <w:r>
        <w:rPr>
          <w:rFonts w:hint="eastAsia" w:ascii="仿宋_GB2312" w:eastAsia="仿宋_GB2312"/>
          <w:color w:val="auto"/>
          <w:szCs w:val="24"/>
        </w:rPr>
        <w:t>1</w:t>
      </w:r>
      <w:r>
        <w:rPr>
          <w:rFonts w:ascii="仿宋_GB2312" w:eastAsia="仿宋_GB2312"/>
          <w:color w:val="auto"/>
          <w:szCs w:val="24"/>
        </w:rPr>
        <w:t xml:space="preserve">8.5.3 </w:t>
      </w:r>
      <w:r>
        <w:rPr>
          <w:rFonts w:hint="eastAsia" w:ascii="仿宋_GB2312" w:eastAsia="仿宋_GB2312"/>
          <w:color w:val="auto"/>
          <w:szCs w:val="24"/>
        </w:rPr>
        <w:t>未按约定投保的补救</w:t>
      </w:r>
    </w:p>
    <w:p>
      <w:pPr>
        <w:ind w:firstLine="600"/>
        <w:rPr>
          <w:rFonts w:ascii="仿宋_GB2312" w:eastAsia="仿宋_GB2312"/>
          <w:color w:val="auto"/>
          <w:sz w:val="24"/>
        </w:rPr>
      </w:pPr>
      <w:r>
        <w:rPr>
          <w:rFonts w:hint="eastAsia" w:ascii="仿宋_GB2312" w:eastAsia="仿宋_GB2312"/>
          <w:color w:val="auto"/>
          <w:sz w:val="24"/>
        </w:rPr>
        <w:t>负有投保义务的一方当事人未按合同约定办理保险，或未能使保险持续有效的，则另一方当事人可代为办理，所需费用由负有投保义务的一方当事人承担。</w:t>
      </w:r>
    </w:p>
    <w:p>
      <w:pPr>
        <w:ind w:firstLine="600"/>
        <w:rPr>
          <w:rFonts w:ascii="仿宋_GB2312" w:eastAsia="仿宋_GB2312"/>
          <w:color w:val="auto"/>
          <w:sz w:val="24"/>
        </w:rPr>
      </w:pPr>
      <w:r>
        <w:rPr>
          <w:rFonts w:hint="eastAsia" w:ascii="仿宋_GB2312" w:eastAsia="仿宋_GB2312"/>
          <w:color w:val="auto"/>
          <w:sz w:val="24"/>
        </w:rPr>
        <w:t>负有投保</w:t>
      </w:r>
      <w:bookmarkStart w:id="1107" w:name="_Toc351203619"/>
      <w:bookmarkStart w:id="1108" w:name="_Toc337558834"/>
      <w:r>
        <w:rPr>
          <w:rFonts w:hint="eastAsia" w:ascii="仿宋_GB2312" w:eastAsia="仿宋_GB2312"/>
          <w:color w:val="auto"/>
          <w:sz w:val="24"/>
        </w:rPr>
        <w:t>义务的一方当事人未</w:t>
      </w:r>
      <w:bookmarkEnd w:id="1107"/>
      <w:r>
        <w:rPr>
          <w:rFonts w:hint="eastAsia" w:ascii="仿宋_GB2312" w:eastAsia="仿宋_GB2312"/>
          <w:color w:val="auto"/>
          <w:sz w:val="24"/>
        </w:rPr>
        <w:t>按</w:t>
      </w:r>
      <w:bookmarkEnd w:id="1108"/>
      <w:r>
        <w:rPr>
          <w:rFonts w:hint="eastAsia" w:ascii="仿宋_GB2312" w:eastAsia="仿宋_GB2312"/>
          <w:color w:val="auto"/>
          <w:sz w:val="24"/>
        </w:rPr>
        <w:t>合同约定办理某项保险，导致受益人未能得到足额赔偿的，由负有投保义务的一方当事人负责按照原应从该项保险得到的保险金数额进行补足。</w:t>
      </w:r>
    </w:p>
    <w:p>
      <w:pPr>
        <w:pStyle w:val="88"/>
        <w:numPr>
          <w:ilvl w:val="0"/>
          <w:numId w:val="0"/>
        </w:numPr>
        <w:rPr>
          <w:rFonts w:ascii="仿宋_GB2312" w:eastAsia="仿宋_GB2312"/>
          <w:color w:val="auto"/>
          <w:szCs w:val="24"/>
        </w:rPr>
      </w:pPr>
      <w:bookmarkStart w:id="1109" w:name="_Ref4692685"/>
      <w:r>
        <w:rPr>
          <w:rFonts w:hint="eastAsia" w:ascii="仿宋_GB2312" w:eastAsia="仿宋_GB2312"/>
          <w:color w:val="auto"/>
          <w:szCs w:val="24"/>
        </w:rPr>
        <w:t>1</w:t>
      </w:r>
      <w:r>
        <w:rPr>
          <w:rFonts w:ascii="仿宋_GB2312" w:eastAsia="仿宋_GB2312"/>
          <w:color w:val="auto"/>
          <w:szCs w:val="24"/>
        </w:rPr>
        <w:t xml:space="preserve">8.5.4 </w:t>
      </w:r>
      <w:r>
        <w:rPr>
          <w:rFonts w:hint="eastAsia" w:ascii="仿宋_GB2312" w:eastAsia="仿宋_GB2312"/>
          <w:color w:val="auto"/>
          <w:szCs w:val="24"/>
        </w:rPr>
        <w:t>通知义务</w:t>
      </w:r>
      <w:bookmarkEnd w:id="1109"/>
    </w:p>
    <w:p>
      <w:pPr>
        <w:ind w:firstLine="600"/>
        <w:rPr>
          <w:rFonts w:ascii="仿宋_GB2312" w:eastAsia="仿宋_GB2312"/>
          <w:color w:val="auto"/>
          <w:sz w:val="24"/>
        </w:rPr>
      </w:pPr>
      <w:r>
        <w:rPr>
          <w:rFonts w:hint="eastAsia" w:ascii="仿宋_GB2312" w:eastAsia="仿宋_GB2312"/>
          <w:color w:val="auto"/>
          <w:sz w:val="24"/>
        </w:rPr>
        <w:t>除专用合同条件另有约定外，任何一方当事人变更除工伤保险之外的保险合同时，应事先征得另一方当事人同意，并通知工程师。</w:t>
      </w:r>
    </w:p>
    <w:p>
      <w:pPr>
        <w:ind w:firstLine="600"/>
        <w:rPr>
          <w:rFonts w:ascii="仿宋_GB2312" w:eastAsia="仿宋_GB2312"/>
          <w:color w:val="auto"/>
          <w:sz w:val="24"/>
        </w:rPr>
      </w:pPr>
      <w:r>
        <w:rPr>
          <w:rFonts w:hint="eastAsia" w:ascii="仿宋_GB2312" w:eastAsia="仿宋_GB2312"/>
          <w:color w:val="auto"/>
          <w:sz w:val="24"/>
        </w:rPr>
        <w:t>保险事故发生时，投保人应按照保险合同规定的条件和期限及时向保险人报告。发包人和承包人应当在知道保险事故发生后及时通知对方。</w:t>
      </w:r>
    </w:p>
    <w:p>
      <w:pPr>
        <w:ind w:firstLine="600"/>
        <w:rPr>
          <w:rFonts w:ascii="仿宋_GB2312" w:eastAsia="仿宋_GB2312"/>
          <w:color w:val="auto"/>
          <w:sz w:val="24"/>
        </w:rPr>
      </w:pPr>
      <w:r>
        <w:rPr>
          <w:rFonts w:hint="eastAsia" w:ascii="仿宋_GB2312" w:eastAsia="仿宋_GB2312"/>
          <w:color w:val="auto"/>
          <w:sz w:val="24"/>
        </w:rPr>
        <w:t>双方按本条规定投保不减少双方在合同下的其他义务。</w:t>
      </w:r>
    </w:p>
    <w:p>
      <w:pPr>
        <w:pStyle w:val="164"/>
        <w:numPr>
          <w:ilvl w:val="0"/>
          <w:numId w:val="0"/>
        </w:numPr>
        <w:wordWrap/>
        <w:topLinePunct w:val="0"/>
        <w:rPr>
          <w:b w:val="0"/>
          <w:bCs/>
          <w:color w:val="auto"/>
          <w:sz w:val="24"/>
          <w:szCs w:val="24"/>
        </w:rPr>
      </w:pPr>
      <w:bookmarkStart w:id="1110" w:name="_Ref11874997"/>
      <w:bookmarkStart w:id="1111" w:name="_Toc54862320"/>
      <w:r>
        <w:rPr>
          <w:rFonts w:hint="eastAsia"/>
          <w:b w:val="0"/>
          <w:bCs/>
          <w:color w:val="auto"/>
          <w:sz w:val="24"/>
          <w:szCs w:val="24"/>
        </w:rPr>
        <w:t>第1</w:t>
      </w:r>
      <w:r>
        <w:rPr>
          <w:b w:val="0"/>
          <w:bCs/>
          <w:color w:val="auto"/>
          <w:sz w:val="24"/>
          <w:szCs w:val="24"/>
        </w:rPr>
        <w:t>9</w:t>
      </w:r>
      <w:r>
        <w:rPr>
          <w:rFonts w:hint="eastAsia"/>
          <w:b w:val="0"/>
          <w:bCs/>
          <w:color w:val="auto"/>
          <w:sz w:val="24"/>
          <w:szCs w:val="24"/>
        </w:rPr>
        <w:t>条 索赔</w:t>
      </w:r>
      <w:bookmarkEnd w:id="1046"/>
      <w:bookmarkEnd w:id="1047"/>
      <w:bookmarkEnd w:id="1110"/>
      <w:bookmarkEnd w:id="1111"/>
      <w:r>
        <w:rPr>
          <w:rFonts w:hint="eastAsia"/>
          <w:b w:val="0"/>
          <w:bCs/>
          <w:color w:val="auto"/>
          <w:sz w:val="24"/>
          <w:szCs w:val="24"/>
        </w:rPr>
        <w:t xml:space="preserve"> </w:t>
      </w:r>
    </w:p>
    <w:p>
      <w:pPr>
        <w:pStyle w:val="315"/>
        <w:widowControl/>
        <w:numPr>
          <w:ilvl w:val="0"/>
          <w:numId w:val="0"/>
        </w:numPr>
        <w:rPr>
          <w:b w:val="0"/>
          <w:bCs/>
          <w:color w:val="auto"/>
        </w:rPr>
      </w:pPr>
      <w:bookmarkStart w:id="1112" w:name="_Ref4798173"/>
      <w:bookmarkStart w:id="1113" w:name="_Ref4798164"/>
      <w:bookmarkStart w:id="1114" w:name="_Toc54862321"/>
      <w:r>
        <w:rPr>
          <w:rFonts w:hint="eastAsia"/>
          <w:b w:val="0"/>
          <w:bCs/>
          <w:color w:val="auto"/>
        </w:rPr>
        <w:t>1</w:t>
      </w:r>
      <w:r>
        <w:rPr>
          <w:b w:val="0"/>
          <w:bCs/>
          <w:color w:val="auto"/>
        </w:rPr>
        <w:t xml:space="preserve">9.1 </w:t>
      </w:r>
      <w:r>
        <w:rPr>
          <w:rFonts w:hint="eastAsia"/>
          <w:b w:val="0"/>
          <w:bCs/>
          <w:color w:val="auto"/>
        </w:rPr>
        <w:t>索赔</w:t>
      </w:r>
      <w:bookmarkEnd w:id="1112"/>
      <w:bookmarkEnd w:id="1113"/>
      <w:r>
        <w:rPr>
          <w:rFonts w:hint="eastAsia"/>
          <w:b w:val="0"/>
          <w:bCs/>
          <w:color w:val="auto"/>
        </w:rPr>
        <w:t>的提出</w:t>
      </w:r>
      <w:bookmarkEnd w:id="1114"/>
    </w:p>
    <w:p>
      <w:pPr>
        <w:ind w:firstLine="600"/>
        <w:rPr>
          <w:rFonts w:ascii="仿宋_GB2312" w:eastAsia="仿宋_GB2312"/>
          <w:color w:val="auto"/>
          <w:sz w:val="24"/>
        </w:rPr>
      </w:pPr>
      <w:r>
        <w:rPr>
          <w:rFonts w:hint="eastAsia" w:ascii="仿宋_GB2312" w:eastAsia="仿宋_GB2312"/>
          <w:color w:val="auto"/>
          <w:sz w:val="24"/>
        </w:rPr>
        <w:t>根据合同约定，任意一方认为有权得到追加/减少付款、延长缺陷责任期和（或）延长工期的，应按以下程序向对方提出索赔：</w:t>
      </w:r>
    </w:p>
    <w:p>
      <w:pPr>
        <w:ind w:firstLine="600"/>
        <w:rPr>
          <w:rFonts w:ascii="仿宋_GB2312" w:eastAsia="仿宋_GB2312"/>
          <w:color w:val="auto"/>
          <w:sz w:val="24"/>
        </w:rPr>
      </w:pPr>
      <w:r>
        <w:rPr>
          <w:rFonts w:hint="eastAsia" w:ascii="仿宋_GB2312" w:eastAsia="仿宋_GB2312"/>
          <w:color w:val="auto"/>
          <w:sz w:val="24"/>
        </w:rPr>
        <w:t>（1） 索赔方应在知道或应当知道索赔事件发生后28天内，向对方递交索赔意向通知书，并说明发生索赔事件的事由；索赔方未在前述28天内发出索赔意向通知书的，丧失要求追加</w:t>
      </w:r>
      <w:r>
        <w:rPr>
          <w:rFonts w:ascii="仿宋_GB2312" w:eastAsia="仿宋_GB2312"/>
          <w:color w:val="auto"/>
          <w:sz w:val="24"/>
        </w:rPr>
        <w:t>/减少付款、延长缺陷责任期和（或）延长工期</w:t>
      </w:r>
      <w:r>
        <w:rPr>
          <w:rFonts w:hint="eastAsia" w:ascii="仿宋_GB2312" w:eastAsia="仿宋_GB2312"/>
          <w:color w:val="auto"/>
          <w:sz w:val="24"/>
        </w:rPr>
        <w:t>的权利；</w:t>
      </w:r>
    </w:p>
    <w:p>
      <w:pPr>
        <w:ind w:firstLine="600"/>
        <w:rPr>
          <w:rFonts w:ascii="仿宋_GB2312" w:eastAsia="仿宋_GB2312"/>
          <w:color w:val="auto"/>
          <w:sz w:val="24"/>
        </w:rPr>
      </w:pPr>
      <w:r>
        <w:rPr>
          <w:rFonts w:hint="eastAsia" w:ascii="仿宋_GB2312" w:eastAsia="仿宋_GB2312"/>
          <w:color w:val="auto"/>
          <w:sz w:val="24"/>
        </w:rPr>
        <w:t>（2） 索赔方应在发出索赔意向通知书后28天内，向对方正式递交索赔报告；索赔报告应详细说明索赔理由以及要求追加的付款金额、延长缺陷责任期和（或）延长的工期，并附必要的记录和证明材料；</w:t>
      </w:r>
    </w:p>
    <w:p>
      <w:pPr>
        <w:ind w:firstLine="600"/>
        <w:rPr>
          <w:rFonts w:ascii="仿宋_GB2312" w:eastAsia="仿宋_GB2312"/>
          <w:color w:val="auto"/>
          <w:sz w:val="24"/>
        </w:rPr>
      </w:pPr>
      <w:r>
        <w:rPr>
          <w:rFonts w:hint="eastAsia" w:ascii="仿宋_GB2312" w:eastAsia="仿宋_GB2312"/>
          <w:color w:val="auto"/>
          <w:sz w:val="24"/>
        </w:rPr>
        <w:t>（3） 索赔事件具有持续影响的，索赔方应每月递交延续索赔通知，说明持续影响的实际情况和记录，列出累计的追加付款金额、延长缺陷责任期和（或）工期延长天数；</w:t>
      </w:r>
    </w:p>
    <w:p>
      <w:pPr>
        <w:ind w:firstLine="600"/>
        <w:rPr>
          <w:rFonts w:ascii="仿宋_GB2312" w:eastAsia="仿宋_GB2312"/>
          <w:color w:val="auto"/>
          <w:sz w:val="24"/>
        </w:rPr>
      </w:pPr>
      <w:bookmarkStart w:id="1115" w:name="_Ref4796178"/>
      <w:r>
        <w:rPr>
          <w:rFonts w:hint="eastAsia" w:ascii="仿宋_GB2312" w:eastAsia="仿宋_GB2312"/>
          <w:color w:val="auto"/>
          <w:sz w:val="24"/>
        </w:rPr>
        <w:t>（4） 在索赔事件影响结束后28天内，索赔方应向对方递交最终索赔报告，说明最终要求索赔的追加付款金额、延长缺陷责任期和（或）延长的工期，并附必要的记录和证明材料。</w:t>
      </w:r>
      <w:bookmarkEnd w:id="1115"/>
    </w:p>
    <w:p>
      <w:pPr>
        <w:ind w:firstLine="600"/>
        <w:rPr>
          <w:rFonts w:ascii="仿宋_GB2312" w:eastAsia="仿宋_GB2312"/>
          <w:color w:val="auto"/>
          <w:sz w:val="24"/>
        </w:rPr>
      </w:pPr>
      <w:r>
        <w:rPr>
          <w:rFonts w:hint="eastAsia" w:ascii="仿宋_GB2312" w:eastAsia="仿宋_GB2312"/>
          <w:color w:val="auto"/>
          <w:sz w:val="24"/>
        </w:rPr>
        <w:t>（5） 承包人作为索赔方时，其索赔意向通知书、索赔报告及相关索赔文件应向工程师提出；发包人作为索赔方时，其索赔意向通知书、索赔报告及相关索赔文件可自行向承包人提出或由工程师向承包人提出。</w:t>
      </w:r>
    </w:p>
    <w:p>
      <w:pPr>
        <w:pStyle w:val="315"/>
        <w:widowControl/>
        <w:numPr>
          <w:ilvl w:val="0"/>
          <w:numId w:val="0"/>
        </w:numPr>
        <w:rPr>
          <w:b w:val="0"/>
          <w:bCs/>
          <w:color w:val="auto"/>
        </w:rPr>
      </w:pPr>
      <w:bookmarkStart w:id="1116" w:name="_Ref4796262"/>
      <w:bookmarkStart w:id="1117" w:name="_Ref4796254"/>
      <w:bookmarkStart w:id="1118" w:name="_Toc54862322"/>
      <w:r>
        <w:rPr>
          <w:rFonts w:hint="eastAsia"/>
          <w:b w:val="0"/>
          <w:bCs/>
          <w:color w:val="auto"/>
        </w:rPr>
        <w:t>1</w:t>
      </w:r>
      <w:r>
        <w:rPr>
          <w:b w:val="0"/>
          <w:bCs/>
          <w:color w:val="auto"/>
        </w:rPr>
        <w:t>9.2 承包人索赔</w:t>
      </w:r>
      <w:r>
        <w:rPr>
          <w:rFonts w:hint="eastAsia"/>
          <w:b w:val="0"/>
          <w:bCs/>
          <w:color w:val="auto"/>
        </w:rPr>
        <w:t>的处理程序</w:t>
      </w:r>
      <w:bookmarkEnd w:id="1116"/>
      <w:bookmarkEnd w:id="1117"/>
      <w:bookmarkEnd w:id="1118"/>
    </w:p>
    <w:p>
      <w:pPr>
        <w:ind w:firstLine="600"/>
        <w:rPr>
          <w:rFonts w:ascii="仿宋_GB2312" w:eastAsia="仿宋_GB2312"/>
          <w:color w:val="auto"/>
          <w:sz w:val="24"/>
        </w:rPr>
      </w:pPr>
      <w:r>
        <w:rPr>
          <w:rFonts w:hint="eastAsia" w:ascii="仿宋_GB2312" w:eastAsia="仿宋_GB2312"/>
          <w:color w:val="auto"/>
          <w:sz w:val="24"/>
        </w:rPr>
        <w:t>（1） 工程师收到承包人提交的索赔报告后，应及时审查索赔报告的内容、查验承包人的记录和证明材料，必要时工程师可要求承包人提交全部原始记录副本。</w:t>
      </w:r>
    </w:p>
    <w:p>
      <w:pPr>
        <w:ind w:firstLine="600"/>
        <w:rPr>
          <w:rFonts w:ascii="仿宋_GB2312" w:eastAsia="仿宋_GB2312"/>
          <w:color w:val="auto"/>
          <w:sz w:val="24"/>
        </w:rPr>
      </w:pPr>
      <w:r>
        <w:rPr>
          <w:rFonts w:hint="eastAsia" w:ascii="仿宋_GB2312" w:eastAsia="仿宋_GB2312"/>
          <w:color w:val="auto"/>
          <w:sz w:val="24"/>
        </w:rPr>
        <w:t>（2） 工程师应按第</w:t>
      </w:r>
      <w:r>
        <w:rPr>
          <w:rFonts w:ascii="仿宋_GB2312" w:eastAsia="仿宋_GB2312"/>
          <w:color w:val="auto"/>
          <w:sz w:val="24"/>
        </w:rPr>
        <w:t>3.6</w:t>
      </w:r>
      <w:r>
        <w:rPr>
          <w:rFonts w:hint="eastAsia" w:ascii="仿宋_GB2312" w:eastAsia="仿宋_GB2312"/>
          <w:color w:val="auto"/>
          <w:sz w:val="24"/>
        </w:rPr>
        <w:t>款[商定或确定]商定或确定追加的付款和（或）延长的工期，并在收到上述索赔报告或有关索赔的进一步证明材料后及时书面告知发包人，并在42天内，将发包人书面认可的索赔处理结果答复承包人。工程师在收到索赔报告或有关索赔的进一步证明材料后的42天内不予答复的，视为认可索赔。</w:t>
      </w:r>
    </w:p>
    <w:p>
      <w:pPr>
        <w:ind w:firstLine="600"/>
        <w:rPr>
          <w:rFonts w:ascii="仿宋_GB2312" w:eastAsia="仿宋_GB2312"/>
          <w:color w:val="auto"/>
          <w:sz w:val="24"/>
        </w:rPr>
      </w:pPr>
      <w:r>
        <w:rPr>
          <w:rFonts w:hint="eastAsia" w:ascii="仿宋_GB2312" w:eastAsia="仿宋_GB2312"/>
          <w:color w:val="auto"/>
          <w:sz w:val="24"/>
        </w:rPr>
        <w:t>（3） 承包人接受索赔处理结果的，发包人应在作出索赔处理结果答复后28天内完成支付。承包人不接受索赔处理结果的，按照第</w:t>
      </w:r>
      <w:r>
        <w:rPr>
          <w:rFonts w:ascii="仿宋_GB2312" w:eastAsia="仿宋_GB2312"/>
          <w:color w:val="auto"/>
          <w:sz w:val="24"/>
        </w:rPr>
        <w:t>20条</w:t>
      </w:r>
      <w:r>
        <w:rPr>
          <w:rFonts w:hint="eastAsia" w:ascii="仿宋_GB2312" w:eastAsia="仿宋_GB2312"/>
          <w:color w:val="auto"/>
          <w:sz w:val="24"/>
        </w:rPr>
        <w:t>[争议解决]约定处理。</w:t>
      </w:r>
    </w:p>
    <w:p>
      <w:pPr>
        <w:pStyle w:val="315"/>
        <w:widowControl/>
        <w:numPr>
          <w:ilvl w:val="0"/>
          <w:numId w:val="0"/>
        </w:numPr>
        <w:rPr>
          <w:b w:val="0"/>
          <w:bCs/>
          <w:color w:val="auto"/>
        </w:rPr>
      </w:pPr>
      <w:bookmarkStart w:id="1119" w:name="_Toc54862323"/>
      <w:r>
        <w:rPr>
          <w:rFonts w:hint="eastAsia"/>
          <w:b w:val="0"/>
          <w:bCs/>
          <w:color w:val="auto"/>
        </w:rPr>
        <w:t>1</w:t>
      </w:r>
      <w:r>
        <w:rPr>
          <w:b w:val="0"/>
          <w:bCs/>
          <w:color w:val="auto"/>
        </w:rPr>
        <w:t xml:space="preserve">9.3 </w:t>
      </w:r>
      <w:r>
        <w:rPr>
          <w:rFonts w:hint="eastAsia"/>
          <w:b w:val="0"/>
          <w:bCs/>
          <w:color w:val="auto"/>
        </w:rPr>
        <w:t>发包人索赔的处理程序</w:t>
      </w:r>
      <w:bookmarkEnd w:id="1119"/>
    </w:p>
    <w:p>
      <w:pPr>
        <w:ind w:firstLine="600"/>
        <w:rPr>
          <w:rFonts w:ascii="仿宋_GB2312" w:eastAsia="仿宋_GB2312"/>
          <w:color w:val="auto"/>
          <w:sz w:val="24"/>
        </w:rPr>
      </w:pPr>
      <w:r>
        <w:rPr>
          <w:rFonts w:hint="eastAsia" w:ascii="仿宋_GB2312" w:eastAsia="仿宋_GB2312"/>
          <w:color w:val="auto"/>
          <w:sz w:val="24"/>
        </w:rPr>
        <w:t>（1） 承包人收到发包人提交的索赔报告后，应及时审查索赔报告的内容、查验发包人证明材料；</w:t>
      </w:r>
    </w:p>
    <w:p>
      <w:pPr>
        <w:ind w:firstLine="600"/>
        <w:rPr>
          <w:rFonts w:ascii="仿宋_GB2312" w:eastAsia="仿宋_GB2312"/>
          <w:color w:val="auto"/>
          <w:sz w:val="24"/>
        </w:rPr>
      </w:pPr>
      <w:r>
        <w:rPr>
          <w:rFonts w:hint="eastAsia" w:ascii="仿宋_GB2312" w:eastAsia="仿宋_GB2312"/>
          <w:color w:val="auto"/>
          <w:sz w:val="24"/>
        </w:rPr>
        <w:t>（2） 承包人应在收到上述索赔报告或有关索赔的进一步证明材料后42天内，将索赔处理结果答复发包人。承包人在收到索赔通知书或有关索赔的进一步证明材料后的42天内不予答复的，视为认可索赔。</w:t>
      </w:r>
    </w:p>
    <w:p>
      <w:pPr>
        <w:ind w:firstLine="600"/>
        <w:rPr>
          <w:rFonts w:ascii="仿宋_GB2312" w:eastAsia="仿宋_GB2312"/>
          <w:color w:val="auto"/>
          <w:sz w:val="24"/>
        </w:rPr>
      </w:pPr>
      <w:r>
        <w:rPr>
          <w:rFonts w:hint="eastAsia" w:ascii="仿宋_GB2312" w:eastAsia="仿宋_GB2312"/>
          <w:color w:val="auto"/>
          <w:sz w:val="24"/>
        </w:rPr>
        <w:t>（3） 发包人接受索赔处理结果的，发包人可从应支付给承包人的合同价款中扣除赔付的金额或延长缺陷责任期；发包人不接受索赔处理结果的，按第</w:t>
      </w:r>
      <w:r>
        <w:rPr>
          <w:rFonts w:ascii="仿宋_GB2312" w:eastAsia="仿宋_GB2312"/>
          <w:color w:val="auto"/>
          <w:sz w:val="24"/>
        </w:rPr>
        <w:t>20条</w:t>
      </w:r>
      <w:r>
        <w:rPr>
          <w:rFonts w:hint="eastAsia" w:ascii="仿宋_GB2312" w:eastAsia="仿宋_GB2312"/>
          <w:color w:val="auto"/>
          <w:sz w:val="24"/>
        </w:rPr>
        <w:t>[争议解决]约定处理。</w:t>
      </w:r>
    </w:p>
    <w:p>
      <w:pPr>
        <w:pStyle w:val="315"/>
        <w:widowControl/>
        <w:numPr>
          <w:ilvl w:val="0"/>
          <w:numId w:val="0"/>
        </w:numPr>
        <w:rPr>
          <w:b w:val="0"/>
          <w:bCs/>
          <w:color w:val="auto"/>
        </w:rPr>
      </w:pPr>
      <w:bookmarkStart w:id="1120" w:name="_Toc54862324"/>
      <w:r>
        <w:rPr>
          <w:rFonts w:hint="eastAsia"/>
          <w:b w:val="0"/>
          <w:bCs/>
          <w:color w:val="auto"/>
        </w:rPr>
        <w:t>1</w:t>
      </w:r>
      <w:r>
        <w:rPr>
          <w:b w:val="0"/>
          <w:bCs/>
          <w:color w:val="auto"/>
        </w:rPr>
        <w:t xml:space="preserve">9.4 </w:t>
      </w:r>
      <w:r>
        <w:rPr>
          <w:rFonts w:hint="eastAsia"/>
          <w:b w:val="0"/>
          <w:bCs/>
          <w:color w:val="auto"/>
        </w:rPr>
        <w:t>提出索赔的期限</w:t>
      </w:r>
      <w:bookmarkEnd w:id="1120"/>
    </w:p>
    <w:p>
      <w:pPr>
        <w:ind w:firstLine="600"/>
        <w:rPr>
          <w:rFonts w:ascii="仿宋_GB2312" w:eastAsia="仿宋_GB2312"/>
          <w:color w:val="auto"/>
          <w:sz w:val="24"/>
        </w:rPr>
      </w:pPr>
      <w:r>
        <w:rPr>
          <w:rFonts w:hint="eastAsia" w:ascii="仿宋_GB2312" w:eastAsia="仿宋_GB2312"/>
          <w:color w:val="auto"/>
          <w:sz w:val="24"/>
        </w:rPr>
        <w:t>（1） 承包人按第</w:t>
      </w:r>
      <w:r>
        <w:rPr>
          <w:rFonts w:ascii="仿宋_GB2312" w:eastAsia="仿宋_GB2312"/>
          <w:color w:val="auto"/>
          <w:sz w:val="24"/>
        </w:rPr>
        <w:t>14.5</w:t>
      </w:r>
      <w:r>
        <w:rPr>
          <w:rFonts w:hint="eastAsia" w:ascii="仿宋_GB2312" w:eastAsia="仿宋_GB2312"/>
          <w:color w:val="auto"/>
          <w:sz w:val="24"/>
        </w:rPr>
        <w:t>款[竣工结算</w:t>
      </w:r>
      <w:bookmarkStart w:id="1121" w:name="_Ref3826629"/>
      <w:bookmarkStart w:id="1122" w:name="_Ref3826634"/>
      <w:r>
        <w:rPr>
          <w:rFonts w:hint="eastAsia" w:ascii="仿宋_GB2312" w:eastAsia="仿宋_GB2312"/>
          <w:color w:val="auto"/>
          <w:sz w:val="24"/>
        </w:rPr>
        <w:t>]约定接收竣工付款证书后，应被认为已无权再提出在合同工程接收证书颁发前所发生的任何索赔。</w:t>
      </w:r>
    </w:p>
    <w:p>
      <w:pPr>
        <w:ind w:firstLine="600"/>
        <w:rPr>
          <w:rFonts w:ascii="仿宋_GB2312" w:eastAsia="仿宋_GB2312"/>
          <w:color w:val="auto"/>
          <w:sz w:val="24"/>
        </w:rPr>
      </w:pPr>
      <w:r>
        <w:rPr>
          <w:rFonts w:hint="eastAsia" w:ascii="仿宋_GB2312" w:eastAsia="仿宋_GB2312"/>
          <w:color w:val="auto"/>
          <w:sz w:val="24"/>
        </w:rPr>
        <w:t>（2） 承包人按第</w:t>
      </w:r>
      <w:r>
        <w:rPr>
          <w:rFonts w:ascii="仿宋_GB2312" w:eastAsia="仿宋_GB2312"/>
          <w:color w:val="auto"/>
          <w:sz w:val="24"/>
        </w:rPr>
        <w:t>14.7</w:t>
      </w:r>
      <w:r>
        <w:rPr>
          <w:rFonts w:hint="eastAsia" w:ascii="仿宋_GB2312" w:eastAsia="仿宋_GB2312"/>
          <w:color w:val="auto"/>
          <w:sz w:val="24"/>
        </w:rPr>
        <w:t>款[</w:t>
      </w:r>
      <w:r>
        <w:rPr>
          <w:rFonts w:ascii="仿宋_GB2312" w:eastAsia="仿宋_GB2312"/>
          <w:color w:val="auto"/>
          <w:sz w:val="24"/>
        </w:rPr>
        <w:t>最终结清</w:t>
      </w:r>
      <w:r>
        <w:rPr>
          <w:rFonts w:hint="eastAsia" w:ascii="仿宋_GB2312" w:eastAsia="仿宋_GB2312"/>
          <w:color w:val="auto"/>
          <w:sz w:val="24"/>
        </w:rPr>
        <w:t>]提交的最终结清申请单中，只限于提出工程接收证书颁发后发生的索赔。提出索赔的期限均自接受最终结清证书时终止。</w:t>
      </w:r>
      <w:bookmarkEnd w:id="1121"/>
      <w:bookmarkEnd w:id="1122"/>
    </w:p>
    <w:p>
      <w:pPr>
        <w:pStyle w:val="164"/>
        <w:numPr>
          <w:ilvl w:val="0"/>
          <w:numId w:val="0"/>
        </w:numPr>
        <w:wordWrap/>
        <w:topLinePunct w:val="0"/>
        <w:rPr>
          <w:b w:val="0"/>
          <w:bCs/>
          <w:color w:val="auto"/>
          <w:sz w:val="24"/>
          <w:szCs w:val="24"/>
        </w:rPr>
      </w:pPr>
      <w:bookmarkStart w:id="1123" w:name="_Toc54862325"/>
      <w:bookmarkStart w:id="1124" w:name="_Ref532142075"/>
      <w:bookmarkStart w:id="1125" w:name="_Ref532197861"/>
      <w:r>
        <w:rPr>
          <w:rFonts w:hint="eastAsia"/>
          <w:b w:val="0"/>
          <w:bCs/>
          <w:color w:val="auto"/>
          <w:sz w:val="24"/>
          <w:szCs w:val="24"/>
        </w:rPr>
        <w:t>第2</w:t>
      </w:r>
      <w:r>
        <w:rPr>
          <w:b w:val="0"/>
          <w:bCs/>
          <w:color w:val="auto"/>
          <w:sz w:val="24"/>
          <w:szCs w:val="24"/>
        </w:rPr>
        <w:t>0</w:t>
      </w:r>
      <w:r>
        <w:rPr>
          <w:rFonts w:hint="eastAsia"/>
          <w:b w:val="0"/>
          <w:bCs/>
          <w:color w:val="auto"/>
          <w:sz w:val="24"/>
          <w:szCs w:val="24"/>
        </w:rPr>
        <w:t>条 争议解决</w:t>
      </w:r>
      <w:bookmarkEnd w:id="1123"/>
      <w:bookmarkEnd w:id="1124"/>
      <w:bookmarkEnd w:id="1125"/>
      <w:r>
        <w:rPr>
          <w:rFonts w:hint="eastAsia"/>
          <w:b w:val="0"/>
          <w:bCs/>
          <w:color w:val="auto"/>
          <w:sz w:val="24"/>
          <w:szCs w:val="24"/>
        </w:rPr>
        <w:t xml:space="preserve"> </w:t>
      </w:r>
    </w:p>
    <w:p>
      <w:pPr>
        <w:pStyle w:val="315"/>
        <w:widowControl/>
        <w:numPr>
          <w:ilvl w:val="0"/>
          <w:numId w:val="0"/>
        </w:numPr>
        <w:rPr>
          <w:b w:val="0"/>
          <w:bCs/>
          <w:color w:val="auto"/>
        </w:rPr>
      </w:pPr>
      <w:bookmarkStart w:id="1126" w:name="_Ref415507198"/>
      <w:bookmarkStart w:id="1127" w:name="_Toc54862326"/>
      <w:r>
        <w:rPr>
          <w:rFonts w:hint="eastAsia"/>
          <w:b w:val="0"/>
          <w:bCs/>
          <w:color w:val="auto"/>
        </w:rPr>
        <w:t>2</w:t>
      </w:r>
      <w:r>
        <w:rPr>
          <w:b w:val="0"/>
          <w:bCs/>
          <w:color w:val="auto"/>
        </w:rPr>
        <w:t xml:space="preserve">0.1 </w:t>
      </w:r>
      <w:r>
        <w:rPr>
          <w:rFonts w:hint="eastAsia"/>
          <w:b w:val="0"/>
          <w:bCs/>
          <w:color w:val="auto"/>
        </w:rPr>
        <w:t>和解</w:t>
      </w:r>
      <w:bookmarkEnd w:id="1126"/>
      <w:bookmarkEnd w:id="1127"/>
    </w:p>
    <w:p>
      <w:pPr>
        <w:ind w:firstLine="600"/>
        <w:rPr>
          <w:rFonts w:ascii="仿宋_GB2312" w:eastAsia="仿宋_GB2312"/>
          <w:color w:val="auto"/>
          <w:sz w:val="24"/>
        </w:rPr>
      </w:pPr>
      <w:r>
        <w:rPr>
          <w:rFonts w:hint="eastAsia" w:ascii="仿宋_GB2312" w:eastAsia="仿宋_GB2312"/>
          <w:color w:val="auto"/>
          <w:sz w:val="24"/>
        </w:rPr>
        <w:t>合同当事人可以就争议自行和解，自行和解达成协议的经双方签字并盖章后作为合同补充文件，双方均应遵照执行。</w:t>
      </w:r>
    </w:p>
    <w:p>
      <w:pPr>
        <w:pStyle w:val="315"/>
        <w:widowControl/>
        <w:numPr>
          <w:ilvl w:val="0"/>
          <w:numId w:val="0"/>
        </w:numPr>
        <w:rPr>
          <w:b w:val="0"/>
          <w:bCs/>
          <w:color w:val="auto"/>
        </w:rPr>
      </w:pPr>
      <w:bookmarkStart w:id="1128" w:name="_Toc54862327"/>
      <w:r>
        <w:rPr>
          <w:rFonts w:hint="eastAsia"/>
          <w:b w:val="0"/>
          <w:bCs/>
          <w:color w:val="auto"/>
        </w:rPr>
        <w:t>2</w:t>
      </w:r>
      <w:r>
        <w:rPr>
          <w:b w:val="0"/>
          <w:bCs/>
          <w:color w:val="auto"/>
        </w:rPr>
        <w:t xml:space="preserve">0.2 </w:t>
      </w:r>
      <w:r>
        <w:rPr>
          <w:rFonts w:hint="eastAsia"/>
          <w:b w:val="0"/>
          <w:bCs/>
          <w:color w:val="auto"/>
        </w:rPr>
        <w:t>调解</w:t>
      </w:r>
      <w:bookmarkEnd w:id="1128"/>
      <w:r>
        <w:rPr>
          <w:rFonts w:hint="eastAsia"/>
          <w:b w:val="0"/>
          <w:bCs/>
          <w:color w:val="auto"/>
        </w:rPr>
        <w:t xml:space="preserve"> </w:t>
      </w:r>
    </w:p>
    <w:p>
      <w:pPr>
        <w:ind w:firstLine="600"/>
        <w:rPr>
          <w:rFonts w:ascii="仿宋_GB2312" w:eastAsia="仿宋_GB2312"/>
          <w:color w:val="auto"/>
          <w:sz w:val="24"/>
        </w:rPr>
      </w:pPr>
      <w:r>
        <w:rPr>
          <w:rFonts w:hint="eastAsia" w:ascii="仿宋_GB2312" w:eastAsia="仿宋_GB2312"/>
          <w:color w:val="auto"/>
          <w:sz w:val="24"/>
        </w:rPr>
        <w:t>合同当事人可以就争议请求建设行政主管部门、行业协会或其他第三方进行调解，调解达成协议的，经双方签字盖章后作为合同补充文件，双方均应遵照执行。</w:t>
      </w:r>
    </w:p>
    <w:p>
      <w:pPr>
        <w:pStyle w:val="315"/>
        <w:widowControl/>
        <w:numPr>
          <w:ilvl w:val="0"/>
          <w:numId w:val="0"/>
        </w:numPr>
        <w:rPr>
          <w:b w:val="0"/>
          <w:bCs/>
          <w:color w:val="auto"/>
        </w:rPr>
      </w:pPr>
      <w:bookmarkStart w:id="1129" w:name="_Ref532221527"/>
      <w:bookmarkStart w:id="1130" w:name="_Ref532221532"/>
      <w:bookmarkStart w:id="1131" w:name="_Toc54862328"/>
      <w:r>
        <w:rPr>
          <w:rFonts w:hint="eastAsia"/>
          <w:b w:val="0"/>
          <w:bCs/>
          <w:color w:val="auto"/>
        </w:rPr>
        <w:t>2</w:t>
      </w:r>
      <w:r>
        <w:rPr>
          <w:b w:val="0"/>
          <w:bCs/>
          <w:color w:val="auto"/>
        </w:rPr>
        <w:t xml:space="preserve">0.3 </w:t>
      </w:r>
      <w:r>
        <w:rPr>
          <w:rFonts w:hint="eastAsia"/>
          <w:b w:val="0"/>
          <w:bCs/>
          <w:color w:val="auto"/>
        </w:rPr>
        <w:t>争议评审</w:t>
      </w:r>
      <w:bookmarkEnd w:id="1129"/>
      <w:bookmarkEnd w:id="1130"/>
      <w:bookmarkEnd w:id="1131"/>
    </w:p>
    <w:p>
      <w:pPr>
        <w:ind w:firstLine="600"/>
        <w:rPr>
          <w:rFonts w:ascii="仿宋_GB2312" w:eastAsia="仿宋_GB2312"/>
          <w:color w:val="auto"/>
          <w:sz w:val="24"/>
        </w:rPr>
      </w:pPr>
      <w:r>
        <w:rPr>
          <w:rFonts w:hint="eastAsia" w:ascii="仿宋_GB2312" w:eastAsia="仿宋_GB2312"/>
          <w:color w:val="auto"/>
          <w:sz w:val="24"/>
        </w:rPr>
        <w:t>合同当事人在专用合同条件中约定采取争议评审方式及评审规则解决争议的，按下列约定执行：</w:t>
      </w:r>
    </w:p>
    <w:p>
      <w:pPr>
        <w:pStyle w:val="88"/>
        <w:numPr>
          <w:ilvl w:val="0"/>
          <w:numId w:val="0"/>
        </w:numPr>
        <w:rPr>
          <w:rFonts w:ascii="仿宋_GB2312" w:eastAsia="仿宋_GB2312"/>
          <w:color w:val="auto"/>
          <w:szCs w:val="24"/>
        </w:rPr>
      </w:pPr>
      <w:r>
        <w:rPr>
          <w:rFonts w:hint="eastAsia" w:ascii="仿宋_GB2312" w:eastAsia="仿宋_GB2312"/>
          <w:color w:val="auto"/>
          <w:szCs w:val="24"/>
        </w:rPr>
        <w:t>2</w:t>
      </w:r>
      <w:r>
        <w:rPr>
          <w:rFonts w:ascii="仿宋_GB2312" w:eastAsia="仿宋_GB2312"/>
          <w:color w:val="auto"/>
          <w:szCs w:val="24"/>
        </w:rPr>
        <w:t xml:space="preserve">0.3.1 </w:t>
      </w:r>
      <w:r>
        <w:rPr>
          <w:rFonts w:hint="eastAsia" w:ascii="仿宋_GB2312" w:eastAsia="仿宋_GB2312"/>
          <w:color w:val="auto"/>
          <w:szCs w:val="24"/>
        </w:rPr>
        <w:t>争议评审小组的确定</w:t>
      </w:r>
    </w:p>
    <w:p>
      <w:pPr>
        <w:ind w:firstLine="600"/>
        <w:rPr>
          <w:rFonts w:ascii="仿宋_GB2312" w:eastAsia="仿宋_GB2312"/>
          <w:color w:val="auto"/>
          <w:sz w:val="24"/>
        </w:rPr>
      </w:pPr>
      <w:r>
        <w:rPr>
          <w:rFonts w:hint="eastAsia" w:ascii="仿宋_GB2312" w:eastAsia="仿宋_GB2312"/>
          <w:color w:val="auto"/>
          <w:sz w:val="24"/>
        </w:rPr>
        <w:t>合同当事人可以共同选择一名或三名争议评审员，组成争议评审小组。如专用合同条件未对成员人数进行约定，则应由三名成员组成。除专用合同条件另有约定外，合同当事人应当自合同订立后28天内，或者争议发生后14天内，选定争议评审员。</w:t>
      </w:r>
    </w:p>
    <w:p>
      <w:pPr>
        <w:ind w:firstLine="600"/>
        <w:rPr>
          <w:rFonts w:ascii="仿宋_GB2312" w:eastAsia="仿宋_GB2312"/>
          <w:color w:val="auto"/>
          <w:sz w:val="24"/>
        </w:rPr>
      </w:pPr>
      <w:r>
        <w:rPr>
          <w:rFonts w:hint="eastAsia" w:ascii="仿宋_GB2312" w:eastAsia="仿宋_GB2312"/>
          <w:color w:val="auto"/>
          <w:sz w:val="24"/>
        </w:rPr>
        <w:t>选择一名争议评审员的，由合同当事人共同确定；选择三名争议评审员的，各自选定一名，第三名成员由合同当事人共同确定或由合同当事人委托已选定的争议评审员共同确定，为首席争议评审员。争议评审员为一人且合同当事人未能达成一致的，或争议评审员为三人且合同当事人就首席争议评审员未能达成一致的，由专用合同条件约定的评审机构指定。</w:t>
      </w:r>
    </w:p>
    <w:p>
      <w:pPr>
        <w:ind w:firstLine="600"/>
        <w:rPr>
          <w:rFonts w:ascii="仿宋_GB2312" w:eastAsia="仿宋_GB2312"/>
          <w:color w:val="auto"/>
          <w:sz w:val="24"/>
        </w:rPr>
      </w:pPr>
      <w:r>
        <w:rPr>
          <w:rFonts w:hint="eastAsia" w:ascii="仿宋_GB2312" w:eastAsia="仿宋_GB2312"/>
          <w:color w:val="auto"/>
          <w:sz w:val="24"/>
        </w:rPr>
        <w:t>除专用合同条件另有约定外，争议评审员报酬由发包人和承包人各承担一半。</w:t>
      </w:r>
    </w:p>
    <w:p>
      <w:pPr>
        <w:pStyle w:val="88"/>
        <w:numPr>
          <w:ilvl w:val="0"/>
          <w:numId w:val="0"/>
        </w:numPr>
        <w:rPr>
          <w:rFonts w:ascii="仿宋_GB2312" w:eastAsia="仿宋_GB2312"/>
          <w:color w:val="auto"/>
          <w:szCs w:val="24"/>
        </w:rPr>
      </w:pPr>
      <w:bookmarkStart w:id="1132" w:name="_Ref532287270"/>
      <w:r>
        <w:rPr>
          <w:rFonts w:hint="eastAsia" w:ascii="仿宋_GB2312" w:eastAsia="仿宋_GB2312"/>
          <w:color w:val="auto"/>
          <w:szCs w:val="24"/>
        </w:rPr>
        <w:t>2</w:t>
      </w:r>
      <w:r>
        <w:rPr>
          <w:rFonts w:ascii="仿宋_GB2312" w:eastAsia="仿宋_GB2312"/>
          <w:color w:val="auto"/>
          <w:szCs w:val="24"/>
        </w:rPr>
        <w:t xml:space="preserve">0.3.2 </w:t>
      </w:r>
      <w:r>
        <w:rPr>
          <w:rFonts w:hint="eastAsia" w:ascii="仿宋_GB2312" w:eastAsia="仿宋_GB2312"/>
          <w:color w:val="auto"/>
          <w:szCs w:val="24"/>
        </w:rPr>
        <w:t>争议的避免</w:t>
      </w:r>
      <w:bookmarkEnd w:id="1132"/>
    </w:p>
    <w:p>
      <w:pPr>
        <w:ind w:firstLine="600"/>
        <w:rPr>
          <w:rFonts w:ascii="仿宋_GB2312" w:eastAsia="仿宋_GB2312"/>
          <w:color w:val="auto"/>
          <w:sz w:val="24"/>
        </w:rPr>
      </w:pPr>
      <w:r>
        <w:rPr>
          <w:rFonts w:hint="eastAsia" w:ascii="仿宋_GB2312" w:eastAsia="仿宋_GB2312"/>
          <w:color w:val="auto"/>
          <w:sz w:val="24"/>
        </w:rPr>
        <w:t>合同当事人协商一致，可以共同书面请求争议评审小组，就合同履行过程中可能出现争议的情况提供协助或进行非正式讨论，争议评审小组应给出公正的意见或建议。</w:t>
      </w:r>
    </w:p>
    <w:p>
      <w:pPr>
        <w:ind w:firstLine="600"/>
        <w:rPr>
          <w:rFonts w:ascii="仿宋_GB2312" w:eastAsia="仿宋_GB2312"/>
          <w:color w:val="auto"/>
          <w:sz w:val="24"/>
        </w:rPr>
      </w:pPr>
      <w:r>
        <w:rPr>
          <w:rFonts w:hint="eastAsia" w:ascii="仿宋_GB2312" w:eastAsia="仿宋_GB2312"/>
          <w:color w:val="auto"/>
          <w:sz w:val="24"/>
        </w:rPr>
        <w:t>此类协助或非正式讨论可在任何会议、施工现场视察或其他场合进行，并且除专用合同条件另有约定外，发包人和承包人均应出席。</w:t>
      </w:r>
    </w:p>
    <w:p>
      <w:pPr>
        <w:ind w:firstLine="600"/>
        <w:rPr>
          <w:rFonts w:ascii="仿宋_GB2312" w:eastAsia="仿宋_GB2312"/>
          <w:color w:val="auto"/>
          <w:sz w:val="24"/>
        </w:rPr>
      </w:pPr>
      <w:r>
        <w:rPr>
          <w:rFonts w:hint="eastAsia" w:ascii="仿宋_GB2312" w:eastAsia="仿宋_GB2312"/>
          <w:color w:val="auto"/>
          <w:sz w:val="24"/>
        </w:rPr>
        <w:t>争议评审小组在此类非正式讨论上给出的任何意见或建议，无论是口头还是书面的，对发包人和承包人不具有约束力，争议评审小组在之后的争议评审程序或决定中也不受此类意见或建议的约束。</w:t>
      </w:r>
    </w:p>
    <w:p>
      <w:pPr>
        <w:pStyle w:val="88"/>
        <w:numPr>
          <w:ilvl w:val="0"/>
          <w:numId w:val="0"/>
        </w:numPr>
        <w:rPr>
          <w:rFonts w:ascii="仿宋_GB2312" w:eastAsia="仿宋_GB2312"/>
          <w:color w:val="auto"/>
          <w:szCs w:val="24"/>
        </w:rPr>
      </w:pPr>
      <w:bookmarkStart w:id="1133" w:name="_Ref4695594"/>
      <w:r>
        <w:rPr>
          <w:rFonts w:hint="eastAsia" w:ascii="仿宋_GB2312" w:eastAsia="仿宋_GB2312"/>
          <w:color w:val="auto"/>
          <w:szCs w:val="24"/>
        </w:rPr>
        <w:t>2</w:t>
      </w:r>
      <w:r>
        <w:rPr>
          <w:rFonts w:ascii="仿宋_GB2312" w:eastAsia="仿宋_GB2312"/>
          <w:color w:val="auto"/>
          <w:szCs w:val="24"/>
        </w:rPr>
        <w:t xml:space="preserve">0.3.3 </w:t>
      </w:r>
      <w:r>
        <w:rPr>
          <w:rFonts w:hint="eastAsia" w:ascii="仿宋_GB2312" w:eastAsia="仿宋_GB2312"/>
          <w:color w:val="auto"/>
          <w:szCs w:val="24"/>
        </w:rPr>
        <w:t>争议评审小组的决定</w:t>
      </w:r>
      <w:bookmarkEnd w:id="1133"/>
    </w:p>
    <w:p>
      <w:pPr>
        <w:ind w:firstLine="600"/>
        <w:rPr>
          <w:rFonts w:ascii="仿宋_GB2312" w:eastAsia="仿宋_GB2312"/>
          <w:color w:val="auto"/>
          <w:sz w:val="24"/>
        </w:rPr>
      </w:pPr>
      <w:r>
        <w:rPr>
          <w:rFonts w:hint="eastAsia" w:ascii="仿宋_GB2312" w:eastAsia="仿宋_GB2312"/>
          <w:color w:val="auto"/>
          <w:sz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或争议评审小组建议并经双方同意的其他期限内作出书面决定，并说明理由。合同当事人可以在专用合同条件中对本项事项另行约定。</w:t>
      </w:r>
    </w:p>
    <w:p>
      <w:pPr>
        <w:pStyle w:val="88"/>
        <w:numPr>
          <w:ilvl w:val="0"/>
          <w:numId w:val="0"/>
        </w:numPr>
        <w:rPr>
          <w:rFonts w:ascii="仿宋_GB2312" w:eastAsia="仿宋_GB2312"/>
          <w:color w:val="auto"/>
          <w:szCs w:val="24"/>
        </w:rPr>
      </w:pPr>
      <w:r>
        <w:rPr>
          <w:rFonts w:hint="eastAsia" w:ascii="仿宋_GB2312" w:eastAsia="仿宋_GB2312"/>
          <w:color w:val="auto"/>
          <w:szCs w:val="24"/>
        </w:rPr>
        <w:t>2</w:t>
      </w:r>
      <w:r>
        <w:rPr>
          <w:rFonts w:ascii="仿宋_GB2312" w:eastAsia="仿宋_GB2312"/>
          <w:color w:val="auto"/>
          <w:szCs w:val="24"/>
        </w:rPr>
        <w:t xml:space="preserve">0.3.4 </w:t>
      </w:r>
      <w:r>
        <w:rPr>
          <w:rFonts w:hint="eastAsia" w:ascii="仿宋_GB2312" w:eastAsia="仿宋_GB2312"/>
          <w:color w:val="auto"/>
          <w:szCs w:val="24"/>
        </w:rPr>
        <w:t>争议评审小组决定的效力</w:t>
      </w:r>
    </w:p>
    <w:p>
      <w:pPr>
        <w:ind w:firstLine="600"/>
        <w:rPr>
          <w:rFonts w:ascii="仿宋_GB2312" w:eastAsia="仿宋_GB2312"/>
          <w:color w:val="auto"/>
          <w:sz w:val="24"/>
        </w:rPr>
      </w:pPr>
      <w:r>
        <w:rPr>
          <w:rFonts w:hint="eastAsia" w:ascii="仿宋_GB2312" w:eastAsia="仿宋_GB2312"/>
          <w:color w:val="auto"/>
          <w:sz w:val="24"/>
        </w:rPr>
        <w:t>争议评审小组作出的书面决定经合同当事人签字确认后，对双方具有约束力，双方应遵照执行。</w:t>
      </w:r>
    </w:p>
    <w:p>
      <w:pPr>
        <w:ind w:firstLine="600"/>
        <w:rPr>
          <w:rFonts w:ascii="仿宋_GB2312" w:eastAsia="仿宋_GB2312"/>
          <w:color w:val="auto"/>
          <w:sz w:val="24"/>
        </w:rPr>
      </w:pPr>
      <w:r>
        <w:rPr>
          <w:rFonts w:hint="eastAsia" w:ascii="仿宋_GB2312" w:eastAsia="仿宋_GB2312"/>
          <w:color w:val="auto"/>
          <w:sz w:val="24"/>
        </w:rPr>
        <w:t>任何一方当事人不接受争议评审小组决定或不履行争议评审小组决定的，双方可选择采用其他争议解决方式。</w:t>
      </w:r>
    </w:p>
    <w:p>
      <w:pPr>
        <w:ind w:firstLine="600"/>
        <w:rPr>
          <w:rFonts w:ascii="仿宋_GB2312" w:eastAsia="仿宋_GB2312"/>
          <w:color w:val="auto"/>
          <w:sz w:val="24"/>
        </w:rPr>
      </w:pPr>
      <w:r>
        <w:rPr>
          <w:rFonts w:hint="eastAsia" w:ascii="仿宋_GB2312" w:eastAsia="仿宋_GB2312"/>
          <w:color w:val="auto"/>
          <w:sz w:val="24"/>
        </w:rPr>
        <w:t>任何一方当事人不接受争议评审小组的决定，并不影响暂时执行争议评审小组的决定，直到在后续的采用其他争议解决方式中对争议评审小组的决定进行了改变。</w:t>
      </w:r>
    </w:p>
    <w:p>
      <w:pPr>
        <w:pStyle w:val="315"/>
        <w:widowControl/>
        <w:numPr>
          <w:ilvl w:val="0"/>
          <w:numId w:val="0"/>
        </w:numPr>
        <w:rPr>
          <w:b w:val="0"/>
          <w:bCs/>
          <w:color w:val="auto"/>
        </w:rPr>
      </w:pPr>
      <w:bookmarkStart w:id="1134" w:name="_Toc54862329"/>
      <w:bookmarkStart w:id="1135" w:name="_Ref532221748"/>
      <w:bookmarkStart w:id="1136" w:name="_Ref532221752"/>
      <w:r>
        <w:rPr>
          <w:rFonts w:hint="eastAsia"/>
          <w:b w:val="0"/>
          <w:bCs/>
          <w:color w:val="auto"/>
        </w:rPr>
        <w:t>2</w:t>
      </w:r>
      <w:r>
        <w:rPr>
          <w:b w:val="0"/>
          <w:bCs/>
          <w:color w:val="auto"/>
        </w:rPr>
        <w:t xml:space="preserve">0.4 </w:t>
      </w:r>
      <w:r>
        <w:rPr>
          <w:rFonts w:hint="eastAsia"/>
          <w:b w:val="0"/>
          <w:bCs/>
          <w:color w:val="auto"/>
        </w:rPr>
        <w:t>仲裁或诉讼</w:t>
      </w:r>
      <w:bookmarkEnd w:id="1134"/>
      <w:bookmarkEnd w:id="1135"/>
      <w:bookmarkEnd w:id="1136"/>
    </w:p>
    <w:p>
      <w:pPr>
        <w:ind w:firstLine="600"/>
        <w:rPr>
          <w:rFonts w:ascii="仿宋_GB2312" w:eastAsia="仿宋_GB2312"/>
          <w:color w:val="auto"/>
          <w:sz w:val="24"/>
        </w:rPr>
      </w:pPr>
      <w:r>
        <w:rPr>
          <w:rFonts w:hint="eastAsia" w:ascii="仿宋_GB2312" w:eastAsia="仿宋_GB2312"/>
          <w:color w:val="auto"/>
          <w:sz w:val="24"/>
        </w:rPr>
        <w:t>因合同及合同有关事项产生的争议，合同当事人可以在专用合同条件中约定以下一种方式解决争议：</w:t>
      </w:r>
    </w:p>
    <w:p>
      <w:pPr>
        <w:pStyle w:val="154"/>
        <w:numPr>
          <w:ilvl w:val="0"/>
          <w:numId w:val="0"/>
        </w:numPr>
        <w:ind w:left="841"/>
        <w:rPr>
          <w:rFonts w:ascii="仿宋_GB2312" w:eastAsia="仿宋_GB2312"/>
          <w:color w:val="auto"/>
          <w:szCs w:val="24"/>
        </w:rPr>
      </w:pPr>
      <w:r>
        <w:rPr>
          <w:rFonts w:hint="eastAsia" w:ascii="仿宋_GB2312" w:eastAsia="仿宋_GB2312"/>
          <w:color w:val="auto"/>
          <w:szCs w:val="24"/>
        </w:rPr>
        <w:t>（1） 向约定的仲裁委员会申请仲裁；</w:t>
      </w:r>
    </w:p>
    <w:p>
      <w:pPr>
        <w:pStyle w:val="154"/>
        <w:numPr>
          <w:ilvl w:val="0"/>
          <w:numId w:val="0"/>
        </w:numPr>
        <w:ind w:left="841"/>
        <w:rPr>
          <w:rFonts w:ascii="仿宋_GB2312" w:eastAsia="仿宋_GB2312"/>
          <w:color w:val="auto"/>
          <w:szCs w:val="24"/>
        </w:rPr>
      </w:pPr>
      <w:r>
        <w:rPr>
          <w:rFonts w:hint="eastAsia" w:ascii="仿宋_GB2312" w:eastAsia="仿宋_GB2312"/>
          <w:color w:val="auto"/>
          <w:szCs w:val="24"/>
        </w:rPr>
        <w:t>（2） 向有管辖权的人民法院起诉。</w:t>
      </w:r>
    </w:p>
    <w:p>
      <w:pPr>
        <w:pStyle w:val="315"/>
        <w:widowControl/>
        <w:numPr>
          <w:ilvl w:val="0"/>
          <w:numId w:val="0"/>
        </w:numPr>
        <w:rPr>
          <w:b w:val="0"/>
          <w:bCs/>
          <w:color w:val="auto"/>
        </w:rPr>
      </w:pPr>
      <w:bookmarkStart w:id="1137" w:name="_Toc54862330"/>
      <w:r>
        <w:rPr>
          <w:rFonts w:hint="eastAsia"/>
          <w:b w:val="0"/>
          <w:bCs/>
          <w:color w:val="auto"/>
        </w:rPr>
        <w:t>2</w:t>
      </w:r>
      <w:r>
        <w:rPr>
          <w:b w:val="0"/>
          <w:bCs/>
          <w:color w:val="auto"/>
        </w:rPr>
        <w:t xml:space="preserve">0.5 </w:t>
      </w:r>
      <w:r>
        <w:rPr>
          <w:rFonts w:hint="eastAsia"/>
          <w:b w:val="0"/>
          <w:bCs/>
          <w:color w:val="auto"/>
        </w:rPr>
        <w:t>争议解决条款效力</w:t>
      </w:r>
      <w:bookmarkEnd w:id="1137"/>
    </w:p>
    <w:p>
      <w:pPr>
        <w:ind w:firstLine="600"/>
        <w:rPr>
          <w:rFonts w:ascii="仿宋_GB2312" w:eastAsia="仿宋_GB2312"/>
          <w:color w:val="auto"/>
          <w:sz w:val="24"/>
        </w:rPr>
      </w:pPr>
      <w:r>
        <w:rPr>
          <w:rFonts w:hint="eastAsia" w:ascii="仿宋_GB2312" w:eastAsia="仿宋_GB2312"/>
          <w:color w:val="auto"/>
          <w:sz w:val="24"/>
        </w:rPr>
        <w:t>合同有关争议解决的条款独立存在，合同的不生效、无效、被撤销或者终止的，不影响合同中有关争议解决条款的效力。</w:t>
      </w:r>
    </w:p>
    <w:p>
      <w:pPr>
        <w:rPr>
          <w:color w:val="auto"/>
        </w:rPr>
      </w:pPr>
      <w:r>
        <w:rPr>
          <w:color w:val="auto"/>
        </w:rPr>
        <w:br w:type="page"/>
      </w:r>
    </w:p>
    <w:p>
      <w:pPr>
        <w:pStyle w:val="335"/>
        <w:keepNext w:val="0"/>
        <w:adjustRightInd w:val="0"/>
        <w:snapToGrid w:val="0"/>
        <w:spacing w:before="0" w:after="50" w:line="360" w:lineRule="auto"/>
        <w:jc w:val="center"/>
        <w:rPr>
          <w:rFonts w:ascii="华文中宋" w:hAnsi="华文中宋" w:eastAsia="华文中宋"/>
          <w:color w:val="auto"/>
          <w:sz w:val="44"/>
          <w:szCs w:val="52"/>
          <w:lang w:eastAsia="zh-CN"/>
        </w:rPr>
      </w:pPr>
      <w:bookmarkStart w:id="1138" w:name="_Toc54862331"/>
      <w:r>
        <w:rPr>
          <w:rFonts w:hint="eastAsia" w:ascii="华文中宋" w:hAnsi="华文中宋" w:eastAsia="华文中宋"/>
          <w:color w:val="auto"/>
          <w:sz w:val="44"/>
          <w:szCs w:val="52"/>
          <w:lang w:eastAsia="zh-CN"/>
        </w:rPr>
        <w:t>第三部分</w:t>
      </w:r>
      <w:r>
        <w:rPr>
          <w:rFonts w:ascii="华文中宋" w:hAnsi="华文中宋" w:eastAsia="华文中宋"/>
          <w:color w:val="auto"/>
          <w:sz w:val="44"/>
          <w:szCs w:val="52"/>
          <w:lang w:eastAsia="zh-CN"/>
        </w:rPr>
        <w:t xml:space="preserve"> </w:t>
      </w:r>
      <w:r>
        <w:rPr>
          <w:rFonts w:hint="eastAsia" w:ascii="华文中宋" w:hAnsi="华文中宋" w:eastAsia="华文中宋"/>
          <w:color w:val="auto"/>
          <w:sz w:val="44"/>
          <w:szCs w:val="52"/>
          <w:lang w:eastAsia="zh-CN"/>
        </w:rPr>
        <w:t>专用合同条件</w:t>
      </w:r>
      <w:bookmarkEnd w:id="1138"/>
    </w:p>
    <w:p>
      <w:pPr>
        <w:pStyle w:val="314"/>
        <w:jc w:val="center"/>
        <w:rPr>
          <w:rFonts w:ascii="黑体" w:hAnsi="黑体" w:eastAsia="黑体"/>
          <w:b w:val="0"/>
          <w:bCs/>
          <w:color w:val="auto"/>
          <w:sz w:val="32"/>
          <w:szCs w:val="21"/>
        </w:rPr>
      </w:pPr>
      <w:bookmarkStart w:id="1139" w:name="_Toc54862332"/>
      <w:r>
        <w:rPr>
          <w:rFonts w:hint="eastAsia" w:ascii="黑体" w:hAnsi="黑体" w:eastAsia="黑体"/>
          <w:b w:val="0"/>
          <w:bCs/>
          <w:color w:val="auto"/>
          <w:sz w:val="32"/>
          <w:szCs w:val="21"/>
        </w:rPr>
        <w:t>第</w:t>
      </w:r>
      <w:r>
        <w:rPr>
          <w:rFonts w:ascii="黑体" w:hAnsi="黑体" w:eastAsia="黑体"/>
          <w:b w:val="0"/>
          <w:bCs/>
          <w:color w:val="auto"/>
          <w:sz w:val="32"/>
          <w:szCs w:val="21"/>
        </w:rPr>
        <w:t>1条</w:t>
      </w:r>
      <w:r>
        <w:rPr>
          <w:rFonts w:hint="eastAsia" w:ascii="黑体" w:hAnsi="黑体" w:eastAsia="黑体"/>
          <w:b w:val="0"/>
          <w:bCs/>
          <w:color w:val="auto"/>
          <w:sz w:val="32"/>
          <w:szCs w:val="21"/>
        </w:rPr>
        <w:t xml:space="preserve"> 一般约定</w:t>
      </w:r>
      <w:bookmarkEnd w:id="1139"/>
    </w:p>
    <w:p>
      <w:pPr>
        <w:ind w:firstLine="600"/>
        <w:rPr>
          <w:rFonts w:ascii="黑体" w:hAnsi="黑体" w:eastAsia="黑体"/>
          <w:color w:val="auto"/>
          <w:sz w:val="24"/>
        </w:rPr>
      </w:pPr>
      <w:r>
        <w:rPr>
          <w:rFonts w:ascii="黑体" w:hAnsi="黑体" w:eastAsia="黑体"/>
          <w:color w:val="auto"/>
          <w:sz w:val="24"/>
        </w:rPr>
        <w:t xml:space="preserve">1.1 </w:t>
      </w:r>
      <w:r>
        <w:rPr>
          <w:rFonts w:hint="eastAsia" w:ascii="黑体" w:hAnsi="黑体" w:eastAsia="黑体"/>
          <w:color w:val="auto"/>
          <w:sz w:val="24"/>
        </w:rPr>
        <w:t>词语定义和解释</w:t>
      </w:r>
    </w:p>
    <w:p>
      <w:pPr>
        <w:ind w:firstLine="600"/>
        <w:rPr>
          <w:rFonts w:ascii="仿宋_GB2312" w:eastAsia="仿宋_GB2312"/>
          <w:color w:val="auto"/>
          <w:sz w:val="24"/>
        </w:rPr>
      </w:pPr>
      <w:r>
        <w:rPr>
          <w:rFonts w:ascii="仿宋_GB2312" w:eastAsia="仿宋_GB2312"/>
          <w:color w:val="auto"/>
          <w:sz w:val="24"/>
        </w:rPr>
        <w:t xml:space="preserve">1.1.1 </w:t>
      </w:r>
      <w:r>
        <w:rPr>
          <w:rFonts w:hint="eastAsia" w:ascii="仿宋_GB2312" w:eastAsia="仿宋_GB2312"/>
          <w:color w:val="auto"/>
          <w:sz w:val="24"/>
        </w:rPr>
        <w:t>合同</w:t>
      </w:r>
    </w:p>
    <w:p>
      <w:pPr>
        <w:ind w:firstLine="600"/>
        <w:rPr>
          <w:rFonts w:ascii="仿宋_GB2312" w:eastAsia="仿宋_GB2312"/>
          <w:color w:val="auto"/>
          <w:sz w:val="24"/>
        </w:rPr>
      </w:pPr>
      <w:r>
        <w:rPr>
          <w:rFonts w:ascii="仿宋_GB2312" w:eastAsia="仿宋_GB2312"/>
          <w:color w:val="auto"/>
          <w:sz w:val="24"/>
        </w:rPr>
        <w:t xml:space="preserve">1.1.1.10 </w:t>
      </w:r>
      <w:r>
        <w:rPr>
          <w:rFonts w:hint="eastAsia" w:ascii="仿宋_GB2312" w:eastAsia="仿宋_GB2312"/>
          <w:color w:val="auto"/>
          <w:sz w:val="24"/>
        </w:rPr>
        <w:t>其他合同文件：</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1.1.3 </w:t>
      </w:r>
      <w:r>
        <w:rPr>
          <w:rFonts w:hint="eastAsia" w:ascii="仿宋_GB2312" w:eastAsia="仿宋_GB2312"/>
          <w:color w:val="auto"/>
          <w:sz w:val="24"/>
        </w:rPr>
        <w:t>工程和设备</w:t>
      </w:r>
    </w:p>
    <w:p>
      <w:pPr>
        <w:ind w:firstLine="600"/>
        <w:rPr>
          <w:rFonts w:ascii="仿宋_GB2312" w:eastAsia="仿宋_GB2312"/>
          <w:color w:val="auto"/>
          <w:sz w:val="24"/>
        </w:rPr>
      </w:pPr>
      <w:r>
        <w:rPr>
          <w:rFonts w:ascii="仿宋_GB2312" w:eastAsia="仿宋_GB2312"/>
          <w:color w:val="auto"/>
          <w:sz w:val="24"/>
        </w:rPr>
        <w:t xml:space="preserve">1.1.3.5 </w:t>
      </w:r>
      <w:r>
        <w:rPr>
          <w:rFonts w:hint="eastAsia" w:ascii="仿宋_GB2312" w:eastAsia="仿宋_GB2312"/>
          <w:color w:val="auto"/>
          <w:sz w:val="24"/>
        </w:rPr>
        <w:t>单位/区段工程的范围：</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1.1.3.9 </w:t>
      </w:r>
      <w:r>
        <w:rPr>
          <w:rFonts w:hint="eastAsia" w:ascii="仿宋_GB2312" w:eastAsia="仿宋_GB2312"/>
          <w:color w:val="auto"/>
          <w:sz w:val="24"/>
        </w:rPr>
        <w:t>作为施工场所组成部分的其他场所包括：</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1.1.3.10 </w:t>
      </w:r>
      <w:r>
        <w:rPr>
          <w:rFonts w:hint="eastAsia" w:ascii="仿宋_GB2312" w:eastAsia="仿宋_GB2312"/>
          <w:color w:val="auto"/>
          <w:sz w:val="24"/>
        </w:rPr>
        <w:t>永久占地包括：</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1.1.3.11 </w:t>
      </w:r>
      <w:r>
        <w:rPr>
          <w:rFonts w:hint="eastAsia" w:ascii="仿宋_GB2312" w:eastAsia="仿宋_GB2312"/>
          <w:color w:val="auto"/>
          <w:sz w:val="24"/>
        </w:rPr>
        <w:t>临时占地包括：</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1.2 </w:t>
      </w:r>
      <w:r>
        <w:rPr>
          <w:rFonts w:hint="eastAsia" w:ascii="黑体" w:hAnsi="黑体" w:eastAsia="黑体"/>
          <w:color w:val="auto"/>
          <w:sz w:val="24"/>
        </w:rPr>
        <w:t>语言文字</w:t>
      </w:r>
    </w:p>
    <w:p>
      <w:pPr>
        <w:ind w:firstLine="600"/>
        <w:rPr>
          <w:rFonts w:ascii="仿宋_GB2312" w:eastAsia="仿宋_GB2312"/>
          <w:color w:val="auto"/>
          <w:sz w:val="24"/>
        </w:rPr>
      </w:pPr>
      <w:r>
        <w:rPr>
          <w:rFonts w:hint="eastAsia" w:ascii="仿宋_GB2312" w:eastAsia="仿宋_GB2312"/>
          <w:color w:val="auto"/>
          <w:sz w:val="24"/>
        </w:rPr>
        <w:t>本合同除使用汉语外，还使用</w:t>
      </w:r>
      <w:r>
        <w:rPr>
          <w:rFonts w:ascii="仿宋_GB2312" w:eastAsia="仿宋_GB2312"/>
          <w:color w:val="auto"/>
          <w:sz w:val="24"/>
          <w:u w:val="single"/>
        </w:rPr>
        <w:t xml:space="preserve">                    </w:t>
      </w:r>
      <w:r>
        <w:rPr>
          <w:rFonts w:hint="eastAsia" w:ascii="仿宋_GB2312" w:eastAsia="仿宋_GB2312"/>
          <w:color w:val="auto"/>
          <w:sz w:val="24"/>
        </w:rPr>
        <w:t>语言。</w:t>
      </w:r>
    </w:p>
    <w:p>
      <w:pPr>
        <w:ind w:firstLine="600"/>
        <w:rPr>
          <w:rFonts w:ascii="黑体" w:hAnsi="黑体" w:eastAsia="黑体"/>
          <w:color w:val="auto"/>
          <w:sz w:val="24"/>
        </w:rPr>
      </w:pPr>
      <w:r>
        <w:rPr>
          <w:rFonts w:ascii="黑体" w:hAnsi="黑体" w:eastAsia="黑体"/>
          <w:color w:val="auto"/>
          <w:sz w:val="24"/>
        </w:rPr>
        <w:t xml:space="preserve">1.3 </w:t>
      </w:r>
      <w:r>
        <w:rPr>
          <w:rFonts w:hint="eastAsia" w:ascii="黑体" w:hAnsi="黑体" w:eastAsia="黑体"/>
          <w:color w:val="auto"/>
          <w:sz w:val="24"/>
        </w:rPr>
        <w:t>法律</w:t>
      </w:r>
    </w:p>
    <w:p>
      <w:pPr>
        <w:ind w:firstLine="600"/>
        <w:rPr>
          <w:rFonts w:ascii="仿宋_GB2312" w:eastAsia="仿宋_GB2312"/>
          <w:color w:val="auto"/>
          <w:sz w:val="24"/>
        </w:rPr>
      </w:pPr>
      <w:r>
        <w:rPr>
          <w:rFonts w:hint="eastAsia" w:ascii="仿宋_GB2312" w:eastAsia="仿宋_GB2312"/>
          <w:color w:val="auto"/>
          <w:sz w:val="24"/>
        </w:rPr>
        <w:t>适用于合同的其他规范性文件：</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1.4 </w:t>
      </w:r>
      <w:r>
        <w:rPr>
          <w:rFonts w:hint="eastAsia" w:ascii="黑体" w:hAnsi="黑体" w:eastAsia="黑体"/>
          <w:color w:val="auto"/>
          <w:sz w:val="24"/>
        </w:rPr>
        <w:t>标准和规范</w:t>
      </w:r>
    </w:p>
    <w:p>
      <w:pPr>
        <w:ind w:firstLine="600"/>
        <w:rPr>
          <w:rFonts w:ascii="仿宋_GB2312" w:eastAsia="仿宋_GB2312"/>
          <w:color w:val="auto"/>
          <w:sz w:val="24"/>
        </w:rPr>
      </w:pPr>
      <w:r>
        <w:rPr>
          <w:rFonts w:ascii="仿宋_GB2312" w:eastAsia="仿宋_GB2312"/>
          <w:color w:val="auto"/>
          <w:sz w:val="24"/>
        </w:rPr>
        <w:t xml:space="preserve">1.4.1 </w:t>
      </w:r>
      <w:r>
        <w:rPr>
          <w:rFonts w:hint="eastAsia" w:ascii="仿宋_GB2312" w:eastAsia="仿宋_GB2312"/>
          <w:color w:val="auto"/>
          <w:sz w:val="24"/>
        </w:rPr>
        <w:t>适用于本合同的标准、规范（名称）包括：</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1.4.2 </w:t>
      </w:r>
      <w:r>
        <w:rPr>
          <w:rFonts w:hint="eastAsia" w:ascii="仿宋_GB2312" w:eastAsia="仿宋_GB2312"/>
          <w:color w:val="auto"/>
          <w:sz w:val="24"/>
        </w:rPr>
        <w:t>发包人提供的国外标准、规范的名称：</w:t>
      </w:r>
      <w:r>
        <w:rPr>
          <w:rFonts w:ascii="仿宋_GB2312" w:eastAsia="仿宋_GB2312"/>
          <w:color w:val="auto"/>
          <w:sz w:val="24"/>
          <w:u w:val="single"/>
        </w:rPr>
        <w:t xml:space="preserve">          </w:t>
      </w:r>
      <w:r>
        <w:rPr>
          <w:rFonts w:hint="eastAsia" w:ascii="仿宋_GB2312" w:eastAsia="仿宋_GB2312"/>
          <w:color w:val="auto"/>
          <w:sz w:val="24"/>
        </w:rPr>
        <w:t>；发包人提供的国外标准、规范的份数：</w:t>
      </w:r>
      <w:r>
        <w:rPr>
          <w:rFonts w:ascii="仿宋_GB2312" w:eastAsia="仿宋_GB2312"/>
          <w:color w:val="auto"/>
          <w:sz w:val="24"/>
          <w:u w:val="single"/>
        </w:rPr>
        <w:t xml:space="preserve">           </w:t>
      </w:r>
      <w:r>
        <w:rPr>
          <w:rFonts w:hint="eastAsia" w:ascii="仿宋_GB2312" w:eastAsia="仿宋_GB2312"/>
          <w:color w:val="auto"/>
          <w:sz w:val="24"/>
        </w:rPr>
        <w:t>；发包人提供的国外标准、规范的时间：</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1.4.3 </w:t>
      </w:r>
      <w:r>
        <w:rPr>
          <w:rFonts w:hint="eastAsia" w:ascii="仿宋_GB2312" w:eastAsia="仿宋_GB2312"/>
          <w:color w:val="auto"/>
          <w:sz w:val="24"/>
        </w:rPr>
        <w:t>没有成文规范、标准规定的约定：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1.4.4 </w:t>
      </w:r>
      <w:r>
        <w:rPr>
          <w:rFonts w:hint="eastAsia" w:ascii="仿宋_GB2312" w:eastAsia="仿宋_GB2312"/>
          <w:color w:val="auto"/>
          <w:sz w:val="24"/>
        </w:rPr>
        <w:t>发包人对于工程的技术标准、功能要求：</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1.5 </w:t>
      </w:r>
      <w:r>
        <w:rPr>
          <w:rFonts w:hint="eastAsia" w:ascii="黑体" w:hAnsi="黑体" w:eastAsia="黑体"/>
          <w:color w:val="auto"/>
          <w:sz w:val="24"/>
        </w:rPr>
        <w:t>合同文件的优先顺序</w:t>
      </w:r>
    </w:p>
    <w:p>
      <w:pPr>
        <w:ind w:firstLine="600"/>
        <w:rPr>
          <w:rFonts w:ascii="仿宋_GB2312" w:eastAsia="仿宋_GB2312"/>
          <w:color w:val="auto"/>
          <w:sz w:val="24"/>
        </w:rPr>
      </w:pPr>
      <w:r>
        <w:rPr>
          <w:rFonts w:hint="eastAsia" w:ascii="仿宋_GB2312" w:eastAsia="仿宋_GB2312"/>
          <w:color w:val="auto"/>
          <w:sz w:val="24"/>
        </w:rPr>
        <w:t>合同文件组成及优先顺序为：</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1.6 </w:t>
      </w:r>
      <w:r>
        <w:rPr>
          <w:rFonts w:hint="eastAsia" w:ascii="黑体" w:hAnsi="黑体" w:eastAsia="黑体"/>
          <w:color w:val="auto"/>
          <w:sz w:val="24"/>
        </w:rPr>
        <w:t>文件的提供和照管</w:t>
      </w:r>
    </w:p>
    <w:p>
      <w:pPr>
        <w:ind w:firstLine="600"/>
        <w:rPr>
          <w:rFonts w:ascii="仿宋_GB2312" w:eastAsia="仿宋_GB2312"/>
          <w:color w:val="auto"/>
          <w:sz w:val="24"/>
        </w:rPr>
      </w:pPr>
      <w:r>
        <w:rPr>
          <w:rFonts w:ascii="仿宋_GB2312" w:eastAsia="仿宋_GB2312"/>
          <w:color w:val="auto"/>
          <w:sz w:val="24"/>
        </w:rPr>
        <w:t xml:space="preserve">1.6.1 </w:t>
      </w:r>
      <w:r>
        <w:rPr>
          <w:rFonts w:hint="eastAsia" w:ascii="仿宋_GB2312" w:eastAsia="仿宋_GB2312"/>
          <w:color w:val="auto"/>
          <w:sz w:val="24"/>
        </w:rPr>
        <w:t>发包人文件的提供</w:t>
      </w:r>
    </w:p>
    <w:p>
      <w:pPr>
        <w:ind w:firstLine="600"/>
        <w:rPr>
          <w:rFonts w:ascii="仿宋_GB2312" w:eastAsia="仿宋_GB2312"/>
          <w:color w:val="auto"/>
          <w:sz w:val="24"/>
        </w:rPr>
      </w:pPr>
      <w:r>
        <w:rPr>
          <w:rFonts w:hint="eastAsia" w:ascii="仿宋_GB2312" w:eastAsia="仿宋_GB2312"/>
          <w:color w:val="auto"/>
          <w:sz w:val="24"/>
        </w:rPr>
        <w:t>发包人文件的提供期限、名称、数量和形式：</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1.6.2 </w:t>
      </w:r>
      <w:r>
        <w:rPr>
          <w:rFonts w:hint="eastAsia" w:ascii="仿宋_GB2312" w:eastAsia="仿宋_GB2312"/>
          <w:color w:val="auto"/>
          <w:sz w:val="24"/>
        </w:rPr>
        <w:t>承包人文件的提供</w:t>
      </w:r>
    </w:p>
    <w:p>
      <w:pPr>
        <w:ind w:firstLine="600"/>
        <w:rPr>
          <w:rFonts w:ascii="仿宋_GB2312" w:eastAsia="仿宋_GB2312"/>
          <w:color w:val="auto"/>
          <w:sz w:val="24"/>
        </w:rPr>
      </w:pPr>
      <w:r>
        <w:rPr>
          <w:rFonts w:hint="eastAsia" w:ascii="仿宋_GB2312" w:eastAsia="仿宋_GB2312"/>
          <w:color w:val="auto"/>
          <w:sz w:val="24"/>
        </w:rPr>
        <w:t>承包人文件的内容、提供期限、名称、数量和形式：</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1.6.4 </w:t>
      </w:r>
      <w:r>
        <w:rPr>
          <w:rFonts w:hint="eastAsia" w:ascii="仿宋_GB2312" w:eastAsia="仿宋_GB2312"/>
          <w:color w:val="auto"/>
          <w:sz w:val="24"/>
        </w:rPr>
        <w:t>文件的照管</w:t>
      </w:r>
    </w:p>
    <w:p>
      <w:pPr>
        <w:ind w:firstLine="600"/>
        <w:rPr>
          <w:rFonts w:ascii="仿宋_GB2312" w:eastAsia="仿宋_GB2312"/>
          <w:color w:val="auto"/>
          <w:sz w:val="24"/>
        </w:rPr>
      </w:pPr>
      <w:r>
        <w:rPr>
          <w:rFonts w:hint="eastAsia" w:ascii="仿宋_GB2312" w:eastAsia="仿宋_GB2312"/>
          <w:color w:val="auto"/>
          <w:sz w:val="24"/>
        </w:rPr>
        <w:t>关于现场文件准备的约定：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1.7 </w:t>
      </w:r>
      <w:r>
        <w:rPr>
          <w:rFonts w:hint="eastAsia" w:ascii="黑体" w:hAnsi="黑体" w:eastAsia="黑体"/>
          <w:color w:val="auto"/>
          <w:sz w:val="24"/>
        </w:rPr>
        <w:t>联络</w:t>
      </w:r>
    </w:p>
    <w:p>
      <w:pPr>
        <w:ind w:firstLine="600"/>
        <w:rPr>
          <w:rFonts w:ascii="仿宋_GB2312" w:eastAsia="仿宋_GB2312"/>
          <w:color w:val="auto"/>
          <w:sz w:val="24"/>
        </w:rPr>
      </w:pPr>
      <w:r>
        <w:rPr>
          <w:rFonts w:ascii="仿宋_GB2312" w:eastAsia="仿宋_GB2312"/>
          <w:color w:val="auto"/>
          <w:sz w:val="24"/>
        </w:rPr>
        <w:t xml:space="preserve">1.7.2 </w:t>
      </w:r>
      <w:r>
        <w:rPr>
          <w:rFonts w:hint="eastAsia" w:ascii="仿宋_GB2312" w:eastAsia="仿宋_GB2312"/>
          <w:color w:val="auto"/>
          <w:sz w:val="24"/>
        </w:rPr>
        <w:t>发包人指定的送达方式（包括电子传输方式）：</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发包人的送达地址：</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 xml:space="preserve">承包人指定的送达方式（包括电子传输方式）： </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承包人的送达地址：</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1.10 </w:t>
      </w:r>
      <w:r>
        <w:rPr>
          <w:rFonts w:hint="eastAsia" w:ascii="黑体" w:hAnsi="黑体" w:eastAsia="黑体"/>
          <w:color w:val="auto"/>
          <w:sz w:val="24"/>
        </w:rPr>
        <w:t>知识产权</w:t>
      </w:r>
    </w:p>
    <w:p>
      <w:pPr>
        <w:ind w:firstLine="600"/>
        <w:rPr>
          <w:rFonts w:ascii="仿宋_GB2312" w:eastAsia="仿宋_GB2312"/>
          <w:color w:val="auto"/>
          <w:sz w:val="24"/>
        </w:rPr>
      </w:pPr>
      <w:r>
        <w:rPr>
          <w:rFonts w:ascii="仿宋_GB2312" w:eastAsia="仿宋_GB2312"/>
          <w:color w:val="auto"/>
          <w:sz w:val="24"/>
        </w:rPr>
        <w:t xml:space="preserve">1.10.1 </w:t>
      </w:r>
      <w:r>
        <w:rPr>
          <w:rFonts w:hint="eastAsia" w:ascii="仿宋_GB2312" w:eastAsia="仿宋_GB2312"/>
          <w:color w:val="auto"/>
          <w:sz w:val="24"/>
        </w:rPr>
        <w:t>由发包人（或以发包人名义）编制的《发包人要求》和其他文件的著作权归属：</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1.10.2 </w:t>
      </w:r>
      <w:r>
        <w:rPr>
          <w:rFonts w:hint="eastAsia" w:ascii="仿宋_GB2312" w:eastAsia="仿宋_GB2312"/>
          <w:color w:val="auto"/>
          <w:sz w:val="24"/>
        </w:rPr>
        <w:t>由承包人（或以承包人名义）为实施工程所编制的文件、承包人完成的设计工作成果和建造完成的建筑物的知识产权归属：</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1.10.4 </w:t>
      </w:r>
      <w:r>
        <w:rPr>
          <w:rFonts w:hint="eastAsia" w:ascii="仿宋_GB2312" w:eastAsia="仿宋_GB2312"/>
          <w:color w:val="auto"/>
          <w:sz w:val="24"/>
        </w:rPr>
        <w:t>承包人在投标文件中采用的专利、专有技术、技术秘密的使用费的承担方式</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1.11 </w:t>
      </w:r>
      <w:r>
        <w:rPr>
          <w:rFonts w:hint="eastAsia" w:ascii="黑体" w:hAnsi="黑体" w:eastAsia="黑体"/>
          <w:color w:val="auto"/>
          <w:sz w:val="24"/>
        </w:rPr>
        <w:t>保密</w:t>
      </w:r>
    </w:p>
    <w:p>
      <w:pPr>
        <w:ind w:firstLine="600"/>
        <w:rPr>
          <w:rFonts w:ascii="仿宋_GB2312" w:eastAsia="仿宋_GB2312"/>
          <w:color w:val="auto"/>
          <w:sz w:val="24"/>
        </w:rPr>
      </w:pPr>
      <w:r>
        <w:rPr>
          <w:rFonts w:hint="eastAsia" w:ascii="仿宋_GB2312" w:eastAsia="仿宋_GB2312"/>
          <w:color w:val="auto"/>
          <w:sz w:val="24"/>
        </w:rPr>
        <w:t>双方订立的商业保密协议（名称）：</w:t>
      </w:r>
      <w:r>
        <w:rPr>
          <w:rFonts w:ascii="仿宋_GB2312" w:eastAsia="仿宋_GB2312"/>
          <w:color w:val="auto"/>
          <w:sz w:val="24"/>
          <w:u w:val="single"/>
        </w:rPr>
        <w:t xml:space="preserve">              </w:t>
      </w:r>
      <w:r>
        <w:rPr>
          <w:rFonts w:hint="eastAsia" w:ascii="仿宋_GB2312" w:eastAsia="仿宋_GB2312"/>
          <w:color w:val="auto"/>
          <w:sz w:val="24"/>
        </w:rPr>
        <w:t>，作为本合同附件。</w:t>
      </w:r>
    </w:p>
    <w:p>
      <w:pPr>
        <w:ind w:firstLine="600"/>
        <w:rPr>
          <w:rFonts w:ascii="仿宋_GB2312" w:eastAsia="仿宋_GB2312"/>
          <w:color w:val="auto"/>
          <w:sz w:val="24"/>
        </w:rPr>
      </w:pPr>
      <w:r>
        <w:rPr>
          <w:rFonts w:hint="eastAsia" w:ascii="仿宋_GB2312" w:eastAsia="仿宋_GB2312"/>
          <w:color w:val="auto"/>
          <w:sz w:val="24"/>
        </w:rPr>
        <w:t>双方订立的技术保密协议（名称）：</w:t>
      </w:r>
      <w:r>
        <w:rPr>
          <w:rFonts w:ascii="仿宋_GB2312" w:eastAsia="仿宋_GB2312"/>
          <w:color w:val="auto"/>
          <w:sz w:val="24"/>
          <w:u w:val="single"/>
        </w:rPr>
        <w:t xml:space="preserve">             </w:t>
      </w:r>
      <w:r>
        <w:rPr>
          <w:rFonts w:hint="eastAsia" w:ascii="仿宋_GB2312" w:eastAsia="仿宋_GB2312"/>
          <w:color w:val="auto"/>
          <w:sz w:val="24"/>
        </w:rPr>
        <w:t>，作为本合同附件。</w:t>
      </w:r>
    </w:p>
    <w:p>
      <w:pPr>
        <w:ind w:firstLine="600"/>
        <w:rPr>
          <w:rFonts w:ascii="黑体" w:hAnsi="黑体" w:eastAsia="黑体"/>
          <w:color w:val="auto"/>
          <w:sz w:val="24"/>
        </w:rPr>
      </w:pPr>
      <w:r>
        <w:rPr>
          <w:rFonts w:ascii="黑体" w:hAnsi="黑体" w:eastAsia="黑体"/>
          <w:color w:val="auto"/>
          <w:sz w:val="24"/>
        </w:rPr>
        <w:t xml:space="preserve">1.13 </w:t>
      </w:r>
      <w:r>
        <w:rPr>
          <w:rFonts w:hint="eastAsia" w:ascii="黑体" w:hAnsi="黑体" w:eastAsia="黑体"/>
          <w:color w:val="auto"/>
          <w:sz w:val="24"/>
        </w:rPr>
        <w:t>责任限制</w:t>
      </w:r>
    </w:p>
    <w:p>
      <w:pPr>
        <w:ind w:firstLine="600"/>
        <w:rPr>
          <w:rFonts w:ascii="仿宋_GB2312" w:eastAsia="仿宋_GB2312"/>
          <w:color w:val="auto"/>
          <w:sz w:val="24"/>
        </w:rPr>
      </w:pPr>
      <w:r>
        <w:rPr>
          <w:rFonts w:hint="eastAsia" w:ascii="仿宋_GB2312" w:eastAsia="仿宋_GB2312"/>
          <w:color w:val="auto"/>
          <w:sz w:val="24"/>
        </w:rPr>
        <w:t>承包人对发包人赔偿责任的最高限额为</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1.14 </w:t>
      </w:r>
      <w:r>
        <w:rPr>
          <w:rFonts w:hint="eastAsia" w:ascii="黑体" w:hAnsi="黑体" w:eastAsia="黑体"/>
          <w:color w:val="auto"/>
          <w:sz w:val="24"/>
        </w:rPr>
        <w:t>建筑信息模型技术的应用</w:t>
      </w:r>
    </w:p>
    <w:p>
      <w:pPr>
        <w:ind w:firstLine="600"/>
        <w:rPr>
          <w:rFonts w:ascii="仿宋_GB2312" w:eastAsia="仿宋_GB2312"/>
          <w:color w:val="auto"/>
          <w:sz w:val="24"/>
        </w:rPr>
      </w:pPr>
      <w:r>
        <w:rPr>
          <w:rFonts w:hint="eastAsia" w:ascii="仿宋_GB2312" w:eastAsia="仿宋_GB2312"/>
          <w:color w:val="auto"/>
          <w:sz w:val="24"/>
        </w:rPr>
        <w:t>关于建筑信息模型技术的开发、使用、存储、传输、交付及费用约定如下：</w:t>
      </w:r>
      <w:r>
        <w:rPr>
          <w:rFonts w:ascii="仿宋_GB2312" w:eastAsia="仿宋_GB2312"/>
          <w:color w:val="auto"/>
          <w:sz w:val="24"/>
          <w:u w:val="single"/>
        </w:rPr>
        <w:t xml:space="preserve">                                        </w:t>
      </w:r>
      <w:r>
        <w:rPr>
          <w:rFonts w:hint="eastAsia" w:ascii="仿宋_GB2312" w:eastAsia="仿宋_GB2312"/>
          <w:color w:val="auto"/>
          <w:sz w:val="24"/>
        </w:rPr>
        <w:t>。</w:t>
      </w:r>
    </w:p>
    <w:p>
      <w:pPr>
        <w:pStyle w:val="314"/>
        <w:rPr>
          <w:rFonts w:ascii="黑体" w:hAnsi="黑体" w:eastAsia="黑体"/>
          <w:b w:val="0"/>
          <w:bCs/>
          <w:color w:val="auto"/>
          <w:sz w:val="24"/>
          <w:szCs w:val="24"/>
        </w:rPr>
      </w:pPr>
      <w:bookmarkStart w:id="1140" w:name="_Toc54862333"/>
      <w:r>
        <w:rPr>
          <w:rFonts w:hint="eastAsia" w:ascii="黑体" w:hAnsi="黑体" w:eastAsia="黑体"/>
          <w:b w:val="0"/>
          <w:bCs/>
          <w:color w:val="auto"/>
          <w:sz w:val="24"/>
          <w:szCs w:val="24"/>
        </w:rPr>
        <w:t>第</w:t>
      </w:r>
      <w:r>
        <w:rPr>
          <w:rFonts w:ascii="黑体" w:hAnsi="黑体" w:eastAsia="黑体"/>
          <w:b w:val="0"/>
          <w:bCs/>
          <w:color w:val="auto"/>
          <w:sz w:val="24"/>
          <w:szCs w:val="24"/>
        </w:rPr>
        <w:t>2条</w:t>
      </w:r>
      <w:r>
        <w:rPr>
          <w:rFonts w:hint="eastAsia" w:ascii="黑体" w:hAnsi="黑体" w:eastAsia="黑体"/>
          <w:b w:val="0"/>
          <w:bCs/>
          <w:color w:val="auto"/>
          <w:sz w:val="24"/>
          <w:szCs w:val="24"/>
        </w:rPr>
        <w:t xml:space="preserve"> 发包人</w:t>
      </w:r>
      <w:bookmarkEnd w:id="1140"/>
    </w:p>
    <w:p>
      <w:pPr>
        <w:ind w:firstLine="600"/>
        <w:rPr>
          <w:rFonts w:ascii="黑体" w:hAnsi="黑体" w:eastAsia="黑体"/>
          <w:color w:val="auto"/>
          <w:sz w:val="24"/>
        </w:rPr>
      </w:pPr>
      <w:r>
        <w:rPr>
          <w:rFonts w:ascii="黑体" w:hAnsi="黑体" w:eastAsia="黑体"/>
          <w:color w:val="auto"/>
          <w:sz w:val="24"/>
        </w:rPr>
        <w:t xml:space="preserve">2.2 </w:t>
      </w:r>
      <w:r>
        <w:rPr>
          <w:rFonts w:hint="eastAsia" w:ascii="黑体" w:hAnsi="黑体" w:eastAsia="黑体"/>
          <w:color w:val="auto"/>
          <w:sz w:val="24"/>
        </w:rPr>
        <w:t>提供施工现场和工作条件</w:t>
      </w:r>
    </w:p>
    <w:p>
      <w:pPr>
        <w:ind w:firstLine="600"/>
        <w:rPr>
          <w:rFonts w:ascii="仿宋_GB2312" w:eastAsia="仿宋_GB2312"/>
          <w:color w:val="auto"/>
          <w:sz w:val="24"/>
        </w:rPr>
      </w:pPr>
      <w:r>
        <w:rPr>
          <w:rFonts w:ascii="仿宋_GB2312" w:eastAsia="仿宋_GB2312"/>
          <w:color w:val="auto"/>
          <w:sz w:val="24"/>
        </w:rPr>
        <w:t xml:space="preserve">2.2.1 </w:t>
      </w:r>
      <w:r>
        <w:rPr>
          <w:rFonts w:hint="eastAsia" w:ascii="仿宋_GB2312" w:eastAsia="仿宋_GB2312"/>
          <w:color w:val="auto"/>
          <w:sz w:val="24"/>
        </w:rPr>
        <w:t>提供施工现场</w:t>
      </w:r>
    </w:p>
    <w:p>
      <w:pPr>
        <w:ind w:firstLine="600"/>
        <w:rPr>
          <w:rFonts w:ascii="仿宋_GB2312" w:eastAsia="仿宋_GB2312"/>
          <w:color w:val="auto"/>
          <w:sz w:val="24"/>
        </w:rPr>
      </w:pPr>
      <w:r>
        <w:rPr>
          <w:rFonts w:hint="eastAsia" w:ascii="仿宋_GB2312" w:eastAsia="仿宋_GB2312"/>
          <w:color w:val="auto"/>
          <w:sz w:val="24"/>
        </w:rPr>
        <w:t>关于发包人提供施工现场的范围和期限：</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2.2.2 </w:t>
      </w:r>
      <w:r>
        <w:rPr>
          <w:rFonts w:hint="eastAsia" w:ascii="仿宋_GB2312" w:eastAsia="仿宋_GB2312"/>
          <w:color w:val="auto"/>
          <w:sz w:val="24"/>
        </w:rPr>
        <w:t>提供工作条件</w:t>
      </w:r>
    </w:p>
    <w:p>
      <w:pPr>
        <w:ind w:firstLine="600"/>
        <w:rPr>
          <w:rFonts w:ascii="仿宋_GB2312" w:eastAsia="仿宋_GB2312"/>
          <w:color w:val="auto"/>
          <w:sz w:val="24"/>
        </w:rPr>
      </w:pPr>
      <w:r>
        <w:rPr>
          <w:rFonts w:hint="eastAsia" w:ascii="仿宋_GB2312" w:eastAsia="仿宋_GB2312"/>
          <w:color w:val="auto"/>
          <w:sz w:val="24"/>
        </w:rPr>
        <w:t>关于发包人应负责提供的工作条件包括：</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2.3 </w:t>
      </w:r>
      <w:r>
        <w:rPr>
          <w:rFonts w:hint="eastAsia" w:ascii="黑体" w:hAnsi="黑体" w:eastAsia="黑体"/>
          <w:color w:val="auto"/>
          <w:sz w:val="24"/>
        </w:rPr>
        <w:t>提供基础资料</w:t>
      </w:r>
    </w:p>
    <w:p>
      <w:pPr>
        <w:ind w:firstLine="600"/>
        <w:rPr>
          <w:rFonts w:ascii="仿宋_GB2312" w:eastAsia="仿宋_GB2312"/>
          <w:color w:val="auto"/>
          <w:sz w:val="24"/>
        </w:rPr>
      </w:pPr>
      <w:r>
        <w:rPr>
          <w:rFonts w:hint="eastAsia" w:ascii="仿宋_GB2312" w:eastAsia="仿宋_GB2312"/>
          <w:color w:val="auto"/>
          <w:sz w:val="24"/>
        </w:rPr>
        <w:t>关于发包人应提供的基础资料的范围和期限：</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2.5 </w:t>
      </w:r>
      <w:r>
        <w:rPr>
          <w:rFonts w:hint="eastAsia" w:ascii="黑体" w:hAnsi="黑体" w:eastAsia="黑体"/>
          <w:color w:val="auto"/>
          <w:sz w:val="24"/>
        </w:rPr>
        <w:t>支付合同价款</w:t>
      </w:r>
    </w:p>
    <w:p>
      <w:pPr>
        <w:ind w:firstLine="600"/>
        <w:rPr>
          <w:rFonts w:ascii="仿宋_GB2312" w:eastAsia="仿宋_GB2312"/>
          <w:color w:val="auto"/>
          <w:sz w:val="24"/>
        </w:rPr>
      </w:pPr>
      <w:r>
        <w:rPr>
          <w:rFonts w:ascii="仿宋_GB2312" w:eastAsia="仿宋_GB2312"/>
          <w:color w:val="auto"/>
          <w:sz w:val="24"/>
        </w:rPr>
        <w:t xml:space="preserve">2.5.2 </w:t>
      </w:r>
      <w:r>
        <w:rPr>
          <w:rFonts w:hint="eastAsia" w:ascii="仿宋_GB2312" w:eastAsia="仿宋_GB2312"/>
          <w:color w:val="auto"/>
          <w:sz w:val="24"/>
        </w:rPr>
        <w:t>发包人提供资金来源证明及资金安排的期限要求：</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2.5.3 </w:t>
      </w:r>
      <w:r>
        <w:rPr>
          <w:rFonts w:hint="eastAsia" w:ascii="仿宋_GB2312" w:eastAsia="仿宋_GB2312"/>
          <w:color w:val="auto"/>
          <w:sz w:val="24"/>
        </w:rPr>
        <w:t>发包人提供支付担保的形式、期限、金额（或比例）：</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2.7 </w:t>
      </w:r>
      <w:r>
        <w:rPr>
          <w:rFonts w:hint="eastAsia" w:ascii="黑体" w:hAnsi="黑体" w:eastAsia="黑体"/>
          <w:color w:val="auto"/>
          <w:sz w:val="24"/>
        </w:rPr>
        <w:t>其他义务</w:t>
      </w:r>
    </w:p>
    <w:p>
      <w:pPr>
        <w:ind w:firstLine="600"/>
        <w:rPr>
          <w:rFonts w:ascii="仿宋_GB2312" w:eastAsia="仿宋_GB2312"/>
          <w:color w:val="auto"/>
          <w:sz w:val="24"/>
        </w:rPr>
      </w:pPr>
      <w:r>
        <w:rPr>
          <w:rFonts w:hint="eastAsia" w:ascii="仿宋_GB2312" w:eastAsia="仿宋_GB2312"/>
          <w:color w:val="auto"/>
          <w:sz w:val="24"/>
        </w:rPr>
        <w:t>发包人应履行的其他义务：</w:t>
      </w:r>
      <w:r>
        <w:rPr>
          <w:rFonts w:ascii="仿宋_GB2312" w:eastAsia="仿宋_GB2312"/>
          <w:color w:val="auto"/>
          <w:sz w:val="24"/>
          <w:u w:val="single"/>
        </w:rPr>
        <w:t xml:space="preserve">                           </w:t>
      </w:r>
      <w:r>
        <w:rPr>
          <w:rFonts w:hint="eastAsia" w:ascii="仿宋_GB2312" w:eastAsia="仿宋_GB2312"/>
          <w:color w:val="auto"/>
          <w:sz w:val="24"/>
        </w:rPr>
        <w:t>。</w:t>
      </w:r>
    </w:p>
    <w:p>
      <w:pPr>
        <w:pStyle w:val="314"/>
        <w:rPr>
          <w:rFonts w:ascii="黑体" w:hAnsi="黑体" w:eastAsia="黑体"/>
          <w:b w:val="0"/>
          <w:bCs/>
          <w:color w:val="auto"/>
          <w:sz w:val="24"/>
          <w:szCs w:val="24"/>
        </w:rPr>
      </w:pPr>
      <w:bookmarkStart w:id="1141" w:name="_Toc54862334"/>
      <w:r>
        <w:rPr>
          <w:rFonts w:hint="eastAsia" w:ascii="黑体" w:hAnsi="黑体" w:eastAsia="黑体"/>
          <w:b w:val="0"/>
          <w:bCs/>
          <w:color w:val="auto"/>
          <w:sz w:val="24"/>
          <w:szCs w:val="24"/>
        </w:rPr>
        <w:t>第</w:t>
      </w:r>
      <w:r>
        <w:rPr>
          <w:rFonts w:ascii="黑体" w:hAnsi="黑体" w:eastAsia="黑体"/>
          <w:b w:val="0"/>
          <w:bCs/>
          <w:color w:val="auto"/>
          <w:sz w:val="24"/>
          <w:szCs w:val="24"/>
        </w:rPr>
        <w:t>3条</w:t>
      </w:r>
      <w:r>
        <w:rPr>
          <w:rFonts w:hint="eastAsia" w:ascii="黑体" w:hAnsi="黑体" w:eastAsia="黑体"/>
          <w:b w:val="0"/>
          <w:bCs/>
          <w:color w:val="auto"/>
          <w:sz w:val="24"/>
          <w:szCs w:val="24"/>
        </w:rPr>
        <w:t xml:space="preserve"> 发包人的管理</w:t>
      </w:r>
      <w:bookmarkEnd w:id="1141"/>
    </w:p>
    <w:p>
      <w:pPr>
        <w:ind w:firstLine="640"/>
        <w:rPr>
          <w:rFonts w:ascii="黑体" w:hAnsi="黑体" w:eastAsia="黑体"/>
          <w:color w:val="auto"/>
          <w:sz w:val="24"/>
        </w:rPr>
      </w:pPr>
      <w:r>
        <w:rPr>
          <w:rFonts w:ascii="黑体" w:hAnsi="黑体" w:eastAsia="黑体"/>
          <w:color w:val="auto"/>
          <w:sz w:val="24"/>
        </w:rPr>
        <w:t xml:space="preserve">3.1 </w:t>
      </w:r>
      <w:r>
        <w:rPr>
          <w:rFonts w:hint="eastAsia" w:ascii="黑体" w:hAnsi="黑体" w:eastAsia="黑体"/>
          <w:color w:val="auto"/>
          <w:sz w:val="24"/>
        </w:rPr>
        <w:t>发包人代表</w:t>
      </w:r>
    </w:p>
    <w:p>
      <w:pPr>
        <w:ind w:firstLine="600"/>
        <w:rPr>
          <w:rFonts w:ascii="仿宋_GB2312" w:eastAsia="仿宋_GB2312"/>
          <w:color w:val="auto"/>
          <w:sz w:val="24"/>
        </w:rPr>
      </w:pPr>
      <w:r>
        <w:rPr>
          <w:rFonts w:hint="eastAsia" w:ascii="仿宋_GB2312" w:eastAsia="仿宋_GB2312"/>
          <w:color w:val="auto"/>
          <w:sz w:val="24"/>
        </w:rPr>
        <w:t>发包人代表的姓名：</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发包人代表的身份证号：</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发包人代表的职务：</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发包人代表的联系电话：</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发包人代表的电子邮箱：</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发包人代表的通信地址：</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发包人对发包人代表的授权范围如下：</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发包人代表的职责：</w:t>
      </w:r>
      <w:r>
        <w:rPr>
          <w:rFonts w:ascii="仿宋_GB2312" w:eastAsia="仿宋_GB2312"/>
          <w:color w:val="auto"/>
          <w:sz w:val="24"/>
          <w:u w:val="single"/>
        </w:rPr>
        <w:t xml:space="preserve">                                </w:t>
      </w:r>
      <w:r>
        <w:rPr>
          <w:rFonts w:hint="eastAsia" w:ascii="仿宋_GB2312" w:eastAsia="仿宋_GB2312"/>
          <w:color w:val="auto"/>
          <w:sz w:val="24"/>
        </w:rPr>
        <w:t>。</w:t>
      </w:r>
    </w:p>
    <w:p>
      <w:pPr>
        <w:ind w:firstLine="640"/>
        <w:rPr>
          <w:rFonts w:ascii="黑体" w:hAnsi="黑体" w:eastAsia="黑体"/>
          <w:color w:val="auto"/>
          <w:sz w:val="24"/>
        </w:rPr>
      </w:pPr>
      <w:r>
        <w:rPr>
          <w:rFonts w:ascii="黑体" w:hAnsi="黑体" w:eastAsia="黑体"/>
          <w:color w:val="auto"/>
          <w:sz w:val="24"/>
        </w:rPr>
        <w:t xml:space="preserve">3.2 </w:t>
      </w:r>
      <w:r>
        <w:rPr>
          <w:rFonts w:hint="eastAsia" w:ascii="黑体" w:hAnsi="黑体" w:eastAsia="黑体"/>
          <w:color w:val="auto"/>
          <w:sz w:val="24"/>
        </w:rPr>
        <w:t>发包人人员</w:t>
      </w:r>
    </w:p>
    <w:p>
      <w:pPr>
        <w:ind w:firstLine="600"/>
        <w:rPr>
          <w:rFonts w:ascii="仿宋_GB2312" w:eastAsia="仿宋_GB2312"/>
          <w:color w:val="auto"/>
          <w:sz w:val="24"/>
        </w:rPr>
      </w:pPr>
      <w:r>
        <w:rPr>
          <w:rFonts w:ascii="仿宋_GB2312" w:eastAsia="仿宋_GB2312"/>
          <w:color w:val="auto"/>
          <w:sz w:val="24"/>
        </w:rPr>
        <w:t>发包人人员姓名：</w:t>
      </w:r>
      <w:r>
        <w:rPr>
          <w:rFonts w:ascii="仿宋_GB2312" w:eastAsia="仿宋_GB2312"/>
          <w:color w:val="auto"/>
          <w:sz w:val="24"/>
          <w:u w:val="single"/>
        </w:rPr>
        <w:t xml:space="preserve">                                   </w:t>
      </w:r>
      <w:r>
        <w:rPr>
          <w:rFonts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发包人人员职务：</w:t>
      </w:r>
      <w:r>
        <w:rPr>
          <w:rFonts w:ascii="仿宋_GB2312" w:eastAsia="仿宋_GB2312"/>
          <w:color w:val="auto"/>
          <w:sz w:val="24"/>
          <w:u w:val="single"/>
        </w:rPr>
        <w:t xml:space="preserve">                                  </w:t>
      </w:r>
      <w:r>
        <w:rPr>
          <w:rFonts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发包人人员职责：</w:t>
      </w:r>
      <w:r>
        <w:rPr>
          <w:rFonts w:ascii="仿宋_GB2312" w:eastAsia="仿宋_GB2312"/>
          <w:color w:val="auto"/>
          <w:sz w:val="24"/>
          <w:u w:val="single"/>
        </w:rPr>
        <w:t xml:space="preserve">                                  </w:t>
      </w:r>
      <w:r>
        <w:rPr>
          <w:rFonts w:hint="eastAsia" w:ascii="仿宋_GB2312" w:eastAsia="仿宋_GB2312"/>
          <w:color w:val="auto"/>
          <w:sz w:val="24"/>
        </w:rPr>
        <w:t>。</w:t>
      </w:r>
    </w:p>
    <w:p>
      <w:pPr>
        <w:ind w:firstLine="640"/>
        <w:rPr>
          <w:rFonts w:ascii="黑体" w:hAnsi="黑体" w:eastAsia="黑体"/>
          <w:color w:val="auto"/>
          <w:sz w:val="24"/>
        </w:rPr>
      </w:pPr>
      <w:r>
        <w:rPr>
          <w:rFonts w:ascii="黑体" w:hAnsi="黑体" w:eastAsia="黑体"/>
          <w:color w:val="auto"/>
          <w:sz w:val="24"/>
        </w:rPr>
        <w:t xml:space="preserve">3.3 </w:t>
      </w:r>
      <w:r>
        <w:rPr>
          <w:rFonts w:hint="eastAsia" w:ascii="黑体" w:hAnsi="黑体" w:eastAsia="黑体"/>
          <w:color w:val="auto"/>
          <w:sz w:val="24"/>
        </w:rPr>
        <w:t>工程师</w:t>
      </w:r>
    </w:p>
    <w:p>
      <w:pPr>
        <w:ind w:firstLine="600"/>
        <w:rPr>
          <w:rFonts w:ascii="仿宋_GB2312" w:eastAsia="仿宋_GB2312"/>
          <w:color w:val="auto"/>
          <w:sz w:val="24"/>
        </w:rPr>
      </w:pPr>
      <w:r>
        <w:rPr>
          <w:rFonts w:hint="eastAsia" w:ascii="仿宋_GB2312" w:eastAsia="仿宋_GB2312"/>
          <w:color w:val="auto"/>
          <w:sz w:val="24"/>
        </w:rPr>
        <w:t>3</w:t>
      </w:r>
      <w:r>
        <w:rPr>
          <w:rFonts w:ascii="仿宋_GB2312" w:eastAsia="仿宋_GB2312"/>
          <w:color w:val="auto"/>
          <w:sz w:val="24"/>
        </w:rPr>
        <w:t xml:space="preserve">.3.1 </w:t>
      </w:r>
      <w:r>
        <w:rPr>
          <w:rFonts w:hint="eastAsia" w:ascii="仿宋_GB2312" w:eastAsia="仿宋_GB2312"/>
          <w:color w:val="auto"/>
          <w:sz w:val="24"/>
        </w:rPr>
        <w:t>工程师名称</w:t>
      </w:r>
      <w:r>
        <w:rPr>
          <w:rFonts w:ascii="仿宋_GB2312" w:eastAsia="仿宋_GB2312"/>
          <w:color w:val="auto"/>
          <w:sz w:val="24"/>
        </w:rPr>
        <w:t>：</w:t>
      </w:r>
      <w:r>
        <w:rPr>
          <w:rFonts w:ascii="仿宋_GB2312" w:eastAsia="仿宋_GB2312"/>
          <w:color w:val="auto"/>
          <w:sz w:val="24"/>
          <w:u w:val="single"/>
        </w:rPr>
        <w:t xml:space="preserve">                          </w:t>
      </w:r>
      <w:r>
        <w:rPr>
          <w:rFonts w:ascii="仿宋_GB2312" w:eastAsia="仿宋_GB2312"/>
          <w:color w:val="auto"/>
          <w:sz w:val="24"/>
        </w:rPr>
        <w:t>；</w:t>
      </w:r>
      <w:r>
        <w:rPr>
          <w:rFonts w:hint="eastAsia" w:ascii="仿宋_GB2312" w:eastAsia="仿宋_GB2312"/>
          <w:color w:val="auto"/>
          <w:sz w:val="24"/>
        </w:rPr>
        <w:t>工程师监督管理</w:t>
      </w:r>
      <w:r>
        <w:rPr>
          <w:rFonts w:ascii="仿宋_GB2312" w:eastAsia="仿宋_GB2312"/>
          <w:color w:val="auto"/>
          <w:sz w:val="24"/>
        </w:rPr>
        <w:t>范围</w:t>
      </w:r>
      <w:r>
        <w:rPr>
          <w:rFonts w:hint="eastAsia" w:ascii="仿宋_GB2312" w:eastAsia="仿宋_GB2312"/>
          <w:color w:val="auto"/>
          <w:sz w:val="24"/>
        </w:rPr>
        <w:t>、内容</w:t>
      </w:r>
      <w:r>
        <w:rPr>
          <w:rFonts w:ascii="仿宋_GB2312" w:eastAsia="仿宋_GB2312"/>
          <w:color w:val="auto"/>
          <w:sz w:val="24"/>
        </w:rPr>
        <w:t>：</w:t>
      </w:r>
      <w:r>
        <w:rPr>
          <w:rFonts w:ascii="仿宋_GB2312" w:eastAsia="仿宋_GB2312"/>
          <w:color w:val="auto"/>
          <w:sz w:val="24"/>
          <w:u w:val="single"/>
        </w:rPr>
        <w:t xml:space="preserve">                          </w:t>
      </w:r>
      <w:r>
        <w:rPr>
          <w:rFonts w:hint="eastAsia" w:ascii="仿宋_GB2312" w:eastAsia="仿宋_GB2312"/>
          <w:color w:val="auto"/>
          <w:sz w:val="24"/>
        </w:rPr>
        <w:t>；工程师</w:t>
      </w:r>
      <w:r>
        <w:rPr>
          <w:rFonts w:ascii="仿宋_GB2312" w:eastAsia="仿宋_GB2312"/>
          <w:color w:val="auto"/>
          <w:sz w:val="24"/>
        </w:rPr>
        <w:t>权限：</w:t>
      </w:r>
      <w:r>
        <w:rPr>
          <w:rFonts w:ascii="仿宋_GB2312" w:eastAsia="仿宋_GB2312"/>
          <w:color w:val="auto"/>
          <w:sz w:val="24"/>
          <w:u w:val="single"/>
        </w:rPr>
        <w:t xml:space="preserve">                                </w:t>
      </w:r>
      <w:r>
        <w:rPr>
          <w:rFonts w:hint="eastAsia" w:ascii="仿宋_GB2312" w:eastAsia="仿宋_GB2312"/>
          <w:color w:val="auto"/>
          <w:sz w:val="24"/>
        </w:rPr>
        <w:t>。</w:t>
      </w:r>
    </w:p>
    <w:p>
      <w:pPr>
        <w:ind w:firstLine="640"/>
        <w:rPr>
          <w:rFonts w:ascii="黑体" w:hAnsi="黑体" w:eastAsia="黑体"/>
          <w:color w:val="auto"/>
          <w:sz w:val="24"/>
        </w:rPr>
      </w:pPr>
      <w:r>
        <w:rPr>
          <w:rFonts w:ascii="黑体" w:hAnsi="黑体" w:eastAsia="黑体"/>
          <w:color w:val="auto"/>
          <w:sz w:val="24"/>
        </w:rPr>
        <w:t xml:space="preserve">3.6 </w:t>
      </w:r>
      <w:r>
        <w:rPr>
          <w:rFonts w:hint="eastAsia" w:ascii="黑体" w:hAnsi="黑体" w:eastAsia="黑体"/>
          <w:color w:val="auto"/>
          <w:sz w:val="24"/>
        </w:rPr>
        <w:t>商定或确定</w:t>
      </w:r>
    </w:p>
    <w:p>
      <w:pPr>
        <w:ind w:firstLine="600"/>
        <w:rPr>
          <w:rFonts w:ascii="仿宋_GB2312" w:eastAsia="仿宋_GB2312"/>
          <w:color w:val="auto"/>
          <w:sz w:val="24"/>
        </w:rPr>
      </w:pPr>
      <w:r>
        <w:rPr>
          <w:rFonts w:hint="eastAsia" w:ascii="仿宋_GB2312" w:eastAsia="仿宋_GB2312"/>
          <w:color w:val="auto"/>
          <w:sz w:val="24"/>
        </w:rPr>
        <w:t>3</w:t>
      </w:r>
      <w:r>
        <w:rPr>
          <w:rFonts w:ascii="仿宋_GB2312" w:eastAsia="仿宋_GB2312"/>
          <w:color w:val="auto"/>
          <w:sz w:val="24"/>
        </w:rPr>
        <w:t>.6.2 关于</w:t>
      </w:r>
      <w:r>
        <w:rPr>
          <w:rFonts w:hint="eastAsia" w:ascii="仿宋_GB2312" w:eastAsia="仿宋_GB2312"/>
          <w:color w:val="auto"/>
          <w:sz w:val="24"/>
        </w:rPr>
        <w:t>商定</w:t>
      </w:r>
      <w:r>
        <w:rPr>
          <w:rFonts w:ascii="仿宋_GB2312" w:eastAsia="仿宋_GB2312"/>
          <w:color w:val="auto"/>
          <w:sz w:val="24"/>
        </w:rPr>
        <w:t>时间限制的具体约定：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3.6.3 关于</w:t>
      </w:r>
      <w:r>
        <w:rPr>
          <w:rFonts w:hint="eastAsia" w:ascii="仿宋_GB2312" w:eastAsia="仿宋_GB2312"/>
          <w:color w:val="auto"/>
          <w:sz w:val="24"/>
        </w:rPr>
        <w:t>商定或确定</w:t>
      </w:r>
      <w:r>
        <w:rPr>
          <w:rFonts w:ascii="仿宋_GB2312" w:eastAsia="仿宋_GB2312"/>
          <w:color w:val="auto"/>
          <w:sz w:val="24"/>
        </w:rPr>
        <w:t>效力的具体约定：</w:t>
      </w:r>
      <w:r>
        <w:rPr>
          <w:rFonts w:ascii="仿宋_GB2312" w:eastAsia="仿宋_GB2312"/>
          <w:color w:val="auto"/>
          <w:sz w:val="24"/>
          <w:u w:val="single"/>
        </w:rPr>
        <w:t xml:space="preserve">               </w:t>
      </w:r>
      <w:r>
        <w:rPr>
          <w:rFonts w:hint="eastAsia" w:ascii="仿宋_GB2312" w:eastAsia="仿宋_GB2312"/>
          <w:color w:val="auto"/>
          <w:sz w:val="24"/>
        </w:rPr>
        <w:t>；</w:t>
      </w:r>
      <w:r>
        <w:rPr>
          <w:rFonts w:ascii="仿宋_GB2312" w:eastAsia="仿宋_GB2312"/>
          <w:color w:val="auto"/>
          <w:sz w:val="24"/>
        </w:rPr>
        <w:t>关于对</w:t>
      </w:r>
      <w:r>
        <w:rPr>
          <w:rFonts w:hint="eastAsia" w:ascii="仿宋_GB2312" w:eastAsia="仿宋_GB2312"/>
          <w:color w:val="auto"/>
          <w:sz w:val="24"/>
        </w:rPr>
        <w:t>工程师的确定提出异议</w:t>
      </w:r>
      <w:r>
        <w:rPr>
          <w:rFonts w:ascii="仿宋_GB2312" w:eastAsia="仿宋_GB2312"/>
          <w:color w:val="auto"/>
          <w:sz w:val="24"/>
        </w:rPr>
        <w:t>的具体约定：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40"/>
        <w:rPr>
          <w:rFonts w:ascii="黑体" w:hAnsi="黑体" w:eastAsia="黑体"/>
          <w:color w:val="auto"/>
          <w:sz w:val="24"/>
        </w:rPr>
      </w:pPr>
      <w:r>
        <w:rPr>
          <w:rFonts w:ascii="黑体" w:hAnsi="黑体" w:eastAsia="黑体"/>
          <w:color w:val="auto"/>
          <w:sz w:val="24"/>
        </w:rPr>
        <w:t xml:space="preserve">3.7 </w:t>
      </w:r>
      <w:r>
        <w:rPr>
          <w:rFonts w:hint="eastAsia" w:ascii="黑体" w:hAnsi="黑体" w:eastAsia="黑体"/>
          <w:color w:val="auto"/>
          <w:sz w:val="24"/>
        </w:rPr>
        <w:t>会议</w:t>
      </w:r>
    </w:p>
    <w:p>
      <w:pPr>
        <w:ind w:firstLine="600"/>
        <w:rPr>
          <w:rFonts w:ascii="仿宋_GB2312" w:eastAsia="仿宋_GB2312"/>
          <w:color w:val="auto"/>
          <w:sz w:val="24"/>
        </w:rPr>
      </w:pPr>
      <w:r>
        <w:rPr>
          <w:rFonts w:hint="eastAsia" w:ascii="仿宋_GB2312" w:eastAsia="仿宋_GB2312"/>
          <w:color w:val="auto"/>
          <w:sz w:val="24"/>
        </w:rPr>
        <w:t>3</w:t>
      </w:r>
      <w:r>
        <w:rPr>
          <w:rFonts w:ascii="仿宋_GB2312" w:eastAsia="仿宋_GB2312"/>
          <w:color w:val="auto"/>
          <w:sz w:val="24"/>
        </w:rPr>
        <w:t>.7.1 关于召开会议</w:t>
      </w:r>
      <w:r>
        <w:rPr>
          <w:rFonts w:hint="eastAsia" w:ascii="仿宋_GB2312" w:eastAsia="仿宋_GB2312"/>
          <w:color w:val="auto"/>
          <w:sz w:val="24"/>
        </w:rPr>
        <w:t>的具体约定：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3</w:t>
      </w:r>
      <w:r>
        <w:rPr>
          <w:rFonts w:ascii="仿宋_GB2312" w:eastAsia="仿宋_GB2312"/>
          <w:color w:val="auto"/>
          <w:sz w:val="24"/>
        </w:rPr>
        <w:t xml:space="preserve">.7.2 </w:t>
      </w:r>
      <w:r>
        <w:rPr>
          <w:rFonts w:hint="eastAsia" w:ascii="仿宋_GB2312" w:eastAsia="仿宋_GB2312"/>
          <w:color w:val="auto"/>
          <w:sz w:val="24"/>
        </w:rPr>
        <w:t>关于保存和提供会议纪要</w:t>
      </w:r>
      <w:r>
        <w:rPr>
          <w:rFonts w:ascii="仿宋_GB2312" w:eastAsia="仿宋_GB2312"/>
          <w:color w:val="auto"/>
          <w:sz w:val="24"/>
        </w:rPr>
        <w:t>的具体约定：</w:t>
      </w:r>
      <w:r>
        <w:rPr>
          <w:rFonts w:ascii="仿宋_GB2312" w:eastAsia="仿宋_GB2312"/>
          <w:color w:val="auto"/>
          <w:sz w:val="24"/>
          <w:u w:val="single"/>
        </w:rPr>
        <w:t xml:space="preserve">          </w:t>
      </w:r>
      <w:r>
        <w:rPr>
          <w:rFonts w:hint="eastAsia" w:ascii="仿宋_GB2312" w:eastAsia="仿宋_GB2312"/>
          <w:color w:val="auto"/>
          <w:sz w:val="24"/>
        </w:rPr>
        <w:t>。</w:t>
      </w:r>
    </w:p>
    <w:p>
      <w:pPr>
        <w:pStyle w:val="314"/>
        <w:rPr>
          <w:rFonts w:ascii="黑体" w:hAnsi="黑体" w:eastAsia="黑体"/>
          <w:b w:val="0"/>
          <w:bCs/>
          <w:color w:val="auto"/>
          <w:sz w:val="24"/>
          <w:szCs w:val="24"/>
        </w:rPr>
      </w:pPr>
      <w:bookmarkStart w:id="1142" w:name="_Toc54862335"/>
      <w:r>
        <w:rPr>
          <w:rFonts w:hint="eastAsia" w:ascii="黑体" w:hAnsi="黑体" w:eastAsia="黑体"/>
          <w:b w:val="0"/>
          <w:bCs/>
          <w:color w:val="auto"/>
          <w:sz w:val="24"/>
          <w:szCs w:val="24"/>
        </w:rPr>
        <w:t>第</w:t>
      </w:r>
      <w:r>
        <w:rPr>
          <w:rFonts w:ascii="黑体" w:hAnsi="黑体" w:eastAsia="黑体"/>
          <w:b w:val="0"/>
          <w:bCs/>
          <w:color w:val="auto"/>
          <w:sz w:val="24"/>
          <w:szCs w:val="24"/>
        </w:rPr>
        <w:t>4条</w:t>
      </w:r>
      <w:r>
        <w:rPr>
          <w:rFonts w:hint="eastAsia" w:ascii="黑体" w:hAnsi="黑体" w:eastAsia="黑体"/>
          <w:b w:val="0"/>
          <w:bCs/>
          <w:color w:val="auto"/>
          <w:sz w:val="24"/>
          <w:szCs w:val="24"/>
        </w:rPr>
        <w:t xml:space="preserve"> 承包人</w:t>
      </w:r>
      <w:bookmarkEnd w:id="1142"/>
    </w:p>
    <w:p>
      <w:pPr>
        <w:ind w:firstLine="600"/>
        <w:rPr>
          <w:rFonts w:ascii="黑体" w:hAnsi="黑体" w:eastAsia="黑体"/>
          <w:color w:val="auto"/>
          <w:sz w:val="24"/>
        </w:rPr>
      </w:pPr>
      <w:r>
        <w:rPr>
          <w:rFonts w:ascii="黑体" w:hAnsi="黑体" w:eastAsia="黑体"/>
          <w:color w:val="auto"/>
          <w:sz w:val="24"/>
        </w:rPr>
        <w:t xml:space="preserve">4.1 </w:t>
      </w:r>
      <w:r>
        <w:rPr>
          <w:rFonts w:hint="eastAsia" w:ascii="黑体" w:hAnsi="黑体" w:eastAsia="黑体"/>
          <w:color w:val="auto"/>
          <w:sz w:val="24"/>
        </w:rPr>
        <w:t>承包人的一般义务</w:t>
      </w:r>
    </w:p>
    <w:p>
      <w:pPr>
        <w:ind w:firstLine="600"/>
        <w:rPr>
          <w:rFonts w:ascii="仿宋_GB2312" w:eastAsia="仿宋_GB2312"/>
          <w:color w:val="auto"/>
          <w:sz w:val="24"/>
        </w:rPr>
      </w:pPr>
      <w:r>
        <w:rPr>
          <w:rFonts w:hint="eastAsia" w:ascii="仿宋_GB2312" w:eastAsia="仿宋_GB2312"/>
          <w:color w:val="auto"/>
          <w:sz w:val="24"/>
        </w:rPr>
        <w:t>承包人应履行的其他义务：</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4.2 </w:t>
      </w:r>
      <w:r>
        <w:rPr>
          <w:rFonts w:hint="eastAsia" w:ascii="黑体" w:hAnsi="黑体" w:eastAsia="黑体"/>
          <w:color w:val="auto"/>
          <w:sz w:val="24"/>
        </w:rPr>
        <w:t>履约担保</w:t>
      </w:r>
    </w:p>
    <w:p>
      <w:pPr>
        <w:ind w:firstLine="600"/>
        <w:rPr>
          <w:rFonts w:ascii="仿宋_GB2312" w:eastAsia="仿宋_GB2312"/>
          <w:color w:val="auto"/>
          <w:sz w:val="24"/>
        </w:rPr>
      </w:pPr>
      <w:r>
        <w:rPr>
          <w:rFonts w:hint="eastAsia" w:ascii="仿宋_GB2312" w:eastAsia="仿宋_GB2312"/>
          <w:color w:val="auto"/>
          <w:sz w:val="24"/>
        </w:rPr>
        <w:t>承包人是否提供履约担保：</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履约担保的方式、金额及期限:</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4.3 </w:t>
      </w:r>
      <w:r>
        <w:rPr>
          <w:rFonts w:hint="eastAsia" w:ascii="黑体" w:hAnsi="黑体" w:eastAsia="黑体"/>
          <w:color w:val="auto"/>
          <w:sz w:val="24"/>
        </w:rPr>
        <w:t>工程总承包项目经理</w:t>
      </w:r>
    </w:p>
    <w:p>
      <w:pPr>
        <w:ind w:firstLine="600"/>
        <w:rPr>
          <w:rFonts w:ascii="仿宋_GB2312" w:eastAsia="仿宋_GB2312"/>
          <w:color w:val="auto"/>
          <w:sz w:val="24"/>
        </w:rPr>
      </w:pPr>
      <w:r>
        <w:rPr>
          <w:rFonts w:ascii="仿宋_GB2312" w:eastAsia="仿宋_GB2312"/>
          <w:color w:val="auto"/>
          <w:sz w:val="24"/>
        </w:rPr>
        <w:t xml:space="preserve">4.3.1 </w:t>
      </w:r>
      <w:r>
        <w:rPr>
          <w:rFonts w:hint="eastAsia" w:ascii="仿宋_GB2312" w:eastAsia="仿宋_GB2312"/>
          <w:color w:val="auto"/>
          <w:sz w:val="24"/>
        </w:rPr>
        <w:t>工程总承包项目经理姓名：</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执业资格或职称类型：</w:t>
      </w:r>
      <w:r>
        <w:rPr>
          <w:rFonts w:ascii="仿宋_GB2312" w:eastAsia="仿宋_GB2312"/>
          <w:color w:val="auto"/>
          <w:sz w:val="24"/>
          <w:u w:val="single"/>
        </w:rPr>
        <w:t xml:space="preserve">         </w:t>
      </w:r>
      <w:r>
        <w:rPr>
          <w:rFonts w:hint="eastAsia" w:ascii="仿宋_GB2312" w:eastAsia="仿宋_GB2312"/>
          <w:color w:val="auto"/>
          <w:sz w:val="24"/>
          <w:u w:val="single"/>
        </w:rPr>
        <w:t xml:space="preserve">   </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执业资格证或职称证号码：</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联系电话：</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电子邮箱：</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通信地址：</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承包人未提交劳动合同，以及没有为工程总承包项目经理缴纳社会保险证明的违约责任：</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4.3.2 </w:t>
      </w:r>
      <w:r>
        <w:rPr>
          <w:rFonts w:hint="eastAsia" w:ascii="仿宋_GB2312" w:eastAsia="仿宋_GB2312"/>
          <w:color w:val="auto"/>
          <w:sz w:val="24"/>
        </w:rPr>
        <w:t>工程总承包项目经理每月在现场的时间要求：</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工程总承包项目经理未经批准擅自离开施工现场的违约责任：</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4.3.3 </w:t>
      </w:r>
      <w:r>
        <w:rPr>
          <w:rFonts w:hint="eastAsia" w:ascii="仿宋_GB2312" w:eastAsia="仿宋_GB2312"/>
          <w:color w:val="auto"/>
          <w:sz w:val="24"/>
        </w:rPr>
        <w:t>承包人对工程总承包项目经理的授权范围:</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4.3.4 </w:t>
      </w:r>
      <w:r>
        <w:rPr>
          <w:rFonts w:hint="eastAsia" w:ascii="仿宋_GB2312" w:eastAsia="仿宋_GB2312"/>
          <w:color w:val="auto"/>
          <w:sz w:val="24"/>
        </w:rPr>
        <w:t>承包人</w:t>
      </w:r>
      <w:r>
        <w:rPr>
          <w:rFonts w:ascii="仿宋_GB2312" w:eastAsia="仿宋_GB2312"/>
          <w:color w:val="auto"/>
          <w:sz w:val="24"/>
        </w:rPr>
        <w:t>擅自更换工程总承包项目经理的违约</w:t>
      </w:r>
      <w:r>
        <w:rPr>
          <w:rFonts w:hint="eastAsia" w:ascii="仿宋_GB2312" w:eastAsia="仿宋_GB2312"/>
          <w:color w:val="auto"/>
          <w:sz w:val="24"/>
        </w:rPr>
        <w:t>责任：</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4.3.5 承包人无正当理由拒绝更换工程总承包项目经理的违约责任</w:t>
      </w:r>
      <w:r>
        <w:rPr>
          <w:rFonts w:hint="eastAsia" w:ascii="仿宋_GB2312" w:eastAsia="仿宋_GB2312"/>
          <w:color w:val="auto"/>
          <w:sz w:val="24"/>
        </w:rPr>
        <w:t>:</w:t>
      </w:r>
      <w:r>
        <w:rPr>
          <w:rFonts w:ascii="仿宋_GB2312" w:eastAsia="仿宋_GB2312"/>
          <w:color w:val="auto"/>
          <w:sz w:val="24"/>
          <w:u w:val="single"/>
        </w:rPr>
        <w:t xml:space="preserve">                                             </w:t>
      </w:r>
      <w:r>
        <w:rPr>
          <w:rFonts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4.4 </w:t>
      </w:r>
      <w:r>
        <w:rPr>
          <w:rFonts w:hint="eastAsia" w:ascii="黑体" w:hAnsi="黑体" w:eastAsia="黑体"/>
          <w:color w:val="auto"/>
          <w:sz w:val="24"/>
        </w:rPr>
        <w:t>承包人人员</w:t>
      </w:r>
    </w:p>
    <w:p>
      <w:pPr>
        <w:ind w:firstLine="600"/>
        <w:rPr>
          <w:rFonts w:ascii="仿宋_GB2312" w:eastAsia="仿宋_GB2312"/>
          <w:color w:val="auto"/>
          <w:sz w:val="24"/>
        </w:rPr>
      </w:pPr>
      <w:r>
        <w:rPr>
          <w:rFonts w:ascii="仿宋_GB2312" w:eastAsia="仿宋_GB2312"/>
          <w:color w:val="auto"/>
          <w:sz w:val="24"/>
        </w:rPr>
        <w:t xml:space="preserve">4.4.1 </w:t>
      </w:r>
      <w:r>
        <w:rPr>
          <w:rFonts w:hint="eastAsia" w:ascii="仿宋_GB2312" w:eastAsia="仿宋_GB2312"/>
          <w:color w:val="auto"/>
          <w:sz w:val="24"/>
        </w:rPr>
        <w:t>人员安排</w:t>
      </w:r>
    </w:p>
    <w:p>
      <w:pPr>
        <w:ind w:firstLine="600"/>
        <w:rPr>
          <w:rFonts w:ascii="仿宋_GB2312" w:eastAsia="仿宋_GB2312"/>
          <w:color w:val="auto"/>
          <w:sz w:val="24"/>
        </w:rPr>
      </w:pPr>
      <w:r>
        <w:rPr>
          <w:rFonts w:ascii="仿宋_GB2312" w:eastAsia="仿宋_GB2312"/>
          <w:color w:val="auto"/>
          <w:sz w:val="24"/>
        </w:rPr>
        <w:t>承包人</w:t>
      </w:r>
      <w:r>
        <w:rPr>
          <w:rFonts w:hint="eastAsia" w:ascii="仿宋_GB2312" w:eastAsia="仿宋_GB2312"/>
          <w:color w:val="auto"/>
          <w:sz w:val="24"/>
        </w:rPr>
        <w:t>提交</w:t>
      </w:r>
      <w:r>
        <w:rPr>
          <w:rFonts w:ascii="仿宋_GB2312" w:eastAsia="仿宋_GB2312"/>
          <w:color w:val="auto"/>
          <w:sz w:val="24"/>
        </w:rPr>
        <w:t>项目管理机构及施工现场人员安排的报告</w:t>
      </w:r>
      <w:r>
        <w:rPr>
          <w:rFonts w:hint="eastAsia" w:ascii="仿宋_GB2312" w:eastAsia="仿宋_GB2312"/>
          <w:color w:val="auto"/>
          <w:sz w:val="24"/>
        </w:rPr>
        <w:t>的期限：</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承包人提交关键人员信息及注册执业资格等证明其具备担任关键人员能力的相关文件的期限：</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4.4.2 </w:t>
      </w:r>
      <w:r>
        <w:rPr>
          <w:rFonts w:hint="eastAsia" w:ascii="仿宋_GB2312" w:eastAsia="仿宋_GB2312"/>
          <w:color w:val="auto"/>
          <w:sz w:val="24"/>
        </w:rPr>
        <w:t>关键人员更换</w:t>
      </w:r>
    </w:p>
    <w:p>
      <w:pPr>
        <w:ind w:firstLine="600"/>
        <w:rPr>
          <w:rFonts w:ascii="仿宋_GB2312" w:eastAsia="仿宋_GB2312"/>
          <w:color w:val="auto"/>
          <w:sz w:val="24"/>
        </w:rPr>
      </w:pPr>
      <w:r>
        <w:rPr>
          <w:rFonts w:ascii="仿宋_GB2312" w:eastAsia="仿宋_GB2312"/>
          <w:color w:val="auto"/>
          <w:sz w:val="24"/>
        </w:rPr>
        <w:t>承包人擅自更换</w:t>
      </w:r>
      <w:r>
        <w:rPr>
          <w:rFonts w:hint="eastAsia" w:ascii="仿宋_GB2312" w:eastAsia="仿宋_GB2312"/>
          <w:color w:val="auto"/>
          <w:sz w:val="24"/>
        </w:rPr>
        <w:t>关键人员</w:t>
      </w:r>
      <w:r>
        <w:rPr>
          <w:rFonts w:ascii="仿宋_GB2312" w:eastAsia="仿宋_GB2312"/>
          <w:color w:val="auto"/>
          <w:sz w:val="24"/>
        </w:rPr>
        <w:t>的违约责任：</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承包人无正当理由拒绝撤换</w:t>
      </w:r>
      <w:r>
        <w:rPr>
          <w:rFonts w:hint="eastAsia" w:ascii="仿宋_GB2312" w:eastAsia="仿宋_GB2312"/>
          <w:color w:val="auto"/>
          <w:sz w:val="24"/>
        </w:rPr>
        <w:t>关键人员</w:t>
      </w:r>
      <w:r>
        <w:rPr>
          <w:rFonts w:ascii="仿宋_GB2312" w:eastAsia="仿宋_GB2312"/>
          <w:color w:val="auto"/>
          <w:sz w:val="24"/>
        </w:rPr>
        <w:t>的违约责任：</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4.4.3 </w:t>
      </w:r>
      <w:r>
        <w:rPr>
          <w:rFonts w:hint="eastAsia" w:ascii="仿宋_GB2312" w:eastAsia="仿宋_GB2312"/>
          <w:color w:val="auto"/>
          <w:sz w:val="24"/>
        </w:rPr>
        <w:t>现场管理关键人员在岗要求</w:t>
      </w:r>
    </w:p>
    <w:p>
      <w:pPr>
        <w:ind w:firstLine="600"/>
        <w:rPr>
          <w:rFonts w:ascii="仿宋_GB2312" w:eastAsia="仿宋_GB2312"/>
          <w:color w:val="auto"/>
          <w:sz w:val="24"/>
        </w:rPr>
      </w:pPr>
      <w:r>
        <w:rPr>
          <w:rFonts w:ascii="仿宋_GB2312" w:eastAsia="仿宋_GB2312"/>
          <w:color w:val="auto"/>
          <w:sz w:val="24"/>
        </w:rPr>
        <w:t>承包人</w:t>
      </w:r>
      <w:r>
        <w:rPr>
          <w:rFonts w:hint="eastAsia" w:ascii="仿宋_GB2312" w:eastAsia="仿宋_GB2312"/>
          <w:color w:val="auto"/>
          <w:sz w:val="24"/>
        </w:rPr>
        <w:t>现场管理关键</w:t>
      </w:r>
      <w:r>
        <w:rPr>
          <w:rFonts w:ascii="仿宋_GB2312" w:eastAsia="仿宋_GB2312"/>
          <w:color w:val="auto"/>
          <w:sz w:val="24"/>
        </w:rPr>
        <w:t>人员离开施工现场的批准要求</w:t>
      </w:r>
      <w:r>
        <w:rPr>
          <w:rFonts w:hint="eastAsia" w:ascii="仿宋_GB2312" w:eastAsia="仿宋_GB2312"/>
          <w:color w:val="auto"/>
          <w:sz w:val="24"/>
        </w:rPr>
        <w:t>：</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承包人现场管理关键人员擅自离开施工现场的违约责任：</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4.5 </w:t>
      </w:r>
      <w:r>
        <w:rPr>
          <w:rFonts w:hint="eastAsia" w:ascii="黑体" w:hAnsi="黑体" w:eastAsia="黑体"/>
          <w:color w:val="auto"/>
          <w:sz w:val="24"/>
        </w:rPr>
        <w:t>分包</w:t>
      </w:r>
    </w:p>
    <w:p>
      <w:pPr>
        <w:ind w:firstLine="600"/>
        <w:rPr>
          <w:rFonts w:ascii="仿宋_GB2312" w:eastAsia="仿宋_GB2312"/>
          <w:color w:val="auto"/>
          <w:sz w:val="24"/>
        </w:rPr>
      </w:pPr>
      <w:r>
        <w:rPr>
          <w:rFonts w:ascii="仿宋_GB2312" w:eastAsia="仿宋_GB2312"/>
          <w:color w:val="auto"/>
          <w:sz w:val="24"/>
        </w:rPr>
        <w:t xml:space="preserve">4.5.1 </w:t>
      </w:r>
      <w:r>
        <w:rPr>
          <w:rFonts w:hint="eastAsia" w:ascii="仿宋_GB2312" w:eastAsia="仿宋_GB2312"/>
          <w:color w:val="auto"/>
          <w:sz w:val="24"/>
        </w:rPr>
        <w:t>一般约定</w:t>
      </w:r>
    </w:p>
    <w:p>
      <w:pPr>
        <w:ind w:firstLine="600"/>
        <w:rPr>
          <w:rFonts w:ascii="仿宋_GB2312" w:eastAsia="仿宋_GB2312"/>
          <w:color w:val="auto"/>
          <w:sz w:val="24"/>
        </w:rPr>
      </w:pPr>
      <w:r>
        <w:rPr>
          <w:rFonts w:ascii="仿宋_GB2312" w:eastAsia="仿宋_GB2312"/>
          <w:color w:val="auto"/>
          <w:sz w:val="24"/>
        </w:rPr>
        <w:t>禁止分包的工程包括：</w:t>
      </w:r>
      <w:r>
        <w:rPr>
          <w:rFonts w:ascii="仿宋_GB2312" w:eastAsia="仿宋_GB2312"/>
          <w:color w:val="auto"/>
          <w:sz w:val="24"/>
          <w:u w:val="single"/>
        </w:rPr>
        <w:t xml:space="preserve">                               </w:t>
      </w:r>
      <w:r>
        <w:rPr>
          <w:rFonts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4.5.2 </w:t>
      </w:r>
      <w:r>
        <w:rPr>
          <w:rFonts w:hint="eastAsia" w:ascii="仿宋_GB2312" w:eastAsia="仿宋_GB2312"/>
          <w:color w:val="auto"/>
          <w:sz w:val="24"/>
        </w:rPr>
        <w:t>分包的确定</w:t>
      </w:r>
    </w:p>
    <w:p>
      <w:pPr>
        <w:ind w:firstLine="600"/>
        <w:rPr>
          <w:rFonts w:ascii="仿宋_GB2312" w:eastAsia="仿宋_GB2312"/>
          <w:color w:val="auto"/>
          <w:sz w:val="24"/>
        </w:rPr>
      </w:pPr>
      <w:r>
        <w:rPr>
          <w:rFonts w:ascii="仿宋_GB2312" w:eastAsia="仿宋_GB2312"/>
          <w:color w:val="auto"/>
          <w:sz w:val="24"/>
        </w:rPr>
        <w:t>允许分包的工程包括：</w:t>
      </w:r>
      <w:r>
        <w:rPr>
          <w:rFonts w:ascii="仿宋_GB2312" w:eastAsia="仿宋_GB2312"/>
          <w:color w:val="auto"/>
          <w:sz w:val="24"/>
          <w:u w:val="single"/>
        </w:rPr>
        <w:t xml:space="preserve">                              </w:t>
      </w:r>
      <w:r>
        <w:rPr>
          <w:rFonts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其他关于分包的约定：</w:t>
      </w:r>
      <w:r>
        <w:rPr>
          <w:rFonts w:ascii="仿宋_GB2312" w:eastAsia="仿宋_GB2312"/>
          <w:color w:val="auto"/>
          <w:sz w:val="24"/>
          <w:u w:val="single"/>
        </w:rPr>
        <w:t xml:space="preserve">                               </w:t>
      </w:r>
      <w:r>
        <w:rPr>
          <w:rFonts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4.5.5 </w:t>
      </w:r>
      <w:r>
        <w:rPr>
          <w:rFonts w:hint="eastAsia" w:ascii="仿宋_GB2312" w:eastAsia="仿宋_GB2312"/>
          <w:color w:val="auto"/>
          <w:sz w:val="24"/>
        </w:rPr>
        <w:t>分包合同价款支付</w:t>
      </w:r>
    </w:p>
    <w:p>
      <w:pPr>
        <w:ind w:firstLine="600"/>
        <w:rPr>
          <w:rFonts w:ascii="仿宋_GB2312" w:eastAsia="仿宋_GB2312"/>
          <w:color w:val="auto"/>
          <w:sz w:val="24"/>
        </w:rPr>
      </w:pPr>
      <w:r>
        <w:rPr>
          <w:rFonts w:hint="eastAsia" w:ascii="仿宋_GB2312" w:eastAsia="仿宋_GB2312"/>
          <w:color w:val="auto"/>
          <w:sz w:val="24"/>
        </w:rPr>
        <w:t>关于分包合同价款支付的约定：</w:t>
      </w:r>
      <w:r>
        <w:rPr>
          <w:rFonts w:ascii="仿宋_GB2312" w:eastAsia="仿宋_GB2312"/>
          <w:color w:val="auto"/>
          <w:sz w:val="24"/>
          <w:u w:val="single"/>
        </w:rPr>
        <w:t xml:space="preserve">                      </w:t>
      </w:r>
      <w:r>
        <w:rPr>
          <w:rFonts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4.6 </w:t>
      </w:r>
      <w:r>
        <w:rPr>
          <w:rFonts w:hint="eastAsia" w:ascii="黑体" w:hAnsi="黑体" w:eastAsia="黑体"/>
          <w:color w:val="auto"/>
          <w:sz w:val="24"/>
        </w:rPr>
        <w:t>联合体</w:t>
      </w:r>
    </w:p>
    <w:p>
      <w:pPr>
        <w:ind w:firstLine="600"/>
        <w:rPr>
          <w:rFonts w:ascii="仿宋_GB2312" w:eastAsia="仿宋_GB2312"/>
          <w:color w:val="auto"/>
          <w:sz w:val="24"/>
        </w:rPr>
      </w:pPr>
      <w:r>
        <w:rPr>
          <w:rFonts w:hint="eastAsia" w:ascii="仿宋_GB2312" w:eastAsia="仿宋_GB2312"/>
          <w:color w:val="auto"/>
          <w:sz w:val="24"/>
        </w:rPr>
        <w:t>4</w:t>
      </w:r>
      <w:r>
        <w:rPr>
          <w:rFonts w:ascii="仿宋_GB2312" w:eastAsia="仿宋_GB2312"/>
          <w:color w:val="auto"/>
          <w:sz w:val="24"/>
        </w:rPr>
        <w:t xml:space="preserve">.6.2 </w:t>
      </w:r>
      <w:r>
        <w:rPr>
          <w:rFonts w:hint="eastAsia" w:ascii="仿宋_GB2312" w:eastAsia="仿宋_GB2312"/>
          <w:color w:val="auto"/>
          <w:sz w:val="24"/>
        </w:rPr>
        <w:t>联合体各成员的分工、费用收取、发票开具等事项：</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4.7 </w:t>
      </w:r>
      <w:r>
        <w:rPr>
          <w:rFonts w:hint="eastAsia" w:ascii="黑体" w:hAnsi="黑体" w:eastAsia="黑体"/>
          <w:color w:val="auto"/>
          <w:sz w:val="24"/>
        </w:rPr>
        <w:t>承包人现场查勘</w:t>
      </w:r>
    </w:p>
    <w:p>
      <w:pPr>
        <w:ind w:firstLine="600"/>
        <w:rPr>
          <w:rFonts w:ascii="仿宋_GB2312" w:eastAsia="仿宋_GB2312"/>
          <w:color w:val="auto"/>
          <w:sz w:val="24"/>
        </w:rPr>
      </w:pPr>
      <w:r>
        <w:rPr>
          <w:rFonts w:hint="eastAsia" w:ascii="仿宋_GB2312" w:eastAsia="仿宋_GB2312"/>
          <w:color w:val="auto"/>
          <w:sz w:val="24"/>
        </w:rPr>
        <w:t>4</w:t>
      </w:r>
      <w:r>
        <w:rPr>
          <w:rFonts w:ascii="仿宋_GB2312" w:eastAsia="仿宋_GB2312"/>
          <w:color w:val="auto"/>
          <w:sz w:val="24"/>
        </w:rPr>
        <w:t xml:space="preserve">.7.1 </w:t>
      </w:r>
      <w:r>
        <w:rPr>
          <w:rFonts w:hint="eastAsia" w:ascii="仿宋_GB2312" w:eastAsia="仿宋_GB2312"/>
          <w:color w:val="auto"/>
          <w:sz w:val="24"/>
        </w:rPr>
        <w:t>双方当事人对现场查勘的责任承担的约定：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4.8 </w:t>
      </w:r>
      <w:r>
        <w:rPr>
          <w:rFonts w:hint="eastAsia" w:ascii="黑体" w:hAnsi="黑体" w:eastAsia="黑体"/>
          <w:color w:val="auto"/>
          <w:sz w:val="24"/>
        </w:rPr>
        <w:t>不可预见的困难</w:t>
      </w:r>
    </w:p>
    <w:p>
      <w:pPr>
        <w:ind w:firstLine="600"/>
        <w:rPr>
          <w:rFonts w:ascii="仿宋_GB2312" w:eastAsia="仿宋_GB2312"/>
          <w:color w:val="auto"/>
          <w:sz w:val="24"/>
        </w:rPr>
      </w:pPr>
      <w:r>
        <w:rPr>
          <w:rFonts w:hint="eastAsia" w:ascii="仿宋_GB2312" w:eastAsia="仿宋_GB2312"/>
          <w:color w:val="auto"/>
          <w:sz w:val="24"/>
        </w:rPr>
        <w:t>不可预见的困难包括：</w:t>
      </w:r>
      <w:r>
        <w:rPr>
          <w:rFonts w:ascii="仿宋_GB2312" w:eastAsia="仿宋_GB2312"/>
          <w:color w:val="auto"/>
          <w:sz w:val="24"/>
          <w:u w:val="single"/>
        </w:rPr>
        <w:t xml:space="preserve">                              </w:t>
      </w:r>
      <w:r>
        <w:rPr>
          <w:rFonts w:ascii="仿宋_GB2312" w:eastAsia="仿宋_GB2312"/>
          <w:color w:val="auto"/>
          <w:sz w:val="24"/>
        </w:rPr>
        <w:t>。</w:t>
      </w:r>
    </w:p>
    <w:p>
      <w:pPr>
        <w:pStyle w:val="314"/>
        <w:rPr>
          <w:rFonts w:ascii="黑体" w:hAnsi="黑体" w:eastAsia="黑体"/>
          <w:b w:val="0"/>
          <w:bCs/>
          <w:color w:val="auto"/>
          <w:sz w:val="24"/>
          <w:szCs w:val="24"/>
        </w:rPr>
      </w:pPr>
      <w:bookmarkStart w:id="1143" w:name="_Toc54862336"/>
      <w:r>
        <w:rPr>
          <w:rFonts w:hint="eastAsia" w:ascii="黑体" w:hAnsi="黑体" w:eastAsia="黑体"/>
          <w:b w:val="0"/>
          <w:bCs/>
          <w:color w:val="auto"/>
          <w:sz w:val="24"/>
          <w:szCs w:val="24"/>
        </w:rPr>
        <w:t>第</w:t>
      </w:r>
      <w:r>
        <w:rPr>
          <w:rFonts w:ascii="黑体" w:hAnsi="黑体" w:eastAsia="黑体"/>
          <w:b w:val="0"/>
          <w:bCs/>
          <w:color w:val="auto"/>
          <w:sz w:val="24"/>
          <w:szCs w:val="24"/>
        </w:rPr>
        <w:t>5条</w:t>
      </w:r>
      <w:r>
        <w:rPr>
          <w:rFonts w:hint="eastAsia" w:ascii="黑体" w:hAnsi="黑体" w:eastAsia="黑体"/>
          <w:b w:val="0"/>
          <w:bCs/>
          <w:color w:val="auto"/>
          <w:sz w:val="24"/>
          <w:szCs w:val="24"/>
        </w:rPr>
        <w:t xml:space="preserve"> 设计</w:t>
      </w:r>
      <w:bookmarkEnd w:id="1143"/>
    </w:p>
    <w:p>
      <w:pPr>
        <w:ind w:firstLine="600"/>
        <w:rPr>
          <w:rFonts w:ascii="黑体" w:hAnsi="黑体" w:eastAsia="黑体"/>
          <w:color w:val="auto"/>
          <w:sz w:val="24"/>
        </w:rPr>
      </w:pPr>
      <w:r>
        <w:rPr>
          <w:rFonts w:ascii="黑体" w:hAnsi="黑体" w:eastAsia="黑体"/>
          <w:color w:val="auto"/>
          <w:sz w:val="24"/>
        </w:rPr>
        <w:t xml:space="preserve">5.2 </w:t>
      </w:r>
      <w:r>
        <w:rPr>
          <w:rFonts w:hint="eastAsia" w:ascii="黑体" w:hAnsi="黑体" w:eastAsia="黑体"/>
          <w:color w:val="auto"/>
          <w:sz w:val="24"/>
        </w:rPr>
        <w:t>承包人文件审查</w:t>
      </w:r>
    </w:p>
    <w:p>
      <w:pPr>
        <w:ind w:firstLine="600"/>
        <w:rPr>
          <w:rFonts w:ascii="仿宋_GB2312" w:eastAsia="仿宋_GB2312"/>
          <w:color w:val="auto"/>
          <w:sz w:val="24"/>
        </w:rPr>
      </w:pPr>
      <w:r>
        <w:rPr>
          <w:rFonts w:hint="eastAsia" w:ascii="仿宋_GB2312" w:eastAsia="仿宋_GB2312"/>
          <w:color w:val="auto"/>
          <w:sz w:val="24"/>
        </w:rPr>
        <w:t>5</w:t>
      </w:r>
      <w:r>
        <w:rPr>
          <w:rFonts w:ascii="仿宋_GB2312" w:eastAsia="仿宋_GB2312"/>
          <w:color w:val="auto"/>
          <w:sz w:val="24"/>
        </w:rPr>
        <w:t xml:space="preserve">.2.1 </w:t>
      </w:r>
      <w:r>
        <w:rPr>
          <w:rFonts w:hint="eastAsia" w:ascii="仿宋_GB2312" w:eastAsia="仿宋_GB2312"/>
          <w:color w:val="auto"/>
          <w:sz w:val="24"/>
        </w:rPr>
        <w:t>承包人文件审查的期限：</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5.2.2 </w:t>
      </w:r>
      <w:r>
        <w:rPr>
          <w:rFonts w:hint="eastAsia" w:ascii="仿宋_GB2312" w:eastAsia="仿宋_GB2312"/>
          <w:color w:val="auto"/>
          <w:sz w:val="24"/>
        </w:rPr>
        <w:t>审查会议的审查形式和时间安排为：</w:t>
      </w:r>
      <w:r>
        <w:rPr>
          <w:rFonts w:ascii="仿宋_GB2312" w:eastAsia="仿宋_GB2312"/>
          <w:color w:val="auto"/>
          <w:sz w:val="24"/>
          <w:u w:val="single"/>
        </w:rPr>
        <w:t xml:space="preserve">            </w:t>
      </w:r>
      <w:r>
        <w:rPr>
          <w:rFonts w:hint="eastAsia" w:ascii="仿宋_GB2312" w:eastAsia="仿宋_GB2312"/>
          <w:color w:val="auto"/>
          <w:sz w:val="24"/>
        </w:rPr>
        <w:t>，审查会议的相关费用由</w:t>
      </w:r>
      <w:r>
        <w:rPr>
          <w:rFonts w:ascii="仿宋_GB2312" w:eastAsia="仿宋_GB2312"/>
          <w:color w:val="auto"/>
          <w:sz w:val="24"/>
          <w:u w:val="single"/>
        </w:rPr>
        <w:t xml:space="preserve">                  </w:t>
      </w:r>
      <w:r>
        <w:rPr>
          <w:rFonts w:hint="eastAsia" w:ascii="仿宋_GB2312" w:eastAsia="仿宋_GB2312"/>
          <w:color w:val="auto"/>
          <w:sz w:val="24"/>
        </w:rPr>
        <w:t>承担。</w:t>
      </w:r>
    </w:p>
    <w:p>
      <w:pPr>
        <w:ind w:firstLine="600"/>
        <w:rPr>
          <w:rFonts w:ascii="仿宋_GB2312" w:eastAsia="仿宋_GB2312"/>
          <w:color w:val="auto"/>
          <w:sz w:val="24"/>
        </w:rPr>
      </w:pPr>
      <w:r>
        <w:rPr>
          <w:rFonts w:hint="eastAsia" w:ascii="仿宋_GB2312" w:eastAsia="仿宋_GB2312"/>
          <w:color w:val="auto"/>
          <w:sz w:val="24"/>
        </w:rPr>
        <w:t>5</w:t>
      </w:r>
      <w:r>
        <w:rPr>
          <w:rFonts w:ascii="仿宋_GB2312" w:eastAsia="仿宋_GB2312"/>
          <w:color w:val="auto"/>
          <w:sz w:val="24"/>
        </w:rPr>
        <w:t xml:space="preserve">.2.3 </w:t>
      </w:r>
      <w:r>
        <w:rPr>
          <w:rFonts w:hint="eastAsia" w:ascii="仿宋_GB2312" w:eastAsia="仿宋_GB2312"/>
          <w:color w:val="auto"/>
          <w:sz w:val="24"/>
        </w:rPr>
        <w:t>关于第三方审查单位的约定：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5.3 </w:t>
      </w:r>
      <w:r>
        <w:rPr>
          <w:rFonts w:hint="eastAsia" w:ascii="黑体" w:hAnsi="黑体" w:eastAsia="黑体"/>
          <w:color w:val="auto"/>
          <w:sz w:val="24"/>
        </w:rPr>
        <w:t>培训</w:t>
      </w:r>
    </w:p>
    <w:p>
      <w:pPr>
        <w:ind w:firstLine="600"/>
        <w:rPr>
          <w:rFonts w:ascii="仿宋_GB2312" w:eastAsia="仿宋_GB2312"/>
          <w:color w:val="auto"/>
          <w:sz w:val="24"/>
        </w:rPr>
      </w:pPr>
      <w:r>
        <w:rPr>
          <w:rFonts w:hint="eastAsia" w:ascii="仿宋_GB2312" w:eastAsia="仿宋_GB2312"/>
          <w:color w:val="auto"/>
          <w:sz w:val="24"/>
        </w:rPr>
        <w:t>培训的时长为</w:t>
      </w:r>
      <w:r>
        <w:rPr>
          <w:rFonts w:ascii="仿宋_GB2312" w:eastAsia="仿宋_GB2312"/>
          <w:color w:val="auto"/>
          <w:sz w:val="24"/>
          <w:u w:val="single"/>
        </w:rPr>
        <w:t xml:space="preserve">             </w:t>
      </w:r>
      <w:r>
        <w:rPr>
          <w:rFonts w:hint="eastAsia" w:ascii="仿宋_GB2312" w:eastAsia="仿宋_GB2312"/>
          <w:color w:val="auto"/>
          <w:sz w:val="24"/>
        </w:rPr>
        <w:t>，承包人应为培训提供的人员、设施和其它必要条件为</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5.4 </w:t>
      </w:r>
      <w:r>
        <w:rPr>
          <w:rFonts w:hint="eastAsia" w:ascii="黑体" w:hAnsi="黑体" w:eastAsia="黑体"/>
          <w:color w:val="auto"/>
          <w:sz w:val="24"/>
        </w:rPr>
        <w:t>竣工文件</w:t>
      </w:r>
    </w:p>
    <w:p>
      <w:pPr>
        <w:ind w:firstLine="600"/>
        <w:rPr>
          <w:rFonts w:ascii="仿宋_GB2312" w:eastAsia="仿宋_GB2312"/>
          <w:color w:val="auto"/>
          <w:sz w:val="24"/>
        </w:rPr>
      </w:pPr>
      <w:r>
        <w:rPr>
          <w:rFonts w:ascii="仿宋_GB2312" w:eastAsia="仿宋_GB2312"/>
          <w:color w:val="auto"/>
          <w:sz w:val="24"/>
        </w:rPr>
        <w:t xml:space="preserve">5.4.1 </w:t>
      </w:r>
      <w:r>
        <w:rPr>
          <w:rFonts w:hint="eastAsia" w:ascii="仿宋_GB2312" w:eastAsia="仿宋_GB2312"/>
          <w:color w:val="auto"/>
          <w:sz w:val="24"/>
        </w:rPr>
        <w:t>竣工文件的形式、提供的份数、技术标准以及其它相关要求：</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5</w:t>
      </w:r>
      <w:r>
        <w:rPr>
          <w:rFonts w:ascii="仿宋_GB2312" w:eastAsia="仿宋_GB2312"/>
          <w:color w:val="auto"/>
          <w:sz w:val="24"/>
        </w:rPr>
        <w:t xml:space="preserve">.4.3 </w:t>
      </w:r>
      <w:r>
        <w:rPr>
          <w:rFonts w:hint="eastAsia" w:ascii="仿宋_GB2312" w:eastAsia="仿宋_GB2312"/>
          <w:color w:val="auto"/>
          <w:sz w:val="24"/>
        </w:rPr>
        <w:t>关于竣工文件的其他约定：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5.5 </w:t>
      </w:r>
      <w:r>
        <w:rPr>
          <w:rFonts w:hint="eastAsia" w:ascii="黑体" w:hAnsi="黑体" w:eastAsia="黑体"/>
          <w:color w:val="auto"/>
          <w:sz w:val="24"/>
        </w:rPr>
        <w:t>操作和维修手册</w:t>
      </w:r>
    </w:p>
    <w:p>
      <w:pPr>
        <w:ind w:firstLine="600"/>
        <w:rPr>
          <w:rFonts w:ascii="仿宋_GB2312" w:eastAsia="仿宋_GB2312"/>
          <w:color w:val="auto"/>
          <w:sz w:val="24"/>
        </w:rPr>
      </w:pPr>
      <w:r>
        <w:rPr>
          <w:rFonts w:ascii="仿宋_GB2312" w:eastAsia="仿宋_GB2312"/>
          <w:color w:val="auto"/>
          <w:sz w:val="24"/>
        </w:rPr>
        <w:t xml:space="preserve">5.5.3 </w:t>
      </w:r>
      <w:r>
        <w:rPr>
          <w:rFonts w:hint="eastAsia" w:ascii="仿宋_GB2312" w:eastAsia="仿宋_GB2312"/>
          <w:color w:val="auto"/>
          <w:sz w:val="24"/>
        </w:rPr>
        <w:t>对最终操作和维修手册的约定：</w:t>
      </w:r>
      <w:r>
        <w:rPr>
          <w:rFonts w:ascii="仿宋_GB2312" w:eastAsia="仿宋_GB2312"/>
          <w:color w:val="auto"/>
          <w:sz w:val="24"/>
          <w:u w:val="single"/>
        </w:rPr>
        <w:t xml:space="preserve">                 </w:t>
      </w:r>
      <w:r>
        <w:rPr>
          <w:rFonts w:hint="eastAsia" w:ascii="仿宋_GB2312" w:eastAsia="仿宋_GB2312"/>
          <w:color w:val="auto"/>
          <w:sz w:val="24"/>
        </w:rPr>
        <w:t>。</w:t>
      </w:r>
    </w:p>
    <w:p>
      <w:pPr>
        <w:pStyle w:val="314"/>
        <w:rPr>
          <w:rFonts w:ascii="黑体" w:hAnsi="黑体" w:eastAsia="黑体"/>
          <w:b w:val="0"/>
          <w:bCs/>
          <w:color w:val="auto"/>
          <w:sz w:val="24"/>
          <w:szCs w:val="24"/>
        </w:rPr>
      </w:pPr>
      <w:bookmarkStart w:id="1144" w:name="_Toc54862337"/>
      <w:r>
        <w:rPr>
          <w:rFonts w:hint="eastAsia" w:ascii="黑体" w:hAnsi="黑体" w:eastAsia="黑体"/>
          <w:b w:val="0"/>
          <w:bCs/>
          <w:color w:val="auto"/>
          <w:sz w:val="24"/>
          <w:szCs w:val="24"/>
        </w:rPr>
        <w:t>第</w:t>
      </w:r>
      <w:r>
        <w:rPr>
          <w:rFonts w:ascii="黑体" w:hAnsi="黑体" w:eastAsia="黑体"/>
          <w:b w:val="0"/>
          <w:bCs/>
          <w:color w:val="auto"/>
          <w:sz w:val="24"/>
          <w:szCs w:val="24"/>
        </w:rPr>
        <w:t>6条</w:t>
      </w:r>
      <w:r>
        <w:rPr>
          <w:rFonts w:hint="eastAsia" w:ascii="黑体" w:hAnsi="黑体" w:eastAsia="黑体"/>
          <w:b w:val="0"/>
          <w:bCs/>
          <w:color w:val="auto"/>
          <w:sz w:val="24"/>
          <w:szCs w:val="24"/>
        </w:rPr>
        <w:t xml:space="preserve"> 材料、工程设备</w:t>
      </w:r>
      <w:bookmarkEnd w:id="1144"/>
    </w:p>
    <w:p>
      <w:pPr>
        <w:ind w:firstLine="600"/>
        <w:rPr>
          <w:rFonts w:ascii="黑体" w:hAnsi="黑体" w:eastAsia="黑体"/>
          <w:color w:val="auto"/>
          <w:sz w:val="24"/>
        </w:rPr>
      </w:pPr>
      <w:r>
        <w:rPr>
          <w:rFonts w:ascii="黑体" w:hAnsi="黑体" w:eastAsia="黑体"/>
          <w:color w:val="auto"/>
          <w:sz w:val="24"/>
        </w:rPr>
        <w:t xml:space="preserve">6.1 </w:t>
      </w:r>
      <w:r>
        <w:rPr>
          <w:rFonts w:hint="eastAsia" w:ascii="黑体" w:hAnsi="黑体" w:eastAsia="黑体"/>
          <w:color w:val="auto"/>
          <w:sz w:val="24"/>
        </w:rPr>
        <w:t>实施方法</w:t>
      </w:r>
    </w:p>
    <w:p>
      <w:pPr>
        <w:ind w:firstLine="600"/>
        <w:rPr>
          <w:rFonts w:ascii="仿宋_GB2312" w:eastAsia="仿宋_GB2312"/>
          <w:color w:val="auto"/>
          <w:sz w:val="24"/>
        </w:rPr>
      </w:pPr>
      <w:r>
        <w:rPr>
          <w:rFonts w:hint="eastAsia" w:ascii="仿宋_GB2312" w:eastAsia="仿宋_GB2312"/>
          <w:color w:val="auto"/>
          <w:sz w:val="24"/>
        </w:rPr>
        <w:t>双方当事人约定的实施方法、设备、设施和材料：</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6.2 </w:t>
      </w:r>
      <w:r>
        <w:rPr>
          <w:rFonts w:hint="eastAsia" w:ascii="黑体" w:hAnsi="黑体" w:eastAsia="黑体"/>
          <w:color w:val="auto"/>
          <w:sz w:val="24"/>
        </w:rPr>
        <w:t>材料和工程设备</w:t>
      </w:r>
    </w:p>
    <w:p>
      <w:pPr>
        <w:ind w:firstLine="600"/>
        <w:rPr>
          <w:rFonts w:ascii="仿宋_GB2312" w:eastAsia="仿宋_GB2312"/>
          <w:color w:val="auto"/>
          <w:sz w:val="24"/>
        </w:rPr>
      </w:pPr>
      <w:r>
        <w:rPr>
          <w:rFonts w:ascii="仿宋_GB2312" w:eastAsia="仿宋_GB2312"/>
          <w:color w:val="auto"/>
          <w:sz w:val="24"/>
        </w:rPr>
        <w:t xml:space="preserve">6.2.1 </w:t>
      </w:r>
      <w:r>
        <w:rPr>
          <w:rFonts w:hint="eastAsia" w:ascii="仿宋_GB2312" w:eastAsia="仿宋_GB2312"/>
          <w:color w:val="auto"/>
          <w:sz w:val="24"/>
        </w:rPr>
        <w:t>发包人提供的材料和工程设备</w:t>
      </w:r>
    </w:p>
    <w:p>
      <w:pPr>
        <w:ind w:firstLine="600"/>
        <w:rPr>
          <w:rFonts w:ascii="仿宋_GB2312" w:eastAsia="仿宋_GB2312"/>
          <w:color w:val="auto"/>
          <w:sz w:val="24"/>
        </w:rPr>
      </w:pPr>
      <w:r>
        <w:rPr>
          <w:rFonts w:hint="eastAsia" w:ascii="仿宋_GB2312" w:eastAsia="仿宋_GB2312"/>
          <w:color w:val="auto"/>
          <w:sz w:val="24"/>
        </w:rPr>
        <w:t>发包人提供的材料和工程设备验收后，由</w:t>
      </w:r>
      <w:r>
        <w:rPr>
          <w:rFonts w:ascii="仿宋_GB2312" w:eastAsia="仿宋_GB2312"/>
          <w:color w:val="auto"/>
          <w:sz w:val="24"/>
          <w:u w:val="single"/>
        </w:rPr>
        <w:t xml:space="preserve">           </w:t>
      </w:r>
      <w:r>
        <w:rPr>
          <w:rFonts w:hint="eastAsia" w:ascii="仿宋_GB2312" w:eastAsia="仿宋_GB2312"/>
          <w:color w:val="auto"/>
          <w:sz w:val="24"/>
        </w:rPr>
        <w:t>负责接收、运输和保管。</w:t>
      </w:r>
    </w:p>
    <w:p>
      <w:pPr>
        <w:ind w:firstLine="600"/>
        <w:rPr>
          <w:rFonts w:ascii="仿宋_GB2312" w:eastAsia="仿宋_GB2312"/>
          <w:color w:val="auto"/>
          <w:sz w:val="24"/>
        </w:rPr>
      </w:pPr>
      <w:r>
        <w:rPr>
          <w:rFonts w:ascii="仿宋_GB2312" w:eastAsia="仿宋_GB2312"/>
          <w:color w:val="auto"/>
          <w:sz w:val="24"/>
        </w:rPr>
        <w:t xml:space="preserve">6.2.2 </w:t>
      </w:r>
      <w:r>
        <w:rPr>
          <w:rFonts w:hint="eastAsia" w:ascii="仿宋_GB2312" w:eastAsia="仿宋_GB2312"/>
          <w:color w:val="auto"/>
          <w:sz w:val="24"/>
        </w:rPr>
        <w:t>承包人提供的材料和工程设备</w:t>
      </w:r>
    </w:p>
    <w:p>
      <w:pPr>
        <w:ind w:firstLine="600"/>
        <w:rPr>
          <w:rFonts w:ascii="仿宋_GB2312" w:eastAsia="仿宋_GB2312"/>
          <w:color w:val="auto"/>
          <w:sz w:val="24"/>
        </w:rPr>
      </w:pPr>
      <w:r>
        <w:rPr>
          <w:rFonts w:hint="eastAsia" w:ascii="仿宋_GB2312" w:eastAsia="仿宋_GB2312"/>
          <w:color w:val="auto"/>
          <w:sz w:val="24"/>
        </w:rPr>
        <w:t>材料和工程设备的类别、估算数量：</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竣工后试验的生产性材料的类别或（和）清单：</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6.2.3 </w:t>
      </w:r>
      <w:r>
        <w:rPr>
          <w:rFonts w:hint="eastAsia" w:ascii="仿宋_GB2312" w:eastAsia="仿宋_GB2312"/>
          <w:color w:val="auto"/>
          <w:sz w:val="24"/>
        </w:rPr>
        <w:t>材料和工程设备的保管</w:t>
      </w:r>
    </w:p>
    <w:p>
      <w:pPr>
        <w:ind w:firstLine="600"/>
        <w:rPr>
          <w:rFonts w:ascii="仿宋_GB2312" w:eastAsia="仿宋_GB2312"/>
          <w:color w:val="auto"/>
          <w:sz w:val="24"/>
        </w:rPr>
      </w:pPr>
      <w:r>
        <w:rPr>
          <w:rFonts w:hint="eastAsia" w:ascii="仿宋_GB2312" w:eastAsia="仿宋_GB2312"/>
          <w:color w:val="auto"/>
          <w:sz w:val="24"/>
        </w:rPr>
        <w:t>发包人供应的材料和工程设备的保管费用由</w:t>
      </w:r>
      <w:r>
        <w:rPr>
          <w:rFonts w:ascii="仿宋_GB2312" w:eastAsia="仿宋_GB2312"/>
          <w:color w:val="auto"/>
          <w:sz w:val="24"/>
          <w:u w:val="single"/>
        </w:rPr>
        <w:t xml:space="preserve">        </w:t>
      </w:r>
      <w:r>
        <w:rPr>
          <w:rFonts w:hint="eastAsia" w:ascii="仿宋_GB2312" w:eastAsia="仿宋_GB2312"/>
          <w:color w:val="auto"/>
          <w:sz w:val="24"/>
        </w:rPr>
        <w:t>承担。</w:t>
      </w:r>
    </w:p>
    <w:p>
      <w:pPr>
        <w:ind w:firstLine="600"/>
        <w:rPr>
          <w:rFonts w:ascii="仿宋_GB2312" w:eastAsia="仿宋_GB2312"/>
          <w:color w:val="auto"/>
          <w:sz w:val="24"/>
        </w:rPr>
      </w:pPr>
      <w:r>
        <w:rPr>
          <w:rFonts w:hint="eastAsia" w:ascii="仿宋_GB2312" w:eastAsia="仿宋_GB2312"/>
          <w:color w:val="auto"/>
          <w:sz w:val="24"/>
        </w:rPr>
        <w:t>承包人提交保管、维护方案的时间：</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发包人提供的库房、堆场、设施和设备：</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6.3 </w:t>
      </w:r>
      <w:r>
        <w:rPr>
          <w:rFonts w:hint="eastAsia" w:ascii="黑体" w:hAnsi="黑体" w:eastAsia="黑体"/>
          <w:color w:val="auto"/>
          <w:sz w:val="24"/>
        </w:rPr>
        <w:t>样品</w:t>
      </w:r>
    </w:p>
    <w:p>
      <w:pPr>
        <w:ind w:firstLine="600"/>
        <w:rPr>
          <w:rFonts w:ascii="仿宋_GB2312" w:eastAsia="仿宋_GB2312"/>
          <w:color w:val="auto"/>
          <w:sz w:val="24"/>
        </w:rPr>
      </w:pPr>
      <w:r>
        <w:rPr>
          <w:rFonts w:hint="eastAsia" w:ascii="仿宋_GB2312" w:eastAsia="仿宋_GB2312"/>
          <w:color w:val="auto"/>
          <w:sz w:val="24"/>
        </w:rPr>
        <w:t>6</w:t>
      </w:r>
      <w:r>
        <w:rPr>
          <w:rFonts w:ascii="仿宋_GB2312" w:eastAsia="仿宋_GB2312"/>
          <w:color w:val="auto"/>
          <w:sz w:val="24"/>
        </w:rPr>
        <w:t xml:space="preserve">.3.1 </w:t>
      </w:r>
      <w:r>
        <w:rPr>
          <w:rFonts w:hint="eastAsia" w:ascii="仿宋_GB2312" w:eastAsia="仿宋_GB2312"/>
          <w:color w:val="auto"/>
          <w:sz w:val="24"/>
        </w:rPr>
        <w:t>样品的报送与封存</w:t>
      </w:r>
    </w:p>
    <w:p>
      <w:pPr>
        <w:ind w:firstLine="600"/>
        <w:rPr>
          <w:rFonts w:ascii="仿宋_GB2312" w:eastAsia="仿宋_GB2312"/>
          <w:color w:val="auto"/>
          <w:sz w:val="24"/>
        </w:rPr>
      </w:pPr>
      <w:r>
        <w:rPr>
          <w:rFonts w:ascii="仿宋_GB2312" w:eastAsia="仿宋_GB2312"/>
          <w:color w:val="auto"/>
          <w:sz w:val="24"/>
        </w:rPr>
        <w:t>需要承包人报送样品的材料或工程设备</w:t>
      </w:r>
      <w:r>
        <w:rPr>
          <w:rFonts w:hint="eastAsia" w:ascii="仿宋_GB2312" w:eastAsia="仿宋_GB2312"/>
          <w:color w:val="auto"/>
          <w:sz w:val="24"/>
        </w:rPr>
        <w:t>，样品种类、名称、规格、数量：</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6.4 </w:t>
      </w:r>
      <w:r>
        <w:rPr>
          <w:rFonts w:hint="eastAsia" w:ascii="黑体" w:hAnsi="黑体" w:eastAsia="黑体"/>
          <w:color w:val="auto"/>
          <w:sz w:val="24"/>
        </w:rPr>
        <w:t>质量检查</w:t>
      </w:r>
    </w:p>
    <w:p>
      <w:pPr>
        <w:ind w:firstLine="600"/>
        <w:rPr>
          <w:rFonts w:ascii="仿宋_GB2312" w:eastAsia="仿宋_GB2312"/>
          <w:color w:val="auto"/>
          <w:sz w:val="24"/>
        </w:rPr>
      </w:pPr>
      <w:r>
        <w:rPr>
          <w:rFonts w:ascii="仿宋_GB2312" w:eastAsia="仿宋_GB2312"/>
          <w:color w:val="auto"/>
          <w:sz w:val="24"/>
        </w:rPr>
        <w:t xml:space="preserve">6.4.1 </w:t>
      </w:r>
      <w:r>
        <w:rPr>
          <w:rFonts w:hint="eastAsia" w:ascii="仿宋_GB2312" w:eastAsia="仿宋_GB2312"/>
          <w:color w:val="auto"/>
          <w:sz w:val="24"/>
        </w:rPr>
        <w:t>工程质量要求</w:t>
      </w:r>
    </w:p>
    <w:p>
      <w:pPr>
        <w:ind w:firstLine="600"/>
        <w:rPr>
          <w:rFonts w:ascii="仿宋_GB2312" w:eastAsia="仿宋_GB2312"/>
          <w:color w:val="auto"/>
          <w:sz w:val="24"/>
        </w:rPr>
      </w:pPr>
      <w:r>
        <w:rPr>
          <w:rFonts w:hint="eastAsia" w:ascii="仿宋_GB2312" w:eastAsia="仿宋_GB2312"/>
          <w:color w:val="auto"/>
          <w:sz w:val="24"/>
        </w:rPr>
        <w:t>工程质量的特殊标准或要求：</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6.4.2 </w:t>
      </w:r>
      <w:r>
        <w:rPr>
          <w:rFonts w:hint="eastAsia" w:ascii="仿宋_GB2312" w:eastAsia="仿宋_GB2312"/>
          <w:color w:val="auto"/>
          <w:sz w:val="24"/>
        </w:rPr>
        <w:t>质量检查</w:t>
      </w:r>
    </w:p>
    <w:p>
      <w:pPr>
        <w:ind w:firstLine="600"/>
        <w:rPr>
          <w:rFonts w:ascii="仿宋_GB2312" w:eastAsia="仿宋_GB2312"/>
          <w:color w:val="auto"/>
          <w:sz w:val="24"/>
        </w:rPr>
      </w:pPr>
      <w:r>
        <w:rPr>
          <w:rFonts w:hint="eastAsia" w:ascii="仿宋_GB2312" w:eastAsia="仿宋_GB2312"/>
          <w:color w:val="auto"/>
          <w:sz w:val="24"/>
        </w:rPr>
        <w:t>除通用合同条件已列明的质量检查的地点外，发包人有权进行质量检查的其他地点：</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6.4.3 </w:t>
      </w:r>
      <w:r>
        <w:rPr>
          <w:rFonts w:hint="eastAsia" w:ascii="仿宋_GB2312" w:eastAsia="仿宋_GB2312"/>
          <w:color w:val="auto"/>
          <w:sz w:val="24"/>
        </w:rPr>
        <w:t>隐蔽工程检查</w:t>
      </w:r>
    </w:p>
    <w:p>
      <w:pPr>
        <w:ind w:firstLine="600"/>
        <w:rPr>
          <w:rFonts w:ascii="仿宋_GB2312" w:eastAsia="仿宋_GB2312"/>
          <w:color w:val="auto"/>
          <w:sz w:val="24"/>
        </w:rPr>
      </w:pPr>
      <w:r>
        <w:rPr>
          <w:rFonts w:hint="eastAsia" w:ascii="仿宋_GB2312" w:eastAsia="仿宋_GB2312"/>
          <w:color w:val="auto"/>
          <w:sz w:val="24"/>
        </w:rPr>
        <w:t>关于隐蔽工程和中间验收的特别约定：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6.5 </w:t>
      </w:r>
      <w:r>
        <w:rPr>
          <w:rFonts w:hint="eastAsia" w:ascii="黑体" w:hAnsi="黑体" w:eastAsia="黑体"/>
          <w:color w:val="auto"/>
          <w:sz w:val="24"/>
        </w:rPr>
        <w:t>由承包人试验和检验</w:t>
      </w:r>
    </w:p>
    <w:p>
      <w:pPr>
        <w:ind w:firstLine="600"/>
        <w:rPr>
          <w:rFonts w:ascii="仿宋_GB2312" w:eastAsia="仿宋_GB2312"/>
          <w:color w:val="auto"/>
          <w:sz w:val="24"/>
        </w:rPr>
      </w:pPr>
      <w:r>
        <w:rPr>
          <w:rFonts w:hint="eastAsia" w:ascii="仿宋_GB2312" w:eastAsia="仿宋_GB2312"/>
          <w:color w:val="auto"/>
          <w:sz w:val="24"/>
        </w:rPr>
        <w:t>6</w:t>
      </w:r>
      <w:r>
        <w:rPr>
          <w:rFonts w:ascii="仿宋_GB2312" w:eastAsia="仿宋_GB2312"/>
          <w:color w:val="auto"/>
          <w:sz w:val="24"/>
        </w:rPr>
        <w:t xml:space="preserve">.5.1 </w:t>
      </w:r>
      <w:r>
        <w:rPr>
          <w:rFonts w:hint="eastAsia" w:ascii="仿宋_GB2312" w:eastAsia="仿宋_GB2312"/>
          <w:color w:val="auto"/>
          <w:sz w:val="24"/>
        </w:rPr>
        <w:t>试验设备与试验人员</w:t>
      </w:r>
    </w:p>
    <w:p>
      <w:pPr>
        <w:ind w:firstLine="600"/>
        <w:rPr>
          <w:rFonts w:ascii="仿宋_GB2312" w:eastAsia="仿宋_GB2312"/>
          <w:color w:val="auto"/>
          <w:sz w:val="24"/>
        </w:rPr>
      </w:pPr>
      <w:r>
        <w:rPr>
          <w:rFonts w:hint="eastAsia" w:ascii="仿宋_GB2312" w:eastAsia="仿宋_GB2312"/>
          <w:color w:val="auto"/>
          <w:sz w:val="24"/>
        </w:rPr>
        <w:t>试验的内容、时间和地点：</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试验所需要的试验设备、取样装置、试验场所和试验条件：</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u w:val="single"/>
        </w:rPr>
      </w:pPr>
      <w:r>
        <w:rPr>
          <w:rFonts w:hint="eastAsia" w:ascii="仿宋_GB2312" w:eastAsia="仿宋_GB2312"/>
          <w:color w:val="auto"/>
          <w:sz w:val="24"/>
        </w:rPr>
        <w:t>试验和检验费用的计价原则：</w:t>
      </w:r>
      <w:r>
        <w:rPr>
          <w:rFonts w:hint="eastAsia" w:ascii="仿宋_GB2312" w:eastAsia="仿宋_GB2312"/>
          <w:color w:val="auto"/>
          <w:sz w:val="24"/>
          <w:u w:val="single"/>
        </w:rPr>
        <w:t xml:space="preserve"> </w:t>
      </w:r>
      <w:r>
        <w:rPr>
          <w:rFonts w:ascii="仿宋_GB2312" w:eastAsia="仿宋_GB2312"/>
          <w:color w:val="auto"/>
          <w:sz w:val="24"/>
          <w:u w:val="single"/>
        </w:rPr>
        <w:t xml:space="preserve">                        </w:t>
      </w:r>
      <w:r>
        <w:rPr>
          <w:rFonts w:hint="eastAsia" w:ascii="仿宋_GB2312" w:eastAsia="仿宋_GB2312"/>
          <w:color w:val="auto"/>
          <w:sz w:val="24"/>
        </w:rPr>
        <w:t>。</w:t>
      </w:r>
    </w:p>
    <w:p>
      <w:pPr>
        <w:pStyle w:val="314"/>
        <w:rPr>
          <w:rFonts w:ascii="黑体" w:hAnsi="黑体" w:eastAsia="黑体"/>
          <w:color w:val="auto"/>
          <w:sz w:val="24"/>
          <w:szCs w:val="24"/>
        </w:rPr>
      </w:pPr>
      <w:bookmarkStart w:id="1145" w:name="_Toc54862338"/>
      <w:r>
        <w:rPr>
          <w:rFonts w:hint="eastAsia" w:ascii="黑体" w:hAnsi="黑体" w:eastAsia="黑体"/>
          <w:color w:val="auto"/>
          <w:sz w:val="24"/>
          <w:szCs w:val="24"/>
        </w:rPr>
        <w:t>第</w:t>
      </w:r>
      <w:r>
        <w:rPr>
          <w:rFonts w:ascii="黑体" w:hAnsi="黑体" w:eastAsia="黑体"/>
          <w:color w:val="auto"/>
          <w:sz w:val="24"/>
          <w:szCs w:val="24"/>
        </w:rPr>
        <w:t>7条</w:t>
      </w:r>
      <w:r>
        <w:rPr>
          <w:rFonts w:hint="eastAsia" w:ascii="黑体" w:hAnsi="黑体" w:eastAsia="黑体"/>
          <w:color w:val="auto"/>
          <w:sz w:val="24"/>
          <w:szCs w:val="24"/>
        </w:rPr>
        <w:t xml:space="preserve"> 施工</w:t>
      </w:r>
      <w:bookmarkEnd w:id="1145"/>
    </w:p>
    <w:p>
      <w:pPr>
        <w:ind w:firstLine="600"/>
        <w:rPr>
          <w:rFonts w:ascii="黑体" w:hAnsi="黑体" w:eastAsia="黑体"/>
          <w:color w:val="auto"/>
          <w:sz w:val="24"/>
        </w:rPr>
      </w:pPr>
      <w:r>
        <w:rPr>
          <w:rFonts w:ascii="黑体" w:hAnsi="黑体" w:eastAsia="黑体"/>
          <w:color w:val="auto"/>
          <w:sz w:val="24"/>
        </w:rPr>
        <w:t xml:space="preserve">7.1 </w:t>
      </w:r>
      <w:r>
        <w:rPr>
          <w:rFonts w:hint="eastAsia" w:ascii="黑体" w:hAnsi="黑体" w:eastAsia="黑体"/>
          <w:color w:val="auto"/>
          <w:sz w:val="24"/>
        </w:rPr>
        <w:t>交通运输</w:t>
      </w:r>
    </w:p>
    <w:p>
      <w:pPr>
        <w:ind w:firstLine="600"/>
        <w:rPr>
          <w:rFonts w:ascii="仿宋_GB2312" w:eastAsia="仿宋_GB2312"/>
          <w:color w:val="auto"/>
          <w:sz w:val="24"/>
        </w:rPr>
      </w:pPr>
      <w:r>
        <w:rPr>
          <w:rFonts w:ascii="仿宋_GB2312" w:eastAsia="仿宋_GB2312"/>
          <w:color w:val="auto"/>
          <w:sz w:val="24"/>
        </w:rPr>
        <w:t xml:space="preserve">7.1.1 </w:t>
      </w:r>
      <w:r>
        <w:rPr>
          <w:rFonts w:hint="eastAsia" w:ascii="仿宋_GB2312" w:eastAsia="仿宋_GB2312"/>
          <w:color w:val="auto"/>
          <w:sz w:val="24"/>
        </w:rPr>
        <w:t>出入现场的权利</w:t>
      </w:r>
    </w:p>
    <w:p>
      <w:pPr>
        <w:ind w:firstLine="600"/>
        <w:rPr>
          <w:rFonts w:ascii="仿宋_GB2312" w:eastAsia="仿宋_GB2312"/>
          <w:color w:val="auto"/>
          <w:sz w:val="24"/>
        </w:rPr>
      </w:pPr>
      <w:r>
        <w:rPr>
          <w:rFonts w:hint="eastAsia" w:ascii="仿宋_GB2312" w:eastAsia="仿宋_GB2312"/>
          <w:color w:val="auto"/>
          <w:sz w:val="24"/>
        </w:rPr>
        <w:t>关于出入现场的权利的约定：</w:t>
      </w:r>
      <w:r>
        <w:rPr>
          <w:rFonts w:ascii="仿宋_GB2312" w:eastAsia="仿宋_GB2312"/>
          <w:color w:val="auto"/>
          <w:sz w:val="24"/>
          <w:u w:val="single"/>
        </w:rPr>
        <w:t xml:space="preserve">                         </w:t>
      </w:r>
      <w:r>
        <w:rPr>
          <w:rFonts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7.1.2 </w:t>
      </w:r>
      <w:r>
        <w:rPr>
          <w:rFonts w:hint="eastAsia" w:ascii="仿宋_GB2312" w:eastAsia="仿宋_GB2312"/>
          <w:color w:val="auto"/>
          <w:sz w:val="24"/>
        </w:rPr>
        <w:t>场外交通</w:t>
      </w:r>
    </w:p>
    <w:p>
      <w:pPr>
        <w:ind w:firstLine="600"/>
        <w:rPr>
          <w:rFonts w:ascii="仿宋_GB2312" w:eastAsia="仿宋_GB2312"/>
          <w:color w:val="auto"/>
          <w:sz w:val="24"/>
        </w:rPr>
      </w:pPr>
      <w:r>
        <w:rPr>
          <w:rFonts w:hint="eastAsia" w:ascii="仿宋_GB2312" w:eastAsia="仿宋_GB2312"/>
          <w:color w:val="auto"/>
          <w:sz w:val="24"/>
        </w:rPr>
        <w:t>关于场外交通的特别约定：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7.1.3 </w:t>
      </w:r>
      <w:r>
        <w:rPr>
          <w:rFonts w:hint="eastAsia" w:ascii="仿宋_GB2312" w:eastAsia="仿宋_GB2312"/>
          <w:color w:val="auto"/>
          <w:sz w:val="24"/>
        </w:rPr>
        <w:t>场内交通</w:t>
      </w:r>
    </w:p>
    <w:p>
      <w:pPr>
        <w:ind w:firstLine="600"/>
        <w:rPr>
          <w:rFonts w:ascii="仿宋_GB2312" w:eastAsia="仿宋_GB2312"/>
          <w:color w:val="auto"/>
          <w:sz w:val="24"/>
        </w:rPr>
      </w:pPr>
      <w:r>
        <w:rPr>
          <w:rFonts w:hint="eastAsia" w:ascii="仿宋_GB2312" w:eastAsia="仿宋_GB2312"/>
          <w:color w:val="auto"/>
          <w:sz w:val="24"/>
        </w:rPr>
        <w:t>关于场内交通的特别约定：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关于场内交通与场外交通边界的约定：</w:t>
      </w:r>
      <w:r>
        <w:rPr>
          <w:rFonts w:ascii="仿宋_GB2312" w:eastAsia="仿宋_GB2312"/>
          <w:color w:val="auto"/>
          <w:sz w:val="24"/>
          <w:u w:val="single"/>
        </w:rPr>
        <w:t xml:space="preserve">                 </w:t>
      </w:r>
      <w:r>
        <w:rPr>
          <w:rFonts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7.1.4 </w:t>
      </w:r>
      <w:r>
        <w:rPr>
          <w:rFonts w:hint="eastAsia" w:ascii="仿宋_GB2312" w:eastAsia="仿宋_GB2312"/>
          <w:color w:val="auto"/>
          <w:sz w:val="24"/>
        </w:rPr>
        <w:t>超大件和超重件的运输</w:t>
      </w:r>
    </w:p>
    <w:p>
      <w:pPr>
        <w:ind w:firstLine="600"/>
        <w:rPr>
          <w:rFonts w:ascii="仿宋_GB2312" w:eastAsia="仿宋_GB2312"/>
          <w:color w:val="auto"/>
          <w:sz w:val="24"/>
        </w:rPr>
      </w:pPr>
      <w:r>
        <w:rPr>
          <w:rFonts w:hint="eastAsia" w:ascii="仿宋_GB2312" w:eastAsia="仿宋_GB2312"/>
          <w:color w:val="auto"/>
          <w:sz w:val="24"/>
        </w:rPr>
        <w:t>运输超大件或超重件所需的道路和桥梁临时加固改造费用和其他有关费用由</w:t>
      </w:r>
      <w:r>
        <w:rPr>
          <w:rFonts w:ascii="仿宋_GB2312" w:eastAsia="仿宋_GB2312"/>
          <w:color w:val="auto"/>
          <w:sz w:val="24"/>
          <w:u w:val="single"/>
        </w:rPr>
        <w:t xml:space="preserve">            </w:t>
      </w:r>
      <w:r>
        <w:rPr>
          <w:rFonts w:ascii="仿宋_GB2312" w:eastAsia="仿宋_GB2312"/>
          <w:color w:val="auto"/>
          <w:sz w:val="24"/>
        </w:rPr>
        <w:t>承担。</w:t>
      </w:r>
    </w:p>
    <w:p>
      <w:pPr>
        <w:ind w:firstLine="600"/>
        <w:rPr>
          <w:rFonts w:ascii="黑体" w:hAnsi="黑体" w:eastAsia="黑体"/>
          <w:color w:val="auto"/>
          <w:sz w:val="24"/>
        </w:rPr>
      </w:pPr>
      <w:r>
        <w:rPr>
          <w:rFonts w:ascii="黑体" w:hAnsi="黑体" w:eastAsia="黑体"/>
          <w:color w:val="auto"/>
          <w:sz w:val="24"/>
        </w:rPr>
        <w:t xml:space="preserve">7.2 </w:t>
      </w:r>
      <w:r>
        <w:rPr>
          <w:rFonts w:hint="eastAsia" w:ascii="黑体" w:hAnsi="黑体" w:eastAsia="黑体"/>
          <w:color w:val="auto"/>
          <w:sz w:val="24"/>
        </w:rPr>
        <w:t>施工设备和临时设施</w:t>
      </w:r>
    </w:p>
    <w:p>
      <w:pPr>
        <w:ind w:firstLine="600"/>
        <w:rPr>
          <w:rFonts w:ascii="仿宋_GB2312" w:eastAsia="仿宋_GB2312"/>
          <w:color w:val="auto"/>
          <w:sz w:val="24"/>
        </w:rPr>
      </w:pPr>
      <w:r>
        <w:rPr>
          <w:rFonts w:ascii="仿宋_GB2312" w:eastAsia="仿宋_GB2312"/>
          <w:color w:val="auto"/>
          <w:sz w:val="24"/>
        </w:rPr>
        <w:t xml:space="preserve">7.2.1 </w:t>
      </w:r>
      <w:r>
        <w:rPr>
          <w:rFonts w:hint="eastAsia" w:ascii="仿宋_GB2312" w:eastAsia="仿宋_GB2312"/>
          <w:color w:val="auto"/>
          <w:sz w:val="24"/>
        </w:rPr>
        <w:t>承包人提供的施工设备和临时设施</w:t>
      </w:r>
    </w:p>
    <w:p>
      <w:pPr>
        <w:ind w:firstLine="600"/>
        <w:rPr>
          <w:rFonts w:ascii="仿宋_GB2312" w:eastAsia="仿宋_GB2312"/>
          <w:color w:val="auto"/>
          <w:sz w:val="24"/>
        </w:rPr>
      </w:pPr>
      <w:r>
        <w:rPr>
          <w:rFonts w:hint="eastAsia" w:ascii="仿宋_GB2312" w:eastAsia="仿宋_GB2312"/>
          <w:color w:val="auto"/>
          <w:sz w:val="24"/>
        </w:rPr>
        <w:t>临时设施的费用和临时占地手续和费用承担的特别约定：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7.2.2 </w:t>
      </w:r>
      <w:r>
        <w:rPr>
          <w:rFonts w:hint="eastAsia" w:ascii="仿宋_GB2312" w:eastAsia="仿宋_GB2312"/>
          <w:color w:val="auto"/>
          <w:sz w:val="24"/>
        </w:rPr>
        <w:t>发包人提供的施工设备和临时设施</w:t>
      </w:r>
    </w:p>
    <w:p>
      <w:pPr>
        <w:ind w:firstLine="600"/>
        <w:rPr>
          <w:rFonts w:ascii="仿宋_GB2312" w:eastAsia="仿宋_GB2312"/>
          <w:color w:val="auto"/>
          <w:sz w:val="24"/>
        </w:rPr>
      </w:pPr>
      <w:r>
        <w:rPr>
          <w:rFonts w:hint="eastAsia" w:ascii="仿宋_GB2312" w:eastAsia="仿宋_GB2312"/>
          <w:color w:val="auto"/>
          <w:sz w:val="24"/>
        </w:rPr>
        <w:t>发包人提供的施工设备或临时设施范围：</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7.3 </w:t>
      </w:r>
      <w:r>
        <w:rPr>
          <w:rFonts w:hint="eastAsia" w:ascii="黑体" w:hAnsi="黑体" w:eastAsia="黑体"/>
          <w:color w:val="auto"/>
          <w:sz w:val="24"/>
        </w:rPr>
        <w:t>现场合作</w:t>
      </w:r>
    </w:p>
    <w:p>
      <w:pPr>
        <w:ind w:firstLine="600"/>
        <w:rPr>
          <w:rFonts w:ascii="仿宋_GB2312" w:eastAsia="仿宋_GB2312"/>
          <w:color w:val="auto"/>
          <w:sz w:val="24"/>
        </w:rPr>
      </w:pPr>
      <w:r>
        <w:rPr>
          <w:rFonts w:hint="eastAsia" w:ascii="仿宋_GB2312" w:eastAsia="仿宋_GB2312"/>
          <w:color w:val="auto"/>
          <w:sz w:val="24"/>
        </w:rPr>
        <w:t>关于现场合作费用的特别约定：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7.4 </w:t>
      </w:r>
      <w:r>
        <w:rPr>
          <w:rFonts w:hint="eastAsia" w:ascii="黑体" w:hAnsi="黑体" w:eastAsia="黑体"/>
          <w:color w:val="auto"/>
          <w:sz w:val="24"/>
        </w:rPr>
        <w:t>测量放线</w:t>
      </w:r>
    </w:p>
    <w:p>
      <w:pPr>
        <w:ind w:firstLine="600"/>
        <w:rPr>
          <w:rFonts w:ascii="仿宋_GB2312" w:eastAsia="仿宋_GB2312"/>
          <w:color w:val="auto"/>
          <w:sz w:val="24"/>
        </w:rPr>
      </w:pPr>
      <w:r>
        <w:rPr>
          <w:rFonts w:hint="eastAsia" w:ascii="仿宋_GB2312" w:eastAsia="仿宋_GB2312"/>
          <w:color w:val="auto"/>
          <w:sz w:val="24"/>
        </w:rPr>
        <w:t>7</w:t>
      </w:r>
      <w:r>
        <w:rPr>
          <w:rFonts w:ascii="仿宋_GB2312" w:eastAsia="仿宋_GB2312"/>
          <w:color w:val="auto"/>
          <w:sz w:val="24"/>
        </w:rPr>
        <w:t xml:space="preserve">.4.1 </w:t>
      </w:r>
      <w:r>
        <w:rPr>
          <w:rFonts w:hint="eastAsia" w:ascii="仿宋_GB2312" w:eastAsia="仿宋_GB2312"/>
          <w:color w:val="auto"/>
          <w:sz w:val="24"/>
        </w:rPr>
        <w:t>关于测量放线的特别约定的技术规范：</w:t>
      </w:r>
      <w:r>
        <w:rPr>
          <w:rFonts w:ascii="仿宋_GB2312" w:eastAsia="仿宋_GB2312"/>
          <w:color w:val="auto"/>
          <w:sz w:val="24"/>
          <w:u w:val="single"/>
        </w:rPr>
        <w:t xml:space="preserve">                                     </w:t>
      </w:r>
      <w:r>
        <w:rPr>
          <w:rFonts w:hint="eastAsia" w:ascii="仿宋_GB2312" w:eastAsia="仿宋_GB2312"/>
          <w:color w:val="auto"/>
          <w:sz w:val="24"/>
        </w:rPr>
        <w:t>。施工控制网资料的告知期限：</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7.5 </w:t>
      </w:r>
      <w:r>
        <w:rPr>
          <w:rFonts w:hint="eastAsia" w:ascii="黑体" w:hAnsi="黑体" w:eastAsia="黑体"/>
          <w:color w:val="auto"/>
          <w:sz w:val="24"/>
        </w:rPr>
        <w:t>现场劳动用工</w:t>
      </w:r>
    </w:p>
    <w:p>
      <w:pPr>
        <w:ind w:firstLine="600"/>
        <w:rPr>
          <w:rFonts w:ascii="仿宋_GB2312" w:eastAsia="仿宋_GB2312"/>
          <w:color w:val="auto"/>
          <w:sz w:val="24"/>
        </w:rPr>
      </w:pPr>
      <w:r>
        <w:rPr>
          <w:rFonts w:hint="eastAsia" w:ascii="仿宋_GB2312" w:eastAsia="仿宋_GB2312"/>
          <w:color w:val="auto"/>
          <w:sz w:val="24"/>
        </w:rPr>
        <w:t>7</w:t>
      </w:r>
      <w:r>
        <w:rPr>
          <w:rFonts w:ascii="仿宋_GB2312" w:eastAsia="仿宋_GB2312"/>
          <w:color w:val="auto"/>
          <w:sz w:val="24"/>
        </w:rPr>
        <w:t xml:space="preserve">.5.2 </w:t>
      </w:r>
      <w:r>
        <w:rPr>
          <w:rFonts w:hint="eastAsia" w:ascii="仿宋_GB2312" w:eastAsia="仿宋_GB2312"/>
          <w:color w:val="auto"/>
          <w:sz w:val="24"/>
        </w:rPr>
        <w:t>合同当事人对建筑工人工资清偿事宜和违约责任的约定：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7.6 </w:t>
      </w:r>
      <w:r>
        <w:rPr>
          <w:rFonts w:hint="eastAsia" w:ascii="黑体" w:hAnsi="黑体" w:eastAsia="黑体"/>
          <w:color w:val="auto"/>
          <w:sz w:val="24"/>
        </w:rPr>
        <w:t>安全文明施工</w:t>
      </w:r>
    </w:p>
    <w:p>
      <w:pPr>
        <w:ind w:firstLine="600"/>
        <w:rPr>
          <w:rFonts w:ascii="仿宋_GB2312" w:eastAsia="仿宋_GB2312"/>
          <w:color w:val="auto"/>
          <w:sz w:val="24"/>
        </w:rPr>
      </w:pPr>
      <w:r>
        <w:rPr>
          <w:rFonts w:ascii="仿宋_GB2312" w:eastAsia="仿宋_GB2312"/>
          <w:color w:val="auto"/>
          <w:sz w:val="24"/>
        </w:rPr>
        <w:t xml:space="preserve">7.6.1 </w:t>
      </w:r>
      <w:r>
        <w:rPr>
          <w:rFonts w:hint="eastAsia" w:ascii="仿宋_GB2312" w:eastAsia="仿宋_GB2312"/>
          <w:color w:val="auto"/>
          <w:sz w:val="24"/>
        </w:rPr>
        <w:t>安全生产要求</w:t>
      </w:r>
    </w:p>
    <w:p>
      <w:pPr>
        <w:ind w:left="124" w:leftChars="59" w:firstLine="600"/>
        <w:rPr>
          <w:rFonts w:ascii="仿宋_GB2312" w:eastAsia="仿宋_GB2312"/>
          <w:color w:val="auto"/>
          <w:sz w:val="24"/>
        </w:rPr>
      </w:pPr>
      <w:r>
        <w:rPr>
          <w:rFonts w:hint="eastAsia" w:ascii="仿宋_GB2312" w:eastAsia="仿宋_GB2312"/>
          <w:color w:val="auto"/>
          <w:sz w:val="24"/>
        </w:rPr>
        <w:t>合同当事人对安全施工的要求：</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7.6.3 </w:t>
      </w:r>
      <w:r>
        <w:rPr>
          <w:rFonts w:hint="eastAsia" w:ascii="仿宋_GB2312" w:eastAsia="仿宋_GB2312"/>
          <w:color w:val="auto"/>
          <w:sz w:val="24"/>
        </w:rPr>
        <w:t>文明施工</w:t>
      </w:r>
    </w:p>
    <w:p>
      <w:pPr>
        <w:ind w:firstLine="600"/>
        <w:rPr>
          <w:rFonts w:ascii="仿宋_GB2312" w:eastAsia="仿宋_GB2312"/>
          <w:color w:val="auto"/>
          <w:sz w:val="24"/>
        </w:rPr>
      </w:pPr>
      <w:r>
        <w:rPr>
          <w:rFonts w:hint="eastAsia" w:ascii="仿宋_GB2312" w:eastAsia="仿宋_GB2312"/>
          <w:color w:val="auto"/>
          <w:sz w:val="24"/>
        </w:rPr>
        <w:t>合同当事人对文明施工的要求：</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7.9 </w:t>
      </w:r>
      <w:r>
        <w:rPr>
          <w:rFonts w:hint="eastAsia" w:ascii="黑体" w:hAnsi="黑体" w:eastAsia="黑体"/>
          <w:color w:val="auto"/>
          <w:sz w:val="24"/>
        </w:rPr>
        <w:t>临时性公用设施</w:t>
      </w:r>
    </w:p>
    <w:p>
      <w:pPr>
        <w:ind w:firstLine="600"/>
        <w:rPr>
          <w:rFonts w:ascii="仿宋_GB2312" w:eastAsia="仿宋_GB2312"/>
          <w:color w:val="auto"/>
          <w:sz w:val="24"/>
        </w:rPr>
      </w:pPr>
      <w:r>
        <w:rPr>
          <w:rFonts w:hint="eastAsia" w:ascii="仿宋_GB2312" w:eastAsia="仿宋_GB2312"/>
          <w:color w:val="auto"/>
          <w:sz w:val="24"/>
        </w:rPr>
        <w:t>关于临时性公用设施的特别约定：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7.10 </w:t>
      </w:r>
      <w:r>
        <w:rPr>
          <w:rFonts w:hint="eastAsia" w:ascii="黑体" w:hAnsi="黑体" w:eastAsia="黑体"/>
          <w:color w:val="auto"/>
          <w:sz w:val="24"/>
        </w:rPr>
        <w:t>现场安保</w:t>
      </w:r>
    </w:p>
    <w:p>
      <w:pPr>
        <w:ind w:firstLine="600"/>
        <w:rPr>
          <w:rFonts w:ascii="仿宋_GB2312" w:eastAsia="仿宋_GB2312"/>
          <w:color w:val="auto"/>
          <w:sz w:val="24"/>
        </w:rPr>
      </w:pPr>
      <w:r>
        <w:rPr>
          <w:rFonts w:hint="eastAsia" w:ascii="仿宋_GB2312" w:eastAsia="仿宋_GB2312"/>
          <w:color w:val="auto"/>
          <w:sz w:val="24"/>
        </w:rPr>
        <w:t>承包人现场安保义务的特别约定：</w:t>
      </w:r>
      <w:r>
        <w:rPr>
          <w:rFonts w:ascii="仿宋_GB2312" w:eastAsia="仿宋_GB2312"/>
          <w:color w:val="auto"/>
          <w:sz w:val="24"/>
          <w:u w:val="single"/>
        </w:rPr>
        <w:t xml:space="preserve">                     </w:t>
      </w:r>
      <w:r>
        <w:rPr>
          <w:rFonts w:ascii="仿宋_GB2312" w:eastAsia="仿宋_GB2312"/>
          <w:color w:val="auto"/>
          <w:sz w:val="24"/>
        </w:rPr>
        <w:t>。</w:t>
      </w:r>
    </w:p>
    <w:p>
      <w:pPr>
        <w:pStyle w:val="314"/>
        <w:rPr>
          <w:rFonts w:ascii="黑体" w:hAnsi="黑体" w:eastAsia="黑体"/>
          <w:b w:val="0"/>
          <w:bCs/>
          <w:color w:val="auto"/>
          <w:sz w:val="24"/>
          <w:szCs w:val="24"/>
        </w:rPr>
      </w:pPr>
      <w:bookmarkStart w:id="1146" w:name="_Toc54862339"/>
      <w:r>
        <w:rPr>
          <w:rFonts w:hint="eastAsia" w:ascii="黑体" w:hAnsi="黑体" w:eastAsia="黑体"/>
          <w:b w:val="0"/>
          <w:bCs/>
          <w:color w:val="auto"/>
          <w:sz w:val="24"/>
          <w:szCs w:val="24"/>
        </w:rPr>
        <w:t>第</w:t>
      </w:r>
      <w:r>
        <w:rPr>
          <w:rFonts w:ascii="黑体" w:hAnsi="黑体" w:eastAsia="黑体"/>
          <w:b w:val="0"/>
          <w:bCs/>
          <w:color w:val="auto"/>
          <w:sz w:val="24"/>
          <w:szCs w:val="24"/>
        </w:rPr>
        <w:t>8条</w:t>
      </w:r>
      <w:r>
        <w:rPr>
          <w:rFonts w:hint="eastAsia" w:ascii="黑体" w:hAnsi="黑体" w:eastAsia="黑体"/>
          <w:b w:val="0"/>
          <w:bCs/>
          <w:color w:val="auto"/>
          <w:sz w:val="24"/>
          <w:szCs w:val="24"/>
        </w:rPr>
        <w:t xml:space="preserve"> 工期和进度</w:t>
      </w:r>
      <w:bookmarkEnd w:id="1146"/>
    </w:p>
    <w:p>
      <w:pPr>
        <w:ind w:firstLine="600"/>
        <w:rPr>
          <w:rFonts w:ascii="黑体" w:hAnsi="黑体" w:eastAsia="黑体"/>
          <w:color w:val="auto"/>
          <w:sz w:val="24"/>
        </w:rPr>
      </w:pPr>
      <w:r>
        <w:rPr>
          <w:rFonts w:ascii="黑体" w:hAnsi="黑体" w:eastAsia="黑体"/>
          <w:color w:val="auto"/>
          <w:sz w:val="24"/>
        </w:rPr>
        <w:t xml:space="preserve">8.1 </w:t>
      </w:r>
      <w:r>
        <w:rPr>
          <w:rFonts w:hint="eastAsia" w:ascii="黑体" w:hAnsi="黑体" w:eastAsia="黑体"/>
          <w:color w:val="auto"/>
          <w:sz w:val="24"/>
        </w:rPr>
        <w:t>开始工作</w:t>
      </w:r>
    </w:p>
    <w:p>
      <w:pPr>
        <w:ind w:firstLine="600"/>
        <w:rPr>
          <w:rFonts w:ascii="仿宋_GB2312" w:eastAsia="仿宋_GB2312"/>
          <w:color w:val="auto"/>
          <w:sz w:val="24"/>
        </w:rPr>
      </w:pPr>
      <w:r>
        <w:rPr>
          <w:rFonts w:ascii="仿宋_GB2312" w:eastAsia="仿宋_GB2312"/>
          <w:color w:val="auto"/>
          <w:sz w:val="24"/>
        </w:rPr>
        <w:t xml:space="preserve">8.1.1 </w:t>
      </w:r>
      <w:r>
        <w:rPr>
          <w:rFonts w:hint="eastAsia" w:ascii="仿宋_GB2312" w:eastAsia="仿宋_GB2312"/>
          <w:color w:val="auto"/>
          <w:sz w:val="24"/>
        </w:rPr>
        <w:t>开始准备工作：</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8.1.2 </w:t>
      </w:r>
      <w:r>
        <w:rPr>
          <w:rFonts w:hint="eastAsia" w:ascii="仿宋_GB2312" w:eastAsia="仿宋_GB2312"/>
          <w:color w:val="auto"/>
          <w:sz w:val="24"/>
        </w:rPr>
        <w:t>发包人可在计划开始工作之日起</w:t>
      </w:r>
      <w:r>
        <w:rPr>
          <w:rFonts w:ascii="仿宋_GB2312" w:eastAsia="仿宋_GB2312"/>
          <w:color w:val="auto"/>
          <w:sz w:val="24"/>
        </w:rPr>
        <w:t>84</w:t>
      </w:r>
      <w:r>
        <w:rPr>
          <w:rFonts w:hint="eastAsia" w:ascii="仿宋_GB2312" w:eastAsia="仿宋_GB2312"/>
          <w:color w:val="auto"/>
          <w:sz w:val="24"/>
        </w:rPr>
        <w:t>日后发出开始工作通知的特殊情形：</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8.2 </w:t>
      </w:r>
      <w:r>
        <w:rPr>
          <w:rFonts w:hint="eastAsia" w:ascii="黑体" w:hAnsi="黑体" w:eastAsia="黑体"/>
          <w:color w:val="auto"/>
          <w:sz w:val="24"/>
        </w:rPr>
        <w:t>竣工日期</w:t>
      </w:r>
    </w:p>
    <w:p>
      <w:pPr>
        <w:ind w:firstLine="600"/>
        <w:rPr>
          <w:rFonts w:ascii="仿宋_GB2312" w:eastAsia="仿宋_GB2312"/>
          <w:color w:val="auto"/>
          <w:sz w:val="24"/>
        </w:rPr>
      </w:pPr>
      <w:r>
        <w:rPr>
          <w:rFonts w:hint="eastAsia" w:ascii="仿宋_GB2312" w:eastAsia="仿宋_GB2312"/>
          <w:color w:val="auto"/>
          <w:sz w:val="24"/>
        </w:rPr>
        <w:t>竣工日期的约定：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8.3 </w:t>
      </w:r>
      <w:r>
        <w:rPr>
          <w:rFonts w:hint="eastAsia" w:ascii="黑体" w:hAnsi="黑体" w:eastAsia="黑体"/>
          <w:color w:val="auto"/>
          <w:sz w:val="24"/>
        </w:rPr>
        <w:t>项目实施计划</w:t>
      </w:r>
    </w:p>
    <w:p>
      <w:pPr>
        <w:ind w:firstLine="600"/>
        <w:rPr>
          <w:rFonts w:ascii="仿宋_GB2312" w:eastAsia="仿宋_GB2312"/>
          <w:color w:val="auto"/>
          <w:sz w:val="24"/>
        </w:rPr>
      </w:pPr>
      <w:r>
        <w:rPr>
          <w:rFonts w:ascii="仿宋_GB2312" w:eastAsia="仿宋_GB2312"/>
          <w:color w:val="auto"/>
          <w:sz w:val="24"/>
        </w:rPr>
        <w:t xml:space="preserve">8.3.1 </w:t>
      </w:r>
      <w:r>
        <w:rPr>
          <w:rFonts w:hint="eastAsia" w:ascii="仿宋_GB2312" w:eastAsia="仿宋_GB2312"/>
          <w:color w:val="auto"/>
          <w:sz w:val="24"/>
        </w:rPr>
        <w:t>项目实施计划的内容</w:t>
      </w:r>
    </w:p>
    <w:p>
      <w:pPr>
        <w:ind w:firstLine="600"/>
        <w:rPr>
          <w:rFonts w:ascii="仿宋_GB2312" w:eastAsia="仿宋_GB2312"/>
          <w:color w:val="auto"/>
          <w:sz w:val="24"/>
        </w:rPr>
      </w:pPr>
      <w:r>
        <w:rPr>
          <w:rFonts w:hint="eastAsia" w:ascii="仿宋_GB2312" w:eastAsia="仿宋_GB2312"/>
          <w:color w:val="auto"/>
          <w:sz w:val="24"/>
        </w:rPr>
        <w:t>项目实施计划的内容：</w:t>
      </w:r>
      <w:r>
        <w:rPr>
          <w:rFonts w:hint="eastAsia" w:ascii="仿宋_GB2312" w:eastAsia="仿宋_GB2312"/>
          <w:color w:val="auto"/>
          <w:sz w:val="24"/>
          <w:u w:val="single"/>
        </w:rPr>
        <w:t xml:space="preserve"> </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8.3.2 </w:t>
      </w:r>
      <w:r>
        <w:rPr>
          <w:rFonts w:hint="eastAsia" w:ascii="仿宋_GB2312" w:eastAsia="仿宋_GB2312"/>
          <w:color w:val="auto"/>
          <w:sz w:val="24"/>
        </w:rPr>
        <w:t>项目实施计划的提交和修改</w:t>
      </w:r>
    </w:p>
    <w:p>
      <w:pPr>
        <w:ind w:firstLine="600"/>
        <w:rPr>
          <w:rFonts w:ascii="仿宋_GB2312" w:eastAsia="仿宋_GB2312"/>
          <w:color w:val="auto"/>
          <w:sz w:val="24"/>
        </w:rPr>
      </w:pPr>
      <w:r>
        <w:rPr>
          <w:rFonts w:hint="eastAsia" w:ascii="仿宋_GB2312" w:eastAsia="仿宋_GB2312"/>
          <w:color w:val="auto"/>
          <w:sz w:val="24"/>
        </w:rPr>
        <w:t>项目实施计划的提交及修改期限：</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8.4 </w:t>
      </w:r>
      <w:r>
        <w:rPr>
          <w:rFonts w:hint="eastAsia" w:ascii="黑体" w:hAnsi="黑体" w:eastAsia="黑体"/>
          <w:color w:val="auto"/>
          <w:sz w:val="24"/>
        </w:rPr>
        <w:t>项目进度计划</w:t>
      </w:r>
    </w:p>
    <w:p>
      <w:pPr>
        <w:ind w:firstLine="600"/>
        <w:rPr>
          <w:rFonts w:ascii="仿宋_GB2312" w:eastAsia="仿宋_GB2312"/>
          <w:color w:val="auto"/>
          <w:sz w:val="24"/>
        </w:rPr>
      </w:pPr>
      <w:r>
        <w:rPr>
          <w:rFonts w:ascii="仿宋_GB2312" w:eastAsia="仿宋_GB2312"/>
          <w:color w:val="auto"/>
          <w:sz w:val="24"/>
        </w:rPr>
        <w:t xml:space="preserve">8.4.1 </w:t>
      </w:r>
      <w:r>
        <w:rPr>
          <w:rFonts w:hint="eastAsia" w:ascii="仿宋_GB2312" w:eastAsia="仿宋_GB2312"/>
          <w:color w:val="auto"/>
          <w:sz w:val="24"/>
        </w:rPr>
        <w:t>工程师在收到进度计划后确认或提出修改意见的期限：</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8.4.2 </w:t>
      </w:r>
      <w:r>
        <w:rPr>
          <w:rFonts w:hint="eastAsia" w:ascii="仿宋_GB2312" w:eastAsia="仿宋_GB2312"/>
          <w:color w:val="auto"/>
          <w:sz w:val="24"/>
        </w:rPr>
        <w:t>进度计划的具体要求：</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关键路径及关键路径变化的确定原则：</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承包人提交项目进度计划的份数和时间：</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8.4.3 </w:t>
      </w:r>
      <w:r>
        <w:rPr>
          <w:rFonts w:hint="eastAsia" w:ascii="仿宋_GB2312" w:eastAsia="仿宋_GB2312"/>
          <w:color w:val="auto"/>
          <w:sz w:val="24"/>
        </w:rPr>
        <w:t>进度计划的修订</w:t>
      </w:r>
    </w:p>
    <w:p>
      <w:pPr>
        <w:ind w:firstLine="600"/>
        <w:rPr>
          <w:rFonts w:ascii="仿宋_GB2312" w:eastAsia="仿宋_GB2312"/>
          <w:color w:val="auto"/>
          <w:sz w:val="24"/>
        </w:rPr>
      </w:pPr>
      <w:r>
        <w:rPr>
          <w:rFonts w:hint="eastAsia" w:ascii="仿宋_GB2312" w:eastAsia="仿宋_GB2312"/>
          <w:color w:val="auto"/>
          <w:sz w:val="24"/>
        </w:rPr>
        <w:t>承包人提交修订</w:t>
      </w:r>
      <w:r>
        <w:rPr>
          <w:rFonts w:ascii="仿宋_GB2312" w:eastAsia="仿宋_GB2312"/>
          <w:color w:val="auto"/>
          <w:sz w:val="24"/>
        </w:rPr>
        <w:t>项目进度计划</w:t>
      </w:r>
      <w:r>
        <w:rPr>
          <w:rFonts w:hint="eastAsia" w:ascii="仿宋_GB2312" w:eastAsia="仿宋_GB2312"/>
          <w:color w:val="auto"/>
          <w:sz w:val="24"/>
        </w:rPr>
        <w:t>申请报告的期限：</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发包人批复修订</w:t>
      </w:r>
      <w:r>
        <w:rPr>
          <w:rFonts w:ascii="仿宋_GB2312" w:eastAsia="仿宋_GB2312"/>
          <w:color w:val="auto"/>
          <w:sz w:val="24"/>
        </w:rPr>
        <w:t>项目进度计划</w:t>
      </w:r>
      <w:r>
        <w:rPr>
          <w:rFonts w:hint="eastAsia" w:ascii="仿宋_GB2312" w:eastAsia="仿宋_GB2312"/>
          <w:color w:val="auto"/>
          <w:sz w:val="24"/>
        </w:rPr>
        <w:t>申请报告的期限：</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承包人答复发包人提出修订合同计划的期限：</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8.5 </w:t>
      </w:r>
      <w:r>
        <w:rPr>
          <w:rFonts w:hint="eastAsia" w:ascii="黑体" w:hAnsi="黑体" w:eastAsia="黑体"/>
          <w:color w:val="auto"/>
          <w:sz w:val="24"/>
        </w:rPr>
        <w:t>进度报告</w:t>
      </w:r>
    </w:p>
    <w:p>
      <w:pPr>
        <w:ind w:firstLine="600"/>
        <w:rPr>
          <w:rFonts w:ascii="仿宋_GB2312" w:eastAsia="仿宋_GB2312"/>
          <w:color w:val="auto"/>
          <w:sz w:val="24"/>
        </w:rPr>
      </w:pPr>
      <w:r>
        <w:rPr>
          <w:rFonts w:hint="eastAsia" w:ascii="仿宋_GB2312" w:eastAsia="仿宋_GB2312"/>
          <w:color w:val="auto"/>
          <w:sz w:val="24"/>
        </w:rPr>
        <w:t>进度报告的具体要求：</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8.7 </w:t>
      </w:r>
      <w:r>
        <w:rPr>
          <w:rFonts w:hint="eastAsia" w:ascii="黑体" w:hAnsi="黑体" w:eastAsia="黑体"/>
          <w:color w:val="auto"/>
          <w:sz w:val="24"/>
        </w:rPr>
        <w:t>工期延误</w:t>
      </w:r>
    </w:p>
    <w:p>
      <w:pPr>
        <w:ind w:firstLine="600"/>
        <w:rPr>
          <w:rFonts w:ascii="仿宋_GB2312" w:eastAsia="仿宋_GB2312"/>
          <w:color w:val="auto"/>
          <w:sz w:val="24"/>
        </w:rPr>
      </w:pPr>
      <w:r>
        <w:rPr>
          <w:rFonts w:ascii="仿宋_GB2312" w:eastAsia="仿宋_GB2312"/>
          <w:color w:val="auto"/>
          <w:sz w:val="24"/>
        </w:rPr>
        <w:t xml:space="preserve">8.7.2 </w:t>
      </w:r>
      <w:r>
        <w:rPr>
          <w:rFonts w:hint="eastAsia" w:ascii="仿宋_GB2312" w:eastAsia="仿宋_GB2312"/>
          <w:color w:val="auto"/>
          <w:sz w:val="24"/>
        </w:rPr>
        <w:t>因承包人原因导致工期延误</w:t>
      </w:r>
    </w:p>
    <w:p>
      <w:pPr>
        <w:ind w:firstLine="600"/>
        <w:rPr>
          <w:rFonts w:ascii="仿宋_GB2312" w:eastAsia="仿宋_GB2312"/>
          <w:color w:val="auto"/>
          <w:sz w:val="24"/>
        </w:rPr>
      </w:pPr>
      <w:r>
        <w:rPr>
          <w:rFonts w:hint="eastAsia" w:ascii="仿宋_GB2312" w:eastAsia="仿宋_GB2312"/>
          <w:color w:val="auto"/>
          <w:sz w:val="24"/>
        </w:rPr>
        <w:t>因承包人原因使竣工日期延误，每延误1日的误期赔偿金额为合同协议书的合同价格的</w:t>
      </w:r>
      <w:r>
        <w:rPr>
          <w:rFonts w:ascii="仿宋_GB2312" w:eastAsia="仿宋_GB2312"/>
          <w:color w:val="auto"/>
          <w:sz w:val="24"/>
          <w:u w:val="single"/>
        </w:rPr>
        <w:t xml:space="preserve">    </w:t>
      </w:r>
      <w:r>
        <w:rPr>
          <w:rFonts w:hint="eastAsia" w:ascii="仿宋_GB2312" w:eastAsia="仿宋_GB2312"/>
          <w:color w:val="auto"/>
          <w:sz w:val="24"/>
        </w:rPr>
        <w:t>%或人民币金额为：</w:t>
      </w:r>
      <w:r>
        <w:rPr>
          <w:rFonts w:ascii="仿宋_GB2312" w:eastAsia="仿宋_GB2312"/>
          <w:color w:val="auto"/>
          <w:sz w:val="24"/>
          <w:u w:val="single"/>
        </w:rPr>
        <w:t xml:space="preserve">          </w:t>
      </w:r>
      <w:r>
        <w:rPr>
          <w:rFonts w:hint="eastAsia" w:ascii="仿宋_GB2312" w:eastAsia="仿宋_GB2312"/>
          <w:color w:val="auto"/>
          <w:sz w:val="24"/>
        </w:rPr>
        <w:t>、累计最高赔偿金额为合同协议书的合同价格的：</w:t>
      </w:r>
      <w:r>
        <w:rPr>
          <w:rFonts w:ascii="仿宋_GB2312" w:eastAsia="仿宋_GB2312"/>
          <w:color w:val="auto"/>
          <w:sz w:val="24"/>
          <w:u w:val="single"/>
        </w:rPr>
        <w:t xml:space="preserve">    </w:t>
      </w:r>
      <w:r>
        <w:rPr>
          <w:rFonts w:hint="eastAsia" w:ascii="仿宋_GB2312" w:eastAsia="仿宋_GB2312"/>
          <w:color w:val="auto"/>
          <w:sz w:val="24"/>
        </w:rPr>
        <w:t>%或人民币金额为：</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8.7.3 </w:t>
      </w:r>
      <w:r>
        <w:rPr>
          <w:rFonts w:hint="eastAsia" w:ascii="仿宋_GB2312" w:eastAsia="仿宋_GB2312"/>
          <w:color w:val="auto"/>
          <w:sz w:val="24"/>
        </w:rPr>
        <w:t>行政审批迟延</w:t>
      </w:r>
    </w:p>
    <w:p>
      <w:pPr>
        <w:ind w:firstLine="600"/>
        <w:rPr>
          <w:rFonts w:ascii="仿宋_GB2312" w:eastAsia="仿宋_GB2312"/>
          <w:color w:val="auto"/>
          <w:sz w:val="24"/>
        </w:rPr>
      </w:pPr>
      <w:r>
        <w:rPr>
          <w:rFonts w:hint="eastAsia" w:ascii="仿宋_GB2312" w:eastAsia="仿宋_GB2312"/>
          <w:color w:val="auto"/>
          <w:sz w:val="24"/>
        </w:rPr>
        <w:t>行政审批报送的职责分工：</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8.7.4 </w:t>
      </w:r>
      <w:r>
        <w:rPr>
          <w:rFonts w:hint="eastAsia" w:ascii="仿宋_GB2312" w:eastAsia="仿宋_GB2312"/>
          <w:color w:val="auto"/>
          <w:sz w:val="24"/>
        </w:rPr>
        <w:t>异常恶劣的气候条件</w:t>
      </w:r>
    </w:p>
    <w:p>
      <w:pPr>
        <w:ind w:firstLine="600"/>
        <w:rPr>
          <w:rFonts w:ascii="仿宋_GB2312" w:eastAsia="仿宋_GB2312"/>
          <w:color w:val="auto"/>
          <w:sz w:val="24"/>
        </w:rPr>
      </w:pPr>
      <w:r>
        <w:rPr>
          <w:rFonts w:hint="eastAsia" w:ascii="仿宋_GB2312" w:eastAsia="仿宋_GB2312"/>
          <w:color w:val="auto"/>
          <w:sz w:val="24"/>
        </w:rPr>
        <w:t>双方约定视为异常恶劣的气候条件的情形：</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8.8 </w:t>
      </w:r>
      <w:r>
        <w:rPr>
          <w:rFonts w:hint="eastAsia" w:ascii="黑体" w:hAnsi="黑体" w:eastAsia="黑体"/>
          <w:color w:val="auto"/>
          <w:sz w:val="24"/>
        </w:rPr>
        <w:t>工期提前</w:t>
      </w:r>
    </w:p>
    <w:p>
      <w:pPr>
        <w:ind w:firstLine="600"/>
        <w:rPr>
          <w:rFonts w:ascii="仿宋_GB2312" w:eastAsia="仿宋_GB2312"/>
          <w:color w:val="auto"/>
          <w:sz w:val="24"/>
        </w:rPr>
      </w:pPr>
      <w:r>
        <w:rPr>
          <w:rFonts w:ascii="仿宋_GB2312" w:eastAsia="仿宋_GB2312"/>
          <w:color w:val="auto"/>
          <w:sz w:val="24"/>
        </w:rPr>
        <w:t xml:space="preserve">8.8.2 </w:t>
      </w:r>
      <w:r>
        <w:rPr>
          <w:rFonts w:hint="eastAsia" w:ascii="仿宋_GB2312" w:eastAsia="仿宋_GB2312"/>
          <w:color w:val="auto"/>
          <w:sz w:val="24"/>
        </w:rPr>
        <w:t>承包人提前竣工的奖励：</w:t>
      </w:r>
      <w:r>
        <w:rPr>
          <w:rFonts w:ascii="仿宋_GB2312" w:eastAsia="仿宋_GB2312"/>
          <w:color w:val="auto"/>
          <w:sz w:val="24"/>
          <w:u w:val="single"/>
        </w:rPr>
        <w:t xml:space="preserve">                       </w:t>
      </w:r>
      <w:r>
        <w:rPr>
          <w:rFonts w:hint="eastAsia" w:ascii="仿宋_GB2312" w:eastAsia="仿宋_GB2312"/>
          <w:color w:val="auto"/>
          <w:sz w:val="24"/>
        </w:rPr>
        <w:t>。</w:t>
      </w:r>
    </w:p>
    <w:p>
      <w:pPr>
        <w:pStyle w:val="314"/>
        <w:rPr>
          <w:rFonts w:ascii="黑体" w:hAnsi="黑体" w:eastAsia="黑体"/>
          <w:b w:val="0"/>
          <w:bCs/>
          <w:color w:val="auto"/>
          <w:sz w:val="24"/>
          <w:szCs w:val="24"/>
        </w:rPr>
      </w:pPr>
      <w:bookmarkStart w:id="1147" w:name="_Toc54862340"/>
      <w:r>
        <w:rPr>
          <w:rFonts w:hint="eastAsia" w:ascii="黑体" w:hAnsi="黑体" w:eastAsia="黑体"/>
          <w:b w:val="0"/>
          <w:bCs/>
          <w:color w:val="auto"/>
          <w:sz w:val="24"/>
          <w:szCs w:val="24"/>
        </w:rPr>
        <w:t>第</w:t>
      </w:r>
      <w:r>
        <w:rPr>
          <w:rFonts w:ascii="黑体" w:hAnsi="黑体" w:eastAsia="黑体"/>
          <w:b w:val="0"/>
          <w:bCs/>
          <w:color w:val="auto"/>
          <w:sz w:val="24"/>
          <w:szCs w:val="24"/>
        </w:rPr>
        <w:t>9条</w:t>
      </w:r>
      <w:r>
        <w:rPr>
          <w:rFonts w:hint="eastAsia" w:ascii="黑体" w:hAnsi="黑体" w:eastAsia="黑体"/>
          <w:b w:val="0"/>
          <w:bCs/>
          <w:color w:val="auto"/>
          <w:sz w:val="24"/>
          <w:szCs w:val="24"/>
        </w:rPr>
        <w:t xml:space="preserve"> 竣工试验</w:t>
      </w:r>
      <w:bookmarkEnd w:id="1147"/>
    </w:p>
    <w:p>
      <w:pPr>
        <w:ind w:firstLine="600"/>
        <w:rPr>
          <w:rFonts w:ascii="黑体" w:hAnsi="黑体" w:eastAsia="黑体"/>
          <w:color w:val="auto"/>
          <w:sz w:val="24"/>
        </w:rPr>
      </w:pPr>
      <w:r>
        <w:rPr>
          <w:rFonts w:ascii="黑体" w:hAnsi="黑体" w:eastAsia="黑体"/>
          <w:color w:val="auto"/>
          <w:sz w:val="24"/>
        </w:rPr>
        <w:t xml:space="preserve">9.1 </w:t>
      </w:r>
      <w:r>
        <w:rPr>
          <w:rFonts w:hint="eastAsia" w:ascii="黑体" w:hAnsi="黑体" w:eastAsia="黑体"/>
          <w:color w:val="auto"/>
          <w:sz w:val="24"/>
        </w:rPr>
        <w:t>竣工试验的义务</w:t>
      </w:r>
    </w:p>
    <w:p>
      <w:pPr>
        <w:ind w:firstLine="600"/>
        <w:rPr>
          <w:rFonts w:ascii="仿宋_GB2312" w:eastAsia="仿宋_GB2312"/>
          <w:color w:val="auto"/>
          <w:sz w:val="24"/>
        </w:rPr>
      </w:pPr>
      <w:r>
        <w:rPr>
          <w:rFonts w:ascii="仿宋_GB2312" w:eastAsia="仿宋_GB2312"/>
          <w:color w:val="auto"/>
          <w:sz w:val="24"/>
        </w:rPr>
        <w:t xml:space="preserve">9.1.3 </w:t>
      </w:r>
      <w:r>
        <w:rPr>
          <w:rFonts w:hint="eastAsia" w:ascii="仿宋_GB2312" w:eastAsia="仿宋_GB2312"/>
          <w:color w:val="auto"/>
          <w:sz w:val="24"/>
        </w:rPr>
        <w:t>竣工试验的阶段、内容和顺序：</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竣工试验的操作要求：</w:t>
      </w:r>
      <w:r>
        <w:rPr>
          <w:rFonts w:hint="eastAsia" w:ascii="仿宋_GB2312" w:eastAsia="仿宋_GB2312"/>
          <w:color w:val="auto"/>
          <w:sz w:val="24"/>
          <w:u w:val="single"/>
        </w:rPr>
        <w:t xml:space="preserve"> </w:t>
      </w:r>
      <w:r>
        <w:rPr>
          <w:rFonts w:ascii="仿宋_GB2312" w:eastAsia="仿宋_GB2312"/>
          <w:color w:val="auto"/>
          <w:sz w:val="24"/>
          <w:u w:val="single"/>
        </w:rPr>
        <w:t xml:space="preserve">                              </w:t>
      </w:r>
      <w:r>
        <w:rPr>
          <w:rFonts w:hint="eastAsia" w:ascii="仿宋_GB2312" w:eastAsia="仿宋_GB2312"/>
          <w:color w:val="auto"/>
          <w:sz w:val="24"/>
        </w:rPr>
        <w:t>。</w:t>
      </w:r>
    </w:p>
    <w:p>
      <w:pPr>
        <w:pStyle w:val="314"/>
        <w:rPr>
          <w:rFonts w:ascii="黑体" w:hAnsi="黑体" w:eastAsia="黑体"/>
          <w:b w:val="0"/>
          <w:bCs/>
          <w:color w:val="auto"/>
          <w:sz w:val="24"/>
          <w:szCs w:val="24"/>
        </w:rPr>
      </w:pPr>
      <w:bookmarkStart w:id="1148" w:name="_Toc4784272"/>
      <w:bookmarkEnd w:id="1148"/>
      <w:bookmarkStart w:id="1149" w:name="_Toc4784273"/>
      <w:bookmarkEnd w:id="1149"/>
      <w:bookmarkStart w:id="1150" w:name="_Toc54862341"/>
      <w:r>
        <w:rPr>
          <w:rFonts w:hint="eastAsia" w:ascii="黑体" w:hAnsi="黑体" w:eastAsia="黑体"/>
          <w:b w:val="0"/>
          <w:bCs/>
          <w:color w:val="auto"/>
          <w:sz w:val="24"/>
          <w:szCs w:val="24"/>
        </w:rPr>
        <w:t>第</w:t>
      </w:r>
      <w:r>
        <w:rPr>
          <w:rFonts w:ascii="黑体" w:hAnsi="黑体" w:eastAsia="黑体"/>
          <w:b w:val="0"/>
          <w:bCs/>
          <w:color w:val="auto"/>
          <w:sz w:val="24"/>
          <w:szCs w:val="24"/>
        </w:rPr>
        <w:t>10条</w:t>
      </w:r>
      <w:r>
        <w:rPr>
          <w:rFonts w:hint="eastAsia" w:ascii="黑体" w:hAnsi="黑体" w:eastAsia="黑体"/>
          <w:b w:val="0"/>
          <w:bCs/>
          <w:color w:val="auto"/>
          <w:sz w:val="24"/>
          <w:szCs w:val="24"/>
        </w:rPr>
        <w:t xml:space="preserve"> 验收和工程接收</w:t>
      </w:r>
      <w:bookmarkEnd w:id="1150"/>
    </w:p>
    <w:p>
      <w:pPr>
        <w:ind w:firstLine="600"/>
        <w:rPr>
          <w:rFonts w:ascii="黑体" w:hAnsi="黑体" w:eastAsia="黑体"/>
          <w:color w:val="auto"/>
          <w:sz w:val="24"/>
        </w:rPr>
      </w:pPr>
      <w:r>
        <w:rPr>
          <w:rFonts w:ascii="黑体" w:hAnsi="黑体" w:eastAsia="黑体"/>
          <w:color w:val="auto"/>
          <w:sz w:val="24"/>
        </w:rPr>
        <w:t xml:space="preserve">10.1 </w:t>
      </w:r>
      <w:r>
        <w:rPr>
          <w:rFonts w:hint="eastAsia" w:ascii="黑体" w:hAnsi="黑体" w:eastAsia="黑体"/>
          <w:color w:val="auto"/>
          <w:sz w:val="24"/>
        </w:rPr>
        <w:t>竣工验收</w:t>
      </w:r>
    </w:p>
    <w:p>
      <w:pPr>
        <w:ind w:firstLine="600"/>
        <w:rPr>
          <w:rFonts w:ascii="仿宋_GB2312" w:eastAsia="仿宋_GB2312"/>
          <w:color w:val="auto"/>
          <w:sz w:val="24"/>
        </w:rPr>
      </w:pPr>
      <w:r>
        <w:rPr>
          <w:rFonts w:ascii="仿宋_GB2312" w:eastAsia="仿宋_GB2312"/>
          <w:color w:val="auto"/>
          <w:sz w:val="24"/>
        </w:rPr>
        <w:t xml:space="preserve">10.1.2 </w:t>
      </w:r>
      <w:r>
        <w:rPr>
          <w:rFonts w:hint="eastAsia" w:ascii="仿宋_GB2312" w:eastAsia="仿宋_GB2312"/>
          <w:color w:val="auto"/>
          <w:sz w:val="24"/>
        </w:rPr>
        <w:t>关于竣工验收程序的约定：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bookmarkStart w:id="1151" w:name="_Hlk46406260"/>
      <w:r>
        <w:rPr>
          <w:rFonts w:hint="eastAsia" w:ascii="仿宋_GB2312" w:eastAsia="仿宋_GB2312"/>
          <w:color w:val="auto"/>
          <w:sz w:val="24"/>
        </w:rPr>
        <w:t>发包人不按照合同约定组织竣工验收、颁发工程接受证书的违约金的计算方式：</w:t>
      </w:r>
      <w:r>
        <w:rPr>
          <w:rFonts w:ascii="仿宋_GB2312" w:eastAsia="仿宋_GB2312"/>
          <w:color w:val="auto"/>
          <w:sz w:val="24"/>
          <w:u w:val="single"/>
        </w:rPr>
        <w:t xml:space="preserve">                                    </w:t>
      </w:r>
      <w:r>
        <w:rPr>
          <w:rFonts w:hint="eastAsia" w:ascii="仿宋_GB2312" w:eastAsia="仿宋_GB2312"/>
          <w:color w:val="auto"/>
          <w:sz w:val="24"/>
        </w:rPr>
        <w:t>。</w:t>
      </w:r>
    </w:p>
    <w:bookmarkEnd w:id="1151"/>
    <w:p>
      <w:pPr>
        <w:ind w:firstLine="600"/>
        <w:rPr>
          <w:rFonts w:ascii="黑体" w:hAnsi="黑体" w:eastAsia="黑体"/>
          <w:color w:val="auto"/>
          <w:sz w:val="24"/>
        </w:rPr>
      </w:pPr>
      <w:r>
        <w:rPr>
          <w:rFonts w:ascii="黑体" w:hAnsi="黑体" w:eastAsia="黑体"/>
          <w:color w:val="auto"/>
          <w:sz w:val="24"/>
        </w:rPr>
        <w:t>10.3</w:t>
      </w:r>
      <w:r>
        <w:rPr>
          <w:rFonts w:ascii="黑体" w:hAnsi="黑体" w:eastAsia="黑体"/>
          <w:color w:val="auto"/>
          <w:sz w:val="24"/>
        </w:rPr>
        <w:tab/>
      </w:r>
      <w:r>
        <w:rPr>
          <w:rFonts w:ascii="黑体" w:hAnsi="黑体" w:eastAsia="黑体"/>
          <w:color w:val="auto"/>
          <w:sz w:val="24"/>
        </w:rPr>
        <w:t xml:space="preserve"> 工程的接收</w:t>
      </w:r>
    </w:p>
    <w:p>
      <w:pPr>
        <w:ind w:firstLine="600"/>
        <w:rPr>
          <w:rFonts w:ascii="仿宋_GB2312" w:eastAsia="仿宋_GB2312"/>
          <w:color w:val="auto"/>
          <w:sz w:val="24"/>
        </w:rPr>
      </w:pPr>
      <w:r>
        <w:rPr>
          <w:rFonts w:ascii="仿宋_GB2312" w:eastAsia="仿宋_GB2312"/>
          <w:color w:val="auto"/>
          <w:sz w:val="24"/>
        </w:rPr>
        <w:t>10.3.1</w:t>
      </w:r>
      <w:r>
        <w:rPr>
          <w:rFonts w:hint="eastAsia" w:ascii="仿宋_GB2312" w:eastAsia="仿宋_GB2312"/>
          <w:color w:val="auto"/>
          <w:sz w:val="24"/>
        </w:rPr>
        <w:t>工程接收的先后顺序、时间安排和其他要求：</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10.3.2 </w:t>
      </w:r>
      <w:r>
        <w:rPr>
          <w:rFonts w:hint="eastAsia" w:ascii="仿宋_GB2312" w:eastAsia="仿宋_GB2312"/>
          <w:color w:val="auto"/>
          <w:sz w:val="24"/>
        </w:rPr>
        <w:t>接受工程时承包人需提交竣工验收资料的类别、内容、份数和提交时间：</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10.3.3 </w:t>
      </w:r>
      <w:r>
        <w:rPr>
          <w:rFonts w:hint="eastAsia" w:ascii="仿宋_GB2312" w:eastAsia="仿宋_GB2312"/>
          <w:color w:val="auto"/>
          <w:sz w:val="24"/>
        </w:rPr>
        <w:t>发包人逾期接收工程的违约责任：</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10.3.4 </w:t>
      </w:r>
      <w:r>
        <w:rPr>
          <w:rFonts w:hint="eastAsia" w:ascii="仿宋_GB2312" w:eastAsia="仿宋_GB2312"/>
          <w:color w:val="auto"/>
          <w:sz w:val="24"/>
        </w:rPr>
        <w:t>承包人无正当理由不移交工程的违约责任：</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10.4 </w:t>
      </w:r>
      <w:r>
        <w:rPr>
          <w:rFonts w:hint="eastAsia" w:ascii="黑体" w:hAnsi="黑体" w:eastAsia="黑体"/>
          <w:color w:val="auto"/>
          <w:sz w:val="24"/>
        </w:rPr>
        <w:t>接收证书</w:t>
      </w:r>
    </w:p>
    <w:p>
      <w:pPr>
        <w:ind w:firstLine="600"/>
        <w:rPr>
          <w:rFonts w:ascii="仿宋_GB2312" w:eastAsia="仿宋_GB2312"/>
          <w:color w:val="auto"/>
          <w:sz w:val="24"/>
        </w:rPr>
      </w:pPr>
      <w:r>
        <w:rPr>
          <w:rFonts w:ascii="仿宋_GB2312" w:eastAsia="仿宋_GB2312"/>
          <w:color w:val="auto"/>
          <w:sz w:val="24"/>
        </w:rPr>
        <w:t xml:space="preserve">10.4.1 </w:t>
      </w:r>
      <w:r>
        <w:rPr>
          <w:rFonts w:hint="eastAsia" w:ascii="仿宋_GB2312" w:eastAsia="仿宋_GB2312"/>
          <w:color w:val="auto"/>
          <w:sz w:val="24"/>
        </w:rPr>
        <w:t>工程接收证书颁发时间：</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10.5 </w:t>
      </w:r>
      <w:r>
        <w:rPr>
          <w:rFonts w:hint="eastAsia" w:ascii="黑体" w:hAnsi="黑体" w:eastAsia="黑体"/>
          <w:color w:val="auto"/>
          <w:sz w:val="24"/>
        </w:rPr>
        <w:t>竣工退场</w:t>
      </w:r>
    </w:p>
    <w:p>
      <w:pPr>
        <w:ind w:firstLine="600"/>
        <w:rPr>
          <w:rFonts w:ascii="仿宋_GB2312" w:eastAsia="仿宋_GB2312"/>
          <w:color w:val="auto"/>
          <w:sz w:val="24"/>
        </w:rPr>
      </w:pPr>
      <w:r>
        <w:rPr>
          <w:rFonts w:ascii="仿宋_GB2312" w:eastAsia="仿宋_GB2312"/>
          <w:color w:val="auto"/>
          <w:sz w:val="24"/>
        </w:rPr>
        <w:t xml:space="preserve">10.5.1 </w:t>
      </w:r>
      <w:r>
        <w:rPr>
          <w:rFonts w:hint="eastAsia" w:ascii="仿宋_GB2312" w:eastAsia="仿宋_GB2312"/>
          <w:color w:val="auto"/>
          <w:sz w:val="24"/>
        </w:rPr>
        <w:t>竣工退场的相关约定：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10.5.3</w:t>
      </w:r>
      <w:r>
        <w:rPr>
          <w:rFonts w:hint="eastAsia" w:ascii="仿宋_GB2312" w:eastAsia="仿宋_GB2312"/>
          <w:color w:val="auto"/>
          <w:sz w:val="24"/>
        </w:rPr>
        <w:t>人员撤离</w:t>
      </w:r>
    </w:p>
    <w:p>
      <w:pPr>
        <w:ind w:firstLine="600"/>
        <w:rPr>
          <w:rFonts w:ascii="仿宋_GB2312" w:eastAsia="仿宋_GB2312"/>
          <w:color w:val="auto"/>
          <w:sz w:val="24"/>
        </w:rPr>
      </w:pPr>
      <w:r>
        <w:rPr>
          <w:rFonts w:hint="eastAsia" w:ascii="仿宋_GB2312" w:eastAsia="仿宋_GB2312"/>
          <w:color w:val="auto"/>
          <w:sz w:val="24"/>
        </w:rPr>
        <w:t>工程师同意需在缺陷责任期内继续工作和使用的人员、施工设备和临时工程的内容：</w:t>
      </w:r>
      <w:r>
        <w:rPr>
          <w:rFonts w:ascii="仿宋_GB2312" w:eastAsia="仿宋_GB2312"/>
          <w:color w:val="auto"/>
          <w:sz w:val="24"/>
          <w:u w:val="single"/>
        </w:rPr>
        <w:t xml:space="preserve">                        </w:t>
      </w:r>
      <w:r>
        <w:rPr>
          <w:rFonts w:hint="eastAsia" w:ascii="仿宋_GB2312" w:eastAsia="仿宋_GB2312"/>
          <w:color w:val="auto"/>
          <w:sz w:val="24"/>
        </w:rPr>
        <w:t>。</w:t>
      </w:r>
    </w:p>
    <w:p>
      <w:pPr>
        <w:pStyle w:val="314"/>
        <w:rPr>
          <w:rFonts w:ascii="黑体" w:hAnsi="黑体" w:eastAsia="黑体"/>
          <w:b w:val="0"/>
          <w:bCs/>
          <w:color w:val="auto"/>
          <w:sz w:val="24"/>
          <w:szCs w:val="24"/>
        </w:rPr>
      </w:pPr>
      <w:bookmarkStart w:id="1152" w:name="_Toc54862342"/>
      <w:r>
        <w:rPr>
          <w:rFonts w:hint="eastAsia" w:ascii="黑体" w:hAnsi="黑体" w:eastAsia="黑体"/>
          <w:b w:val="0"/>
          <w:bCs/>
          <w:color w:val="auto"/>
          <w:sz w:val="24"/>
          <w:szCs w:val="24"/>
        </w:rPr>
        <w:t>第</w:t>
      </w:r>
      <w:r>
        <w:rPr>
          <w:rFonts w:ascii="黑体" w:hAnsi="黑体" w:eastAsia="黑体"/>
          <w:b w:val="0"/>
          <w:bCs/>
          <w:color w:val="auto"/>
          <w:sz w:val="24"/>
          <w:szCs w:val="24"/>
        </w:rPr>
        <w:t>11条</w:t>
      </w:r>
      <w:r>
        <w:rPr>
          <w:rFonts w:hint="eastAsia" w:ascii="黑体" w:hAnsi="黑体" w:eastAsia="黑体"/>
          <w:b w:val="0"/>
          <w:bCs/>
          <w:color w:val="auto"/>
          <w:sz w:val="24"/>
          <w:szCs w:val="24"/>
        </w:rPr>
        <w:t xml:space="preserve"> 缺陷责任与保修</w:t>
      </w:r>
      <w:bookmarkEnd w:id="1152"/>
    </w:p>
    <w:p>
      <w:pPr>
        <w:ind w:firstLine="600"/>
        <w:rPr>
          <w:rFonts w:ascii="黑体" w:hAnsi="黑体" w:eastAsia="黑体"/>
          <w:color w:val="auto"/>
          <w:sz w:val="24"/>
        </w:rPr>
      </w:pPr>
      <w:r>
        <w:rPr>
          <w:rFonts w:ascii="黑体" w:hAnsi="黑体" w:eastAsia="黑体"/>
          <w:color w:val="auto"/>
          <w:sz w:val="24"/>
        </w:rPr>
        <w:t xml:space="preserve">11.2 </w:t>
      </w:r>
      <w:r>
        <w:rPr>
          <w:rFonts w:hint="eastAsia" w:ascii="黑体" w:hAnsi="黑体" w:eastAsia="黑体"/>
          <w:color w:val="auto"/>
          <w:sz w:val="24"/>
        </w:rPr>
        <w:t>缺陷责任期</w:t>
      </w:r>
    </w:p>
    <w:p>
      <w:pPr>
        <w:ind w:firstLine="600"/>
        <w:rPr>
          <w:rFonts w:ascii="仿宋_GB2312" w:eastAsia="仿宋_GB2312"/>
          <w:color w:val="auto"/>
          <w:sz w:val="24"/>
        </w:rPr>
      </w:pPr>
      <w:r>
        <w:rPr>
          <w:rFonts w:ascii="仿宋_GB2312" w:eastAsia="仿宋_GB2312"/>
          <w:color w:val="auto"/>
          <w:sz w:val="24"/>
        </w:rPr>
        <w:t>缺陷责任期的</w:t>
      </w:r>
      <w:r>
        <w:rPr>
          <w:rFonts w:hint="eastAsia" w:ascii="仿宋_GB2312" w:eastAsia="仿宋_GB2312"/>
          <w:color w:val="auto"/>
          <w:sz w:val="24"/>
        </w:rPr>
        <w:t>期限：</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11.3 </w:t>
      </w:r>
      <w:r>
        <w:rPr>
          <w:rFonts w:hint="eastAsia" w:ascii="黑体" w:hAnsi="黑体" w:eastAsia="黑体"/>
          <w:color w:val="auto"/>
          <w:sz w:val="24"/>
        </w:rPr>
        <w:t>缺陷调查</w:t>
      </w:r>
    </w:p>
    <w:p>
      <w:pPr>
        <w:ind w:firstLine="600"/>
        <w:rPr>
          <w:rFonts w:ascii="仿宋_GB2312" w:eastAsia="仿宋_GB2312"/>
          <w:color w:val="auto"/>
          <w:sz w:val="24"/>
        </w:rPr>
      </w:pPr>
      <w:r>
        <w:rPr>
          <w:rFonts w:ascii="仿宋_GB2312" w:eastAsia="仿宋_GB2312"/>
          <w:color w:val="auto"/>
          <w:sz w:val="24"/>
        </w:rPr>
        <w:t xml:space="preserve">11.3.4 </w:t>
      </w:r>
      <w:r>
        <w:rPr>
          <w:rFonts w:hint="eastAsia" w:ascii="仿宋_GB2312" w:eastAsia="仿宋_GB2312"/>
          <w:color w:val="auto"/>
          <w:sz w:val="24"/>
        </w:rPr>
        <w:t>修复通知</w:t>
      </w:r>
    </w:p>
    <w:p>
      <w:pPr>
        <w:ind w:firstLine="600"/>
        <w:rPr>
          <w:rFonts w:ascii="仿宋_GB2312" w:eastAsia="仿宋_GB2312"/>
          <w:color w:val="auto"/>
          <w:sz w:val="24"/>
        </w:rPr>
      </w:pPr>
      <w:r>
        <w:rPr>
          <w:rFonts w:ascii="仿宋_GB2312" w:eastAsia="仿宋_GB2312"/>
          <w:color w:val="auto"/>
          <w:sz w:val="24"/>
        </w:rPr>
        <w:t>承包人收到保修通知并到达工程现场的合理时间：</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11.6 </w:t>
      </w:r>
      <w:r>
        <w:rPr>
          <w:rFonts w:hint="eastAsia" w:ascii="黑体" w:hAnsi="黑体" w:eastAsia="黑体"/>
          <w:color w:val="auto"/>
          <w:sz w:val="24"/>
        </w:rPr>
        <w:t>缺陷责任期终止证书</w:t>
      </w:r>
    </w:p>
    <w:p>
      <w:pPr>
        <w:ind w:firstLine="600"/>
        <w:rPr>
          <w:rFonts w:ascii="仿宋_GB2312" w:eastAsia="仿宋_GB2312"/>
          <w:color w:val="auto"/>
          <w:sz w:val="24"/>
        </w:rPr>
      </w:pPr>
      <w:r>
        <w:rPr>
          <w:rFonts w:hint="eastAsia" w:ascii="仿宋_GB2312" w:eastAsia="仿宋_GB2312"/>
          <w:color w:val="auto"/>
          <w:sz w:val="24"/>
        </w:rPr>
        <w:t>承包人应于缺陷责任期届满后</w:t>
      </w:r>
      <w:r>
        <w:rPr>
          <w:rFonts w:ascii="仿宋_GB2312" w:eastAsia="仿宋_GB2312"/>
          <w:color w:val="auto"/>
          <w:sz w:val="24"/>
          <w:u w:val="single"/>
        </w:rPr>
        <w:t xml:space="preserve">    </w:t>
      </w:r>
      <w:r>
        <w:rPr>
          <w:rFonts w:hint="eastAsia" w:ascii="仿宋_GB2312" w:eastAsia="仿宋_GB2312"/>
          <w:color w:val="auto"/>
          <w:sz w:val="24"/>
        </w:rPr>
        <w:t>天内向发包人发出缺陷责任期届满通知，发包人应在收到缺陷责任期满通知后</w:t>
      </w:r>
      <w:r>
        <w:rPr>
          <w:rFonts w:ascii="仿宋_GB2312" w:eastAsia="仿宋_GB2312"/>
          <w:color w:val="auto"/>
          <w:sz w:val="24"/>
          <w:u w:val="single"/>
        </w:rPr>
        <w:t xml:space="preserve">    </w:t>
      </w:r>
      <w:r>
        <w:rPr>
          <w:rFonts w:hint="eastAsia" w:ascii="仿宋_GB2312" w:eastAsia="仿宋_GB2312"/>
          <w:color w:val="auto"/>
          <w:sz w:val="24"/>
        </w:rPr>
        <w:t>天内核实承包人是否履行缺陷修复义务，承包人未能履行缺陷修复义务的，发包人有权扣除相应金额的维修费用。发包人应在收到缺陷责任期届满通知后</w:t>
      </w:r>
      <w:r>
        <w:rPr>
          <w:rFonts w:ascii="仿宋_GB2312" w:eastAsia="仿宋_GB2312"/>
          <w:color w:val="auto"/>
          <w:sz w:val="24"/>
          <w:u w:val="single"/>
        </w:rPr>
        <w:t xml:space="preserve">    </w:t>
      </w:r>
      <w:r>
        <w:rPr>
          <w:rFonts w:hint="eastAsia" w:ascii="仿宋_GB2312" w:eastAsia="仿宋_GB2312"/>
          <w:color w:val="auto"/>
          <w:sz w:val="24"/>
        </w:rPr>
        <w:t>天内，向承包人颁发缺陷责任期终止证书。</w:t>
      </w:r>
    </w:p>
    <w:p>
      <w:pPr>
        <w:ind w:firstLine="600"/>
        <w:rPr>
          <w:rFonts w:ascii="黑体" w:hAnsi="黑体" w:eastAsia="黑体"/>
          <w:color w:val="auto"/>
          <w:sz w:val="24"/>
        </w:rPr>
      </w:pPr>
      <w:r>
        <w:rPr>
          <w:rFonts w:ascii="黑体" w:hAnsi="黑体" w:eastAsia="黑体"/>
          <w:color w:val="auto"/>
          <w:sz w:val="24"/>
        </w:rPr>
        <w:t xml:space="preserve">11.7 </w:t>
      </w:r>
      <w:r>
        <w:rPr>
          <w:rFonts w:hint="eastAsia" w:ascii="黑体" w:hAnsi="黑体" w:eastAsia="黑体"/>
          <w:color w:val="auto"/>
          <w:sz w:val="24"/>
        </w:rPr>
        <w:t>保修责任</w:t>
      </w:r>
    </w:p>
    <w:p>
      <w:pPr>
        <w:ind w:firstLine="600"/>
        <w:rPr>
          <w:rFonts w:ascii="仿宋_GB2312" w:eastAsia="仿宋_GB2312"/>
          <w:color w:val="auto"/>
          <w:sz w:val="24"/>
        </w:rPr>
      </w:pPr>
      <w:r>
        <w:rPr>
          <w:rFonts w:hint="eastAsia" w:ascii="仿宋_GB2312" w:eastAsia="仿宋_GB2312"/>
          <w:color w:val="auto"/>
          <w:sz w:val="24"/>
        </w:rPr>
        <w:t>工程质量保修范围、期限和责任</w:t>
      </w:r>
      <w:r>
        <w:rPr>
          <w:rFonts w:ascii="仿宋_GB2312" w:eastAsia="仿宋_GB2312"/>
          <w:color w:val="auto"/>
          <w:sz w:val="24"/>
        </w:rPr>
        <w:t>为：</w:t>
      </w:r>
      <w:r>
        <w:rPr>
          <w:rFonts w:ascii="仿宋_GB2312" w:eastAsia="仿宋_GB2312"/>
          <w:color w:val="auto"/>
          <w:sz w:val="24"/>
          <w:u w:val="single"/>
        </w:rPr>
        <w:t xml:space="preserve">                  </w:t>
      </w:r>
      <w:r>
        <w:rPr>
          <w:rFonts w:hint="eastAsia" w:ascii="仿宋_GB2312" w:eastAsia="仿宋_GB2312"/>
          <w:color w:val="auto"/>
          <w:sz w:val="24"/>
        </w:rPr>
        <w:t>。</w:t>
      </w:r>
    </w:p>
    <w:p>
      <w:pPr>
        <w:pStyle w:val="314"/>
        <w:rPr>
          <w:rFonts w:ascii="黑体" w:hAnsi="黑体" w:eastAsia="黑体"/>
          <w:b w:val="0"/>
          <w:bCs/>
          <w:color w:val="auto"/>
          <w:sz w:val="24"/>
          <w:szCs w:val="24"/>
        </w:rPr>
      </w:pPr>
      <w:bookmarkStart w:id="1153" w:name="_Toc54862343"/>
      <w:r>
        <w:rPr>
          <w:rFonts w:hint="eastAsia" w:ascii="黑体" w:hAnsi="黑体" w:eastAsia="黑体"/>
          <w:b w:val="0"/>
          <w:bCs/>
          <w:color w:val="auto"/>
          <w:sz w:val="24"/>
          <w:szCs w:val="24"/>
        </w:rPr>
        <w:t>第</w:t>
      </w:r>
      <w:r>
        <w:rPr>
          <w:rFonts w:ascii="黑体" w:hAnsi="黑体" w:eastAsia="黑体"/>
          <w:b w:val="0"/>
          <w:bCs/>
          <w:color w:val="auto"/>
          <w:sz w:val="24"/>
          <w:szCs w:val="24"/>
        </w:rPr>
        <w:t>12条</w:t>
      </w:r>
      <w:r>
        <w:rPr>
          <w:rFonts w:hint="eastAsia" w:ascii="黑体" w:hAnsi="黑体" w:eastAsia="黑体"/>
          <w:b w:val="0"/>
          <w:bCs/>
          <w:color w:val="auto"/>
          <w:sz w:val="24"/>
          <w:szCs w:val="24"/>
        </w:rPr>
        <w:t xml:space="preserve"> 竣工后试验</w:t>
      </w:r>
      <w:bookmarkEnd w:id="1153"/>
    </w:p>
    <w:p>
      <w:pPr>
        <w:ind w:firstLine="600"/>
        <w:rPr>
          <w:rFonts w:ascii="仿宋_GB2312" w:eastAsia="仿宋_GB2312"/>
          <w:color w:val="auto"/>
          <w:sz w:val="24"/>
        </w:rPr>
      </w:pPr>
      <w:r>
        <w:rPr>
          <w:rFonts w:hint="eastAsia" w:ascii="仿宋_GB2312" w:eastAsia="仿宋_GB2312"/>
          <w:color w:val="auto"/>
          <w:sz w:val="24"/>
        </w:rPr>
        <w:t>本合同工程是否包含竣工后试验：</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12.1 </w:t>
      </w:r>
      <w:r>
        <w:rPr>
          <w:rFonts w:hint="eastAsia" w:ascii="黑体" w:hAnsi="黑体" w:eastAsia="黑体"/>
          <w:color w:val="auto"/>
          <w:sz w:val="24"/>
        </w:rPr>
        <w:t>竣工后试验的程序</w:t>
      </w:r>
    </w:p>
    <w:p>
      <w:pPr>
        <w:ind w:firstLine="600"/>
        <w:rPr>
          <w:rFonts w:ascii="仿宋_GB2312" w:eastAsia="仿宋_GB2312"/>
          <w:color w:val="auto"/>
          <w:sz w:val="24"/>
        </w:rPr>
      </w:pPr>
      <w:r>
        <w:rPr>
          <w:rFonts w:ascii="仿宋_GB2312" w:eastAsia="仿宋_GB2312"/>
          <w:color w:val="auto"/>
          <w:sz w:val="24"/>
        </w:rPr>
        <w:t xml:space="preserve">12.1.2 </w:t>
      </w:r>
      <w:r>
        <w:rPr>
          <w:rFonts w:hint="eastAsia" w:ascii="仿宋_GB2312" w:eastAsia="仿宋_GB2312"/>
          <w:color w:val="auto"/>
          <w:sz w:val="24"/>
        </w:rPr>
        <w:t>竣工后试验全部电力、水、污水处理、燃料、消耗品和材料，以及全部其他仪器、协助、文件或其他信息、设备、工具、劳力，启动工程设备，并组织安排有适当资质、经验和能力的工作人员等必要条件的提供方：</w:t>
      </w:r>
      <w:r>
        <w:rPr>
          <w:rFonts w:ascii="仿宋_GB2312" w:eastAsia="仿宋_GB2312"/>
          <w:color w:val="auto"/>
          <w:sz w:val="24"/>
          <w:u w:val="single"/>
        </w:rPr>
        <w:t xml:space="preserve">                      </w:t>
      </w:r>
      <w:r>
        <w:rPr>
          <w:rFonts w:hint="eastAsia" w:ascii="仿宋_GB2312" w:eastAsia="仿宋_GB2312"/>
          <w:color w:val="auto"/>
          <w:sz w:val="24"/>
        </w:rPr>
        <w:t>。</w:t>
      </w:r>
    </w:p>
    <w:p>
      <w:pPr>
        <w:pStyle w:val="314"/>
        <w:rPr>
          <w:rFonts w:ascii="黑体" w:hAnsi="黑体" w:eastAsia="黑体"/>
          <w:b w:val="0"/>
          <w:bCs/>
          <w:color w:val="auto"/>
          <w:sz w:val="24"/>
          <w:szCs w:val="24"/>
        </w:rPr>
      </w:pPr>
      <w:bookmarkStart w:id="1154" w:name="_Toc54862344"/>
      <w:r>
        <w:rPr>
          <w:rFonts w:hint="eastAsia" w:ascii="黑体" w:hAnsi="黑体" w:eastAsia="黑体"/>
          <w:b w:val="0"/>
          <w:bCs/>
          <w:color w:val="auto"/>
          <w:sz w:val="24"/>
          <w:szCs w:val="24"/>
        </w:rPr>
        <w:t>第</w:t>
      </w:r>
      <w:r>
        <w:rPr>
          <w:rFonts w:ascii="黑体" w:hAnsi="黑体" w:eastAsia="黑体"/>
          <w:b w:val="0"/>
          <w:bCs/>
          <w:color w:val="auto"/>
          <w:sz w:val="24"/>
          <w:szCs w:val="24"/>
        </w:rPr>
        <w:t>13条</w:t>
      </w:r>
      <w:r>
        <w:rPr>
          <w:rFonts w:hint="eastAsia" w:ascii="黑体" w:hAnsi="黑体" w:eastAsia="黑体"/>
          <w:b w:val="0"/>
          <w:bCs/>
          <w:color w:val="auto"/>
          <w:sz w:val="24"/>
          <w:szCs w:val="24"/>
        </w:rPr>
        <w:t xml:space="preserve"> 变更与调整</w:t>
      </w:r>
      <w:bookmarkEnd w:id="1154"/>
    </w:p>
    <w:p>
      <w:pPr>
        <w:ind w:firstLine="600"/>
        <w:rPr>
          <w:rFonts w:ascii="黑体" w:hAnsi="黑体" w:eastAsia="黑体"/>
          <w:color w:val="auto"/>
          <w:sz w:val="24"/>
        </w:rPr>
      </w:pPr>
      <w:r>
        <w:rPr>
          <w:rFonts w:ascii="黑体" w:hAnsi="黑体" w:eastAsia="黑体"/>
          <w:color w:val="auto"/>
          <w:sz w:val="24"/>
        </w:rPr>
        <w:t xml:space="preserve">13.2 </w:t>
      </w:r>
      <w:r>
        <w:rPr>
          <w:rFonts w:hint="eastAsia" w:ascii="黑体" w:hAnsi="黑体" w:eastAsia="黑体"/>
          <w:color w:val="auto"/>
          <w:sz w:val="24"/>
        </w:rPr>
        <w:t>承包人的合理化建议</w:t>
      </w:r>
    </w:p>
    <w:p>
      <w:pPr>
        <w:ind w:firstLine="600"/>
        <w:rPr>
          <w:rFonts w:ascii="仿宋_GB2312" w:eastAsia="仿宋_GB2312"/>
          <w:color w:val="auto"/>
          <w:sz w:val="24"/>
        </w:rPr>
      </w:pPr>
      <w:r>
        <w:rPr>
          <w:rFonts w:ascii="仿宋_GB2312" w:eastAsia="仿宋_GB2312"/>
          <w:color w:val="auto"/>
          <w:sz w:val="24"/>
        </w:rPr>
        <w:t xml:space="preserve">13.2.2 </w:t>
      </w:r>
      <w:r>
        <w:rPr>
          <w:rFonts w:hint="eastAsia" w:ascii="仿宋_GB2312" w:eastAsia="仿宋_GB2312"/>
          <w:color w:val="auto"/>
          <w:sz w:val="24"/>
        </w:rPr>
        <w:t>工程师应在收到承包人提交的合理化建议后</w:t>
      </w:r>
      <w:r>
        <w:rPr>
          <w:rFonts w:hint="eastAsia" w:ascii="仿宋_GB2312" w:eastAsia="仿宋_GB2312"/>
          <w:color w:val="auto"/>
          <w:sz w:val="24"/>
          <w:u w:val="single"/>
        </w:rPr>
        <w:t xml:space="preserve">    </w:t>
      </w:r>
      <w:r>
        <w:rPr>
          <w:rFonts w:hint="eastAsia" w:ascii="仿宋_GB2312" w:eastAsia="仿宋_GB2312"/>
          <w:color w:val="auto"/>
          <w:sz w:val="24"/>
        </w:rPr>
        <w:t>日内审查完毕并报送发包人，发现其中存在技术上的缺陷，应通知承包人修改。发包人应在收到工程师报送的合理化建议后</w:t>
      </w:r>
      <w:r>
        <w:rPr>
          <w:rFonts w:ascii="仿宋_GB2312" w:eastAsia="仿宋_GB2312"/>
          <w:color w:val="auto"/>
          <w:sz w:val="24"/>
          <w:u w:val="single"/>
        </w:rPr>
        <w:t xml:space="preserve">    </w:t>
      </w:r>
      <w:r>
        <w:rPr>
          <w:rFonts w:hint="eastAsia" w:ascii="仿宋_GB2312" w:eastAsia="仿宋_GB2312"/>
          <w:color w:val="auto"/>
          <w:sz w:val="24"/>
        </w:rPr>
        <w:t>日内审批完毕。合理化建议经发包人批准的，工程师应及时发出变更指示，由此引起的合同价格调整按照</w:t>
      </w:r>
      <w:r>
        <w:rPr>
          <w:rFonts w:hint="eastAsia" w:ascii="仿宋_GB2312" w:eastAsia="仿宋_GB2312"/>
          <w:color w:val="auto"/>
          <w:sz w:val="24"/>
          <w:u w:val="single"/>
        </w:rPr>
        <w:t xml:space="preserve">              </w:t>
      </w:r>
      <w:r>
        <w:rPr>
          <w:rFonts w:hint="eastAsia" w:ascii="仿宋_GB2312" w:eastAsia="仿宋_GB2312"/>
          <w:color w:val="auto"/>
          <w:sz w:val="24"/>
        </w:rPr>
        <w:t>执行。发包人不同意变更的，工程师应书面通知承包人</w:t>
      </w:r>
    </w:p>
    <w:p>
      <w:pPr>
        <w:ind w:firstLine="600"/>
        <w:rPr>
          <w:rFonts w:ascii="仿宋_GB2312" w:eastAsia="仿宋_GB2312"/>
          <w:color w:val="auto"/>
          <w:sz w:val="24"/>
        </w:rPr>
      </w:pPr>
      <w:r>
        <w:rPr>
          <w:rFonts w:ascii="仿宋_GB2312" w:eastAsia="仿宋_GB2312"/>
          <w:color w:val="auto"/>
          <w:sz w:val="24"/>
        </w:rPr>
        <w:t>13.2.3 承包人提出的</w:t>
      </w:r>
      <w:r>
        <w:rPr>
          <w:rFonts w:hint="eastAsia" w:ascii="仿宋_GB2312" w:eastAsia="仿宋_GB2312"/>
          <w:color w:val="auto"/>
          <w:sz w:val="24"/>
        </w:rPr>
        <w:t>合理化变更</w:t>
      </w:r>
      <w:r>
        <w:rPr>
          <w:rFonts w:ascii="仿宋_GB2312" w:eastAsia="仿宋_GB2312"/>
          <w:color w:val="auto"/>
          <w:sz w:val="24"/>
        </w:rPr>
        <w:t>建议的</w:t>
      </w:r>
      <w:r>
        <w:rPr>
          <w:rFonts w:hint="eastAsia" w:ascii="仿宋_GB2312" w:eastAsia="仿宋_GB2312"/>
          <w:color w:val="auto"/>
          <w:sz w:val="24"/>
        </w:rPr>
        <w:t>利益分享约定</w:t>
      </w:r>
      <w:r>
        <w:rPr>
          <w:rFonts w:ascii="仿宋_GB2312" w:eastAsia="仿宋_GB2312"/>
          <w:color w:val="auto"/>
          <w:sz w:val="24"/>
        </w:rPr>
        <w:t>：</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13.3 </w:t>
      </w:r>
      <w:r>
        <w:rPr>
          <w:rFonts w:hint="eastAsia" w:ascii="黑体" w:hAnsi="黑体" w:eastAsia="黑体"/>
          <w:color w:val="auto"/>
          <w:sz w:val="24"/>
        </w:rPr>
        <w:t>变更程序</w:t>
      </w:r>
    </w:p>
    <w:p>
      <w:pPr>
        <w:ind w:firstLine="600"/>
        <w:rPr>
          <w:rFonts w:ascii="仿宋_GB2312" w:eastAsia="仿宋_GB2312"/>
          <w:color w:val="auto"/>
          <w:sz w:val="24"/>
        </w:rPr>
      </w:pPr>
      <w:r>
        <w:rPr>
          <w:rFonts w:ascii="仿宋_GB2312" w:eastAsia="仿宋_GB2312"/>
          <w:color w:val="auto"/>
          <w:sz w:val="24"/>
        </w:rPr>
        <w:t>13.3.3 变更估价</w:t>
      </w:r>
    </w:p>
    <w:p>
      <w:pPr>
        <w:ind w:firstLine="600"/>
        <w:rPr>
          <w:rFonts w:ascii="仿宋_GB2312" w:eastAsia="仿宋_GB2312"/>
          <w:color w:val="auto"/>
          <w:sz w:val="24"/>
        </w:rPr>
      </w:pPr>
      <w:r>
        <w:rPr>
          <w:rFonts w:ascii="仿宋_GB2312" w:eastAsia="仿宋_GB2312"/>
          <w:color w:val="auto"/>
          <w:sz w:val="24"/>
        </w:rPr>
        <w:t>13.3.3.1 变更估价原则</w:t>
      </w:r>
    </w:p>
    <w:p>
      <w:pPr>
        <w:ind w:firstLine="600"/>
        <w:rPr>
          <w:rFonts w:ascii="仿宋_GB2312" w:eastAsia="仿宋_GB2312"/>
          <w:color w:val="auto"/>
          <w:sz w:val="24"/>
        </w:rPr>
      </w:pPr>
      <w:r>
        <w:rPr>
          <w:rFonts w:hint="eastAsia" w:ascii="仿宋_GB2312" w:eastAsia="仿宋_GB2312"/>
          <w:color w:val="auto"/>
          <w:sz w:val="24"/>
        </w:rPr>
        <w:t>关于变更估价原则的约定：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13.4 </w:t>
      </w:r>
      <w:r>
        <w:rPr>
          <w:rFonts w:hint="eastAsia" w:ascii="黑体" w:hAnsi="黑体" w:eastAsia="黑体"/>
          <w:color w:val="auto"/>
          <w:sz w:val="24"/>
        </w:rPr>
        <w:t>暂估价</w:t>
      </w:r>
    </w:p>
    <w:p>
      <w:pPr>
        <w:ind w:firstLine="600"/>
        <w:rPr>
          <w:rFonts w:ascii="仿宋_GB2312" w:eastAsia="仿宋_GB2312"/>
          <w:color w:val="auto"/>
          <w:sz w:val="24"/>
        </w:rPr>
      </w:pPr>
      <w:r>
        <w:rPr>
          <w:rFonts w:ascii="仿宋_GB2312" w:eastAsia="仿宋_GB2312"/>
          <w:color w:val="auto"/>
          <w:sz w:val="24"/>
        </w:rPr>
        <w:t xml:space="preserve">13.4.1 </w:t>
      </w:r>
      <w:r>
        <w:rPr>
          <w:rFonts w:hint="eastAsia" w:ascii="仿宋_GB2312" w:eastAsia="仿宋_GB2312"/>
          <w:color w:val="auto"/>
          <w:sz w:val="24"/>
        </w:rPr>
        <w:t>依法必须招标的暂估价项目</w:t>
      </w:r>
    </w:p>
    <w:p>
      <w:pPr>
        <w:ind w:firstLine="600"/>
        <w:rPr>
          <w:rFonts w:ascii="仿宋_GB2312" w:eastAsia="仿宋_GB2312"/>
          <w:color w:val="auto"/>
          <w:sz w:val="24"/>
        </w:rPr>
      </w:pPr>
      <w:r>
        <w:rPr>
          <w:rFonts w:hint="eastAsia" w:ascii="仿宋_GB2312" w:eastAsia="仿宋_GB2312"/>
          <w:color w:val="auto"/>
          <w:sz w:val="24"/>
        </w:rPr>
        <w:t>承包人可以参与投标的暂估价项目范围：</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承包人不得参与投标的暂估价项目范围：</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招投标程序及其他约定：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13.4.2 </w:t>
      </w:r>
      <w:r>
        <w:rPr>
          <w:rFonts w:hint="eastAsia" w:ascii="仿宋_GB2312" w:eastAsia="仿宋_GB2312"/>
          <w:color w:val="auto"/>
          <w:sz w:val="24"/>
        </w:rPr>
        <w:t>不属于依法必须招标的暂估价项目</w:t>
      </w:r>
    </w:p>
    <w:p>
      <w:pPr>
        <w:ind w:firstLine="600"/>
        <w:rPr>
          <w:rFonts w:ascii="仿宋_GB2312" w:eastAsia="仿宋_GB2312"/>
          <w:color w:val="auto"/>
          <w:sz w:val="24"/>
        </w:rPr>
      </w:pPr>
      <w:r>
        <w:rPr>
          <w:rFonts w:hint="eastAsia" w:ascii="仿宋_GB2312" w:eastAsia="仿宋_GB2312"/>
          <w:color w:val="auto"/>
          <w:sz w:val="24"/>
        </w:rPr>
        <w:t>不属于依法必须招标的暂估价项目的协商及估价的约定：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13.5 </w:t>
      </w:r>
      <w:r>
        <w:rPr>
          <w:rFonts w:hint="eastAsia" w:ascii="黑体" w:hAnsi="黑体" w:eastAsia="黑体"/>
          <w:color w:val="auto"/>
          <w:sz w:val="24"/>
        </w:rPr>
        <w:t>暂列金额</w:t>
      </w:r>
    </w:p>
    <w:p>
      <w:pPr>
        <w:ind w:firstLine="600"/>
        <w:rPr>
          <w:rFonts w:ascii="仿宋_GB2312" w:eastAsia="仿宋_GB2312"/>
          <w:color w:val="auto"/>
          <w:sz w:val="24"/>
        </w:rPr>
      </w:pPr>
      <w:r>
        <w:rPr>
          <w:rFonts w:hint="eastAsia" w:ascii="仿宋_GB2312" w:eastAsia="仿宋_GB2312"/>
          <w:color w:val="auto"/>
          <w:sz w:val="24"/>
        </w:rPr>
        <w:t>其他关于暂列金额使用的约定：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13.8 </w:t>
      </w:r>
      <w:r>
        <w:rPr>
          <w:rFonts w:hint="eastAsia" w:ascii="黑体" w:hAnsi="黑体" w:eastAsia="黑体"/>
          <w:color w:val="auto"/>
          <w:sz w:val="24"/>
        </w:rPr>
        <w:t>市场价格波动引起的调整</w:t>
      </w:r>
    </w:p>
    <w:p>
      <w:pPr>
        <w:ind w:firstLine="600"/>
        <w:rPr>
          <w:rFonts w:ascii="仿宋_GB2312" w:eastAsia="仿宋_GB2312"/>
          <w:color w:val="auto"/>
          <w:sz w:val="24"/>
        </w:rPr>
      </w:pPr>
      <w:r>
        <w:rPr>
          <w:rFonts w:hint="eastAsia" w:ascii="仿宋_GB2312" w:eastAsia="仿宋_GB2312"/>
          <w:color w:val="auto"/>
          <w:sz w:val="24"/>
        </w:rPr>
        <w:t>1</w:t>
      </w:r>
      <w:r>
        <w:rPr>
          <w:rFonts w:ascii="仿宋_GB2312" w:eastAsia="仿宋_GB2312"/>
          <w:color w:val="auto"/>
          <w:sz w:val="24"/>
        </w:rPr>
        <w:t xml:space="preserve">3.8.2 </w:t>
      </w:r>
      <w:r>
        <w:rPr>
          <w:rFonts w:hint="eastAsia" w:ascii="仿宋_GB2312" w:eastAsia="仿宋_GB2312"/>
          <w:color w:val="auto"/>
          <w:sz w:val="24"/>
        </w:rPr>
        <w:t>关于是否采用《价格指数权重表》的约定：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1</w:t>
      </w:r>
      <w:r>
        <w:rPr>
          <w:rFonts w:ascii="仿宋_GB2312" w:eastAsia="仿宋_GB2312"/>
          <w:color w:val="auto"/>
          <w:sz w:val="24"/>
        </w:rPr>
        <w:t xml:space="preserve">3.8.3 </w:t>
      </w:r>
      <w:r>
        <w:rPr>
          <w:rFonts w:hint="eastAsia" w:ascii="仿宋_GB2312" w:eastAsia="仿宋_GB2312"/>
          <w:color w:val="auto"/>
          <w:sz w:val="24"/>
        </w:rPr>
        <w:t>关于采用其他方式调整合同价款的约定：</w:t>
      </w:r>
      <w:r>
        <w:rPr>
          <w:rFonts w:ascii="仿宋_GB2312" w:eastAsia="仿宋_GB2312"/>
          <w:color w:val="auto"/>
          <w:sz w:val="24"/>
          <w:u w:val="single"/>
        </w:rPr>
        <w:t xml:space="preserve">                                          </w:t>
      </w:r>
      <w:r>
        <w:rPr>
          <w:rFonts w:hint="eastAsia" w:ascii="仿宋_GB2312" w:eastAsia="仿宋_GB2312"/>
          <w:color w:val="auto"/>
          <w:sz w:val="24"/>
        </w:rPr>
        <w:t>。</w:t>
      </w:r>
    </w:p>
    <w:p>
      <w:pPr>
        <w:pStyle w:val="314"/>
        <w:rPr>
          <w:rFonts w:ascii="黑体" w:hAnsi="黑体" w:eastAsia="黑体"/>
          <w:b w:val="0"/>
          <w:bCs/>
          <w:color w:val="auto"/>
          <w:sz w:val="24"/>
          <w:szCs w:val="24"/>
        </w:rPr>
      </w:pPr>
      <w:bookmarkStart w:id="1155" w:name="_Toc54862345"/>
      <w:r>
        <w:rPr>
          <w:rFonts w:hint="eastAsia" w:ascii="黑体" w:hAnsi="黑体" w:eastAsia="黑体"/>
          <w:b w:val="0"/>
          <w:bCs/>
          <w:color w:val="auto"/>
          <w:sz w:val="24"/>
          <w:szCs w:val="24"/>
        </w:rPr>
        <w:t>第</w:t>
      </w:r>
      <w:r>
        <w:rPr>
          <w:rFonts w:ascii="黑体" w:hAnsi="黑体" w:eastAsia="黑体"/>
          <w:b w:val="0"/>
          <w:bCs/>
          <w:color w:val="auto"/>
          <w:sz w:val="24"/>
          <w:szCs w:val="24"/>
        </w:rPr>
        <w:t>14条</w:t>
      </w:r>
      <w:r>
        <w:rPr>
          <w:rFonts w:hint="eastAsia" w:ascii="黑体" w:hAnsi="黑体" w:eastAsia="黑体"/>
          <w:b w:val="0"/>
          <w:bCs/>
          <w:color w:val="auto"/>
          <w:sz w:val="24"/>
          <w:szCs w:val="24"/>
        </w:rPr>
        <w:t xml:space="preserve"> 合同价格与支付</w:t>
      </w:r>
      <w:bookmarkEnd w:id="1155"/>
    </w:p>
    <w:p>
      <w:pPr>
        <w:ind w:firstLine="600"/>
        <w:rPr>
          <w:rFonts w:ascii="黑体" w:hAnsi="黑体" w:eastAsia="黑体"/>
          <w:color w:val="auto"/>
          <w:sz w:val="24"/>
        </w:rPr>
      </w:pPr>
      <w:r>
        <w:rPr>
          <w:rFonts w:ascii="黑体" w:hAnsi="黑体" w:eastAsia="黑体"/>
          <w:color w:val="auto"/>
          <w:sz w:val="24"/>
        </w:rPr>
        <w:t xml:space="preserve">14.1 </w:t>
      </w:r>
      <w:r>
        <w:rPr>
          <w:rFonts w:hint="eastAsia" w:ascii="黑体" w:hAnsi="黑体" w:eastAsia="黑体"/>
          <w:color w:val="auto"/>
          <w:sz w:val="24"/>
        </w:rPr>
        <w:t>合同价格形式</w:t>
      </w:r>
    </w:p>
    <w:p>
      <w:pPr>
        <w:ind w:firstLine="600"/>
        <w:rPr>
          <w:rFonts w:ascii="仿宋_GB2312" w:eastAsia="仿宋_GB2312"/>
          <w:color w:val="auto"/>
          <w:sz w:val="24"/>
        </w:rPr>
      </w:pPr>
      <w:r>
        <w:rPr>
          <w:rFonts w:hint="eastAsia" w:ascii="仿宋_GB2312" w:eastAsia="仿宋_GB2312"/>
          <w:color w:val="auto"/>
          <w:sz w:val="24"/>
        </w:rPr>
        <w:t>1</w:t>
      </w:r>
      <w:r>
        <w:rPr>
          <w:rFonts w:ascii="仿宋_GB2312" w:eastAsia="仿宋_GB2312"/>
          <w:color w:val="auto"/>
          <w:sz w:val="24"/>
        </w:rPr>
        <w:t xml:space="preserve">4.1.1 </w:t>
      </w:r>
      <w:r>
        <w:rPr>
          <w:rFonts w:hint="eastAsia" w:ascii="仿宋_GB2312" w:eastAsia="仿宋_GB2312"/>
          <w:color w:val="auto"/>
          <w:sz w:val="24"/>
        </w:rPr>
        <w:t>关于合同价格形式的约定：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1</w:t>
      </w:r>
      <w:r>
        <w:rPr>
          <w:rFonts w:ascii="仿宋_GB2312" w:eastAsia="仿宋_GB2312"/>
          <w:color w:val="auto"/>
          <w:sz w:val="24"/>
        </w:rPr>
        <w:t xml:space="preserve">4.1.2 </w:t>
      </w:r>
      <w:r>
        <w:rPr>
          <w:rFonts w:hint="eastAsia" w:ascii="仿宋_GB2312" w:eastAsia="仿宋_GB2312"/>
          <w:color w:val="auto"/>
          <w:sz w:val="24"/>
        </w:rPr>
        <w:t>关于合同价格调整的约定：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1</w:t>
      </w:r>
      <w:r>
        <w:rPr>
          <w:rFonts w:ascii="仿宋_GB2312" w:eastAsia="仿宋_GB2312"/>
          <w:color w:val="auto"/>
          <w:sz w:val="24"/>
        </w:rPr>
        <w:t xml:space="preserve">4.1.3 </w:t>
      </w:r>
      <w:r>
        <w:rPr>
          <w:rFonts w:hint="eastAsia" w:ascii="仿宋_GB2312" w:eastAsia="仿宋_GB2312"/>
          <w:color w:val="auto"/>
          <w:sz w:val="24"/>
        </w:rPr>
        <w:t>按实际完成的工程量支付工程价款的计量方法、估价方法：</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14.2 </w:t>
      </w:r>
      <w:r>
        <w:rPr>
          <w:rFonts w:hint="eastAsia" w:ascii="黑体" w:hAnsi="黑体" w:eastAsia="黑体"/>
          <w:color w:val="auto"/>
          <w:sz w:val="24"/>
        </w:rPr>
        <w:t>预付款</w:t>
      </w:r>
    </w:p>
    <w:p>
      <w:pPr>
        <w:ind w:firstLine="600"/>
        <w:rPr>
          <w:rFonts w:ascii="仿宋_GB2312" w:eastAsia="仿宋_GB2312"/>
          <w:color w:val="auto"/>
          <w:sz w:val="24"/>
        </w:rPr>
      </w:pPr>
      <w:r>
        <w:rPr>
          <w:rFonts w:ascii="仿宋_GB2312" w:eastAsia="仿宋_GB2312"/>
          <w:color w:val="auto"/>
          <w:sz w:val="24"/>
        </w:rPr>
        <w:t xml:space="preserve">14.2.1 </w:t>
      </w:r>
      <w:r>
        <w:rPr>
          <w:rFonts w:hint="eastAsia" w:ascii="仿宋_GB2312" w:eastAsia="仿宋_GB2312"/>
          <w:color w:val="auto"/>
          <w:sz w:val="24"/>
        </w:rPr>
        <w:t>预付款支付</w:t>
      </w:r>
    </w:p>
    <w:p>
      <w:pPr>
        <w:ind w:firstLine="600"/>
        <w:rPr>
          <w:rFonts w:hint="eastAsia" w:ascii="仿宋_GB2312" w:eastAsia="仿宋_GB2312"/>
          <w:color w:val="auto"/>
          <w:sz w:val="24"/>
        </w:rPr>
      </w:pPr>
      <w:r>
        <w:rPr>
          <w:rFonts w:hint="eastAsia" w:ascii="仿宋_GB2312" w:eastAsia="仿宋_GB2312"/>
          <w:color w:val="auto"/>
          <w:sz w:val="24"/>
        </w:rPr>
        <w:t>预付款的金额或比例为：</w:t>
      </w:r>
      <w:r>
        <w:rPr>
          <w:rFonts w:hint="eastAsia" w:ascii="仿宋_GB2312" w:eastAsia="仿宋_GB2312"/>
          <w:color w:val="auto"/>
          <w:sz w:val="24"/>
          <w:u w:val="single"/>
        </w:rPr>
        <w:t>合同签订后，预付合同工程费用的10%。</w:t>
      </w:r>
    </w:p>
    <w:p>
      <w:pPr>
        <w:ind w:firstLine="600"/>
        <w:rPr>
          <w:rFonts w:hint="eastAsia" w:ascii="仿宋_GB2312" w:eastAsia="仿宋_GB2312"/>
          <w:color w:val="auto"/>
          <w:sz w:val="24"/>
          <w:u w:val="single"/>
        </w:rPr>
      </w:pPr>
      <w:r>
        <w:rPr>
          <w:rFonts w:hint="eastAsia" w:ascii="仿宋_GB2312" w:eastAsia="仿宋_GB2312"/>
          <w:color w:val="auto"/>
          <w:sz w:val="24"/>
        </w:rPr>
        <w:t>预付款支付期限：</w:t>
      </w:r>
      <w:r>
        <w:rPr>
          <w:rFonts w:hint="eastAsia" w:ascii="仿宋_GB2312" w:eastAsia="仿宋_GB2312"/>
          <w:color w:val="auto"/>
          <w:sz w:val="24"/>
          <w:u w:val="single"/>
        </w:rPr>
        <w:t>发包方在承包方缴纳履约保证金或履约保函、设计及工程保险凭证七个工作日之内支付预付款。</w:t>
      </w:r>
    </w:p>
    <w:p>
      <w:pPr>
        <w:ind w:firstLine="600"/>
        <w:rPr>
          <w:rFonts w:hint="eastAsia" w:ascii="仿宋_GB2312" w:eastAsia="仿宋_GB2312"/>
          <w:color w:val="auto"/>
          <w:sz w:val="24"/>
          <w:u w:val="single"/>
        </w:rPr>
      </w:pPr>
      <w:r>
        <w:rPr>
          <w:rFonts w:hint="eastAsia" w:ascii="仿宋_GB2312" w:eastAsia="仿宋_GB2312"/>
          <w:color w:val="auto"/>
          <w:sz w:val="24"/>
        </w:rPr>
        <w:t>预付款扣回的方式：</w:t>
      </w:r>
      <w:r>
        <w:rPr>
          <w:rFonts w:hint="eastAsia" w:ascii="仿宋_GB2312" w:eastAsia="仿宋_GB2312"/>
          <w:color w:val="auto"/>
          <w:sz w:val="24"/>
          <w:u w:val="single"/>
        </w:rPr>
        <w:t>按工程进度款支付的比例一次性扣回。</w:t>
      </w:r>
    </w:p>
    <w:p>
      <w:pPr>
        <w:ind w:firstLine="600"/>
        <w:rPr>
          <w:rFonts w:ascii="仿宋_GB2312" w:eastAsia="仿宋_GB2312"/>
          <w:color w:val="auto"/>
          <w:sz w:val="24"/>
        </w:rPr>
      </w:pPr>
      <w:r>
        <w:rPr>
          <w:rFonts w:hint="eastAsia" w:ascii="仿宋_GB2312" w:eastAsia="仿宋_GB2312"/>
          <w:color w:val="auto"/>
          <w:sz w:val="24"/>
        </w:rPr>
        <w:t>1</w:t>
      </w:r>
      <w:r>
        <w:rPr>
          <w:rFonts w:ascii="仿宋_GB2312" w:eastAsia="仿宋_GB2312"/>
          <w:color w:val="auto"/>
          <w:sz w:val="24"/>
        </w:rPr>
        <w:t>4.2.2预付款担保</w:t>
      </w:r>
    </w:p>
    <w:p>
      <w:pPr>
        <w:ind w:firstLine="600"/>
        <w:rPr>
          <w:rFonts w:ascii="仿宋_GB2312" w:eastAsia="仿宋_GB2312"/>
          <w:color w:val="auto"/>
          <w:sz w:val="24"/>
        </w:rPr>
      </w:pPr>
      <w:r>
        <w:rPr>
          <w:rFonts w:hint="eastAsia" w:ascii="仿宋_GB2312" w:eastAsia="仿宋_GB2312"/>
          <w:color w:val="auto"/>
          <w:sz w:val="24"/>
        </w:rPr>
        <w:t>提供预付款担保期限：</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预付款担保形式：</w:t>
      </w:r>
      <w:r>
        <w:rPr>
          <w:rFonts w:hint="eastAsia" w:ascii="仿宋_GB2312" w:eastAsia="仿宋_GB2312"/>
          <w:color w:val="auto"/>
          <w:sz w:val="24"/>
          <w:u w:val="single"/>
        </w:rPr>
        <w:t xml:space="preserve"> </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14.3 </w:t>
      </w:r>
      <w:r>
        <w:rPr>
          <w:rFonts w:hint="eastAsia" w:ascii="黑体" w:hAnsi="黑体" w:eastAsia="黑体"/>
          <w:color w:val="auto"/>
          <w:sz w:val="24"/>
        </w:rPr>
        <w:t>工程进度款</w:t>
      </w:r>
    </w:p>
    <w:p>
      <w:pPr>
        <w:ind w:firstLine="600"/>
        <w:rPr>
          <w:rFonts w:ascii="仿宋_GB2312" w:eastAsia="仿宋_GB2312"/>
          <w:color w:val="auto"/>
          <w:sz w:val="24"/>
        </w:rPr>
      </w:pPr>
      <w:r>
        <w:rPr>
          <w:rFonts w:ascii="仿宋_GB2312" w:eastAsia="仿宋_GB2312"/>
          <w:color w:val="auto"/>
          <w:sz w:val="24"/>
        </w:rPr>
        <w:t xml:space="preserve">14.3.1 </w:t>
      </w:r>
      <w:r>
        <w:rPr>
          <w:rFonts w:hint="eastAsia" w:ascii="仿宋_GB2312" w:eastAsia="仿宋_GB2312"/>
          <w:color w:val="auto"/>
          <w:sz w:val="24"/>
        </w:rPr>
        <w:t>工程进度付款申请</w:t>
      </w:r>
    </w:p>
    <w:p>
      <w:pPr>
        <w:widowControl/>
        <w:adjustRightInd w:val="0"/>
        <w:snapToGrid w:val="0"/>
        <w:ind w:firstLine="480" w:firstLineChars="200"/>
        <w:rPr>
          <w:rFonts w:ascii="宋体" w:hAnsi="宋体" w:eastAsia="仿宋_GB2312" w:cs="宋体"/>
          <w:color w:val="auto"/>
          <w:sz w:val="18"/>
          <w:szCs w:val="18"/>
          <w:highlight w:val="red"/>
          <w:u w:val="single"/>
        </w:rPr>
      </w:pPr>
      <w:r>
        <w:rPr>
          <w:rFonts w:hint="eastAsia" w:ascii="仿宋_GB2312" w:eastAsia="仿宋_GB2312"/>
          <w:color w:val="auto"/>
          <w:sz w:val="24"/>
        </w:rPr>
        <w:t>工程进度付款申请方式</w:t>
      </w:r>
      <w:r>
        <w:rPr>
          <w:rFonts w:hint="eastAsia" w:ascii="仿宋_GB2312" w:eastAsia="仿宋_GB2312"/>
          <w:color w:val="auto"/>
          <w:sz w:val="24"/>
          <w:u w:val="single"/>
        </w:rPr>
        <w:t xml:space="preserve">          </w:t>
      </w:r>
    </w:p>
    <w:p>
      <w:pPr>
        <w:ind w:firstLine="600"/>
        <w:rPr>
          <w:rFonts w:ascii="仿宋_GB2312" w:eastAsia="仿宋_GB2312"/>
          <w:color w:val="auto"/>
          <w:sz w:val="24"/>
        </w:rPr>
      </w:pPr>
      <w:r>
        <w:rPr>
          <w:rFonts w:hint="eastAsia" w:ascii="仿宋_GB2312" w:eastAsia="仿宋_GB2312"/>
          <w:color w:val="auto"/>
          <w:sz w:val="24"/>
        </w:rPr>
        <w:t>承包人提交进度付款申请单的格式、内容、份数和时间：</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进度付款申请单应包括的内容：</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14.3.2 </w:t>
      </w:r>
      <w:r>
        <w:rPr>
          <w:rFonts w:hint="eastAsia" w:ascii="仿宋_GB2312" w:eastAsia="仿宋_GB2312"/>
          <w:color w:val="auto"/>
          <w:sz w:val="24"/>
        </w:rPr>
        <w:t>进度付款审核和支付</w:t>
      </w:r>
    </w:p>
    <w:p>
      <w:pPr>
        <w:ind w:firstLine="600"/>
        <w:rPr>
          <w:rFonts w:ascii="仿宋_GB2312" w:eastAsia="仿宋_GB2312"/>
          <w:color w:val="auto"/>
          <w:sz w:val="24"/>
        </w:rPr>
      </w:pPr>
      <w:r>
        <w:rPr>
          <w:rFonts w:hint="eastAsia" w:ascii="仿宋_GB2312" w:eastAsia="仿宋_GB2312"/>
          <w:color w:val="auto"/>
          <w:sz w:val="24"/>
        </w:rPr>
        <w:t>进度付款的审核方式和支付的约定：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发包人应在进度款支付证书或临时进度款支付证书签发后的</w:t>
      </w:r>
      <w:r>
        <w:rPr>
          <w:rFonts w:hint="eastAsia" w:ascii="仿宋_GB2312" w:eastAsia="仿宋_GB2312"/>
          <w:color w:val="auto"/>
          <w:sz w:val="24"/>
          <w:u w:val="single"/>
        </w:rPr>
        <w:t xml:space="preserve"> </w:t>
      </w:r>
      <w:r>
        <w:rPr>
          <w:rFonts w:ascii="仿宋_GB2312" w:eastAsia="仿宋_GB2312"/>
          <w:color w:val="auto"/>
          <w:sz w:val="24"/>
          <w:u w:val="single"/>
        </w:rPr>
        <w:t xml:space="preserve">    </w:t>
      </w:r>
      <w:r>
        <w:rPr>
          <w:rFonts w:hint="eastAsia" w:ascii="仿宋_GB2312" w:eastAsia="仿宋_GB2312"/>
          <w:color w:val="auto"/>
          <w:sz w:val="24"/>
        </w:rPr>
        <w:t>天内完成支付，发包人逾期支付进度款的，应按照</w:t>
      </w:r>
      <w:r>
        <w:rPr>
          <w:rFonts w:hint="eastAsia" w:ascii="仿宋_GB2312" w:eastAsia="仿宋_GB2312"/>
          <w:color w:val="auto"/>
          <w:sz w:val="24"/>
          <w:u w:val="single"/>
        </w:rPr>
        <w:t xml:space="preserve"> </w:t>
      </w:r>
      <w:r>
        <w:rPr>
          <w:rFonts w:ascii="仿宋_GB2312" w:eastAsia="仿宋_GB2312"/>
          <w:color w:val="auto"/>
          <w:sz w:val="24"/>
          <w:u w:val="single"/>
        </w:rPr>
        <w:t xml:space="preserve">   </w:t>
      </w:r>
      <w:r>
        <w:rPr>
          <w:rFonts w:hint="eastAsia" w:ascii="仿宋_GB2312" w:eastAsia="仿宋_GB2312"/>
          <w:color w:val="auto"/>
          <w:sz w:val="24"/>
        </w:rPr>
        <w:t>支付违约金。</w:t>
      </w:r>
    </w:p>
    <w:p>
      <w:pPr>
        <w:ind w:firstLine="600"/>
        <w:rPr>
          <w:rFonts w:ascii="黑体" w:hAnsi="黑体" w:eastAsia="黑体"/>
          <w:color w:val="auto"/>
          <w:sz w:val="24"/>
        </w:rPr>
      </w:pPr>
      <w:r>
        <w:rPr>
          <w:rFonts w:ascii="黑体" w:hAnsi="黑体" w:eastAsia="黑体"/>
          <w:color w:val="auto"/>
          <w:sz w:val="24"/>
        </w:rPr>
        <w:t xml:space="preserve">14.4 </w:t>
      </w:r>
      <w:r>
        <w:rPr>
          <w:rFonts w:hint="eastAsia" w:ascii="黑体" w:hAnsi="黑体" w:eastAsia="黑体"/>
          <w:color w:val="auto"/>
          <w:sz w:val="24"/>
        </w:rPr>
        <w:t>付款计划表</w:t>
      </w:r>
    </w:p>
    <w:p>
      <w:pPr>
        <w:ind w:firstLine="600"/>
        <w:rPr>
          <w:rFonts w:ascii="仿宋_GB2312" w:eastAsia="仿宋_GB2312"/>
          <w:color w:val="auto"/>
          <w:sz w:val="24"/>
        </w:rPr>
      </w:pPr>
      <w:r>
        <w:rPr>
          <w:rFonts w:ascii="仿宋_GB2312" w:eastAsia="仿宋_GB2312"/>
          <w:color w:val="auto"/>
          <w:sz w:val="24"/>
        </w:rPr>
        <w:t>14.4.1 付款计划表的编制要求</w:t>
      </w:r>
      <w:r>
        <w:rPr>
          <w:rFonts w:hint="eastAsia" w:ascii="仿宋_GB2312" w:eastAsia="仿宋_GB2312"/>
          <w:color w:val="auto"/>
          <w:sz w:val="24"/>
        </w:rPr>
        <w:t>：</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14.4.2 </w:t>
      </w:r>
      <w:r>
        <w:rPr>
          <w:rFonts w:hint="eastAsia" w:ascii="仿宋_GB2312" w:eastAsia="仿宋_GB2312"/>
          <w:color w:val="auto"/>
          <w:sz w:val="24"/>
        </w:rPr>
        <w:t>付款计划表的编制与审批</w:t>
      </w:r>
    </w:p>
    <w:p>
      <w:pPr>
        <w:ind w:firstLine="600"/>
        <w:rPr>
          <w:rFonts w:ascii="仿宋_GB2312" w:eastAsia="仿宋_GB2312"/>
          <w:color w:val="auto"/>
          <w:sz w:val="24"/>
        </w:rPr>
      </w:pPr>
      <w:r>
        <w:rPr>
          <w:rFonts w:hint="eastAsia" w:ascii="仿宋_GB2312" w:eastAsia="仿宋_GB2312"/>
          <w:color w:val="auto"/>
          <w:sz w:val="24"/>
        </w:rPr>
        <w:t>付款计划表的编制：</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14.5 </w:t>
      </w:r>
      <w:r>
        <w:rPr>
          <w:rFonts w:hint="eastAsia" w:ascii="黑体" w:hAnsi="黑体" w:eastAsia="黑体"/>
          <w:color w:val="auto"/>
          <w:sz w:val="24"/>
        </w:rPr>
        <w:t>竣工结算</w:t>
      </w:r>
    </w:p>
    <w:p>
      <w:pPr>
        <w:ind w:firstLine="600"/>
        <w:rPr>
          <w:rFonts w:ascii="仿宋_GB2312" w:eastAsia="仿宋_GB2312"/>
          <w:color w:val="auto"/>
          <w:sz w:val="24"/>
        </w:rPr>
      </w:pPr>
      <w:r>
        <w:rPr>
          <w:rFonts w:ascii="仿宋_GB2312" w:eastAsia="仿宋_GB2312"/>
          <w:color w:val="auto"/>
          <w:sz w:val="24"/>
        </w:rPr>
        <w:t xml:space="preserve">14.5.1 </w:t>
      </w:r>
      <w:r>
        <w:rPr>
          <w:rFonts w:hint="eastAsia" w:ascii="仿宋_GB2312" w:eastAsia="仿宋_GB2312"/>
          <w:color w:val="auto"/>
          <w:sz w:val="24"/>
        </w:rPr>
        <w:t>竣工结算申请</w:t>
      </w:r>
    </w:p>
    <w:p>
      <w:pPr>
        <w:ind w:firstLine="600"/>
        <w:rPr>
          <w:rFonts w:ascii="仿宋_GB2312" w:eastAsia="仿宋_GB2312"/>
          <w:color w:val="auto"/>
          <w:sz w:val="24"/>
        </w:rPr>
      </w:pPr>
      <w:r>
        <w:rPr>
          <w:rFonts w:hint="eastAsia" w:ascii="仿宋_GB2312" w:eastAsia="仿宋_GB2312"/>
          <w:color w:val="auto"/>
          <w:sz w:val="24"/>
        </w:rPr>
        <w:t>承包人提交竣工结算申请的时间：</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竣工结算申请的资料清单和份数：</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竣工结算申请单的内容应包括：</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14.5.2 </w:t>
      </w:r>
      <w:r>
        <w:rPr>
          <w:rFonts w:hint="eastAsia" w:ascii="仿宋_GB2312" w:eastAsia="仿宋_GB2312"/>
          <w:color w:val="auto"/>
          <w:sz w:val="24"/>
        </w:rPr>
        <w:t>竣工结算审核</w:t>
      </w:r>
    </w:p>
    <w:p>
      <w:pPr>
        <w:ind w:firstLine="600"/>
        <w:rPr>
          <w:rFonts w:ascii="仿宋_GB2312" w:eastAsia="仿宋_GB2312"/>
          <w:color w:val="auto"/>
          <w:sz w:val="24"/>
        </w:rPr>
      </w:pPr>
      <w:r>
        <w:rPr>
          <w:rFonts w:hint="eastAsia" w:ascii="仿宋_GB2312" w:eastAsia="仿宋_GB2312"/>
          <w:color w:val="auto"/>
          <w:sz w:val="24"/>
        </w:rPr>
        <w:t>发包人审批竣工付款申请单的期限：</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发包人完成竣工付款的期限：</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关于竣工付款证书异议部分复核的方式和程序：</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14.6 </w:t>
      </w:r>
      <w:r>
        <w:rPr>
          <w:rFonts w:hint="eastAsia" w:ascii="黑体" w:hAnsi="黑体" w:eastAsia="黑体"/>
          <w:color w:val="auto"/>
          <w:sz w:val="24"/>
        </w:rPr>
        <w:t>质量保证金</w:t>
      </w:r>
    </w:p>
    <w:p>
      <w:pPr>
        <w:ind w:firstLine="600"/>
        <w:rPr>
          <w:rFonts w:ascii="仿宋_GB2312" w:eastAsia="仿宋_GB2312"/>
          <w:color w:val="auto"/>
          <w:sz w:val="24"/>
        </w:rPr>
      </w:pPr>
      <w:r>
        <w:rPr>
          <w:rFonts w:ascii="仿宋_GB2312" w:eastAsia="仿宋_GB2312"/>
          <w:color w:val="auto"/>
          <w:sz w:val="24"/>
        </w:rPr>
        <w:t xml:space="preserve">14.6.1 </w:t>
      </w:r>
      <w:r>
        <w:rPr>
          <w:rFonts w:hint="eastAsia" w:ascii="仿宋_GB2312" w:eastAsia="仿宋_GB2312"/>
          <w:color w:val="auto"/>
          <w:sz w:val="24"/>
        </w:rPr>
        <w:t>承包人提供质量保证金的方式</w:t>
      </w:r>
    </w:p>
    <w:p>
      <w:pPr>
        <w:ind w:firstLine="600"/>
        <w:rPr>
          <w:rFonts w:ascii="仿宋_GB2312" w:eastAsia="仿宋_GB2312"/>
          <w:color w:val="auto"/>
          <w:sz w:val="24"/>
        </w:rPr>
      </w:pPr>
      <w:r>
        <w:rPr>
          <w:rFonts w:ascii="仿宋_GB2312" w:eastAsia="仿宋_GB2312"/>
          <w:color w:val="auto"/>
          <w:sz w:val="24"/>
        </w:rPr>
        <w:t>质量</w:t>
      </w:r>
      <w:r>
        <w:rPr>
          <w:rFonts w:hint="eastAsia" w:ascii="仿宋_GB2312" w:eastAsia="仿宋_GB2312"/>
          <w:color w:val="auto"/>
          <w:sz w:val="24"/>
        </w:rPr>
        <w:t>保证金</w:t>
      </w:r>
      <w:r>
        <w:rPr>
          <w:rFonts w:ascii="仿宋_GB2312" w:eastAsia="仿宋_GB2312"/>
          <w:color w:val="auto"/>
          <w:sz w:val="24"/>
        </w:rPr>
        <w:t>采用以下</w:t>
      </w:r>
      <w:r>
        <w:rPr>
          <w:rFonts w:hint="eastAsia" w:ascii="仿宋_GB2312" w:eastAsia="仿宋_GB2312"/>
          <w:color w:val="auto"/>
          <w:sz w:val="24"/>
        </w:rPr>
        <w:t>第</w:t>
      </w:r>
      <w:r>
        <w:rPr>
          <w:rFonts w:ascii="仿宋_GB2312" w:eastAsia="仿宋_GB2312"/>
          <w:color w:val="auto"/>
          <w:sz w:val="24"/>
          <w:u w:val="single"/>
        </w:rPr>
        <w:t xml:space="preserve">        </w:t>
      </w:r>
      <w:r>
        <w:rPr>
          <w:rFonts w:hint="eastAsia" w:ascii="仿宋_GB2312" w:eastAsia="仿宋_GB2312"/>
          <w:color w:val="auto"/>
          <w:sz w:val="24"/>
        </w:rPr>
        <w:t>种</w:t>
      </w:r>
      <w:r>
        <w:rPr>
          <w:rFonts w:ascii="仿宋_GB2312" w:eastAsia="仿宋_GB2312"/>
          <w:color w:val="auto"/>
          <w:sz w:val="24"/>
        </w:rPr>
        <w:t>方式：</w:t>
      </w:r>
    </w:p>
    <w:p>
      <w:pPr>
        <w:ind w:firstLine="600"/>
        <w:rPr>
          <w:rFonts w:ascii="仿宋_GB2312" w:eastAsia="仿宋_GB2312"/>
          <w:color w:val="auto"/>
          <w:sz w:val="24"/>
        </w:rPr>
      </w:pPr>
      <w:r>
        <w:rPr>
          <w:rFonts w:ascii="仿宋_GB2312" w:eastAsia="仿宋_GB2312"/>
          <w:color w:val="auto"/>
          <w:sz w:val="24"/>
        </w:rPr>
        <w:t xml:space="preserve">(1) </w:t>
      </w:r>
      <w:r>
        <w:rPr>
          <w:rFonts w:hint="eastAsia" w:ascii="仿宋_GB2312" w:eastAsia="仿宋_GB2312"/>
          <w:color w:val="auto"/>
          <w:sz w:val="24"/>
        </w:rPr>
        <w:t>工程质量保证担保</w:t>
      </w:r>
      <w:r>
        <w:rPr>
          <w:rFonts w:ascii="仿宋_GB2312" w:eastAsia="仿宋_GB2312"/>
          <w:color w:val="auto"/>
          <w:sz w:val="24"/>
        </w:rPr>
        <w:t>，保证金额为：</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(2) </w:t>
      </w:r>
      <w:r>
        <w:rPr>
          <w:rFonts w:ascii="仿宋_GB2312" w:eastAsia="仿宋_GB2312"/>
          <w:color w:val="auto"/>
          <w:sz w:val="24"/>
          <w:u w:val="single"/>
        </w:rPr>
        <w:t xml:space="preserve">       </w:t>
      </w:r>
      <w:r>
        <w:rPr>
          <w:rFonts w:ascii="仿宋_GB2312" w:eastAsia="仿宋_GB2312"/>
          <w:color w:val="auto"/>
          <w:sz w:val="24"/>
        </w:rPr>
        <w:t>%的工程款；</w:t>
      </w:r>
    </w:p>
    <w:p>
      <w:pPr>
        <w:ind w:firstLine="600"/>
        <w:rPr>
          <w:rFonts w:ascii="仿宋_GB2312" w:eastAsia="仿宋_GB2312"/>
          <w:color w:val="auto"/>
          <w:sz w:val="24"/>
        </w:rPr>
      </w:pPr>
      <w:r>
        <w:rPr>
          <w:rFonts w:ascii="仿宋_GB2312" w:eastAsia="仿宋_GB2312"/>
          <w:color w:val="auto"/>
          <w:sz w:val="24"/>
        </w:rPr>
        <w:t xml:space="preserve">(3) </w:t>
      </w:r>
      <w:r>
        <w:rPr>
          <w:rFonts w:hint="eastAsia" w:ascii="仿宋_GB2312" w:eastAsia="仿宋_GB2312"/>
          <w:color w:val="auto"/>
          <w:sz w:val="24"/>
        </w:rPr>
        <w:t>其他方式：</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14.6.2 </w:t>
      </w:r>
      <w:r>
        <w:rPr>
          <w:rFonts w:hint="eastAsia" w:ascii="仿宋_GB2312" w:eastAsia="仿宋_GB2312"/>
          <w:color w:val="auto"/>
          <w:sz w:val="24"/>
        </w:rPr>
        <w:t>质量保证金的预留</w:t>
      </w:r>
    </w:p>
    <w:p>
      <w:pPr>
        <w:ind w:firstLine="600"/>
        <w:rPr>
          <w:rFonts w:ascii="仿宋_GB2312" w:eastAsia="仿宋_GB2312"/>
          <w:color w:val="auto"/>
          <w:sz w:val="24"/>
        </w:rPr>
      </w:pPr>
      <w:r>
        <w:rPr>
          <w:rFonts w:ascii="仿宋_GB2312" w:eastAsia="仿宋_GB2312"/>
          <w:color w:val="auto"/>
          <w:sz w:val="24"/>
        </w:rPr>
        <w:t>质量</w:t>
      </w:r>
      <w:r>
        <w:rPr>
          <w:rFonts w:hint="eastAsia" w:ascii="仿宋_GB2312" w:eastAsia="仿宋_GB2312"/>
          <w:color w:val="auto"/>
          <w:sz w:val="24"/>
        </w:rPr>
        <w:t>保证金</w:t>
      </w:r>
      <w:r>
        <w:rPr>
          <w:rFonts w:ascii="仿宋_GB2312" w:eastAsia="仿宋_GB2312"/>
          <w:color w:val="auto"/>
          <w:sz w:val="24"/>
        </w:rPr>
        <w:t>的预留采取以下第</w:t>
      </w:r>
      <w:r>
        <w:rPr>
          <w:rFonts w:ascii="仿宋_GB2312" w:eastAsia="仿宋_GB2312"/>
          <w:color w:val="auto"/>
          <w:sz w:val="24"/>
          <w:u w:val="single"/>
        </w:rPr>
        <w:t xml:space="preserve">      </w:t>
      </w:r>
      <w:r>
        <w:rPr>
          <w:rFonts w:hint="eastAsia" w:ascii="仿宋_GB2312" w:eastAsia="仿宋_GB2312"/>
          <w:color w:val="auto"/>
          <w:sz w:val="24"/>
        </w:rPr>
        <w:t>种</w:t>
      </w:r>
      <w:r>
        <w:rPr>
          <w:rFonts w:ascii="仿宋_GB2312" w:eastAsia="仿宋_GB2312"/>
          <w:color w:val="auto"/>
          <w:sz w:val="24"/>
        </w:rPr>
        <w:t>方式：</w:t>
      </w:r>
    </w:p>
    <w:p>
      <w:pPr>
        <w:ind w:firstLine="600"/>
        <w:rPr>
          <w:rFonts w:ascii="仿宋_GB2312" w:eastAsia="仿宋_GB2312"/>
          <w:color w:val="auto"/>
          <w:sz w:val="24"/>
        </w:rPr>
      </w:pPr>
      <w:r>
        <w:rPr>
          <w:rFonts w:ascii="仿宋_GB2312" w:eastAsia="仿宋_GB2312"/>
          <w:color w:val="auto"/>
          <w:sz w:val="24"/>
        </w:rPr>
        <w:t>(1) 在支付工程进度款时逐次预留</w:t>
      </w:r>
      <w:r>
        <w:rPr>
          <w:rFonts w:hint="eastAsia" w:ascii="仿宋_GB2312" w:eastAsia="仿宋_GB2312"/>
          <w:color w:val="auto"/>
          <w:sz w:val="24"/>
        </w:rPr>
        <w:t>的质量保证金的比例：</w:t>
      </w:r>
      <w:r>
        <w:rPr>
          <w:rFonts w:ascii="仿宋_GB2312" w:eastAsia="仿宋_GB2312"/>
          <w:color w:val="auto"/>
          <w:sz w:val="24"/>
          <w:u w:val="single"/>
        </w:rPr>
        <w:t xml:space="preserve">            </w:t>
      </w:r>
      <w:r>
        <w:rPr>
          <w:rFonts w:ascii="仿宋_GB2312" w:eastAsia="仿宋_GB2312"/>
          <w:color w:val="auto"/>
          <w:sz w:val="24"/>
        </w:rPr>
        <w:t>，在此情形下，质量</w:t>
      </w:r>
      <w:r>
        <w:rPr>
          <w:rFonts w:hint="eastAsia" w:ascii="仿宋_GB2312" w:eastAsia="仿宋_GB2312"/>
          <w:color w:val="auto"/>
          <w:sz w:val="24"/>
        </w:rPr>
        <w:t>保证金</w:t>
      </w:r>
      <w:r>
        <w:rPr>
          <w:rFonts w:ascii="仿宋_GB2312" w:eastAsia="仿宋_GB2312"/>
          <w:color w:val="auto"/>
          <w:sz w:val="24"/>
        </w:rPr>
        <w:t>的计算基数不包括预付款的支付、扣回以及价格调整的金额；</w:t>
      </w:r>
    </w:p>
    <w:p>
      <w:pPr>
        <w:ind w:firstLine="600"/>
        <w:rPr>
          <w:rFonts w:ascii="仿宋_GB2312" w:eastAsia="仿宋_GB2312"/>
          <w:color w:val="auto"/>
          <w:sz w:val="24"/>
        </w:rPr>
      </w:pPr>
      <w:r>
        <w:rPr>
          <w:rFonts w:ascii="仿宋_GB2312" w:eastAsia="仿宋_GB2312"/>
          <w:color w:val="auto"/>
          <w:sz w:val="24"/>
        </w:rPr>
        <w:t>(2) 工程竣工结算时一次性预留</w:t>
      </w:r>
      <w:r>
        <w:rPr>
          <w:rFonts w:hint="eastAsia" w:ascii="仿宋_GB2312" w:eastAsia="仿宋_GB2312"/>
          <w:color w:val="auto"/>
          <w:sz w:val="24"/>
        </w:rPr>
        <w:t>专用合同条件第</w:t>
      </w:r>
      <w:r>
        <w:rPr>
          <w:rFonts w:ascii="仿宋_GB2312" w:eastAsia="仿宋_GB2312"/>
          <w:color w:val="auto"/>
          <w:sz w:val="24"/>
        </w:rPr>
        <w:t>14.6.1</w:t>
      </w:r>
      <w:r>
        <w:rPr>
          <w:rFonts w:hint="eastAsia" w:ascii="仿宋_GB2312" w:eastAsia="仿宋_GB2312"/>
          <w:color w:val="auto"/>
          <w:sz w:val="24"/>
        </w:rPr>
        <w:t>项第</w:t>
      </w:r>
      <w:r>
        <w:rPr>
          <w:rFonts w:ascii="仿宋_GB2312" w:eastAsia="仿宋_GB2312"/>
          <w:color w:val="auto"/>
          <w:sz w:val="24"/>
        </w:rPr>
        <w:t>(2)</w:t>
      </w:r>
      <w:r>
        <w:rPr>
          <w:rFonts w:hint="eastAsia" w:ascii="仿宋_GB2312" w:eastAsia="仿宋_GB2312"/>
          <w:color w:val="auto"/>
          <w:sz w:val="24"/>
        </w:rPr>
        <w:t>目约定的工程款预留比例的</w:t>
      </w:r>
      <w:r>
        <w:rPr>
          <w:rFonts w:ascii="仿宋_GB2312" w:eastAsia="仿宋_GB2312"/>
          <w:color w:val="auto"/>
          <w:sz w:val="24"/>
        </w:rPr>
        <w:t>质量</w:t>
      </w:r>
      <w:r>
        <w:rPr>
          <w:rFonts w:hint="eastAsia" w:ascii="仿宋_GB2312" w:eastAsia="仿宋_GB2312"/>
          <w:color w:val="auto"/>
          <w:sz w:val="24"/>
        </w:rPr>
        <w:t>保证金</w:t>
      </w:r>
      <w:r>
        <w:rPr>
          <w:rFonts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(3) 其他预留方式:</w:t>
      </w:r>
      <w:r>
        <w:rPr>
          <w:rFonts w:hint="eastAsia" w:ascii="仿宋_GB2312" w:eastAsia="仿宋_GB2312"/>
          <w:color w:val="auto"/>
          <w:sz w:val="24"/>
        </w:rPr>
        <w:t xml:space="preserve"> </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关于质量保证金的补充约定：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14.7 </w:t>
      </w:r>
      <w:r>
        <w:rPr>
          <w:rFonts w:hint="eastAsia" w:ascii="黑体" w:hAnsi="黑体" w:eastAsia="黑体"/>
          <w:color w:val="auto"/>
          <w:sz w:val="24"/>
        </w:rPr>
        <w:t>最终结清</w:t>
      </w:r>
    </w:p>
    <w:p>
      <w:pPr>
        <w:ind w:firstLine="600"/>
        <w:rPr>
          <w:rFonts w:ascii="仿宋_GB2312" w:eastAsia="仿宋_GB2312"/>
          <w:color w:val="auto"/>
          <w:sz w:val="24"/>
        </w:rPr>
      </w:pPr>
      <w:r>
        <w:rPr>
          <w:rFonts w:ascii="仿宋_GB2312" w:eastAsia="仿宋_GB2312"/>
          <w:color w:val="auto"/>
          <w:sz w:val="24"/>
        </w:rPr>
        <w:t xml:space="preserve">14.7.1 </w:t>
      </w:r>
      <w:r>
        <w:rPr>
          <w:rFonts w:hint="eastAsia" w:ascii="仿宋_GB2312" w:eastAsia="仿宋_GB2312"/>
          <w:color w:val="auto"/>
          <w:sz w:val="24"/>
        </w:rPr>
        <w:t>最终结清申请单</w:t>
      </w:r>
    </w:p>
    <w:p>
      <w:pPr>
        <w:ind w:firstLine="600"/>
        <w:rPr>
          <w:rFonts w:ascii="仿宋_GB2312" w:eastAsia="仿宋_GB2312"/>
          <w:color w:val="auto"/>
          <w:sz w:val="24"/>
        </w:rPr>
      </w:pPr>
      <w:r>
        <w:rPr>
          <w:rFonts w:hint="eastAsia" w:ascii="仿宋_GB2312" w:eastAsia="仿宋_GB2312"/>
          <w:color w:val="auto"/>
          <w:sz w:val="24"/>
        </w:rPr>
        <w:t>当事人双方关于最终结清申请的其他约定：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14.7.2 </w:t>
      </w:r>
      <w:r>
        <w:rPr>
          <w:rFonts w:hint="eastAsia" w:ascii="仿宋_GB2312" w:eastAsia="仿宋_GB2312"/>
          <w:color w:val="auto"/>
          <w:sz w:val="24"/>
        </w:rPr>
        <w:t>最终结清证书和支付</w:t>
      </w:r>
    </w:p>
    <w:p>
      <w:pPr>
        <w:ind w:firstLine="600"/>
        <w:rPr>
          <w:rFonts w:ascii="仿宋_GB2312" w:eastAsia="仿宋_GB2312"/>
          <w:color w:val="auto"/>
          <w:sz w:val="24"/>
        </w:rPr>
      </w:pPr>
      <w:r>
        <w:rPr>
          <w:rFonts w:hint="eastAsia" w:ascii="仿宋_GB2312" w:eastAsia="仿宋_GB2312"/>
          <w:color w:val="auto"/>
          <w:sz w:val="24"/>
        </w:rPr>
        <w:t>当事人双方关于最终结清支付的其他约定：</w:t>
      </w:r>
      <w:r>
        <w:rPr>
          <w:rFonts w:ascii="仿宋_GB2312" w:eastAsia="仿宋_GB2312"/>
          <w:color w:val="auto"/>
          <w:sz w:val="24"/>
          <w:u w:val="single"/>
        </w:rPr>
        <w:t xml:space="preserve">             </w:t>
      </w:r>
      <w:r>
        <w:rPr>
          <w:rFonts w:hint="eastAsia" w:ascii="仿宋_GB2312" w:eastAsia="仿宋_GB2312"/>
          <w:color w:val="auto"/>
          <w:sz w:val="24"/>
        </w:rPr>
        <w:t>。</w:t>
      </w:r>
    </w:p>
    <w:p>
      <w:pPr>
        <w:pStyle w:val="314"/>
        <w:rPr>
          <w:rFonts w:ascii="黑体" w:hAnsi="黑体" w:eastAsia="黑体"/>
          <w:b w:val="0"/>
          <w:bCs/>
          <w:color w:val="auto"/>
          <w:sz w:val="24"/>
          <w:szCs w:val="24"/>
        </w:rPr>
      </w:pPr>
      <w:bookmarkStart w:id="1156" w:name="_Toc54862346"/>
      <w:r>
        <w:rPr>
          <w:rFonts w:hint="eastAsia" w:ascii="黑体" w:hAnsi="黑体" w:eastAsia="黑体"/>
          <w:b w:val="0"/>
          <w:bCs/>
          <w:color w:val="auto"/>
          <w:sz w:val="24"/>
          <w:szCs w:val="24"/>
        </w:rPr>
        <w:t>第</w:t>
      </w:r>
      <w:r>
        <w:rPr>
          <w:rFonts w:ascii="黑体" w:hAnsi="黑体" w:eastAsia="黑体"/>
          <w:b w:val="0"/>
          <w:bCs/>
          <w:color w:val="auto"/>
          <w:sz w:val="24"/>
          <w:szCs w:val="24"/>
        </w:rPr>
        <w:t>15条</w:t>
      </w:r>
      <w:r>
        <w:rPr>
          <w:rFonts w:hint="eastAsia" w:ascii="黑体" w:hAnsi="黑体" w:eastAsia="黑体"/>
          <w:b w:val="0"/>
          <w:bCs/>
          <w:color w:val="auto"/>
          <w:sz w:val="24"/>
          <w:szCs w:val="24"/>
        </w:rPr>
        <w:t xml:space="preserve"> 违约</w:t>
      </w:r>
      <w:bookmarkEnd w:id="1156"/>
    </w:p>
    <w:p>
      <w:pPr>
        <w:ind w:firstLine="600"/>
        <w:rPr>
          <w:rFonts w:ascii="黑体" w:hAnsi="黑体" w:eastAsia="黑体"/>
          <w:color w:val="auto"/>
          <w:sz w:val="24"/>
        </w:rPr>
      </w:pPr>
      <w:r>
        <w:rPr>
          <w:rFonts w:ascii="黑体" w:hAnsi="黑体" w:eastAsia="黑体"/>
          <w:color w:val="auto"/>
          <w:sz w:val="24"/>
        </w:rPr>
        <w:t xml:space="preserve">15.1 </w:t>
      </w:r>
      <w:r>
        <w:rPr>
          <w:rFonts w:hint="eastAsia" w:ascii="黑体" w:hAnsi="黑体" w:eastAsia="黑体"/>
          <w:color w:val="auto"/>
          <w:sz w:val="24"/>
        </w:rPr>
        <w:t>发包人违约</w:t>
      </w:r>
    </w:p>
    <w:p>
      <w:pPr>
        <w:ind w:firstLine="600"/>
        <w:rPr>
          <w:rFonts w:ascii="仿宋_GB2312" w:eastAsia="仿宋_GB2312"/>
          <w:color w:val="auto"/>
          <w:sz w:val="24"/>
        </w:rPr>
      </w:pPr>
      <w:r>
        <w:rPr>
          <w:rFonts w:ascii="仿宋_GB2312" w:eastAsia="仿宋_GB2312"/>
          <w:color w:val="auto"/>
          <w:sz w:val="24"/>
        </w:rPr>
        <w:t xml:space="preserve">15.1.1 </w:t>
      </w:r>
      <w:r>
        <w:rPr>
          <w:rFonts w:hint="eastAsia" w:ascii="仿宋_GB2312" w:eastAsia="仿宋_GB2312"/>
          <w:color w:val="auto"/>
          <w:sz w:val="24"/>
        </w:rPr>
        <w:t>发包人违约的情形</w:t>
      </w:r>
    </w:p>
    <w:p>
      <w:pPr>
        <w:ind w:firstLine="600"/>
        <w:rPr>
          <w:rFonts w:ascii="仿宋_GB2312" w:eastAsia="仿宋_GB2312"/>
          <w:color w:val="auto"/>
          <w:sz w:val="24"/>
        </w:rPr>
      </w:pPr>
      <w:r>
        <w:rPr>
          <w:rFonts w:hint="eastAsia" w:ascii="仿宋_GB2312" w:eastAsia="仿宋_GB2312"/>
          <w:color w:val="auto"/>
          <w:sz w:val="24"/>
        </w:rPr>
        <w:t>发包人违约的其他情形</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15.1.3 </w:t>
      </w:r>
      <w:r>
        <w:rPr>
          <w:rFonts w:hint="eastAsia" w:ascii="仿宋_GB2312" w:eastAsia="仿宋_GB2312"/>
          <w:color w:val="auto"/>
          <w:sz w:val="24"/>
        </w:rPr>
        <w:t>发包人违约的责任</w:t>
      </w:r>
    </w:p>
    <w:p>
      <w:pPr>
        <w:ind w:firstLine="600"/>
        <w:rPr>
          <w:rFonts w:ascii="仿宋_GB2312" w:eastAsia="仿宋_GB2312"/>
          <w:color w:val="auto"/>
          <w:sz w:val="24"/>
        </w:rPr>
      </w:pPr>
      <w:r>
        <w:rPr>
          <w:rFonts w:hint="eastAsia" w:ascii="仿宋_GB2312" w:eastAsia="仿宋_GB2312"/>
          <w:color w:val="auto"/>
          <w:sz w:val="24"/>
        </w:rPr>
        <w:t>发包人违约</w:t>
      </w:r>
      <w:r>
        <w:rPr>
          <w:rFonts w:ascii="仿宋_GB2312" w:eastAsia="仿宋_GB2312"/>
          <w:color w:val="auto"/>
          <w:sz w:val="24"/>
        </w:rPr>
        <w:t>责任</w:t>
      </w:r>
      <w:r>
        <w:rPr>
          <w:rFonts w:hint="eastAsia" w:ascii="仿宋_GB2312" w:eastAsia="仿宋_GB2312"/>
          <w:color w:val="auto"/>
          <w:sz w:val="24"/>
        </w:rPr>
        <w:t>的</w:t>
      </w:r>
      <w:r>
        <w:rPr>
          <w:rFonts w:ascii="仿宋_GB2312" w:eastAsia="仿宋_GB2312"/>
          <w:color w:val="auto"/>
          <w:sz w:val="24"/>
        </w:rPr>
        <w:t>承担方式</w:t>
      </w:r>
      <w:r>
        <w:rPr>
          <w:rFonts w:hint="eastAsia" w:ascii="仿宋_GB2312" w:eastAsia="仿宋_GB2312"/>
          <w:color w:val="auto"/>
          <w:sz w:val="24"/>
        </w:rPr>
        <w:t>和</w:t>
      </w:r>
      <w:r>
        <w:rPr>
          <w:rFonts w:ascii="仿宋_GB2312" w:eastAsia="仿宋_GB2312"/>
          <w:color w:val="auto"/>
          <w:sz w:val="24"/>
        </w:rPr>
        <w:t>计算方法</w:t>
      </w:r>
      <w:r>
        <w:rPr>
          <w:rFonts w:hint="eastAsia" w:ascii="仿宋_GB2312" w:eastAsia="仿宋_GB2312"/>
          <w:color w:val="auto"/>
          <w:sz w:val="24"/>
        </w:rPr>
        <w:t>：</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15.2 </w:t>
      </w:r>
      <w:r>
        <w:rPr>
          <w:rFonts w:hint="eastAsia" w:ascii="黑体" w:hAnsi="黑体" w:eastAsia="黑体"/>
          <w:color w:val="auto"/>
          <w:sz w:val="24"/>
        </w:rPr>
        <w:t>承包人违约</w:t>
      </w:r>
    </w:p>
    <w:p>
      <w:pPr>
        <w:ind w:firstLine="600"/>
        <w:rPr>
          <w:rFonts w:ascii="仿宋_GB2312" w:eastAsia="仿宋_GB2312"/>
          <w:color w:val="auto"/>
          <w:sz w:val="24"/>
        </w:rPr>
      </w:pPr>
      <w:r>
        <w:rPr>
          <w:rFonts w:ascii="仿宋_GB2312" w:eastAsia="仿宋_GB2312"/>
          <w:color w:val="auto"/>
          <w:sz w:val="24"/>
        </w:rPr>
        <w:t xml:space="preserve">15.2.1 </w:t>
      </w:r>
      <w:r>
        <w:rPr>
          <w:rFonts w:hint="eastAsia" w:ascii="仿宋_GB2312" w:eastAsia="仿宋_GB2312"/>
          <w:color w:val="auto"/>
          <w:sz w:val="24"/>
        </w:rPr>
        <w:t>承包人违约的情形</w:t>
      </w:r>
    </w:p>
    <w:p>
      <w:pPr>
        <w:ind w:firstLine="600"/>
        <w:rPr>
          <w:rFonts w:ascii="仿宋_GB2312" w:eastAsia="仿宋_GB2312"/>
          <w:color w:val="auto"/>
          <w:sz w:val="24"/>
        </w:rPr>
      </w:pPr>
      <w:r>
        <w:rPr>
          <w:rFonts w:hint="eastAsia" w:ascii="仿宋_GB2312" w:eastAsia="仿宋_GB2312"/>
          <w:color w:val="auto"/>
          <w:sz w:val="24"/>
        </w:rPr>
        <w:t>承包人违约的其他情形：</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15.2.2 </w:t>
      </w:r>
      <w:r>
        <w:rPr>
          <w:rFonts w:hint="eastAsia" w:ascii="仿宋_GB2312" w:eastAsia="仿宋_GB2312"/>
          <w:color w:val="auto"/>
          <w:sz w:val="24"/>
        </w:rPr>
        <w:t>通知改正</w:t>
      </w:r>
    </w:p>
    <w:p>
      <w:pPr>
        <w:ind w:firstLine="600"/>
        <w:rPr>
          <w:rFonts w:ascii="仿宋_GB2312" w:eastAsia="仿宋_GB2312"/>
          <w:color w:val="auto"/>
          <w:sz w:val="24"/>
        </w:rPr>
      </w:pPr>
      <w:r>
        <w:rPr>
          <w:rFonts w:hint="eastAsia" w:ascii="仿宋_GB2312" w:eastAsia="仿宋_GB2312"/>
          <w:color w:val="auto"/>
          <w:sz w:val="24"/>
        </w:rPr>
        <w:t>工程师通知承包人改正的合理期限是：</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 xml:space="preserve">15.2.3 </w:t>
      </w:r>
      <w:r>
        <w:rPr>
          <w:rFonts w:hint="eastAsia" w:ascii="仿宋_GB2312" w:eastAsia="仿宋_GB2312"/>
          <w:color w:val="auto"/>
          <w:sz w:val="24"/>
        </w:rPr>
        <w:t>承包人违约的责任</w:t>
      </w:r>
    </w:p>
    <w:p>
      <w:pPr>
        <w:ind w:firstLine="600"/>
        <w:rPr>
          <w:rFonts w:ascii="仿宋_GB2312" w:eastAsia="仿宋_GB2312"/>
          <w:color w:val="auto"/>
          <w:sz w:val="24"/>
        </w:rPr>
      </w:pPr>
      <w:r>
        <w:rPr>
          <w:rFonts w:hint="eastAsia" w:ascii="仿宋_GB2312" w:eastAsia="仿宋_GB2312"/>
          <w:color w:val="auto"/>
          <w:sz w:val="24"/>
        </w:rPr>
        <w:t>承包人违约</w:t>
      </w:r>
      <w:r>
        <w:rPr>
          <w:rFonts w:ascii="仿宋_GB2312" w:eastAsia="仿宋_GB2312"/>
          <w:color w:val="auto"/>
          <w:sz w:val="24"/>
        </w:rPr>
        <w:t>责任</w:t>
      </w:r>
      <w:r>
        <w:rPr>
          <w:rFonts w:hint="eastAsia" w:ascii="仿宋_GB2312" w:eastAsia="仿宋_GB2312"/>
          <w:color w:val="auto"/>
          <w:sz w:val="24"/>
        </w:rPr>
        <w:t>的</w:t>
      </w:r>
      <w:r>
        <w:rPr>
          <w:rFonts w:ascii="仿宋_GB2312" w:eastAsia="仿宋_GB2312"/>
          <w:color w:val="auto"/>
          <w:sz w:val="24"/>
        </w:rPr>
        <w:t>承担方式</w:t>
      </w:r>
      <w:r>
        <w:rPr>
          <w:rFonts w:hint="eastAsia" w:ascii="仿宋_GB2312" w:eastAsia="仿宋_GB2312"/>
          <w:color w:val="auto"/>
          <w:sz w:val="24"/>
        </w:rPr>
        <w:t>和</w:t>
      </w:r>
      <w:r>
        <w:rPr>
          <w:rFonts w:ascii="仿宋_GB2312" w:eastAsia="仿宋_GB2312"/>
          <w:color w:val="auto"/>
          <w:sz w:val="24"/>
        </w:rPr>
        <w:t>计算方法</w:t>
      </w:r>
      <w:r>
        <w:rPr>
          <w:rFonts w:hint="eastAsia" w:ascii="仿宋_GB2312" w:eastAsia="仿宋_GB2312"/>
          <w:color w:val="auto"/>
          <w:sz w:val="24"/>
        </w:rPr>
        <w:t>：</w:t>
      </w:r>
      <w:r>
        <w:rPr>
          <w:rFonts w:ascii="仿宋_GB2312" w:eastAsia="仿宋_GB2312"/>
          <w:color w:val="auto"/>
          <w:sz w:val="24"/>
          <w:u w:val="single"/>
        </w:rPr>
        <w:t xml:space="preserve">              </w:t>
      </w:r>
      <w:r>
        <w:rPr>
          <w:rFonts w:hint="eastAsia" w:ascii="仿宋_GB2312" w:eastAsia="仿宋_GB2312"/>
          <w:color w:val="auto"/>
          <w:sz w:val="24"/>
        </w:rPr>
        <w:t>。</w:t>
      </w:r>
    </w:p>
    <w:p>
      <w:pPr>
        <w:pStyle w:val="314"/>
        <w:rPr>
          <w:rFonts w:ascii="黑体" w:hAnsi="黑体" w:eastAsia="黑体"/>
          <w:b w:val="0"/>
          <w:bCs/>
          <w:color w:val="auto"/>
          <w:sz w:val="24"/>
          <w:szCs w:val="24"/>
        </w:rPr>
      </w:pPr>
      <w:bookmarkStart w:id="1157" w:name="_Toc54862347"/>
      <w:r>
        <w:rPr>
          <w:rFonts w:hint="eastAsia" w:ascii="黑体" w:hAnsi="黑体" w:eastAsia="黑体"/>
          <w:b w:val="0"/>
          <w:bCs/>
          <w:color w:val="auto"/>
          <w:sz w:val="24"/>
          <w:szCs w:val="24"/>
        </w:rPr>
        <w:t>第</w:t>
      </w:r>
      <w:r>
        <w:rPr>
          <w:rFonts w:ascii="黑体" w:hAnsi="黑体" w:eastAsia="黑体"/>
          <w:b w:val="0"/>
          <w:bCs/>
          <w:color w:val="auto"/>
          <w:sz w:val="24"/>
          <w:szCs w:val="24"/>
        </w:rPr>
        <w:t>16条</w:t>
      </w:r>
      <w:r>
        <w:rPr>
          <w:rFonts w:hint="eastAsia" w:ascii="黑体" w:hAnsi="黑体" w:eastAsia="黑体"/>
          <w:b w:val="0"/>
          <w:bCs/>
          <w:color w:val="auto"/>
          <w:sz w:val="24"/>
          <w:szCs w:val="24"/>
        </w:rPr>
        <w:t xml:space="preserve"> 合同解除</w:t>
      </w:r>
      <w:bookmarkEnd w:id="1157"/>
    </w:p>
    <w:p>
      <w:pPr>
        <w:ind w:firstLine="600"/>
        <w:rPr>
          <w:rFonts w:ascii="黑体" w:hAnsi="黑体" w:eastAsia="黑体"/>
          <w:color w:val="auto"/>
          <w:sz w:val="24"/>
        </w:rPr>
      </w:pPr>
      <w:r>
        <w:rPr>
          <w:rFonts w:ascii="黑体" w:hAnsi="黑体" w:eastAsia="黑体"/>
          <w:color w:val="auto"/>
          <w:sz w:val="24"/>
        </w:rPr>
        <w:t xml:space="preserve">16.1 </w:t>
      </w:r>
      <w:r>
        <w:rPr>
          <w:rFonts w:hint="eastAsia" w:ascii="黑体" w:hAnsi="黑体" w:eastAsia="黑体"/>
          <w:color w:val="auto"/>
          <w:sz w:val="24"/>
        </w:rPr>
        <w:t>由发包人解除合同</w:t>
      </w:r>
    </w:p>
    <w:p>
      <w:pPr>
        <w:ind w:firstLine="600"/>
        <w:rPr>
          <w:rFonts w:ascii="仿宋_GB2312" w:eastAsia="仿宋_GB2312"/>
          <w:color w:val="auto"/>
          <w:sz w:val="24"/>
        </w:rPr>
      </w:pPr>
      <w:r>
        <w:rPr>
          <w:rFonts w:ascii="仿宋_GB2312" w:eastAsia="仿宋_GB2312"/>
          <w:color w:val="auto"/>
          <w:sz w:val="24"/>
        </w:rPr>
        <w:t xml:space="preserve">16.1.1 </w:t>
      </w:r>
      <w:r>
        <w:rPr>
          <w:rFonts w:hint="eastAsia" w:ascii="仿宋_GB2312" w:eastAsia="仿宋_GB2312"/>
          <w:color w:val="auto"/>
          <w:sz w:val="24"/>
        </w:rPr>
        <w:t>因承包人违约解除合同</w:t>
      </w:r>
    </w:p>
    <w:p>
      <w:pPr>
        <w:ind w:firstLine="600"/>
        <w:rPr>
          <w:rFonts w:ascii="仿宋_GB2312" w:eastAsia="仿宋_GB2312"/>
          <w:color w:val="auto"/>
          <w:sz w:val="24"/>
        </w:rPr>
      </w:pPr>
      <w:r>
        <w:rPr>
          <w:rFonts w:hint="eastAsia" w:ascii="仿宋_GB2312" w:eastAsia="仿宋_GB2312"/>
          <w:color w:val="auto"/>
          <w:sz w:val="24"/>
        </w:rPr>
        <w:t>双方约定可由发包人解除合同的其他事由：</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16.2 </w:t>
      </w:r>
      <w:r>
        <w:rPr>
          <w:rFonts w:hint="eastAsia" w:ascii="黑体" w:hAnsi="黑体" w:eastAsia="黑体"/>
          <w:color w:val="auto"/>
          <w:sz w:val="24"/>
        </w:rPr>
        <w:t>由承包人解除合同</w:t>
      </w:r>
    </w:p>
    <w:p>
      <w:pPr>
        <w:ind w:firstLine="600"/>
        <w:rPr>
          <w:rFonts w:ascii="仿宋_GB2312" w:eastAsia="仿宋_GB2312"/>
          <w:color w:val="auto"/>
          <w:sz w:val="24"/>
        </w:rPr>
      </w:pPr>
      <w:r>
        <w:rPr>
          <w:rFonts w:ascii="仿宋_GB2312" w:eastAsia="仿宋_GB2312"/>
          <w:color w:val="auto"/>
          <w:sz w:val="24"/>
        </w:rPr>
        <w:t xml:space="preserve">16.2.1 </w:t>
      </w:r>
      <w:r>
        <w:rPr>
          <w:rFonts w:hint="eastAsia" w:ascii="仿宋_GB2312" w:eastAsia="仿宋_GB2312"/>
          <w:color w:val="auto"/>
          <w:sz w:val="24"/>
        </w:rPr>
        <w:t>因发包人违约解除合同</w:t>
      </w:r>
    </w:p>
    <w:p>
      <w:pPr>
        <w:ind w:firstLine="600"/>
        <w:rPr>
          <w:rFonts w:ascii="仿宋_GB2312" w:eastAsia="仿宋_GB2312"/>
          <w:color w:val="auto"/>
          <w:sz w:val="24"/>
        </w:rPr>
      </w:pPr>
      <w:r>
        <w:rPr>
          <w:rFonts w:hint="eastAsia" w:ascii="仿宋_GB2312" w:eastAsia="仿宋_GB2312"/>
          <w:color w:val="auto"/>
          <w:sz w:val="24"/>
        </w:rPr>
        <w:t>双方约定可由承包人解除合同的其他事由：</w:t>
      </w:r>
      <w:r>
        <w:rPr>
          <w:rFonts w:ascii="仿宋_GB2312" w:eastAsia="仿宋_GB2312"/>
          <w:color w:val="auto"/>
          <w:sz w:val="24"/>
          <w:u w:val="single"/>
        </w:rPr>
        <w:t xml:space="preserve">             </w:t>
      </w:r>
      <w:r>
        <w:rPr>
          <w:rFonts w:hint="eastAsia" w:ascii="仿宋_GB2312" w:eastAsia="仿宋_GB2312"/>
          <w:color w:val="auto"/>
          <w:sz w:val="24"/>
        </w:rPr>
        <w:t>。</w:t>
      </w:r>
    </w:p>
    <w:p>
      <w:pPr>
        <w:pStyle w:val="314"/>
        <w:rPr>
          <w:rFonts w:ascii="黑体" w:hAnsi="黑体" w:eastAsia="黑体"/>
          <w:b w:val="0"/>
          <w:bCs/>
          <w:color w:val="auto"/>
          <w:sz w:val="24"/>
          <w:szCs w:val="24"/>
        </w:rPr>
      </w:pPr>
      <w:bookmarkStart w:id="1158" w:name="_Toc54862348"/>
      <w:r>
        <w:rPr>
          <w:rFonts w:hint="eastAsia" w:ascii="黑体" w:hAnsi="黑体" w:eastAsia="黑体"/>
          <w:b w:val="0"/>
          <w:bCs/>
          <w:color w:val="auto"/>
          <w:sz w:val="24"/>
          <w:szCs w:val="24"/>
        </w:rPr>
        <w:t>第</w:t>
      </w:r>
      <w:r>
        <w:rPr>
          <w:rFonts w:ascii="黑体" w:hAnsi="黑体" w:eastAsia="黑体"/>
          <w:b w:val="0"/>
          <w:bCs/>
          <w:color w:val="auto"/>
          <w:sz w:val="24"/>
          <w:szCs w:val="24"/>
        </w:rPr>
        <w:t>17条</w:t>
      </w:r>
      <w:r>
        <w:rPr>
          <w:rFonts w:hint="eastAsia" w:ascii="黑体" w:hAnsi="黑体" w:eastAsia="黑体"/>
          <w:b w:val="0"/>
          <w:bCs/>
          <w:color w:val="auto"/>
          <w:sz w:val="24"/>
          <w:szCs w:val="24"/>
        </w:rPr>
        <w:t xml:space="preserve"> 不可抗力</w:t>
      </w:r>
      <w:bookmarkEnd w:id="1158"/>
    </w:p>
    <w:p>
      <w:pPr>
        <w:ind w:firstLine="600"/>
        <w:rPr>
          <w:rFonts w:ascii="黑体" w:hAnsi="黑体" w:eastAsia="黑体"/>
          <w:color w:val="auto"/>
          <w:sz w:val="24"/>
        </w:rPr>
      </w:pPr>
      <w:r>
        <w:rPr>
          <w:rFonts w:ascii="黑体" w:hAnsi="黑体" w:eastAsia="黑体"/>
          <w:color w:val="auto"/>
          <w:sz w:val="24"/>
        </w:rPr>
        <w:t xml:space="preserve">17.1 </w:t>
      </w:r>
      <w:r>
        <w:rPr>
          <w:rFonts w:hint="eastAsia" w:ascii="黑体" w:hAnsi="黑体" w:eastAsia="黑体"/>
          <w:color w:val="auto"/>
          <w:sz w:val="24"/>
        </w:rPr>
        <w:t>不可抗力的定义</w:t>
      </w:r>
    </w:p>
    <w:p>
      <w:pPr>
        <w:spacing w:line="240" w:lineRule="auto"/>
        <w:ind w:firstLine="600"/>
        <w:rPr>
          <w:rFonts w:ascii="仿宋_GB2312" w:eastAsia="仿宋_GB2312"/>
          <w:color w:val="auto"/>
          <w:sz w:val="24"/>
        </w:rPr>
      </w:pPr>
      <w:r>
        <w:rPr>
          <w:rFonts w:ascii="仿宋_GB2312" w:eastAsia="仿宋_GB2312"/>
          <w:color w:val="auto"/>
          <w:sz w:val="24"/>
        </w:rPr>
        <w:t>除通用合同条件约定的不可抗力事件之外，视为不可抗力的其他情形：</w:t>
      </w:r>
      <w:r>
        <w:rPr>
          <w:rFonts w:ascii="仿宋_GB2312" w:eastAsia="仿宋_GB2312"/>
          <w:color w:val="auto"/>
          <w:sz w:val="24"/>
          <w:u w:val="single"/>
        </w:rPr>
        <w:t xml:space="preserve">                                            </w:t>
      </w:r>
      <w:r>
        <w:rPr>
          <w:rFonts w:hint="eastAsia" w:ascii="仿宋_GB2312" w:eastAsia="仿宋_GB2312"/>
          <w:color w:val="auto"/>
          <w:sz w:val="24"/>
        </w:rPr>
        <w:t>。</w:t>
      </w:r>
    </w:p>
    <w:p>
      <w:pPr>
        <w:spacing w:line="240" w:lineRule="auto"/>
        <w:ind w:firstLine="600"/>
        <w:rPr>
          <w:rFonts w:ascii="黑体" w:hAnsi="黑体" w:eastAsia="黑体"/>
          <w:color w:val="auto"/>
          <w:sz w:val="24"/>
        </w:rPr>
      </w:pPr>
      <w:r>
        <w:rPr>
          <w:rFonts w:ascii="黑体" w:hAnsi="黑体" w:eastAsia="黑体"/>
          <w:color w:val="auto"/>
          <w:sz w:val="24"/>
        </w:rPr>
        <w:t xml:space="preserve">17.6 </w:t>
      </w:r>
      <w:r>
        <w:rPr>
          <w:rFonts w:hint="eastAsia" w:ascii="黑体" w:hAnsi="黑体" w:eastAsia="黑体"/>
          <w:color w:val="auto"/>
          <w:sz w:val="24"/>
        </w:rPr>
        <w:t>因不可抗力解除合同</w:t>
      </w:r>
    </w:p>
    <w:p>
      <w:pPr>
        <w:spacing w:line="240" w:lineRule="auto"/>
        <w:ind w:firstLine="600"/>
        <w:rPr>
          <w:rFonts w:ascii="仿宋_GB2312" w:eastAsia="仿宋_GB2312"/>
          <w:color w:val="auto"/>
          <w:sz w:val="24"/>
        </w:rPr>
      </w:pPr>
      <w:r>
        <w:rPr>
          <w:rFonts w:ascii="仿宋_GB2312" w:eastAsia="仿宋_GB2312"/>
          <w:color w:val="auto"/>
          <w:sz w:val="24"/>
        </w:rPr>
        <w:t>合同解除后，发包人应</w:t>
      </w:r>
      <w:r>
        <w:rPr>
          <w:rFonts w:hint="eastAsia" w:ascii="仿宋_GB2312" w:eastAsia="仿宋_GB2312"/>
          <w:color w:val="auto"/>
          <w:sz w:val="24"/>
        </w:rPr>
        <w:t>当</w:t>
      </w:r>
      <w:r>
        <w:rPr>
          <w:rFonts w:ascii="仿宋_GB2312" w:eastAsia="仿宋_GB2312"/>
          <w:color w:val="auto"/>
          <w:sz w:val="24"/>
        </w:rPr>
        <w:t>在商定或确定发包人应支付款项后</w:t>
      </w:r>
      <w:r>
        <w:rPr>
          <w:rFonts w:hint="eastAsia" w:ascii="仿宋_GB2312" w:eastAsia="仿宋_GB2312"/>
          <w:color w:val="auto"/>
          <w:sz w:val="24"/>
        </w:rPr>
        <w:t>的</w:t>
      </w:r>
      <w:r>
        <w:rPr>
          <w:rFonts w:hint="eastAsia" w:ascii="仿宋_GB2312" w:eastAsia="仿宋_GB2312"/>
          <w:color w:val="auto"/>
          <w:sz w:val="24"/>
          <w:u w:val="single"/>
        </w:rPr>
        <w:t xml:space="preserve"> </w:t>
      </w:r>
      <w:r>
        <w:rPr>
          <w:rFonts w:ascii="仿宋_GB2312" w:eastAsia="仿宋_GB2312"/>
          <w:color w:val="auto"/>
          <w:sz w:val="24"/>
          <w:u w:val="single"/>
        </w:rPr>
        <w:t xml:space="preserve">      </w:t>
      </w:r>
      <w:r>
        <w:rPr>
          <w:rFonts w:ascii="仿宋_GB2312" w:eastAsia="仿宋_GB2312"/>
          <w:color w:val="auto"/>
          <w:sz w:val="24"/>
        </w:rPr>
        <w:t>天内完成款项的支付。</w:t>
      </w:r>
    </w:p>
    <w:p>
      <w:pPr>
        <w:pStyle w:val="314"/>
        <w:spacing w:line="240" w:lineRule="auto"/>
        <w:rPr>
          <w:rFonts w:ascii="黑体" w:hAnsi="黑体" w:eastAsia="黑体"/>
          <w:b w:val="0"/>
          <w:bCs/>
          <w:color w:val="auto"/>
          <w:sz w:val="24"/>
          <w:szCs w:val="24"/>
        </w:rPr>
      </w:pPr>
      <w:bookmarkStart w:id="1159" w:name="_Toc4784277"/>
      <w:bookmarkEnd w:id="1159"/>
      <w:bookmarkStart w:id="1160" w:name="_Toc4784276"/>
      <w:bookmarkEnd w:id="1160"/>
      <w:bookmarkStart w:id="1161" w:name="_Toc54862349"/>
      <w:r>
        <w:rPr>
          <w:rFonts w:hint="eastAsia" w:ascii="黑体" w:hAnsi="黑体" w:eastAsia="黑体"/>
          <w:b w:val="0"/>
          <w:bCs/>
          <w:color w:val="auto"/>
          <w:sz w:val="24"/>
          <w:szCs w:val="24"/>
        </w:rPr>
        <w:t>第1</w:t>
      </w:r>
      <w:r>
        <w:rPr>
          <w:rFonts w:ascii="黑体" w:hAnsi="黑体" w:eastAsia="黑体"/>
          <w:b w:val="0"/>
          <w:bCs/>
          <w:color w:val="auto"/>
          <w:sz w:val="24"/>
          <w:szCs w:val="24"/>
        </w:rPr>
        <w:t>8</w:t>
      </w:r>
      <w:r>
        <w:rPr>
          <w:rFonts w:hint="eastAsia" w:ascii="黑体" w:hAnsi="黑体" w:eastAsia="黑体"/>
          <w:b w:val="0"/>
          <w:bCs/>
          <w:color w:val="auto"/>
          <w:sz w:val="24"/>
          <w:szCs w:val="24"/>
        </w:rPr>
        <w:t>条</w:t>
      </w:r>
      <w:r>
        <w:rPr>
          <w:rFonts w:ascii="黑体" w:hAnsi="黑体" w:eastAsia="黑体"/>
          <w:b w:val="0"/>
          <w:bCs/>
          <w:color w:val="auto"/>
          <w:sz w:val="24"/>
          <w:szCs w:val="24"/>
        </w:rPr>
        <w:t xml:space="preserve"> </w:t>
      </w:r>
      <w:r>
        <w:rPr>
          <w:rFonts w:hint="eastAsia" w:ascii="黑体" w:hAnsi="黑体" w:eastAsia="黑体"/>
          <w:b w:val="0"/>
          <w:bCs/>
          <w:color w:val="auto"/>
          <w:sz w:val="24"/>
          <w:szCs w:val="24"/>
        </w:rPr>
        <w:t>保险</w:t>
      </w:r>
      <w:bookmarkEnd w:id="1161"/>
    </w:p>
    <w:p>
      <w:pPr>
        <w:spacing w:line="240" w:lineRule="auto"/>
        <w:ind w:firstLine="600"/>
        <w:rPr>
          <w:rFonts w:ascii="黑体" w:hAnsi="黑体" w:eastAsia="黑体"/>
          <w:color w:val="auto"/>
          <w:sz w:val="24"/>
        </w:rPr>
      </w:pPr>
      <w:r>
        <w:rPr>
          <w:rFonts w:ascii="黑体" w:hAnsi="黑体" w:eastAsia="黑体"/>
          <w:color w:val="auto"/>
          <w:sz w:val="24"/>
        </w:rPr>
        <w:t xml:space="preserve">18.1 </w:t>
      </w:r>
      <w:r>
        <w:rPr>
          <w:rFonts w:hint="eastAsia" w:ascii="黑体" w:hAnsi="黑体" w:eastAsia="黑体"/>
          <w:color w:val="auto"/>
          <w:sz w:val="24"/>
        </w:rPr>
        <w:t>设计和工程保险</w:t>
      </w:r>
    </w:p>
    <w:p>
      <w:pPr>
        <w:spacing w:line="240" w:lineRule="auto"/>
        <w:ind w:firstLine="600"/>
        <w:rPr>
          <w:rFonts w:ascii="仿宋_GB2312" w:eastAsia="仿宋_GB2312"/>
          <w:color w:val="auto"/>
          <w:sz w:val="24"/>
        </w:rPr>
      </w:pPr>
      <w:r>
        <w:rPr>
          <w:rFonts w:hint="eastAsia" w:ascii="仿宋_GB2312" w:eastAsia="仿宋_GB2312"/>
          <w:color w:val="auto"/>
          <w:sz w:val="24"/>
        </w:rPr>
        <w:t>1</w:t>
      </w:r>
      <w:r>
        <w:rPr>
          <w:rFonts w:ascii="仿宋_GB2312" w:eastAsia="仿宋_GB2312"/>
          <w:color w:val="auto"/>
          <w:sz w:val="24"/>
        </w:rPr>
        <w:t xml:space="preserve">8.1.1 </w:t>
      </w:r>
      <w:r>
        <w:rPr>
          <w:rFonts w:hint="eastAsia" w:ascii="仿宋_GB2312" w:eastAsia="仿宋_GB2312"/>
          <w:color w:val="auto"/>
          <w:sz w:val="24"/>
        </w:rPr>
        <w:t>双方当事人</w:t>
      </w:r>
      <w:r>
        <w:rPr>
          <w:rFonts w:ascii="仿宋_GB2312" w:eastAsia="仿宋_GB2312"/>
          <w:color w:val="auto"/>
          <w:sz w:val="24"/>
        </w:rPr>
        <w:t>关于</w:t>
      </w:r>
      <w:r>
        <w:rPr>
          <w:rFonts w:hint="eastAsia" w:ascii="仿宋_GB2312" w:eastAsia="仿宋_GB2312"/>
          <w:color w:val="auto"/>
          <w:sz w:val="24"/>
        </w:rPr>
        <w:t>设计和工程保险</w:t>
      </w:r>
      <w:r>
        <w:rPr>
          <w:rFonts w:ascii="仿宋_GB2312" w:eastAsia="仿宋_GB2312"/>
          <w:color w:val="auto"/>
          <w:sz w:val="24"/>
        </w:rPr>
        <w:t>的特别</w:t>
      </w:r>
      <w:r>
        <w:rPr>
          <w:rFonts w:hint="eastAsia" w:ascii="仿宋_GB2312" w:eastAsia="仿宋_GB2312"/>
          <w:color w:val="auto"/>
          <w:sz w:val="24"/>
        </w:rPr>
        <w:t>约</w:t>
      </w:r>
      <w:r>
        <w:rPr>
          <w:rFonts w:ascii="仿宋_GB2312" w:eastAsia="仿宋_GB2312"/>
          <w:color w:val="auto"/>
          <w:sz w:val="24"/>
        </w:rPr>
        <w:t>定</w:t>
      </w:r>
      <w:r>
        <w:rPr>
          <w:rFonts w:hint="eastAsia" w:ascii="仿宋_GB2312" w:eastAsia="仿宋_GB2312"/>
          <w:color w:val="auto"/>
          <w:sz w:val="24"/>
        </w:rPr>
        <w:t>：</w:t>
      </w:r>
      <w:r>
        <w:rPr>
          <w:rFonts w:ascii="仿宋_GB2312" w:eastAsia="仿宋_GB2312"/>
          <w:color w:val="auto"/>
          <w:sz w:val="24"/>
          <w:u w:val="single"/>
        </w:rPr>
        <w:t xml:space="preserve">                                                  </w:t>
      </w:r>
      <w:r>
        <w:rPr>
          <w:rFonts w:hint="eastAsia" w:ascii="仿宋_GB2312" w:eastAsia="仿宋_GB2312"/>
          <w:color w:val="auto"/>
          <w:sz w:val="24"/>
        </w:rPr>
        <w:t>。</w:t>
      </w:r>
    </w:p>
    <w:p>
      <w:pPr>
        <w:spacing w:line="240" w:lineRule="auto"/>
        <w:ind w:firstLine="600"/>
        <w:rPr>
          <w:rFonts w:ascii="仿宋_GB2312" w:eastAsia="仿宋_GB2312"/>
          <w:color w:val="auto"/>
          <w:sz w:val="24"/>
        </w:rPr>
      </w:pPr>
      <w:r>
        <w:rPr>
          <w:rFonts w:hint="eastAsia" w:ascii="仿宋_GB2312" w:eastAsia="仿宋_GB2312"/>
          <w:color w:val="auto"/>
          <w:sz w:val="24"/>
        </w:rPr>
        <w:t>1</w:t>
      </w:r>
      <w:r>
        <w:rPr>
          <w:rFonts w:ascii="仿宋_GB2312" w:eastAsia="仿宋_GB2312"/>
          <w:color w:val="auto"/>
          <w:sz w:val="24"/>
        </w:rPr>
        <w:t xml:space="preserve">8.1.2 </w:t>
      </w:r>
      <w:r>
        <w:rPr>
          <w:rFonts w:hint="eastAsia" w:ascii="仿宋_GB2312" w:eastAsia="仿宋_GB2312"/>
          <w:color w:val="auto"/>
          <w:sz w:val="24"/>
        </w:rPr>
        <w:t>双方当事人</w:t>
      </w:r>
      <w:r>
        <w:rPr>
          <w:rFonts w:ascii="仿宋_GB2312" w:eastAsia="仿宋_GB2312"/>
          <w:color w:val="auto"/>
          <w:sz w:val="24"/>
        </w:rPr>
        <w:t>关于</w:t>
      </w:r>
      <w:r>
        <w:rPr>
          <w:rFonts w:hint="eastAsia" w:ascii="仿宋_GB2312" w:eastAsia="仿宋_GB2312"/>
          <w:color w:val="auto"/>
          <w:sz w:val="24"/>
        </w:rPr>
        <w:t>第三方责任险</w:t>
      </w:r>
      <w:r>
        <w:rPr>
          <w:rFonts w:ascii="仿宋_GB2312" w:eastAsia="仿宋_GB2312"/>
          <w:color w:val="auto"/>
          <w:sz w:val="24"/>
        </w:rPr>
        <w:t>的特别</w:t>
      </w:r>
      <w:r>
        <w:rPr>
          <w:rFonts w:hint="eastAsia" w:ascii="仿宋_GB2312" w:eastAsia="仿宋_GB2312"/>
          <w:color w:val="auto"/>
          <w:sz w:val="24"/>
        </w:rPr>
        <w:t>约</w:t>
      </w:r>
      <w:r>
        <w:rPr>
          <w:rFonts w:ascii="仿宋_GB2312" w:eastAsia="仿宋_GB2312"/>
          <w:color w:val="auto"/>
          <w:sz w:val="24"/>
        </w:rPr>
        <w:t>定：</w:t>
      </w:r>
      <w:r>
        <w:rPr>
          <w:rFonts w:ascii="仿宋_GB2312" w:eastAsia="仿宋_GB2312"/>
          <w:color w:val="auto"/>
          <w:sz w:val="24"/>
          <w:u w:val="single"/>
        </w:rPr>
        <w:t xml:space="preserve">                                                  </w:t>
      </w:r>
      <w:r>
        <w:rPr>
          <w:rFonts w:hint="eastAsia" w:ascii="仿宋_GB2312" w:eastAsia="仿宋_GB2312"/>
          <w:color w:val="auto"/>
          <w:sz w:val="24"/>
        </w:rPr>
        <w:t>。</w:t>
      </w:r>
    </w:p>
    <w:p>
      <w:pPr>
        <w:spacing w:line="240" w:lineRule="auto"/>
        <w:ind w:firstLine="600"/>
        <w:rPr>
          <w:rFonts w:ascii="黑体" w:hAnsi="黑体" w:eastAsia="黑体"/>
          <w:color w:val="auto"/>
          <w:sz w:val="24"/>
        </w:rPr>
      </w:pPr>
      <w:r>
        <w:rPr>
          <w:rFonts w:ascii="黑体" w:hAnsi="黑体" w:eastAsia="黑体"/>
          <w:color w:val="auto"/>
          <w:sz w:val="24"/>
        </w:rPr>
        <w:t xml:space="preserve">18.2 </w:t>
      </w:r>
      <w:r>
        <w:rPr>
          <w:rFonts w:hint="eastAsia" w:ascii="黑体" w:hAnsi="黑体" w:eastAsia="黑体"/>
          <w:color w:val="auto"/>
          <w:sz w:val="24"/>
        </w:rPr>
        <w:t>工伤和意外伤害保险</w:t>
      </w:r>
    </w:p>
    <w:p>
      <w:pPr>
        <w:spacing w:line="240" w:lineRule="auto"/>
        <w:ind w:firstLine="600"/>
        <w:rPr>
          <w:rFonts w:ascii="仿宋_GB2312" w:eastAsia="仿宋_GB2312"/>
          <w:color w:val="auto"/>
          <w:sz w:val="24"/>
        </w:rPr>
      </w:pPr>
      <w:r>
        <w:rPr>
          <w:rFonts w:hint="eastAsia" w:ascii="仿宋_GB2312" w:eastAsia="仿宋_GB2312"/>
          <w:color w:val="auto"/>
          <w:sz w:val="24"/>
        </w:rPr>
        <w:t>1</w:t>
      </w:r>
      <w:r>
        <w:rPr>
          <w:rFonts w:ascii="仿宋_GB2312" w:eastAsia="仿宋_GB2312"/>
          <w:color w:val="auto"/>
          <w:sz w:val="24"/>
        </w:rPr>
        <w:t>8.2.3 关于</w:t>
      </w:r>
      <w:r>
        <w:rPr>
          <w:rFonts w:hint="eastAsia" w:ascii="仿宋_GB2312" w:eastAsia="仿宋_GB2312"/>
          <w:color w:val="auto"/>
          <w:sz w:val="24"/>
        </w:rPr>
        <w:t>工伤保险和意外伤害保险</w:t>
      </w:r>
      <w:r>
        <w:rPr>
          <w:rFonts w:ascii="仿宋_GB2312" w:eastAsia="仿宋_GB2312"/>
          <w:color w:val="auto"/>
          <w:sz w:val="24"/>
        </w:rPr>
        <w:t>的特别</w:t>
      </w:r>
      <w:r>
        <w:rPr>
          <w:rFonts w:hint="eastAsia" w:ascii="仿宋_GB2312" w:eastAsia="仿宋_GB2312"/>
          <w:color w:val="auto"/>
          <w:sz w:val="24"/>
        </w:rPr>
        <w:t>约</w:t>
      </w:r>
      <w:r>
        <w:rPr>
          <w:rFonts w:ascii="仿宋_GB2312" w:eastAsia="仿宋_GB2312"/>
          <w:color w:val="auto"/>
          <w:sz w:val="24"/>
        </w:rPr>
        <w:t>定：</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18.3 </w:t>
      </w:r>
      <w:r>
        <w:rPr>
          <w:rFonts w:hint="eastAsia" w:ascii="黑体" w:hAnsi="黑体" w:eastAsia="黑体"/>
          <w:color w:val="auto"/>
          <w:sz w:val="24"/>
        </w:rPr>
        <w:t>货物保险</w:t>
      </w:r>
    </w:p>
    <w:p>
      <w:pPr>
        <w:spacing w:line="240" w:lineRule="auto"/>
        <w:ind w:firstLine="600"/>
        <w:rPr>
          <w:rFonts w:ascii="仿宋_GB2312" w:eastAsia="仿宋_GB2312"/>
          <w:color w:val="auto"/>
          <w:sz w:val="24"/>
        </w:rPr>
      </w:pPr>
      <w:r>
        <w:rPr>
          <w:rFonts w:hint="eastAsia" w:ascii="仿宋_GB2312" w:eastAsia="仿宋_GB2312"/>
          <w:color w:val="auto"/>
          <w:sz w:val="24"/>
        </w:rPr>
        <w:t>关于承包人应为其施工设备、材料、工程设备和临时工程等办理财产</w:t>
      </w:r>
      <w:r>
        <w:rPr>
          <w:rFonts w:ascii="仿宋_GB2312" w:eastAsia="仿宋_GB2312"/>
          <w:color w:val="auto"/>
          <w:sz w:val="24"/>
        </w:rPr>
        <w:t>保险的特别</w:t>
      </w:r>
      <w:r>
        <w:rPr>
          <w:rFonts w:hint="eastAsia" w:ascii="仿宋_GB2312" w:eastAsia="仿宋_GB2312"/>
          <w:color w:val="auto"/>
          <w:sz w:val="24"/>
        </w:rPr>
        <w:t>约</w:t>
      </w:r>
      <w:r>
        <w:rPr>
          <w:rFonts w:ascii="仿宋_GB2312" w:eastAsia="仿宋_GB2312"/>
          <w:color w:val="auto"/>
          <w:sz w:val="24"/>
        </w:rPr>
        <w:t>定：</w:t>
      </w:r>
      <w:r>
        <w:rPr>
          <w:rFonts w:ascii="仿宋_GB2312" w:eastAsia="仿宋_GB2312"/>
          <w:color w:val="auto"/>
          <w:sz w:val="24"/>
          <w:u w:val="single"/>
        </w:rPr>
        <w:t xml:space="preserve">                              </w:t>
      </w:r>
      <w:r>
        <w:rPr>
          <w:rFonts w:hint="eastAsia" w:ascii="仿宋_GB2312" w:eastAsia="仿宋_GB2312"/>
          <w:color w:val="auto"/>
          <w:sz w:val="24"/>
        </w:rPr>
        <w:t>。</w:t>
      </w:r>
    </w:p>
    <w:p>
      <w:pPr>
        <w:spacing w:line="240" w:lineRule="auto"/>
        <w:ind w:firstLine="600"/>
        <w:rPr>
          <w:rFonts w:ascii="黑体" w:hAnsi="黑体" w:eastAsia="黑体"/>
          <w:color w:val="auto"/>
          <w:sz w:val="24"/>
        </w:rPr>
      </w:pPr>
      <w:r>
        <w:rPr>
          <w:rFonts w:ascii="黑体" w:hAnsi="黑体" w:eastAsia="黑体"/>
          <w:color w:val="auto"/>
          <w:sz w:val="24"/>
        </w:rPr>
        <w:t xml:space="preserve">18.4 </w:t>
      </w:r>
      <w:r>
        <w:rPr>
          <w:rFonts w:hint="eastAsia" w:ascii="黑体" w:hAnsi="黑体" w:eastAsia="黑体"/>
          <w:color w:val="auto"/>
          <w:sz w:val="24"/>
        </w:rPr>
        <w:t>其他保险</w:t>
      </w:r>
    </w:p>
    <w:p>
      <w:pPr>
        <w:spacing w:line="240" w:lineRule="auto"/>
        <w:ind w:firstLine="600"/>
        <w:rPr>
          <w:rFonts w:ascii="仿宋_GB2312" w:eastAsia="仿宋_GB2312"/>
          <w:color w:val="auto"/>
          <w:sz w:val="24"/>
        </w:rPr>
      </w:pPr>
      <w:r>
        <w:rPr>
          <w:rFonts w:hint="eastAsia" w:ascii="仿宋_GB2312" w:eastAsia="仿宋_GB2312"/>
          <w:color w:val="auto"/>
          <w:sz w:val="24"/>
        </w:rPr>
        <w:t>关于其他保险的约定：</w:t>
      </w:r>
      <w:r>
        <w:rPr>
          <w:rFonts w:ascii="仿宋_GB2312" w:eastAsia="仿宋_GB2312"/>
          <w:color w:val="auto"/>
          <w:sz w:val="24"/>
          <w:u w:val="single"/>
        </w:rPr>
        <w:t xml:space="preserve">                              </w:t>
      </w:r>
      <w:r>
        <w:rPr>
          <w:rFonts w:hint="eastAsia" w:ascii="仿宋_GB2312" w:eastAsia="仿宋_GB2312"/>
          <w:color w:val="auto"/>
          <w:sz w:val="24"/>
        </w:rPr>
        <w:t>。</w:t>
      </w:r>
    </w:p>
    <w:p>
      <w:pPr>
        <w:spacing w:line="240" w:lineRule="auto"/>
        <w:ind w:firstLine="600"/>
        <w:rPr>
          <w:rFonts w:ascii="黑体" w:hAnsi="黑体" w:eastAsia="黑体"/>
          <w:color w:val="auto"/>
          <w:sz w:val="24"/>
        </w:rPr>
      </w:pPr>
      <w:r>
        <w:rPr>
          <w:rFonts w:ascii="黑体" w:hAnsi="黑体" w:eastAsia="黑体"/>
          <w:color w:val="auto"/>
          <w:sz w:val="24"/>
        </w:rPr>
        <w:t xml:space="preserve">18.5 </w:t>
      </w:r>
      <w:r>
        <w:rPr>
          <w:rFonts w:hint="eastAsia" w:ascii="黑体" w:hAnsi="黑体" w:eastAsia="黑体"/>
          <w:color w:val="auto"/>
          <w:sz w:val="24"/>
        </w:rPr>
        <w:t>对各项保险的一般要求</w:t>
      </w:r>
    </w:p>
    <w:p>
      <w:pPr>
        <w:spacing w:line="240" w:lineRule="auto"/>
        <w:ind w:firstLine="600"/>
        <w:rPr>
          <w:rFonts w:ascii="仿宋_GB2312" w:eastAsia="仿宋_GB2312"/>
          <w:color w:val="auto"/>
          <w:sz w:val="24"/>
        </w:rPr>
      </w:pPr>
      <w:r>
        <w:rPr>
          <w:rFonts w:ascii="仿宋_GB2312" w:eastAsia="仿宋_GB2312"/>
          <w:color w:val="auto"/>
          <w:sz w:val="24"/>
        </w:rPr>
        <w:t>18.5.2 保险凭证</w:t>
      </w:r>
    </w:p>
    <w:p>
      <w:pPr>
        <w:spacing w:line="240" w:lineRule="auto"/>
        <w:ind w:firstLine="600"/>
        <w:rPr>
          <w:rFonts w:ascii="仿宋_GB2312" w:eastAsia="仿宋_GB2312"/>
          <w:color w:val="auto"/>
          <w:sz w:val="24"/>
        </w:rPr>
      </w:pPr>
      <w:r>
        <w:rPr>
          <w:rFonts w:hint="eastAsia" w:ascii="仿宋_GB2312" w:eastAsia="仿宋_GB2312"/>
          <w:color w:val="auto"/>
          <w:sz w:val="24"/>
        </w:rPr>
        <w:t>保险单的条件：</w:t>
      </w:r>
      <w:r>
        <w:rPr>
          <w:rFonts w:ascii="仿宋_GB2312" w:eastAsia="仿宋_GB2312"/>
          <w:color w:val="auto"/>
          <w:sz w:val="24"/>
          <w:u w:val="single"/>
        </w:rPr>
        <w:t xml:space="preserve">                                    </w:t>
      </w:r>
      <w:r>
        <w:rPr>
          <w:rFonts w:hint="eastAsia" w:ascii="仿宋_GB2312" w:eastAsia="仿宋_GB2312"/>
          <w:color w:val="auto"/>
          <w:sz w:val="24"/>
        </w:rPr>
        <w:t>。</w:t>
      </w:r>
    </w:p>
    <w:p>
      <w:pPr>
        <w:spacing w:line="240" w:lineRule="auto"/>
        <w:ind w:firstLine="600"/>
        <w:rPr>
          <w:rFonts w:ascii="仿宋_GB2312" w:eastAsia="仿宋_GB2312"/>
          <w:color w:val="auto"/>
          <w:sz w:val="24"/>
        </w:rPr>
      </w:pPr>
      <w:r>
        <w:rPr>
          <w:rFonts w:ascii="仿宋_GB2312" w:eastAsia="仿宋_GB2312"/>
          <w:color w:val="auto"/>
          <w:sz w:val="24"/>
        </w:rPr>
        <w:t>18.5.4 通知义务</w:t>
      </w:r>
    </w:p>
    <w:p>
      <w:pPr>
        <w:spacing w:line="240" w:lineRule="auto"/>
        <w:ind w:firstLine="600"/>
        <w:rPr>
          <w:rFonts w:ascii="仿宋_GB2312" w:eastAsia="仿宋_GB2312"/>
          <w:color w:val="auto"/>
          <w:sz w:val="24"/>
        </w:rPr>
      </w:pPr>
      <w:r>
        <w:rPr>
          <w:rFonts w:hint="eastAsia" w:ascii="仿宋_GB2312" w:eastAsia="仿宋_GB2312"/>
          <w:color w:val="auto"/>
          <w:sz w:val="24"/>
        </w:rPr>
        <w:t>关于变更保险合同时的通知义务的约定：</w:t>
      </w:r>
      <w:r>
        <w:rPr>
          <w:rFonts w:ascii="仿宋_GB2312" w:eastAsia="仿宋_GB2312"/>
          <w:color w:val="auto"/>
          <w:sz w:val="24"/>
          <w:u w:val="single"/>
        </w:rPr>
        <w:t xml:space="preserve">               </w:t>
      </w:r>
      <w:r>
        <w:rPr>
          <w:rFonts w:hint="eastAsia" w:ascii="仿宋_GB2312" w:eastAsia="仿宋_GB2312"/>
          <w:color w:val="auto"/>
          <w:sz w:val="24"/>
        </w:rPr>
        <w:t>。</w:t>
      </w:r>
    </w:p>
    <w:p>
      <w:pPr>
        <w:pStyle w:val="314"/>
        <w:spacing w:line="240" w:lineRule="auto"/>
        <w:rPr>
          <w:rFonts w:ascii="黑体" w:hAnsi="黑体" w:eastAsia="黑体"/>
          <w:b w:val="0"/>
          <w:bCs/>
          <w:color w:val="auto"/>
          <w:sz w:val="24"/>
          <w:szCs w:val="24"/>
        </w:rPr>
      </w:pPr>
      <w:bookmarkStart w:id="1162" w:name="_Toc54862350"/>
      <w:r>
        <w:rPr>
          <w:rFonts w:hint="eastAsia" w:ascii="黑体" w:hAnsi="黑体" w:eastAsia="黑体"/>
          <w:b w:val="0"/>
          <w:bCs/>
          <w:color w:val="auto"/>
          <w:sz w:val="24"/>
          <w:szCs w:val="24"/>
        </w:rPr>
        <w:t>第</w:t>
      </w:r>
      <w:r>
        <w:rPr>
          <w:rFonts w:ascii="黑体" w:hAnsi="黑体" w:eastAsia="黑体"/>
          <w:b w:val="0"/>
          <w:bCs/>
          <w:color w:val="auto"/>
          <w:sz w:val="24"/>
          <w:szCs w:val="24"/>
        </w:rPr>
        <w:t>20条</w:t>
      </w:r>
      <w:r>
        <w:rPr>
          <w:rFonts w:hint="eastAsia" w:ascii="黑体" w:hAnsi="黑体" w:eastAsia="黑体"/>
          <w:b w:val="0"/>
          <w:bCs/>
          <w:color w:val="auto"/>
          <w:sz w:val="24"/>
          <w:szCs w:val="24"/>
        </w:rPr>
        <w:t xml:space="preserve"> 争议解决</w:t>
      </w:r>
      <w:bookmarkEnd w:id="1162"/>
    </w:p>
    <w:p>
      <w:pPr>
        <w:spacing w:line="240" w:lineRule="auto"/>
        <w:ind w:firstLine="600"/>
        <w:rPr>
          <w:rFonts w:ascii="黑体" w:hAnsi="黑体" w:eastAsia="黑体"/>
          <w:color w:val="auto"/>
          <w:sz w:val="24"/>
        </w:rPr>
      </w:pPr>
      <w:r>
        <w:rPr>
          <w:rFonts w:ascii="黑体" w:hAnsi="黑体" w:eastAsia="黑体"/>
          <w:color w:val="auto"/>
          <w:sz w:val="24"/>
        </w:rPr>
        <w:t xml:space="preserve">20.3 </w:t>
      </w:r>
      <w:r>
        <w:rPr>
          <w:rFonts w:hint="eastAsia" w:ascii="黑体" w:hAnsi="黑体" w:eastAsia="黑体"/>
          <w:color w:val="auto"/>
          <w:sz w:val="24"/>
        </w:rPr>
        <w:t>争议评审</w:t>
      </w:r>
    </w:p>
    <w:p>
      <w:pPr>
        <w:spacing w:line="240" w:lineRule="auto"/>
        <w:ind w:firstLine="600"/>
        <w:rPr>
          <w:rFonts w:ascii="仿宋_GB2312" w:eastAsia="仿宋_GB2312"/>
          <w:color w:val="auto"/>
          <w:sz w:val="24"/>
        </w:rPr>
      </w:pPr>
      <w:r>
        <w:rPr>
          <w:rFonts w:hint="eastAsia" w:ascii="仿宋_GB2312" w:eastAsia="仿宋_GB2312"/>
          <w:color w:val="auto"/>
          <w:sz w:val="24"/>
        </w:rPr>
        <w:t xml:space="preserve">合同当事人是否同意将工程争议提交争议评审小组决定： </w:t>
      </w:r>
      <w:r>
        <w:rPr>
          <w:rFonts w:ascii="仿宋_GB2312" w:eastAsia="仿宋_GB2312"/>
          <w:color w:val="auto"/>
          <w:sz w:val="24"/>
          <w:u w:val="single"/>
        </w:rPr>
        <w:t xml:space="preserve">                                                 </w:t>
      </w:r>
      <w:r>
        <w:rPr>
          <w:rFonts w:hint="eastAsia" w:ascii="仿宋_GB2312" w:eastAsia="仿宋_GB2312"/>
          <w:color w:val="auto"/>
          <w:sz w:val="24"/>
        </w:rPr>
        <w:t>。</w:t>
      </w:r>
    </w:p>
    <w:p>
      <w:pPr>
        <w:spacing w:line="240" w:lineRule="auto"/>
        <w:ind w:firstLine="600"/>
        <w:rPr>
          <w:rFonts w:ascii="仿宋_GB2312" w:eastAsia="仿宋_GB2312"/>
          <w:color w:val="auto"/>
          <w:sz w:val="24"/>
        </w:rPr>
      </w:pPr>
      <w:r>
        <w:rPr>
          <w:rFonts w:ascii="仿宋_GB2312" w:eastAsia="仿宋_GB2312"/>
          <w:color w:val="auto"/>
          <w:sz w:val="24"/>
        </w:rPr>
        <w:t>20.3.1</w:t>
      </w:r>
      <w:r>
        <w:rPr>
          <w:rFonts w:hint="eastAsia" w:ascii="仿宋_GB2312" w:eastAsia="仿宋_GB2312"/>
          <w:color w:val="auto"/>
          <w:sz w:val="24"/>
        </w:rPr>
        <w:t xml:space="preserve"> 争议评审小组</w:t>
      </w:r>
      <w:r>
        <w:rPr>
          <w:rFonts w:ascii="仿宋_GB2312" w:eastAsia="仿宋_GB2312"/>
          <w:color w:val="auto"/>
          <w:sz w:val="24"/>
        </w:rPr>
        <w:t>的确定</w:t>
      </w:r>
    </w:p>
    <w:p>
      <w:pPr>
        <w:spacing w:line="240" w:lineRule="auto"/>
        <w:ind w:firstLine="600"/>
        <w:rPr>
          <w:rFonts w:ascii="仿宋_GB2312" w:eastAsia="仿宋_GB2312"/>
          <w:color w:val="auto"/>
          <w:sz w:val="24"/>
        </w:rPr>
      </w:pPr>
      <w:r>
        <w:rPr>
          <w:rFonts w:hint="eastAsia" w:ascii="仿宋_GB2312" w:eastAsia="仿宋_GB2312"/>
          <w:color w:val="auto"/>
          <w:sz w:val="24"/>
        </w:rPr>
        <w:t>争议评审小组成员的人数：</w:t>
      </w:r>
      <w:r>
        <w:rPr>
          <w:rFonts w:ascii="仿宋_GB2312" w:eastAsia="仿宋_GB2312"/>
          <w:color w:val="auto"/>
          <w:sz w:val="24"/>
          <w:u w:val="single"/>
        </w:rPr>
        <w:t xml:space="preserve">                          </w:t>
      </w:r>
      <w:r>
        <w:rPr>
          <w:rFonts w:ascii="仿宋_GB2312" w:eastAsia="仿宋_GB2312"/>
          <w:color w:val="auto"/>
          <w:sz w:val="24"/>
        </w:rPr>
        <w:t>。</w:t>
      </w:r>
    </w:p>
    <w:p>
      <w:pPr>
        <w:spacing w:line="240" w:lineRule="auto"/>
        <w:ind w:firstLine="600"/>
        <w:rPr>
          <w:rFonts w:ascii="仿宋_GB2312" w:eastAsia="仿宋_GB2312"/>
          <w:color w:val="auto"/>
          <w:sz w:val="24"/>
        </w:rPr>
      </w:pPr>
      <w:r>
        <w:rPr>
          <w:rFonts w:hint="eastAsia" w:ascii="仿宋_GB2312" w:eastAsia="仿宋_GB2312"/>
          <w:color w:val="auto"/>
          <w:sz w:val="24"/>
        </w:rPr>
        <w:t>争议评审小组成员的确定：</w:t>
      </w:r>
      <w:r>
        <w:rPr>
          <w:rFonts w:ascii="仿宋_GB2312" w:eastAsia="仿宋_GB2312"/>
          <w:color w:val="auto"/>
          <w:sz w:val="24"/>
          <w:u w:val="single"/>
        </w:rPr>
        <w:t xml:space="preserve">                          </w:t>
      </w:r>
      <w:r>
        <w:rPr>
          <w:rFonts w:ascii="仿宋_GB2312" w:eastAsia="仿宋_GB2312"/>
          <w:color w:val="auto"/>
          <w:sz w:val="24"/>
        </w:rPr>
        <w:t>。</w:t>
      </w:r>
    </w:p>
    <w:p>
      <w:pPr>
        <w:spacing w:line="240" w:lineRule="auto"/>
        <w:ind w:firstLine="600"/>
        <w:rPr>
          <w:rFonts w:ascii="仿宋_GB2312" w:eastAsia="仿宋_GB2312"/>
          <w:color w:val="auto"/>
          <w:sz w:val="24"/>
        </w:rPr>
      </w:pPr>
      <w:r>
        <w:rPr>
          <w:rFonts w:hint="eastAsia" w:ascii="仿宋_GB2312" w:eastAsia="仿宋_GB2312"/>
          <w:color w:val="auto"/>
          <w:sz w:val="24"/>
        </w:rPr>
        <w:t>选定争议避免/评审组的期限：</w:t>
      </w:r>
      <w:r>
        <w:rPr>
          <w:rFonts w:ascii="仿宋_GB2312" w:eastAsia="仿宋_GB2312"/>
          <w:color w:val="auto"/>
          <w:sz w:val="24"/>
          <w:u w:val="single"/>
        </w:rPr>
        <w:t xml:space="preserve">                       </w:t>
      </w:r>
      <w:r>
        <w:rPr>
          <w:rFonts w:ascii="仿宋_GB2312" w:eastAsia="仿宋_GB2312"/>
          <w:color w:val="auto"/>
          <w:sz w:val="24"/>
        </w:rPr>
        <w:t>。</w:t>
      </w:r>
    </w:p>
    <w:p>
      <w:pPr>
        <w:spacing w:line="240" w:lineRule="auto"/>
        <w:ind w:firstLine="600"/>
        <w:rPr>
          <w:rFonts w:ascii="仿宋_GB2312" w:eastAsia="仿宋_GB2312"/>
          <w:color w:val="auto"/>
          <w:sz w:val="24"/>
        </w:rPr>
      </w:pPr>
      <w:r>
        <w:rPr>
          <w:rFonts w:hint="eastAsia" w:ascii="仿宋_GB2312" w:eastAsia="仿宋_GB2312"/>
          <w:color w:val="auto"/>
          <w:sz w:val="24"/>
        </w:rPr>
        <w:t>评审机构：</w:t>
      </w:r>
      <w:r>
        <w:rPr>
          <w:rFonts w:ascii="仿宋_GB2312" w:eastAsia="仿宋_GB2312"/>
          <w:color w:val="auto"/>
          <w:sz w:val="24"/>
          <w:u w:val="single"/>
        </w:rPr>
        <w:t xml:space="preserve">                                        </w:t>
      </w:r>
      <w:r>
        <w:rPr>
          <w:rFonts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其他事项的约定：</w:t>
      </w:r>
      <w:r>
        <w:rPr>
          <w:rFonts w:ascii="仿宋_GB2312" w:eastAsia="仿宋_GB2312"/>
          <w:color w:val="auto"/>
          <w:sz w:val="24"/>
          <w:u w:val="single"/>
        </w:rPr>
        <w:t xml:space="preserve">                                  </w:t>
      </w:r>
      <w:r>
        <w:rPr>
          <w:rFonts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争议评审员报酬</w:t>
      </w:r>
      <w:r>
        <w:rPr>
          <w:rFonts w:hint="eastAsia" w:ascii="仿宋_GB2312" w:eastAsia="仿宋_GB2312"/>
          <w:color w:val="auto"/>
          <w:sz w:val="24"/>
        </w:rPr>
        <w:t>的承担人：</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20.3.2 争议的避免</w:t>
      </w:r>
    </w:p>
    <w:p>
      <w:pPr>
        <w:ind w:firstLine="600"/>
        <w:rPr>
          <w:rFonts w:ascii="仿宋_GB2312" w:eastAsia="仿宋_GB2312"/>
          <w:color w:val="auto"/>
          <w:sz w:val="24"/>
        </w:rPr>
      </w:pPr>
      <w:r>
        <w:rPr>
          <w:rFonts w:hint="eastAsia" w:ascii="仿宋_GB2312" w:eastAsia="仿宋_GB2312"/>
          <w:color w:val="auto"/>
          <w:sz w:val="24"/>
        </w:rPr>
        <w:t>发包人和承包人是否均出席争议避免的非正式讨论：</w:t>
      </w:r>
      <w:r>
        <w:rPr>
          <w:rFonts w:ascii="仿宋_GB2312" w:eastAsia="仿宋_GB2312"/>
          <w:color w:val="auto"/>
          <w:sz w:val="24"/>
          <w:u w:val="single"/>
        </w:rPr>
        <w:t xml:space="preserve">                                                  </w:t>
      </w:r>
      <w:r>
        <w:rPr>
          <w:rFonts w:ascii="仿宋_GB2312" w:eastAsia="仿宋_GB2312"/>
          <w:color w:val="auto"/>
          <w:sz w:val="24"/>
        </w:rPr>
        <w:t>。</w:t>
      </w:r>
    </w:p>
    <w:p>
      <w:pPr>
        <w:ind w:firstLine="600"/>
        <w:rPr>
          <w:rFonts w:ascii="仿宋_GB2312" w:eastAsia="仿宋_GB2312"/>
          <w:color w:val="auto"/>
          <w:sz w:val="24"/>
        </w:rPr>
      </w:pPr>
      <w:r>
        <w:rPr>
          <w:rFonts w:ascii="仿宋_GB2312" w:eastAsia="仿宋_GB2312"/>
          <w:color w:val="auto"/>
          <w:sz w:val="24"/>
        </w:rPr>
        <w:t>20.3.3</w:t>
      </w:r>
      <w:r>
        <w:rPr>
          <w:rFonts w:hint="eastAsia" w:ascii="仿宋_GB2312" w:eastAsia="仿宋_GB2312"/>
          <w:color w:val="auto"/>
          <w:sz w:val="24"/>
        </w:rPr>
        <w:t xml:space="preserve"> 争议评审小组的决定</w:t>
      </w:r>
    </w:p>
    <w:p>
      <w:pPr>
        <w:ind w:firstLine="600"/>
        <w:rPr>
          <w:rFonts w:ascii="仿宋_GB2312" w:eastAsia="仿宋_GB2312"/>
          <w:color w:val="auto"/>
          <w:sz w:val="24"/>
        </w:rPr>
      </w:pPr>
      <w:r>
        <w:rPr>
          <w:rFonts w:hint="eastAsia" w:ascii="仿宋_GB2312" w:eastAsia="仿宋_GB2312"/>
          <w:color w:val="auto"/>
          <w:sz w:val="24"/>
        </w:rPr>
        <w:t>关于争议评审小组的决定的特别约定：</w:t>
      </w:r>
      <w:r>
        <w:rPr>
          <w:rFonts w:ascii="仿宋_GB2312" w:eastAsia="仿宋_GB2312"/>
          <w:color w:val="auto"/>
          <w:sz w:val="24"/>
          <w:u w:val="single"/>
        </w:rPr>
        <w:t xml:space="preserve">                </w:t>
      </w:r>
      <w:r>
        <w:rPr>
          <w:rFonts w:ascii="仿宋_GB2312" w:eastAsia="仿宋_GB2312"/>
          <w:color w:val="auto"/>
          <w:sz w:val="24"/>
        </w:rPr>
        <w:t>。</w:t>
      </w:r>
    </w:p>
    <w:p>
      <w:pPr>
        <w:ind w:firstLine="600"/>
        <w:rPr>
          <w:rFonts w:ascii="黑体" w:hAnsi="黑体" w:eastAsia="黑体"/>
          <w:color w:val="auto"/>
          <w:sz w:val="24"/>
        </w:rPr>
      </w:pPr>
      <w:r>
        <w:rPr>
          <w:rFonts w:ascii="黑体" w:hAnsi="黑体" w:eastAsia="黑体"/>
          <w:color w:val="auto"/>
          <w:sz w:val="24"/>
        </w:rPr>
        <w:t xml:space="preserve">20.4 </w:t>
      </w:r>
      <w:r>
        <w:rPr>
          <w:rFonts w:hint="eastAsia" w:ascii="黑体" w:hAnsi="黑体" w:eastAsia="黑体"/>
          <w:color w:val="auto"/>
          <w:sz w:val="24"/>
        </w:rPr>
        <w:t>仲裁或诉讼</w:t>
      </w:r>
    </w:p>
    <w:p>
      <w:pPr>
        <w:ind w:firstLine="600"/>
        <w:rPr>
          <w:rFonts w:ascii="仿宋_GB2312" w:eastAsia="仿宋_GB2312"/>
          <w:color w:val="auto"/>
          <w:sz w:val="24"/>
        </w:rPr>
      </w:pPr>
      <w:r>
        <w:rPr>
          <w:rFonts w:hint="eastAsia" w:ascii="仿宋_GB2312" w:eastAsia="仿宋_GB2312"/>
          <w:color w:val="auto"/>
          <w:sz w:val="24"/>
        </w:rPr>
        <w:t>因合同及合同有关事项发生的争议，按下列第</w:t>
      </w:r>
      <w:r>
        <w:rPr>
          <w:rFonts w:ascii="仿宋_GB2312" w:eastAsia="仿宋_GB2312"/>
          <w:color w:val="auto"/>
          <w:sz w:val="24"/>
          <w:u w:val="single"/>
        </w:rPr>
        <w:t xml:space="preserve">    </w:t>
      </w:r>
      <w:r>
        <w:rPr>
          <w:rFonts w:ascii="仿宋_GB2312" w:eastAsia="仿宋_GB2312"/>
          <w:color w:val="auto"/>
          <w:sz w:val="24"/>
        </w:rPr>
        <w:t>种方式解决：</w:t>
      </w:r>
    </w:p>
    <w:p>
      <w:pPr>
        <w:ind w:firstLine="6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1）向</w:t>
      </w:r>
      <w:r>
        <w:rPr>
          <w:rFonts w:ascii="仿宋_GB2312" w:eastAsia="仿宋_GB2312"/>
          <w:color w:val="auto"/>
          <w:sz w:val="24"/>
          <w:u w:val="single"/>
        </w:rPr>
        <w:t xml:space="preserve">                         </w:t>
      </w:r>
      <w:r>
        <w:rPr>
          <w:rFonts w:ascii="仿宋_GB2312" w:eastAsia="仿宋_GB2312"/>
          <w:color w:val="auto"/>
          <w:sz w:val="24"/>
        </w:rPr>
        <w:t>仲裁委员会申请仲裁；</w:t>
      </w:r>
    </w:p>
    <w:p>
      <w:pPr>
        <w:ind w:firstLine="6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2）向</w:t>
      </w:r>
      <w:r>
        <w:rPr>
          <w:rFonts w:ascii="仿宋_GB2312" w:eastAsia="仿宋_GB2312"/>
          <w:color w:val="auto"/>
          <w:sz w:val="24"/>
          <w:u w:val="single"/>
        </w:rPr>
        <w:t xml:space="preserve">                         </w:t>
      </w:r>
      <w:r>
        <w:rPr>
          <w:rFonts w:ascii="仿宋_GB2312" w:eastAsia="仿宋_GB2312"/>
          <w:color w:val="auto"/>
          <w:sz w:val="24"/>
        </w:rPr>
        <w:t>人民法院起诉。</w:t>
      </w:r>
    </w:p>
    <w:p>
      <w:pPr>
        <w:ind w:firstLine="600"/>
        <w:rPr>
          <w:rFonts w:ascii="仿宋_GB2312" w:eastAsia="仿宋_GB2312"/>
          <w:color w:val="auto"/>
          <w:sz w:val="30"/>
          <w:szCs w:val="30"/>
        </w:rPr>
        <w:sectPr>
          <w:headerReference r:id="rId13" w:type="default"/>
          <w:pgSz w:w="11906" w:h="16838"/>
          <w:pgMar w:top="1440" w:right="1800" w:bottom="1440" w:left="1800" w:header="720" w:footer="998" w:gutter="0"/>
          <w:cols w:space="720" w:num="1"/>
          <w:docGrid w:linePitch="326" w:charSpace="0"/>
        </w:sectPr>
      </w:pPr>
    </w:p>
    <w:p>
      <w:pPr>
        <w:pStyle w:val="335"/>
        <w:keepNext w:val="0"/>
        <w:adjustRightInd w:val="0"/>
        <w:snapToGrid w:val="0"/>
        <w:spacing w:before="0" w:after="50" w:line="360" w:lineRule="auto"/>
        <w:rPr>
          <w:rFonts w:ascii="黑体" w:hAnsi="黑体" w:eastAsia="黑体"/>
          <w:color w:val="auto"/>
          <w:sz w:val="28"/>
          <w:szCs w:val="28"/>
          <w:lang w:eastAsia="zh-CN"/>
        </w:rPr>
      </w:pPr>
      <w:bookmarkStart w:id="1163" w:name="_Toc54862351"/>
      <w:r>
        <w:rPr>
          <w:rFonts w:hint="eastAsia" w:ascii="黑体" w:hAnsi="黑体" w:eastAsia="黑体"/>
          <w:color w:val="auto"/>
          <w:sz w:val="30"/>
          <w:szCs w:val="30"/>
          <w:lang w:eastAsia="zh-CN"/>
        </w:rPr>
        <w:t>专用合同条件附件</w:t>
      </w:r>
      <w:bookmarkEnd w:id="1163"/>
    </w:p>
    <w:p>
      <w:pPr>
        <w:rPr>
          <w:color w:val="auto"/>
        </w:rPr>
      </w:pPr>
    </w:p>
    <w:p>
      <w:pPr>
        <w:ind w:firstLine="6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附件1：发包人要求</w:t>
      </w:r>
    </w:p>
    <w:p>
      <w:pPr>
        <w:ind w:firstLine="6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附件2：发包人供应材料设备一览表</w:t>
      </w:r>
    </w:p>
    <w:p>
      <w:pPr>
        <w:ind w:firstLine="6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附件3：工程质量保修书</w:t>
      </w:r>
    </w:p>
    <w:p>
      <w:pPr>
        <w:ind w:firstLine="6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附件4：主要建设工程文件目录</w:t>
      </w:r>
    </w:p>
    <w:p>
      <w:pPr>
        <w:ind w:firstLine="6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附件5：承包人主要管理人员表</w:t>
      </w:r>
    </w:p>
    <w:p>
      <w:pPr>
        <w:ind w:firstLine="6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附件</w:t>
      </w:r>
      <w:r>
        <w:rPr>
          <w:rFonts w:ascii="仿宋_GB2312" w:hAnsi="仿宋_GB2312" w:eastAsia="仿宋_GB2312" w:cs="仿宋_GB2312"/>
          <w:color w:val="auto"/>
          <w:sz w:val="30"/>
          <w:szCs w:val="30"/>
        </w:rPr>
        <w:t>6</w:t>
      </w:r>
      <w:r>
        <w:rPr>
          <w:rFonts w:hint="eastAsia" w:ascii="仿宋_GB2312" w:hAnsi="仿宋_GB2312" w:eastAsia="仿宋_GB2312" w:cs="仿宋_GB2312"/>
          <w:color w:val="auto"/>
          <w:sz w:val="30"/>
          <w:szCs w:val="30"/>
        </w:rPr>
        <w:t>：价格指数权重表</w:t>
      </w:r>
    </w:p>
    <w:p>
      <w:pPr>
        <w:rPr>
          <w:color w:val="auto"/>
        </w:rPr>
      </w:pPr>
    </w:p>
    <w:p>
      <w:pPr>
        <w:rPr>
          <w:color w:val="auto"/>
        </w:rPr>
      </w:pPr>
    </w:p>
    <w:p>
      <w:pPr>
        <w:rPr>
          <w:color w:val="auto"/>
        </w:rPr>
      </w:pPr>
    </w:p>
    <w:p>
      <w:pPr>
        <w:jc w:val="left"/>
        <w:rPr>
          <w:color w:val="auto"/>
        </w:rPr>
      </w:pPr>
      <w:r>
        <w:rPr>
          <w:color w:val="auto"/>
        </w:rPr>
        <w:br w:type="page"/>
      </w:r>
    </w:p>
    <w:p>
      <w:pPr>
        <w:pStyle w:val="303"/>
        <w:numPr>
          <w:ilvl w:val="0"/>
          <w:numId w:val="0"/>
        </w:numPr>
        <w:rPr>
          <w:color w:val="auto"/>
        </w:rPr>
      </w:pPr>
      <w:bookmarkStart w:id="1164" w:name="_Toc54862352"/>
      <w:bookmarkStart w:id="1165" w:name="_Hlk38571789"/>
      <w:r>
        <w:rPr>
          <w:rFonts w:hint="eastAsia"/>
          <w:color w:val="auto"/>
        </w:rPr>
        <w:t>附件1</w:t>
      </w:r>
      <w:r>
        <w:rPr>
          <w:color w:val="auto"/>
        </w:rPr>
        <w:t xml:space="preserve"> </w:t>
      </w:r>
      <w:r>
        <w:rPr>
          <w:rFonts w:hint="eastAsia"/>
          <w:color w:val="auto"/>
        </w:rPr>
        <w:t>《发包人要求》</w:t>
      </w:r>
      <w:bookmarkEnd w:id="1164"/>
    </w:p>
    <w:bookmarkEnd w:id="1165"/>
    <w:p>
      <w:pPr>
        <w:ind w:firstLine="600"/>
        <w:rPr>
          <w:rFonts w:ascii="仿宋_GB2312" w:eastAsia="仿宋_GB2312"/>
          <w:color w:val="auto"/>
          <w:sz w:val="24"/>
        </w:rPr>
      </w:pPr>
      <w:r>
        <w:rPr>
          <w:rFonts w:hint="eastAsia" w:ascii="仿宋_GB2312" w:eastAsia="仿宋_GB2312"/>
          <w:color w:val="auto"/>
          <w:sz w:val="24"/>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pPr>
        <w:ind w:firstLine="600"/>
        <w:rPr>
          <w:rFonts w:ascii="仿宋_GB2312" w:eastAsia="仿宋_GB2312"/>
          <w:color w:val="auto"/>
          <w:sz w:val="24"/>
        </w:rPr>
      </w:pPr>
      <w:r>
        <w:rPr>
          <w:rFonts w:hint="eastAsia" w:ascii="仿宋_GB2312" w:eastAsia="仿宋_GB2312"/>
          <w:color w:val="auto"/>
          <w:sz w:val="24"/>
        </w:rPr>
        <w:t>《发包人要求》通常包括但不限于以下内容：</w:t>
      </w:r>
    </w:p>
    <w:p>
      <w:pPr>
        <w:ind w:firstLine="600"/>
        <w:rPr>
          <w:rFonts w:ascii="黑体" w:hAnsi="黑体" w:eastAsia="黑体"/>
          <w:color w:val="auto"/>
          <w:sz w:val="24"/>
        </w:rPr>
      </w:pPr>
      <w:r>
        <w:rPr>
          <w:rFonts w:hint="eastAsia" w:ascii="黑体" w:hAnsi="黑体" w:eastAsia="黑体"/>
          <w:color w:val="auto"/>
          <w:sz w:val="24"/>
        </w:rPr>
        <w:t>一、功能要求</w:t>
      </w:r>
    </w:p>
    <w:p>
      <w:pPr>
        <w:ind w:firstLine="600"/>
        <w:rPr>
          <w:rFonts w:ascii="仿宋_GB2312" w:eastAsia="仿宋_GB2312"/>
          <w:color w:val="auto"/>
          <w:sz w:val="24"/>
        </w:rPr>
      </w:pPr>
      <w:r>
        <w:rPr>
          <w:rFonts w:hint="eastAsia" w:ascii="仿宋_GB2312" w:eastAsia="仿宋_GB2312"/>
          <w:color w:val="auto"/>
          <w:sz w:val="24"/>
        </w:rPr>
        <w:t>（一）工程目的。</w:t>
      </w:r>
    </w:p>
    <w:p>
      <w:pPr>
        <w:ind w:firstLine="600"/>
        <w:rPr>
          <w:rFonts w:ascii="仿宋_GB2312" w:eastAsia="仿宋_GB2312"/>
          <w:color w:val="auto"/>
          <w:sz w:val="24"/>
        </w:rPr>
      </w:pPr>
      <w:r>
        <w:rPr>
          <w:rFonts w:hint="eastAsia" w:ascii="仿宋_GB2312" w:eastAsia="仿宋_GB2312"/>
          <w:color w:val="auto"/>
          <w:sz w:val="24"/>
        </w:rPr>
        <w:t>（二）工程规模。</w:t>
      </w:r>
    </w:p>
    <w:p>
      <w:pPr>
        <w:ind w:firstLine="600"/>
        <w:rPr>
          <w:rFonts w:ascii="仿宋_GB2312" w:eastAsia="仿宋_GB2312"/>
          <w:color w:val="auto"/>
          <w:sz w:val="24"/>
        </w:rPr>
      </w:pPr>
      <w:r>
        <w:rPr>
          <w:rFonts w:hint="eastAsia" w:ascii="仿宋_GB2312" w:eastAsia="仿宋_GB2312"/>
          <w:color w:val="auto"/>
          <w:sz w:val="24"/>
        </w:rPr>
        <w:t>（三）性能保证指标（性能保证表）。</w:t>
      </w:r>
    </w:p>
    <w:p>
      <w:pPr>
        <w:ind w:firstLine="600"/>
        <w:rPr>
          <w:rFonts w:ascii="仿宋_GB2312" w:eastAsia="仿宋_GB2312"/>
          <w:color w:val="auto"/>
          <w:sz w:val="24"/>
        </w:rPr>
      </w:pPr>
      <w:r>
        <w:rPr>
          <w:rFonts w:hint="eastAsia" w:ascii="仿宋_GB2312" w:eastAsia="仿宋_GB2312"/>
          <w:color w:val="auto"/>
          <w:sz w:val="24"/>
        </w:rPr>
        <w:t>（四）产能保证指标。</w:t>
      </w:r>
    </w:p>
    <w:p>
      <w:pPr>
        <w:ind w:firstLine="600"/>
        <w:rPr>
          <w:rFonts w:ascii="黑体" w:hAnsi="黑体" w:eastAsia="黑体"/>
          <w:color w:val="auto"/>
          <w:sz w:val="24"/>
        </w:rPr>
      </w:pPr>
      <w:r>
        <w:rPr>
          <w:rFonts w:hint="eastAsia" w:ascii="黑体" w:hAnsi="黑体" w:eastAsia="黑体"/>
          <w:color w:val="auto"/>
          <w:sz w:val="24"/>
        </w:rPr>
        <w:t>二、工程范围</w:t>
      </w:r>
    </w:p>
    <w:p>
      <w:pPr>
        <w:ind w:firstLine="600"/>
        <w:rPr>
          <w:rFonts w:ascii="仿宋_GB2312" w:eastAsia="仿宋_GB2312"/>
          <w:color w:val="auto"/>
          <w:sz w:val="24"/>
        </w:rPr>
      </w:pPr>
      <w:r>
        <w:rPr>
          <w:rFonts w:hint="eastAsia" w:ascii="仿宋_GB2312" w:eastAsia="仿宋_GB2312"/>
          <w:color w:val="auto"/>
          <w:sz w:val="24"/>
        </w:rPr>
        <w:t>（一）概述</w:t>
      </w:r>
    </w:p>
    <w:p>
      <w:pPr>
        <w:ind w:firstLine="600"/>
        <w:rPr>
          <w:rFonts w:ascii="仿宋_GB2312" w:eastAsia="仿宋_GB2312"/>
          <w:color w:val="auto"/>
          <w:sz w:val="24"/>
        </w:rPr>
      </w:pPr>
      <w:r>
        <w:rPr>
          <w:rFonts w:hint="eastAsia" w:ascii="仿宋_GB2312" w:eastAsia="仿宋_GB2312"/>
          <w:color w:val="auto"/>
          <w:sz w:val="24"/>
        </w:rPr>
        <w:t>（二）包括的工作</w:t>
      </w:r>
    </w:p>
    <w:p>
      <w:pPr>
        <w:ind w:firstLine="600"/>
        <w:rPr>
          <w:rFonts w:ascii="仿宋_GB2312" w:eastAsia="仿宋_GB2312"/>
          <w:color w:val="auto"/>
          <w:sz w:val="24"/>
        </w:rPr>
      </w:pPr>
      <w:r>
        <w:rPr>
          <w:rFonts w:hint="eastAsia" w:ascii="仿宋_GB2312" w:eastAsia="仿宋_GB2312"/>
          <w:color w:val="auto"/>
          <w:sz w:val="24"/>
        </w:rPr>
        <w:t>1. 永久工程的设计、采购、施工范围。</w:t>
      </w:r>
    </w:p>
    <w:p>
      <w:pPr>
        <w:ind w:firstLine="600"/>
        <w:rPr>
          <w:rFonts w:ascii="仿宋_GB2312" w:eastAsia="仿宋_GB2312"/>
          <w:color w:val="auto"/>
          <w:sz w:val="24"/>
        </w:rPr>
      </w:pPr>
      <w:r>
        <w:rPr>
          <w:rFonts w:hint="eastAsia" w:ascii="仿宋_GB2312" w:eastAsia="仿宋_GB2312"/>
          <w:color w:val="auto"/>
          <w:sz w:val="24"/>
        </w:rPr>
        <w:t>2. 临时工程的设计与施工范围。</w:t>
      </w:r>
    </w:p>
    <w:p>
      <w:pPr>
        <w:ind w:firstLine="600"/>
        <w:rPr>
          <w:rFonts w:ascii="仿宋_GB2312" w:eastAsia="仿宋_GB2312"/>
          <w:color w:val="auto"/>
          <w:sz w:val="24"/>
        </w:rPr>
      </w:pPr>
      <w:r>
        <w:rPr>
          <w:rFonts w:hint="eastAsia" w:ascii="仿宋_GB2312" w:eastAsia="仿宋_GB2312"/>
          <w:color w:val="auto"/>
          <w:sz w:val="24"/>
        </w:rPr>
        <w:t>3. 竣工验收工作范围。</w:t>
      </w:r>
    </w:p>
    <w:p>
      <w:pPr>
        <w:ind w:firstLine="600"/>
        <w:rPr>
          <w:rFonts w:ascii="仿宋_GB2312" w:eastAsia="仿宋_GB2312"/>
          <w:color w:val="auto"/>
          <w:sz w:val="24"/>
        </w:rPr>
      </w:pPr>
      <w:r>
        <w:rPr>
          <w:rFonts w:hint="eastAsia" w:ascii="仿宋_GB2312" w:eastAsia="仿宋_GB2312"/>
          <w:color w:val="auto"/>
          <w:sz w:val="24"/>
        </w:rPr>
        <w:t>4. 技术服务工作范围。</w:t>
      </w:r>
    </w:p>
    <w:p>
      <w:pPr>
        <w:ind w:firstLine="600"/>
        <w:rPr>
          <w:rFonts w:ascii="仿宋_GB2312" w:eastAsia="仿宋_GB2312"/>
          <w:color w:val="auto"/>
          <w:sz w:val="24"/>
        </w:rPr>
      </w:pPr>
      <w:r>
        <w:rPr>
          <w:rFonts w:hint="eastAsia" w:ascii="仿宋_GB2312" w:eastAsia="仿宋_GB2312"/>
          <w:color w:val="auto"/>
          <w:sz w:val="24"/>
        </w:rPr>
        <w:t>5. 培训工作范围。</w:t>
      </w:r>
    </w:p>
    <w:p>
      <w:pPr>
        <w:ind w:firstLine="600"/>
        <w:rPr>
          <w:rFonts w:ascii="仿宋_GB2312" w:eastAsia="仿宋_GB2312"/>
          <w:color w:val="auto"/>
          <w:sz w:val="24"/>
        </w:rPr>
      </w:pPr>
      <w:r>
        <w:rPr>
          <w:rFonts w:hint="eastAsia" w:ascii="仿宋_GB2312" w:eastAsia="仿宋_GB2312"/>
          <w:color w:val="auto"/>
          <w:sz w:val="24"/>
        </w:rPr>
        <w:t>6. 保修工作范围。</w:t>
      </w:r>
    </w:p>
    <w:p>
      <w:pPr>
        <w:ind w:firstLine="600"/>
        <w:rPr>
          <w:rFonts w:ascii="仿宋_GB2312" w:eastAsia="仿宋_GB2312"/>
          <w:color w:val="auto"/>
          <w:sz w:val="24"/>
        </w:rPr>
      </w:pPr>
      <w:r>
        <w:rPr>
          <w:rFonts w:hint="eastAsia" w:ascii="仿宋_GB2312" w:eastAsia="仿宋_GB2312"/>
          <w:color w:val="auto"/>
          <w:sz w:val="24"/>
        </w:rPr>
        <w:t>（三）工作界区</w:t>
      </w:r>
    </w:p>
    <w:p>
      <w:pPr>
        <w:ind w:firstLine="600"/>
        <w:rPr>
          <w:rFonts w:ascii="仿宋_GB2312" w:eastAsia="仿宋_GB2312"/>
          <w:color w:val="auto"/>
          <w:sz w:val="24"/>
        </w:rPr>
      </w:pPr>
      <w:r>
        <w:rPr>
          <w:rFonts w:hint="eastAsia" w:ascii="仿宋_GB2312" w:eastAsia="仿宋_GB2312"/>
          <w:color w:val="auto"/>
          <w:sz w:val="24"/>
        </w:rPr>
        <w:t>（四）发包人提供的现场条件</w:t>
      </w:r>
    </w:p>
    <w:p>
      <w:pPr>
        <w:ind w:firstLine="600"/>
        <w:rPr>
          <w:rFonts w:ascii="仿宋_GB2312" w:eastAsia="仿宋_GB2312"/>
          <w:color w:val="auto"/>
          <w:sz w:val="24"/>
        </w:rPr>
      </w:pPr>
      <w:r>
        <w:rPr>
          <w:rFonts w:hint="eastAsia" w:ascii="仿宋_GB2312" w:eastAsia="仿宋_GB2312"/>
          <w:color w:val="auto"/>
          <w:sz w:val="24"/>
        </w:rPr>
        <w:t>1. 施工用电。</w:t>
      </w:r>
    </w:p>
    <w:p>
      <w:pPr>
        <w:ind w:firstLine="600"/>
        <w:rPr>
          <w:rFonts w:ascii="仿宋_GB2312" w:eastAsia="仿宋_GB2312"/>
          <w:color w:val="auto"/>
          <w:sz w:val="24"/>
        </w:rPr>
      </w:pPr>
      <w:r>
        <w:rPr>
          <w:rFonts w:hint="eastAsia" w:ascii="仿宋_GB2312" w:eastAsia="仿宋_GB2312"/>
          <w:color w:val="auto"/>
          <w:sz w:val="24"/>
        </w:rPr>
        <w:t>2. 施工用水。</w:t>
      </w:r>
    </w:p>
    <w:p>
      <w:pPr>
        <w:ind w:firstLine="600"/>
        <w:rPr>
          <w:rFonts w:ascii="仿宋_GB2312" w:eastAsia="仿宋_GB2312"/>
          <w:color w:val="auto"/>
          <w:sz w:val="24"/>
        </w:rPr>
      </w:pPr>
      <w:r>
        <w:rPr>
          <w:rFonts w:hint="eastAsia" w:ascii="仿宋_GB2312" w:eastAsia="仿宋_GB2312"/>
          <w:color w:val="auto"/>
          <w:sz w:val="24"/>
        </w:rPr>
        <w:t>3. 施工排水。</w:t>
      </w:r>
    </w:p>
    <w:p>
      <w:pPr>
        <w:ind w:firstLine="600"/>
        <w:rPr>
          <w:rFonts w:ascii="仿宋_GB2312" w:eastAsia="仿宋_GB2312"/>
          <w:color w:val="auto"/>
          <w:sz w:val="24"/>
        </w:rPr>
      </w:pPr>
      <w:r>
        <w:rPr>
          <w:rFonts w:ascii="仿宋_GB2312" w:eastAsia="仿宋_GB2312"/>
          <w:color w:val="auto"/>
          <w:sz w:val="24"/>
        </w:rPr>
        <w:t>4.</w:t>
      </w:r>
      <w:r>
        <w:rPr>
          <w:rFonts w:hint="eastAsia"/>
          <w:color w:val="auto"/>
          <w:sz w:val="24"/>
        </w:rPr>
        <w:t xml:space="preserve"> </w:t>
      </w:r>
      <w:r>
        <w:rPr>
          <w:rFonts w:hint="eastAsia" w:ascii="仿宋_GB2312" w:eastAsia="仿宋_GB2312"/>
          <w:color w:val="auto"/>
          <w:sz w:val="24"/>
        </w:rPr>
        <w:t>施工道路。</w:t>
      </w:r>
    </w:p>
    <w:p>
      <w:pPr>
        <w:ind w:firstLine="600"/>
        <w:rPr>
          <w:rFonts w:ascii="仿宋_GB2312" w:eastAsia="仿宋_GB2312"/>
          <w:color w:val="auto"/>
          <w:sz w:val="24"/>
        </w:rPr>
      </w:pPr>
      <w:r>
        <w:rPr>
          <w:rFonts w:hint="eastAsia" w:ascii="仿宋_GB2312" w:eastAsia="仿宋_GB2312"/>
          <w:color w:val="auto"/>
          <w:sz w:val="24"/>
        </w:rPr>
        <w:t>（五）发包人提供的技术文件</w:t>
      </w:r>
    </w:p>
    <w:p>
      <w:pPr>
        <w:ind w:firstLine="600"/>
        <w:rPr>
          <w:rFonts w:ascii="仿宋_GB2312" w:eastAsia="仿宋_GB2312"/>
          <w:color w:val="auto"/>
          <w:sz w:val="24"/>
        </w:rPr>
      </w:pPr>
      <w:r>
        <w:rPr>
          <w:rFonts w:hint="eastAsia" w:ascii="仿宋_GB2312" w:eastAsia="仿宋_GB2312"/>
          <w:color w:val="auto"/>
          <w:sz w:val="24"/>
        </w:rPr>
        <w:t>除另有批准外，承包人的工作需要遵照发包人的下列技术文件:</w:t>
      </w:r>
    </w:p>
    <w:p>
      <w:pPr>
        <w:ind w:firstLine="600"/>
        <w:rPr>
          <w:rFonts w:ascii="仿宋_GB2312" w:eastAsia="仿宋_GB2312"/>
          <w:color w:val="auto"/>
          <w:sz w:val="24"/>
        </w:rPr>
      </w:pPr>
      <w:r>
        <w:rPr>
          <w:rFonts w:hint="eastAsia" w:ascii="仿宋_GB2312" w:eastAsia="仿宋_GB2312"/>
          <w:color w:val="auto"/>
          <w:sz w:val="24"/>
        </w:rPr>
        <w:t>1. 发包人需求任务书。</w:t>
      </w:r>
    </w:p>
    <w:p>
      <w:pPr>
        <w:ind w:firstLine="600"/>
        <w:rPr>
          <w:rFonts w:ascii="仿宋_GB2312" w:eastAsia="仿宋_GB2312"/>
          <w:color w:val="auto"/>
          <w:sz w:val="24"/>
        </w:rPr>
      </w:pPr>
      <w:r>
        <w:rPr>
          <w:rFonts w:hint="eastAsia" w:ascii="仿宋_GB2312" w:eastAsia="仿宋_GB2312"/>
          <w:color w:val="auto"/>
          <w:sz w:val="24"/>
        </w:rPr>
        <w:t>2. 发包人已完成的设计文件。</w:t>
      </w:r>
    </w:p>
    <w:p>
      <w:pPr>
        <w:ind w:firstLine="600"/>
        <w:rPr>
          <w:rFonts w:ascii="黑体" w:hAnsi="黑体" w:eastAsia="黑体"/>
          <w:color w:val="auto"/>
          <w:sz w:val="24"/>
        </w:rPr>
      </w:pPr>
      <w:r>
        <w:rPr>
          <w:rFonts w:hint="eastAsia" w:ascii="黑体" w:hAnsi="黑体" w:eastAsia="黑体"/>
          <w:color w:val="auto"/>
          <w:sz w:val="24"/>
        </w:rPr>
        <w:t>三、工艺安排或要求（如有）</w:t>
      </w:r>
    </w:p>
    <w:p>
      <w:pPr>
        <w:ind w:firstLine="600"/>
        <w:rPr>
          <w:rFonts w:ascii="黑体" w:hAnsi="黑体" w:eastAsia="黑体"/>
          <w:color w:val="auto"/>
          <w:sz w:val="24"/>
        </w:rPr>
      </w:pPr>
      <w:r>
        <w:rPr>
          <w:rFonts w:hint="eastAsia" w:ascii="黑体" w:hAnsi="黑体" w:eastAsia="黑体"/>
          <w:color w:val="auto"/>
          <w:sz w:val="24"/>
        </w:rPr>
        <w:t>四、时间要求</w:t>
      </w:r>
    </w:p>
    <w:p>
      <w:pPr>
        <w:ind w:firstLine="600"/>
        <w:rPr>
          <w:rFonts w:ascii="仿宋_GB2312" w:eastAsia="仿宋_GB2312"/>
          <w:color w:val="auto"/>
          <w:sz w:val="24"/>
        </w:rPr>
      </w:pPr>
      <w:r>
        <w:rPr>
          <w:rFonts w:hint="eastAsia" w:ascii="仿宋_GB2312" w:eastAsia="仿宋_GB2312"/>
          <w:color w:val="auto"/>
          <w:sz w:val="24"/>
        </w:rPr>
        <w:t>（一）开始工作时间。</w:t>
      </w:r>
    </w:p>
    <w:p>
      <w:pPr>
        <w:ind w:firstLine="600"/>
        <w:rPr>
          <w:rFonts w:ascii="仿宋_GB2312" w:eastAsia="仿宋_GB2312"/>
          <w:color w:val="auto"/>
          <w:sz w:val="24"/>
        </w:rPr>
      </w:pPr>
      <w:r>
        <w:rPr>
          <w:rFonts w:hint="eastAsia" w:ascii="仿宋_GB2312" w:eastAsia="仿宋_GB2312"/>
          <w:color w:val="auto"/>
          <w:sz w:val="24"/>
        </w:rPr>
        <w:t>（二）设计完成时间。</w:t>
      </w:r>
    </w:p>
    <w:p>
      <w:pPr>
        <w:ind w:firstLine="600"/>
        <w:rPr>
          <w:rFonts w:ascii="仿宋_GB2312" w:eastAsia="仿宋_GB2312"/>
          <w:color w:val="auto"/>
          <w:sz w:val="24"/>
        </w:rPr>
      </w:pPr>
      <w:r>
        <w:rPr>
          <w:rFonts w:hint="eastAsia" w:ascii="仿宋_GB2312" w:eastAsia="仿宋_GB2312"/>
          <w:color w:val="auto"/>
          <w:sz w:val="24"/>
        </w:rPr>
        <w:t>（三）进度计划。</w:t>
      </w:r>
    </w:p>
    <w:p>
      <w:pPr>
        <w:ind w:firstLine="600"/>
        <w:rPr>
          <w:rFonts w:ascii="仿宋_GB2312" w:eastAsia="仿宋_GB2312"/>
          <w:color w:val="auto"/>
          <w:sz w:val="24"/>
        </w:rPr>
      </w:pPr>
      <w:r>
        <w:rPr>
          <w:rFonts w:hint="eastAsia" w:ascii="仿宋_GB2312" w:eastAsia="仿宋_GB2312"/>
          <w:color w:val="auto"/>
          <w:sz w:val="24"/>
        </w:rPr>
        <w:t>（四）竣工时间。</w:t>
      </w:r>
    </w:p>
    <w:p>
      <w:pPr>
        <w:ind w:firstLine="600"/>
        <w:rPr>
          <w:rFonts w:ascii="仿宋_GB2312" w:eastAsia="仿宋_GB2312"/>
          <w:color w:val="auto"/>
          <w:sz w:val="24"/>
        </w:rPr>
      </w:pPr>
      <w:r>
        <w:rPr>
          <w:rFonts w:hint="eastAsia" w:ascii="仿宋_GB2312" w:eastAsia="仿宋_GB2312"/>
          <w:color w:val="auto"/>
          <w:sz w:val="24"/>
        </w:rPr>
        <w:t>（五）缺陷责任期。</w:t>
      </w:r>
    </w:p>
    <w:p>
      <w:pPr>
        <w:ind w:firstLine="600"/>
        <w:rPr>
          <w:rFonts w:ascii="仿宋_GB2312" w:eastAsia="仿宋_GB2312"/>
          <w:color w:val="auto"/>
          <w:sz w:val="24"/>
        </w:rPr>
      </w:pPr>
      <w:r>
        <w:rPr>
          <w:rFonts w:hint="eastAsia" w:ascii="仿宋_GB2312" w:eastAsia="仿宋_GB2312"/>
          <w:color w:val="auto"/>
          <w:sz w:val="24"/>
        </w:rPr>
        <w:t>（六）其他时间要求。</w:t>
      </w:r>
    </w:p>
    <w:p>
      <w:pPr>
        <w:ind w:firstLine="600"/>
        <w:rPr>
          <w:rFonts w:ascii="黑体" w:hAnsi="黑体" w:eastAsia="黑体"/>
          <w:color w:val="auto"/>
          <w:sz w:val="24"/>
        </w:rPr>
      </w:pPr>
      <w:r>
        <w:rPr>
          <w:rFonts w:hint="eastAsia" w:ascii="黑体" w:hAnsi="黑体" w:eastAsia="黑体"/>
          <w:color w:val="auto"/>
          <w:sz w:val="24"/>
        </w:rPr>
        <w:t>五、技术要求</w:t>
      </w:r>
    </w:p>
    <w:p>
      <w:pPr>
        <w:ind w:firstLine="600"/>
        <w:rPr>
          <w:rFonts w:ascii="仿宋_GB2312" w:eastAsia="仿宋_GB2312"/>
          <w:color w:val="auto"/>
          <w:sz w:val="24"/>
        </w:rPr>
      </w:pPr>
      <w:r>
        <w:rPr>
          <w:rFonts w:hint="eastAsia" w:ascii="仿宋_GB2312" w:eastAsia="仿宋_GB2312"/>
          <w:color w:val="auto"/>
          <w:sz w:val="24"/>
        </w:rPr>
        <w:t>（一）设计阶段和设计任务。</w:t>
      </w:r>
    </w:p>
    <w:p>
      <w:pPr>
        <w:ind w:firstLine="600"/>
        <w:rPr>
          <w:rFonts w:ascii="仿宋_GB2312" w:eastAsia="仿宋_GB2312"/>
          <w:color w:val="auto"/>
          <w:sz w:val="24"/>
        </w:rPr>
      </w:pPr>
      <w:r>
        <w:rPr>
          <w:rFonts w:hint="eastAsia" w:ascii="仿宋_GB2312" w:eastAsia="仿宋_GB2312"/>
          <w:color w:val="auto"/>
          <w:sz w:val="24"/>
        </w:rPr>
        <w:t>（二）设计标准和规范。</w:t>
      </w:r>
    </w:p>
    <w:p>
      <w:pPr>
        <w:ind w:firstLine="600"/>
        <w:rPr>
          <w:rFonts w:ascii="仿宋_GB2312" w:eastAsia="仿宋_GB2312"/>
          <w:color w:val="auto"/>
          <w:sz w:val="24"/>
        </w:rPr>
      </w:pPr>
      <w:r>
        <w:rPr>
          <w:rFonts w:hint="eastAsia" w:ascii="仿宋_GB2312" w:eastAsia="仿宋_GB2312"/>
          <w:color w:val="auto"/>
          <w:sz w:val="24"/>
        </w:rPr>
        <w:t>（三）技术标准和要求。</w:t>
      </w:r>
    </w:p>
    <w:p>
      <w:pPr>
        <w:ind w:firstLine="600"/>
        <w:rPr>
          <w:rFonts w:ascii="仿宋_GB2312" w:eastAsia="仿宋_GB2312"/>
          <w:color w:val="auto"/>
          <w:sz w:val="24"/>
        </w:rPr>
      </w:pPr>
      <w:r>
        <w:rPr>
          <w:rFonts w:hint="eastAsia" w:ascii="仿宋_GB2312" w:eastAsia="仿宋_GB2312"/>
          <w:color w:val="auto"/>
          <w:sz w:val="24"/>
        </w:rPr>
        <w:t>（四）质量标准。</w:t>
      </w:r>
    </w:p>
    <w:p>
      <w:pPr>
        <w:ind w:firstLine="600"/>
        <w:rPr>
          <w:rFonts w:ascii="仿宋_GB2312" w:eastAsia="仿宋_GB2312"/>
          <w:color w:val="auto"/>
          <w:sz w:val="24"/>
        </w:rPr>
      </w:pPr>
      <w:r>
        <w:rPr>
          <w:rFonts w:hint="eastAsia" w:ascii="仿宋_GB2312" w:eastAsia="仿宋_GB2312"/>
          <w:color w:val="auto"/>
          <w:sz w:val="24"/>
        </w:rPr>
        <w:t>（五）设计、施工和设备监造、试验（如有）。</w:t>
      </w:r>
    </w:p>
    <w:p>
      <w:pPr>
        <w:ind w:firstLine="600"/>
        <w:rPr>
          <w:rFonts w:ascii="仿宋_GB2312" w:eastAsia="仿宋_GB2312"/>
          <w:color w:val="auto"/>
          <w:sz w:val="24"/>
        </w:rPr>
      </w:pPr>
      <w:r>
        <w:rPr>
          <w:rFonts w:hint="eastAsia" w:ascii="仿宋_GB2312" w:eastAsia="仿宋_GB2312"/>
          <w:color w:val="auto"/>
          <w:sz w:val="24"/>
        </w:rPr>
        <w:t>（六）样品。</w:t>
      </w:r>
    </w:p>
    <w:p>
      <w:pPr>
        <w:ind w:firstLine="600"/>
        <w:rPr>
          <w:rFonts w:ascii="仿宋_GB2312" w:eastAsia="仿宋_GB2312"/>
          <w:color w:val="auto"/>
          <w:sz w:val="24"/>
        </w:rPr>
      </w:pPr>
      <w:r>
        <w:rPr>
          <w:rFonts w:hint="eastAsia" w:ascii="仿宋_GB2312" w:eastAsia="仿宋_GB2312"/>
          <w:color w:val="auto"/>
          <w:sz w:val="24"/>
        </w:rPr>
        <w:t>（七）发包人提供的其他条件，如发包人或其委托的第三人提供的设计、工艺包、用于试验检验的工器具等，以及据此对承包人提出的予以配套的要求。</w:t>
      </w:r>
    </w:p>
    <w:p>
      <w:pPr>
        <w:ind w:firstLine="600"/>
        <w:rPr>
          <w:rFonts w:ascii="黑体" w:hAnsi="黑体" w:eastAsia="黑体"/>
          <w:color w:val="auto"/>
          <w:sz w:val="24"/>
        </w:rPr>
      </w:pPr>
      <w:r>
        <w:rPr>
          <w:rFonts w:hint="eastAsia" w:ascii="黑体" w:hAnsi="黑体" w:eastAsia="黑体"/>
          <w:color w:val="auto"/>
          <w:sz w:val="24"/>
        </w:rPr>
        <w:t>六、竣工试验</w:t>
      </w:r>
    </w:p>
    <w:p>
      <w:pPr>
        <w:ind w:firstLine="600"/>
        <w:rPr>
          <w:rFonts w:ascii="仿宋_GB2312" w:eastAsia="仿宋_GB2312"/>
          <w:color w:val="auto"/>
          <w:sz w:val="24"/>
        </w:rPr>
      </w:pPr>
      <w:r>
        <w:rPr>
          <w:rFonts w:hint="eastAsia" w:ascii="仿宋_GB2312" w:eastAsia="仿宋_GB2312"/>
          <w:color w:val="auto"/>
          <w:sz w:val="24"/>
        </w:rPr>
        <w:t>（一）第一阶段，如对单车试验等的要求，包括试验前准备。</w:t>
      </w:r>
    </w:p>
    <w:p>
      <w:pPr>
        <w:ind w:firstLine="600"/>
        <w:rPr>
          <w:rFonts w:ascii="仿宋_GB2312" w:eastAsia="仿宋_GB2312"/>
          <w:color w:val="auto"/>
          <w:sz w:val="24"/>
        </w:rPr>
      </w:pPr>
      <w:r>
        <w:rPr>
          <w:rFonts w:hint="eastAsia" w:ascii="仿宋_GB2312" w:eastAsia="仿宋_GB2312"/>
          <w:color w:val="auto"/>
          <w:sz w:val="24"/>
        </w:rPr>
        <w:t>（二）第二阶段，如对联动试车、投料试车等的要求，包括人员、设备、材料、燃料、电力、消耗品、工具等必要条件。</w:t>
      </w:r>
    </w:p>
    <w:p>
      <w:pPr>
        <w:ind w:firstLine="600"/>
        <w:rPr>
          <w:rFonts w:ascii="仿宋_GB2312" w:eastAsia="仿宋_GB2312"/>
          <w:color w:val="auto"/>
          <w:sz w:val="24"/>
        </w:rPr>
      </w:pPr>
      <w:r>
        <w:rPr>
          <w:rFonts w:hint="eastAsia" w:ascii="仿宋_GB2312" w:eastAsia="仿宋_GB2312"/>
          <w:color w:val="auto"/>
          <w:sz w:val="24"/>
        </w:rPr>
        <w:t>（三）第三阶段，如对性能测试及其他竣工试验的要求，包括产能指标、产品质量标准、运营指标、环保指标等。</w:t>
      </w:r>
    </w:p>
    <w:p>
      <w:pPr>
        <w:ind w:firstLine="600"/>
        <w:rPr>
          <w:rFonts w:ascii="黑体" w:hAnsi="黑体" w:eastAsia="黑体"/>
          <w:color w:val="auto"/>
          <w:sz w:val="24"/>
        </w:rPr>
      </w:pPr>
      <w:r>
        <w:rPr>
          <w:rFonts w:hint="eastAsia" w:ascii="黑体" w:hAnsi="黑体" w:eastAsia="黑体"/>
          <w:color w:val="auto"/>
          <w:sz w:val="24"/>
        </w:rPr>
        <w:t>七、竣工验收</w:t>
      </w:r>
    </w:p>
    <w:p>
      <w:pPr>
        <w:ind w:firstLine="600"/>
        <w:rPr>
          <w:rFonts w:ascii="黑体" w:hAnsi="黑体" w:eastAsia="黑体"/>
          <w:color w:val="auto"/>
          <w:sz w:val="24"/>
        </w:rPr>
      </w:pPr>
      <w:r>
        <w:rPr>
          <w:rFonts w:hint="eastAsia" w:ascii="黑体" w:hAnsi="黑体" w:eastAsia="黑体"/>
          <w:color w:val="auto"/>
          <w:sz w:val="24"/>
        </w:rPr>
        <w:t>八、竣工后试验（如有）</w:t>
      </w:r>
    </w:p>
    <w:p>
      <w:pPr>
        <w:ind w:firstLine="600"/>
        <w:rPr>
          <w:rFonts w:ascii="黑体" w:hAnsi="黑体" w:eastAsia="黑体"/>
          <w:color w:val="auto"/>
          <w:sz w:val="24"/>
        </w:rPr>
      </w:pPr>
      <w:r>
        <w:rPr>
          <w:rFonts w:hint="eastAsia" w:ascii="黑体" w:hAnsi="黑体" w:eastAsia="黑体"/>
          <w:color w:val="auto"/>
          <w:sz w:val="24"/>
        </w:rPr>
        <w:t>九、文件要求</w:t>
      </w:r>
    </w:p>
    <w:p>
      <w:pPr>
        <w:ind w:firstLine="600"/>
        <w:rPr>
          <w:rFonts w:ascii="仿宋_GB2312" w:eastAsia="仿宋_GB2312"/>
          <w:color w:val="auto"/>
          <w:sz w:val="24"/>
        </w:rPr>
      </w:pPr>
      <w:r>
        <w:rPr>
          <w:rFonts w:hint="eastAsia" w:ascii="仿宋_GB2312" w:eastAsia="仿宋_GB2312"/>
          <w:color w:val="auto"/>
          <w:sz w:val="24"/>
        </w:rPr>
        <w:t>（一）设计文件，及其相关审批、核准、备案要求。</w:t>
      </w:r>
    </w:p>
    <w:p>
      <w:pPr>
        <w:ind w:firstLine="600"/>
        <w:rPr>
          <w:rFonts w:ascii="仿宋_GB2312" w:eastAsia="仿宋_GB2312"/>
          <w:color w:val="auto"/>
          <w:sz w:val="24"/>
        </w:rPr>
      </w:pPr>
      <w:r>
        <w:rPr>
          <w:rFonts w:hint="eastAsia" w:ascii="仿宋_GB2312" w:eastAsia="仿宋_GB2312"/>
          <w:color w:val="auto"/>
          <w:sz w:val="24"/>
        </w:rPr>
        <w:t>（二）沟通计划。</w:t>
      </w:r>
    </w:p>
    <w:p>
      <w:pPr>
        <w:ind w:firstLine="600"/>
        <w:rPr>
          <w:rFonts w:ascii="仿宋_GB2312" w:eastAsia="仿宋_GB2312"/>
          <w:color w:val="auto"/>
          <w:sz w:val="24"/>
        </w:rPr>
      </w:pPr>
      <w:r>
        <w:rPr>
          <w:rFonts w:hint="eastAsia" w:ascii="仿宋_GB2312" w:eastAsia="仿宋_GB2312"/>
          <w:color w:val="auto"/>
          <w:sz w:val="24"/>
        </w:rPr>
        <w:t>（三）风险管理计划。</w:t>
      </w:r>
    </w:p>
    <w:p>
      <w:pPr>
        <w:ind w:firstLine="600"/>
        <w:rPr>
          <w:rFonts w:ascii="仿宋_GB2312" w:eastAsia="仿宋_GB2312"/>
          <w:color w:val="auto"/>
          <w:sz w:val="24"/>
        </w:rPr>
      </w:pPr>
      <w:r>
        <w:rPr>
          <w:rFonts w:hint="eastAsia" w:ascii="仿宋_GB2312" w:eastAsia="仿宋_GB2312"/>
          <w:color w:val="auto"/>
          <w:sz w:val="24"/>
        </w:rPr>
        <w:t>（四）竣工文件和工程的其他记录。</w:t>
      </w:r>
    </w:p>
    <w:p>
      <w:pPr>
        <w:ind w:firstLine="600"/>
        <w:rPr>
          <w:rFonts w:ascii="仿宋_GB2312" w:eastAsia="仿宋_GB2312"/>
          <w:color w:val="auto"/>
          <w:sz w:val="24"/>
        </w:rPr>
      </w:pPr>
      <w:r>
        <w:rPr>
          <w:rFonts w:hint="eastAsia" w:ascii="仿宋_GB2312" w:eastAsia="仿宋_GB2312"/>
          <w:color w:val="auto"/>
          <w:sz w:val="24"/>
        </w:rPr>
        <w:t>（五）操作和维修手册。</w:t>
      </w:r>
    </w:p>
    <w:p>
      <w:pPr>
        <w:ind w:firstLine="600"/>
        <w:rPr>
          <w:rFonts w:ascii="仿宋_GB2312" w:eastAsia="仿宋_GB2312"/>
          <w:color w:val="auto"/>
          <w:sz w:val="24"/>
        </w:rPr>
      </w:pPr>
      <w:r>
        <w:rPr>
          <w:rFonts w:hint="eastAsia" w:ascii="仿宋_GB2312" w:eastAsia="仿宋_GB2312"/>
          <w:color w:val="auto"/>
          <w:sz w:val="24"/>
        </w:rPr>
        <w:t>（六）其他承包人文件。</w:t>
      </w:r>
    </w:p>
    <w:p>
      <w:pPr>
        <w:ind w:firstLine="600"/>
        <w:rPr>
          <w:rFonts w:ascii="黑体" w:hAnsi="黑体" w:eastAsia="黑体"/>
          <w:color w:val="auto"/>
          <w:sz w:val="24"/>
        </w:rPr>
      </w:pPr>
      <w:r>
        <w:rPr>
          <w:rFonts w:hint="eastAsia" w:ascii="黑体" w:hAnsi="黑体" w:eastAsia="黑体"/>
          <w:color w:val="auto"/>
          <w:sz w:val="24"/>
        </w:rPr>
        <w:t>十、工程项目管理规定</w:t>
      </w:r>
    </w:p>
    <w:p>
      <w:pPr>
        <w:ind w:firstLine="600"/>
        <w:rPr>
          <w:rFonts w:ascii="仿宋_GB2312" w:eastAsia="仿宋_GB2312"/>
          <w:color w:val="auto"/>
          <w:sz w:val="24"/>
        </w:rPr>
      </w:pPr>
      <w:r>
        <w:rPr>
          <w:rFonts w:hint="eastAsia" w:ascii="仿宋_GB2312" w:eastAsia="仿宋_GB2312"/>
          <w:color w:val="auto"/>
          <w:sz w:val="24"/>
        </w:rPr>
        <w:t>（一）质量。</w:t>
      </w:r>
    </w:p>
    <w:p>
      <w:pPr>
        <w:ind w:firstLine="600"/>
        <w:rPr>
          <w:rFonts w:ascii="仿宋_GB2312" w:eastAsia="仿宋_GB2312"/>
          <w:color w:val="auto"/>
          <w:sz w:val="24"/>
        </w:rPr>
      </w:pPr>
      <w:r>
        <w:rPr>
          <w:rFonts w:hint="eastAsia" w:ascii="仿宋_GB2312" w:eastAsia="仿宋_GB2312"/>
          <w:color w:val="auto"/>
          <w:sz w:val="24"/>
        </w:rPr>
        <w:t>（二）进度，包括里程碑进度计划（如果有）。</w:t>
      </w:r>
    </w:p>
    <w:p>
      <w:pPr>
        <w:ind w:firstLine="600"/>
        <w:rPr>
          <w:rFonts w:ascii="仿宋_GB2312" w:eastAsia="仿宋_GB2312"/>
          <w:color w:val="auto"/>
          <w:sz w:val="24"/>
        </w:rPr>
      </w:pPr>
      <w:r>
        <w:rPr>
          <w:rFonts w:hint="eastAsia" w:ascii="仿宋_GB2312" w:eastAsia="仿宋_GB2312"/>
          <w:color w:val="auto"/>
          <w:sz w:val="24"/>
        </w:rPr>
        <w:t>（三）支付。</w:t>
      </w:r>
    </w:p>
    <w:p>
      <w:pPr>
        <w:ind w:firstLine="600"/>
        <w:rPr>
          <w:rFonts w:ascii="仿宋_GB2312" w:eastAsia="仿宋_GB2312"/>
          <w:color w:val="auto"/>
          <w:sz w:val="24"/>
        </w:rPr>
      </w:pPr>
      <w:r>
        <w:rPr>
          <w:rFonts w:hint="eastAsia" w:ascii="仿宋_GB2312" w:eastAsia="仿宋_GB2312"/>
          <w:color w:val="auto"/>
          <w:sz w:val="24"/>
        </w:rPr>
        <w:t>（四）HSE（健康、安全与环境管理体系）。</w:t>
      </w:r>
    </w:p>
    <w:p>
      <w:pPr>
        <w:ind w:firstLine="600"/>
        <w:rPr>
          <w:rFonts w:ascii="仿宋_GB2312" w:eastAsia="仿宋_GB2312"/>
          <w:color w:val="auto"/>
          <w:sz w:val="24"/>
        </w:rPr>
      </w:pPr>
      <w:r>
        <w:rPr>
          <w:rFonts w:hint="eastAsia" w:ascii="仿宋_GB2312" w:eastAsia="仿宋_GB2312"/>
          <w:color w:val="auto"/>
          <w:sz w:val="24"/>
        </w:rPr>
        <w:t>（五）沟通。</w:t>
      </w:r>
    </w:p>
    <w:p>
      <w:pPr>
        <w:ind w:firstLine="600"/>
        <w:rPr>
          <w:rFonts w:ascii="仿宋_GB2312" w:eastAsia="仿宋_GB2312"/>
          <w:color w:val="auto"/>
          <w:sz w:val="24"/>
        </w:rPr>
      </w:pPr>
      <w:r>
        <w:rPr>
          <w:rFonts w:hint="eastAsia" w:ascii="仿宋_GB2312" w:eastAsia="仿宋_GB2312"/>
          <w:color w:val="auto"/>
          <w:sz w:val="24"/>
        </w:rPr>
        <w:t>（六）变更。</w:t>
      </w:r>
    </w:p>
    <w:p>
      <w:pPr>
        <w:ind w:firstLine="600"/>
        <w:rPr>
          <w:rFonts w:ascii="黑体" w:hAnsi="黑体" w:eastAsia="黑体"/>
          <w:color w:val="auto"/>
          <w:sz w:val="24"/>
        </w:rPr>
      </w:pPr>
      <w:r>
        <w:rPr>
          <w:rFonts w:hint="eastAsia" w:ascii="黑体" w:hAnsi="黑体" w:eastAsia="黑体"/>
          <w:color w:val="auto"/>
          <w:sz w:val="24"/>
        </w:rPr>
        <w:t>十一、其他要求</w:t>
      </w:r>
    </w:p>
    <w:p>
      <w:pPr>
        <w:ind w:firstLine="600"/>
        <w:rPr>
          <w:rFonts w:ascii="仿宋_GB2312" w:eastAsia="仿宋_GB2312"/>
          <w:color w:val="auto"/>
          <w:sz w:val="24"/>
        </w:rPr>
      </w:pPr>
      <w:r>
        <w:rPr>
          <w:rFonts w:hint="eastAsia" w:ascii="仿宋_GB2312" w:eastAsia="仿宋_GB2312"/>
          <w:color w:val="auto"/>
          <w:sz w:val="24"/>
        </w:rPr>
        <w:t>（一）对承包人的主要人员资格要求。</w:t>
      </w:r>
    </w:p>
    <w:p>
      <w:pPr>
        <w:ind w:firstLine="600"/>
        <w:rPr>
          <w:rFonts w:ascii="仿宋_GB2312" w:eastAsia="仿宋_GB2312"/>
          <w:color w:val="auto"/>
          <w:sz w:val="24"/>
        </w:rPr>
      </w:pPr>
      <w:r>
        <w:rPr>
          <w:rFonts w:hint="eastAsia" w:ascii="仿宋_GB2312" w:eastAsia="仿宋_GB2312"/>
          <w:color w:val="auto"/>
          <w:sz w:val="24"/>
        </w:rPr>
        <w:t>（二）相关审批、核准和备案手续的办理。</w:t>
      </w:r>
    </w:p>
    <w:p>
      <w:pPr>
        <w:ind w:firstLine="600"/>
        <w:rPr>
          <w:rFonts w:ascii="仿宋_GB2312" w:eastAsia="仿宋_GB2312"/>
          <w:color w:val="auto"/>
          <w:sz w:val="24"/>
        </w:rPr>
      </w:pPr>
      <w:r>
        <w:rPr>
          <w:rFonts w:hint="eastAsia" w:ascii="仿宋_GB2312" w:eastAsia="仿宋_GB2312"/>
          <w:color w:val="auto"/>
          <w:sz w:val="24"/>
        </w:rPr>
        <w:t>（三）对项目业主人员的操作培训。</w:t>
      </w:r>
    </w:p>
    <w:p>
      <w:pPr>
        <w:ind w:firstLine="600"/>
        <w:rPr>
          <w:rFonts w:ascii="仿宋_GB2312" w:eastAsia="仿宋_GB2312"/>
          <w:color w:val="auto"/>
          <w:sz w:val="24"/>
        </w:rPr>
      </w:pPr>
      <w:r>
        <w:rPr>
          <w:rFonts w:hint="eastAsia" w:ascii="仿宋_GB2312" w:eastAsia="仿宋_GB2312"/>
          <w:color w:val="auto"/>
          <w:sz w:val="24"/>
        </w:rPr>
        <w:t>（四）分包。</w:t>
      </w:r>
    </w:p>
    <w:p>
      <w:pPr>
        <w:ind w:firstLine="600"/>
        <w:rPr>
          <w:rFonts w:ascii="仿宋_GB2312" w:eastAsia="仿宋_GB2312"/>
          <w:color w:val="auto"/>
          <w:sz w:val="24"/>
        </w:rPr>
      </w:pPr>
      <w:r>
        <w:rPr>
          <w:rFonts w:hint="eastAsia" w:ascii="仿宋_GB2312" w:eastAsia="仿宋_GB2312"/>
          <w:color w:val="auto"/>
          <w:sz w:val="24"/>
        </w:rPr>
        <w:t>（五）设备供应商。</w:t>
      </w:r>
    </w:p>
    <w:p>
      <w:pPr>
        <w:ind w:left="600"/>
        <w:rPr>
          <w:rFonts w:ascii="仿宋_GB2312" w:eastAsia="仿宋_GB2312"/>
          <w:color w:val="auto"/>
          <w:sz w:val="24"/>
        </w:rPr>
      </w:pPr>
      <w:r>
        <w:rPr>
          <w:rFonts w:hint="eastAsia" w:ascii="仿宋_GB2312" w:eastAsia="仿宋_GB2312"/>
          <w:color w:val="auto"/>
          <w:sz w:val="24"/>
        </w:rPr>
        <w:t>（六）缺陷责任期的服务要求。</w:t>
      </w:r>
    </w:p>
    <w:p>
      <w:pPr>
        <w:jc w:val="left"/>
        <w:rPr>
          <w:color w:val="auto"/>
        </w:rPr>
      </w:pPr>
    </w:p>
    <w:p>
      <w:pPr>
        <w:jc w:val="left"/>
        <w:rPr>
          <w:rFonts w:hint="eastAsia"/>
          <w:color w:val="auto"/>
        </w:rPr>
      </w:pPr>
    </w:p>
    <w:p>
      <w:pPr>
        <w:pStyle w:val="17"/>
        <w:rPr>
          <w:rFonts w:hint="eastAsia"/>
          <w:color w:val="auto"/>
        </w:rPr>
      </w:pPr>
    </w:p>
    <w:p>
      <w:pPr>
        <w:pStyle w:val="17"/>
        <w:rPr>
          <w:rFonts w:hint="eastAsia"/>
          <w:color w:val="auto"/>
        </w:rPr>
      </w:pPr>
    </w:p>
    <w:p>
      <w:pPr>
        <w:pStyle w:val="17"/>
        <w:rPr>
          <w:rFonts w:hint="eastAsia"/>
          <w:color w:val="auto"/>
        </w:rPr>
      </w:pPr>
    </w:p>
    <w:p>
      <w:pPr>
        <w:pStyle w:val="17"/>
        <w:rPr>
          <w:color w:val="auto"/>
        </w:rPr>
      </w:pPr>
    </w:p>
    <w:p>
      <w:pPr>
        <w:pStyle w:val="303"/>
        <w:numPr>
          <w:ilvl w:val="0"/>
          <w:numId w:val="0"/>
        </w:numPr>
        <w:rPr>
          <w:color w:val="auto"/>
        </w:rPr>
      </w:pPr>
      <w:bookmarkStart w:id="1166" w:name="_Toc20171894"/>
      <w:bookmarkStart w:id="1167" w:name="_Toc54862353"/>
      <w:r>
        <w:rPr>
          <w:rFonts w:hint="eastAsia"/>
          <w:color w:val="auto"/>
        </w:rPr>
        <w:t>附件2</w:t>
      </w:r>
      <w:r>
        <w:rPr>
          <w:color w:val="auto"/>
        </w:rPr>
        <w:t xml:space="preserve"> 发包人供应材料设备一览表</w:t>
      </w:r>
      <w:bookmarkEnd w:id="1166"/>
      <w:bookmarkEnd w:id="1167"/>
    </w:p>
    <w:tbl>
      <w:tblPr>
        <w:tblStyle w:val="67"/>
        <w:tblW w:w="919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52"/>
        <w:gridCol w:w="1165"/>
        <w:gridCol w:w="1126"/>
        <w:gridCol w:w="567"/>
        <w:gridCol w:w="686"/>
        <w:gridCol w:w="992"/>
        <w:gridCol w:w="1134"/>
        <w:gridCol w:w="1134"/>
        <w:gridCol w:w="1134"/>
        <w:gridCol w:w="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552" w:type="dxa"/>
            <w:tcBorders>
              <w:top w:val="single" w:color="auto" w:sz="12" w:space="0"/>
              <w:bottom w:val="double" w:color="auto" w:sz="6" w:space="0"/>
            </w:tcBorders>
            <w:vAlign w:val="center"/>
          </w:tcPr>
          <w:p>
            <w:pPr>
              <w:pStyle w:val="2"/>
              <w:spacing w:after="0"/>
              <w:jc w:val="center"/>
              <w:rPr>
                <w:rFonts w:ascii="仿宋_GB2312" w:eastAsia="仿宋_GB2312"/>
                <w:color w:val="auto"/>
              </w:rPr>
            </w:pPr>
            <w:r>
              <w:rPr>
                <w:rFonts w:hint="eastAsia" w:ascii="仿宋_GB2312" w:eastAsia="仿宋_GB2312"/>
                <w:color w:val="auto"/>
              </w:rPr>
              <w:t>序号</w:t>
            </w:r>
          </w:p>
        </w:tc>
        <w:tc>
          <w:tcPr>
            <w:tcW w:w="1165" w:type="dxa"/>
            <w:tcBorders>
              <w:top w:val="single" w:color="auto" w:sz="12" w:space="0"/>
              <w:bottom w:val="double" w:color="auto" w:sz="6" w:space="0"/>
            </w:tcBorders>
            <w:vAlign w:val="center"/>
          </w:tcPr>
          <w:p>
            <w:pPr>
              <w:pStyle w:val="2"/>
              <w:spacing w:after="0"/>
              <w:jc w:val="center"/>
              <w:rPr>
                <w:rFonts w:ascii="仿宋_GB2312" w:eastAsia="仿宋_GB2312"/>
                <w:color w:val="auto"/>
              </w:rPr>
            </w:pPr>
            <w:r>
              <w:rPr>
                <w:rFonts w:hint="eastAsia" w:ascii="仿宋_GB2312" w:eastAsia="仿宋_GB2312"/>
                <w:color w:val="auto"/>
              </w:rPr>
              <w:t>材料、设备品种</w:t>
            </w:r>
          </w:p>
        </w:tc>
        <w:tc>
          <w:tcPr>
            <w:tcW w:w="1126" w:type="dxa"/>
            <w:tcBorders>
              <w:top w:val="single" w:color="auto" w:sz="12" w:space="0"/>
              <w:bottom w:val="double" w:color="auto" w:sz="6" w:space="0"/>
            </w:tcBorders>
            <w:vAlign w:val="center"/>
          </w:tcPr>
          <w:p>
            <w:pPr>
              <w:pStyle w:val="2"/>
              <w:spacing w:after="0"/>
              <w:jc w:val="center"/>
              <w:rPr>
                <w:rFonts w:ascii="仿宋_GB2312" w:eastAsia="仿宋_GB2312"/>
                <w:color w:val="auto"/>
              </w:rPr>
            </w:pPr>
            <w:r>
              <w:rPr>
                <w:rFonts w:hint="eastAsia" w:ascii="仿宋_GB2312" w:eastAsia="仿宋_GB2312"/>
                <w:color w:val="auto"/>
              </w:rPr>
              <w:t>规格型号</w:t>
            </w:r>
          </w:p>
        </w:tc>
        <w:tc>
          <w:tcPr>
            <w:tcW w:w="567" w:type="dxa"/>
            <w:tcBorders>
              <w:top w:val="single" w:color="auto" w:sz="12" w:space="0"/>
              <w:bottom w:val="double" w:color="auto" w:sz="6" w:space="0"/>
            </w:tcBorders>
            <w:vAlign w:val="center"/>
          </w:tcPr>
          <w:p>
            <w:pPr>
              <w:pStyle w:val="2"/>
              <w:spacing w:after="0"/>
              <w:jc w:val="center"/>
              <w:rPr>
                <w:rFonts w:ascii="仿宋_GB2312" w:eastAsia="仿宋_GB2312"/>
                <w:color w:val="auto"/>
              </w:rPr>
            </w:pPr>
            <w:r>
              <w:rPr>
                <w:rFonts w:hint="eastAsia" w:ascii="仿宋_GB2312" w:eastAsia="仿宋_GB2312"/>
                <w:color w:val="auto"/>
              </w:rPr>
              <w:t>单位</w:t>
            </w:r>
          </w:p>
        </w:tc>
        <w:tc>
          <w:tcPr>
            <w:tcW w:w="686" w:type="dxa"/>
            <w:tcBorders>
              <w:top w:val="single" w:color="auto" w:sz="12" w:space="0"/>
              <w:bottom w:val="double" w:color="auto" w:sz="6" w:space="0"/>
            </w:tcBorders>
            <w:vAlign w:val="center"/>
          </w:tcPr>
          <w:p>
            <w:pPr>
              <w:pStyle w:val="2"/>
              <w:spacing w:after="0"/>
              <w:jc w:val="center"/>
              <w:rPr>
                <w:rFonts w:ascii="仿宋_GB2312" w:eastAsia="仿宋_GB2312"/>
                <w:color w:val="auto"/>
              </w:rPr>
            </w:pPr>
            <w:r>
              <w:rPr>
                <w:rFonts w:hint="eastAsia" w:ascii="仿宋_GB2312" w:eastAsia="仿宋_GB2312"/>
                <w:color w:val="auto"/>
              </w:rPr>
              <w:t>数量</w:t>
            </w:r>
          </w:p>
        </w:tc>
        <w:tc>
          <w:tcPr>
            <w:tcW w:w="992" w:type="dxa"/>
            <w:tcBorders>
              <w:top w:val="single" w:color="auto" w:sz="12" w:space="0"/>
              <w:bottom w:val="double" w:color="auto" w:sz="6" w:space="0"/>
            </w:tcBorders>
            <w:vAlign w:val="center"/>
          </w:tcPr>
          <w:p>
            <w:pPr>
              <w:pStyle w:val="2"/>
              <w:spacing w:after="0"/>
              <w:jc w:val="center"/>
              <w:rPr>
                <w:rFonts w:ascii="仿宋_GB2312" w:eastAsia="仿宋_GB2312"/>
                <w:color w:val="auto"/>
              </w:rPr>
            </w:pPr>
            <w:r>
              <w:rPr>
                <w:rFonts w:hint="eastAsia" w:ascii="仿宋_GB2312" w:eastAsia="仿宋_GB2312"/>
                <w:color w:val="auto"/>
              </w:rPr>
              <w:t>单价（元）</w:t>
            </w:r>
          </w:p>
        </w:tc>
        <w:tc>
          <w:tcPr>
            <w:tcW w:w="1134" w:type="dxa"/>
            <w:tcBorders>
              <w:top w:val="single" w:color="auto" w:sz="12" w:space="0"/>
              <w:bottom w:val="double" w:color="auto" w:sz="6" w:space="0"/>
            </w:tcBorders>
            <w:vAlign w:val="center"/>
          </w:tcPr>
          <w:p>
            <w:pPr>
              <w:pStyle w:val="2"/>
              <w:spacing w:after="0"/>
              <w:jc w:val="center"/>
              <w:rPr>
                <w:rFonts w:ascii="仿宋_GB2312" w:eastAsia="仿宋_GB2312"/>
                <w:color w:val="auto"/>
              </w:rPr>
            </w:pPr>
            <w:r>
              <w:rPr>
                <w:rFonts w:hint="eastAsia" w:ascii="仿宋_GB2312" w:eastAsia="仿宋_GB2312"/>
                <w:color w:val="auto"/>
              </w:rPr>
              <w:t>质量等级</w:t>
            </w:r>
          </w:p>
        </w:tc>
        <w:tc>
          <w:tcPr>
            <w:tcW w:w="1134" w:type="dxa"/>
            <w:tcBorders>
              <w:top w:val="single" w:color="auto" w:sz="12" w:space="0"/>
              <w:bottom w:val="double" w:color="auto" w:sz="6" w:space="0"/>
            </w:tcBorders>
            <w:vAlign w:val="center"/>
          </w:tcPr>
          <w:p>
            <w:pPr>
              <w:pStyle w:val="2"/>
              <w:spacing w:after="0"/>
              <w:jc w:val="center"/>
              <w:rPr>
                <w:rFonts w:ascii="仿宋_GB2312" w:eastAsia="仿宋_GB2312"/>
                <w:color w:val="auto"/>
              </w:rPr>
            </w:pPr>
            <w:r>
              <w:rPr>
                <w:rFonts w:hint="eastAsia" w:ascii="仿宋_GB2312" w:eastAsia="仿宋_GB2312"/>
                <w:color w:val="auto"/>
              </w:rPr>
              <w:t>供应时间</w:t>
            </w:r>
          </w:p>
        </w:tc>
        <w:tc>
          <w:tcPr>
            <w:tcW w:w="1134" w:type="dxa"/>
            <w:tcBorders>
              <w:top w:val="single" w:color="auto" w:sz="12" w:space="0"/>
              <w:bottom w:val="double" w:color="auto" w:sz="6" w:space="0"/>
            </w:tcBorders>
            <w:vAlign w:val="center"/>
          </w:tcPr>
          <w:p>
            <w:pPr>
              <w:pStyle w:val="2"/>
              <w:spacing w:after="0"/>
              <w:jc w:val="center"/>
              <w:rPr>
                <w:rFonts w:ascii="仿宋_GB2312" w:eastAsia="仿宋_GB2312"/>
                <w:color w:val="auto"/>
              </w:rPr>
            </w:pPr>
            <w:r>
              <w:rPr>
                <w:rFonts w:hint="eastAsia" w:ascii="仿宋_GB2312" w:eastAsia="仿宋_GB2312"/>
                <w:color w:val="auto"/>
              </w:rPr>
              <w:t>送达地点</w:t>
            </w:r>
          </w:p>
        </w:tc>
        <w:tc>
          <w:tcPr>
            <w:tcW w:w="709" w:type="dxa"/>
            <w:tcBorders>
              <w:top w:val="single" w:color="auto" w:sz="12" w:space="0"/>
              <w:bottom w:val="double" w:color="auto" w:sz="6" w:space="0"/>
            </w:tcBorders>
            <w:vAlign w:val="center"/>
          </w:tcPr>
          <w:p>
            <w:pPr>
              <w:pStyle w:val="2"/>
              <w:spacing w:after="0"/>
              <w:jc w:val="center"/>
              <w:rPr>
                <w:rFonts w:ascii="仿宋_GB2312" w:eastAsia="仿宋_GB2312"/>
                <w:color w:val="auto"/>
              </w:rPr>
            </w:pPr>
            <w:r>
              <w:rPr>
                <w:rFonts w:hint="eastAsia" w:ascii="仿宋_GB2312" w:eastAsia="仿宋_GB2312"/>
                <w:color w:val="auto"/>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tcBorders>
              <w:top w:val="double" w:color="auto" w:sz="6" w:space="0"/>
              <w:bottom w:val="single" w:color="auto" w:sz="6" w:space="0"/>
            </w:tcBorders>
            <w:vAlign w:val="center"/>
          </w:tcPr>
          <w:p>
            <w:pPr>
              <w:pStyle w:val="2"/>
              <w:rPr>
                <w:rFonts w:ascii="仿宋_GB2312" w:eastAsia="仿宋_GB2312"/>
                <w:color w:val="auto"/>
              </w:rPr>
            </w:pPr>
          </w:p>
        </w:tc>
        <w:tc>
          <w:tcPr>
            <w:tcW w:w="1165" w:type="dxa"/>
            <w:tcBorders>
              <w:top w:val="double" w:color="auto" w:sz="6" w:space="0"/>
              <w:bottom w:val="single" w:color="auto" w:sz="6" w:space="0"/>
            </w:tcBorders>
            <w:vAlign w:val="center"/>
          </w:tcPr>
          <w:p>
            <w:pPr>
              <w:pStyle w:val="2"/>
              <w:rPr>
                <w:rFonts w:ascii="仿宋_GB2312" w:eastAsia="仿宋_GB2312"/>
                <w:color w:val="auto"/>
              </w:rPr>
            </w:pPr>
          </w:p>
        </w:tc>
        <w:tc>
          <w:tcPr>
            <w:tcW w:w="1126" w:type="dxa"/>
            <w:tcBorders>
              <w:top w:val="double" w:color="auto" w:sz="6" w:space="0"/>
              <w:bottom w:val="single" w:color="auto" w:sz="6" w:space="0"/>
            </w:tcBorders>
            <w:vAlign w:val="center"/>
          </w:tcPr>
          <w:p>
            <w:pPr>
              <w:pStyle w:val="2"/>
              <w:rPr>
                <w:rFonts w:ascii="仿宋_GB2312" w:eastAsia="仿宋_GB2312"/>
                <w:color w:val="auto"/>
              </w:rPr>
            </w:pPr>
          </w:p>
        </w:tc>
        <w:tc>
          <w:tcPr>
            <w:tcW w:w="567" w:type="dxa"/>
            <w:tcBorders>
              <w:top w:val="double" w:color="auto" w:sz="6" w:space="0"/>
              <w:bottom w:val="single" w:color="auto" w:sz="6" w:space="0"/>
            </w:tcBorders>
            <w:vAlign w:val="center"/>
          </w:tcPr>
          <w:p>
            <w:pPr>
              <w:pStyle w:val="2"/>
              <w:rPr>
                <w:rFonts w:ascii="仿宋_GB2312" w:eastAsia="仿宋_GB2312"/>
                <w:color w:val="auto"/>
              </w:rPr>
            </w:pPr>
          </w:p>
        </w:tc>
        <w:tc>
          <w:tcPr>
            <w:tcW w:w="686" w:type="dxa"/>
            <w:tcBorders>
              <w:top w:val="double" w:color="auto" w:sz="6" w:space="0"/>
              <w:bottom w:val="single" w:color="auto" w:sz="6" w:space="0"/>
            </w:tcBorders>
            <w:vAlign w:val="center"/>
          </w:tcPr>
          <w:p>
            <w:pPr>
              <w:pStyle w:val="2"/>
              <w:rPr>
                <w:rFonts w:ascii="仿宋_GB2312" w:eastAsia="仿宋_GB2312"/>
                <w:color w:val="auto"/>
              </w:rPr>
            </w:pPr>
          </w:p>
        </w:tc>
        <w:tc>
          <w:tcPr>
            <w:tcW w:w="992" w:type="dxa"/>
            <w:tcBorders>
              <w:top w:val="double" w:color="auto" w:sz="6" w:space="0"/>
              <w:bottom w:val="single" w:color="auto" w:sz="6" w:space="0"/>
            </w:tcBorders>
            <w:vAlign w:val="top"/>
          </w:tcPr>
          <w:p>
            <w:pPr>
              <w:pStyle w:val="2"/>
              <w:rPr>
                <w:rFonts w:ascii="仿宋_GB2312" w:eastAsia="仿宋_GB2312"/>
                <w:color w:val="auto"/>
              </w:rPr>
            </w:pPr>
          </w:p>
        </w:tc>
        <w:tc>
          <w:tcPr>
            <w:tcW w:w="1134" w:type="dxa"/>
            <w:tcBorders>
              <w:top w:val="double" w:color="auto" w:sz="6" w:space="0"/>
              <w:bottom w:val="single" w:color="auto" w:sz="6" w:space="0"/>
            </w:tcBorders>
            <w:vAlign w:val="center"/>
          </w:tcPr>
          <w:p>
            <w:pPr>
              <w:pStyle w:val="2"/>
              <w:rPr>
                <w:rFonts w:ascii="仿宋_GB2312" w:eastAsia="仿宋_GB2312"/>
                <w:color w:val="auto"/>
              </w:rPr>
            </w:pPr>
          </w:p>
        </w:tc>
        <w:tc>
          <w:tcPr>
            <w:tcW w:w="1134" w:type="dxa"/>
            <w:tcBorders>
              <w:top w:val="double" w:color="auto" w:sz="6" w:space="0"/>
              <w:bottom w:val="single" w:color="auto" w:sz="6" w:space="0"/>
            </w:tcBorders>
            <w:vAlign w:val="center"/>
          </w:tcPr>
          <w:p>
            <w:pPr>
              <w:pStyle w:val="2"/>
              <w:rPr>
                <w:rFonts w:ascii="仿宋_GB2312" w:eastAsia="仿宋_GB2312"/>
                <w:color w:val="auto"/>
              </w:rPr>
            </w:pPr>
          </w:p>
        </w:tc>
        <w:tc>
          <w:tcPr>
            <w:tcW w:w="1134" w:type="dxa"/>
            <w:tcBorders>
              <w:top w:val="double" w:color="auto" w:sz="6" w:space="0"/>
              <w:bottom w:val="single" w:color="auto" w:sz="6" w:space="0"/>
            </w:tcBorders>
            <w:vAlign w:val="center"/>
          </w:tcPr>
          <w:p>
            <w:pPr>
              <w:pStyle w:val="2"/>
              <w:rPr>
                <w:rFonts w:ascii="仿宋_GB2312" w:eastAsia="仿宋_GB2312"/>
                <w:color w:val="auto"/>
              </w:rPr>
            </w:pPr>
          </w:p>
        </w:tc>
        <w:tc>
          <w:tcPr>
            <w:tcW w:w="709" w:type="dxa"/>
            <w:tcBorders>
              <w:top w:val="double" w:color="auto" w:sz="6" w:space="0"/>
              <w:bottom w:val="single" w:color="auto" w:sz="6" w:space="0"/>
            </w:tcBorders>
            <w:vAlign w:val="center"/>
          </w:tcPr>
          <w:p>
            <w:pPr>
              <w:pStyle w:val="2"/>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tcBorders>
              <w:top w:val="nil"/>
            </w:tcBorders>
            <w:vAlign w:val="center"/>
          </w:tcPr>
          <w:p>
            <w:pPr>
              <w:pStyle w:val="2"/>
              <w:rPr>
                <w:rFonts w:ascii="仿宋_GB2312" w:eastAsia="仿宋_GB2312"/>
                <w:color w:val="auto"/>
              </w:rPr>
            </w:pPr>
          </w:p>
        </w:tc>
        <w:tc>
          <w:tcPr>
            <w:tcW w:w="1165" w:type="dxa"/>
            <w:tcBorders>
              <w:top w:val="nil"/>
            </w:tcBorders>
            <w:vAlign w:val="center"/>
          </w:tcPr>
          <w:p>
            <w:pPr>
              <w:pStyle w:val="2"/>
              <w:rPr>
                <w:rFonts w:ascii="仿宋_GB2312" w:eastAsia="仿宋_GB2312"/>
                <w:color w:val="auto"/>
              </w:rPr>
            </w:pPr>
          </w:p>
        </w:tc>
        <w:tc>
          <w:tcPr>
            <w:tcW w:w="1126" w:type="dxa"/>
            <w:tcBorders>
              <w:top w:val="nil"/>
            </w:tcBorders>
            <w:vAlign w:val="center"/>
          </w:tcPr>
          <w:p>
            <w:pPr>
              <w:pStyle w:val="2"/>
              <w:rPr>
                <w:rFonts w:ascii="仿宋_GB2312" w:eastAsia="仿宋_GB2312"/>
                <w:color w:val="auto"/>
              </w:rPr>
            </w:pPr>
          </w:p>
        </w:tc>
        <w:tc>
          <w:tcPr>
            <w:tcW w:w="567" w:type="dxa"/>
            <w:tcBorders>
              <w:top w:val="nil"/>
            </w:tcBorders>
            <w:vAlign w:val="center"/>
          </w:tcPr>
          <w:p>
            <w:pPr>
              <w:pStyle w:val="2"/>
              <w:rPr>
                <w:rFonts w:ascii="仿宋_GB2312" w:eastAsia="仿宋_GB2312"/>
                <w:color w:val="auto"/>
              </w:rPr>
            </w:pPr>
          </w:p>
        </w:tc>
        <w:tc>
          <w:tcPr>
            <w:tcW w:w="686" w:type="dxa"/>
            <w:tcBorders>
              <w:top w:val="nil"/>
            </w:tcBorders>
            <w:vAlign w:val="center"/>
          </w:tcPr>
          <w:p>
            <w:pPr>
              <w:pStyle w:val="2"/>
              <w:rPr>
                <w:rFonts w:ascii="仿宋_GB2312" w:eastAsia="仿宋_GB2312"/>
                <w:color w:val="auto"/>
              </w:rPr>
            </w:pPr>
          </w:p>
        </w:tc>
        <w:tc>
          <w:tcPr>
            <w:tcW w:w="992" w:type="dxa"/>
            <w:tcBorders>
              <w:top w:val="nil"/>
            </w:tcBorders>
            <w:vAlign w:val="top"/>
          </w:tcPr>
          <w:p>
            <w:pPr>
              <w:pStyle w:val="2"/>
              <w:rPr>
                <w:rFonts w:ascii="仿宋_GB2312" w:eastAsia="仿宋_GB2312"/>
                <w:color w:val="auto"/>
              </w:rPr>
            </w:pPr>
          </w:p>
        </w:tc>
        <w:tc>
          <w:tcPr>
            <w:tcW w:w="1134" w:type="dxa"/>
            <w:tcBorders>
              <w:top w:val="nil"/>
            </w:tcBorders>
            <w:vAlign w:val="center"/>
          </w:tcPr>
          <w:p>
            <w:pPr>
              <w:pStyle w:val="2"/>
              <w:rPr>
                <w:rFonts w:ascii="仿宋_GB2312" w:eastAsia="仿宋_GB2312"/>
                <w:color w:val="auto"/>
              </w:rPr>
            </w:pPr>
          </w:p>
        </w:tc>
        <w:tc>
          <w:tcPr>
            <w:tcW w:w="1134" w:type="dxa"/>
            <w:tcBorders>
              <w:top w:val="nil"/>
            </w:tcBorders>
            <w:vAlign w:val="center"/>
          </w:tcPr>
          <w:p>
            <w:pPr>
              <w:pStyle w:val="2"/>
              <w:rPr>
                <w:rFonts w:ascii="仿宋_GB2312" w:eastAsia="仿宋_GB2312"/>
                <w:color w:val="auto"/>
              </w:rPr>
            </w:pPr>
          </w:p>
        </w:tc>
        <w:tc>
          <w:tcPr>
            <w:tcW w:w="1134" w:type="dxa"/>
            <w:tcBorders>
              <w:top w:val="nil"/>
            </w:tcBorders>
            <w:vAlign w:val="center"/>
          </w:tcPr>
          <w:p>
            <w:pPr>
              <w:pStyle w:val="2"/>
              <w:rPr>
                <w:rFonts w:ascii="仿宋_GB2312" w:eastAsia="仿宋_GB2312"/>
                <w:color w:val="auto"/>
              </w:rPr>
            </w:pPr>
          </w:p>
        </w:tc>
        <w:tc>
          <w:tcPr>
            <w:tcW w:w="709" w:type="dxa"/>
            <w:tcBorders>
              <w:top w:val="nil"/>
            </w:tcBorders>
            <w:vAlign w:val="center"/>
          </w:tcPr>
          <w:p>
            <w:pPr>
              <w:pStyle w:val="2"/>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pStyle w:val="2"/>
              <w:rPr>
                <w:rFonts w:ascii="仿宋_GB2312" w:eastAsia="仿宋_GB2312"/>
                <w:color w:val="auto"/>
              </w:rPr>
            </w:pPr>
          </w:p>
        </w:tc>
        <w:tc>
          <w:tcPr>
            <w:tcW w:w="1165" w:type="dxa"/>
            <w:vAlign w:val="center"/>
          </w:tcPr>
          <w:p>
            <w:pPr>
              <w:pStyle w:val="2"/>
              <w:rPr>
                <w:rFonts w:ascii="仿宋_GB2312" w:eastAsia="仿宋_GB2312"/>
                <w:color w:val="auto"/>
              </w:rPr>
            </w:pPr>
          </w:p>
        </w:tc>
        <w:tc>
          <w:tcPr>
            <w:tcW w:w="1126" w:type="dxa"/>
            <w:vAlign w:val="center"/>
          </w:tcPr>
          <w:p>
            <w:pPr>
              <w:pStyle w:val="2"/>
              <w:rPr>
                <w:rFonts w:ascii="仿宋_GB2312" w:eastAsia="仿宋_GB2312"/>
                <w:color w:val="auto"/>
              </w:rPr>
            </w:pPr>
          </w:p>
        </w:tc>
        <w:tc>
          <w:tcPr>
            <w:tcW w:w="567" w:type="dxa"/>
            <w:vAlign w:val="center"/>
          </w:tcPr>
          <w:p>
            <w:pPr>
              <w:pStyle w:val="2"/>
              <w:rPr>
                <w:rFonts w:ascii="仿宋_GB2312" w:eastAsia="仿宋_GB2312"/>
                <w:color w:val="auto"/>
              </w:rPr>
            </w:pPr>
          </w:p>
        </w:tc>
        <w:tc>
          <w:tcPr>
            <w:tcW w:w="686" w:type="dxa"/>
            <w:vAlign w:val="center"/>
          </w:tcPr>
          <w:p>
            <w:pPr>
              <w:pStyle w:val="2"/>
              <w:rPr>
                <w:rFonts w:ascii="仿宋_GB2312" w:eastAsia="仿宋_GB2312"/>
                <w:color w:val="auto"/>
              </w:rPr>
            </w:pPr>
          </w:p>
        </w:tc>
        <w:tc>
          <w:tcPr>
            <w:tcW w:w="992" w:type="dxa"/>
            <w:vAlign w:val="top"/>
          </w:tcPr>
          <w:p>
            <w:pPr>
              <w:pStyle w:val="2"/>
              <w:rPr>
                <w:rFonts w:ascii="仿宋_GB2312" w:eastAsia="仿宋_GB2312"/>
                <w:color w:val="auto"/>
              </w:rPr>
            </w:pPr>
          </w:p>
        </w:tc>
        <w:tc>
          <w:tcPr>
            <w:tcW w:w="1134" w:type="dxa"/>
            <w:vAlign w:val="center"/>
          </w:tcPr>
          <w:p>
            <w:pPr>
              <w:pStyle w:val="2"/>
              <w:rPr>
                <w:rFonts w:ascii="仿宋_GB2312" w:eastAsia="仿宋_GB2312"/>
                <w:color w:val="auto"/>
              </w:rPr>
            </w:pPr>
          </w:p>
        </w:tc>
        <w:tc>
          <w:tcPr>
            <w:tcW w:w="1134" w:type="dxa"/>
            <w:vAlign w:val="center"/>
          </w:tcPr>
          <w:p>
            <w:pPr>
              <w:pStyle w:val="2"/>
              <w:rPr>
                <w:rFonts w:ascii="仿宋_GB2312" w:eastAsia="仿宋_GB2312"/>
                <w:color w:val="auto"/>
              </w:rPr>
            </w:pPr>
          </w:p>
        </w:tc>
        <w:tc>
          <w:tcPr>
            <w:tcW w:w="1134" w:type="dxa"/>
            <w:vAlign w:val="center"/>
          </w:tcPr>
          <w:p>
            <w:pPr>
              <w:pStyle w:val="2"/>
              <w:rPr>
                <w:rFonts w:ascii="仿宋_GB2312" w:eastAsia="仿宋_GB2312"/>
                <w:color w:val="auto"/>
              </w:rPr>
            </w:pPr>
          </w:p>
        </w:tc>
        <w:tc>
          <w:tcPr>
            <w:tcW w:w="709" w:type="dxa"/>
            <w:vAlign w:val="center"/>
          </w:tcPr>
          <w:p>
            <w:pPr>
              <w:pStyle w:val="2"/>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pStyle w:val="2"/>
              <w:rPr>
                <w:rFonts w:ascii="仿宋_GB2312" w:eastAsia="仿宋_GB2312"/>
                <w:color w:val="auto"/>
              </w:rPr>
            </w:pPr>
          </w:p>
        </w:tc>
        <w:tc>
          <w:tcPr>
            <w:tcW w:w="1165" w:type="dxa"/>
            <w:vAlign w:val="center"/>
          </w:tcPr>
          <w:p>
            <w:pPr>
              <w:pStyle w:val="2"/>
              <w:rPr>
                <w:rFonts w:ascii="仿宋_GB2312" w:eastAsia="仿宋_GB2312"/>
                <w:color w:val="auto"/>
              </w:rPr>
            </w:pPr>
          </w:p>
        </w:tc>
        <w:tc>
          <w:tcPr>
            <w:tcW w:w="1126" w:type="dxa"/>
            <w:vAlign w:val="center"/>
          </w:tcPr>
          <w:p>
            <w:pPr>
              <w:pStyle w:val="2"/>
              <w:rPr>
                <w:rFonts w:ascii="仿宋_GB2312" w:eastAsia="仿宋_GB2312"/>
                <w:color w:val="auto"/>
              </w:rPr>
            </w:pPr>
          </w:p>
        </w:tc>
        <w:tc>
          <w:tcPr>
            <w:tcW w:w="567" w:type="dxa"/>
            <w:vAlign w:val="center"/>
          </w:tcPr>
          <w:p>
            <w:pPr>
              <w:pStyle w:val="2"/>
              <w:rPr>
                <w:rFonts w:ascii="仿宋_GB2312" w:eastAsia="仿宋_GB2312"/>
                <w:color w:val="auto"/>
              </w:rPr>
            </w:pPr>
          </w:p>
        </w:tc>
        <w:tc>
          <w:tcPr>
            <w:tcW w:w="686" w:type="dxa"/>
            <w:vAlign w:val="center"/>
          </w:tcPr>
          <w:p>
            <w:pPr>
              <w:pStyle w:val="2"/>
              <w:rPr>
                <w:rFonts w:ascii="仿宋_GB2312" w:eastAsia="仿宋_GB2312"/>
                <w:color w:val="auto"/>
              </w:rPr>
            </w:pPr>
          </w:p>
        </w:tc>
        <w:tc>
          <w:tcPr>
            <w:tcW w:w="992" w:type="dxa"/>
            <w:vAlign w:val="top"/>
          </w:tcPr>
          <w:p>
            <w:pPr>
              <w:pStyle w:val="2"/>
              <w:rPr>
                <w:rFonts w:ascii="仿宋_GB2312" w:eastAsia="仿宋_GB2312"/>
                <w:color w:val="auto"/>
              </w:rPr>
            </w:pPr>
          </w:p>
        </w:tc>
        <w:tc>
          <w:tcPr>
            <w:tcW w:w="1134" w:type="dxa"/>
            <w:vAlign w:val="center"/>
          </w:tcPr>
          <w:p>
            <w:pPr>
              <w:pStyle w:val="2"/>
              <w:rPr>
                <w:rFonts w:ascii="仿宋_GB2312" w:eastAsia="仿宋_GB2312"/>
                <w:color w:val="auto"/>
              </w:rPr>
            </w:pPr>
          </w:p>
        </w:tc>
        <w:tc>
          <w:tcPr>
            <w:tcW w:w="1134" w:type="dxa"/>
            <w:vAlign w:val="center"/>
          </w:tcPr>
          <w:p>
            <w:pPr>
              <w:pStyle w:val="2"/>
              <w:rPr>
                <w:rFonts w:ascii="仿宋_GB2312" w:eastAsia="仿宋_GB2312"/>
                <w:color w:val="auto"/>
              </w:rPr>
            </w:pPr>
          </w:p>
        </w:tc>
        <w:tc>
          <w:tcPr>
            <w:tcW w:w="1134" w:type="dxa"/>
            <w:vAlign w:val="center"/>
          </w:tcPr>
          <w:p>
            <w:pPr>
              <w:pStyle w:val="2"/>
              <w:rPr>
                <w:rFonts w:ascii="仿宋_GB2312" w:eastAsia="仿宋_GB2312"/>
                <w:color w:val="auto"/>
              </w:rPr>
            </w:pPr>
          </w:p>
        </w:tc>
        <w:tc>
          <w:tcPr>
            <w:tcW w:w="709" w:type="dxa"/>
            <w:vAlign w:val="center"/>
          </w:tcPr>
          <w:p>
            <w:pPr>
              <w:pStyle w:val="2"/>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pStyle w:val="2"/>
              <w:rPr>
                <w:rFonts w:ascii="仿宋_GB2312" w:eastAsia="仿宋_GB2312"/>
                <w:color w:val="auto"/>
              </w:rPr>
            </w:pPr>
          </w:p>
        </w:tc>
        <w:tc>
          <w:tcPr>
            <w:tcW w:w="1165" w:type="dxa"/>
            <w:vAlign w:val="center"/>
          </w:tcPr>
          <w:p>
            <w:pPr>
              <w:pStyle w:val="2"/>
              <w:rPr>
                <w:rFonts w:ascii="仿宋_GB2312" w:eastAsia="仿宋_GB2312"/>
                <w:color w:val="auto"/>
              </w:rPr>
            </w:pPr>
          </w:p>
        </w:tc>
        <w:tc>
          <w:tcPr>
            <w:tcW w:w="1126" w:type="dxa"/>
            <w:vAlign w:val="center"/>
          </w:tcPr>
          <w:p>
            <w:pPr>
              <w:pStyle w:val="2"/>
              <w:rPr>
                <w:rFonts w:ascii="仿宋_GB2312" w:eastAsia="仿宋_GB2312"/>
                <w:color w:val="auto"/>
              </w:rPr>
            </w:pPr>
          </w:p>
        </w:tc>
        <w:tc>
          <w:tcPr>
            <w:tcW w:w="567" w:type="dxa"/>
            <w:vAlign w:val="center"/>
          </w:tcPr>
          <w:p>
            <w:pPr>
              <w:pStyle w:val="2"/>
              <w:rPr>
                <w:rFonts w:ascii="仿宋_GB2312" w:eastAsia="仿宋_GB2312"/>
                <w:color w:val="auto"/>
              </w:rPr>
            </w:pPr>
          </w:p>
        </w:tc>
        <w:tc>
          <w:tcPr>
            <w:tcW w:w="686" w:type="dxa"/>
            <w:vAlign w:val="center"/>
          </w:tcPr>
          <w:p>
            <w:pPr>
              <w:pStyle w:val="2"/>
              <w:rPr>
                <w:rFonts w:ascii="仿宋_GB2312" w:eastAsia="仿宋_GB2312"/>
                <w:color w:val="auto"/>
              </w:rPr>
            </w:pPr>
          </w:p>
        </w:tc>
        <w:tc>
          <w:tcPr>
            <w:tcW w:w="992" w:type="dxa"/>
            <w:vAlign w:val="top"/>
          </w:tcPr>
          <w:p>
            <w:pPr>
              <w:pStyle w:val="2"/>
              <w:rPr>
                <w:rFonts w:ascii="仿宋_GB2312" w:eastAsia="仿宋_GB2312"/>
                <w:color w:val="auto"/>
              </w:rPr>
            </w:pPr>
          </w:p>
        </w:tc>
        <w:tc>
          <w:tcPr>
            <w:tcW w:w="1134" w:type="dxa"/>
            <w:vAlign w:val="center"/>
          </w:tcPr>
          <w:p>
            <w:pPr>
              <w:pStyle w:val="2"/>
              <w:rPr>
                <w:rFonts w:ascii="仿宋_GB2312" w:eastAsia="仿宋_GB2312"/>
                <w:color w:val="auto"/>
              </w:rPr>
            </w:pPr>
          </w:p>
        </w:tc>
        <w:tc>
          <w:tcPr>
            <w:tcW w:w="1134" w:type="dxa"/>
            <w:vAlign w:val="center"/>
          </w:tcPr>
          <w:p>
            <w:pPr>
              <w:pStyle w:val="2"/>
              <w:rPr>
                <w:rFonts w:ascii="仿宋_GB2312" w:eastAsia="仿宋_GB2312"/>
                <w:color w:val="auto"/>
              </w:rPr>
            </w:pPr>
          </w:p>
        </w:tc>
        <w:tc>
          <w:tcPr>
            <w:tcW w:w="1134" w:type="dxa"/>
            <w:vAlign w:val="center"/>
          </w:tcPr>
          <w:p>
            <w:pPr>
              <w:pStyle w:val="2"/>
              <w:rPr>
                <w:rFonts w:ascii="仿宋_GB2312" w:eastAsia="仿宋_GB2312"/>
                <w:color w:val="auto"/>
              </w:rPr>
            </w:pPr>
          </w:p>
        </w:tc>
        <w:tc>
          <w:tcPr>
            <w:tcW w:w="709" w:type="dxa"/>
            <w:vAlign w:val="center"/>
          </w:tcPr>
          <w:p>
            <w:pPr>
              <w:pStyle w:val="2"/>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pStyle w:val="2"/>
              <w:rPr>
                <w:rFonts w:ascii="仿宋_GB2312" w:eastAsia="仿宋_GB2312"/>
                <w:color w:val="auto"/>
              </w:rPr>
            </w:pPr>
          </w:p>
        </w:tc>
        <w:tc>
          <w:tcPr>
            <w:tcW w:w="1165" w:type="dxa"/>
            <w:vAlign w:val="center"/>
          </w:tcPr>
          <w:p>
            <w:pPr>
              <w:pStyle w:val="2"/>
              <w:rPr>
                <w:rFonts w:ascii="仿宋_GB2312" w:eastAsia="仿宋_GB2312"/>
                <w:color w:val="auto"/>
              </w:rPr>
            </w:pPr>
          </w:p>
        </w:tc>
        <w:tc>
          <w:tcPr>
            <w:tcW w:w="1126" w:type="dxa"/>
            <w:vAlign w:val="center"/>
          </w:tcPr>
          <w:p>
            <w:pPr>
              <w:pStyle w:val="2"/>
              <w:rPr>
                <w:rFonts w:ascii="仿宋_GB2312" w:eastAsia="仿宋_GB2312"/>
                <w:color w:val="auto"/>
              </w:rPr>
            </w:pPr>
          </w:p>
        </w:tc>
        <w:tc>
          <w:tcPr>
            <w:tcW w:w="567" w:type="dxa"/>
            <w:vAlign w:val="center"/>
          </w:tcPr>
          <w:p>
            <w:pPr>
              <w:pStyle w:val="2"/>
              <w:rPr>
                <w:rFonts w:ascii="仿宋_GB2312" w:eastAsia="仿宋_GB2312"/>
                <w:color w:val="auto"/>
              </w:rPr>
            </w:pPr>
          </w:p>
        </w:tc>
        <w:tc>
          <w:tcPr>
            <w:tcW w:w="686" w:type="dxa"/>
            <w:vAlign w:val="center"/>
          </w:tcPr>
          <w:p>
            <w:pPr>
              <w:pStyle w:val="2"/>
              <w:rPr>
                <w:rFonts w:ascii="仿宋_GB2312" w:eastAsia="仿宋_GB2312"/>
                <w:color w:val="auto"/>
              </w:rPr>
            </w:pPr>
          </w:p>
        </w:tc>
        <w:tc>
          <w:tcPr>
            <w:tcW w:w="992" w:type="dxa"/>
            <w:vAlign w:val="top"/>
          </w:tcPr>
          <w:p>
            <w:pPr>
              <w:pStyle w:val="2"/>
              <w:rPr>
                <w:rFonts w:ascii="仿宋_GB2312" w:eastAsia="仿宋_GB2312"/>
                <w:color w:val="auto"/>
              </w:rPr>
            </w:pPr>
          </w:p>
        </w:tc>
        <w:tc>
          <w:tcPr>
            <w:tcW w:w="1134" w:type="dxa"/>
            <w:vAlign w:val="center"/>
          </w:tcPr>
          <w:p>
            <w:pPr>
              <w:pStyle w:val="2"/>
              <w:rPr>
                <w:rFonts w:ascii="仿宋_GB2312" w:eastAsia="仿宋_GB2312"/>
                <w:color w:val="auto"/>
              </w:rPr>
            </w:pPr>
          </w:p>
        </w:tc>
        <w:tc>
          <w:tcPr>
            <w:tcW w:w="1134" w:type="dxa"/>
            <w:vAlign w:val="center"/>
          </w:tcPr>
          <w:p>
            <w:pPr>
              <w:pStyle w:val="2"/>
              <w:rPr>
                <w:rFonts w:ascii="仿宋_GB2312" w:eastAsia="仿宋_GB2312"/>
                <w:color w:val="auto"/>
              </w:rPr>
            </w:pPr>
          </w:p>
        </w:tc>
        <w:tc>
          <w:tcPr>
            <w:tcW w:w="1134" w:type="dxa"/>
            <w:vAlign w:val="center"/>
          </w:tcPr>
          <w:p>
            <w:pPr>
              <w:pStyle w:val="2"/>
              <w:rPr>
                <w:rFonts w:ascii="仿宋_GB2312" w:eastAsia="仿宋_GB2312"/>
                <w:color w:val="auto"/>
              </w:rPr>
            </w:pPr>
          </w:p>
        </w:tc>
        <w:tc>
          <w:tcPr>
            <w:tcW w:w="709" w:type="dxa"/>
            <w:vAlign w:val="center"/>
          </w:tcPr>
          <w:p>
            <w:pPr>
              <w:pStyle w:val="2"/>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pStyle w:val="2"/>
              <w:rPr>
                <w:rFonts w:ascii="仿宋_GB2312" w:eastAsia="仿宋_GB2312"/>
                <w:color w:val="auto"/>
              </w:rPr>
            </w:pPr>
          </w:p>
        </w:tc>
        <w:tc>
          <w:tcPr>
            <w:tcW w:w="1165" w:type="dxa"/>
            <w:vAlign w:val="center"/>
          </w:tcPr>
          <w:p>
            <w:pPr>
              <w:pStyle w:val="2"/>
              <w:rPr>
                <w:rFonts w:ascii="仿宋_GB2312" w:eastAsia="仿宋_GB2312"/>
                <w:color w:val="auto"/>
              </w:rPr>
            </w:pPr>
          </w:p>
        </w:tc>
        <w:tc>
          <w:tcPr>
            <w:tcW w:w="1126" w:type="dxa"/>
            <w:vAlign w:val="center"/>
          </w:tcPr>
          <w:p>
            <w:pPr>
              <w:pStyle w:val="2"/>
              <w:rPr>
                <w:rFonts w:ascii="仿宋_GB2312" w:eastAsia="仿宋_GB2312"/>
                <w:color w:val="auto"/>
              </w:rPr>
            </w:pPr>
          </w:p>
        </w:tc>
        <w:tc>
          <w:tcPr>
            <w:tcW w:w="567" w:type="dxa"/>
            <w:vAlign w:val="center"/>
          </w:tcPr>
          <w:p>
            <w:pPr>
              <w:pStyle w:val="2"/>
              <w:rPr>
                <w:rFonts w:ascii="仿宋_GB2312" w:eastAsia="仿宋_GB2312"/>
                <w:color w:val="auto"/>
              </w:rPr>
            </w:pPr>
          </w:p>
        </w:tc>
        <w:tc>
          <w:tcPr>
            <w:tcW w:w="686" w:type="dxa"/>
            <w:vAlign w:val="center"/>
          </w:tcPr>
          <w:p>
            <w:pPr>
              <w:pStyle w:val="2"/>
              <w:rPr>
                <w:rFonts w:ascii="仿宋_GB2312" w:eastAsia="仿宋_GB2312"/>
                <w:color w:val="auto"/>
              </w:rPr>
            </w:pPr>
          </w:p>
        </w:tc>
        <w:tc>
          <w:tcPr>
            <w:tcW w:w="992" w:type="dxa"/>
            <w:vAlign w:val="top"/>
          </w:tcPr>
          <w:p>
            <w:pPr>
              <w:pStyle w:val="2"/>
              <w:rPr>
                <w:rFonts w:ascii="仿宋_GB2312" w:eastAsia="仿宋_GB2312"/>
                <w:color w:val="auto"/>
              </w:rPr>
            </w:pPr>
          </w:p>
        </w:tc>
        <w:tc>
          <w:tcPr>
            <w:tcW w:w="1134" w:type="dxa"/>
            <w:vAlign w:val="center"/>
          </w:tcPr>
          <w:p>
            <w:pPr>
              <w:pStyle w:val="2"/>
              <w:rPr>
                <w:rFonts w:ascii="仿宋_GB2312" w:eastAsia="仿宋_GB2312"/>
                <w:color w:val="auto"/>
              </w:rPr>
            </w:pPr>
          </w:p>
        </w:tc>
        <w:tc>
          <w:tcPr>
            <w:tcW w:w="1134" w:type="dxa"/>
            <w:vAlign w:val="center"/>
          </w:tcPr>
          <w:p>
            <w:pPr>
              <w:pStyle w:val="2"/>
              <w:rPr>
                <w:rFonts w:ascii="仿宋_GB2312" w:eastAsia="仿宋_GB2312"/>
                <w:color w:val="auto"/>
              </w:rPr>
            </w:pPr>
          </w:p>
        </w:tc>
        <w:tc>
          <w:tcPr>
            <w:tcW w:w="1134" w:type="dxa"/>
            <w:vAlign w:val="center"/>
          </w:tcPr>
          <w:p>
            <w:pPr>
              <w:pStyle w:val="2"/>
              <w:rPr>
                <w:rFonts w:ascii="仿宋_GB2312" w:eastAsia="仿宋_GB2312"/>
                <w:color w:val="auto"/>
              </w:rPr>
            </w:pPr>
          </w:p>
        </w:tc>
        <w:tc>
          <w:tcPr>
            <w:tcW w:w="709" w:type="dxa"/>
            <w:vAlign w:val="center"/>
          </w:tcPr>
          <w:p>
            <w:pPr>
              <w:pStyle w:val="2"/>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pStyle w:val="2"/>
              <w:rPr>
                <w:rFonts w:ascii="仿宋_GB2312" w:eastAsia="仿宋_GB2312"/>
                <w:color w:val="auto"/>
              </w:rPr>
            </w:pPr>
          </w:p>
        </w:tc>
        <w:tc>
          <w:tcPr>
            <w:tcW w:w="1165" w:type="dxa"/>
            <w:vAlign w:val="center"/>
          </w:tcPr>
          <w:p>
            <w:pPr>
              <w:pStyle w:val="2"/>
              <w:rPr>
                <w:rFonts w:ascii="仿宋_GB2312" w:eastAsia="仿宋_GB2312"/>
                <w:color w:val="auto"/>
              </w:rPr>
            </w:pPr>
          </w:p>
        </w:tc>
        <w:tc>
          <w:tcPr>
            <w:tcW w:w="1126" w:type="dxa"/>
            <w:vAlign w:val="center"/>
          </w:tcPr>
          <w:p>
            <w:pPr>
              <w:pStyle w:val="2"/>
              <w:rPr>
                <w:rFonts w:ascii="仿宋_GB2312" w:eastAsia="仿宋_GB2312"/>
                <w:color w:val="auto"/>
              </w:rPr>
            </w:pPr>
          </w:p>
        </w:tc>
        <w:tc>
          <w:tcPr>
            <w:tcW w:w="567" w:type="dxa"/>
            <w:vAlign w:val="center"/>
          </w:tcPr>
          <w:p>
            <w:pPr>
              <w:pStyle w:val="2"/>
              <w:rPr>
                <w:rFonts w:ascii="仿宋_GB2312" w:eastAsia="仿宋_GB2312"/>
                <w:color w:val="auto"/>
              </w:rPr>
            </w:pPr>
          </w:p>
        </w:tc>
        <w:tc>
          <w:tcPr>
            <w:tcW w:w="686" w:type="dxa"/>
            <w:vAlign w:val="center"/>
          </w:tcPr>
          <w:p>
            <w:pPr>
              <w:pStyle w:val="2"/>
              <w:rPr>
                <w:rFonts w:ascii="仿宋_GB2312" w:eastAsia="仿宋_GB2312"/>
                <w:color w:val="auto"/>
              </w:rPr>
            </w:pPr>
          </w:p>
        </w:tc>
        <w:tc>
          <w:tcPr>
            <w:tcW w:w="992" w:type="dxa"/>
            <w:vAlign w:val="top"/>
          </w:tcPr>
          <w:p>
            <w:pPr>
              <w:pStyle w:val="2"/>
              <w:rPr>
                <w:rFonts w:ascii="仿宋_GB2312" w:eastAsia="仿宋_GB2312"/>
                <w:color w:val="auto"/>
              </w:rPr>
            </w:pPr>
          </w:p>
        </w:tc>
        <w:tc>
          <w:tcPr>
            <w:tcW w:w="1134" w:type="dxa"/>
            <w:vAlign w:val="center"/>
          </w:tcPr>
          <w:p>
            <w:pPr>
              <w:pStyle w:val="2"/>
              <w:rPr>
                <w:rFonts w:ascii="仿宋_GB2312" w:eastAsia="仿宋_GB2312"/>
                <w:color w:val="auto"/>
              </w:rPr>
            </w:pPr>
          </w:p>
        </w:tc>
        <w:tc>
          <w:tcPr>
            <w:tcW w:w="1134" w:type="dxa"/>
            <w:vAlign w:val="center"/>
          </w:tcPr>
          <w:p>
            <w:pPr>
              <w:pStyle w:val="2"/>
              <w:rPr>
                <w:rFonts w:ascii="仿宋_GB2312" w:eastAsia="仿宋_GB2312"/>
                <w:color w:val="auto"/>
              </w:rPr>
            </w:pPr>
          </w:p>
        </w:tc>
        <w:tc>
          <w:tcPr>
            <w:tcW w:w="1134" w:type="dxa"/>
            <w:vAlign w:val="center"/>
          </w:tcPr>
          <w:p>
            <w:pPr>
              <w:pStyle w:val="2"/>
              <w:rPr>
                <w:rFonts w:ascii="仿宋_GB2312" w:eastAsia="仿宋_GB2312"/>
                <w:color w:val="auto"/>
              </w:rPr>
            </w:pPr>
          </w:p>
        </w:tc>
        <w:tc>
          <w:tcPr>
            <w:tcW w:w="709" w:type="dxa"/>
            <w:vAlign w:val="center"/>
          </w:tcPr>
          <w:p>
            <w:pPr>
              <w:pStyle w:val="2"/>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rPr>
                <w:rFonts w:ascii="仿宋_GB2312" w:eastAsia="仿宋_GB2312"/>
                <w:color w:val="auto"/>
              </w:rPr>
            </w:pPr>
          </w:p>
        </w:tc>
        <w:tc>
          <w:tcPr>
            <w:tcW w:w="1165" w:type="dxa"/>
            <w:vAlign w:val="center"/>
          </w:tcPr>
          <w:p>
            <w:pPr>
              <w:rPr>
                <w:rFonts w:ascii="仿宋_GB2312" w:eastAsia="仿宋_GB2312"/>
                <w:color w:val="auto"/>
              </w:rPr>
            </w:pPr>
          </w:p>
        </w:tc>
        <w:tc>
          <w:tcPr>
            <w:tcW w:w="1126" w:type="dxa"/>
            <w:vAlign w:val="center"/>
          </w:tcPr>
          <w:p>
            <w:pPr>
              <w:rPr>
                <w:rFonts w:ascii="仿宋_GB2312" w:eastAsia="仿宋_GB2312"/>
                <w:color w:val="auto"/>
              </w:rPr>
            </w:pPr>
          </w:p>
        </w:tc>
        <w:tc>
          <w:tcPr>
            <w:tcW w:w="567" w:type="dxa"/>
            <w:vAlign w:val="center"/>
          </w:tcPr>
          <w:p>
            <w:pPr>
              <w:rPr>
                <w:rFonts w:ascii="仿宋_GB2312" w:eastAsia="仿宋_GB2312"/>
                <w:color w:val="auto"/>
              </w:rPr>
            </w:pPr>
          </w:p>
        </w:tc>
        <w:tc>
          <w:tcPr>
            <w:tcW w:w="686" w:type="dxa"/>
            <w:vAlign w:val="center"/>
          </w:tcPr>
          <w:p>
            <w:pPr>
              <w:rPr>
                <w:rFonts w:ascii="仿宋_GB2312" w:eastAsia="仿宋_GB2312"/>
                <w:color w:val="auto"/>
              </w:rPr>
            </w:pPr>
          </w:p>
        </w:tc>
        <w:tc>
          <w:tcPr>
            <w:tcW w:w="992" w:type="dxa"/>
            <w:vAlign w:val="top"/>
          </w:tcPr>
          <w:p>
            <w:pPr>
              <w:rPr>
                <w:rFonts w:ascii="仿宋_GB2312" w:eastAsia="仿宋_GB2312"/>
                <w:color w:val="auto"/>
              </w:rPr>
            </w:pPr>
          </w:p>
        </w:tc>
        <w:tc>
          <w:tcPr>
            <w:tcW w:w="1134" w:type="dxa"/>
            <w:vAlign w:val="center"/>
          </w:tcPr>
          <w:p>
            <w:pPr>
              <w:rPr>
                <w:rFonts w:ascii="仿宋_GB2312" w:eastAsia="仿宋_GB2312"/>
                <w:color w:val="auto"/>
              </w:rPr>
            </w:pPr>
          </w:p>
        </w:tc>
        <w:tc>
          <w:tcPr>
            <w:tcW w:w="1134" w:type="dxa"/>
            <w:vAlign w:val="center"/>
          </w:tcPr>
          <w:p>
            <w:pPr>
              <w:rPr>
                <w:rFonts w:ascii="仿宋_GB2312" w:eastAsia="仿宋_GB2312"/>
                <w:color w:val="auto"/>
              </w:rPr>
            </w:pPr>
          </w:p>
        </w:tc>
        <w:tc>
          <w:tcPr>
            <w:tcW w:w="1134" w:type="dxa"/>
            <w:vAlign w:val="center"/>
          </w:tcPr>
          <w:p>
            <w:pPr>
              <w:rPr>
                <w:rFonts w:ascii="仿宋_GB2312" w:eastAsia="仿宋_GB2312"/>
                <w:color w:val="auto"/>
              </w:rPr>
            </w:pPr>
          </w:p>
        </w:tc>
        <w:tc>
          <w:tcPr>
            <w:tcW w:w="709" w:type="dxa"/>
            <w:vAlign w:val="center"/>
          </w:tcPr>
          <w:p>
            <w:pPr>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pStyle w:val="2"/>
              <w:rPr>
                <w:rFonts w:ascii="仿宋_GB2312" w:eastAsia="仿宋_GB2312"/>
                <w:color w:val="auto"/>
              </w:rPr>
            </w:pPr>
          </w:p>
        </w:tc>
        <w:tc>
          <w:tcPr>
            <w:tcW w:w="1165" w:type="dxa"/>
            <w:vAlign w:val="center"/>
          </w:tcPr>
          <w:p>
            <w:pPr>
              <w:pStyle w:val="2"/>
              <w:rPr>
                <w:rFonts w:ascii="仿宋_GB2312" w:eastAsia="仿宋_GB2312"/>
                <w:color w:val="auto"/>
              </w:rPr>
            </w:pPr>
          </w:p>
        </w:tc>
        <w:tc>
          <w:tcPr>
            <w:tcW w:w="1126" w:type="dxa"/>
            <w:vAlign w:val="center"/>
          </w:tcPr>
          <w:p>
            <w:pPr>
              <w:pStyle w:val="2"/>
              <w:rPr>
                <w:rFonts w:ascii="仿宋_GB2312" w:eastAsia="仿宋_GB2312"/>
                <w:color w:val="auto"/>
              </w:rPr>
            </w:pPr>
          </w:p>
        </w:tc>
        <w:tc>
          <w:tcPr>
            <w:tcW w:w="567" w:type="dxa"/>
            <w:vAlign w:val="center"/>
          </w:tcPr>
          <w:p>
            <w:pPr>
              <w:pStyle w:val="2"/>
              <w:rPr>
                <w:rFonts w:ascii="仿宋_GB2312" w:eastAsia="仿宋_GB2312"/>
                <w:color w:val="auto"/>
              </w:rPr>
            </w:pPr>
          </w:p>
        </w:tc>
        <w:tc>
          <w:tcPr>
            <w:tcW w:w="686" w:type="dxa"/>
            <w:vAlign w:val="center"/>
          </w:tcPr>
          <w:p>
            <w:pPr>
              <w:pStyle w:val="2"/>
              <w:rPr>
                <w:rFonts w:ascii="仿宋_GB2312" w:eastAsia="仿宋_GB2312"/>
                <w:color w:val="auto"/>
              </w:rPr>
            </w:pPr>
          </w:p>
        </w:tc>
        <w:tc>
          <w:tcPr>
            <w:tcW w:w="992" w:type="dxa"/>
            <w:vAlign w:val="top"/>
          </w:tcPr>
          <w:p>
            <w:pPr>
              <w:pStyle w:val="2"/>
              <w:rPr>
                <w:rFonts w:ascii="仿宋_GB2312" w:eastAsia="仿宋_GB2312"/>
                <w:color w:val="auto"/>
              </w:rPr>
            </w:pPr>
          </w:p>
        </w:tc>
        <w:tc>
          <w:tcPr>
            <w:tcW w:w="1134" w:type="dxa"/>
            <w:vAlign w:val="center"/>
          </w:tcPr>
          <w:p>
            <w:pPr>
              <w:pStyle w:val="2"/>
              <w:rPr>
                <w:rFonts w:ascii="仿宋_GB2312" w:eastAsia="仿宋_GB2312"/>
                <w:color w:val="auto"/>
              </w:rPr>
            </w:pPr>
          </w:p>
        </w:tc>
        <w:tc>
          <w:tcPr>
            <w:tcW w:w="1134" w:type="dxa"/>
            <w:vAlign w:val="center"/>
          </w:tcPr>
          <w:p>
            <w:pPr>
              <w:pStyle w:val="2"/>
              <w:rPr>
                <w:rFonts w:ascii="仿宋_GB2312" w:eastAsia="仿宋_GB2312"/>
                <w:color w:val="auto"/>
              </w:rPr>
            </w:pPr>
          </w:p>
        </w:tc>
        <w:tc>
          <w:tcPr>
            <w:tcW w:w="1134" w:type="dxa"/>
            <w:vAlign w:val="center"/>
          </w:tcPr>
          <w:p>
            <w:pPr>
              <w:pStyle w:val="2"/>
              <w:rPr>
                <w:rFonts w:ascii="仿宋_GB2312" w:eastAsia="仿宋_GB2312"/>
                <w:color w:val="auto"/>
              </w:rPr>
            </w:pPr>
          </w:p>
        </w:tc>
        <w:tc>
          <w:tcPr>
            <w:tcW w:w="709" w:type="dxa"/>
            <w:vAlign w:val="center"/>
          </w:tcPr>
          <w:p>
            <w:pPr>
              <w:pStyle w:val="2"/>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rPr>
                <w:rFonts w:ascii="仿宋_GB2312" w:eastAsia="仿宋_GB2312"/>
                <w:color w:val="auto"/>
              </w:rPr>
            </w:pPr>
          </w:p>
        </w:tc>
        <w:tc>
          <w:tcPr>
            <w:tcW w:w="1165" w:type="dxa"/>
            <w:vAlign w:val="center"/>
          </w:tcPr>
          <w:p>
            <w:pPr>
              <w:rPr>
                <w:rFonts w:ascii="仿宋_GB2312" w:eastAsia="仿宋_GB2312"/>
                <w:color w:val="auto"/>
              </w:rPr>
            </w:pPr>
          </w:p>
        </w:tc>
        <w:tc>
          <w:tcPr>
            <w:tcW w:w="1126" w:type="dxa"/>
            <w:vAlign w:val="center"/>
          </w:tcPr>
          <w:p>
            <w:pPr>
              <w:rPr>
                <w:rFonts w:ascii="仿宋_GB2312" w:eastAsia="仿宋_GB2312"/>
                <w:color w:val="auto"/>
              </w:rPr>
            </w:pPr>
          </w:p>
        </w:tc>
        <w:tc>
          <w:tcPr>
            <w:tcW w:w="567" w:type="dxa"/>
            <w:vAlign w:val="center"/>
          </w:tcPr>
          <w:p>
            <w:pPr>
              <w:rPr>
                <w:rFonts w:ascii="仿宋_GB2312" w:eastAsia="仿宋_GB2312"/>
                <w:color w:val="auto"/>
              </w:rPr>
            </w:pPr>
          </w:p>
        </w:tc>
        <w:tc>
          <w:tcPr>
            <w:tcW w:w="686" w:type="dxa"/>
            <w:vAlign w:val="center"/>
          </w:tcPr>
          <w:p>
            <w:pPr>
              <w:rPr>
                <w:rFonts w:ascii="仿宋_GB2312" w:eastAsia="仿宋_GB2312"/>
                <w:color w:val="auto"/>
              </w:rPr>
            </w:pPr>
          </w:p>
        </w:tc>
        <w:tc>
          <w:tcPr>
            <w:tcW w:w="992" w:type="dxa"/>
            <w:vAlign w:val="top"/>
          </w:tcPr>
          <w:p>
            <w:pPr>
              <w:rPr>
                <w:rFonts w:ascii="仿宋_GB2312" w:eastAsia="仿宋_GB2312"/>
                <w:color w:val="auto"/>
              </w:rPr>
            </w:pPr>
          </w:p>
        </w:tc>
        <w:tc>
          <w:tcPr>
            <w:tcW w:w="1134" w:type="dxa"/>
            <w:vAlign w:val="center"/>
          </w:tcPr>
          <w:p>
            <w:pPr>
              <w:rPr>
                <w:rFonts w:ascii="仿宋_GB2312" w:eastAsia="仿宋_GB2312"/>
                <w:color w:val="auto"/>
              </w:rPr>
            </w:pPr>
          </w:p>
        </w:tc>
        <w:tc>
          <w:tcPr>
            <w:tcW w:w="1134" w:type="dxa"/>
            <w:vAlign w:val="center"/>
          </w:tcPr>
          <w:p>
            <w:pPr>
              <w:rPr>
                <w:rFonts w:ascii="仿宋_GB2312" w:eastAsia="仿宋_GB2312"/>
                <w:color w:val="auto"/>
              </w:rPr>
            </w:pPr>
          </w:p>
        </w:tc>
        <w:tc>
          <w:tcPr>
            <w:tcW w:w="1134" w:type="dxa"/>
            <w:vAlign w:val="center"/>
          </w:tcPr>
          <w:p>
            <w:pPr>
              <w:rPr>
                <w:rFonts w:ascii="仿宋_GB2312" w:eastAsia="仿宋_GB2312"/>
                <w:color w:val="auto"/>
              </w:rPr>
            </w:pPr>
          </w:p>
        </w:tc>
        <w:tc>
          <w:tcPr>
            <w:tcW w:w="709" w:type="dxa"/>
            <w:vAlign w:val="center"/>
          </w:tcPr>
          <w:p>
            <w:pPr>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rPr>
                <w:rFonts w:ascii="仿宋_GB2312" w:eastAsia="仿宋_GB2312"/>
                <w:color w:val="auto"/>
              </w:rPr>
            </w:pPr>
          </w:p>
        </w:tc>
        <w:tc>
          <w:tcPr>
            <w:tcW w:w="1165" w:type="dxa"/>
            <w:vAlign w:val="center"/>
          </w:tcPr>
          <w:p>
            <w:pPr>
              <w:rPr>
                <w:rFonts w:ascii="仿宋_GB2312" w:eastAsia="仿宋_GB2312"/>
                <w:color w:val="auto"/>
              </w:rPr>
            </w:pPr>
          </w:p>
        </w:tc>
        <w:tc>
          <w:tcPr>
            <w:tcW w:w="1126" w:type="dxa"/>
            <w:vAlign w:val="center"/>
          </w:tcPr>
          <w:p>
            <w:pPr>
              <w:rPr>
                <w:rFonts w:ascii="仿宋_GB2312" w:eastAsia="仿宋_GB2312"/>
                <w:color w:val="auto"/>
              </w:rPr>
            </w:pPr>
          </w:p>
        </w:tc>
        <w:tc>
          <w:tcPr>
            <w:tcW w:w="567" w:type="dxa"/>
            <w:vAlign w:val="center"/>
          </w:tcPr>
          <w:p>
            <w:pPr>
              <w:rPr>
                <w:rFonts w:ascii="仿宋_GB2312" w:eastAsia="仿宋_GB2312"/>
                <w:color w:val="auto"/>
              </w:rPr>
            </w:pPr>
          </w:p>
        </w:tc>
        <w:tc>
          <w:tcPr>
            <w:tcW w:w="686" w:type="dxa"/>
            <w:vAlign w:val="center"/>
          </w:tcPr>
          <w:p>
            <w:pPr>
              <w:rPr>
                <w:rFonts w:ascii="仿宋_GB2312" w:eastAsia="仿宋_GB2312"/>
                <w:color w:val="auto"/>
              </w:rPr>
            </w:pPr>
          </w:p>
        </w:tc>
        <w:tc>
          <w:tcPr>
            <w:tcW w:w="992" w:type="dxa"/>
            <w:vAlign w:val="top"/>
          </w:tcPr>
          <w:p>
            <w:pPr>
              <w:rPr>
                <w:rFonts w:ascii="仿宋_GB2312" w:eastAsia="仿宋_GB2312"/>
                <w:color w:val="auto"/>
              </w:rPr>
            </w:pPr>
          </w:p>
        </w:tc>
        <w:tc>
          <w:tcPr>
            <w:tcW w:w="1134" w:type="dxa"/>
            <w:vAlign w:val="center"/>
          </w:tcPr>
          <w:p>
            <w:pPr>
              <w:rPr>
                <w:rFonts w:ascii="仿宋_GB2312" w:eastAsia="仿宋_GB2312"/>
                <w:color w:val="auto"/>
              </w:rPr>
            </w:pPr>
          </w:p>
        </w:tc>
        <w:tc>
          <w:tcPr>
            <w:tcW w:w="1134" w:type="dxa"/>
            <w:vAlign w:val="center"/>
          </w:tcPr>
          <w:p>
            <w:pPr>
              <w:rPr>
                <w:rFonts w:ascii="仿宋_GB2312" w:eastAsia="仿宋_GB2312"/>
                <w:color w:val="auto"/>
              </w:rPr>
            </w:pPr>
          </w:p>
        </w:tc>
        <w:tc>
          <w:tcPr>
            <w:tcW w:w="1134" w:type="dxa"/>
            <w:vAlign w:val="center"/>
          </w:tcPr>
          <w:p>
            <w:pPr>
              <w:rPr>
                <w:rFonts w:ascii="仿宋_GB2312" w:eastAsia="仿宋_GB2312"/>
                <w:color w:val="auto"/>
              </w:rPr>
            </w:pPr>
          </w:p>
        </w:tc>
        <w:tc>
          <w:tcPr>
            <w:tcW w:w="709" w:type="dxa"/>
            <w:vAlign w:val="center"/>
          </w:tcPr>
          <w:p>
            <w:pPr>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rPr>
                <w:rFonts w:ascii="仿宋_GB2312" w:eastAsia="仿宋_GB2312"/>
                <w:color w:val="auto"/>
              </w:rPr>
            </w:pPr>
          </w:p>
        </w:tc>
        <w:tc>
          <w:tcPr>
            <w:tcW w:w="1165" w:type="dxa"/>
            <w:vAlign w:val="center"/>
          </w:tcPr>
          <w:p>
            <w:pPr>
              <w:rPr>
                <w:rFonts w:ascii="仿宋_GB2312" w:eastAsia="仿宋_GB2312"/>
                <w:color w:val="auto"/>
              </w:rPr>
            </w:pPr>
          </w:p>
        </w:tc>
        <w:tc>
          <w:tcPr>
            <w:tcW w:w="1126" w:type="dxa"/>
            <w:vAlign w:val="center"/>
          </w:tcPr>
          <w:p>
            <w:pPr>
              <w:rPr>
                <w:rFonts w:ascii="仿宋_GB2312" w:eastAsia="仿宋_GB2312"/>
                <w:color w:val="auto"/>
              </w:rPr>
            </w:pPr>
          </w:p>
        </w:tc>
        <w:tc>
          <w:tcPr>
            <w:tcW w:w="567" w:type="dxa"/>
            <w:vAlign w:val="center"/>
          </w:tcPr>
          <w:p>
            <w:pPr>
              <w:rPr>
                <w:rFonts w:ascii="仿宋_GB2312" w:eastAsia="仿宋_GB2312"/>
                <w:color w:val="auto"/>
              </w:rPr>
            </w:pPr>
          </w:p>
        </w:tc>
        <w:tc>
          <w:tcPr>
            <w:tcW w:w="686" w:type="dxa"/>
            <w:vAlign w:val="center"/>
          </w:tcPr>
          <w:p>
            <w:pPr>
              <w:rPr>
                <w:rFonts w:ascii="仿宋_GB2312" w:eastAsia="仿宋_GB2312"/>
                <w:color w:val="auto"/>
              </w:rPr>
            </w:pPr>
          </w:p>
        </w:tc>
        <w:tc>
          <w:tcPr>
            <w:tcW w:w="992" w:type="dxa"/>
            <w:vAlign w:val="top"/>
          </w:tcPr>
          <w:p>
            <w:pPr>
              <w:rPr>
                <w:rFonts w:ascii="仿宋_GB2312" w:eastAsia="仿宋_GB2312"/>
                <w:color w:val="auto"/>
              </w:rPr>
            </w:pPr>
          </w:p>
        </w:tc>
        <w:tc>
          <w:tcPr>
            <w:tcW w:w="1134" w:type="dxa"/>
            <w:vAlign w:val="center"/>
          </w:tcPr>
          <w:p>
            <w:pPr>
              <w:rPr>
                <w:rFonts w:ascii="仿宋_GB2312" w:eastAsia="仿宋_GB2312"/>
                <w:color w:val="auto"/>
              </w:rPr>
            </w:pPr>
          </w:p>
        </w:tc>
        <w:tc>
          <w:tcPr>
            <w:tcW w:w="1134" w:type="dxa"/>
            <w:vAlign w:val="center"/>
          </w:tcPr>
          <w:p>
            <w:pPr>
              <w:rPr>
                <w:rFonts w:ascii="仿宋_GB2312" w:eastAsia="仿宋_GB2312"/>
                <w:color w:val="auto"/>
              </w:rPr>
            </w:pPr>
          </w:p>
        </w:tc>
        <w:tc>
          <w:tcPr>
            <w:tcW w:w="1134" w:type="dxa"/>
            <w:vAlign w:val="center"/>
          </w:tcPr>
          <w:p>
            <w:pPr>
              <w:rPr>
                <w:rFonts w:ascii="仿宋_GB2312" w:eastAsia="仿宋_GB2312"/>
                <w:color w:val="auto"/>
              </w:rPr>
            </w:pPr>
          </w:p>
        </w:tc>
        <w:tc>
          <w:tcPr>
            <w:tcW w:w="709" w:type="dxa"/>
            <w:vAlign w:val="center"/>
          </w:tcPr>
          <w:p>
            <w:pPr>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rPr>
                <w:rFonts w:ascii="仿宋_GB2312" w:eastAsia="仿宋_GB2312"/>
                <w:color w:val="auto"/>
              </w:rPr>
            </w:pPr>
          </w:p>
        </w:tc>
        <w:tc>
          <w:tcPr>
            <w:tcW w:w="1165" w:type="dxa"/>
            <w:vAlign w:val="center"/>
          </w:tcPr>
          <w:p>
            <w:pPr>
              <w:rPr>
                <w:rFonts w:ascii="仿宋_GB2312" w:eastAsia="仿宋_GB2312"/>
                <w:color w:val="auto"/>
              </w:rPr>
            </w:pPr>
          </w:p>
        </w:tc>
        <w:tc>
          <w:tcPr>
            <w:tcW w:w="1126" w:type="dxa"/>
            <w:vAlign w:val="center"/>
          </w:tcPr>
          <w:p>
            <w:pPr>
              <w:rPr>
                <w:rFonts w:ascii="仿宋_GB2312" w:eastAsia="仿宋_GB2312"/>
                <w:color w:val="auto"/>
              </w:rPr>
            </w:pPr>
          </w:p>
        </w:tc>
        <w:tc>
          <w:tcPr>
            <w:tcW w:w="567" w:type="dxa"/>
            <w:vAlign w:val="center"/>
          </w:tcPr>
          <w:p>
            <w:pPr>
              <w:rPr>
                <w:rFonts w:ascii="仿宋_GB2312" w:eastAsia="仿宋_GB2312"/>
                <w:color w:val="auto"/>
              </w:rPr>
            </w:pPr>
          </w:p>
        </w:tc>
        <w:tc>
          <w:tcPr>
            <w:tcW w:w="686" w:type="dxa"/>
            <w:vAlign w:val="center"/>
          </w:tcPr>
          <w:p>
            <w:pPr>
              <w:rPr>
                <w:rFonts w:ascii="仿宋_GB2312" w:eastAsia="仿宋_GB2312"/>
                <w:color w:val="auto"/>
              </w:rPr>
            </w:pPr>
          </w:p>
        </w:tc>
        <w:tc>
          <w:tcPr>
            <w:tcW w:w="992" w:type="dxa"/>
            <w:vAlign w:val="top"/>
          </w:tcPr>
          <w:p>
            <w:pPr>
              <w:rPr>
                <w:rFonts w:ascii="仿宋_GB2312" w:eastAsia="仿宋_GB2312"/>
                <w:color w:val="auto"/>
              </w:rPr>
            </w:pPr>
          </w:p>
        </w:tc>
        <w:tc>
          <w:tcPr>
            <w:tcW w:w="1134" w:type="dxa"/>
            <w:vAlign w:val="center"/>
          </w:tcPr>
          <w:p>
            <w:pPr>
              <w:rPr>
                <w:rFonts w:ascii="仿宋_GB2312" w:eastAsia="仿宋_GB2312"/>
                <w:color w:val="auto"/>
              </w:rPr>
            </w:pPr>
          </w:p>
        </w:tc>
        <w:tc>
          <w:tcPr>
            <w:tcW w:w="1134" w:type="dxa"/>
            <w:vAlign w:val="center"/>
          </w:tcPr>
          <w:p>
            <w:pPr>
              <w:rPr>
                <w:rFonts w:ascii="仿宋_GB2312" w:eastAsia="仿宋_GB2312"/>
                <w:color w:val="auto"/>
              </w:rPr>
            </w:pPr>
          </w:p>
        </w:tc>
        <w:tc>
          <w:tcPr>
            <w:tcW w:w="1134" w:type="dxa"/>
            <w:vAlign w:val="center"/>
          </w:tcPr>
          <w:p>
            <w:pPr>
              <w:rPr>
                <w:rFonts w:ascii="仿宋_GB2312" w:eastAsia="仿宋_GB2312"/>
                <w:color w:val="auto"/>
              </w:rPr>
            </w:pPr>
          </w:p>
        </w:tc>
        <w:tc>
          <w:tcPr>
            <w:tcW w:w="709" w:type="dxa"/>
            <w:vAlign w:val="center"/>
          </w:tcPr>
          <w:p>
            <w:pPr>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rPr>
                <w:rFonts w:ascii="仿宋_GB2312" w:eastAsia="仿宋_GB2312"/>
                <w:color w:val="auto"/>
              </w:rPr>
            </w:pPr>
          </w:p>
        </w:tc>
        <w:tc>
          <w:tcPr>
            <w:tcW w:w="1165" w:type="dxa"/>
            <w:vAlign w:val="center"/>
          </w:tcPr>
          <w:p>
            <w:pPr>
              <w:rPr>
                <w:rFonts w:ascii="仿宋_GB2312" w:eastAsia="仿宋_GB2312"/>
                <w:color w:val="auto"/>
              </w:rPr>
            </w:pPr>
          </w:p>
        </w:tc>
        <w:tc>
          <w:tcPr>
            <w:tcW w:w="1126" w:type="dxa"/>
            <w:vAlign w:val="center"/>
          </w:tcPr>
          <w:p>
            <w:pPr>
              <w:rPr>
                <w:rFonts w:ascii="仿宋_GB2312" w:eastAsia="仿宋_GB2312"/>
                <w:color w:val="auto"/>
              </w:rPr>
            </w:pPr>
          </w:p>
        </w:tc>
        <w:tc>
          <w:tcPr>
            <w:tcW w:w="567" w:type="dxa"/>
            <w:vAlign w:val="center"/>
          </w:tcPr>
          <w:p>
            <w:pPr>
              <w:rPr>
                <w:rFonts w:ascii="仿宋_GB2312" w:eastAsia="仿宋_GB2312"/>
                <w:color w:val="auto"/>
              </w:rPr>
            </w:pPr>
          </w:p>
        </w:tc>
        <w:tc>
          <w:tcPr>
            <w:tcW w:w="686" w:type="dxa"/>
            <w:vAlign w:val="center"/>
          </w:tcPr>
          <w:p>
            <w:pPr>
              <w:rPr>
                <w:rFonts w:ascii="仿宋_GB2312" w:eastAsia="仿宋_GB2312"/>
                <w:color w:val="auto"/>
              </w:rPr>
            </w:pPr>
          </w:p>
        </w:tc>
        <w:tc>
          <w:tcPr>
            <w:tcW w:w="992" w:type="dxa"/>
            <w:vAlign w:val="top"/>
          </w:tcPr>
          <w:p>
            <w:pPr>
              <w:rPr>
                <w:rFonts w:ascii="仿宋_GB2312" w:eastAsia="仿宋_GB2312"/>
                <w:color w:val="auto"/>
              </w:rPr>
            </w:pPr>
          </w:p>
        </w:tc>
        <w:tc>
          <w:tcPr>
            <w:tcW w:w="1134" w:type="dxa"/>
            <w:vAlign w:val="center"/>
          </w:tcPr>
          <w:p>
            <w:pPr>
              <w:rPr>
                <w:rFonts w:ascii="仿宋_GB2312" w:eastAsia="仿宋_GB2312"/>
                <w:color w:val="auto"/>
              </w:rPr>
            </w:pPr>
          </w:p>
        </w:tc>
        <w:tc>
          <w:tcPr>
            <w:tcW w:w="1134" w:type="dxa"/>
            <w:vAlign w:val="center"/>
          </w:tcPr>
          <w:p>
            <w:pPr>
              <w:rPr>
                <w:rFonts w:ascii="仿宋_GB2312" w:eastAsia="仿宋_GB2312"/>
                <w:color w:val="auto"/>
              </w:rPr>
            </w:pPr>
          </w:p>
        </w:tc>
        <w:tc>
          <w:tcPr>
            <w:tcW w:w="1134" w:type="dxa"/>
            <w:vAlign w:val="center"/>
          </w:tcPr>
          <w:p>
            <w:pPr>
              <w:rPr>
                <w:rFonts w:ascii="仿宋_GB2312" w:eastAsia="仿宋_GB2312"/>
                <w:color w:val="auto"/>
              </w:rPr>
            </w:pPr>
          </w:p>
        </w:tc>
        <w:tc>
          <w:tcPr>
            <w:tcW w:w="709" w:type="dxa"/>
            <w:vAlign w:val="center"/>
          </w:tcPr>
          <w:p>
            <w:pPr>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rPr>
                <w:rFonts w:ascii="仿宋_GB2312" w:eastAsia="仿宋_GB2312"/>
                <w:color w:val="auto"/>
              </w:rPr>
            </w:pPr>
          </w:p>
        </w:tc>
        <w:tc>
          <w:tcPr>
            <w:tcW w:w="1165" w:type="dxa"/>
            <w:vAlign w:val="center"/>
          </w:tcPr>
          <w:p>
            <w:pPr>
              <w:rPr>
                <w:rFonts w:ascii="仿宋_GB2312" w:eastAsia="仿宋_GB2312"/>
                <w:color w:val="auto"/>
              </w:rPr>
            </w:pPr>
          </w:p>
        </w:tc>
        <w:tc>
          <w:tcPr>
            <w:tcW w:w="1126" w:type="dxa"/>
            <w:vAlign w:val="center"/>
          </w:tcPr>
          <w:p>
            <w:pPr>
              <w:rPr>
                <w:rFonts w:ascii="仿宋_GB2312" w:eastAsia="仿宋_GB2312"/>
                <w:color w:val="auto"/>
              </w:rPr>
            </w:pPr>
          </w:p>
        </w:tc>
        <w:tc>
          <w:tcPr>
            <w:tcW w:w="567" w:type="dxa"/>
            <w:vAlign w:val="center"/>
          </w:tcPr>
          <w:p>
            <w:pPr>
              <w:rPr>
                <w:rFonts w:ascii="仿宋_GB2312" w:eastAsia="仿宋_GB2312"/>
                <w:color w:val="auto"/>
              </w:rPr>
            </w:pPr>
          </w:p>
        </w:tc>
        <w:tc>
          <w:tcPr>
            <w:tcW w:w="686" w:type="dxa"/>
            <w:vAlign w:val="center"/>
          </w:tcPr>
          <w:p>
            <w:pPr>
              <w:rPr>
                <w:rFonts w:ascii="仿宋_GB2312" w:eastAsia="仿宋_GB2312"/>
                <w:color w:val="auto"/>
              </w:rPr>
            </w:pPr>
          </w:p>
        </w:tc>
        <w:tc>
          <w:tcPr>
            <w:tcW w:w="992" w:type="dxa"/>
            <w:vAlign w:val="top"/>
          </w:tcPr>
          <w:p>
            <w:pPr>
              <w:rPr>
                <w:rFonts w:ascii="仿宋_GB2312" w:eastAsia="仿宋_GB2312"/>
                <w:color w:val="auto"/>
              </w:rPr>
            </w:pPr>
          </w:p>
        </w:tc>
        <w:tc>
          <w:tcPr>
            <w:tcW w:w="1134" w:type="dxa"/>
            <w:vAlign w:val="center"/>
          </w:tcPr>
          <w:p>
            <w:pPr>
              <w:rPr>
                <w:rFonts w:ascii="仿宋_GB2312" w:eastAsia="仿宋_GB2312"/>
                <w:color w:val="auto"/>
              </w:rPr>
            </w:pPr>
          </w:p>
        </w:tc>
        <w:tc>
          <w:tcPr>
            <w:tcW w:w="1134" w:type="dxa"/>
            <w:vAlign w:val="center"/>
          </w:tcPr>
          <w:p>
            <w:pPr>
              <w:rPr>
                <w:rFonts w:ascii="仿宋_GB2312" w:eastAsia="仿宋_GB2312"/>
                <w:color w:val="auto"/>
              </w:rPr>
            </w:pPr>
          </w:p>
        </w:tc>
        <w:tc>
          <w:tcPr>
            <w:tcW w:w="1134" w:type="dxa"/>
            <w:vAlign w:val="center"/>
          </w:tcPr>
          <w:p>
            <w:pPr>
              <w:rPr>
                <w:rFonts w:ascii="仿宋_GB2312" w:eastAsia="仿宋_GB2312"/>
                <w:color w:val="auto"/>
              </w:rPr>
            </w:pPr>
          </w:p>
        </w:tc>
        <w:tc>
          <w:tcPr>
            <w:tcW w:w="709" w:type="dxa"/>
            <w:vAlign w:val="center"/>
          </w:tcPr>
          <w:p>
            <w:pPr>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rPr>
                <w:rFonts w:ascii="仿宋_GB2312" w:eastAsia="仿宋_GB2312"/>
                <w:color w:val="auto"/>
              </w:rPr>
            </w:pPr>
          </w:p>
        </w:tc>
        <w:tc>
          <w:tcPr>
            <w:tcW w:w="1165" w:type="dxa"/>
            <w:vAlign w:val="center"/>
          </w:tcPr>
          <w:p>
            <w:pPr>
              <w:rPr>
                <w:rFonts w:ascii="仿宋_GB2312" w:eastAsia="仿宋_GB2312"/>
                <w:color w:val="auto"/>
              </w:rPr>
            </w:pPr>
          </w:p>
        </w:tc>
        <w:tc>
          <w:tcPr>
            <w:tcW w:w="1126" w:type="dxa"/>
            <w:vAlign w:val="center"/>
          </w:tcPr>
          <w:p>
            <w:pPr>
              <w:rPr>
                <w:rFonts w:ascii="仿宋_GB2312" w:eastAsia="仿宋_GB2312"/>
                <w:color w:val="auto"/>
              </w:rPr>
            </w:pPr>
          </w:p>
        </w:tc>
        <w:tc>
          <w:tcPr>
            <w:tcW w:w="567" w:type="dxa"/>
            <w:vAlign w:val="center"/>
          </w:tcPr>
          <w:p>
            <w:pPr>
              <w:rPr>
                <w:rFonts w:ascii="仿宋_GB2312" w:eastAsia="仿宋_GB2312"/>
                <w:color w:val="auto"/>
              </w:rPr>
            </w:pPr>
          </w:p>
        </w:tc>
        <w:tc>
          <w:tcPr>
            <w:tcW w:w="686" w:type="dxa"/>
            <w:vAlign w:val="center"/>
          </w:tcPr>
          <w:p>
            <w:pPr>
              <w:rPr>
                <w:rFonts w:ascii="仿宋_GB2312" w:eastAsia="仿宋_GB2312"/>
                <w:color w:val="auto"/>
              </w:rPr>
            </w:pPr>
          </w:p>
        </w:tc>
        <w:tc>
          <w:tcPr>
            <w:tcW w:w="992" w:type="dxa"/>
            <w:vAlign w:val="top"/>
          </w:tcPr>
          <w:p>
            <w:pPr>
              <w:rPr>
                <w:rFonts w:ascii="仿宋_GB2312" w:eastAsia="仿宋_GB2312"/>
                <w:color w:val="auto"/>
              </w:rPr>
            </w:pPr>
          </w:p>
        </w:tc>
        <w:tc>
          <w:tcPr>
            <w:tcW w:w="1134" w:type="dxa"/>
            <w:vAlign w:val="center"/>
          </w:tcPr>
          <w:p>
            <w:pPr>
              <w:rPr>
                <w:rFonts w:ascii="仿宋_GB2312" w:eastAsia="仿宋_GB2312"/>
                <w:color w:val="auto"/>
              </w:rPr>
            </w:pPr>
          </w:p>
        </w:tc>
        <w:tc>
          <w:tcPr>
            <w:tcW w:w="1134" w:type="dxa"/>
            <w:vAlign w:val="center"/>
          </w:tcPr>
          <w:p>
            <w:pPr>
              <w:rPr>
                <w:rFonts w:ascii="仿宋_GB2312" w:eastAsia="仿宋_GB2312"/>
                <w:color w:val="auto"/>
              </w:rPr>
            </w:pPr>
          </w:p>
        </w:tc>
        <w:tc>
          <w:tcPr>
            <w:tcW w:w="1134" w:type="dxa"/>
            <w:vAlign w:val="center"/>
          </w:tcPr>
          <w:p>
            <w:pPr>
              <w:rPr>
                <w:rFonts w:ascii="仿宋_GB2312" w:eastAsia="仿宋_GB2312"/>
                <w:color w:val="auto"/>
              </w:rPr>
            </w:pPr>
          </w:p>
        </w:tc>
        <w:tc>
          <w:tcPr>
            <w:tcW w:w="709" w:type="dxa"/>
            <w:vAlign w:val="center"/>
          </w:tcPr>
          <w:p>
            <w:pPr>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rPr>
                <w:rFonts w:ascii="仿宋_GB2312" w:eastAsia="仿宋_GB2312"/>
                <w:color w:val="auto"/>
              </w:rPr>
            </w:pPr>
          </w:p>
        </w:tc>
        <w:tc>
          <w:tcPr>
            <w:tcW w:w="1165" w:type="dxa"/>
            <w:vAlign w:val="center"/>
          </w:tcPr>
          <w:p>
            <w:pPr>
              <w:rPr>
                <w:rFonts w:ascii="仿宋_GB2312" w:eastAsia="仿宋_GB2312"/>
                <w:color w:val="auto"/>
              </w:rPr>
            </w:pPr>
          </w:p>
        </w:tc>
        <w:tc>
          <w:tcPr>
            <w:tcW w:w="1126" w:type="dxa"/>
            <w:vAlign w:val="center"/>
          </w:tcPr>
          <w:p>
            <w:pPr>
              <w:rPr>
                <w:rFonts w:ascii="仿宋_GB2312" w:eastAsia="仿宋_GB2312"/>
                <w:color w:val="auto"/>
              </w:rPr>
            </w:pPr>
          </w:p>
        </w:tc>
        <w:tc>
          <w:tcPr>
            <w:tcW w:w="567" w:type="dxa"/>
            <w:vAlign w:val="center"/>
          </w:tcPr>
          <w:p>
            <w:pPr>
              <w:rPr>
                <w:rFonts w:ascii="仿宋_GB2312" w:eastAsia="仿宋_GB2312"/>
                <w:color w:val="auto"/>
              </w:rPr>
            </w:pPr>
          </w:p>
        </w:tc>
        <w:tc>
          <w:tcPr>
            <w:tcW w:w="686" w:type="dxa"/>
            <w:vAlign w:val="center"/>
          </w:tcPr>
          <w:p>
            <w:pPr>
              <w:rPr>
                <w:rFonts w:ascii="仿宋_GB2312" w:eastAsia="仿宋_GB2312"/>
                <w:color w:val="auto"/>
              </w:rPr>
            </w:pPr>
          </w:p>
        </w:tc>
        <w:tc>
          <w:tcPr>
            <w:tcW w:w="992" w:type="dxa"/>
            <w:vAlign w:val="top"/>
          </w:tcPr>
          <w:p>
            <w:pPr>
              <w:rPr>
                <w:rFonts w:ascii="仿宋_GB2312" w:eastAsia="仿宋_GB2312"/>
                <w:color w:val="auto"/>
              </w:rPr>
            </w:pPr>
          </w:p>
        </w:tc>
        <w:tc>
          <w:tcPr>
            <w:tcW w:w="1134" w:type="dxa"/>
            <w:vAlign w:val="center"/>
          </w:tcPr>
          <w:p>
            <w:pPr>
              <w:rPr>
                <w:rFonts w:ascii="仿宋_GB2312" w:eastAsia="仿宋_GB2312"/>
                <w:color w:val="auto"/>
              </w:rPr>
            </w:pPr>
          </w:p>
        </w:tc>
        <w:tc>
          <w:tcPr>
            <w:tcW w:w="1134" w:type="dxa"/>
            <w:vAlign w:val="center"/>
          </w:tcPr>
          <w:p>
            <w:pPr>
              <w:rPr>
                <w:rFonts w:ascii="仿宋_GB2312" w:eastAsia="仿宋_GB2312"/>
                <w:color w:val="auto"/>
              </w:rPr>
            </w:pPr>
          </w:p>
        </w:tc>
        <w:tc>
          <w:tcPr>
            <w:tcW w:w="1134" w:type="dxa"/>
            <w:vAlign w:val="center"/>
          </w:tcPr>
          <w:p>
            <w:pPr>
              <w:rPr>
                <w:rFonts w:ascii="仿宋_GB2312" w:eastAsia="仿宋_GB2312"/>
                <w:color w:val="auto"/>
              </w:rPr>
            </w:pPr>
          </w:p>
        </w:tc>
        <w:tc>
          <w:tcPr>
            <w:tcW w:w="709" w:type="dxa"/>
            <w:vAlign w:val="center"/>
          </w:tcPr>
          <w:p>
            <w:pPr>
              <w:rPr>
                <w:rFonts w:ascii="仿宋_GB2312" w:eastAsia="仿宋_GB2312"/>
                <w:color w:val="auto"/>
              </w:rPr>
            </w:pPr>
          </w:p>
        </w:tc>
      </w:tr>
    </w:tbl>
    <w:p>
      <w:pPr>
        <w:rPr>
          <w:color w:val="auto"/>
        </w:rPr>
      </w:pPr>
    </w:p>
    <w:p>
      <w:pPr>
        <w:rPr>
          <w:color w:val="auto"/>
        </w:rPr>
      </w:pPr>
      <w:r>
        <w:rPr>
          <w:color w:val="auto"/>
        </w:rPr>
        <w:br w:type="page"/>
      </w:r>
    </w:p>
    <w:p>
      <w:pPr>
        <w:pStyle w:val="303"/>
        <w:numPr>
          <w:ilvl w:val="0"/>
          <w:numId w:val="0"/>
        </w:numPr>
        <w:rPr>
          <w:color w:val="auto"/>
        </w:rPr>
      </w:pPr>
      <w:bookmarkStart w:id="1168" w:name="_Toc54862354"/>
      <w:bookmarkStart w:id="1169" w:name="_Toc20171895"/>
      <w:r>
        <w:rPr>
          <w:rFonts w:hint="eastAsia"/>
          <w:color w:val="auto"/>
        </w:rPr>
        <w:t>附件</w:t>
      </w:r>
      <w:r>
        <w:rPr>
          <w:color w:val="auto"/>
        </w:rPr>
        <w:t>3 工程质量保修书</w:t>
      </w:r>
      <w:bookmarkEnd w:id="1168"/>
      <w:bookmarkEnd w:id="1169"/>
    </w:p>
    <w:p>
      <w:pPr>
        <w:rPr>
          <w:rFonts w:ascii="仿宋_GB2312" w:eastAsia="仿宋_GB2312"/>
          <w:color w:val="auto"/>
          <w:sz w:val="24"/>
        </w:rPr>
      </w:pPr>
      <w:r>
        <w:rPr>
          <w:rFonts w:hint="eastAsia" w:ascii="仿宋_GB2312" w:eastAsia="仿宋_GB2312"/>
          <w:color w:val="auto"/>
          <w:sz w:val="24"/>
        </w:rPr>
        <w:t>发包人（全称）：</w:t>
      </w:r>
      <w:r>
        <w:rPr>
          <w:rFonts w:ascii="仿宋_GB2312" w:eastAsia="仿宋_GB2312"/>
          <w:color w:val="auto"/>
          <w:sz w:val="24"/>
          <w:u w:val="single"/>
        </w:rPr>
        <w:t xml:space="preserve">                                  </w:t>
      </w:r>
    </w:p>
    <w:p>
      <w:pPr>
        <w:rPr>
          <w:rFonts w:ascii="仿宋_GB2312" w:eastAsia="仿宋_GB2312"/>
          <w:color w:val="auto"/>
          <w:sz w:val="24"/>
        </w:rPr>
      </w:pPr>
      <w:r>
        <w:rPr>
          <w:rFonts w:hint="eastAsia" w:ascii="仿宋_GB2312" w:eastAsia="仿宋_GB2312"/>
          <w:color w:val="auto"/>
          <w:sz w:val="24"/>
        </w:rPr>
        <w:t>承包人（全称）：</w:t>
      </w:r>
      <w:r>
        <w:rPr>
          <w:rFonts w:ascii="仿宋_GB2312" w:eastAsia="仿宋_GB2312"/>
          <w:color w:val="auto"/>
          <w:sz w:val="24"/>
          <w:u w:val="single"/>
        </w:rPr>
        <w:t xml:space="preserve">                                  </w:t>
      </w:r>
    </w:p>
    <w:p>
      <w:pPr>
        <w:ind w:firstLine="600"/>
        <w:rPr>
          <w:rFonts w:ascii="仿宋_GB2312" w:eastAsia="仿宋_GB2312"/>
          <w:color w:val="auto"/>
          <w:sz w:val="24"/>
        </w:rPr>
      </w:pPr>
      <w:r>
        <w:rPr>
          <w:rFonts w:hint="eastAsia" w:ascii="仿宋_GB2312" w:eastAsia="仿宋_GB2312"/>
          <w:color w:val="auto"/>
          <w:sz w:val="24"/>
        </w:rPr>
        <w:t>发包人和承包人根据《中华人民共和国建筑法》和《建设工程质量管理条例》，经协商一致就</w:t>
      </w:r>
      <w:r>
        <w:rPr>
          <w:rFonts w:ascii="仿宋_GB2312" w:eastAsia="仿宋_GB2312"/>
          <w:color w:val="auto"/>
          <w:sz w:val="24"/>
          <w:u w:val="single"/>
        </w:rPr>
        <w:t xml:space="preserve">                 </w:t>
      </w:r>
      <w:r>
        <w:rPr>
          <w:rFonts w:hint="eastAsia" w:ascii="仿宋_GB2312" w:eastAsia="仿宋_GB2312"/>
          <w:color w:val="auto"/>
          <w:sz w:val="24"/>
        </w:rPr>
        <w:t>（工程全称）订立工程质量保修书。</w:t>
      </w:r>
    </w:p>
    <w:p>
      <w:pPr>
        <w:ind w:firstLine="600"/>
        <w:rPr>
          <w:rFonts w:ascii="黑体" w:hAnsi="黑体" w:eastAsia="黑体"/>
          <w:color w:val="auto"/>
          <w:sz w:val="24"/>
        </w:rPr>
      </w:pPr>
      <w:r>
        <w:rPr>
          <w:rFonts w:hint="eastAsia" w:ascii="黑体" w:hAnsi="黑体" w:eastAsia="黑体"/>
          <w:color w:val="auto"/>
          <w:sz w:val="24"/>
        </w:rPr>
        <w:t>一、工程质量保修范围和内容</w:t>
      </w:r>
    </w:p>
    <w:p>
      <w:pPr>
        <w:ind w:firstLine="600"/>
        <w:rPr>
          <w:rFonts w:ascii="仿宋_GB2312" w:eastAsia="仿宋_GB2312"/>
          <w:color w:val="auto"/>
          <w:sz w:val="24"/>
        </w:rPr>
      </w:pPr>
      <w:r>
        <w:rPr>
          <w:rFonts w:hint="eastAsia" w:ascii="仿宋_GB2312" w:eastAsia="仿宋_GB2312"/>
          <w:color w:val="auto"/>
          <w:sz w:val="24"/>
        </w:rPr>
        <w:t>承包人在质量保修期内，按照有关法律规定和合同约定，承担工程质量保修责任。</w:t>
      </w:r>
    </w:p>
    <w:p>
      <w:pPr>
        <w:ind w:firstLine="600"/>
        <w:rPr>
          <w:rFonts w:ascii="仿宋_GB2312" w:eastAsia="仿宋_GB2312"/>
          <w:color w:val="auto"/>
          <w:sz w:val="24"/>
        </w:rPr>
      </w:pPr>
      <w:r>
        <w:rPr>
          <w:rFonts w:hint="eastAsia" w:ascii="仿宋_GB2312" w:eastAsia="仿宋_GB2312"/>
          <w:color w:val="auto"/>
          <w:sz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黑体" w:hAnsi="黑体" w:eastAsia="黑体"/>
          <w:color w:val="auto"/>
          <w:sz w:val="24"/>
        </w:rPr>
      </w:pPr>
      <w:r>
        <w:rPr>
          <w:rFonts w:hint="eastAsia" w:ascii="黑体" w:hAnsi="黑体" w:eastAsia="黑体"/>
          <w:color w:val="auto"/>
          <w:sz w:val="24"/>
        </w:rPr>
        <w:t>二、质量保修期</w:t>
      </w:r>
    </w:p>
    <w:p>
      <w:pPr>
        <w:ind w:firstLine="600"/>
        <w:rPr>
          <w:rFonts w:ascii="仿宋_GB2312" w:eastAsia="仿宋_GB2312"/>
          <w:color w:val="auto"/>
          <w:sz w:val="24"/>
        </w:rPr>
      </w:pPr>
      <w:r>
        <w:rPr>
          <w:rFonts w:hint="eastAsia" w:ascii="仿宋_GB2312" w:eastAsia="仿宋_GB2312"/>
          <w:color w:val="auto"/>
          <w:sz w:val="24"/>
        </w:rPr>
        <w:t>根据《建设工程质量管理条例》及有关规定，工程的质量保修期如下：</w:t>
      </w:r>
    </w:p>
    <w:p>
      <w:pPr>
        <w:ind w:firstLine="600"/>
        <w:rPr>
          <w:rFonts w:ascii="仿宋_GB2312" w:eastAsia="仿宋_GB2312"/>
          <w:color w:val="auto"/>
          <w:sz w:val="24"/>
        </w:rPr>
      </w:pPr>
      <w:r>
        <w:rPr>
          <w:rFonts w:hint="eastAsia" w:ascii="仿宋_GB2312" w:eastAsia="仿宋_GB2312"/>
          <w:color w:val="auto"/>
          <w:sz w:val="24"/>
        </w:rPr>
        <w:t>1．地基基础工程和主体结构工程为设计文件规定的工程合理使用年限；</w:t>
      </w:r>
    </w:p>
    <w:p>
      <w:pPr>
        <w:ind w:firstLine="600"/>
        <w:rPr>
          <w:rFonts w:ascii="仿宋_GB2312" w:eastAsia="仿宋_GB2312"/>
          <w:color w:val="auto"/>
          <w:sz w:val="24"/>
        </w:rPr>
      </w:pPr>
      <w:r>
        <w:rPr>
          <w:rFonts w:hint="eastAsia" w:ascii="仿宋_GB2312" w:eastAsia="仿宋_GB2312"/>
          <w:color w:val="auto"/>
          <w:sz w:val="24"/>
        </w:rPr>
        <w:t>2．屋面防水工程、有防水要求的卫生间、房间和外墙面的防渗为</w:t>
      </w:r>
      <w:r>
        <w:rPr>
          <w:rFonts w:ascii="仿宋_GB2312" w:eastAsia="仿宋_GB2312"/>
          <w:color w:val="auto"/>
          <w:sz w:val="24"/>
          <w:u w:val="single"/>
        </w:rPr>
        <w:t xml:space="preserve">       </w:t>
      </w:r>
      <w:r>
        <w:rPr>
          <w:rFonts w:hint="eastAsia" w:ascii="仿宋_GB2312" w:eastAsia="仿宋_GB2312"/>
          <w:color w:val="auto"/>
          <w:sz w:val="24"/>
        </w:rPr>
        <w:t>年；</w:t>
      </w:r>
    </w:p>
    <w:p>
      <w:pPr>
        <w:ind w:firstLine="600"/>
        <w:rPr>
          <w:rFonts w:ascii="仿宋_GB2312" w:eastAsia="仿宋_GB2312"/>
          <w:color w:val="auto"/>
          <w:sz w:val="24"/>
        </w:rPr>
      </w:pPr>
      <w:r>
        <w:rPr>
          <w:rFonts w:hint="eastAsia" w:ascii="仿宋_GB2312" w:eastAsia="仿宋_GB2312"/>
          <w:color w:val="auto"/>
          <w:sz w:val="24"/>
        </w:rPr>
        <w:t>3．装修工程为</w:t>
      </w:r>
      <w:r>
        <w:rPr>
          <w:rFonts w:ascii="仿宋_GB2312" w:eastAsia="仿宋_GB2312"/>
          <w:color w:val="auto"/>
          <w:sz w:val="24"/>
          <w:u w:val="single"/>
        </w:rPr>
        <w:t xml:space="preserve">         </w:t>
      </w:r>
      <w:r>
        <w:rPr>
          <w:rFonts w:hint="eastAsia" w:ascii="仿宋_GB2312" w:eastAsia="仿宋_GB2312"/>
          <w:color w:val="auto"/>
          <w:sz w:val="24"/>
        </w:rPr>
        <w:t>年；</w:t>
      </w:r>
    </w:p>
    <w:p>
      <w:pPr>
        <w:ind w:firstLine="600"/>
        <w:rPr>
          <w:rFonts w:ascii="仿宋_GB2312" w:eastAsia="仿宋_GB2312"/>
          <w:color w:val="auto"/>
          <w:sz w:val="24"/>
        </w:rPr>
      </w:pPr>
      <w:r>
        <w:rPr>
          <w:rFonts w:hint="eastAsia" w:ascii="仿宋_GB2312" w:eastAsia="仿宋_GB2312"/>
          <w:color w:val="auto"/>
          <w:sz w:val="24"/>
        </w:rPr>
        <w:t>4．电气管线、给排水管道、设备安装工程为</w:t>
      </w:r>
      <w:r>
        <w:rPr>
          <w:rFonts w:ascii="仿宋_GB2312" w:eastAsia="仿宋_GB2312"/>
          <w:color w:val="auto"/>
          <w:sz w:val="24"/>
          <w:u w:val="single"/>
        </w:rPr>
        <w:t xml:space="preserve">           </w:t>
      </w:r>
      <w:r>
        <w:rPr>
          <w:rFonts w:hint="eastAsia" w:ascii="仿宋_GB2312" w:eastAsia="仿宋_GB2312"/>
          <w:color w:val="auto"/>
          <w:sz w:val="24"/>
        </w:rPr>
        <w:t>年；</w:t>
      </w:r>
    </w:p>
    <w:p>
      <w:pPr>
        <w:ind w:firstLine="600"/>
        <w:rPr>
          <w:rFonts w:ascii="仿宋_GB2312" w:eastAsia="仿宋_GB2312"/>
          <w:color w:val="auto"/>
          <w:sz w:val="24"/>
        </w:rPr>
      </w:pPr>
      <w:r>
        <w:rPr>
          <w:rFonts w:hint="eastAsia" w:ascii="仿宋_GB2312" w:eastAsia="仿宋_GB2312"/>
          <w:color w:val="auto"/>
          <w:sz w:val="24"/>
        </w:rPr>
        <w:t>5．供热与供冷系统为</w:t>
      </w:r>
      <w:r>
        <w:rPr>
          <w:rFonts w:ascii="仿宋_GB2312" w:eastAsia="仿宋_GB2312"/>
          <w:color w:val="auto"/>
          <w:sz w:val="24"/>
          <w:u w:val="single"/>
        </w:rPr>
        <w:t xml:space="preserve">        </w:t>
      </w:r>
      <w:r>
        <w:rPr>
          <w:rFonts w:hint="eastAsia" w:ascii="仿宋_GB2312" w:eastAsia="仿宋_GB2312"/>
          <w:color w:val="auto"/>
          <w:sz w:val="24"/>
        </w:rPr>
        <w:t>个采暖期、供冷期；</w:t>
      </w:r>
    </w:p>
    <w:p>
      <w:pPr>
        <w:ind w:firstLine="600"/>
        <w:rPr>
          <w:rFonts w:ascii="仿宋_GB2312" w:eastAsia="仿宋_GB2312"/>
          <w:color w:val="auto"/>
          <w:sz w:val="24"/>
        </w:rPr>
      </w:pPr>
      <w:r>
        <w:rPr>
          <w:rFonts w:hint="eastAsia" w:ascii="仿宋_GB2312" w:eastAsia="仿宋_GB2312"/>
          <w:color w:val="auto"/>
          <w:sz w:val="24"/>
        </w:rPr>
        <w:t>6．住宅小区内的给排水设施、道路等配套工程为</w:t>
      </w:r>
      <w:r>
        <w:rPr>
          <w:rFonts w:ascii="仿宋_GB2312" w:eastAsia="仿宋_GB2312"/>
          <w:color w:val="auto"/>
          <w:sz w:val="24"/>
          <w:u w:val="single"/>
        </w:rPr>
        <w:t xml:space="preserve">         </w:t>
      </w:r>
      <w:r>
        <w:rPr>
          <w:rFonts w:hint="eastAsia" w:ascii="仿宋_GB2312" w:eastAsia="仿宋_GB2312"/>
          <w:color w:val="auto"/>
          <w:sz w:val="24"/>
        </w:rPr>
        <w:t>年；</w:t>
      </w:r>
    </w:p>
    <w:p>
      <w:pPr>
        <w:ind w:firstLine="600"/>
        <w:rPr>
          <w:rFonts w:ascii="仿宋_GB2312" w:eastAsia="仿宋_GB2312"/>
          <w:color w:val="auto"/>
          <w:sz w:val="24"/>
        </w:rPr>
      </w:pPr>
      <w:r>
        <w:rPr>
          <w:rFonts w:hint="eastAsia" w:ascii="仿宋_GB2312" w:eastAsia="仿宋_GB2312"/>
          <w:color w:val="auto"/>
          <w:sz w:val="24"/>
        </w:rPr>
        <w:t>7．其他项目保修期限约定如下：</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质量保修期自工程竣工验收合格之日起计算。</w:t>
      </w:r>
    </w:p>
    <w:p>
      <w:pPr>
        <w:ind w:firstLine="600"/>
        <w:rPr>
          <w:rFonts w:ascii="黑体" w:hAnsi="黑体" w:eastAsia="黑体"/>
          <w:color w:val="auto"/>
          <w:sz w:val="24"/>
        </w:rPr>
      </w:pPr>
      <w:r>
        <w:rPr>
          <w:rFonts w:hint="eastAsia" w:ascii="黑体" w:hAnsi="黑体" w:eastAsia="黑体"/>
          <w:color w:val="auto"/>
          <w:sz w:val="24"/>
        </w:rPr>
        <w:t>三、缺陷责任期</w:t>
      </w:r>
    </w:p>
    <w:p>
      <w:pPr>
        <w:ind w:firstLine="600"/>
        <w:rPr>
          <w:rFonts w:ascii="仿宋_GB2312" w:eastAsia="仿宋_GB2312"/>
          <w:color w:val="auto"/>
          <w:sz w:val="24"/>
        </w:rPr>
      </w:pPr>
      <w:r>
        <w:rPr>
          <w:rFonts w:hint="eastAsia" w:ascii="仿宋_GB2312" w:eastAsia="仿宋_GB2312"/>
          <w:color w:val="auto"/>
          <w:sz w:val="24"/>
        </w:rPr>
        <w:t>工程缺陷责任期为</w:t>
      </w:r>
      <w:r>
        <w:rPr>
          <w:rFonts w:ascii="仿宋_GB2312" w:eastAsia="仿宋_GB2312"/>
          <w:color w:val="auto"/>
          <w:sz w:val="24"/>
          <w:u w:val="single"/>
        </w:rPr>
        <w:t xml:space="preserve">      </w:t>
      </w:r>
      <w:r>
        <w:rPr>
          <w:rFonts w:hint="eastAsia" w:ascii="仿宋_GB2312" w:eastAsia="仿宋_GB2312"/>
          <w:color w:val="auto"/>
          <w:sz w:val="24"/>
        </w:rPr>
        <w:t>个月，缺陷责任期自工程通过竣工验收之日起计算。单位/区段工程先于全部工程进行验收，单位/区段工程缺陷责任期自单位/区段工程验收合格之日起算。</w:t>
      </w:r>
    </w:p>
    <w:p>
      <w:pPr>
        <w:ind w:firstLine="600"/>
        <w:rPr>
          <w:rFonts w:ascii="仿宋_GB2312" w:eastAsia="仿宋_GB2312"/>
          <w:color w:val="auto"/>
          <w:sz w:val="24"/>
        </w:rPr>
      </w:pPr>
      <w:r>
        <w:rPr>
          <w:rFonts w:hint="eastAsia" w:ascii="仿宋_GB2312" w:eastAsia="仿宋_GB2312"/>
          <w:color w:val="auto"/>
          <w:sz w:val="24"/>
        </w:rPr>
        <w:t>缺陷责任期终止后，发包人应返还剩余的质量保证金。</w:t>
      </w:r>
    </w:p>
    <w:p>
      <w:pPr>
        <w:ind w:firstLine="600"/>
        <w:rPr>
          <w:rFonts w:ascii="黑体" w:hAnsi="黑体" w:eastAsia="黑体"/>
          <w:color w:val="auto"/>
          <w:sz w:val="24"/>
        </w:rPr>
      </w:pPr>
      <w:r>
        <w:rPr>
          <w:rFonts w:hint="eastAsia" w:ascii="黑体" w:hAnsi="黑体" w:eastAsia="黑体"/>
          <w:color w:val="auto"/>
          <w:sz w:val="24"/>
        </w:rPr>
        <w:t>四、质量保修责任</w:t>
      </w:r>
    </w:p>
    <w:p>
      <w:pPr>
        <w:ind w:firstLine="600"/>
        <w:rPr>
          <w:rFonts w:ascii="仿宋_GB2312" w:eastAsia="仿宋_GB2312"/>
          <w:color w:val="auto"/>
          <w:sz w:val="24"/>
        </w:rPr>
      </w:pPr>
      <w:r>
        <w:rPr>
          <w:rFonts w:hint="eastAsia" w:ascii="仿宋_GB2312" w:eastAsia="仿宋_GB2312"/>
          <w:color w:val="auto"/>
          <w:sz w:val="24"/>
        </w:rPr>
        <w:t>1．属于保修范围、内容的项目，承包人应当在接到保修通知之日起7天内派人保修。承包人不在约定期限内派人保修的，发包人可以委托他人修理。</w:t>
      </w:r>
    </w:p>
    <w:p>
      <w:pPr>
        <w:ind w:firstLine="600"/>
        <w:rPr>
          <w:rFonts w:ascii="仿宋_GB2312" w:eastAsia="仿宋_GB2312"/>
          <w:color w:val="auto"/>
          <w:sz w:val="24"/>
        </w:rPr>
      </w:pPr>
      <w:r>
        <w:rPr>
          <w:rFonts w:hint="eastAsia" w:ascii="仿宋_GB2312" w:eastAsia="仿宋_GB2312"/>
          <w:color w:val="auto"/>
          <w:sz w:val="24"/>
        </w:rPr>
        <w:t>2．发生紧急事故需抢修的，承包人在接到事故通知后，应当立即到达事故现场抢修。</w:t>
      </w:r>
    </w:p>
    <w:p>
      <w:pPr>
        <w:ind w:firstLine="600"/>
        <w:rPr>
          <w:rFonts w:ascii="仿宋_GB2312" w:eastAsia="仿宋_GB2312"/>
          <w:color w:val="auto"/>
          <w:sz w:val="24"/>
        </w:rPr>
      </w:pPr>
      <w:r>
        <w:rPr>
          <w:rFonts w:hint="eastAsia" w:ascii="仿宋_GB2312" w:eastAsia="仿宋_GB2312"/>
          <w:color w:val="auto"/>
          <w:sz w:val="24"/>
        </w:rPr>
        <w:t>3．对于涉及结构安全的质量问题，应当按照《建设工程质量管理条例》的规定，立即向当地建设行政主管部门和有关部门报告，采取安全防范措施，并由承包人提出保修方案，承包人将设计业务分包的，应由原设计分包人或具有相应资质等级的设计人提出保修方案，承包人实施保修。</w:t>
      </w:r>
    </w:p>
    <w:p>
      <w:pPr>
        <w:ind w:firstLine="600"/>
        <w:rPr>
          <w:rFonts w:ascii="仿宋_GB2312" w:eastAsia="仿宋_GB2312"/>
          <w:color w:val="auto"/>
          <w:sz w:val="24"/>
        </w:rPr>
      </w:pPr>
      <w:r>
        <w:rPr>
          <w:rFonts w:hint="eastAsia" w:ascii="仿宋_GB2312" w:eastAsia="仿宋_GB2312"/>
          <w:color w:val="auto"/>
          <w:sz w:val="24"/>
        </w:rPr>
        <w:t>4．质量保修完成后，由发包人组织验收。</w:t>
      </w:r>
    </w:p>
    <w:p>
      <w:pPr>
        <w:ind w:firstLine="600"/>
        <w:rPr>
          <w:rFonts w:ascii="黑体" w:hAnsi="黑体" w:eastAsia="黑体"/>
          <w:color w:val="auto"/>
          <w:sz w:val="24"/>
        </w:rPr>
      </w:pPr>
      <w:r>
        <w:rPr>
          <w:rFonts w:hint="eastAsia" w:ascii="黑体" w:hAnsi="黑体" w:eastAsia="黑体"/>
          <w:color w:val="auto"/>
          <w:sz w:val="24"/>
        </w:rPr>
        <w:t>五、保修费用</w:t>
      </w:r>
    </w:p>
    <w:p>
      <w:pPr>
        <w:ind w:firstLine="600"/>
        <w:rPr>
          <w:rFonts w:ascii="仿宋_GB2312" w:eastAsia="仿宋_GB2312"/>
          <w:color w:val="auto"/>
          <w:sz w:val="24"/>
        </w:rPr>
      </w:pPr>
      <w:r>
        <w:rPr>
          <w:rFonts w:hint="eastAsia" w:ascii="仿宋_GB2312" w:eastAsia="仿宋_GB2312"/>
          <w:color w:val="auto"/>
          <w:sz w:val="24"/>
        </w:rPr>
        <w:t>保修费用由造成质量缺陷的责任方承担。</w:t>
      </w:r>
    </w:p>
    <w:p>
      <w:pPr>
        <w:ind w:firstLine="600"/>
        <w:rPr>
          <w:rFonts w:ascii="仿宋_GB2312" w:eastAsia="仿宋_GB2312"/>
          <w:color w:val="auto"/>
          <w:sz w:val="24"/>
          <w:u w:val="single"/>
        </w:rPr>
      </w:pPr>
      <w:r>
        <w:rPr>
          <w:rFonts w:hint="eastAsia" w:ascii="黑体" w:hAnsi="黑体" w:eastAsia="黑体"/>
          <w:color w:val="auto"/>
          <w:sz w:val="24"/>
        </w:rPr>
        <w:t>六、双方约定的其他工程质量保修事项</w:t>
      </w:r>
      <w:r>
        <w:rPr>
          <w:rFonts w:hint="eastAsia" w:ascii="仿宋_GB2312" w:eastAsia="仿宋_GB2312"/>
          <w:color w:val="auto"/>
          <w:sz w:val="24"/>
        </w:rPr>
        <w:t>：</w:t>
      </w:r>
      <w:r>
        <w:rPr>
          <w:rFonts w:ascii="仿宋_GB2312" w:eastAsia="仿宋_GB2312"/>
          <w:color w:val="auto"/>
          <w:sz w:val="24"/>
          <w:u w:val="single"/>
        </w:rPr>
        <w:t xml:space="preserve">                </w:t>
      </w:r>
      <w:r>
        <w:rPr>
          <w:rFonts w:hint="eastAsia" w:ascii="仿宋_GB2312" w:eastAsia="仿宋_GB2312"/>
          <w:color w:val="auto"/>
          <w:sz w:val="24"/>
        </w:rPr>
        <w:t>。</w:t>
      </w:r>
    </w:p>
    <w:p>
      <w:pPr>
        <w:ind w:firstLine="600"/>
        <w:rPr>
          <w:rFonts w:ascii="仿宋_GB2312" w:eastAsia="仿宋_GB2312"/>
          <w:color w:val="auto"/>
          <w:sz w:val="24"/>
        </w:rPr>
      </w:pPr>
      <w:r>
        <w:rPr>
          <w:rFonts w:hint="eastAsia" w:ascii="仿宋_GB2312" w:eastAsia="仿宋_GB2312"/>
          <w:color w:val="auto"/>
          <w:sz w:val="24"/>
        </w:rPr>
        <w:t>工程质量保修书由发包人、承包人在工程竣工验收前共同签署，作为工程总承包合同附件，其有效期限至保修期满。</w:t>
      </w:r>
    </w:p>
    <w:p>
      <w:pPr>
        <w:ind w:firstLine="600"/>
        <w:rPr>
          <w:rFonts w:ascii="仿宋_GB2312" w:eastAsia="仿宋_GB2312"/>
          <w:color w:val="auto"/>
          <w:sz w:val="24"/>
        </w:rPr>
      </w:pPr>
    </w:p>
    <w:p>
      <w:pPr>
        <w:ind w:firstLine="600"/>
        <w:rPr>
          <w:rFonts w:ascii="仿宋_GB2312" w:eastAsia="仿宋_GB2312"/>
          <w:color w:val="auto"/>
          <w:sz w:val="24"/>
        </w:rPr>
      </w:pPr>
      <w:r>
        <w:rPr>
          <w:rFonts w:hint="eastAsia" w:ascii="仿宋_GB2312" w:eastAsia="仿宋_GB2312"/>
          <w:color w:val="auto"/>
          <w:sz w:val="24"/>
        </w:rPr>
        <w:t xml:space="preserve">发包人(公章)：               承包人(公章)：          </w:t>
      </w:r>
    </w:p>
    <w:p>
      <w:pPr>
        <w:ind w:firstLine="600"/>
        <w:rPr>
          <w:rFonts w:ascii="仿宋_GB2312" w:eastAsia="仿宋_GB2312"/>
          <w:color w:val="auto"/>
          <w:sz w:val="24"/>
        </w:rPr>
      </w:pPr>
      <w:r>
        <w:rPr>
          <w:rFonts w:hint="eastAsia" w:ascii="仿宋_GB2312" w:eastAsia="仿宋_GB2312"/>
          <w:color w:val="auto"/>
          <w:sz w:val="24"/>
        </w:rPr>
        <w:t xml:space="preserve">地  址：                     地  址：       </w:t>
      </w:r>
    </w:p>
    <w:p>
      <w:pPr>
        <w:ind w:firstLine="600"/>
        <w:rPr>
          <w:rFonts w:ascii="仿宋_GB2312" w:eastAsia="仿宋_GB2312"/>
          <w:color w:val="auto"/>
          <w:sz w:val="24"/>
        </w:rPr>
      </w:pPr>
      <w:r>
        <w:rPr>
          <w:rFonts w:hint="eastAsia" w:ascii="仿宋_GB2312" w:eastAsia="仿宋_GB2312"/>
          <w:color w:val="auto"/>
          <w:sz w:val="24"/>
        </w:rPr>
        <w:t xml:space="preserve">法定代表人(签字)：           法定代表人(签字)：       </w:t>
      </w:r>
    </w:p>
    <w:p>
      <w:pPr>
        <w:ind w:firstLine="600"/>
        <w:rPr>
          <w:rFonts w:ascii="仿宋_GB2312" w:eastAsia="仿宋_GB2312"/>
          <w:color w:val="auto"/>
          <w:sz w:val="24"/>
        </w:rPr>
      </w:pPr>
      <w:r>
        <w:rPr>
          <w:rFonts w:hint="eastAsia" w:ascii="仿宋_GB2312" w:eastAsia="仿宋_GB2312"/>
          <w:color w:val="auto"/>
          <w:sz w:val="24"/>
        </w:rPr>
        <w:t xml:space="preserve">委托代理人(签字)：           委托代理人(签字)：       </w:t>
      </w:r>
    </w:p>
    <w:p>
      <w:pPr>
        <w:ind w:firstLine="600"/>
        <w:rPr>
          <w:rFonts w:ascii="仿宋_GB2312" w:eastAsia="仿宋_GB2312"/>
          <w:color w:val="auto"/>
          <w:sz w:val="24"/>
        </w:rPr>
      </w:pPr>
      <w:r>
        <w:rPr>
          <w:rFonts w:hint="eastAsia" w:ascii="仿宋_GB2312" w:eastAsia="仿宋_GB2312"/>
          <w:color w:val="auto"/>
          <w:sz w:val="24"/>
        </w:rPr>
        <w:t>电  话：                     电  话：</w:t>
      </w:r>
    </w:p>
    <w:p>
      <w:pPr>
        <w:ind w:firstLine="600"/>
        <w:rPr>
          <w:rFonts w:ascii="仿宋_GB2312" w:eastAsia="仿宋_GB2312"/>
          <w:color w:val="auto"/>
          <w:sz w:val="24"/>
        </w:rPr>
      </w:pPr>
      <w:r>
        <w:rPr>
          <w:rFonts w:hint="eastAsia" w:ascii="仿宋_GB2312" w:eastAsia="仿宋_GB2312"/>
          <w:color w:val="auto"/>
          <w:sz w:val="24"/>
        </w:rPr>
        <w:t xml:space="preserve">传  真：                     传  真：  </w:t>
      </w:r>
    </w:p>
    <w:p>
      <w:pPr>
        <w:ind w:firstLine="600"/>
        <w:rPr>
          <w:rFonts w:ascii="仿宋_GB2312" w:eastAsia="仿宋_GB2312"/>
          <w:color w:val="auto"/>
          <w:sz w:val="24"/>
        </w:rPr>
      </w:pPr>
      <w:r>
        <w:rPr>
          <w:rFonts w:hint="eastAsia" w:ascii="仿宋_GB2312" w:eastAsia="仿宋_GB2312"/>
          <w:color w:val="auto"/>
          <w:sz w:val="24"/>
        </w:rPr>
        <w:t>开户银行：                   开户银行：</w:t>
      </w:r>
    </w:p>
    <w:p>
      <w:pPr>
        <w:ind w:firstLine="600"/>
        <w:rPr>
          <w:rFonts w:hint="eastAsia" w:ascii="仿宋_GB2312" w:eastAsia="仿宋_GB2312"/>
          <w:color w:val="auto"/>
          <w:sz w:val="24"/>
        </w:rPr>
      </w:pPr>
      <w:r>
        <w:rPr>
          <w:rFonts w:hint="eastAsia" w:ascii="仿宋_GB2312" w:eastAsia="仿宋_GB2312"/>
          <w:color w:val="auto"/>
          <w:sz w:val="24"/>
        </w:rPr>
        <w:t xml:space="preserve">账  号：                     账  号： </w:t>
      </w:r>
    </w:p>
    <w:p>
      <w:pPr>
        <w:ind w:firstLine="600"/>
        <w:rPr>
          <w:rFonts w:ascii="仿宋_GB2312" w:eastAsia="仿宋_GB2312"/>
          <w:color w:val="auto"/>
          <w:sz w:val="30"/>
          <w:szCs w:val="30"/>
        </w:rPr>
      </w:pPr>
      <w:r>
        <w:rPr>
          <w:rFonts w:hint="eastAsia" w:ascii="仿宋_GB2312" w:eastAsia="仿宋_GB2312"/>
          <w:color w:val="auto"/>
          <w:sz w:val="24"/>
        </w:rPr>
        <w:t xml:space="preserve">邮政编码：                   邮政编码：  </w:t>
      </w:r>
      <w:r>
        <w:rPr>
          <w:rFonts w:hint="eastAsia" w:ascii="仿宋_GB2312" w:eastAsia="仿宋_GB2312"/>
          <w:color w:val="auto"/>
          <w:sz w:val="30"/>
          <w:szCs w:val="30"/>
        </w:rPr>
        <w:t xml:space="preserve"> </w:t>
      </w:r>
    </w:p>
    <w:p>
      <w:pPr>
        <w:jc w:val="left"/>
        <w:rPr>
          <w:color w:val="auto"/>
          <w:sz w:val="30"/>
          <w:szCs w:val="30"/>
        </w:rPr>
      </w:pPr>
      <w:r>
        <w:rPr>
          <w:color w:val="auto"/>
          <w:sz w:val="30"/>
          <w:szCs w:val="30"/>
        </w:rPr>
        <w:br w:type="page"/>
      </w:r>
    </w:p>
    <w:p>
      <w:pPr>
        <w:pStyle w:val="303"/>
        <w:numPr>
          <w:ilvl w:val="0"/>
          <w:numId w:val="0"/>
        </w:numPr>
        <w:rPr>
          <w:color w:val="auto"/>
        </w:rPr>
      </w:pPr>
      <w:bookmarkStart w:id="1170" w:name="_Toc54862355"/>
      <w:bookmarkStart w:id="1171" w:name="_Toc20171896"/>
      <w:r>
        <w:rPr>
          <w:rFonts w:hint="eastAsia"/>
          <w:color w:val="auto"/>
        </w:rPr>
        <w:t>附件4</w:t>
      </w:r>
      <w:r>
        <w:rPr>
          <w:color w:val="auto"/>
        </w:rPr>
        <w:t xml:space="preserve"> 主要建设工程文件目录</w:t>
      </w:r>
      <w:bookmarkEnd w:id="1170"/>
      <w:bookmarkEnd w:id="1171"/>
    </w:p>
    <w:tbl>
      <w:tblPr>
        <w:tblStyle w:val="67"/>
        <w:tblW w:w="921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125"/>
        <w:gridCol w:w="1276"/>
        <w:gridCol w:w="1450"/>
        <w:gridCol w:w="1243"/>
        <w:gridCol w:w="1450"/>
        <w:gridCol w:w="16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25" w:type="dxa"/>
            <w:tcBorders>
              <w:top w:val="single" w:color="auto" w:sz="12" w:space="0"/>
              <w:bottom w:val="double" w:color="auto" w:sz="6" w:space="0"/>
            </w:tcBorders>
            <w:vAlign w:val="center"/>
          </w:tcPr>
          <w:p>
            <w:pPr>
              <w:pStyle w:val="2"/>
              <w:spacing w:after="0"/>
              <w:jc w:val="center"/>
              <w:rPr>
                <w:rFonts w:ascii="仿宋_GB2312" w:eastAsia="仿宋_GB2312"/>
                <w:color w:val="auto"/>
              </w:rPr>
            </w:pPr>
            <w:r>
              <w:rPr>
                <w:rFonts w:hint="eastAsia" w:ascii="仿宋_GB2312" w:eastAsia="仿宋_GB2312"/>
                <w:color w:val="auto"/>
              </w:rPr>
              <w:t>文件名称</w:t>
            </w:r>
          </w:p>
        </w:tc>
        <w:tc>
          <w:tcPr>
            <w:tcW w:w="1276" w:type="dxa"/>
            <w:tcBorders>
              <w:top w:val="single" w:color="auto" w:sz="12" w:space="0"/>
              <w:bottom w:val="double" w:color="auto" w:sz="6" w:space="0"/>
            </w:tcBorders>
            <w:vAlign w:val="center"/>
          </w:tcPr>
          <w:p>
            <w:pPr>
              <w:pStyle w:val="2"/>
              <w:spacing w:after="0"/>
              <w:jc w:val="center"/>
              <w:rPr>
                <w:rFonts w:ascii="仿宋_GB2312" w:eastAsia="仿宋_GB2312"/>
                <w:color w:val="auto"/>
              </w:rPr>
            </w:pPr>
            <w:r>
              <w:rPr>
                <w:rFonts w:hint="eastAsia" w:ascii="仿宋_GB2312" w:eastAsia="仿宋_GB2312"/>
                <w:color w:val="auto"/>
              </w:rPr>
              <w:t>套数</w:t>
            </w:r>
          </w:p>
        </w:tc>
        <w:tc>
          <w:tcPr>
            <w:tcW w:w="1450" w:type="dxa"/>
            <w:tcBorders>
              <w:top w:val="single" w:color="auto" w:sz="12" w:space="0"/>
              <w:bottom w:val="double" w:color="auto" w:sz="6" w:space="0"/>
            </w:tcBorders>
            <w:vAlign w:val="center"/>
          </w:tcPr>
          <w:p>
            <w:pPr>
              <w:pStyle w:val="2"/>
              <w:spacing w:after="0"/>
              <w:jc w:val="center"/>
              <w:rPr>
                <w:rFonts w:ascii="仿宋_GB2312" w:eastAsia="仿宋_GB2312"/>
                <w:color w:val="auto"/>
              </w:rPr>
            </w:pPr>
            <w:r>
              <w:rPr>
                <w:rFonts w:hint="eastAsia" w:ascii="仿宋_GB2312" w:eastAsia="仿宋_GB2312"/>
                <w:color w:val="auto"/>
              </w:rPr>
              <w:t>费用（元）</w:t>
            </w:r>
          </w:p>
        </w:tc>
        <w:tc>
          <w:tcPr>
            <w:tcW w:w="1243" w:type="dxa"/>
            <w:tcBorders>
              <w:top w:val="single" w:color="auto" w:sz="12" w:space="0"/>
              <w:bottom w:val="double" w:color="auto" w:sz="6" w:space="0"/>
            </w:tcBorders>
            <w:vAlign w:val="center"/>
          </w:tcPr>
          <w:p>
            <w:pPr>
              <w:pStyle w:val="2"/>
              <w:spacing w:after="0"/>
              <w:jc w:val="center"/>
              <w:rPr>
                <w:rFonts w:ascii="仿宋_GB2312" w:eastAsia="仿宋_GB2312"/>
                <w:color w:val="auto"/>
              </w:rPr>
            </w:pPr>
            <w:r>
              <w:rPr>
                <w:rFonts w:hint="eastAsia" w:ascii="仿宋_GB2312" w:eastAsia="仿宋_GB2312"/>
                <w:color w:val="auto"/>
              </w:rPr>
              <w:t>质量</w:t>
            </w:r>
          </w:p>
        </w:tc>
        <w:tc>
          <w:tcPr>
            <w:tcW w:w="1450" w:type="dxa"/>
            <w:tcBorders>
              <w:top w:val="single" w:color="auto" w:sz="12" w:space="0"/>
              <w:bottom w:val="double" w:color="auto" w:sz="6" w:space="0"/>
            </w:tcBorders>
            <w:vAlign w:val="top"/>
          </w:tcPr>
          <w:p>
            <w:pPr>
              <w:jc w:val="center"/>
              <w:rPr>
                <w:rFonts w:ascii="仿宋_GB2312" w:eastAsia="仿宋_GB2312"/>
                <w:color w:val="auto"/>
              </w:rPr>
            </w:pPr>
            <w:r>
              <w:rPr>
                <w:rFonts w:hint="eastAsia" w:ascii="仿宋_GB2312" w:eastAsia="仿宋_GB2312"/>
                <w:color w:val="auto"/>
              </w:rPr>
              <w:t>移交时间</w:t>
            </w:r>
          </w:p>
        </w:tc>
        <w:tc>
          <w:tcPr>
            <w:tcW w:w="1670" w:type="dxa"/>
            <w:tcBorders>
              <w:top w:val="single" w:color="auto" w:sz="12" w:space="0"/>
              <w:bottom w:val="double" w:color="auto" w:sz="6" w:space="0"/>
            </w:tcBorders>
            <w:vAlign w:val="top"/>
          </w:tcPr>
          <w:p>
            <w:pPr>
              <w:jc w:val="center"/>
              <w:rPr>
                <w:rFonts w:ascii="仿宋_GB2312" w:eastAsia="仿宋_GB2312"/>
                <w:color w:val="auto"/>
              </w:rPr>
            </w:pPr>
            <w:r>
              <w:rPr>
                <w:rFonts w:hint="eastAsia" w:ascii="仿宋_GB2312" w:eastAsia="仿宋_GB2312"/>
                <w:color w:val="auto"/>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tcBorders>
              <w:top w:val="double" w:color="auto" w:sz="6" w:space="0"/>
              <w:bottom w:val="single" w:color="auto" w:sz="6" w:space="0"/>
            </w:tcBorders>
            <w:vAlign w:val="center"/>
          </w:tcPr>
          <w:p>
            <w:pPr>
              <w:pStyle w:val="2"/>
              <w:rPr>
                <w:rFonts w:ascii="仿宋_GB2312" w:eastAsia="仿宋_GB2312"/>
                <w:color w:val="auto"/>
              </w:rPr>
            </w:pPr>
          </w:p>
        </w:tc>
        <w:tc>
          <w:tcPr>
            <w:tcW w:w="1276" w:type="dxa"/>
            <w:tcBorders>
              <w:top w:val="double" w:color="auto" w:sz="6" w:space="0"/>
              <w:bottom w:val="single" w:color="auto" w:sz="6" w:space="0"/>
            </w:tcBorders>
            <w:vAlign w:val="center"/>
          </w:tcPr>
          <w:p>
            <w:pPr>
              <w:pStyle w:val="2"/>
              <w:rPr>
                <w:rFonts w:ascii="仿宋_GB2312" w:eastAsia="仿宋_GB2312"/>
                <w:color w:val="auto"/>
              </w:rPr>
            </w:pPr>
          </w:p>
        </w:tc>
        <w:tc>
          <w:tcPr>
            <w:tcW w:w="1450" w:type="dxa"/>
            <w:tcBorders>
              <w:top w:val="double" w:color="auto" w:sz="6" w:space="0"/>
              <w:bottom w:val="single" w:color="auto" w:sz="6" w:space="0"/>
            </w:tcBorders>
            <w:vAlign w:val="center"/>
          </w:tcPr>
          <w:p>
            <w:pPr>
              <w:pStyle w:val="2"/>
              <w:rPr>
                <w:rFonts w:ascii="仿宋_GB2312" w:eastAsia="仿宋_GB2312"/>
                <w:color w:val="auto"/>
              </w:rPr>
            </w:pPr>
          </w:p>
        </w:tc>
        <w:tc>
          <w:tcPr>
            <w:tcW w:w="1243" w:type="dxa"/>
            <w:tcBorders>
              <w:top w:val="double" w:color="auto" w:sz="6" w:space="0"/>
              <w:bottom w:val="single" w:color="auto" w:sz="6" w:space="0"/>
            </w:tcBorders>
            <w:vAlign w:val="center"/>
          </w:tcPr>
          <w:p>
            <w:pPr>
              <w:pStyle w:val="2"/>
              <w:rPr>
                <w:rFonts w:ascii="仿宋_GB2312" w:eastAsia="仿宋_GB2312"/>
                <w:color w:val="auto"/>
              </w:rPr>
            </w:pPr>
          </w:p>
        </w:tc>
        <w:tc>
          <w:tcPr>
            <w:tcW w:w="1450" w:type="dxa"/>
            <w:tcBorders>
              <w:top w:val="double" w:color="auto" w:sz="6" w:space="0"/>
              <w:bottom w:val="single" w:color="auto" w:sz="6" w:space="0"/>
            </w:tcBorders>
            <w:vAlign w:val="center"/>
          </w:tcPr>
          <w:p>
            <w:pPr>
              <w:pStyle w:val="2"/>
              <w:rPr>
                <w:rFonts w:ascii="仿宋_GB2312" w:eastAsia="仿宋_GB2312"/>
                <w:color w:val="auto"/>
              </w:rPr>
            </w:pPr>
          </w:p>
        </w:tc>
        <w:tc>
          <w:tcPr>
            <w:tcW w:w="1670" w:type="dxa"/>
            <w:tcBorders>
              <w:top w:val="double" w:color="auto" w:sz="6" w:space="0"/>
              <w:bottom w:val="single" w:color="auto" w:sz="6" w:space="0"/>
            </w:tcBorders>
            <w:vAlign w:val="center"/>
          </w:tcPr>
          <w:p>
            <w:pPr>
              <w:pStyle w:val="2"/>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tcBorders>
              <w:top w:val="nil"/>
            </w:tcBorders>
            <w:vAlign w:val="center"/>
          </w:tcPr>
          <w:p>
            <w:pPr>
              <w:pStyle w:val="2"/>
              <w:rPr>
                <w:rFonts w:ascii="仿宋_GB2312" w:eastAsia="仿宋_GB2312"/>
                <w:color w:val="auto"/>
              </w:rPr>
            </w:pPr>
          </w:p>
        </w:tc>
        <w:tc>
          <w:tcPr>
            <w:tcW w:w="1276" w:type="dxa"/>
            <w:tcBorders>
              <w:top w:val="nil"/>
            </w:tcBorders>
            <w:vAlign w:val="center"/>
          </w:tcPr>
          <w:p>
            <w:pPr>
              <w:pStyle w:val="2"/>
              <w:rPr>
                <w:rFonts w:ascii="仿宋_GB2312" w:eastAsia="仿宋_GB2312"/>
                <w:color w:val="auto"/>
              </w:rPr>
            </w:pPr>
          </w:p>
        </w:tc>
        <w:tc>
          <w:tcPr>
            <w:tcW w:w="1450" w:type="dxa"/>
            <w:tcBorders>
              <w:top w:val="nil"/>
            </w:tcBorders>
            <w:vAlign w:val="center"/>
          </w:tcPr>
          <w:p>
            <w:pPr>
              <w:pStyle w:val="2"/>
              <w:rPr>
                <w:rFonts w:ascii="仿宋_GB2312" w:eastAsia="仿宋_GB2312"/>
                <w:color w:val="auto"/>
              </w:rPr>
            </w:pPr>
          </w:p>
        </w:tc>
        <w:tc>
          <w:tcPr>
            <w:tcW w:w="1243" w:type="dxa"/>
            <w:tcBorders>
              <w:top w:val="nil"/>
            </w:tcBorders>
            <w:vAlign w:val="center"/>
          </w:tcPr>
          <w:p>
            <w:pPr>
              <w:pStyle w:val="2"/>
              <w:rPr>
                <w:rFonts w:ascii="仿宋_GB2312" w:eastAsia="仿宋_GB2312"/>
                <w:color w:val="auto"/>
              </w:rPr>
            </w:pPr>
          </w:p>
        </w:tc>
        <w:tc>
          <w:tcPr>
            <w:tcW w:w="1450" w:type="dxa"/>
            <w:tcBorders>
              <w:top w:val="nil"/>
            </w:tcBorders>
            <w:vAlign w:val="center"/>
          </w:tcPr>
          <w:p>
            <w:pPr>
              <w:pStyle w:val="2"/>
              <w:rPr>
                <w:rFonts w:ascii="仿宋_GB2312" w:eastAsia="仿宋_GB2312"/>
                <w:color w:val="auto"/>
              </w:rPr>
            </w:pPr>
          </w:p>
        </w:tc>
        <w:tc>
          <w:tcPr>
            <w:tcW w:w="1670" w:type="dxa"/>
            <w:tcBorders>
              <w:top w:val="nil"/>
            </w:tcBorders>
            <w:vAlign w:val="center"/>
          </w:tcPr>
          <w:p>
            <w:pPr>
              <w:pStyle w:val="2"/>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vAlign w:val="center"/>
          </w:tcPr>
          <w:p>
            <w:pPr>
              <w:pStyle w:val="2"/>
              <w:rPr>
                <w:rFonts w:ascii="仿宋_GB2312" w:eastAsia="仿宋_GB2312"/>
                <w:color w:val="auto"/>
              </w:rPr>
            </w:pPr>
          </w:p>
        </w:tc>
        <w:tc>
          <w:tcPr>
            <w:tcW w:w="1276" w:type="dxa"/>
            <w:vAlign w:val="center"/>
          </w:tcPr>
          <w:p>
            <w:pPr>
              <w:pStyle w:val="2"/>
              <w:rPr>
                <w:rFonts w:ascii="仿宋_GB2312" w:eastAsia="仿宋_GB2312"/>
                <w:color w:val="auto"/>
              </w:rPr>
            </w:pPr>
          </w:p>
        </w:tc>
        <w:tc>
          <w:tcPr>
            <w:tcW w:w="1450" w:type="dxa"/>
            <w:vAlign w:val="center"/>
          </w:tcPr>
          <w:p>
            <w:pPr>
              <w:pStyle w:val="2"/>
              <w:rPr>
                <w:rFonts w:ascii="仿宋_GB2312" w:eastAsia="仿宋_GB2312"/>
                <w:color w:val="auto"/>
              </w:rPr>
            </w:pPr>
          </w:p>
        </w:tc>
        <w:tc>
          <w:tcPr>
            <w:tcW w:w="1243" w:type="dxa"/>
            <w:vAlign w:val="center"/>
          </w:tcPr>
          <w:p>
            <w:pPr>
              <w:pStyle w:val="2"/>
              <w:rPr>
                <w:rFonts w:ascii="仿宋_GB2312" w:eastAsia="仿宋_GB2312"/>
                <w:color w:val="auto"/>
              </w:rPr>
            </w:pPr>
          </w:p>
        </w:tc>
        <w:tc>
          <w:tcPr>
            <w:tcW w:w="1450" w:type="dxa"/>
            <w:vAlign w:val="center"/>
          </w:tcPr>
          <w:p>
            <w:pPr>
              <w:pStyle w:val="2"/>
              <w:rPr>
                <w:rFonts w:ascii="仿宋_GB2312" w:eastAsia="仿宋_GB2312"/>
                <w:color w:val="auto"/>
              </w:rPr>
            </w:pPr>
          </w:p>
        </w:tc>
        <w:tc>
          <w:tcPr>
            <w:tcW w:w="1670" w:type="dxa"/>
            <w:vAlign w:val="center"/>
          </w:tcPr>
          <w:p>
            <w:pPr>
              <w:pStyle w:val="2"/>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vAlign w:val="center"/>
          </w:tcPr>
          <w:p>
            <w:pPr>
              <w:pStyle w:val="2"/>
              <w:rPr>
                <w:rFonts w:ascii="仿宋_GB2312" w:eastAsia="仿宋_GB2312"/>
                <w:color w:val="auto"/>
              </w:rPr>
            </w:pPr>
          </w:p>
        </w:tc>
        <w:tc>
          <w:tcPr>
            <w:tcW w:w="1276" w:type="dxa"/>
            <w:vAlign w:val="center"/>
          </w:tcPr>
          <w:p>
            <w:pPr>
              <w:pStyle w:val="2"/>
              <w:rPr>
                <w:rFonts w:ascii="仿宋_GB2312" w:eastAsia="仿宋_GB2312"/>
                <w:color w:val="auto"/>
              </w:rPr>
            </w:pPr>
          </w:p>
        </w:tc>
        <w:tc>
          <w:tcPr>
            <w:tcW w:w="1450" w:type="dxa"/>
            <w:vAlign w:val="center"/>
          </w:tcPr>
          <w:p>
            <w:pPr>
              <w:pStyle w:val="2"/>
              <w:rPr>
                <w:rFonts w:ascii="仿宋_GB2312" w:eastAsia="仿宋_GB2312"/>
                <w:color w:val="auto"/>
              </w:rPr>
            </w:pPr>
          </w:p>
        </w:tc>
        <w:tc>
          <w:tcPr>
            <w:tcW w:w="1243" w:type="dxa"/>
            <w:vAlign w:val="center"/>
          </w:tcPr>
          <w:p>
            <w:pPr>
              <w:pStyle w:val="2"/>
              <w:rPr>
                <w:rFonts w:ascii="仿宋_GB2312" w:eastAsia="仿宋_GB2312"/>
                <w:color w:val="auto"/>
              </w:rPr>
            </w:pPr>
          </w:p>
        </w:tc>
        <w:tc>
          <w:tcPr>
            <w:tcW w:w="1450" w:type="dxa"/>
            <w:vAlign w:val="center"/>
          </w:tcPr>
          <w:p>
            <w:pPr>
              <w:pStyle w:val="2"/>
              <w:rPr>
                <w:rFonts w:ascii="仿宋_GB2312" w:eastAsia="仿宋_GB2312"/>
                <w:color w:val="auto"/>
              </w:rPr>
            </w:pPr>
          </w:p>
        </w:tc>
        <w:tc>
          <w:tcPr>
            <w:tcW w:w="1670" w:type="dxa"/>
            <w:vAlign w:val="center"/>
          </w:tcPr>
          <w:p>
            <w:pPr>
              <w:pStyle w:val="2"/>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vAlign w:val="center"/>
          </w:tcPr>
          <w:p>
            <w:pPr>
              <w:pStyle w:val="2"/>
              <w:rPr>
                <w:rFonts w:ascii="仿宋_GB2312" w:eastAsia="仿宋_GB2312"/>
                <w:color w:val="auto"/>
              </w:rPr>
            </w:pPr>
          </w:p>
        </w:tc>
        <w:tc>
          <w:tcPr>
            <w:tcW w:w="1276" w:type="dxa"/>
            <w:vAlign w:val="center"/>
          </w:tcPr>
          <w:p>
            <w:pPr>
              <w:pStyle w:val="2"/>
              <w:rPr>
                <w:rFonts w:ascii="仿宋_GB2312" w:eastAsia="仿宋_GB2312"/>
                <w:color w:val="auto"/>
              </w:rPr>
            </w:pPr>
          </w:p>
        </w:tc>
        <w:tc>
          <w:tcPr>
            <w:tcW w:w="1450" w:type="dxa"/>
            <w:vAlign w:val="center"/>
          </w:tcPr>
          <w:p>
            <w:pPr>
              <w:pStyle w:val="2"/>
              <w:rPr>
                <w:rFonts w:ascii="仿宋_GB2312" w:eastAsia="仿宋_GB2312"/>
                <w:color w:val="auto"/>
              </w:rPr>
            </w:pPr>
          </w:p>
        </w:tc>
        <w:tc>
          <w:tcPr>
            <w:tcW w:w="1243" w:type="dxa"/>
            <w:vAlign w:val="center"/>
          </w:tcPr>
          <w:p>
            <w:pPr>
              <w:pStyle w:val="2"/>
              <w:rPr>
                <w:rFonts w:ascii="仿宋_GB2312" w:eastAsia="仿宋_GB2312"/>
                <w:color w:val="auto"/>
              </w:rPr>
            </w:pPr>
          </w:p>
        </w:tc>
        <w:tc>
          <w:tcPr>
            <w:tcW w:w="1450" w:type="dxa"/>
            <w:vAlign w:val="center"/>
          </w:tcPr>
          <w:p>
            <w:pPr>
              <w:pStyle w:val="2"/>
              <w:rPr>
                <w:rFonts w:ascii="仿宋_GB2312" w:eastAsia="仿宋_GB2312"/>
                <w:color w:val="auto"/>
              </w:rPr>
            </w:pPr>
          </w:p>
        </w:tc>
        <w:tc>
          <w:tcPr>
            <w:tcW w:w="1670" w:type="dxa"/>
            <w:vAlign w:val="center"/>
          </w:tcPr>
          <w:p>
            <w:pPr>
              <w:pStyle w:val="2"/>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vAlign w:val="center"/>
          </w:tcPr>
          <w:p>
            <w:pPr>
              <w:pStyle w:val="2"/>
              <w:rPr>
                <w:rFonts w:ascii="仿宋_GB2312" w:eastAsia="仿宋_GB2312"/>
                <w:color w:val="auto"/>
              </w:rPr>
            </w:pPr>
          </w:p>
        </w:tc>
        <w:tc>
          <w:tcPr>
            <w:tcW w:w="1276" w:type="dxa"/>
            <w:vAlign w:val="center"/>
          </w:tcPr>
          <w:p>
            <w:pPr>
              <w:pStyle w:val="2"/>
              <w:rPr>
                <w:rFonts w:ascii="仿宋_GB2312" w:eastAsia="仿宋_GB2312"/>
                <w:color w:val="auto"/>
              </w:rPr>
            </w:pPr>
          </w:p>
        </w:tc>
        <w:tc>
          <w:tcPr>
            <w:tcW w:w="1450" w:type="dxa"/>
            <w:vAlign w:val="center"/>
          </w:tcPr>
          <w:p>
            <w:pPr>
              <w:pStyle w:val="2"/>
              <w:rPr>
                <w:rFonts w:ascii="仿宋_GB2312" w:eastAsia="仿宋_GB2312"/>
                <w:color w:val="auto"/>
              </w:rPr>
            </w:pPr>
          </w:p>
        </w:tc>
        <w:tc>
          <w:tcPr>
            <w:tcW w:w="1243" w:type="dxa"/>
            <w:vAlign w:val="center"/>
          </w:tcPr>
          <w:p>
            <w:pPr>
              <w:pStyle w:val="2"/>
              <w:rPr>
                <w:rFonts w:ascii="仿宋_GB2312" w:eastAsia="仿宋_GB2312"/>
                <w:color w:val="auto"/>
              </w:rPr>
            </w:pPr>
          </w:p>
        </w:tc>
        <w:tc>
          <w:tcPr>
            <w:tcW w:w="1450" w:type="dxa"/>
            <w:vAlign w:val="center"/>
          </w:tcPr>
          <w:p>
            <w:pPr>
              <w:pStyle w:val="2"/>
              <w:rPr>
                <w:rFonts w:ascii="仿宋_GB2312" w:eastAsia="仿宋_GB2312"/>
                <w:color w:val="auto"/>
              </w:rPr>
            </w:pPr>
          </w:p>
        </w:tc>
        <w:tc>
          <w:tcPr>
            <w:tcW w:w="1670" w:type="dxa"/>
            <w:vAlign w:val="center"/>
          </w:tcPr>
          <w:p>
            <w:pPr>
              <w:pStyle w:val="2"/>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vAlign w:val="center"/>
          </w:tcPr>
          <w:p>
            <w:pPr>
              <w:pStyle w:val="2"/>
              <w:rPr>
                <w:rFonts w:ascii="仿宋_GB2312" w:eastAsia="仿宋_GB2312"/>
                <w:color w:val="auto"/>
              </w:rPr>
            </w:pPr>
          </w:p>
        </w:tc>
        <w:tc>
          <w:tcPr>
            <w:tcW w:w="1276" w:type="dxa"/>
            <w:vAlign w:val="center"/>
          </w:tcPr>
          <w:p>
            <w:pPr>
              <w:pStyle w:val="2"/>
              <w:rPr>
                <w:rFonts w:ascii="仿宋_GB2312" w:eastAsia="仿宋_GB2312"/>
                <w:color w:val="auto"/>
              </w:rPr>
            </w:pPr>
          </w:p>
        </w:tc>
        <w:tc>
          <w:tcPr>
            <w:tcW w:w="1450" w:type="dxa"/>
            <w:vAlign w:val="center"/>
          </w:tcPr>
          <w:p>
            <w:pPr>
              <w:pStyle w:val="2"/>
              <w:rPr>
                <w:rFonts w:ascii="仿宋_GB2312" w:eastAsia="仿宋_GB2312"/>
                <w:color w:val="auto"/>
              </w:rPr>
            </w:pPr>
          </w:p>
        </w:tc>
        <w:tc>
          <w:tcPr>
            <w:tcW w:w="1243" w:type="dxa"/>
            <w:vAlign w:val="center"/>
          </w:tcPr>
          <w:p>
            <w:pPr>
              <w:pStyle w:val="2"/>
              <w:rPr>
                <w:rFonts w:ascii="仿宋_GB2312" w:eastAsia="仿宋_GB2312"/>
                <w:color w:val="auto"/>
              </w:rPr>
            </w:pPr>
          </w:p>
        </w:tc>
        <w:tc>
          <w:tcPr>
            <w:tcW w:w="1450" w:type="dxa"/>
            <w:vAlign w:val="center"/>
          </w:tcPr>
          <w:p>
            <w:pPr>
              <w:pStyle w:val="2"/>
              <w:rPr>
                <w:rFonts w:ascii="仿宋_GB2312" w:eastAsia="仿宋_GB2312"/>
                <w:color w:val="auto"/>
              </w:rPr>
            </w:pPr>
          </w:p>
        </w:tc>
        <w:tc>
          <w:tcPr>
            <w:tcW w:w="1670" w:type="dxa"/>
            <w:vAlign w:val="center"/>
          </w:tcPr>
          <w:p>
            <w:pPr>
              <w:pStyle w:val="2"/>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vAlign w:val="center"/>
          </w:tcPr>
          <w:p>
            <w:pPr>
              <w:pStyle w:val="2"/>
              <w:rPr>
                <w:rFonts w:ascii="仿宋_GB2312" w:eastAsia="仿宋_GB2312"/>
                <w:color w:val="auto"/>
              </w:rPr>
            </w:pPr>
          </w:p>
        </w:tc>
        <w:tc>
          <w:tcPr>
            <w:tcW w:w="1276" w:type="dxa"/>
            <w:vAlign w:val="center"/>
          </w:tcPr>
          <w:p>
            <w:pPr>
              <w:pStyle w:val="2"/>
              <w:rPr>
                <w:rFonts w:ascii="仿宋_GB2312" w:eastAsia="仿宋_GB2312"/>
                <w:color w:val="auto"/>
              </w:rPr>
            </w:pPr>
          </w:p>
        </w:tc>
        <w:tc>
          <w:tcPr>
            <w:tcW w:w="1450" w:type="dxa"/>
            <w:vAlign w:val="center"/>
          </w:tcPr>
          <w:p>
            <w:pPr>
              <w:pStyle w:val="2"/>
              <w:rPr>
                <w:rFonts w:ascii="仿宋_GB2312" w:eastAsia="仿宋_GB2312"/>
                <w:color w:val="auto"/>
              </w:rPr>
            </w:pPr>
          </w:p>
        </w:tc>
        <w:tc>
          <w:tcPr>
            <w:tcW w:w="1243" w:type="dxa"/>
            <w:vAlign w:val="center"/>
          </w:tcPr>
          <w:p>
            <w:pPr>
              <w:pStyle w:val="2"/>
              <w:rPr>
                <w:rFonts w:ascii="仿宋_GB2312" w:eastAsia="仿宋_GB2312"/>
                <w:color w:val="auto"/>
              </w:rPr>
            </w:pPr>
          </w:p>
        </w:tc>
        <w:tc>
          <w:tcPr>
            <w:tcW w:w="1450" w:type="dxa"/>
            <w:vAlign w:val="center"/>
          </w:tcPr>
          <w:p>
            <w:pPr>
              <w:pStyle w:val="2"/>
              <w:rPr>
                <w:rFonts w:ascii="仿宋_GB2312" w:eastAsia="仿宋_GB2312"/>
                <w:color w:val="auto"/>
              </w:rPr>
            </w:pPr>
          </w:p>
        </w:tc>
        <w:tc>
          <w:tcPr>
            <w:tcW w:w="1670" w:type="dxa"/>
            <w:vAlign w:val="center"/>
          </w:tcPr>
          <w:p>
            <w:pPr>
              <w:pStyle w:val="2"/>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vAlign w:val="top"/>
          </w:tcPr>
          <w:p>
            <w:pPr>
              <w:rPr>
                <w:rFonts w:ascii="仿宋_GB2312" w:eastAsia="仿宋_GB2312"/>
                <w:color w:val="auto"/>
              </w:rPr>
            </w:pPr>
          </w:p>
        </w:tc>
        <w:tc>
          <w:tcPr>
            <w:tcW w:w="1276" w:type="dxa"/>
            <w:vAlign w:val="top"/>
          </w:tcPr>
          <w:p>
            <w:pPr>
              <w:rPr>
                <w:rFonts w:ascii="仿宋_GB2312" w:eastAsia="仿宋_GB2312"/>
                <w:color w:val="auto"/>
              </w:rPr>
            </w:pPr>
          </w:p>
        </w:tc>
        <w:tc>
          <w:tcPr>
            <w:tcW w:w="1450" w:type="dxa"/>
            <w:vAlign w:val="top"/>
          </w:tcPr>
          <w:p>
            <w:pPr>
              <w:rPr>
                <w:rFonts w:ascii="仿宋_GB2312" w:eastAsia="仿宋_GB2312"/>
                <w:color w:val="auto"/>
              </w:rPr>
            </w:pPr>
          </w:p>
        </w:tc>
        <w:tc>
          <w:tcPr>
            <w:tcW w:w="1243" w:type="dxa"/>
            <w:vAlign w:val="top"/>
          </w:tcPr>
          <w:p>
            <w:pPr>
              <w:rPr>
                <w:rFonts w:ascii="仿宋_GB2312" w:eastAsia="仿宋_GB2312"/>
                <w:color w:val="auto"/>
              </w:rPr>
            </w:pPr>
          </w:p>
        </w:tc>
        <w:tc>
          <w:tcPr>
            <w:tcW w:w="1450" w:type="dxa"/>
            <w:vAlign w:val="top"/>
          </w:tcPr>
          <w:p>
            <w:pPr>
              <w:rPr>
                <w:rFonts w:ascii="仿宋_GB2312" w:eastAsia="仿宋_GB2312"/>
                <w:color w:val="auto"/>
              </w:rPr>
            </w:pPr>
          </w:p>
        </w:tc>
        <w:tc>
          <w:tcPr>
            <w:tcW w:w="1670" w:type="dxa"/>
            <w:vAlign w:val="top"/>
          </w:tcPr>
          <w:p>
            <w:pPr>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vAlign w:val="center"/>
          </w:tcPr>
          <w:p>
            <w:pPr>
              <w:pStyle w:val="2"/>
              <w:rPr>
                <w:rFonts w:ascii="仿宋_GB2312" w:eastAsia="仿宋_GB2312"/>
                <w:color w:val="auto"/>
              </w:rPr>
            </w:pPr>
          </w:p>
        </w:tc>
        <w:tc>
          <w:tcPr>
            <w:tcW w:w="1276" w:type="dxa"/>
            <w:vAlign w:val="center"/>
          </w:tcPr>
          <w:p>
            <w:pPr>
              <w:pStyle w:val="2"/>
              <w:rPr>
                <w:rFonts w:ascii="仿宋_GB2312" w:eastAsia="仿宋_GB2312"/>
                <w:color w:val="auto"/>
              </w:rPr>
            </w:pPr>
          </w:p>
        </w:tc>
        <w:tc>
          <w:tcPr>
            <w:tcW w:w="1450" w:type="dxa"/>
            <w:vAlign w:val="center"/>
          </w:tcPr>
          <w:p>
            <w:pPr>
              <w:pStyle w:val="2"/>
              <w:rPr>
                <w:rFonts w:ascii="仿宋_GB2312" w:eastAsia="仿宋_GB2312"/>
                <w:color w:val="auto"/>
              </w:rPr>
            </w:pPr>
          </w:p>
        </w:tc>
        <w:tc>
          <w:tcPr>
            <w:tcW w:w="1243" w:type="dxa"/>
            <w:vAlign w:val="center"/>
          </w:tcPr>
          <w:p>
            <w:pPr>
              <w:pStyle w:val="2"/>
              <w:rPr>
                <w:rFonts w:ascii="仿宋_GB2312" w:eastAsia="仿宋_GB2312"/>
                <w:color w:val="auto"/>
              </w:rPr>
            </w:pPr>
          </w:p>
        </w:tc>
        <w:tc>
          <w:tcPr>
            <w:tcW w:w="1450" w:type="dxa"/>
            <w:vAlign w:val="center"/>
          </w:tcPr>
          <w:p>
            <w:pPr>
              <w:pStyle w:val="2"/>
              <w:rPr>
                <w:rFonts w:ascii="仿宋_GB2312" w:eastAsia="仿宋_GB2312"/>
                <w:color w:val="auto"/>
              </w:rPr>
            </w:pPr>
          </w:p>
        </w:tc>
        <w:tc>
          <w:tcPr>
            <w:tcW w:w="1670" w:type="dxa"/>
            <w:vAlign w:val="center"/>
          </w:tcPr>
          <w:p>
            <w:pPr>
              <w:pStyle w:val="2"/>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vAlign w:val="top"/>
          </w:tcPr>
          <w:p>
            <w:pPr>
              <w:rPr>
                <w:rFonts w:ascii="仿宋_GB2312" w:eastAsia="仿宋_GB2312"/>
                <w:color w:val="auto"/>
              </w:rPr>
            </w:pPr>
          </w:p>
        </w:tc>
        <w:tc>
          <w:tcPr>
            <w:tcW w:w="1276" w:type="dxa"/>
            <w:vAlign w:val="top"/>
          </w:tcPr>
          <w:p>
            <w:pPr>
              <w:rPr>
                <w:rFonts w:ascii="仿宋_GB2312" w:eastAsia="仿宋_GB2312"/>
                <w:color w:val="auto"/>
              </w:rPr>
            </w:pPr>
          </w:p>
        </w:tc>
        <w:tc>
          <w:tcPr>
            <w:tcW w:w="1450" w:type="dxa"/>
            <w:vAlign w:val="top"/>
          </w:tcPr>
          <w:p>
            <w:pPr>
              <w:rPr>
                <w:rFonts w:ascii="仿宋_GB2312" w:eastAsia="仿宋_GB2312"/>
                <w:color w:val="auto"/>
              </w:rPr>
            </w:pPr>
          </w:p>
        </w:tc>
        <w:tc>
          <w:tcPr>
            <w:tcW w:w="1243" w:type="dxa"/>
            <w:vAlign w:val="top"/>
          </w:tcPr>
          <w:p>
            <w:pPr>
              <w:rPr>
                <w:rFonts w:ascii="仿宋_GB2312" w:eastAsia="仿宋_GB2312"/>
                <w:color w:val="auto"/>
              </w:rPr>
            </w:pPr>
          </w:p>
        </w:tc>
        <w:tc>
          <w:tcPr>
            <w:tcW w:w="1450" w:type="dxa"/>
            <w:vAlign w:val="top"/>
          </w:tcPr>
          <w:p>
            <w:pPr>
              <w:rPr>
                <w:rFonts w:ascii="仿宋_GB2312" w:eastAsia="仿宋_GB2312"/>
                <w:color w:val="auto"/>
              </w:rPr>
            </w:pPr>
          </w:p>
        </w:tc>
        <w:tc>
          <w:tcPr>
            <w:tcW w:w="1670" w:type="dxa"/>
            <w:vAlign w:val="top"/>
          </w:tcPr>
          <w:p>
            <w:pPr>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vAlign w:val="top"/>
          </w:tcPr>
          <w:p>
            <w:pPr>
              <w:rPr>
                <w:rFonts w:ascii="仿宋_GB2312" w:eastAsia="仿宋_GB2312"/>
                <w:color w:val="auto"/>
              </w:rPr>
            </w:pPr>
          </w:p>
        </w:tc>
        <w:tc>
          <w:tcPr>
            <w:tcW w:w="1276" w:type="dxa"/>
            <w:vAlign w:val="top"/>
          </w:tcPr>
          <w:p>
            <w:pPr>
              <w:rPr>
                <w:rFonts w:ascii="仿宋_GB2312" w:eastAsia="仿宋_GB2312"/>
                <w:color w:val="auto"/>
              </w:rPr>
            </w:pPr>
          </w:p>
        </w:tc>
        <w:tc>
          <w:tcPr>
            <w:tcW w:w="1450" w:type="dxa"/>
            <w:vAlign w:val="top"/>
          </w:tcPr>
          <w:p>
            <w:pPr>
              <w:rPr>
                <w:rFonts w:ascii="仿宋_GB2312" w:eastAsia="仿宋_GB2312"/>
                <w:color w:val="auto"/>
              </w:rPr>
            </w:pPr>
          </w:p>
        </w:tc>
        <w:tc>
          <w:tcPr>
            <w:tcW w:w="1243" w:type="dxa"/>
            <w:vAlign w:val="top"/>
          </w:tcPr>
          <w:p>
            <w:pPr>
              <w:rPr>
                <w:rFonts w:ascii="仿宋_GB2312" w:eastAsia="仿宋_GB2312"/>
                <w:color w:val="auto"/>
              </w:rPr>
            </w:pPr>
          </w:p>
        </w:tc>
        <w:tc>
          <w:tcPr>
            <w:tcW w:w="1450" w:type="dxa"/>
            <w:vAlign w:val="top"/>
          </w:tcPr>
          <w:p>
            <w:pPr>
              <w:rPr>
                <w:rFonts w:ascii="仿宋_GB2312" w:eastAsia="仿宋_GB2312"/>
                <w:color w:val="auto"/>
              </w:rPr>
            </w:pPr>
          </w:p>
        </w:tc>
        <w:tc>
          <w:tcPr>
            <w:tcW w:w="1670" w:type="dxa"/>
            <w:vAlign w:val="top"/>
          </w:tcPr>
          <w:p>
            <w:pPr>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vAlign w:val="top"/>
          </w:tcPr>
          <w:p>
            <w:pPr>
              <w:rPr>
                <w:rFonts w:ascii="仿宋_GB2312" w:eastAsia="仿宋_GB2312"/>
                <w:color w:val="auto"/>
              </w:rPr>
            </w:pPr>
          </w:p>
        </w:tc>
        <w:tc>
          <w:tcPr>
            <w:tcW w:w="1276" w:type="dxa"/>
            <w:vAlign w:val="top"/>
          </w:tcPr>
          <w:p>
            <w:pPr>
              <w:rPr>
                <w:rFonts w:ascii="仿宋_GB2312" w:eastAsia="仿宋_GB2312"/>
                <w:color w:val="auto"/>
              </w:rPr>
            </w:pPr>
          </w:p>
        </w:tc>
        <w:tc>
          <w:tcPr>
            <w:tcW w:w="1450" w:type="dxa"/>
            <w:vAlign w:val="top"/>
          </w:tcPr>
          <w:p>
            <w:pPr>
              <w:rPr>
                <w:rFonts w:ascii="仿宋_GB2312" w:eastAsia="仿宋_GB2312"/>
                <w:color w:val="auto"/>
              </w:rPr>
            </w:pPr>
          </w:p>
        </w:tc>
        <w:tc>
          <w:tcPr>
            <w:tcW w:w="1243" w:type="dxa"/>
            <w:vAlign w:val="top"/>
          </w:tcPr>
          <w:p>
            <w:pPr>
              <w:rPr>
                <w:rFonts w:ascii="仿宋_GB2312" w:eastAsia="仿宋_GB2312"/>
                <w:color w:val="auto"/>
              </w:rPr>
            </w:pPr>
          </w:p>
        </w:tc>
        <w:tc>
          <w:tcPr>
            <w:tcW w:w="1450" w:type="dxa"/>
            <w:vAlign w:val="top"/>
          </w:tcPr>
          <w:p>
            <w:pPr>
              <w:rPr>
                <w:rFonts w:ascii="仿宋_GB2312" w:eastAsia="仿宋_GB2312"/>
                <w:color w:val="auto"/>
              </w:rPr>
            </w:pPr>
          </w:p>
        </w:tc>
        <w:tc>
          <w:tcPr>
            <w:tcW w:w="1670" w:type="dxa"/>
            <w:vAlign w:val="top"/>
          </w:tcPr>
          <w:p>
            <w:pPr>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vAlign w:val="top"/>
          </w:tcPr>
          <w:p>
            <w:pPr>
              <w:rPr>
                <w:rFonts w:ascii="仿宋_GB2312" w:eastAsia="仿宋_GB2312"/>
                <w:color w:val="auto"/>
              </w:rPr>
            </w:pPr>
          </w:p>
        </w:tc>
        <w:tc>
          <w:tcPr>
            <w:tcW w:w="1276" w:type="dxa"/>
            <w:vAlign w:val="top"/>
          </w:tcPr>
          <w:p>
            <w:pPr>
              <w:rPr>
                <w:rFonts w:ascii="仿宋_GB2312" w:eastAsia="仿宋_GB2312"/>
                <w:color w:val="auto"/>
              </w:rPr>
            </w:pPr>
          </w:p>
        </w:tc>
        <w:tc>
          <w:tcPr>
            <w:tcW w:w="1450" w:type="dxa"/>
            <w:vAlign w:val="top"/>
          </w:tcPr>
          <w:p>
            <w:pPr>
              <w:rPr>
                <w:rFonts w:ascii="仿宋_GB2312" w:eastAsia="仿宋_GB2312"/>
                <w:color w:val="auto"/>
              </w:rPr>
            </w:pPr>
          </w:p>
        </w:tc>
        <w:tc>
          <w:tcPr>
            <w:tcW w:w="1243" w:type="dxa"/>
            <w:vAlign w:val="top"/>
          </w:tcPr>
          <w:p>
            <w:pPr>
              <w:rPr>
                <w:rFonts w:ascii="仿宋_GB2312" w:eastAsia="仿宋_GB2312"/>
                <w:color w:val="auto"/>
              </w:rPr>
            </w:pPr>
          </w:p>
        </w:tc>
        <w:tc>
          <w:tcPr>
            <w:tcW w:w="1450" w:type="dxa"/>
            <w:vAlign w:val="top"/>
          </w:tcPr>
          <w:p>
            <w:pPr>
              <w:rPr>
                <w:rFonts w:ascii="仿宋_GB2312" w:eastAsia="仿宋_GB2312"/>
                <w:color w:val="auto"/>
              </w:rPr>
            </w:pPr>
          </w:p>
        </w:tc>
        <w:tc>
          <w:tcPr>
            <w:tcW w:w="1670" w:type="dxa"/>
            <w:vAlign w:val="top"/>
          </w:tcPr>
          <w:p>
            <w:pPr>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vAlign w:val="top"/>
          </w:tcPr>
          <w:p>
            <w:pPr>
              <w:rPr>
                <w:rFonts w:ascii="仿宋_GB2312" w:eastAsia="仿宋_GB2312"/>
                <w:color w:val="auto"/>
              </w:rPr>
            </w:pPr>
          </w:p>
        </w:tc>
        <w:tc>
          <w:tcPr>
            <w:tcW w:w="1276" w:type="dxa"/>
            <w:vAlign w:val="top"/>
          </w:tcPr>
          <w:p>
            <w:pPr>
              <w:rPr>
                <w:rFonts w:ascii="仿宋_GB2312" w:eastAsia="仿宋_GB2312"/>
                <w:color w:val="auto"/>
              </w:rPr>
            </w:pPr>
          </w:p>
        </w:tc>
        <w:tc>
          <w:tcPr>
            <w:tcW w:w="1450" w:type="dxa"/>
            <w:vAlign w:val="top"/>
          </w:tcPr>
          <w:p>
            <w:pPr>
              <w:rPr>
                <w:rFonts w:ascii="仿宋_GB2312" w:eastAsia="仿宋_GB2312"/>
                <w:color w:val="auto"/>
              </w:rPr>
            </w:pPr>
          </w:p>
        </w:tc>
        <w:tc>
          <w:tcPr>
            <w:tcW w:w="1243" w:type="dxa"/>
            <w:vAlign w:val="top"/>
          </w:tcPr>
          <w:p>
            <w:pPr>
              <w:rPr>
                <w:rFonts w:ascii="仿宋_GB2312" w:eastAsia="仿宋_GB2312"/>
                <w:color w:val="auto"/>
              </w:rPr>
            </w:pPr>
          </w:p>
        </w:tc>
        <w:tc>
          <w:tcPr>
            <w:tcW w:w="1450" w:type="dxa"/>
            <w:vAlign w:val="top"/>
          </w:tcPr>
          <w:p>
            <w:pPr>
              <w:rPr>
                <w:rFonts w:ascii="仿宋_GB2312" w:eastAsia="仿宋_GB2312"/>
                <w:color w:val="auto"/>
              </w:rPr>
            </w:pPr>
          </w:p>
        </w:tc>
        <w:tc>
          <w:tcPr>
            <w:tcW w:w="1670" w:type="dxa"/>
            <w:vAlign w:val="top"/>
          </w:tcPr>
          <w:p>
            <w:pPr>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vAlign w:val="top"/>
          </w:tcPr>
          <w:p>
            <w:pPr>
              <w:rPr>
                <w:rFonts w:ascii="仿宋_GB2312" w:eastAsia="仿宋_GB2312"/>
                <w:color w:val="auto"/>
              </w:rPr>
            </w:pPr>
          </w:p>
        </w:tc>
        <w:tc>
          <w:tcPr>
            <w:tcW w:w="1276" w:type="dxa"/>
            <w:vAlign w:val="top"/>
          </w:tcPr>
          <w:p>
            <w:pPr>
              <w:rPr>
                <w:rFonts w:ascii="仿宋_GB2312" w:eastAsia="仿宋_GB2312"/>
                <w:color w:val="auto"/>
              </w:rPr>
            </w:pPr>
          </w:p>
        </w:tc>
        <w:tc>
          <w:tcPr>
            <w:tcW w:w="1450" w:type="dxa"/>
            <w:vAlign w:val="top"/>
          </w:tcPr>
          <w:p>
            <w:pPr>
              <w:rPr>
                <w:rFonts w:ascii="仿宋_GB2312" w:eastAsia="仿宋_GB2312"/>
                <w:color w:val="auto"/>
              </w:rPr>
            </w:pPr>
          </w:p>
        </w:tc>
        <w:tc>
          <w:tcPr>
            <w:tcW w:w="1243" w:type="dxa"/>
            <w:vAlign w:val="top"/>
          </w:tcPr>
          <w:p>
            <w:pPr>
              <w:rPr>
                <w:rFonts w:ascii="仿宋_GB2312" w:eastAsia="仿宋_GB2312"/>
                <w:color w:val="auto"/>
              </w:rPr>
            </w:pPr>
          </w:p>
        </w:tc>
        <w:tc>
          <w:tcPr>
            <w:tcW w:w="1450" w:type="dxa"/>
            <w:vAlign w:val="top"/>
          </w:tcPr>
          <w:p>
            <w:pPr>
              <w:rPr>
                <w:rFonts w:ascii="仿宋_GB2312" w:eastAsia="仿宋_GB2312"/>
                <w:color w:val="auto"/>
              </w:rPr>
            </w:pPr>
          </w:p>
        </w:tc>
        <w:tc>
          <w:tcPr>
            <w:tcW w:w="1670" w:type="dxa"/>
            <w:vAlign w:val="top"/>
          </w:tcPr>
          <w:p>
            <w:pPr>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vAlign w:val="top"/>
          </w:tcPr>
          <w:p>
            <w:pPr>
              <w:rPr>
                <w:rFonts w:ascii="仿宋_GB2312" w:eastAsia="仿宋_GB2312"/>
                <w:color w:val="auto"/>
              </w:rPr>
            </w:pPr>
          </w:p>
        </w:tc>
        <w:tc>
          <w:tcPr>
            <w:tcW w:w="1276" w:type="dxa"/>
            <w:vAlign w:val="top"/>
          </w:tcPr>
          <w:p>
            <w:pPr>
              <w:rPr>
                <w:rFonts w:ascii="仿宋_GB2312" w:eastAsia="仿宋_GB2312"/>
                <w:color w:val="auto"/>
              </w:rPr>
            </w:pPr>
          </w:p>
        </w:tc>
        <w:tc>
          <w:tcPr>
            <w:tcW w:w="1450" w:type="dxa"/>
            <w:vAlign w:val="top"/>
          </w:tcPr>
          <w:p>
            <w:pPr>
              <w:rPr>
                <w:rFonts w:ascii="仿宋_GB2312" w:eastAsia="仿宋_GB2312"/>
                <w:color w:val="auto"/>
              </w:rPr>
            </w:pPr>
          </w:p>
        </w:tc>
        <w:tc>
          <w:tcPr>
            <w:tcW w:w="1243" w:type="dxa"/>
            <w:vAlign w:val="top"/>
          </w:tcPr>
          <w:p>
            <w:pPr>
              <w:rPr>
                <w:rFonts w:ascii="仿宋_GB2312" w:eastAsia="仿宋_GB2312"/>
                <w:color w:val="auto"/>
              </w:rPr>
            </w:pPr>
          </w:p>
        </w:tc>
        <w:tc>
          <w:tcPr>
            <w:tcW w:w="1450" w:type="dxa"/>
            <w:vAlign w:val="top"/>
          </w:tcPr>
          <w:p>
            <w:pPr>
              <w:rPr>
                <w:rFonts w:ascii="仿宋_GB2312" w:eastAsia="仿宋_GB2312"/>
                <w:color w:val="auto"/>
              </w:rPr>
            </w:pPr>
          </w:p>
        </w:tc>
        <w:tc>
          <w:tcPr>
            <w:tcW w:w="1670" w:type="dxa"/>
            <w:vAlign w:val="top"/>
          </w:tcPr>
          <w:p>
            <w:pPr>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vAlign w:val="top"/>
          </w:tcPr>
          <w:p>
            <w:pPr>
              <w:rPr>
                <w:rFonts w:ascii="仿宋_GB2312" w:eastAsia="仿宋_GB2312"/>
                <w:color w:val="auto"/>
              </w:rPr>
            </w:pPr>
          </w:p>
        </w:tc>
        <w:tc>
          <w:tcPr>
            <w:tcW w:w="1276" w:type="dxa"/>
            <w:vAlign w:val="top"/>
          </w:tcPr>
          <w:p>
            <w:pPr>
              <w:rPr>
                <w:rFonts w:ascii="仿宋_GB2312" w:eastAsia="仿宋_GB2312"/>
                <w:color w:val="auto"/>
              </w:rPr>
            </w:pPr>
          </w:p>
        </w:tc>
        <w:tc>
          <w:tcPr>
            <w:tcW w:w="1450" w:type="dxa"/>
            <w:vAlign w:val="top"/>
          </w:tcPr>
          <w:p>
            <w:pPr>
              <w:rPr>
                <w:rFonts w:ascii="仿宋_GB2312" w:eastAsia="仿宋_GB2312"/>
                <w:color w:val="auto"/>
              </w:rPr>
            </w:pPr>
          </w:p>
        </w:tc>
        <w:tc>
          <w:tcPr>
            <w:tcW w:w="1243" w:type="dxa"/>
            <w:vAlign w:val="top"/>
          </w:tcPr>
          <w:p>
            <w:pPr>
              <w:rPr>
                <w:rFonts w:ascii="仿宋_GB2312" w:eastAsia="仿宋_GB2312"/>
                <w:color w:val="auto"/>
              </w:rPr>
            </w:pPr>
          </w:p>
        </w:tc>
        <w:tc>
          <w:tcPr>
            <w:tcW w:w="1450" w:type="dxa"/>
            <w:vAlign w:val="top"/>
          </w:tcPr>
          <w:p>
            <w:pPr>
              <w:rPr>
                <w:rFonts w:ascii="仿宋_GB2312" w:eastAsia="仿宋_GB2312"/>
                <w:color w:val="auto"/>
              </w:rPr>
            </w:pPr>
          </w:p>
        </w:tc>
        <w:tc>
          <w:tcPr>
            <w:tcW w:w="1670" w:type="dxa"/>
            <w:vAlign w:val="top"/>
          </w:tcPr>
          <w:p>
            <w:pPr>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vAlign w:val="top"/>
          </w:tcPr>
          <w:p>
            <w:pPr>
              <w:rPr>
                <w:rFonts w:ascii="仿宋_GB2312" w:eastAsia="仿宋_GB2312"/>
                <w:color w:val="auto"/>
              </w:rPr>
            </w:pPr>
          </w:p>
        </w:tc>
        <w:tc>
          <w:tcPr>
            <w:tcW w:w="1276" w:type="dxa"/>
            <w:vAlign w:val="top"/>
          </w:tcPr>
          <w:p>
            <w:pPr>
              <w:rPr>
                <w:rFonts w:ascii="仿宋_GB2312" w:eastAsia="仿宋_GB2312"/>
                <w:color w:val="auto"/>
              </w:rPr>
            </w:pPr>
          </w:p>
        </w:tc>
        <w:tc>
          <w:tcPr>
            <w:tcW w:w="1450" w:type="dxa"/>
            <w:vAlign w:val="top"/>
          </w:tcPr>
          <w:p>
            <w:pPr>
              <w:rPr>
                <w:rFonts w:ascii="仿宋_GB2312" w:eastAsia="仿宋_GB2312"/>
                <w:color w:val="auto"/>
              </w:rPr>
            </w:pPr>
          </w:p>
        </w:tc>
        <w:tc>
          <w:tcPr>
            <w:tcW w:w="1243" w:type="dxa"/>
            <w:vAlign w:val="top"/>
          </w:tcPr>
          <w:p>
            <w:pPr>
              <w:rPr>
                <w:rFonts w:ascii="仿宋_GB2312" w:eastAsia="仿宋_GB2312"/>
                <w:color w:val="auto"/>
              </w:rPr>
            </w:pPr>
          </w:p>
        </w:tc>
        <w:tc>
          <w:tcPr>
            <w:tcW w:w="1450" w:type="dxa"/>
            <w:vAlign w:val="top"/>
          </w:tcPr>
          <w:p>
            <w:pPr>
              <w:rPr>
                <w:rFonts w:ascii="仿宋_GB2312" w:eastAsia="仿宋_GB2312"/>
                <w:color w:val="auto"/>
              </w:rPr>
            </w:pPr>
          </w:p>
        </w:tc>
        <w:tc>
          <w:tcPr>
            <w:tcW w:w="1670" w:type="dxa"/>
            <w:vAlign w:val="top"/>
          </w:tcPr>
          <w:p>
            <w:pPr>
              <w:rPr>
                <w:rFonts w:ascii="仿宋_GB2312" w:eastAsia="仿宋_GB2312"/>
                <w:color w:val="auto"/>
              </w:rPr>
            </w:pPr>
          </w:p>
        </w:tc>
      </w:tr>
    </w:tbl>
    <w:p>
      <w:pPr>
        <w:rPr>
          <w:color w:val="auto"/>
        </w:rPr>
      </w:pPr>
    </w:p>
    <w:p>
      <w:pPr>
        <w:rPr>
          <w:color w:val="auto"/>
        </w:rPr>
      </w:pPr>
    </w:p>
    <w:p>
      <w:pPr>
        <w:rPr>
          <w:color w:val="auto"/>
        </w:rPr>
        <w:sectPr>
          <w:pgSz w:w="11906" w:h="16838"/>
          <w:pgMar w:top="1440" w:right="1800" w:bottom="1440" w:left="1800" w:header="720" w:footer="998" w:gutter="0"/>
          <w:cols w:space="720" w:num="1"/>
          <w:docGrid w:linePitch="326" w:charSpace="0"/>
        </w:sectPr>
      </w:pPr>
    </w:p>
    <w:p>
      <w:pPr>
        <w:pStyle w:val="303"/>
        <w:numPr>
          <w:ilvl w:val="0"/>
          <w:numId w:val="0"/>
        </w:numPr>
        <w:spacing w:after="287"/>
        <w:rPr>
          <w:color w:val="auto"/>
        </w:rPr>
      </w:pPr>
      <w:bookmarkStart w:id="1172" w:name="_Toc20171897"/>
      <w:bookmarkStart w:id="1173" w:name="_Toc54862356"/>
      <w:r>
        <w:rPr>
          <w:rFonts w:hint="eastAsia"/>
          <w:color w:val="auto"/>
        </w:rPr>
        <w:t>附件</w:t>
      </w:r>
      <w:r>
        <w:rPr>
          <w:color w:val="auto"/>
        </w:rPr>
        <w:t>5 承包人主要管理人员表</w:t>
      </w:r>
      <w:bookmarkEnd w:id="1172"/>
      <w:bookmarkEnd w:id="1173"/>
    </w:p>
    <w:tbl>
      <w:tblPr>
        <w:tblStyle w:val="67"/>
        <w:tblW w:w="908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05"/>
        <w:gridCol w:w="1418"/>
        <w:gridCol w:w="1134"/>
        <w:gridCol w:w="1134"/>
        <w:gridCol w:w="38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12" w:space="0"/>
              <w:bottom w:val="double" w:color="auto" w:sz="6" w:space="0"/>
            </w:tcBorders>
            <w:vAlign w:val="center"/>
          </w:tcPr>
          <w:p>
            <w:pPr>
              <w:pStyle w:val="2"/>
              <w:spacing w:after="0"/>
              <w:ind w:firstLine="420"/>
              <w:rPr>
                <w:rFonts w:ascii="仿宋_GB2312" w:eastAsia="仿宋_GB2312"/>
                <w:color w:val="auto"/>
                <w:szCs w:val="21"/>
              </w:rPr>
            </w:pPr>
            <w:r>
              <w:rPr>
                <w:rFonts w:hint="eastAsia" w:ascii="仿宋_GB2312" w:eastAsia="仿宋_GB2312"/>
                <w:color w:val="auto"/>
                <w:szCs w:val="21"/>
              </w:rPr>
              <w:t>名    称</w:t>
            </w:r>
          </w:p>
        </w:tc>
        <w:tc>
          <w:tcPr>
            <w:tcW w:w="1418" w:type="dxa"/>
            <w:tcBorders>
              <w:top w:val="single" w:color="auto" w:sz="12" w:space="0"/>
              <w:bottom w:val="double" w:color="auto" w:sz="6" w:space="0"/>
            </w:tcBorders>
            <w:vAlign w:val="center"/>
          </w:tcPr>
          <w:p>
            <w:pPr>
              <w:pStyle w:val="2"/>
              <w:spacing w:after="0"/>
              <w:ind w:firstLine="420"/>
              <w:rPr>
                <w:rFonts w:ascii="仿宋_GB2312" w:eastAsia="仿宋_GB2312"/>
                <w:color w:val="auto"/>
                <w:szCs w:val="21"/>
              </w:rPr>
            </w:pPr>
            <w:r>
              <w:rPr>
                <w:rFonts w:hint="eastAsia" w:ascii="仿宋_GB2312" w:eastAsia="仿宋_GB2312"/>
                <w:color w:val="auto"/>
                <w:szCs w:val="21"/>
              </w:rPr>
              <w:t>姓名</w:t>
            </w:r>
          </w:p>
        </w:tc>
        <w:tc>
          <w:tcPr>
            <w:tcW w:w="1134" w:type="dxa"/>
            <w:tcBorders>
              <w:top w:val="single" w:color="auto" w:sz="12" w:space="0"/>
              <w:bottom w:val="double" w:color="auto" w:sz="6" w:space="0"/>
            </w:tcBorders>
            <w:vAlign w:val="center"/>
          </w:tcPr>
          <w:p>
            <w:pPr>
              <w:pStyle w:val="2"/>
              <w:spacing w:after="0"/>
              <w:ind w:firstLine="420"/>
              <w:rPr>
                <w:rFonts w:ascii="仿宋_GB2312" w:eastAsia="仿宋_GB2312"/>
                <w:color w:val="auto"/>
                <w:szCs w:val="21"/>
              </w:rPr>
            </w:pPr>
            <w:r>
              <w:rPr>
                <w:rFonts w:hint="eastAsia" w:ascii="仿宋_GB2312" w:eastAsia="仿宋_GB2312"/>
                <w:color w:val="auto"/>
                <w:szCs w:val="21"/>
              </w:rPr>
              <w:t>职务</w:t>
            </w:r>
          </w:p>
        </w:tc>
        <w:tc>
          <w:tcPr>
            <w:tcW w:w="1134" w:type="dxa"/>
            <w:tcBorders>
              <w:top w:val="single" w:color="auto" w:sz="12" w:space="0"/>
              <w:bottom w:val="double" w:color="auto" w:sz="6" w:space="0"/>
            </w:tcBorders>
            <w:vAlign w:val="center"/>
          </w:tcPr>
          <w:p>
            <w:pPr>
              <w:pStyle w:val="2"/>
              <w:spacing w:after="0"/>
              <w:ind w:firstLine="420"/>
              <w:rPr>
                <w:rFonts w:ascii="仿宋_GB2312" w:eastAsia="仿宋_GB2312"/>
                <w:color w:val="auto"/>
                <w:szCs w:val="21"/>
              </w:rPr>
            </w:pPr>
            <w:r>
              <w:rPr>
                <w:rFonts w:hint="eastAsia" w:ascii="仿宋_GB2312" w:eastAsia="仿宋_GB2312"/>
                <w:color w:val="auto"/>
                <w:szCs w:val="21"/>
              </w:rPr>
              <w:t>职称</w:t>
            </w:r>
          </w:p>
        </w:tc>
        <w:tc>
          <w:tcPr>
            <w:tcW w:w="3896" w:type="dxa"/>
            <w:tcBorders>
              <w:top w:val="single" w:color="auto" w:sz="12" w:space="0"/>
              <w:bottom w:val="double" w:color="auto" w:sz="6" w:space="0"/>
            </w:tcBorders>
            <w:vAlign w:val="center"/>
          </w:tcPr>
          <w:p>
            <w:pPr>
              <w:pStyle w:val="2"/>
              <w:spacing w:after="0"/>
              <w:ind w:firstLine="420"/>
              <w:rPr>
                <w:rFonts w:ascii="仿宋_GB2312" w:eastAsia="仿宋_GB2312"/>
                <w:color w:val="auto"/>
                <w:szCs w:val="21"/>
              </w:rPr>
            </w:pPr>
            <w:r>
              <w:rPr>
                <w:rFonts w:hint="eastAsia" w:ascii="仿宋_GB2312" w:eastAsia="仿宋_GB2312"/>
                <w:color w:val="auto"/>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087" w:type="dxa"/>
            <w:gridSpan w:val="5"/>
            <w:tcBorders>
              <w:top w:val="double" w:color="auto" w:sz="6" w:space="0"/>
              <w:bottom w:val="single" w:color="auto" w:sz="6" w:space="0"/>
            </w:tcBorders>
            <w:vAlign w:val="center"/>
          </w:tcPr>
          <w:p>
            <w:pPr>
              <w:pStyle w:val="2"/>
              <w:spacing w:after="0"/>
              <w:ind w:firstLine="420"/>
              <w:rPr>
                <w:rFonts w:ascii="仿宋_GB2312" w:eastAsia="仿宋_GB2312"/>
                <w:color w:val="auto"/>
                <w:szCs w:val="21"/>
              </w:rPr>
            </w:pPr>
            <w:r>
              <w:rPr>
                <w:rFonts w:hint="eastAsia" w:ascii="仿宋_GB2312" w:eastAsia="仿宋_GB2312"/>
                <w:color w:val="auto"/>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nil"/>
              <w:bottom w:val="nil"/>
            </w:tcBorders>
            <w:vAlign w:val="center"/>
          </w:tcPr>
          <w:p>
            <w:pPr>
              <w:pStyle w:val="2"/>
              <w:spacing w:after="0"/>
              <w:jc w:val="center"/>
              <w:rPr>
                <w:rFonts w:ascii="仿宋_GB2312" w:eastAsia="仿宋_GB2312"/>
                <w:color w:val="auto"/>
                <w:szCs w:val="21"/>
              </w:rPr>
            </w:pPr>
            <w:r>
              <w:rPr>
                <w:rFonts w:hint="eastAsia" w:ascii="仿宋_GB2312" w:eastAsia="仿宋_GB2312"/>
                <w:color w:val="auto"/>
                <w:szCs w:val="21"/>
              </w:rPr>
              <w:t>项目主管</w:t>
            </w:r>
          </w:p>
        </w:tc>
        <w:tc>
          <w:tcPr>
            <w:tcW w:w="1418" w:type="dxa"/>
            <w:tcBorders>
              <w:top w:val="nil"/>
            </w:tcBorders>
            <w:vAlign w:val="center"/>
          </w:tcPr>
          <w:p>
            <w:pPr>
              <w:pStyle w:val="2"/>
              <w:spacing w:after="0"/>
              <w:ind w:firstLine="420"/>
              <w:rPr>
                <w:rFonts w:ascii="仿宋_GB2312" w:eastAsia="仿宋_GB2312"/>
                <w:color w:val="auto"/>
                <w:szCs w:val="21"/>
              </w:rPr>
            </w:pPr>
          </w:p>
        </w:tc>
        <w:tc>
          <w:tcPr>
            <w:tcW w:w="1134" w:type="dxa"/>
            <w:tcBorders>
              <w:top w:val="nil"/>
            </w:tcBorders>
            <w:vAlign w:val="center"/>
          </w:tcPr>
          <w:p>
            <w:pPr>
              <w:pStyle w:val="2"/>
              <w:spacing w:after="0"/>
              <w:ind w:firstLine="420"/>
              <w:rPr>
                <w:rFonts w:ascii="仿宋_GB2312" w:eastAsia="仿宋_GB2312"/>
                <w:color w:val="auto"/>
                <w:szCs w:val="21"/>
              </w:rPr>
            </w:pPr>
          </w:p>
        </w:tc>
        <w:tc>
          <w:tcPr>
            <w:tcW w:w="1134" w:type="dxa"/>
            <w:tcBorders>
              <w:top w:val="nil"/>
            </w:tcBorders>
            <w:vAlign w:val="center"/>
          </w:tcPr>
          <w:p>
            <w:pPr>
              <w:pStyle w:val="2"/>
              <w:spacing w:after="0"/>
              <w:ind w:firstLine="420"/>
              <w:rPr>
                <w:rFonts w:ascii="仿宋_GB2312" w:eastAsia="仿宋_GB2312"/>
                <w:color w:val="auto"/>
                <w:szCs w:val="21"/>
              </w:rPr>
            </w:pPr>
          </w:p>
        </w:tc>
        <w:tc>
          <w:tcPr>
            <w:tcW w:w="3896" w:type="dxa"/>
            <w:tcBorders>
              <w:top w:val="nil"/>
            </w:tcBorders>
            <w:vAlign w:val="center"/>
          </w:tcPr>
          <w:p>
            <w:pPr>
              <w:pStyle w:val="2"/>
              <w:spacing w:after="0"/>
              <w:ind w:firstLine="420"/>
              <w:rPr>
                <w:rFonts w:ascii="仿宋_GB2312"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6" w:space="0"/>
              <w:bottom w:val="nil"/>
            </w:tcBorders>
            <w:vAlign w:val="center"/>
          </w:tcPr>
          <w:p>
            <w:pPr>
              <w:pStyle w:val="2"/>
              <w:spacing w:after="0"/>
              <w:ind w:firstLine="420"/>
              <w:rPr>
                <w:rFonts w:ascii="仿宋_GB2312" w:eastAsia="仿宋_GB2312"/>
                <w:color w:val="auto"/>
                <w:szCs w:val="21"/>
              </w:rPr>
            </w:pPr>
          </w:p>
        </w:tc>
        <w:tc>
          <w:tcPr>
            <w:tcW w:w="1418"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3896" w:type="dxa"/>
            <w:vAlign w:val="center"/>
          </w:tcPr>
          <w:p>
            <w:pPr>
              <w:pStyle w:val="2"/>
              <w:spacing w:after="0"/>
              <w:ind w:firstLine="420"/>
              <w:rPr>
                <w:rFonts w:ascii="仿宋_GB2312"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nil"/>
              <w:bottom w:val="nil"/>
            </w:tcBorders>
            <w:vAlign w:val="center"/>
          </w:tcPr>
          <w:p>
            <w:pPr>
              <w:pStyle w:val="2"/>
              <w:spacing w:after="0"/>
              <w:jc w:val="center"/>
              <w:rPr>
                <w:rFonts w:ascii="仿宋_GB2312" w:eastAsia="仿宋_GB2312"/>
                <w:color w:val="auto"/>
                <w:szCs w:val="21"/>
              </w:rPr>
            </w:pPr>
            <w:r>
              <w:rPr>
                <w:rFonts w:hint="eastAsia" w:ascii="仿宋_GB2312" w:eastAsia="仿宋_GB2312"/>
                <w:color w:val="auto"/>
                <w:szCs w:val="21"/>
              </w:rPr>
              <w:t>其他人员</w:t>
            </w:r>
          </w:p>
        </w:tc>
        <w:tc>
          <w:tcPr>
            <w:tcW w:w="1418"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3896" w:type="dxa"/>
            <w:vAlign w:val="center"/>
          </w:tcPr>
          <w:p>
            <w:pPr>
              <w:pStyle w:val="2"/>
              <w:spacing w:after="0"/>
              <w:ind w:firstLine="420"/>
              <w:rPr>
                <w:rFonts w:ascii="仿宋_GB2312"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nil"/>
              <w:bottom w:val="nil"/>
            </w:tcBorders>
            <w:vAlign w:val="center"/>
          </w:tcPr>
          <w:p>
            <w:pPr>
              <w:pStyle w:val="2"/>
              <w:spacing w:after="0"/>
              <w:ind w:firstLine="420"/>
              <w:rPr>
                <w:rFonts w:ascii="仿宋_GB2312" w:eastAsia="仿宋_GB2312"/>
                <w:color w:val="auto"/>
                <w:szCs w:val="21"/>
              </w:rPr>
            </w:pPr>
          </w:p>
        </w:tc>
        <w:tc>
          <w:tcPr>
            <w:tcW w:w="1418"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3896" w:type="dxa"/>
            <w:vAlign w:val="center"/>
          </w:tcPr>
          <w:p>
            <w:pPr>
              <w:pStyle w:val="2"/>
              <w:spacing w:after="0"/>
              <w:ind w:firstLine="420"/>
              <w:rPr>
                <w:rFonts w:ascii="仿宋_GB2312"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087" w:type="dxa"/>
            <w:gridSpan w:val="5"/>
            <w:tcBorders>
              <w:top w:val="single" w:color="auto" w:sz="6" w:space="0"/>
              <w:bottom w:val="single" w:color="auto" w:sz="6" w:space="0"/>
            </w:tcBorders>
            <w:vAlign w:val="center"/>
          </w:tcPr>
          <w:p>
            <w:pPr>
              <w:pStyle w:val="2"/>
              <w:spacing w:after="0"/>
              <w:ind w:firstLine="420"/>
              <w:rPr>
                <w:rFonts w:ascii="仿宋_GB2312" w:eastAsia="仿宋_GB2312"/>
                <w:color w:val="auto"/>
                <w:szCs w:val="21"/>
              </w:rPr>
            </w:pPr>
            <w:r>
              <w:rPr>
                <w:rFonts w:hint="eastAsia" w:ascii="仿宋_GB2312" w:eastAsia="仿宋_GB2312"/>
                <w:color w:val="auto"/>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2"/>
              <w:spacing w:after="0"/>
              <w:jc w:val="center"/>
              <w:rPr>
                <w:rFonts w:ascii="仿宋_GB2312" w:eastAsia="仿宋_GB2312"/>
                <w:color w:val="auto"/>
                <w:szCs w:val="21"/>
              </w:rPr>
            </w:pPr>
            <w:r>
              <w:rPr>
                <w:rFonts w:hint="eastAsia" w:ascii="仿宋_GB2312" w:eastAsia="仿宋_GB2312"/>
                <w:color w:val="auto"/>
                <w:szCs w:val="21"/>
              </w:rPr>
              <w:t>工程总承包</w:t>
            </w:r>
          </w:p>
          <w:p>
            <w:pPr>
              <w:pStyle w:val="2"/>
              <w:spacing w:after="0"/>
              <w:jc w:val="center"/>
              <w:rPr>
                <w:rFonts w:ascii="仿宋_GB2312" w:eastAsia="仿宋_GB2312"/>
                <w:color w:val="auto"/>
                <w:szCs w:val="21"/>
              </w:rPr>
            </w:pPr>
            <w:r>
              <w:rPr>
                <w:rFonts w:hint="eastAsia" w:ascii="仿宋_GB2312" w:eastAsia="仿宋_GB2312"/>
                <w:color w:val="auto"/>
                <w:szCs w:val="21"/>
              </w:rPr>
              <w:t>项目经理</w:t>
            </w:r>
          </w:p>
        </w:tc>
        <w:tc>
          <w:tcPr>
            <w:tcW w:w="1418"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3896" w:type="dxa"/>
            <w:vAlign w:val="center"/>
          </w:tcPr>
          <w:p>
            <w:pPr>
              <w:pStyle w:val="2"/>
              <w:spacing w:after="0"/>
              <w:ind w:firstLine="420"/>
              <w:rPr>
                <w:rFonts w:ascii="仿宋_GB2312" w:eastAsia="仿宋_GB2312"/>
                <w:color w:val="auto"/>
                <w:szCs w:val="21"/>
              </w:rPr>
            </w:pPr>
          </w:p>
          <w:p>
            <w:pPr>
              <w:pStyle w:val="2"/>
              <w:spacing w:after="0"/>
              <w:ind w:firstLine="420"/>
              <w:rPr>
                <w:rFonts w:ascii="仿宋_GB2312"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2"/>
              <w:spacing w:after="0"/>
              <w:jc w:val="center"/>
              <w:rPr>
                <w:rFonts w:ascii="仿宋_GB2312" w:eastAsia="仿宋_GB2312"/>
                <w:color w:val="auto"/>
                <w:szCs w:val="21"/>
              </w:rPr>
            </w:pPr>
            <w:r>
              <w:rPr>
                <w:rFonts w:hint="eastAsia" w:ascii="仿宋_GB2312" w:eastAsia="仿宋_GB2312"/>
                <w:color w:val="auto"/>
                <w:szCs w:val="21"/>
              </w:rPr>
              <w:t>项目副经理</w:t>
            </w:r>
          </w:p>
        </w:tc>
        <w:tc>
          <w:tcPr>
            <w:tcW w:w="1418"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3896" w:type="dxa"/>
            <w:vAlign w:val="center"/>
          </w:tcPr>
          <w:p>
            <w:pPr>
              <w:pStyle w:val="2"/>
              <w:spacing w:after="0"/>
              <w:ind w:firstLine="420"/>
              <w:rPr>
                <w:rFonts w:ascii="仿宋_GB2312"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2"/>
              <w:spacing w:after="0"/>
              <w:jc w:val="center"/>
              <w:rPr>
                <w:rFonts w:ascii="仿宋_GB2312" w:eastAsia="仿宋_GB2312"/>
                <w:color w:val="auto"/>
                <w:szCs w:val="21"/>
              </w:rPr>
            </w:pPr>
            <w:r>
              <w:rPr>
                <w:rFonts w:hint="eastAsia" w:ascii="仿宋_GB2312" w:eastAsia="仿宋_GB2312"/>
                <w:color w:val="auto"/>
                <w:szCs w:val="21"/>
              </w:rPr>
              <w:t>设计负责人</w:t>
            </w:r>
          </w:p>
        </w:tc>
        <w:tc>
          <w:tcPr>
            <w:tcW w:w="1418"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3896" w:type="dxa"/>
            <w:vAlign w:val="center"/>
          </w:tcPr>
          <w:p>
            <w:pPr>
              <w:pStyle w:val="2"/>
              <w:spacing w:after="0"/>
              <w:ind w:firstLine="420"/>
              <w:rPr>
                <w:rFonts w:ascii="仿宋_GB2312"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2"/>
              <w:spacing w:after="0"/>
              <w:jc w:val="center"/>
              <w:rPr>
                <w:rFonts w:ascii="仿宋_GB2312" w:eastAsia="仿宋_GB2312"/>
                <w:color w:val="auto"/>
                <w:szCs w:val="21"/>
              </w:rPr>
            </w:pPr>
            <w:r>
              <w:rPr>
                <w:rFonts w:hint="eastAsia" w:ascii="仿宋_GB2312" w:eastAsia="仿宋_GB2312"/>
                <w:color w:val="auto"/>
                <w:szCs w:val="21"/>
              </w:rPr>
              <w:t>采购负责人</w:t>
            </w:r>
          </w:p>
        </w:tc>
        <w:tc>
          <w:tcPr>
            <w:tcW w:w="1418"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3896" w:type="dxa"/>
            <w:vAlign w:val="center"/>
          </w:tcPr>
          <w:p>
            <w:pPr>
              <w:pStyle w:val="2"/>
              <w:spacing w:after="0"/>
              <w:ind w:firstLine="420"/>
              <w:rPr>
                <w:rFonts w:ascii="仿宋_GB2312"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2"/>
              <w:spacing w:after="0"/>
              <w:jc w:val="center"/>
              <w:rPr>
                <w:rFonts w:ascii="仿宋_GB2312" w:eastAsia="仿宋_GB2312"/>
                <w:color w:val="auto"/>
                <w:szCs w:val="21"/>
              </w:rPr>
            </w:pPr>
            <w:r>
              <w:rPr>
                <w:rFonts w:hint="eastAsia" w:ascii="仿宋_GB2312" w:eastAsia="仿宋_GB2312"/>
                <w:color w:val="auto"/>
                <w:szCs w:val="21"/>
              </w:rPr>
              <w:t>施工负责人</w:t>
            </w:r>
          </w:p>
        </w:tc>
        <w:tc>
          <w:tcPr>
            <w:tcW w:w="1418"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3896" w:type="dxa"/>
            <w:vAlign w:val="center"/>
          </w:tcPr>
          <w:p>
            <w:pPr>
              <w:pStyle w:val="2"/>
              <w:spacing w:after="0"/>
              <w:ind w:firstLine="420"/>
              <w:rPr>
                <w:rFonts w:ascii="仿宋_GB2312"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2"/>
              <w:spacing w:after="0"/>
              <w:jc w:val="center"/>
              <w:rPr>
                <w:rFonts w:ascii="仿宋_GB2312" w:eastAsia="仿宋_GB2312"/>
                <w:color w:val="auto"/>
                <w:szCs w:val="21"/>
              </w:rPr>
            </w:pPr>
            <w:r>
              <w:rPr>
                <w:rFonts w:hint="eastAsia" w:ascii="仿宋_GB2312" w:eastAsia="仿宋_GB2312"/>
                <w:color w:val="auto"/>
                <w:szCs w:val="21"/>
              </w:rPr>
              <w:t>技术负责人</w:t>
            </w:r>
          </w:p>
        </w:tc>
        <w:tc>
          <w:tcPr>
            <w:tcW w:w="1418"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3896" w:type="dxa"/>
            <w:vAlign w:val="center"/>
          </w:tcPr>
          <w:p>
            <w:pPr>
              <w:pStyle w:val="2"/>
              <w:spacing w:after="0"/>
              <w:ind w:firstLine="420"/>
              <w:rPr>
                <w:rFonts w:ascii="仿宋_GB2312"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2"/>
              <w:spacing w:after="0"/>
              <w:jc w:val="center"/>
              <w:rPr>
                <w:rFonts w:ascii="仿宋_GB2312" w:eastAsia="仿宋_GB2312"/>
                <w:color w:val="auto"/>
                <w:szCs w:val="21"/>
              </w:rPr>
            </w:pPr>
            <w:r>
              <w:rPr>
                <w:rFonts w:hint="eastAsia" w:ascii="仿宋_GB2312" w:eastAsia="仿宋_GB2312"/>
                <w:color w:val="auto"/>
                <w:szCs w:val="21"/>
              </w:rPr>
              <w:t>造价管理</w:t>
            </w:r>
          </w:p>
        </w:tc>
        <w:tc>
          <w:tcPr>
            <w:tcW w:w="1418"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3896" w:type="dxa"/>
            <w:vAlign w:val="center"/>
          </w:tcPr>
          <w:p>
            <w:pPr>
              <w:pStyle w:val="2"/>
              <w:spacing w:after="0"/>
              <w:ind w:firstLine="420"/>
              <w:rPr>
                <w:rFonts w:ascii="仿宋_GB2312"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2"/>
              <w:spacing w:after="0"/>
              <w:jc w:val="center"/>
              <w:rPr>
                <w:rFonts w:ascii="仿宋_GB2312" w:eastAsia="仿宋_GB2312"/>
                <w:color w:val="auto"/>
                <w:szCs w:val="21"/>
              </w:rPr>
            </w:pPr>
            <w:r>
              <w:rPr>
                <w:rFonts w:hint="eastAsia" w:ascii="仿宋_GB2312" w:eastAsia="仿宋_GB2312"/>
                <w:color w:val="auto"/>
                <w:szCs w:val="21"/>
              </w:rPr>
              <w:t>质量管理</w:t>
            </w:r>
          </w:p>
        </w:tc>
        <w:tc>
          <w:tcPr>
            <w:tcW w:w="1418"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3896" w:type="dxa"/>
            <w:vAlign w:val="center"/>
          </w:tcPr>
          <w:p>
            <w:pPr>
              <w:pStyle w:val="2"/>
              <w:spacing w:after="0"/>
              <w:ind w:firstLine="420"/>
              <w:rPr>
                <w:rFonts w:ascii="仿宋_GB2312"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2"/>
              <w:spacing w:after="0"/>
              <w:jc w:val="center"/>
              <w:rPr>
                <w:rFonts w:ascii="仿宋_GB2312" w:eastAsia="仿宋_GB2312"/>
                <w:color w:val="auto"/>
                <w:szCs w:val="21"/>
              </w:rPr>
            </w:pPr>
            <w:r>
              <w:rPr>
                <w:rFonts w:hint="eastAsia" w:ascii="仿宋_GB2312" w:eastAsia="仿宋_GB2312"/>
                <w:color w:val="auto"/>
                <w:szCs w:val="21"/>
              </w:rPr>
              <w:t>计划管理</w:t>
            </w:r>
          </w:p>
        </w:tc>
        <w:tc>
          <w:tcPr>
            <w:tcW w:w="1418"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3896" w:type="dxa"/>
            <w:vAlign w:val="center"/>
          </w:tcPr>
          <w:p>
            <w:pPr>
              <w:pStyle w:val="2"/>
              <w:spacing w:after="0"/>
              <w:ind w:firstLine="420"/>
              <w:rPr>
                <w:rFonts w:ascii="仿宋_GB2312"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2"/>
              <w:spacing w:after="0"/>
              <w:jc w:val="center"/>
              <w:rPr>
                <w:rFonts w:ascii="仿宋_GB2312" w:eastAsia="仿宋_GB2312"/>
                <w:color w:val="auto"/>
                <w:szCs w:val="21"/>
              </w:rPr>
            </w:pPr>
            <w:r>
              <w:rPr>
                <w:rFonts w:hint="eastAsia" w:ascii="仿宋_GB2312" w:eastAsia="仿宋_GB2312"/>
                <w:color w:val="auto"/>
                <w:szCs w:val="21"/>
              </w:rPr>
              <w:t>安全管理</w:t>
            </w:r>
          </w:p>
        </w:tc>
        <w:tc>
          <w:tcPr>
            <w:tcW w:w="1418"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3896" w:type="dxa"/>
            <w:vAlign w:val="center"/>
          </w:tcPr>
          <w:p>
            <w:pPr>
              <w:pStyle w:val="2"/>
              <w:spacing w:after="0"/>
              <w:ind w:firstLine="420"/>
              <w:rPr>
                <w:rFonts w:ascii="仿宋_GB2312"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2"/>
              <w:spacing w:after="0"/>
              <w:jc w:val="center"/>
              <w:rPr>
                <w:rFonts w:ascii="仿宋_GB2312" w:eastAsia="仿宋_GB2312"/>
                <w:color w:val="auto"/>
                <w:szCs w:val="21"/>
              </w:rPr>
            </w:pPr>
            <w:r>
              <w:rPr>
                <w:rFonts w:hint="eastAsia" w:ascii="仿宋_GB2312" w:eastAsia="仿宋_GB2312"/>
                <w:color w:val="auto"/>
                <w:szCs w:val="21"/>
              </w:rPr>
              <w:t>环境管理</w:t>
            </w:r>
          </w:p>
        </w:tc>
        <w:tc>
          <w:tcPr>
            <w:tcW w:w="1418"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3896" w:type="dxa"/>
            <w:vAlign w:val="center"/>
          </w:tcPr>
          <w:p>
            <w:pPr>
              <w:pStyle w:val="2"/>
              <w:spacing w:after="0"/>
              <w:ind w:firstLine="420"/>
              <w:rPr>
                <w:rFonts w:ascii="仿宋_GB2312"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vMerge w:val="restart"/>
            <w:tcBorders>
              <w:top w:val="single" w:color="auto" w:sz="6" w:space="0"/>
            </w:tcBorders>
            <w:vAlign w:val="center"/>
          </w:tcPr>
          <w:p>
            <w:pPr>
              <w:pStyle w:val="2"/>
              <w:spacing w:after="0"/>
              <w:jc w:val="center"/>
              <w:rPr>
                <w:rFonts w:ascii="仿宋_GB2312" w:eastAsia="仿宋_GB2312"/>
                <w:color w:val="auto"/>
                <w:szCs w:val="21"/>
              </w:rPr>
            </w:pPr>
            <w:r>
              <w:rPr>
                <w:rFonts w:hint="eastAsia" w:ascii="仿宋_GB2312" w:eastAsia="仿宋_GB2312"/>
                <w:color w:val="auto"/>
                <w:szCs w:val="21"/>
              </w:rPr>
              <w:t>其他人员</w:t>
            </w:r>
          </w:p>
        </w:tc>
        <w:tc>
          <w:tcPr>
            <w:tcW w:w="1418"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3896" w:type="dxa"/>
            <w:vAlign w:val="center"/>
          </w:tcPr>
          <w:p>
            <w:pPr>
              <w:pStyle w:val="2"/>
              <w:spacing w:after="0"/>
              <w:ind w:firstLine="420"/>
              <w:rPr>
                <w:rFonts w:ascii="仿宋_GB2312"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vMerge w:val="continue"/>
            <w:vAlign w:val="center"/>
          </w:tcPr>
          <w:p>
            <w:pPr>
              <w:pStyle w:val="2"/>
              <w:spacing w:after="0"/>
              <w:ind w:firstLine="420"/>
              <w:rPr>
                <w:rFonts w:ascii="仿宋_GB2312" w:eastAsia="仿宋_GB2312"/>
                <w:color w:val="auto"/>
                <w:szCs w:val="21"/>
              </w:rPr>
            </w:pPr>
          </w:p>
        </w:tc>
        <w:tc>
          <w:tcPr>
            <w:tcW w:w="1418" w:type="dxa"/>
            <w:tcBorders>
              <w:bottom w:val="nil"/>
            </w:tcBorders>
            <w:vAlign w:val="center"/>
          </w:tcPr>
          <w:p>
            <w:pPr>
              <w:pStyle w:val="2"/>
              <w:spacing w:after="0"/>
              <w:ind w:firstLine="420"/>
              <w:rPr>
                <w:rFonts w:ascii="仿宋_GB2312" w:eastAsia="仿宋_GB2312"/>
                <w:color w:val="auto"/>
                <w:szCs w:val="21"/>
              </w:rPr>
            </w:pPr>
          </w:p>
        </w:tc>
        <w:tc>
          <w:tcPr>
            <w:tcW w:w="1134" w:type="dxa"/>
            <w:tcBorders>
              <w:bottom w:val="nil"/>
            </w:tcBorders>
            <w:vAlign w:val="center"/>
          </w:tcPr>
          <w:p>
            <w:pPr>
              <w:pStyle w:val="2"/>
              <w:spacing w:after="0"/>
              <w:ind w:firstLine="420"/>
              <w:rPr>
                <w:rFonts w:ascii="仿宋_GB2312" w:eastAsia="仿宋_GB2312"/>
                <w:color w:val="auto"/>
                <w:szCs w:val="21"/>
              </w:rPr>
            </w:pPr>
          </w:p>
        </w:tc>
        <w:tc>
          <w:tcPr>
            <w:tcW w:w="1134" w:type="dxa"/>
            <w:tcBorders>
              <w:bottom w:val="nil"/>
            </w:tcBorders>
            <w:vAlign w:val="center"/>
          </w:tcPr>
          <w:p>
            <w:pPr>
              <w:pStyle w:val="2"/>
              <w:spacing w:after="0"/>
              <w:ind w:firstLine="420"/>
              <w:rPr>
                <w:rFonts w:ascii="仿宋_GB2312" w:eastAsia="仿宋_GB2312"/>
                <w:color w:val="auto"/>
                <w:szCs w:val="21"/>
              </w:rPr>
            </w:pPr>
          </w:p>
        </w:tc>
        <w:tc>
          <w:tcPr>
            <w:tcW w:w="3896" w:type="dxa"/>
            <w:tcBorders>
              <w:bottom w:val="nil"/>
            </w:tcBorders>
            <w:vAlign w:val="center"/>
          </w:tcPr>
          <w:p>
            <w:pPr>
              <w:pStyle w:val="2"/>
              <w:spacing w:after="0"/>
              <w:ind w:firstLine="420"/>
              <w:rPr>
                <w:rFonts w:ascii="仿宋_GB2312"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vMerge w:val="continue"/>
            <w:vAlign w:val="center"/>
          </w:tcPr>
          <w:p>
            <w:pPr>
              <w:pStyle w:val="2"/>
              <w:spacing w:after="0"/>
              <w:ind w:firstLine="420"/>
              <w:rPr>
                <w:rFonts w:ascii="仿宋_GB2312" w:eastAsia="仿宋_GB2312"/>
                <w:color w:val="auto"/>
                <w:szCs w:val="21"/>
              </w:rPr>
            </w:pPr>
          </w:p>
        </w:tc>
        <w:tc>
          <w:tcPr>
            <w:tcW w:w="1418"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3896" w:type="dxa"/>
            <w:vAlign w:val="center"/>
          </w:tcPr>
          <w:p>
            <w:pPr>
              <w:pStyle w:val="2"/>
              <w:spacing w:after="0"/>
              <w:ind w:firstLine="420"/>
              <w:rPr>
                <w:rFonts w:ascii="仿宋_GB2312"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vMerge w:val="continue"/>
            <w:vAlign w:val="center"/>
          </w:tcPr>
          <w:p>
            <w:pPr>
              <w:pStyle w:val="2"/>
              <w:spacing w:after="0"/>
              <w:ind w:firstLine="420"/>
              <w:rPr>
                <w:rFonts w:ascii="仿宋_GB2312" w:eastAsia="仿宋_GB2312"/>
                <w:color w:val="auto"/>
                <w:szCs w:val="21"/>
              </w:rPr>
            </w:pPr>
          </w:p>
        </w:tc>
        <w:tc>
          <w:tcPr>
            <w:tcW w:w="1418"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3896" w:type="dxa"/>
            <w:vAlign w:val="center"/>
          </w:tcPr>
          <w:p>
            <w:pPr>
              <w:pStyle w:val="2"/>
              <w:spacing w:after="0"/>
              <w:ind w:firstLine="420"/>
              <w:rPr>
                <w:rFonts w:ascii="仿宋_GB2312"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vMerge w:val="continue"/>
            <w:vAlign w:val="center"/>
          </w:tcPr>
          <w:p>
            <w:pPr>
              <w:pStyle w:val="2"/>
              <w:spacing w:after="0"/>
              <w:ind w:firstLine="420"/>
              <w:rPr>
                <w:rFonts w:ascii="仿宋_GB2312" w:eastAsia="仿宋_GB2312"/>
                <w:color w:val="auto"/>
                <w:szCs w:val="21"/>
              </w:rPr>
            </w:pPr>
          </w:p>
        </w:tc>
        <w:tc>
          <w:tcPr>
            <w:tcW w:w="1418"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1134" w:type="dxa"/>
            <w:vAlign w:val="center"/>
          </w:tcPr>
          <w:p>
            <w:pPr>
              <w:pStyle w:val="2"/>
              <w:spacing w:after="0"/>
              <w:ind w:firstLine="420"/>
              <w:rPr>
                <w:rFonts w:ascii="仿宋_GB2312" w:eastAsia="仿宋_GB2312"/>
                <w:color w:val="auto"/>
                <w:szCs w:val="21"/>
              </w:rPr>
            </w:pPr>
          </w:p>
        </w:tc>
        <w:tc>
          <w:tcPr>
            <w:tcW w:w="3896" w:type="dxa"/>
            <w:vAlign w:val="center"/>
          </w:tcPr>
          <w:p>
            <w:pPr>
              <w:pStyle w:val="2"/>
              <w:spacing w:after="0"/>
              <w:ind w:firstLine="420"/>
              <w:rPr>
                <w:rFonts w:ascii="仿宋_GB2312"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vMerge w:val="continue"/>
            <w:tcBorders>
              <w:bottom w:val="single" w:color="auto" w:sz="12" w:space="0"/>
            </w:tcBorders>
            <w:vAlign w:val="center"/>
          </w:tcPr>
          <w:p>
            <w:pPr>
              <w:pStyle w:val="2"/>
              <w:rPr>
                <w:rFonts w:ascii="仿宋_GB2312" w:eastAsia="仿宋_GB2312"/>
                <w:color w:val="auto"/>
              </w:rPr>
            </w:pPr>
          </w:p>
        </w:tc>
        <w:tc>
          <w:tcPr>
            <w:tcW w:w="1418" w:type="dxa"/>
            <w:tcBorders>
              <w:bottom w:val="single" w:color="auto" w:sz="12" w:space="0"/>
            </w:tcBorders>
            <w:vAlign w:val="center"/>
          </w:tcPr>
          <w:p>
            <w:pPr>
              <w:pStyle w:val="2"/>
              <w:rPr>
                <w:rFonts w:ascii="仿宋_GB2312" w:eastAsia="仿宋_GB2312"/>
                <w:color w:val="auto"/>
              </w:rPr>
            </w:pPr>
          </w:p>
        </w:tc>
        <w:tc>
          <w:tcPr>
            <w:tcW w:w="1134" w:type="dxa"/>
            <w:tcBorders>
              <w:bottom w:val="single" w:color="auto" w:sz="12" w:space="0"/>
            </w:tcBorders>
            <w:vAlign w:val="center"/>
          </w:tcPr>
          <w:p>
            <w:pPr>
              <w:pStyle w:val="2"/>
              <w:rPr>
                <w:rFonts w:ascii="仿宋_GB2312" w:eastAsia="仿宋_GB2312"/>
                <w:color w:val="auto"/>
              </w:rPr>
            </w:pPr>
          </w:p>
        </w:tc>
        <w:tc>
          <w:tcPr>
            <w:tcW w:w="1134" w:type="dxa"/>
            <w:tcBorders>
              <w:bottom w:val="single" w:color="auto" w:sz="12" w:space="0"/>
            </w:tcBorders>
            <w:vAlign w:val="center"/>
          </w:tcPr>
          <w:p>
            <w:pPr>
              <w:pStyle w:val="2"/>
              <w:rPr>
                <w:rFonts w:ascii="仿宋_GB2312" w:eastAsia="仿宋_GB2312"/>
                <w:color w:val="auto"/>
              </w:rPr>
            </w:pPr>
          </w:p>
        </w:tc>
        <w:tc>
          <w:tcPr>
            <w:tcW w:w="3896" w:type="dxa"/>
            <w:tcBorders>
              <w:bottom w:val="single" w:color="auto" w:sz="12" w:space="0"/>
            </w:tcBorders>
            <w:vAlign w:val="center"/>
          </w:tcPr>
          <w:p>
            <w:pPr>
              <w:pStyle w:val="2"/>
              <w:rPr>
                <w:rFonts w:ascii="仿宋_GB2312" w:eastAsia="仿宋_GB2312"/>
                <w:color w:val="auto"/>
              </w:rPr>
            </w:pPr>
          </w:p>
        </w:tc>
      </w:tr>
    </w:tbl>
    <w:p>
      <w:pPr>
        <w:rPr>
          <w:color w:val="auto"/>
        </w:rPr>
      </w:pPr>
      <w:r>
        <w:rPr>
          <w:color w:val="auto"/>
        </w:rPr>
        <w:br w:type="page"/>
      </w:r>
    </w:p>
    <w:p>
      <w:pPr>
        <w:pStyle w:val="303"/>
        <w:numPr>
          <w:ilvl w:val="0"/>
          <w:numId w:val="0"/>
        </w:numPr>
        <w:spacing w:after="287"/>
        <w:rPr>
          <w:color w:val="auto"/>
        </w:rPr>
      </w:pPr>
      <w:bookmarkStart w:id="1174" w:name="_Toc54862357"/>
      <w:r>
        <w:rPr>
          <w:rFonts w:hint="eastAsia"/>
          <w:color w:val="auto"/>
        </w:rPr>
        <w:t>附件6</w:t>
      </w:r>
      <w:r>
        <w:rPr>
          <w:color w:val="auto"/>
        </w:rPr>
        <w:t xml:space="preserve"> </w:t>
      </w:r>
      <w:r>
        <w:rPr>
          <w:rFonts w:hint="eastAsia"/>
          <w:color w:val="auto"/>
        </w:rPr>
        <w:t>价格指数权重表</w:t>
      </w:r>
      <w:bookmarkEnd w:id="1174"/>
    </w:p>
    <w:tbl>
      <w:tblPr>
        <w:tblStyle w:val="67"/>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84"/>
        <w:gridCol w:w="876"/>
        <w:gridCol w:w="1215"/>
        <w:gridCol w:w="1080"/>
        <w:gridCol w:w="1215"/>
        <w:gridCol w:w="123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829" w:type="dxa"/>
            <w:vMerge w:val="restart"/>
            <w:vAlign w:val="top"/>
          </w:tcPr>
          <w:p>
            <w:pPr>
              <w:rPr>
                <w:rFonts w:ascii="仿宋_GB2312" w:eastAsia="仿宋_GB2312"/>
                <w:color w:val="auto"/>
              </w:rPr>
            </w:pPr>
            <w:r>
              <w:rPr>
                <w:rFonts w:hint="eastAsia" w:ascii="仿宋_GB2312" w:eastAsia="仿宋_GB2312"/>
                <w:color w:val="auto"/>
              </w:rPr>
              <w:t>序号</w:t>
            </w:r>
          </w:p>
        </w:tc>
        <w:tc>
          <w:tcPr>
            <w:tcW w:w="1460" w:type="dxa"/>
            <w:gridSpan w:val="2"/>
            <w:vMerge w:val="restart"/>
            <w:vAlign w:val="top"/>
          </w:tcPr>
          <w:p>
            <w:pPr>
              <w:rPr>
                <w:rFonts w:ascii="仿宋_GB2312" w:eastAsia="仿宋_GB2312"/>
                <w:color w:val="auto"/>
              </w:rPr>
            </w:pPr>
            <w:r>
              <w:rPr>
                <w:rFonts w:hint="eastAsia" w:ascii="仿宋_GB2312" w:eastAsia="仿宋_GB2312"/>
                <w:color w:val="auto"/>
              </w:rPr>
              <w:t>名称</w:t>
            </w:r>
          </w:p>
        </w:tc>
        <w:tc>
          <w:tcPr>
            <w:tcW w:w="2295" w:type="dxa"/>
            <w:gridSpan w:val="2"/>
            <w:vAlign w:val="top"/>
          </w:tcPr>
          <w:p>
            <w:pPr>
              <w:rPr>
                <w:rFonts w:ascii="仿宋_GB2312" w:eastAsia="仿宋_GB2312"/>
                <w:color w:val="auto"/>
              </w:rPr>
            </w:pPr>
            <w:r>
              <w:rPr>
                <w:rFonts w:hint="eastAsia" w:ascii="仿宋_GB2312" w:eastAsia="仿宋_GB2312"/>
                <w:color w:val="auto"/>
              </w:rPr>
              <w:t>变更权重B</w:t>
            </w:r>
          </w:p>
        </w:tc>
        <w:tc>
          <w:tcPr>
            <w:tcW w:w="2445" w:type="dxa"/>
            <w:gridSpan w:val="2"/>
            <w:vAlign w:val="top"/>
          </w:tcPr>
          <w:p>
            <w:pPr>
              <w:rPr>
                <w:rFonts w:ascii="仿宋_GB2312" w:eastAsia="仿宋_GB2312"/>
                <w:color w:val="auto"/>
              </w:rPr>
            </w:pPr>
            <w:r>
              <w:rPr>
                <w:rFonts w:hint="eastAsia" w:ascii="仿宋_GB2312" w:eastAsia="仿宋_GB2312"/>
                <w:color w:val="auto"/>
              </w:rPr>
              <w:t>基本价格指数F0</w:t>
            </w:r>
          </w:p>
        </w:tc>
        <w:tc>
          <w:tcPr>
            <w:tcW w:w="1380" w:type="dxa"/>
            <w:vAlign w:val="top"/>
          </w:tcPr>
          <w:p>
            <w:pPr>
              <w:rPr>
                <w:rFonts w:ascii="仿宋_GB2312" w:eastAsia="仿宋_GB2312"/>
                <w:color w:val="auto"/>
              </w:rPr>
            </w:pPr>
            <w:r>
              <w:rPr>
                <w:rFonts w:hint="eastAsia" w:ascii="仿宋_GB2312" w:eastAsia="仿宋_GB2312"/>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29" w:type="dxa"/>
            <w:vMerge w:val="continue"/>
            <w:vAlign w:val="top"/>
          </w:tcPr>
          <w:p>
            <w:pPr>
              <w:rPr>
                <w:rFonts w:ascii="仿宋_GB2312" w:eastAsia="仿宋_GB2312"/>
                <w:color w:val="auto"/>
              </w:rPr>
            </w:pPr>
          </w:p>
        </w:tc>
        <w:tc>
          <w:tcPr>
            <w:tcW w:w="1460" w:type="dxa"/>
            <w:gridSpan w:val="2"/>
            <w:vMerge w:val="continue"/>
            <w:vAlign w:val="top"/>
          </w:tcPr>
          <w:p>
            <w:pPr>
              <w:rPr>
                <w:rFonts w:ascii="仿宋_GB2312" w:eastAsia="仿宋_GB2312"/>
                <w:color w:val="auto"/>
              </w:rPr>
            </w:pPr>
          </w:p>
        </w:tc>
        <w:tc>
          <w:tcPr>
            <w:tcW w:w="1215" w:type="dxa"/>
            <w:vAlign w:val="top"/>
          </w:tcPr>
          <w:p>
            <w:pPr>
              <w:rPr>
                <w:rFonts w:ascii="仿宋_GB2312" w:eastAsia="仿宋_GB2312"/>
                <w:color w:val="auto"/>
              </w:rPr>
            </w:pPr>
            <w:r>
              <w:rPr>
                <w:rFonts w:hint="eastAsia" w:ascii="仿宋_GB2312" w:eastAsia="仿宋_GB2312"/>
                <w:color w:val="auto"/>
              </w:rPr>
              <w:t>代号</w:t>
            </w:r>
          </w:p>
        </w:tc>
        <w:tc>
          <w:tcPr>
            <w:tcW w:w="1080" w:type="dxa"/>
            <w:vAlign w:val="top"/>
          </w:tcPr>
          <w:p>
            <w:pPr>
              <w:rPr>
                <w:rFonts w:ascii="仿宋_GB2312" w:eastAsia="仿宋_GB2312"/>
                <w:color w:val="auto"/>
              </w:rPr>
            </w:pPr>
            <w:r>
              <w:rPr>
                <w:rFonts w:hint="eastAsia" w:ascii="仿宋_GB2312" w:eastAsia="仿宋_GB2312"/>
                <w:color w:val="auto"/>
              </w:rPr>
              <w:t>权重</w:t>
            </w:r>
          </w:p>
        </w:tc>
        <w:tc>
          <w:tcPr>
            <w:tcW w:w="1215" w:type="dxa"/>
            <w:vAlign w:val="top"/>
          </w:tcPr>
          <w:p>
            <w:pPr>
              <w:rPr>
                <w:rFonts w:ascii="仿宋_GB2312" w:eastAsia="仿宋_GB2312"/>
                <w:color w:val="auto"/>
              </w:rPr>
            </w:pPr>
            <w:r>
              <w:rPr>
                <w:rFonts w:hint="eastAsia" w:ascii="仿宋_GB2312" w:eastAsia="仿宋_GB2312"/>
                <w:color w:val="auto"/>
              </w:rPr>
              <w:t>代号</w:t>
            </w:r>
          </w:p>
        </w:tc>
        <w:tc>
          <w:tcPr>
            <w:tcW w:w="1230" w:type="dxa"/>
            <w:vAlign w:val="top"/>
          </w:tcPr>
          <w:p>
            <w:pPr>
              <w:rPr>
                <w:rFonts w:ascii="仿宋_GB2312" w:eastAsia="仿宋_GB2312"/>
                <w:color w:val="auto"/>
              </w:rPr>
            </w:pPr>
            <w:r>
              <w:rPr>
                <w:rFonts w:hint="eastAsia" w:ascii="仿宋_GB2312" w:eastAsia="仿宋_GB2312"/>
                <w:color w:val="auto"/>
              </w:rPr>
              <w:t>指数</w:t>
            </w:r>
          </w:p>
        </w:tc>
        <w:tc>
          <w:tcPr>
            <w:tcW w:w="1380" w:type="dxa"/>
            <w:vAlign w:val="top"/>
          </w:tcPr>
          <w:p>
            <w:pP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rPr>
                <w:rFonts w:ascii="仿宋_GB2312" w:eastAsia="仿宋_GB2312"/>
                <w:color w:val="auto"/>
              </w:rPr>
            </w:pPr>
          </w:p>
        </w:tc>
        <w:tc>
          <w:tcPr>
            <w:tcW w:w="584" w:type="dxa"/>
            <w:vMerge w:val="restart"/>
            <w:vAlign w:val="top"/>
          </w:tcPr>
          <w:p>
            <w:pPr>
              <w:rPr>
                <w:rFonts w:ascii="仿宋_GB2312" w:eastAsia="仿宋_GB2312"/>
                <w:color w:val="auto"/>
              </w:rPr>
            </w:pPr>
            <w:r>
              <w:rPr>
                <w:rFonts w:hint="eastAsia" w:ascii="仿宋_GB2312" w:eastAsia="仿宋_GB2312"/>
                <w:color w:val="auto"/>
              </w:rPr>
              <w:t>变</w:t>
            </w:r>
          </w:p>
          <w:p>
            <w:pPr>
              <w:rPr>
                <w:rFonts w:ascii="仿宋_GB2312" w:eastAsia="仿宋_GB2312"/>
                <w:color w:val="auto"/>
              </w:rPr>
            </w:pPr>
            <w:r>
              <w:rPr>
                <w:rFonts w:hint="eastAsia" w:ascii="仿宋_GB2312" w:eastAsia="仿宋_GB2312"/>
                <w:color w:val="auto"/>
              </w:rPr>
              <w:t>值</w:t>
            </w:r>
          </w:p>
          <w:p>
            <w:pPr>
              <w:rPr>
                <w:rFonts w:ascii="仿宋_GB2312" w:eastAsia="仿宋_GB2312"/>
                <w:color w:val="auto"/>
              </w:rPr>
            </w:pPr>
            <w:r>
              <w:rPr>
                <w:rFonts w:hint="eastAsia" w:ascii="仿宋_GB2312" w:eastAsia="仿宋_GB2312"/>
                <w:color w:val="auto"/>
              </w:rPr>
              <w:t>部</w:t>
            </w:r>
          </w:p>
          <w:p>
            <w:pPr>
              <w:rPr>
                <w:rFonts w:ascii="仿宋_GB2312" w:eastAsia="仿宋_GB2312"/>
                <w:color w:val="auto"/>
              </w:rPr>
            </w:pPr>
            <w:r>
              <w:rPr>
                <w:rFonts w:hint="eastAsia" w:ascii="仿宋_GB2312" w:eastAsia="仿宋_GB2312"/>
                <w:color w:val="auto"/>
              </w:rPr>
              <w:t>分</w:t>
            </w:r>
          </w:p>
        </w:tc>
        <w:tc>
          <w:tcPr>
            <w:tcW w:w="876" w:type="dxa"/>
            <w:vAlign w:val="top"/>
          </w:tcPr>
          <w:p>
            <w:pPr>
              <w:rPr>
                <w:rFonts w:ascii="仿宋_GB2312" w:eastAsia="仿宋_GB2312"/>
                <w:color w:val="auto"/>
              </w:rPr>
            </w:pPr>
          </w:p>
        </w:tc>
        <w:tc>
          <w:tcPr>
            <w:tcW w:w="1215" w:type="dxa"/>
            <w:vAlign w:val="top"/>
          </w:tcPr>
          <w:p>
            <w:pPr>
              <w:rPr>
                <w:rFonts w:ascii="仿宋_GB2312" w:eastAsia="仿宋_GB2312"/>
                <w:color w:val="auto"/>
              </w:rPr>
            </w:pPr>
            <w:r>
              <w:rPr>
                <w:rFonts w:hint="eastAsia" w:ascii="仿宋_GB2312" w:eastAsia="仿宋_GB2312"/>
                <w:color w:val="auto"/>
              </w:rPr>
              <w:t>B1</w:t>
            </w:r>
          </w:p>
        </w:tc>
        <w:tc>
          <w:tcPr>
            <w:tcW w:w="1080" w:type="dxa"/>
            <w:vAlign w:val="top"/>
          </w:tcPr>
          <w:p>
            <w:pPr>
              <w:rPr>
                <w:rFonts w:ascii="仿宋_GB2312" w:eastAsia="仿宋_GB2312"/>
                <w:color w:val="auto"/>
              </w:rPr>
            </w:pPr>
          </w:p>
        </w:tc>
        <w:tc>
          <w:tcPr>
            <w:tcW w:w="1215" w:type="dxa"/>
            <w:vAlign w:val="top"/>
          </w:tcPr>
          <w:p>
            <w:pPr>
              <w:rPr>
                <w:rFonts w:ascii="仿宋_GB2312" w:eastAsia="仿宋_GB2312"/>
                <w:color w:val="auto"/>
              </w:rPr>
            </w:pPr>
            <w:r>
              <w:rPr>
                <w:rFonts w:hint="eastAsia" w:ascii="仿宋_GB2312" w:eastAsia="仿宋_GB2312"/>
                <w:color w:val="auto"/>
              </w:rPr>
              <w:t>F01</w:t>
            </w:r>
          </w:p>
        </w:tc>
        <w:tc>
          <w:tcPr>
            <w:tcW w:w="1230" w:type="dxa"/>
            <w:vAlign w:val="top"/>
          </w:tcPr>
          <w:p>
            <w:pPr>
              <w:rPr>
                <w:rFonts w:ascii="仿宋_GB2312" w:eastAsia="仿宋_GB2312"/>
                <w:color w:val="auto"/>
              </w:rPr>
            </w:pPr>
          </w:p>
        </w:tc>
        <w:tc>
          <w:tcPr>
            <w:tcW w:w="1380" w:type="dxa"/>
            <w:vAlign w:val="top"/>
          </w:tcPr>
          <w:p>
            <w:pP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rPr>
                <w:rFonts w:ascii="仿宋_GB2312" w:eastAsia="仿宋_GB2312"/>
                <w:color w:val="auto"/>
              </w:rPr>
            </w:pPr>
          </w:p>
        </w:tc>
        <w:tc>
          <w:tcPr>
            <w:tcW w:w="584" w:type="dxa"/>
            <w:vMerge w:val="continue"/>
            <w:vAlign w:val="top"/>
          </w:tcPr>
          <w:p>
            <w:pPr>
              <w:rPr>
                <w:rFonts w:ascii="仿宋_GB2312" w:eastAsia="仿宋_GB2312"/>
                <w:color w:val="auto"/>
              </w:rPr>
            </w:pPr>
          </w:p>
        </w:tc>
        <w:tc>
          <w:tcPr>
            <w:tcW w:w="876" w:type="dxa"/>
            <w:vAlign w:val="top"/>
          </w:tcPr>
          <w:p>
            <w:pPr>
              <w:rPr>
                <w:rFonts w:ascii="仿宋_GB2312" w:eastAsia="仿宋_GB2312"/>
                <w:color w:val="auto"/>
              </w:rPr>
            </w:pPr>
          </w:p>
        </w:tc>
        <w:tc>
          <w:tcPr>
            <w:tcW w:w="1215" w:type="dxa"/>
            <w:vAlign w:val="top"/>
          </w:tcPr>
          <w:p>
            <w:pPr>
              <w:rPr>
                <w:rFonts w:ascii="仿宋_GB2312" w:eastAsia="仿宋_GB2312"/>
                <w:color w:val="auto"/>
              </w:rPr>
            </w:pPr>
            <w:r>
              <w:rPr>
                <w:rFonts w:hint="eastAsia" w:ascii="仿宋_GB2312" w:eastAsia="仿宋_GB2312"/>
                <w:color w:val="auto"/>
              </w:rPr>
              <w:t>B2</w:t>
            </w:r>
          </w:p>
        </w:tc>
        <w:tc>
          <w:tcPr>
            <w:tcW w:w="1080" w:type="dxa"/>
            <w:vAlign w:val="top"/>
          </w:tcPr>
          <w:p>
            <w:pPr>
              <w:rPr>
                <w:rFonts w:ascii="仿宋_GB2312" w:eastAsia="仿宋_GB2312"/>
                <w:color w:val="auto"/>
              </w:rPr>
            </w:pPr>
          </w:p>
        </w:tc>
        <w:tc>
          <w:tcPr>
            <w:tcW w:w="1215" w:type="dxa"/>
            <w:vAlign w:val="top"/>
          </w:tcPr>
          <w:p>
            <w:pPr>
              <w:rPr>
                <w:rFonts w:ascii="仿宋_GB2312" w:eastAsia="仿宋_GB2312"/>
                <w:color w:val="auto"/>
              </w:rPr>
            </w:pPr>
            <w:r>
              <w:rPr>
                <w:rFonts w:hint="eastAsia" w:ascii="仿宋_GB2312" w:eastAsia="仿宋_GB2312"/>
                <w:color w:val="auto"/>
              </w:rPr>
              <w:t>F02</w:t>
            </w:r>
          </w:p>
        </w:tc>
        <w:tc>
          <w:tcPr>
            <w:tcW w:w="1230" w:type="dxa"/>
            <w:vAlign w:val="top"/>
          </w:tcPr>
          <w:p>
            <w:pPr>
              <w:rPr>
                <w:rFonts w:ascii="仿宋_GB2312" w:eastAsia="仿宋_GB2312"/>
                <w:color w:val="auto"/>
              </w:rPr>
            </w:pPr>
          </w:p>
        </w:tc>
        <w:tc>
          <w:tcPr>
            <w:tcW w:w="1380" w:type="dxa"/>
            <w:vAlign w:val="top"/>
          </w:tcPr>
          <w:p>
            <w:pP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rPr>
                <w:rFonts w:ascii="仿宋_GB2312" w:eastAsia="仿宋_GB2312"/>
                <w:color w:val="auto"/>
              </w:rPr>
            </w:pPr>
          </w:p>
        </w:tc>
        <w:tc>
          <w:tcPr>
            <w:tcW w:w="584" w:type="dxa"/>
            <w:vMerge w:val="continue"/>
            <w:vAlign w:val="top"/>
          </w:tcPr>
          <w:p>
            <w:pPr>
              <w:rPr>
                <w:rFonts w:ascii="仿宋_GB2312" w:eastAsia="仿宋_GB2312"/>
                <w:color w:val="auto"/>
              </w:rPr>
            </w:pPr>
          </w:p>
        </w:tc>
        <w:tc>
          <w:tcPr>
            <w:tcW w:w="876" w:type="dxa"/>
            <w:vAlign w:val="top"/>
          </w:tcPr>
          <w:p>
            <w:pPr>
              <w:rPr>
                <w:rFonts w:ascii="仿宋_GB2312" w:eastAsia="仿宋_GB2312"/>
                <w:color w:val="auto"/>
              </w:rPr>
            </w:pPr>
          </w:p>
        </w:tc>
        <w:tc>
          <w:tcPr>
            <w:tcW w:w="1215" w:type="dxa"/>
            <w:vAlign w:val="top"/>
          </w:tcPr>
          <w:p>
            <w:pPr>
              <w:rPr>
                <w:rFonts w:ascii="仿宋_GB2312" w:eastAsia="仿宋_GB2312"/>
                <w:color w:val="auto"/>
              </w:rPr>
            </w:pPr>
            <w:r>
              <w:rPr>
                <w:rFonts w:hint="eastAsia" w:ascii="仿宋_GB2312" w:eastAsia="仿宋_GB2312"/>
                <w:color w:val="auto"/>
              </w:rPr>
              <w:t>B3</w:t>
            </w:r>
          </w:p>
        </w:tc>
        <w:tc>
          <w:tcPr>
            <w:tcW w:w="1080" w:type="dxa"/>
            <w:vAlign w:val="top"/>
          </w:tcPr>
          <w:p>
            <w:pPr>
              <w:rPr>
                <w:rFonts w:ascii="仿宋_GB2312" w:eastAsia="仿宋_GB2312"/>
                <w:color w:val="auto"/>
              </w:rPr>
            </w:pPr>
          </w:p>
        </w:tc>
        <w:tc>
          <w:tcPr>
            <w:tcW w:w="1215" w:type="dxa"/>
            <w:vAlign w:val="top"/>
          </w:tcPr>
          <w:p>
            <w:pPr>
              <w:rPr>
                <w:rFonts w:ascii="仿宋_GB2312" w:eastAsia="仿宋_GB2312"/>
                <w:color w:val="auto"/>
              </w:rPr>
            </w:pPr>
            <w:r>
              <w:rPr>
                <w:rFonts w:hint="eastAsia" w:ascii="仿宋_GB2312" w:eastAsia="仿宋_GB2312"/>
                <w:color w:val="auto"/>
              </w:rPr>
              <w:t>F03</w:t>
            </w:r>
          </w:p>
        </w:tc>
        <w:tc>
          <w:tcPr>
            <w:tcW w:w="1230" w:type="dxa"/>
            <w:vAlign w:val="top"/>
          </w:tcPr>
          <w:p>
            <w:pPr>
              <w:rPr>
                <w:rFonts w:ascii="仿宋_GB2312" w:eastAsia="仿宋_GB2312"/>
                <w:color w:val="auto"/>
              </w:rPr>
            </w:pPr>
          </w:p>
        </w:tc>
        <w:tc>
          <w:tcPr>
            <w:tcW w:w="1380" w:type="dxa"/>
            <w:vAlign w:val="top"/>
          </w:tcPr>
          <w:p>
            <w:pP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rPr>
                <w:rFonts w:ascii="仿宋_GB2312" w:eastAsia="仿宋_GB2312"/>
                <w:color w:val="auto"/>
              </w:rPr>
            </w:pPr>
          </w:p>
        </w:tc>
        <w:tc>
          <w:tcPr>
            <w:tcW w:w="584" w:type="dxa"/>
            <w:vMerge w:val="continue"/>
            <w:vAlign w:val="top"/>
          </w:tcPr>
          <w:p>
            <w:pPr>
              <w:rPr>
                <w:rFonts w:ascii="仿宋_GB2312" w:eastAsia="仿宋_GB2312"/>
                <w:color w:val="auto"/>
              </w:rPr>
            </w:pPr>
          </w:p>
        </w:tc>
        <w:tc>
          <w:tcPr>
            <w:tcW w:w="876" w:type="dxa"/>
            <w:vAlign w:val="top"/>
          </w:tcPr>
          <w:p>
            <w:pPr>
              <w:rPr>
                <w:rFonts w:ascii="仿宋_GB2312" w:eastAsia="仿宋_GB2312"/>
                <w:color w:val="auto"/>
              </w:rPr>
            </w:pPr>
          </w:p>
        </w:tc>
        <w:tc>
          <w:tcPr>
            <w:tcW w:w="1215" w:type="dxa"/>
            <w:vAlign w:val="top"/>
          </w:tcPr>
          <w:p>
            <w:pPr>
              <w:rPr>
                <w:rFonts w:ascii="仿宋_GB2312" w:eastAsia="仿宋_GB2312"/>
                <w:color w:val="auto"/>
              </w:rPr>
            </w:pPr>
            <w:r>
              <w:rPr>
                <w:rFonts w:hint="eastAsia" w:ascii="仿宋_GB2312" w:eastAsia="仿宋_GB2312"/>
                <w:color w:val="auto"/>
              </w:rPr>
              <w:t>B4</w:t>
            </w:r>
          </w:p>
        </w:tc>
        <w:tc>
          <w:tcPr>
            <w:tcW w:w="1080" w:type="dxa"/>
            <w:vAlign w:val="top"/>
          </w:tcPr>
          <w:p>
            <w:pPr>
              <w:rPr>
                <w:rFonts w:ascii="仿宋_GB2312" w:eastAsia="仿宋_GB2312"/>
                <w:color w:val="auto"/>
              </w:rPr>
            </w:pPr>
          </w:p>
        </w:tc>
        <w:tc>
          <w:tcPr>
            <w:tcW w:w="1215" w:type="dxa"/>
            <w:vAlign w:val="top"/>
          </w:tcPr>
          <w:p>
            <w:pPr>
              <w:rPr>
                <w:rFonts w:ascii="仿宋_GB2312" w:eastAsia="仿宋_GB2312"/>
                <w:color w:val="auto"/>
              </w:rPr>
            </w:pPr>
            <w:r>
              <w:rPr>
                <w:rFonts w:hint="eastAsia" w:ascii="仿宋_GB2312" w:eastAsia="仿宋_GB2312"/>
                <w:color w:val="auto"/>
              </w:rPr>
              <w:t>F04</w:t>
            </w:r>
          </w:p>
        </w:tc>
        <w:tc>
          <w:tcPr>
            <w:tcW w:w="1230" w:type="dxa"/>
            <w:vAlign w:val="top"/>
          </w:tcPr>
          <w:p>
            <w:pPr>
              <w:rPr>
                <w:rFonts w:ascii="仿宋_GB2312" w:eastAsia="仿宋_GB2312"/>
                <w:color w:val="auto"/>
              </w:rPr>
            </w:pPr>
          </w:p>
        </w:tc>
        <w:tc>
          <w:tcPr>
            <w:tcW w:w="1380" w:type="dxa"/>
            <w:vAlign w:val="top"/>
          </w:tcPr>
          <w:p>
            <w:pP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rPr>
                <w:rFonts w:ascii="仿宋_GB2312" w:eastAsia="仿宋_GB2312"/>
                <w:color w:val="auto"/>
              </w:rPr>
            </w:pPr>
          </w:p>
        </w:tc>
        <w:tc>
          <w:tcPr>
            <w:tcW w:w="584" w:type="dxa"/>
            <w:vMerge w:val="continue"/>
            <w:vAlign w:val="top"/>
          </w:tcPr>
          <w:p>
            <w:pPr>
              <w:rPr>
                <w:rFonts w:ascii="仿宋_GB2312" w:eastAsia="仿宋_GB2312"/>
                <w:color w:val="auto"/>
              </w:rPr>
            </w:pPr>
          </w:p>
        </w:tc>
        <w:tc>
          <w:tcPr>
            <w:tcW w:w="876" w:type="dxa"/>
            <w:vAlign w:val="top"/>
          </w:tcPr>
          <w:p>
            <w:pPr>
              <w:rPr>
                <w:rFonts w:ascii="仿宋_GB2312" w:eastAsia="仿宋_GB2312"/>
                <w:color w:val="auto"/>
              </w:rPr>
            </w:pPr>
          </w:p>
        </w:tc>
        <w:tc>
          <w:tcPr>
            <w:tcW w:w="1215" w:type="dxa"/>
            <w:vAlign w:val="top"/>
          </w:tcPr>
          <w:p>
            <w:pPr>
              <w:rPr>
                <w:rFonts w:ascii="仿宋_GB2312" w:eastAsia="仿宋_GB2312"/>
                <w:color w:val="auto"/>
              </w:rPr>
            </w:pPr>
          </w:p>
        </w:tc>
        <w:tc>
          <w:tcPr>
            <w:tcW w:w="1080" w:type="dxa"/>
            <w:vAlign w:val="top"/>
          </w:tcPr>
          <w:p>
            <w:pPr>
              <w:rPr>
                <w:rFonts w:ascii="仿宋_GB2312" w:eastAsia="仿宋_GB2312"/>
                <w:color w:val="auto"/>
              </w:rPr>
            </w:pPr>
          </w:p>
        </w:tc>
        <w:tc>
          <w:tcPr>
            <w:tcW w:w="1215" w:type="dxa"/>
            <w:vAlign w:val="top"/>
          </w:tcPr>
          <w:p>
            <w:pPr>
              <w:rPr>
                <w:rFonts w:ascii="仿宋_GB2312" w:eastAsia="仿宋_GB2312"/>
                <w:color w:val="auto"/>
              </w:rPr>
            </w:pPr>
          </w:p>
        </w:tc>
        <w:tc>
          <w:tcPr>
            <w:tcW w:w="1230" w:type="dxa"/>
            <w:vAlign w:val="top"/>
          </w:tcPr>
          <w:p>
            <w:pPr>
              <w:rPr>
                <w:rFonts w:ascii="仿宋_GB2312" w:eastAsia="仿宋_GB2312"/>
                <w:color w:val="auto"/>
              </w:rPr>
            </w:pPr>
          </w:p>
        </w:tc>
        <w:tc>
          <w:tcPr>
            <w:tcW w:w="1380" w:type="dxa"/>
            <w:vAlign w:val="top"/>
          </w:tcPr>
          <w:p>
            <w:pP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rPr>
                <w:rFonts w:ascii="仿宋_GB2312" w:eastAsia="仿宋_GB2312"/>
                <w:color w:val="auto"/>
              </w:rPr>
            </w:pPr>
          </w:p>
        </w:tc>
        <w:tc>
          <w:tcPr>
            <w:tcW w:w="584" w:type="dxa"/>
            <w:vMerge w:val="continue"/>
            <w:vAlign w:val="top"/>
          </w:tcPr>
          <w:p>
            <w:pPr>
              <w:rPr>
                <w:rFonts w:ascii="仿宋_GB2312" w:eastAsia="仿宋_GB2312"/>
                <w:color w:val="auto"/>
              </w:rPr>
            </w:pPr>
          </w:p>
        </w:tc>
        <w:tc>
          <w:tcPr>
            <w:tcW w:w="876" w:type="dxa"/>
            <w:vAlign w:val="top"/>
          </w:tcPr>
          <w:p>
            <w:pPr>
              <w:rPr>
                <w:rFonts w:ascii="仿宋_GB2312" w:eastAsia="仿宋_GB2312"/>
                <w:color w:val="auto"/>
              </w:rPr>
            </w:pPr>
          </w:p>
        </w:tc>
        <w:tc>
          <w:tcPr>
            <w:tcW w:w="1215" w:type="dxa"/>
            <w:vAlign w:val="top"/>
          </w:tcPr>
          <w:p>
            <w:pPr>
              <w:rPr>
                <w:rFonts w:ascii="仿宋_GB2312" w:eastAsia="仿宋_GB2312"/>
                <w:color w:val="auto"/>
              </w:rPr>
            </w:pPr>
          </w:p>
        </w:tc>
        <w:tc>
          <w:tcPr>
            <w:tcW w:w="1080" w:type="dxa"/>
            <w:vAlign w:val="top"/>
          </w:tcPr>
          <w:p>
            <w:pPr>
              <w:rPr>
                <w:rFonts w:ascii="仿宋_GB2312" w:eastAsia="仿宋_GB2312"/>
                <w:color w:val="auto"/>
              </w:rPr>
            </w:pPr>
          </w:p>
        </w:tc>
        <w:tc>
          <w:tcPr>
            <w:tcW w:w="1215" w:type="dxa"/>
            <w:vAlign w:val="top"/>
          </w:tcPr>
          <w:p>
            <w:pPr>
              <w:rPr>
                <w:rFonts w:ascii="仿宋_GB2312" w:eastAsia="仿宋_GB2312"/>
                <w:color w:val="auto"/>
              </w:rPr>
            </w:pPr>
          </w:p>
        </w:tc>
        <w:tc>
          <w:tcPr>
            <w:tcW w:w="1230" w:type="dxa"/>
            <w:vAlign w:val="top"/>
          </w:tcPr>
          <w:p>
            <w:pPr>
              <w:rPr>
                <w:rFonts w:ascii="仿宋_GB2312" w:eastAsia="仿宋_GB2312"/>
                <w:color w:val="auto"/>
              </w:rPr>
            </w:pPr>
          </w:p>
        </w:tc>
        <w:tc>
          <w:tcPr>
            <w:tcW w:w="1380" w:type="dxa"/>
            <w:vAlign w:val="top"/>
          </w:tcPr>
          <w:p>
            <w:pP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9" w:type="dxa"/>
            <w:gridSpan w:val="3"/>
            <w:vAlign w:val="top"/>
          </w:tcPr>
          <w:p>
            <w:pPr>
              <w:rPr>
                <w:rFonts w:ascii="仿宋_GB2312" w:eastAsia="仿宋_GB2312"/>
                <w:color w:val="auto"/>
              </w:rPr>
            </w:pPr>
            <w:r>
              <w:rPr>
                <w:rFonts w:hint="eastAsia" w:ascii="仿宋_GB2312" w:eastAsia="仿宋_GB2312"/>
                <w:color w:val="auto"/>
              </w:rPr>
              <w:t>定值部分权重A</w:t>
            </w:r>
          </w:p>
        </w:tc>
        <w:tc>
          <w:tcPr>
            <w:tcW w:w="1215" w:type="dxa"/>
            <w:vAlign w:val="top"/>
          </w:tcPr>
          <w:p>
            <w:pPr>
              <w:rPr>
                <w:rFonts w:ascii="仿宋_GB2312" w:eastAsia="仿宋_GB2312"/>
                <w:color w:val="auto"/>
              </w:rPr>
            </w:pPr>
          </w:p>
        </w:tc>
        <w:tc>
          <w:tcPr>
            <w:tcW w:w="1080" w:type="dxa"/>
            <w:vAlign w:val="top"/>
          </w:tcPr>
          <w:p>
            <w:pPr>
              <w:rPr>
                <w:rFonts w:ascii="仿宋_GB2312" w:eastAsia="仿宋_GB2312"/>
                <w:color w:val="auto"/>
              </w:rPr>
            </w:pPr>
          </w:p>
        </w:tc>
        <w:tc>
          <w:tcPr>
            <w:tcW w:w="1215" w:type="dxa"/>
            <w:vAlign w:val="top"/>
          </w:tcPr>
          <w:p>
            <w:pPr>
              <w:rPr>
                <w:rFonts w:ascii="仿宋_GB2312" w:eastAsia="仿宋_GB2312"/>
                <w:color w:val="auto"/>
              </w:rPr>
            </w:pPr>
          </w:p>
        </w:tc>
        <w:tc>
          <w:tcPr>
            <w:tcW w:w="1230" w:type="dxa"/>
            <w:vAlign w:val="top"/>
          </w:tcPr>
          <w:p>
            <w:pPr>
              <w:rPr>
                <w:rFonts w:ascii="仿宋_GB2312" w:eastAsia="仿宋_GB2312"/>
                <w:color w:val="auto"/>
              </w:rPr>
            </w:pPr>
          </w:p>
        </w:tc>
        <w:tc>
          <w:tcPr>
            <w:tcW w:w="1380" w:type="dxa"/>
            <w:vAlign w:val="top"/>
          </w:tcPr>
          <w:p>
            <w:pP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9" w:type="dxa"/>
            <w:gridSpan w:val="3"/>
            <w:vAlign w:val="top"/>
          </w:tcPr>
          <w:p>
            <w:pPr>
              <w:rPr>
                <w:rFonts w:ascii="仿宋_GB2312" w:eastAsia="仿宋_GB2312"/>
                <w:color w:val="auto"/>
              </w:rPr>
            </w:pPr>
            <w:r>
              <w:rPr>
                <w:rFonts w:hint="eastAsia" w:ascii="仿宋_GB2312" w:eastAsia="仿宋_GB2312"/>
                <w:color w:val="auto"/>
              </w:rPr>
              <w:t>合计</w:t>
            </w:r>
          </w:p>
        </w:tc>
        <w:tc>
          <w:tcPr>
            <w:tcW w:w="2295" w:type="dxa"/>
            <w:gridSpan w:val="2"/>
            <w:vAlign w:val="top"/>
          </w:tcPr>
          <w:p>
            <w:pPr>
              <w:rPr>
                <w:rFonts w:ascii="仿宋_GB2312" w:eastAsia="仿宋_GB2312"/>
                <w:color w:val="auto"/>
              </w:rPr>
            </w:pPr>
          </w:p>
        </w:tc>
        <w:tc>
          <w:tcPr>
            <w:tcW w:w="2445" w:type="dxa"/>
            <w:gridSpan w:val="2"/>
            <w:vAlign w:val="top"/>
          </w:tcPr>
          <w:p>
            <w:pPr>
              <w:rPr>
                <w:rFonts w:ascii="仿宋_GB2312" w:eastAsia="仿宋_GB2312"/>
                <w:color w:val="auto"/>
              </w:rPr>
            </w:pPr>
          </w:p>
        </w:tc>
        <w:tc>
          <w:tcPr>
            <w:tcW w:w="1380" w:type="dxa"/>
            <w:vAlign w:val="top"/>
          </w:tcPr>
          <w:p>
            <w:pPr>
              <w:rPr>
                <w:rFonts w:ascii="仿宋_GB2312" w:eastAsia="仿宋_GB2312"/>
                <w:color w:val="auto"/>
              </w:rPr>
            </w:pPr>
          </w:p>
        </w:tc>
      </w:tr>
    </w:tbl>
    <w:p>
      <w:pPr>
        <w:rPr>
          <w:color w:val="auto"/>
        </w:rPr>
      </w:pPr>
    </w:p>
    <w:p>
      <w:pPr>
        <w:jc w:val="left"/>
        <w:rPr>
          <w:color w:val="auto"/>
        </w:rPr>
      </w:pPr>
    </w:p>
    <w:p>
      <w:pPr>
        <w:jc w:val="center"/>
        <w:rPr>
          <w:rFonts w:ascii="宋体" w:hAnsi="宋体" w:cs="宋体"/>
          <w:color w:val="auto"/>
        </w:rPr>
      </w:pPr>
      <w:r>
        <w:rPr>
          <w:rFonts w:ascii="宋体" w:hAnsi="宋体"/>
          <w:b/>
          <w:bCs/>
          <w:color w:val="auto"/>
          <w:sz w:val="36"/>
          <w:szCs w:val="44"/>
        </w:rPr>
        <w:br w:type="page"/>
      </w:r>
      <w:bookmarkEnd w:id="407"/>
      <w:bookmarkStart w:id="1175" w:name="_Toc499738270"/>
    </w:p>
    <w:p>
      <w:pPr>
        <w:pStyle w:val="5"/>
        <w:jc w:val="center"/>
        <w:rPr>
          <w:rFonts w:hint="eastAsia" w:ascii="宋体" w:hAnsi="宋体" w:cs="宋体"/>
          <w:color w:val="auto"/>
        </w:rPr>
      </w:pPr>
      <w:r>
        <w:rPr>
          <w:rFonts w:hint="eastAsia" w:ascii="宋体" w:hAnsi="宋体" w:cs="宋体"/>
          <w:color w:val="auto"/>
        </w:rPr>
        <w:t>第六章  发包人提供的资料</w:t>
      </w:r>
      <w:bookmarkEnd w:id="1175"/>
    </w:p>
    <w:p>
      <w:pPr>
        <w:spacing w:line="400" w:lineRule="exact"/>
        <w:jc w:val="center"/>
        <w:rPr>
          <w:rFonts w:hint="eastAsia" w:ascii="宋体" w:hAnsi="宋体" w:cs="宋体"/>
          <w:b/>
          <w:color w:val="auto"/>
          <w:sz w:val="32"/>
          <w:szCs w:val="32"/>
        </w:rPr>
      </w:pPr>
    </w:p>
    <w:p>
      <w:pPr>
        <w:spacing w:line="600" w:lineRule="exact"/>
        <w:jc w:val="center"/>
        <w:rPr>
          <w:rFonts w:hint="eastAsia" w:ascii="宋体" w:hAnsi="宋体" w:cs="宋体"/>
          <w:color w:val="auto"/>
          <w:szCs w:val="21"/>
        </w:rPr>
      </w:pPr>
      <w:r>
        <w:rPr>
          <w:rFonts w:hint="eastAsia" w:ascii="宋体" w:hAnsi="宋体" w:cs="宋体"/>
          <w:color w:val="auto"/>
          <w:sz w:val="28"/>
          <w:szCs w:val="28"/>
        </w:rPr>
        <w:t>（另册）</w:t>
      </w:r>
    </w:p>
    <w:p>
      <w:pPr>
        <w:pStyle w:val="5"/>
        <w:rPr>
          <w:rFonts w:hint="eastAsia" w:ascii="宋体" w:hAnsi="宋体" w:cs="宋体"/>
          <w:color w:val="auto"/>
        </w:rPr>
      </w:pPr>
      <w:r>
        <w:rPr>
          <w:rFonts w:hint="eastAsia" w:ascii="宋体" w:hAnsi="宋体" w:cs="宋体"/>
          <w:color w:val="auto"/>
        </w:rPr>
        <w:br w:type="page"/>
      </w:r>
    </w:p>
    <w:p>
      <w:pPr>
        <w:spacing w:line="400" w:lineRule="exact"/>
        <w:rPr>
          <w:rFonts w:hint="eastAsia" w:ascii="宋体" w:hAnsi="宋体" w:cs="宋体"/>
          <w:color w:val="auto"/>
        </w:rPr>
      </w:pPr>
    </w:p>
    <w:p>
      <w:pPr>
        <w:spacing w:line="400" w:lineRule="exact"/>
        <w:rPr>
          <w:rFonts w:hint="eastAsia" w:ascii="宋体" w:hAnsi="宋体" w:cs="宋体"/>
          <w:color w:val="auto"/>
        </w:rPr>
      </w:pPr>
    </w:p>
    <w:p>
      <w:pPr>
        <w:spacing w:line="400" w:lineRule="exact"/>
        <w:rPr>
          <w:rFonts w:hint="eastAsia" w:ascii="宋体" w:hAnsi="宋体" w:cs="宋体"/>
          <w:color w:val="auto"/>
        </w:rPr>
      </w:pPr>
    </w:p>
    <w:p>
      <w:pPr>
        <w:spacing w:line="400" w:lineRule="exact"/>
        <w:rPr>
          <w:rFonts w:hint="eastAsia" w:ascii="宋体" w:hAnsi="宋体" w:cs="宋体"/>
          <w:color w:val="auto"/>
        </w:rPr>
      </w:pPr>
    </w:p>
    <w:p>
      <w:pPr>
        <w:spacing w:line="400" w:lineRule="exact"/>
        <w:rPr>
          <w:rFonts w:hint="eastAsia" w:ascii="宋体" w:hAnsi="宋体" w:cs="宋体"/>
          <w:color w:val="auto"/>
        </w:rPr>
      </w:pPr>
    </w:p>
    <w:p>
      <w:pPr>
        <w:spacing w:line="400" w:lineRule="exact"/>
        <w:rPr>
          <w:rFonts w:hint="eastAsia" w:ascii="宋体" w:hAnsi="宋体" w:cs="宋体"/>
          <w:color w:val="auto"/>
        </w:rPr>
      </w:pPr>
    </w:p>
    <w:p>
      <w:pPr>
        <w:spacing w:line="400" w:lineRule="exact"/>
        <w:rPr>
          <w:rFonts w:hint="eastAsia" w:ascii="宋体" w:hAnsi="宋体" w:cs="宋体"/>
          <w:color w:val="auto"/>
        </w:rPr>
      </w:pPr>
    </w:p>
    <w:p>
      <w:pPr>
        <w:pStyle w:val="5"/>
        <w:jc w:val="center"/>
        <w:rPr>
          <w:rFonts w:hint="eastAsia" w:ascii="宋体" w:hAnsi="宋体" w:cs="宋体"/>
          <w:color w:val="auto"/>
        </w:rPr>
      </w:pPr>
      <w:bookmarkStart w:id="1176" w:name="_Toc152042575"/>
      <w:bookmarkStart w:id="1177" w:name="_Toc144974855"/>
      <w:bookmarkStart w:id="1178" w:name="_Toc247527826"/>
      <w:bookmarkStart w:id="1179" w:name="_Toc152045786"/>
      <w:bookmarkStart w:id="1180" w:name="_Toc499738271"/>
      <w:bookmarkStart w:id="1181" w:name="_Toc247514245"/>
      <w:r>
        <w:rPr>
          <w:rFonts w:hint="eastAsia" w:ascii="宋体" w:hAnsi="宋体" w:cs="宋体"/>
          <w:color w:val="auto"/>
        </w:rPr>
        <w:t>第七章  投标文件格式</w:t>
      </w:r>
      <w:bookmarkEnd w:id="1176"/>
      <w:bookmarkEnd w:id="1177"/>
      <w:bookmarkEnd w:id="1178"/>
      <w:bookmarkEnd w:id="1179"/>
      <w:bookmarkEnd w:id="1180"/>
      <w:bookmarkEnd w:id="1181"/>
    </w:p>
    <w:p>
      <w:pPr>
        <w:spacing w:line="440" w:lineRule="exact"/>
        <w:rPr>
          <w:rFonts w:hint="eastAsia" w:ascii="宋体" w:hAnsi="宋体" w:cs="宋体"/>
          <w:color w:val="auto"/>
          <w:sz w:val="20"/>
          <w:szCs w:val="20"/>
        </w:rPr>
      </w:pPr>
    </w:p>
    <w:p>
      <w:pPr>
        <w:spacing w:line="540" w:lineRule="exact"/>
        <w:rPr>
          <w:rFonts w:hint="eastAsia" w:ascii="宋体" w:hAnsi="宋体" w:cs="宋体"/>
          <w:color w:val="auto"/>
        </w:rPr>
      </w:pPr>
    </w:p>
    <w:p>
      <w:pPr>
        <w:tabs>
          <w:tab w:val="left" w:pos="1129"/>
        </w:tabs>
        <w:spacing w:line="440" w:lineRule="exact"/>
        <w:rPr>
          <w:rFonts w:hint="eastAsia" w:ascii="宋体" w:hAnsi="宋体" w:cs="宋体"/>
          <w:color w:val="auto"/>
          <w:sz w:val="20"/>
          <w:szCs w:val="20"/>
        </w:rPr>
      </w:pPr>
      <w:r>
        <w:rPr>
          <w:rFonts w:hint="eastAsia" w:ascii="宋体" w:hAnsi="宋体" w:cs="宋体"/>
          <w:color w:val="auto"/>
          <w:sz w:val="20"/>
          <w:szCs w:val="20"/>
        </w:rPr>
        <w:br w:type="page"/>
      </w:r>
      <w:r>
        <w:rPr>
          <w:rFonts w:hint="eastAsia" w:ascii="宋体" w:hAnsi="宋体" w:cs="宋体"/>
          <w:color w:val="auto"/>
          <w:sz w:val="20"/>
          <w:szCs w:val="20"/>
        </w:rPr>
        <w:tab/>
      </w:r>
    </w:p>
    <w:p>
      <w:pPr>
        <w:pStyle w:val="5"/>
        <w:numPr>
          <w:ilvl w:val="0"/>
          <w:numId w:val="12"/>
        </w:numPr>
        <w:jc w:val="center"/>
        <w:rPr>
          <w:rFonts w:hint="eastAsia" w:ascii="宋体" w:hAnsi="宋体" w:cs="宋体"/>
          <w:color w:val="auto"/>
          <w:sz w:val="28"/>
          <w:szCs w:val="28"/>
        </w:rPr>
      </w:pPr>
      <w:bookmarkStart w:id="1182" w:name="_Toc499738272"/>
      <w:r>
        <w:rPr>
          <w:rFonts w:hint="eastAsia" w:ascii="宋体" w:hAnsi="宋体" w:cs="宋体"/>
          <w:color w:val="auto"/>
          <w:sz w:val="28"/>
          <w:szCs w:val="28"/>
        </w:rPr>
        <w:t>投标函部分格式</w:t>
      </w:r>
      <w:bookmarkEnd w:id="1182"/>
    </w:p>
    <w:p>
      <w:pPr>
        <w:rPr>
          <w:rFonts w:hint="eastAsia" w:ascii="宋体" w:hAnsi="宋体" w:cs="宋体"/>
          <w:color w:val="auto"/>
        </w:rPr>
      </w:pPr>
    </w:p>
    <w:p>
      <w:pPr>
        <w:rPr>
          <w:rFonts w:hint="eastAsia" w:ascii="宋体" w:hAnsi="宋体" w:cs="宋体"/>
          <w:color w:val="auto"/>
        </w:rPr>
      </w:pPr>
    </w:p>
    <w:p>
      <w:pPr>
        <w:spacing w:line="440" w:lineRule="exact"/>
        <w:rPr>
          <w:rFonts w:hint="eastAsia" w:ascii="宋体" w:hAnsi="宋体" w:cs="宋体"/>
          <w:color w:val="auto"/>
          <w:sz w:val="20"/>
          <w:szCs w:val="20"/>
        </w:rPr>
      </w:pPr>
    </w:p>
    <w:p>
      <w:pPr>
        <w:spacing w:line="440" w:lineRule="exact"/>
        <w:rPr>
          <w:rFonts w:hint="eastAsia" w:ascii="宋体" w:hAnsi="宋体" w:cs="宋体"/>
          <w:color w:val="auto"/>
          <w:sz w:val="20"/>
          <w:szCs w:val="20"/>
        </w:rPr>
      </w:pPr>
      <w:r>
        <w:rPr>
          <w:rFonts w:hint="eastAsia" w:ascii="宋体" w:hAnsi="宋体" w:cs="宋体"/>
          <w:color w:val="auto"/>
          <w:sz w:val="20"/>
          <w:szCs w:val="20"/>
        </w:rPr>
        <mc:AlternateContent>
          <mc:Choice Requires="wps">
            <w:drawing>
              <wp:anchor distT="0" distB="0" distL="114300" distR="114300" simplePos="0" relativeHeight="251658240" behindDoc="0" locked="0" layoutInCell="1" allowOverlap="1">
                <wp:simplePos x="0" y="0"/>
                <wp:positionH relativeFrom="column">
                  <wp:posOffset>4751705</wp:posOffset>
                </wp:positionH>
                <wp:positionV relativeFrom="paragraph">
                  <wp:posOffset>-1082040</wp:posOffset>
                </wp:positionV>
                <wp:extent cx="1266825" cy="693420"/>
                <wp:effectExtent l="4445" t="4445" r="5080" b="6985"/>
                <wp:wrapNone/>
                <wp:docPr id="1" name="文本框 2"/>
                <wp:cNvGraphicFramePr/>
                <a:graphic xmlns:a="http://schemas.openxmlformats.org/drawingml/2006/main">
                  <a:graphicData uri="http://schemas.microsoft.com/office/word/2010/wordprocessingShape">
                    <wps:wsp>
                      <wps:cNvSpPr txBox="1"/>
                      <wps:spPr>
                        <a:xfrm>
                          <a:off x="0" y="0"/>
                          <a:ext cx="1266825"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344" w:beforeLines="60" w:line="360" w:lineRule="auto"/>
                              <w:jc w:val="center"/>
                              <w:rPr>
                                <w:sz w:val="28"/>
                                <w:szCs w:val="28"/>
                              </w:rPr>
                            </w:pPr>
                            <w:r>
                              <w:rPr>
                                <w:rFonts w:ascii="黑体" w:hAnsi="Arial" w:eastAsia="黑体"/>
                                <w:sz w:val="28"/>
                                <w:szCs w:val="28"/>
                              </w:rPr>
                              <w:t>正本（或副本）</w:t>
                            </w:r>
                          </w:p>
                        </w:txbxContent>
                      </wps:txbx>
                      <wps:bodyPr wrap="square" upright="1"/>
                    </wps:wsp>
                  </a:graphicData>
                </a:graphic>
              </wp:anchor>
            </w:drawing>
          </mc:Choice>
          <mc:Fallback>
            <w:pict>
              <v:shape id="文本框 2" o:spid="_x0000_s1026" o:spt="202" type="#_x0000_t202" style="position:absolute;left:0pt;margin-left:374.15pt;margin-top:-85.2pt;height:54.6pt;width:99.75pt;z-index:251658240;mso-width-relative:page;mso-height-relative:page;" fillcolor="#FFFFFF" filled="t" stroked="t" coordsize="21600,21600" o:gfxdata="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rWsEj2wAAAAwBAAAPAAAAAAAAAAEAIAAAACIAAABkcnMvZG93bnJl&#10;di54bWxQSwECFAAUAAAACACHTuJAP7JtW/oBAAD2AwAADgAAAAAAAAABACAAAAAqAQAAZHJzL2Uy&#10;b0RvYy54bWxQSwUGAAAAAAYABgBZAQAAlgUAAAAA&#10;">
                <v:fill on="t" focussize="0,0"/>
                <v:stroke color="#000000" joinstyle="miter"/>
                <v:imagedata o:title=""/>
                <o:lock v:ext="edit" aspectratio="f"/>
                <v:textbox>
                  <w:txbxContent>
                    <w:p>
                      <w:pPr>
                        <w:spacing w:before="344" w:beforeLines="60" w:line="360" w:lineRule="auto"/>
                        <w:jc w:val="center"/>
                        <w:rPr>
                          <w:sz w:val="28"/>
                          <w:szCs w:val="28"/>
                        </w:rPr>
                      </w:pPr>
                      <w:r>
                        <w:rPr>
                          <w:rFonts w:ascii="黑体" w:hAnsi="Arial" w:eastAsia="黑体"/>
                          <w:sz w:val="28"/>
                          <w:szCs w:val="28"/>
                        </w:rPr>
                        <w:t>正本（或副本）</w:t>
                      </w:r>
                    </w:p>
                  </w:txbxContent>
                </v:textbox>
              </v:shape>
            </w:pict>
          </mc:Fallback>
        </mc:AlternateContent>
      </w:r>
    </w:p>
    <w:p>
      <w:pPr>
        <w:spacing w:line="440" w:lineRule="exact"/>
        <w:rPr>
          <w:rFonts w:hint="eastAsia" w:ascii="宋体" w:hAnsi="宋体" w:cs="宋体"/>
          <w:color w:val="auto"/>
          <w:sz w:val="20"/>
          <w:szCs w:val="20"/>
        </w:rPr>
      </w:pPr>
    </w:p>
    <w:p>
      <w:pPr>
        <w:jc w:val="center"/>
        <w:rPr>
          <w:rFonts w:hint="eastAsia" w:ascii="宋体" w:hAnsi="宋体" w:cs="宋体"/>
          <w:color w:val="auto"/>
          <w:sz w:val="32"/>
          <w:szCs w:val="32"/>
        </w:rPr>
      </w:pPr>
      <w:r>
        <w:rPr>
          <w:rFonts w:hint="eastAsia" w:ascii="宋体" w:hAnsi="宋体" w:cs="宋体"/>
          <w:color w:val="auto"/>
          <w:sz w:val="32"/>
          <w:szCs w:val="32"/>
        </w:rPr>
        <w:t>杨树塘路道路工程建设项目设计施工总承包（EPC）</w:t>
      </w:r>
    </w:p>
    <w:p>
      <w:pPr>
        <w:rPr>
          <w:rFonts w:hint="eastAsia" w:ascii="宋体" w:hAnsi="宋体" w:cs="宋体"/>
          <w:color w:val="auto"/>
          <w:sz w:val="20"/>
          <w:szCs w:val="20"/>
        </w:rPr>
      </w:pPr>
    </w:p>
    <w:p>
      <w:pPr>
        <w:rPr>
          <w:rFonts w:hint="eastAsia" w:ascii="宋体" w:hAnsi="宋体" w:cs="宋体"/>
          <w:color w:val="auto"/>
          <w:sz w:val="20"/>
          <w:szCs w:val="20"/>
        </w:rPr>
      </w:pPr>
    </w:p>
    <w:p>
      <w:pPr>
        <w:rPr>
          <w:rFonts w:hint="eastAsia" w:ascii="宋体" w:hAnsi="宋体" w:cs="宋体"/>
          <w:color w:val="auto"/>
          <w:sz w:val="20"/>
          <w:szCs w:val="20"/>
        </w:rPr>
      </w:pPr>
    </w:p>
    <w:p>
      <w:pPr>
        <w:jc w:val="center"/>
        <w:rPr>
          <w:rFonts w:hint="eastAsia" w:ascii="宋体" w:hAnsi="宋体" w:cs="宋体"/>
          <w:color w:val="auto"/>
          <w:sz w:val="48"/>
          <w:szCs w:val="48"/>
        </w:rPr>
      </w:pPr>
      <w:r>
        <w:rPr>
          <w:rFonts w:hint="eastAsia" w:ascii="宋体" w:hAnsi="宋体" w:cs="宋体"/>
          <w:color w:val="auto"/>
          <w:sz w:val="48"/>
          <w:szCs w:val="48"/>
        </w:rPr>
        <w:t>投  标  文  件</w:t>
      </w:r>
    </w:p>
    <w:p>
      <w:pPr>
        <w:jc w:val="center"/>
        <w:rPr>
          <w:rFonts w:hint="eastAsia" w:ascii="宋体" w:hAnsi="宋体" w:cs="宋体"/>
          <w:color w:val="auto"/>
          <w:sz w:val="32"/>
          <w:szCs w:val="32"/>
        </w:rPr>
      </w:pPr>
      <w:r>
        <w:rPr>
          <w:rFonts w:hint="eastAsia" w:ascii="宋体" w:hAnsi="宋体" w:cs="宋体"/>
          <w:color w:val="auto"/>
          <w:sz w:val="32"/>
          <w:szCs w:val="32"/>
        </w:rPr>
        <w:t>（投标函部分）</w:t>
      </w:r>
    </w:p>
    <w:p>
      <w:pPr>
        <w:tabs>
          <w:tab w:val="left" w:pos="3619"/>
        </w:tabs>
        <w:jc w:val="center"/>
        <w:rPr>
          <w:rFonts w:hint="eastAsia" w:ascii="宋体" w:hAnsi="宋体" w:cs="宋体"/>
          <w:color w:val="auto"/>
          <w:sz w:val="28"/>
          <w:szCs w:val="28"/>
        </w:rPr>
      </w:pPr>
      <w:r>
        <w:rPr>
          <w:rFonts w:hint="eastAsia" w:ascii="宋体" w:hAnsi="宋体" w:cs="宋体"/>
          <w:color w:val="auto"/>
        </w:rPr>
        <w:t xml:space="preserve">招标编号： </w:t>
      </w:r>
    </w:p>
    <w:p>
      <w:pPr>
        <w:rPr>
          <w:rFonts w:hint="eastAsia" w:ascii="宋体" w:hAnsi="宋体" w:cs="宋体"/>
          <w:color w:val="auto"/>
          <w:sz w:val="28"/>
          <w:szCs w:val="28"/>
        </w:rPr>
      </w:pPr>
    </w:p>
    <w:p>
      <w:pPr>
        <w:rPr>
          <w:rFonts w:hint="eastAsia" w:ascii="宋体" w:hAnsi="宋体" w:cs="宋体"/>
          <w:color w:val="auto"/>
          <w:sz w:val="28"/>
          <w:szCs w:val="28"/>
        </w:rPr>
      </w:pPr>
    </w:p>
    <w:p>
      <w:pPr>
        <w:jc w:val="center"/>
        <w:rPr>
          <w:rFonts w:hint="eastAsia" w:ascii="宋体" w:hAnsi="宋体" w:cs="宋体"/>
          <w:color w:val="auto"/>
          <w:sz w:val="28"/>
          <w:szCs w:val="28"/>
          <w:u w:val="single"/>
        </w:rPr>
      </w:pPr>
      <w:r>
        <w:rPr>
          <w:rFonts w:hint="eastAsia" w:ascii="宋体" w:hAnsi="宋体" w:cs="宋体"/>
          <w:color w:val="auto"/>
          <w:sz w:val="28"/>
          <w:szCs w:val="28"/>
        </w:rPr>
        <w:t>投标人：</w:t>
      </w:r>
      <w:r>
        <w:rPr>
          <w:rFonts w:hint="eastAsia" w:ascii="宋体" w:hAnsi="宋体" w:cs="宋体"/>
          <w:color w:val="auto"/>
          <w:sz w:val="28"/>
          <w:szCs w:val="28"/>
          <w:u w:val="single"/>
        </w:rPr>
        <w:t xml:space="preserve">                              </w:t>
      </w:r>
      <w:r>
        <w:rPr>
          <w:rFonts w:hint="eastAsia" w:ascii="宋体" w:hAnsi="宋体" w:cs="宋体"/>
          <w:color w:val="auto"/>
          <w:sz w:val="28"/>
          <w:szCs w:val="28"/>
        </w:rPr>
        <w:t>（盖单位章）</w:t>
      </w:r>
    </w:p>
    <w:p>
      <w:pPr>
        <w:jc w:val="center"/>
        <w:rPr>
          <w:rFonts w:hint="eastAsia" w:ascii="宋体" w:hAnsi="宋体" w:cs="宋体"/>
          <w:color w:val="auto"/>
          <w:sz w:val="28"/>
          <w:szCs w:val="28"/>
        </w:rPr>
      </w:pPr>
      <w:r>
        <w:rPr>
          <w:rFonts w:hint="eastAsia" w:ascii="宋体" w:hAnsi="宋体" w:cs="宋体"/>
          <w:color w:val="auto"/>
          <w:sz w:val="28"/>
          <w:szCs w:val="28"/>
        </w:rPr>
        <w:t>法定代表人或其委托代理人：</w:t>
      </w:r>
      <w:r>
        <w:rPr>
          <w:rFonts w:hint="eastAsia" w:ascii="宋体" w:hAnsi="宋体" w:cs="宋体"/>
          <w:color w:val="auto"/>
          <w:sz w:val="28"/>
          <w:szCs w:val="28"/>
          <w:u w:val="single"/>
        </w:rPr>
        <w:t xml:space="preserve">                </w:t>
      </w:r>
      <w:r>
        <w:rPr>
          <w:rFonts w:hint="eastAsia" w:ascii="宋体" w:hAnsi="宋体" w:cs="宋体"/>
          <w:color w:val="auto"/>
          <w:sz w:val="28"/>
          <w:szCs w:val="28"/>
        </w:rPr>
        <w:t>（签字）</w:t>
      </w:r>
    </w:p>
    <w:p>
      <w:pPr>
        <w:jc w:val="center"/>
        <w:rPr>
          <w:rFonts w:hint="eastAsia" w:ascii="宋体" w:hAnsi="宋体" w:cs="宋体"/>
          <w:color w:val="auto"/>
          <w:sz w:val="28"/>
          <w:szCs w:val="28"/>
        </w:rPr>
      </w:pPr>
      <w:r>
        <w:rPr>
          <w:rFonts w:hint="eastAsia" w:ascii="宋体" w:hAnsi="宋体" w:cs="宋体"/>
          <w:color w:val="auto"/>
          <w:sz w:val="28"/>
          <w:szCs w:val="28"/>
          <w:u w:val="single"/>
        </w:rPr>
        <w:t xml:space="preserve">        </w:t>
      </w:r>
      <w:r>
        <w:rPr>
          <w:rFonts w:hint="eastAsia" w:ascii="宋体" w:hAnsi="宋体" w:cs="宋体"/>
          <w:color w:val="auto"/>
          <w:sz w:val="28"/>
          <w:szCs w:val="28"/>
        </w:rPr>
        <w:t>年</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p>
    <w:p>
      <w:pPr>
        <w:spacing w:line="440" w:lineRule="exact"/>
        <w:rPr>
          <w:rFonts w:hint="eastAsia" w:ascii="宋体" w:hAnsi="宋体" w:cs="宋体"/>
          <w:color w:val="auto"/>
          <w:sz w:val="20"/>
          <w:szCs w:val="20"/>
        </w:rPr>
      </w:pPr>
    </w:p>
    <w:p>
      <w:pPr>
        <w:spacing w:line="400" w:lineRule="exact"/>
        <w:rPr>
          <w:rFonts w:hint="eastAsia" w:ascii="宋体" w:hAnsi="宋体" w:cs="宋体"/>
          <w:color w:val="auto"/>
        </w:rPr>
      </w:pPr>
      <w:r>
        <w:rPr>
          <w:rFonts w:hint="eastAsia" w:ascii="宋体" w:hAnsi="宋体" w:cs="宋体"/>
          <w:color w:val="auto"/>
        </w:rPr>
        <w:br w:type="page"/>
      </w:r>
    </w:p>
    <w:p>
      <w:pPr>
        <w:pStyle w:val="6"/>
        <w:jc w:val="center"/>
        <w:rPr>
          <w:rFonts w:hint="eastAsia" w:ascii="宋体" w:hAnsi="宋体" w:eastAsia="宋体" w:cs="宋体"/>
          <w:color w:val="auto"/>
        </w:rPr>
      </w:pPr>
      <w:bookmarkStart w:id="1183" w:name="_Toc144974856"/>
      <w:bookmarkStart w:id="1184" w:name="_Toc247514246"/>
      <w:bookmarkStart w:id="1185" w:name="_Toc499738273"/>
      <w:bookmarkStart w:id="1186" w:name="_Toc152045787"/>
      <w:bookmarkStart w:id="1187" w:name="_Toc456356118"/>
      <w:bookmarkStart w:id="1188" w:name="_Toc152042576"/>
      <w:bookmarkStart w:id="1189" w:name="_Toc247527827"/>
      <w:r>
        <w:rPr>
          <w:rFonts w:hint="eastAsia" w:ascii="宋体" w:hAnsi="宋体" w:eastAsia="宋体" w:cs="宋体"/>
          <w:color w:val="auto"/>
        </w:rPr>
        <w:t>目    录</w:t>
      </w:r>
      <w:bookmarkEnd w:id="1183"/>
      <w:bookmarkEnd w:id="1184"/>
      <w:bookmarkEnd w:id="1185"/>
      <w:bookmarkEnd w:id="1186"/>
      <w:bookmarkEnd w:id="1187"/>
      <w:bookmarkEnd w:id="1188"/>
      <w:bookmarkEnd w:id="1189"/>
    </w:p>
    <w:p>
      <w:pPr>
        <w:spacing w:line="540" w:lineRule="exact"/>
        <w:rPr>
          <w:rFonts w:hint="eastAsia" w:ascii="宋体" w:hAnsi="宋体" w:cs="宋体"/>
          <w:color w:val="auto"/>
        </w:rPr>
      </w:pPr>
    </w:p>
    <w:p>
      <w:pPr>
        <w:spacing w:line="540" w:lineRule="exact"/>
        <w:rPr>
          <w:rFonts w:hint="eastAsia" w:ascii="宋体" w:hAnsi="宋体" w:cs="宋体"/>
          <w:color w:val="auto"/>
        </w:rPr>
      </w:pPr>
      <w:r>
        <w:rPr>
          <w:rFonts w:hint="eastAsia" w:ascii="宋体" w:hAnsi="宋体" w:cs="宋体"/>
          <w:color w:val="auto"/>
        </w:rPr>
        <w:t>一、投标函及投标函附录</w:t>
      </w:r>
    </w:p>
    <w:p>
      <w:pPr>
        <w:spacing w:line="540" w:lineRule="exact"/>
        <w:rPr>
          <w:rFonts w:hint="eastAsia" w:ascii="宋体" w:hAnsi="宋体" w:cs="宋体"/>
          <w:color w:val="auto"/>
        </w:rPr>
      </w:pPr>
      <w:r>
        <w:rPr>
          <w:rFonts w:hint="eastAsia" w:ascii="宋体" w:hAnsi="宋体" w:cs="宋体"/>
          <w:color w:val="auto"/>
        </w:rPr>
        <w:t>二、法定代表人身份证明或授权委托书</w:t>
      </w:r>
    </w:p>
    <w:p>
      <w:pPr>
        <w:spacing w:line="540" w:lineRule="exact"/>
        <w:rPr>
          <w:rFonts w:hint="eastAsia" w:ascii="宋体" w:hAnsi="宋体" w:cs="宋体"/>
          <w:color w:val="auto"/>
        </w:rPr>
      </w:pPr>
      <w:r>
        <w:rPr>
          <w:rFonts w:hint="eastAsia" w:ascii="宋体" w:hAnsi="宋体" w:cs="宋体"/>
          <w:color w:val="auto"/>
        </w:rPr>
        <w:t>三、联合体协议书</w:t>
      </w:r>
    </w:p>
    <w:p>
      <w:pPr>
        <w:spacing w:line="540" w:lineRule="exact"/>
        <w:rPr>
          <w:rFonts w:hint="eastAsia" w:ascii="宋体" w:hAnsi="宋体" w:cs="宋体"/>
          <w:color w:val="auto"/>
        </w:rPr>
      </w:pPr>
      <w:r>
        <w:rPr>
          <w:rFonts w:hint="eastAsia" w:ascii="宋体" w:hAnsi="宋体" w:cs="宋体"/>
          <w:color w:val="auto"/>
        </w:rPr>
        <w:t xml:space="preserve">四、投标保证金 </w:t>
      </w:r>
    </w:p>
    <w:p>
      <w:pPr>
        <w:spacing w:line="540" w:lineRule="exact"/>
        <w:rPr>
          <w:rFonts w:hint="eastAsia" w:ascii="宋体" w:hAnsi="宋体" w:cs="宋体"/>
          <w:color w:val="auto"/>
        </w:rPr>
      </w:pPr>
      <w:r>
        <w:rPr>
          <w:rFonts w:hint="eastAsia" w:ascii="宋体" w:hAnsi="宋体" w:cs="宋体"/>
          <w:color w:val="auto"/>
        </w:rPr>
        <w:t>五、投标人业绩及人员配置</w:t>
      </w:r>
    </w:p>
    <w:p>
      <w:pPr>
        <w:spacing w:line="540" w:lineRule="exact"/>
        <w:rPr>
          <w:rFonts w:hint="eastAsia" w:ascii="宋体" w:hAnsi="宋体" w:cs="宋体"/>
          <w:color w:val="auto"/>
        </w:rPr>
      </w:pPr>
      <w:r>
        <w:rPr>
          <w:rFonts w:hint="eastAsia" w:ascii="宋体" w:hAnsi="宋体" w:cs="宋体"/>
          <w:color w:val="auto"/>
        </w:rPr>
        <w:t>六、资格审查资料</w:t>
      </w:r>
    </w:p>
    <w:p>
      <w:pPr>
        <w:spacing w:line="540" w:lineRule="exact"/>
        <w:rPr>
          <w:rFonts w:hint="eastAsia" w:ascii="宋体" w:hAnsi="宋体" w:cs="宋体"/>
          <w:color w:val="auto"/>
        </w:rPr>
      </w:pPr>
      <w:r>
        <w:rPr>
          <w:rFonts w:hint="eastAsia" w:ascii="宋体" w:hAnsi="宋体" w:cs="宋体"/>
          <w:color w:val="auto"/>
        </w:rPr>
        <w:t>七、其他资料</w:t>
      </w:r>
    </w:p>
    <w:p>
      <w:pPr>
        <w:spacing w:line="540" w:lineRule="exact"/>
        <w:rPr>
          <w:rFonts w:hint="eastAsia" w:ascii="宋体" w:hAnsi="宋体" w:cs="宋体"/>
          <w:color w:val="auto"/>
        </w:rPr>
      </w:pPr>
      <w:r>
        <w:rPr>
          <w:rFonts w:hint="eastAsia" w:ascii="宋体" w:hAnsi="宋体" w:cs="宋体"/>
          <w:color w:val="auto"/>
        </w:rPr>
        <w:t xml:space="preserve"> </w:t>
      </w:r>
    </w:p>
    <w:p>
      <w:pPr>
        <w:pStyle w:val="7"/>
        <w:ind w:firstLine="133"/>
        <w:jc w:val="center"/>
        <w:rPr>
          <w:rFonts w:hint="eastAsia" w:ascii="宋体" w:eastAsia="宋体" w:cs="宋体"/>
          <w:color w:val="auto"/>
        </w:rPr>
      </w:pPr>
      <w:r>
        <w:rPr>
          <w:rFonts w:hint="eastAsia" w:ascii="宋体" w:eastAsia="宋体" w:cs="宋体"/>
          <w:color w:val="auto"/>
        </w:rPr>
        <w:br w:type="page"/>
      </w:r>
      <w:bookmarkStart w:id="1190" w:name="_Toc144974857"/>
      <w:bookmarkStart w:id="1191" w:name="_Toc152045788"/>
      <w:bookmarkStart w:id="1192" w:name="_Toc499738274"/>
      <w:bookmarkStart w:id="1193" w:name="_Toc152042577"/>
      <w:bookmarkStart w:id="1194" w:name="_Toc456356119"/>
      <w:bookmarkStart w:id="1195" w:name="_Toc247514247"/>
      <w:bookmarkStart w:id="1196" w:name="_Toc247527828"/>
      <w:r>
        <w:rPr>
          <w:rFonts w:hint="eastAsia" w:ascii="宋体" w:eastAsia="宋体" w:cs="宋体"/>
          <w:color w:val="auto"/>
        </w:rPr>
        <w:t>一、投标函及投标函附录</w:t>
      </w:r>
      <w:bookmarkEnd w:id="1190"/>
      <w:bookmarkEnd w:id="1191"/>
      <w:bookmarkEnd w:id="1192"/>
      <w:bookmarkEnd w:id="1193"/>
      <w:bookmarkEnd w:id="1194"/>
      <w:bookmarkEnd w:id="1195"/>
      <w:bookmarkEnd w:id="1196"/>
    </w:p>
    <w:p>
      <w:pPr>
        <w:pStyle w:val="7"/>
        <w:numPr>
          <w:ilvl w:val="0"/>
          <w:numId w:val="13"/>
        </w:numPr>
        <w:ind w:firstLine="133"/>
        <w:jc w:val="center"/>
        <w:rPr>
          <w:rFonts w:hint="eastAsia"/>
          <w:color w:val="auto"/>
        </w:rPr>
      </w:pPr>
      <w:bookmarkStart w:id="1197" w:name="_Toc144974858"/>
      <w:bookmarkStart w:id="1198" w:name="_Toc456356120"/>
      <w:bookmarkStart w:id="1199" w:name="_Toc499738275"/>
      <w:bookmarkStart w:id="1200" w:name="_Toc152045789"/>
      <w:bookmarkStart w:id="1201" w:name="_Toc247527829"/>
      <w:bookmarkStart w:id="1202" w:name="_Toc247514248"/>
      <w:bookmarkStart w:id="1203" w:name="_Toc152042578"/>
      <w:r>
        <w:rPr>
          <w:rFonts w:hint="eastAsia" w:ascii="宋体" w:eastAsia="宋体" w:cs="宋体"/>
          <w:color w:val="auto"/>
        </w:rPr>
        <w:t>投标函</w:t>
      </w:r>
      <w:bookmarkEnd w:id="1197"/>
      <w:bookmarkEnd w:id="1198"/>
      <w:bookmarkEnd w:id="1199"/>
      <w:bookmarkEnd w:id="1200"/>
      <w:bookmarkEnd w:id="1201"/>
      <w:bookmarkEnd w:id="1202"/>
      <w:bookmarkEnd w:id="1203"/>
    </w:p>
    <w:p>
      <w:pPr>
        <w:spacing w:line="360" w:lineRule="auto"/>
        <w:rPr>
          <w:color w:val="auto"/>
          <w:szCs w:val="21"/>
        </w:rPr>
      </w:pPr>
      <w:r>
        <w:rPr>
          <w:color w:val="auto"/>
          <w:szCs w:val="21"/>
        </w:rPr>
        <w:t>致：</w:t>
      </w:r>
      <w:r>
        <w:rPr>
          <w:color w:val="auto"/>
          <w:szCs w:val="21"/>
          <w:u w:val="single"/>
        </w:rPr>
        <w:t xml:space="preserve">                 </w:t>
      </w:r>
      <w:r>
        <w:rPr>
          <w:color w:val="auto"/>
          <w:szCs w:val="21"/>
        </w:rPr>
        <w:t>（招标人名称）</w:t>
      </w:r>
    </w:p>
    <w:p>
      <w:pPr>
        <w:spacing w:line="360" w:lineRule="auto"/>
        <w:ind w:firstLine="1050" w:firstLineChars="500"/>
        <w:rPr>
          <w:color w:val="auto"/>
          <w:szCs w:val="21"/>
        </w:rPr>
      </w:pPr>
      <w:r>
        <w:rPr>
          <w:rFonts w:hint="eastAsia" w:ascii="宋体" w:hAnsi="宋体" w:cs="宋体"/>
          <w:color w:val="auto"/>
        </w:rPr>
        <w:t>我方已仔细研究了</w:t>
      </w:r>
      <w:r>
        <w:rPr>
          <w:rFonts w:hint="eastAsia" w:ascii="宋体" w:hAnsi="宋体" w:cs="宋体"/>
          <w:color w:val="auto"/>
          <w:u w:val="single"/>
        </w:rPr>
        <w:t xml:space="preserve">                     </w:t>
      </w:r>
      <w:r>
        <w:rPr>
          <w:rFonts w:hint="eastAsia" w:ascii="宋体" w:hAnsi="宋体" w:cs="宋体"/>
          <w:color w:val="auto"/>
        </w:rPr>
        <w:t>（项目名称）设计施工总承包招标文件的全部内容，我方愿以</w:t>
      </w:r>
      <w:r>
        <w:rPr>
          <w:rFonts w:hint="eastAsia" w:ascii="宋体" w:hAnsi="宋体" w:cs="宋体"/>
          <w:color w:val="auto"/>
          <w:u w:val="single"/>
        </w:rPr>
        <w:t xml:space="preserve">           </w:t>
      </w:r>
      <w:r>
        <w:rPr>
          <w:rFonts w:hint="eastAsia" w:ascii="宋体" w:hAnsi="宋体" w:cs="宋体"/>
          <w:color w:val="auto"/>
        </w:rPr>
        <w:t>元的概算价作为投标总报价，</w:t>
      </w:r>
      <w:r>
        <w:rPr>
          <w:rFonts w:hint="eastAsia" w:ascii="宋体" w:hAnsi="宋体" w:cs="宋体"/>
          <w:color w:val="auto"/>
          <w:lang w:eastAsia="zh-CN"/>
        </w:rPr>
        <w:t>包含</w:t>
      </w:r>
      <w:r>
        <w:rPr>
          <w:rFonts w:hint="eastAsia"/>
          <w:color w:val="auto"/>
          <w:highlight w:val="yellow"/>
        </w:rPr>
        <w:t>工程费用：</w:t>
      </w:r>
      <w:r>
        <w:rPr>
          <w:rFonts w:hint="eastAsia"/>
          <w:color w:val="auto"/>
          <w:highlight w:val="yellow"/>
          <w:u w:val="single"/>
        </w:rPr>
        <w:t xml:space="preserve">  </w:t>
      </w:r>
      <w:r>
        <w:rPr>
          <w:rFonts w:hint="eastAsia"/>
          <w:color w:val="auto"/>
          <w:highlight w:val="yellow"/>
          <w:u w:val="single"/>
          <w:lang w:val="en-US" w:eastAsia="zh-CN"/>
        </w:rPr>
        <w:t xml:space="preserve">  </w:t>
      </w:r>
      <w:r>
        <w:rPr>
          <w:rFonts w:hint="eastAsia"/>
          <w:color w:val="auto"/>
          <w:highlight w:val="yellow"/>
          <w:u w:val="single"/>
        </w:rPr>
        <w:t xml:space="preserve"> </w:t>
      </w:r>
      <w:r>
        <w:rPr>
          <w:rFonts w:hint="eastAsia"/>
          <w:color w:val="auto"/>
          <w:highlight w:val="yellow"/>
        </w:rPr>
        <w:t>万元，设计费：</w:t>
      </w:r>
      <w:r>
        <w:rPr>
          <w:rFonts w:hint="eastAsia"/>
          <w:color w:val="auto"/>
          <w:highlight w:val="yellow"/>
          <w:u w:val="single"/>
        </w:rPr>
        <w:t xml:space="preserve">     </w:t>
      </w:r>
      <w:r>
        <w:rPr>
          <w:rFonts w:hint="eastAsia"/>
          <w:color w:val="auto"/>
          <w:highlight w:val="yellow"/>
        </w:rPr>
        <w:t>万元，</w:t>
      </w:r>
      <w:r>
        <w:rPr>
          <w:color w:val="auto"/>
          <w:szCs w:val="21"/>
        </w:rPr>
        <w:t>并严格按照合同约定，施工、竣工和交付本工程并维修其中的任何缺陷。</w:t>
      </w:r>
      <w:r>
        <w:rPr>
          <w:rFonts w:hint="eastAsia" w:ascii="宋体" w:hAnsi="宋体" w:cs="宋体"/>
          <w:color w:val="auto"/>
        </w:rPr>
        <w:t xml:space="preserve">计价依据按计价依据按2020版《湖南省建设工程计价办法》及《湖南省建设工程消耗量标准》【湘建价〔2020〕56号】及配套定额和其配套使用的相关文件计价,取费标准执行湘建价（2016）72号、湘建价〔2016〕160号文、 湘建价[2019]47号等现行计价文件，材料价格按照施工同期《岳阳市建设工程造价信息》材料预算价格计算，同期材料预算价格没有发布的材料由双方按市场采购价核定签认确定，如遇市场实际采购价较《岳阳市建设工程造价信息》同期材料预算价格涨跌幅度超过±3%（包含±3%），经甲方核定签认后全额据实调整计入工程造价。工程结算严格执行湘建价【2020】87号文规定，以单位工程（或者其他分段节点）为节点，采取过程结算方式。具体以最终财政审定金额为准。 </w:t>
      </w:r>
    </w:p>
    <w:p>
      <w:pPr>
        <w:spacing w:line="360" w:lineRule="auto"/>
        <w:ind w:firstLine="420" w:firstLineChars="200"/>
        <w:rPr>
          <w:rFonts w:hint="eastAsia"/>
          <w:color w:val="auto"/>
          <w:szCs w:val="21"/>
        </w:rPr>
      </w:pPr>
      <w:r>
        <w:rPr>
          <w:rFonts w:hint="eastAsia"/>
          <w:color w:val="auto"/>
          <w:szCs w:val="21"/>
        </w:rPr>
        <w:t>2、除根据合同约定的在工程投资</w:t>
      </w:r>
      <w:r>
        <w:rPr>
          <w:rFonts w:hint="eastAsia"/>
          <w:color w:val="auto"/>
          <w:szCs w:val="21"/>
          <w:lang w:val="en-US" w:eastAsia="zh-CN"/>
        </w:rPr>
        <w:t>预算</w:t>
      </w:r>
      <w:r>
        <w:rPr>
          <w:rFonts w:hint="eastAsia"/>
          <w:color w:val="auto"/>
          <w:szCs w:val="21"/>
        </w:rPr>
        <w:t>限额内实施过程中需进行增减及获批复的变更的款项外，合同价格不作调整，并不得突破项目</w:t>
      </w:r>
      <w:r>
        <w:rPr>
          <w:rFonts w:hint="eastAsia"/>
          <w:color w:val="auto"/>
          <w:szCs w:val="21"/>
          <w:lang w:val="en-US" w:eastAsia="zh-CN"/>
        </w:rPr>
        <w:t>预算</w:t>
      </w:r>
      <w:r>
        <w:rPr>
          <w:rFonts w:hint="eastAsia"/>
          <w:color w:val="auto"/>
          <w:szCs w:val="21"/>
        </w:rPr>
        <w:t xml:space="preserve">审定后投资额。 </w:t>
      </w:r>
    </w:p>
    <w:p>
      <w:pPr>
        <w:spacing w:line="360" w:lineRule="auto"/>
        <w:ind w:firstLine="420" w:firstLineChars="200"/>
        <w:rPr>
          <w:rFonts w:hint="eastAsia"/>
          <w:color w:val="auto"/>
          <w:szCs w:val="21"/>
        </w:rPr>
      </w:pPr>
      <w:r>
        <w:rPr>
          <w:rFonts w:hint="eastAsia"/>
          <w:color w:val="auto"/>
          <w:szCs w:val="21"/>
        </w:rPr>
        <w:t>3、合同结算金额以岳阳市</w:t>
      </w:r>
      <w:r>
        <w:rPr>
          <w:rFonts w:hint="eastAsia"/>
          <w:color w:val="auto"/>
          <w:szCs w:val="21"/>
          <w:lang w:val="en-US" w:eastAsia="zh-CN"/>
        </w:rPr>
        <w:t>岳阳楼区</w:t>
      </w:r>
      <w:r>
        <w:rPr>
          <w:rFonts w:hint="eastAsia"/>
          <w:color w:val="auto"/>
          <w:szCs w:val="21"/>
        </w:rPr>
        <w:t>财政评审为准，如评审金额少于投标金额，承包人不得事后对发包人提出异议。项目竣工后最终结算金额经发包人初审，岳阳市</w:t>
      </w:r>
      <w:r>
        <w:rPr>
          <w:rFonts w:hint="eastAsia"/>
          <w:color w:val="auto"/>
          <w:szCs w:val="21"/>
          <w:lang w:val="en-US" w:eastAsia="zh-CN"/>
        </w:rPr>
        <w:t>岳阳楼区</w:t>
      </w:r>
      <w:r>
        <w:rPr>
          <w:rFonts w:hint="eastAsia"/>
          <w:color w:val="auto"/>
          <w:szCs w:val="21"/>
        </w:rPr>
        <w:t xml:space="preserve">财政局复审，除发包人按程序批准工程变更外结算金额不允许超合同总金额。 </w:t>
      </w:r>
    </w:p>
    <w:p>
      <w:pPr>
        <w:spacing w:line="360" w:lineRule="auto"/>
        <w:ind w:firstLine="420" w:firstLineChars="200"/>
        <w:rPr>
          <w:rFonts w:hint="eastAsia"/>
          <w:color w:val="auto"/>
          <w:szCs w:val="21"/>
        </w:rPr>
      </w:pPr>
      <w:r>
        <w:rPr>
          <w:rFonts w:hint="eastAsia"/>
          <w:color w:val="auto"/>
          <w:szCs w:val="21"/>
        </w:rPr>
        <w:t>4、合同计价原则与取费标准如遇省级及以上文件的调整按省级及以上最新文件执行，人工工资计取如遇省级及以上文件的调整按省级及以上最新文件执行。总工期为</w:t>
      </w:r>
      <w:r>
        <w:rPr>
          <w:rFonts w:hint="eastAsia"/>
          <w:color w:val="auto"/>
          <w:szCs w:val="21"/>
          <w:u w:val="single"/>
        </w:rPr>
        <w:t xml:space="preserve">     </w:t>
      </w:r>
      <w:r>
        <w:rPr>
          <w:rFonts w:hint="eastAsia"/>
          <w:color w:val="auto"/>
          <w:szCs w:val="21"/>
        </w:rPr>
        <w:t>个月（其中设计时间要求：合同生效后</w:t>
      </w:r>
      <w:r>
        <w:rPr>
          <w:rFonts w:hint="eastAsia"/>
          <w:color w:val="auto"/>
          <w:szCs w:val="21"/>
          <w:u w:val="single"/>
        </w:rPr>
        <w:t xml:space="preserve">    </w:t>
      </w:r>
      <w:r>
        <w:rPr>
          <w:rFonts w:hint="eastAsia"/>
          <w:color w:val="auto"/>
          <w:szCs w:val="21"/>
        </w:rPr>
        <w:t>天内完成施工图设计），按合同约定进行设计、实施和竣工承包工程，修补工程中的任何缺陷，实现工程目的。</w:t>
      </w:r>
    </w:p>
    <w:p>
      <w:pPr>
        <w:spacing w:line="360" w:lineRule="auto"/>
        <w:ind w:firstLine="420" w:firstLineChars="200"/>
        <w:rPr>
          <w:rFonts w:hint="eastAsia"/>
          <w:color w:val="auto"/>
          <w:szCs w:val="21"/>
        </w:rPr>
      </w:pPr>
      <w:r>
        <w:rPr>
          <w:rFonts w:hint="eastAsia"/>
          <w:color w:val="auto"/>
          <w:szCs w:val="21"/>
        </w:rPr>
        <w:t>2．我方承诺在招标文件规定的投标有效期内不修改、撤销投标文件。</w:t>
      </w:r>
    </w:p>
    <w:p>
      <w:pPr>
        <w:spacing w:line="360" w:lineRule="auto"/>
        <w:ind w:firstLine="420" w:firstLineChars="200"/>
        <w:rPr>
          <w:rFonts w:hint="eastAsia"/>
          <w:color w:val="auto"/>
          <w:szCs w:val="21"/>
        </w:rPr>
      </w:pPr>
      <w:r>
        <w:rPr>
          <w:rFonts w:hint="eastAsia"/>
          <w:color w:val="auto"/>
          <w:szCs w:val="21"/>
        </w:rPr>
        <w:t>3．随同本投标函提交投标保证金一份，金额为人民币（大写）</w:t>
      </w:r>
      <w:r>
        <w:rPr>
          <w:rFonts w:hint="eastAsia"/>
          <w:color w:val="auto"/>
          <w:szCs w:val="21"/>
          <w:u w:val="single"/>
        </w:rPr>
        <w:t xml:space="preserve">        </w:t>
      </w:r>
      <w:r>
        <w:rPr>
          <w:rFonts w:hint="eastAsia"/>
          <w:color w:val="auto"/>
          <w:szCs w:val="21"/>
        </w:rPr>
        <w:t xml:space="preserve">（¥ </w:t>
      </w:r>
      <w:r>
        <w:rPr>
          <w:rFonts w:hint="eastAsia"/>
          <w:color w:val="auto"/>
          <w:szCs w:val="21"/>
          <w:u w:val="single"/>
        </w:rPr>
        <w:t xml:space="preserve">      </w:t>
      </w:r>
      <w:r>
        <w:rPr>
          <w:rFonts w:hint="eastAsia"/>
          <w:color w:val="auto"/>
          <w:szCs w:val="21"/>
        </w:rPr>
        <w:t>）。</w:t>
      </w:r>
    </w:p>
    <w:p>
      <w:pPr>
        <w:spacing w:line="360" w:lineRule="auto"/>
        <w:ind w:firstLine="420" w:firstLineChars="200"/>
        <w:rPr>
          <w:rFonts w:hint="eastAsia"/>
          <w:color w:val="auto"/>
          <w:szCs w:val="21"/>
        </w:rPr>
      </w:pPr>
      <w:r>
        <w:rPr>
          <w:rFonts w:hint="eastAsia"/>
          <w:color w:val="auto"/>
          <w:szCs w:val="21"/>
        </w:rPr>
        <w:t>4．如我方中标：</w:t>
      </w:r>
    </w:p>
    <w:p>
      <w:pPr>
        <w:spacing w:line="360" w:lineRule="auto"/>
        <w:ind w:firstLine="420" w:firstLineChars="200"/>
        <w:rPr>
          <w:rFonts w:hint="eastAsia"/>
          <w:color w:val="auto"/>
          <w:szCs w:val="21"/>
        </w:rPr>
      </w:pPr>
      <w:r>
        <w:rPr>
          <w:rFonts w:hint="eastAsia"/>
          <w:color w:val="auto"/>
          <w:szCs w:val="21"/>
        </w:rPr>
        <w:t>（1）我方承诺在收到中标通知书后，在中标通知书规定的期限内与你方签订合同。</w:t>
      </w:r>
    </w:p>
    <w:p>
      <w:pPr>
        <w:spacing w:line="360" w:lineRule="auto"/>
        <w:ind w:firstLine="420" w:firstLineChars="200"/>
        <w:rPr>
          <w:rFonts w:hint="eastAsia"/>
          <w:color w:val="auto"/>
          <w:szCs w:val="21"/>
        </w:rPr>
      </w:pPr>
      <w:r>
        <w:rPr>
          <w:rFonts w:hint="eastAsia"/>
          <w:color w:val="auto"/>
          <w:szCs w:val="21"/>
        </w:rPr>
        <w:t>（2）随同本投标函递交的投标函附录属于合同文件的组成部分。</w:t>
      </w:r>
    </w:p>
    <w:p>
      <w:pPr>
        <w:spacing w:line="360" w:lineRule="auto"/>
        <w:ind w:firstLine="420" w:firstLineChars="200"/>
        <w:rPr>
          <w:rFonts w:hint="eastAsia"/>
          <w:color w:val="auto"/>
          <w:szCs w:val="21"/>
        </w:rPr>
      </w:pPr>
      <w:r>
        <w:rPr>
          <w:rFonts w:hint="eastAsia"/>
          <w:color w:val="auto"/>
          <w:szCs w:val="21"/>
        </w:rPr>
        <w:t>（3）我方承诺按照招标文件规定向你方递交履约担保。</w:t>
      </w:r>
    </w:p>
    <w:p>
      <w:pPr>
        <w:spacing w:line="360" w:lineRule="auto"/>
        <w:ind w:firstLine="420" w:firstLineChars="200"/>
        <w:rPr>
          <w:rFonts w:hint="eastAsia"/>
          <w:color w:val="auto"/>
          <w:szCs w:val="21"/>
        </w:rPr>
      </w:pPr>
      <w:r>
        <w:rPr>
          <w:rFonts w:hint="eastAsia"/>
          <w:color w:val="auto"/>
          <w:szCs w:val="21"/>
        </w:rPr>
        <w:t>（4）我方承诺在合同约定的期限内完成并移交全部合同工程。</w:t>
      </w:r>
    </w:p>
    <w:p>
      <w:pPr>
        <w:spacing w:line="360" w:lineRule="auto"/>
        <w:ind w:firstLine="420" w:firstLineChars="200"/>
        <w:rPr>
          <w:rFonts w:hint="eastAsia"/>
          <w:color w:val="auto"/>
          <w:szCs w:val="21"/>
        </w:rPr>
      </w:pPr>
      <w:r>
        <w:rPr>
          <w:rFonts w:hint="eastAsia"/>
          <w:color w:val="auto"/>
          <w:szCs w:val="21"/>
        </w:rPr>
        <w:t>5．我方在此声明，所递交的投标文件及有关资料内容完整、真实和准确，且不存在第二章“投标人须知”第1.4.3项和第1.4.4项规定的任何一种情形。</w:t>
      </w:r>
    </w:p>
    <w:p>
      <w:pPr>
        <w:spacing w:line="360" w:lineRule="auto"/>
        <w:ind w:firstLine="420" w:firstLineChars="200"/>
        <w:rPr>
          <w:rFonts w:hint="eastAsia"/>
          <w:color w:val="auto"/>
          <w:szCs w:val="21"/>
        </w:rPr>
      </w:pPr>
      <w:r>
        <w:rPr>
          <w:rFonts w:hint="eastAsia"/>
          <w:color w:val="auto"/>
          <w:szCs w:val="21"/>
        </w:rPr>
        <w:t>6</w:t>
      </w:r>
      <w:r>
        <w:rPr>
          <w:rFonts w:hint="eastAsia"/>
          <w:color w:val="auto"/>
          <w:szCs w:val="21"/>
          <w:lang w:eastAsia="zh-CN"/>
        </w:rPr>
        <w:t>.</w:t>
      </w:r>
      <w:r>
        <w:rPr>
          <w:rFonts w:hint="eastAsia"/>
          <w:color w:val="auto"/>
          <w:szCs w:val="21"/>
        </w:rPr>
        <w:t>（其他补充说明）。</w:t>
      </w:r>
    </w:p>
    <w:p>
      <w:pPr>
        <w:spacing w:line="360" w:lineRule="auto"/>
        <w:ind w:firstLine="420" w:firstLineChars="200"/>
        <w:rPr>
          <w:rFonts w:hint="eastAsia"/>
          <w:color w:val="auto"/>
          <w:szCs w:val="21"/>
        </w:rPr>
      </w:pPr>
      <w:r>
        <w:rPr>
          <w:rFonts w:hint="eastAsia"/>
          <w:color w:val="auto"/>
          <w:szCs w:val="21"/>
        </w:rPr>
        <w:t>投 标 人：                      （盖单位章）</w:t>
      </w:r>
    </w:p>
    <w:p>
      <w:pPr>
        <w:spacing w:line="360" w:lineRule="auto"/>
        <w:ind w:firstLine="420" w:firstLineChars="200"/>
        <w:rPr>
          <w:rFonts w:hint="eastAsia"/>
          <w:color w:val="auto"/>
          <w:szCs w:val="21"/>
        </w:rPr>
      </w:pPr>
      <w:r>
        <w:rPr>
          <w:rFonts w:hint="eastAsia"/>
          <w:color w:val="auto"/>
          <w:szCs w:val="21"/>
        </w:rPr>
        <w:t>法定代表人或其委托代理人：          （签字）</w:t>
      </w:r>
    </w:p>
    <w:p>
      <w:pPr>
        <w:spacing w:line="360" w:lineRule="auto"/>
        <w:ind w:firstLine="420" w:firstLineChars="200"/>
        <w:rPr>
          <w:rFonts w:hint="eastAsia"/>
          <w:color w:val="auto"/>
          <w:szCs w:val="21"/>
        </w:rPr>
      </w:pPr>
      <w:r>
        <w:rPr>
          <w:rFonts w:hint="eastAsia"/>
          <w:color w:val="auto"/>
          <w:szCs w:val="21"/>
        </w:rPr>
        <w:t xml:space="preserve">地址：                                     </w:t>
      </w:r>
    </w:p>
    <w:p>
      <w:pPr>
        <w:spacing w:line="360" w:lineRule="auto"/>
        <w:ind w:firstLine="420" w:firstLineChars="200"/>
        <w:rPr>
          <w:rFonts w:hint="eastAsia"/>
          <w:color w:val="auto"/>
          <w:szCs w:val="21"/>
        </w:rPr>
      </w:pPr>
      <w:r>
        <w:rPr>
          <w:rFonts w:hint="eastAsia"/>
          <w:color w:val="auto"/>
          <w:szCs w:val="21"/>
        </w:rPr>
        <w:t xml:space="preserve">网址：                                     </w:t>
      </w:r>
    </w:p>
    <w:p>
      <w:pPr>
        <w:spacing w:line="360" w:lineRule="auto"/>
        <w:ind w:firstLine="420" w:firstLineChars="200"/>
        <w:rPr>
          <w:rFonts w:hint="eastAsia"/>
          <w:color w:val="auto"/>
          <w:szCs w:val="21"/>
        </w:rPr>
      </w:pPr>
      <w:r>
        <w:rPr>
          <w:rFonts w:hint="eastAsia"/>
          <w:color w:val="auto"/>
          <w:szCs w:val="21"/>
        </w:rPr>
        <w:t xml:space="preserve">电话：                                     </w:t>
      </w:r>
    </w:p>
    <w:p>
      <w:pPr>
        <w:spacing w:line="360" w:lineRule="auto"/>
        <w:ind w:firstLine="420" w:firstLineChars="200"/>
        <w:rPr>
          <w:rFonts w:hint="eastAsia"/>
          <w:color w:val="auto"/>
          <w:szCs w:val="21"/>
        </w:rPr>
      </w:pPr>
      <w:r>
        <w:rPr>
          <w:rFonts w:hint="eastAsia"/>
          <w:color w:val="auto"/>
          <w:szCs w:val="21"/>
        </w:rPr>
        <w:t xml:space="preserve">传真：                                     </w:t>
      </w:r>
    </w:p>
    <w:p>
      <w:pPr>
        <w:spacing w:line="360" w:lineRule="auto"/>
        <w:ind w:firstLine="420" w:firstLineChars="200"/>
        <w:rPr>
          <w:rFonts w:hint="eastAsia"/>
          <w:color w:val="auto"/>
          <w:szCs w:val="21"/>
        </w:rPr>
      </w:pPr>
      <w:r>
        <w:rPr>
          <w:rFonts w:hint="eastAsia"/>
          <w:color w:val="auto"/>
          <w:szCs w:val="21"/>
        </w:rPr>
        <w:t xml:space="preserve">邮政编码：                                 </w:t>
      </w:r>
    </w:p>
    <w:p>
      <w:pPr>
        <w:spacing w:line="360" w:lineRule="auto"/>
        <w:ind w:firstLine="420" w:firstLineChars="200"/>
        <w:rPr>
          <w:rFonts w:hint="eastAsia"/>
          <w:color w:val="auto"/>
          <w:szCs w:val="21"/>
        </w:rPr>
      </w:pPr>
      <w:r>
        <w:rPr>
          <w:rFonts w:hint="eastAsia"/>
          <w:color w:val="auto"/>
          <w:szCs w:val="21"/>
        </w:rPr>
        <w:t xml:space="preserve">      年      月      日</w:t>
      </w:r>
    </w:p>
    <w:p>
      <w:pPr>
        <w:spacing w:line="360" w:lineRule="auto"/>
        <w:ind w:firstLine="420" w:firstLineChars="200"/>
        <w:rPr>
          <w:color w:val="auto"/>
          <w:szCs w:val="21"/>
        </w:rPr>
        <w:sectPr>
          <w:headerReference r:id="rId14" w:type="default"/>
          <w:pgSz w:w="11907" w:h="16840"/>
          <w:pgMar w:top="1020" w:right="1020" w:bottom="1020" w:left="1020" w:header="851" w:footer="850" w:gutter="0"/>
          <w:cols w:space="720" w:num="1"/>
          <w:docGrid w:linePitch="326" w:charSpace="0"/>
        </w:sectPr>
      </w:pPr>
    </w:p>
    <w:p>
      <w:pPr>
        <w:pStyle w:val="7"/>
        <w:ind w:firstLine="133"/>
        <w:jc w:val="center"/>
        <w:rPr>
          <w:rFonts w:hint="eastAsia" w:ascii="宋体" w:eastAsia="宋体" w:cs="宋体"/>
          <w:color w:val="auto"/>
        </w:rPr>
      </w:pPr>
      <w:r>
        <w:rPr>
          <w:rFonts w:hint="eastAsia" w:ascii="宋体" w:eastAsia="宋体" w:cs="宋体"/>
          <w:color w:val="auto"/>
        </w:rPr>
        <w:t>（二）</w:t>
      </w:r>
      <w:bookmarkStart w:id="1204" w:name="_Toc152045790"/>
      <w:bookmarkStart w:id="1205" w:name="_Toc247514249"/>
      <w:bookmarkStart w:id="1206" w:name="_Toc144974859"/>
      <w:bookmarkStart w:id="1207" w:name="_Toc499738276"/>
      <w:bookmarkStart w:id="1208" w:name="_Toc456356121"/>
      <w:bookmarkStart w:id="1209" w:name="_Toc152042579"/>
      <w:bookmarkStart w:id="1210" w:name="_Toc247527830"/>
      <w:r>
        <w:rPr>
          <w:rFonts w:hint="eastAsia" w:ascii="宋体" w:eastAsia="宋体" w:cs="宋体"/>
          <w:color w:val="auto"/>
        </w:rPr>
        <w:t>投标函附录</w:t>
      </w:r>
      <w:bookmarkEnd w:id="1204"/>
      <w:bookmarkEnd w:id="1205"/>
      <w:bookmarkEnd w:id="1206"/>
      <w:bookmarkEnd w:id="1207"/>
      <w:bookmarkEnd w:id="1208"/>
      <w:bookmarkEnd w:id="1209"/>
      <w:bookmarkEnd w:id="1210"/>
    </w:p>
    <w:tbl>
      <w:tblPr>
        <w:tblStyle w:val="67"/>
        <w:tblW w:w="882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28"/>
        <w:gridCol w:w="2410"/>
        <w:gridCol w:w="1999"/>
        <w:gridCol w:w="2543"/>
        <w:gridCol w:w="7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1128" w:type="dxa"/>
            <w:vAlign w:val="center"/>
          </w:tcPr>
          <w:p>
            <w:pPr>
              <w:jc w:val="center"/>
              <w:rPr>
                <w:rFonts w:hint="eastAsia" w:ascii="宋体" w:hAnsi="宋体" w:cs="宋体"/>
                <w:color w:val="auto"/>
                <w:szCs w:val="21"/>
              </w:rPr>
            </w:pPr>
            <w:r>
              <w:rPr>
                <w:rFonts w:hint="eastAsia" w:ascii="宋体" w:hAnsi="宋体" w:cs="宋体"/>
                <w:color w:val="auto"/>
                <w:szCs w:val="21"/>
              </w:rPr>
              <w:t>序号</w:t>
            </w:r>
          </w:p>
        </w:tc>
        <w:tc>
          <w:tcPr>
            <w:tcW w:w="2410" w:type="dxa"/>
            <w:vAlign w:val="center"/>
          </w:tcPr>
          <w:p>
            <w:pPr>
              <w:jc w:val="center"/>
              <w:rPr>
                <w:rFonts w:hint="eastAsia" w:ascii="宋体" w:hAnsi="宋体" w:cs="宋体"/>
                <w:color w:val="auto"/>
                <w:szCs w:val="21"/>
              </w:rPr>
            </w:pPr>
            <w:r>
              <w:rPr>
                <w:rFonts w:hint="eastAsia" w:ascii="宋体" w:hAnsi="宋体" w:cs="宋体"/>
                <w:color w:val="auto"/>
                <w:szCs w:val="21"/>
              </w:rPr>
              <w:t>条款名称</w:t>
            </w:r>
          </w:p>
        </w:tc>
        <w:tc>
          <w:tcPr>
            <w:tcW w:w="1999" w:type="dxa"/>
            <w:vAlign w:val="center"/>
          </w:tcPr>
          <w:p>
            <w:pPr>
              <w:jc w:val="center"/>
              <w:rPr>
                <w:rFonts w:hint="eastAsia" w:ascii="宋体" w:hAnsi="宋体" w:cs="宋体"/>
                <w:color w:val="auto"/>
                <w:szCs w:val="21"/>
              </w:rPr>
            </w:pPr>
            <w:r>
              <w:rPr>
                <w:rFonts w:hint="eastAsia" w:ascii="宋体" w:hAnsi="宋体" w:cs="宋体"/>
                <w:color w:val="auto"/>
                <w:szCs w:val="21"/>
              </w:rPr>
              <w:t>合同条款号</w:t>
            </w:r>
          </w:p>
        </w:tc>
        <w:tc>
          <w:tcPr>
            <w:tcW w:w="2543" w:type="dxa"/>
            <w:vAlign w:val="center"/>
          </w:tcPr>
          <w:p>
            <w:pPr>
              <w:jc w:val="center"/>
              <w:rPr>
                <w:rFonts w:hint="eastAsia" w:ascii="宋体" w:hAnsi="宋体" w:cs="宋体"/>
                <w:color w:val="auto"/>
                <w:szCs w:val="21"/>
              </w:rPr>
            </w:pPr>
            <w:r>
              <w:rPr>
                <w:rFonts w:hint="eastAsia" w:ascii="宋体" w:hAnsi="宋体" w:cs="宋体"/>
                <w:color w:val="auto"/>
                <w:szCs w:val="21"/>
              </w:rPr>
              <w:t>约定内容</w:t>
            </w:r>
          </w:p>
        </w:tc>
        <w:tc>
          <w:tcPr>
            <w:tcW w:w="749" w:type="dxa"/>
            <w:vAlign w:val="center"/>
          </w:tcPr>
          <w:p>
            <w:pPr>
              <w:jc w:val="center"/>
              <w:rPr>
                <w:rFonts w:hint="eastAsia" w:ascii="宋体" w:hAnsi="宋体" w:cs="宋体"/>
                <w:color w:val="auto"/>
                <w:szCs w:val="21"/>
              </w:rPr>
            </w:pPr>
            <w:r>
              <w:rPr>
                <w:rFonts w:hint="eastAsia" w:ascii="宋体" w:hAnsi="宋体" w:cs="宋体"/>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1128" w:type="dxa"/>
            <w:vAlign w:val="center"/>
          </w:tcPr>
          <w:p>
            <w:pPr>
              <w:jc w:val="center"/>
              <w:rPr>
                <w:rFonts w:hint="eastAsia" w:ascii="宋体" w:hAnsi="宋体" w:cs="宋体"/>
                <w:color w:val="auto"/>
                <w:szCs w:val="21"/>
              </w:rPr>
            </w:pPr>
            <w:r>
              <w:rPr>
                <w:rFonts w:hint="eastAsia" w:ascii="宋体" w:hAnsi="宋体" w:cs="宋体"/>
                <w:color w:val="auto"/>
                <w:szCs w:val="21"/>
              </w:rPr>
              <w:t>1</w:t>
            </w:r>
          </w:p>
        </w:tc>
        <w:tc>
          <w:tcPr>
            <w:tcW w:w="2410"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项目负责人（项目经理）</w:t>
            </w:r>
          </w:p>
        </w:tc>
        <w:tc>
          <w:tcPr>
            <w:tcW w:w="1999" w:type="dxa"/>
            <w:vAlign w:val="center"/>
          </w:tcPr>
          <w:p>
            <w:pPr>
              <w:spacing w:line="440" w:lineRule="exact"/>
              <w:jc w:val="center"/>
              <w:rPr>
                <w:rFonts w:hint="eastAsia" w:ascii="宋体" w:hAnsi="宋体" w:cs="宋体"/>
                <w:color w:val="auto"/>
                <w:szCs w:val="21"/>
              </w:rPr>
            </w:pPr>
          </w:p>
        </w:tc>
        <w:tc>
          <w:tcPr>
            <w:tcW w:w="2543" w:type="dxa"/>
            <w:vAlign w:val="center"/>
          </w:tcPr>
          <w:p>
            <w:pPr>
              <w:spacing w:line="440" w:lineRule="exact"/>
              <w:rPr>
                <w:rFonts w:hint="eastAsia" w:ascii="宋体" w:hAnsi="宋体" w:cs="宋体"/>
                <w:color w:val="auto"/>
                <w:szCs w:val="21"/>
              </w:rPr>
            </w:pPr>
            <w:r>
              <w:rPr>
                <w:rFonts w:hint="eastAsia" w:ascii="宋体" w:hAnsi="宋体" w:cs="宋体"/>
                <w:color w:val="auto"/>
                <w:szCs w:val="21"/>
              </w:rPr>
              <w:t>姓名：</w:t>
            </w:r>
          </w:p>
        </w:tc>
        <w:tc>
          <w:tcPr>
            <w:tcW w:w="749" w:type="dxa"/>
            <w:vAlign w:val="center"/>
          </w:tcPr>
          <w:p>
            <w:pPr>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jc w:val="center"/>
        </w:trPr>
        <w:tc>
          <w:tcPr>
            <w:tcW w:w="1128" w:type="dxa"/>
            <w:vAlign w:val="center"/>
          </w:tcPr>
          <w:p>
            <w:pPr>
              <w:jc w:val="center"/>
              <w:rPr>
                <w:rFonts w:hint="eastAsia" w:ascii="宋体" w:hAnsi="宋体" w:cs="宋体"/>
                <w:color w:val="auto"/>
                <w:szCs w:val="21"/>
              </w:rPr>
            </w:pPr>
            <w:r>
              <w:rPr>
                <w:rFonts w:hint="eastAsia" w:ascii="宋体" w:hAnsi="宋体" w:cs="宋体"/>
                <w:color w:val="auto"/>
                <w:szCs w:val="21"/>
              </w:rPr>
              <w:t>2</w:t>
            </w:r>
          </w:p>
        </w:tc>
        <w:tc>
          <w:tcPr>
            <w:tcW w:w="2410"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设计负责人（主设计师）</w:t>
            </w:r>
          </w:p>
        </w:tc>
        <w:tc>
          <w:tcPr>
            <w:tcW w:w="1999"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1.1.2.4</w:t>
            </w:r>
          </w:p>
        </w:tc>
        <w:tc>
          <w:tcPr>
            <w:tcW w:w="2543" w:type="dxa"/>
            <w:vAlign w:val="center"/>
          </w:tcPr>
          <w:p>
            <w:pPr>
              <w:spacing w:line="440" w:lineRule="exact"/>
              <w:rPr>
                <w:rFonts w:hint="eastAsia" w:ascii="宋体" w:hAnsi="宋体" w:cs="宋体"/>
                <w:color w:val="auto"/>
                <w:szCs w:val="21"/>
              </w:rPr>
            </w:pPr>
            <w:r>
              <w:rPr>
                <w:rFonts w:hint="eastAsia" w:ascii="宋体" w:hAnsi="宋体" w:cs="宋体"/>
                <w:color w:val="auto"/>
                <w:szCs w:val="21"/>
              </w:rPr>
              <w:t xml:space="preserve">姓名：           </w:t>
            </w:r>
          </w:p>
        </w:tc>
        <w:tc>
          <w:tcPr>
            <w:tcW w:w="749" w:type="dxa"/>
            <w:vAlign w:val="center"/>
          </w:tcPr>
          <w:p>
            <w:pPr>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jc w:val="center"/>
        </w:trPr>
        <w:tc>
          <w:tcPr>
            <w:tcW w:w="1128" w:type="dxa"/>
            <w:vAlign w:val="center"/>
          </w:tcPr>
          <w:p>
            <w:pPr>
              <w:jc w:val="center"/>
              <w:rPr>
                <w:rFonts w:hint="eastAsia" w:ascii="宋体" w:hAnsi="宋体" w:cs="宋体"/>
                <w:color w:val="auto"/>
                <w:szCs w:val="21"/>
              </w:rPr>
            </w:pPr>
            <w:r>
              <w:rPr>
                <w:rFonts w:hint="eastAsia" w:ascii="宋体" w:hAnsi="宋体" w:cs="宋体"/>
                <w:color w:val="auto"/>
                <w:szCs w:val="21"/>
              </w:rPr>
              <w:t>3</w:t>
            </w:r>
          </w:p>
        </w:tc>
        <w:tc>
          <w:tcPr>
            <w:tcW w:w="2410"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项目技术负责人</w:t>
            </w:r>
          </w:p>
        </w:tc>
        <w:tc>
          <w:tcPr>
            <w:tcW w:w="1999" w:type="dxa"/>
            <w:vAlign w:val="center"/>
          </w:tcPr>
          <w:p>
            <w:pPr>
              <w:spacing w:line="440" w:lineRule="exact"/>
              <w:jc w:val="center"/>
              <w:rPr>
                <w:rFonts w:hint="eastAsia" w:ascii="宋体" w:hAnsi="宋体" w:cs="宋体"/>
                <w:color w:val="auto"/>
                <w:szCs w:val="21"/>
              </w:rPr>
            </w:pPr>
          </w:p>
        </w:tc>
        <w:tc>
          <w:tcPr>
            <w:tcW w:w="2543" w:type="dxa"/>
            <w:vAlign w:val="center"/>
          </w:tcPr>
          <w:p>
            <w:pPr>
              <w:spacing w:line="440" w:lineRule="exact"/>
              <w:rPr>
                <w:rFonts w:hint="eastAsia" w:ascii="宋体" w:hAnsi="宋体" w:cs="宋体"/>
                <w:color w:val="auto"/>
                <w:szCs w:val="21"/>
              </w:rPr>
            </w:pPr>
            <w:r>
              <w:rPr>
                <w:rFonts w:hint="eastAsia" w:ascii="宋体" w:hAnsi="宋体" w:cs="宋体"/>
                <w:color w:val="auto"/>
                <w:szCs w:val="21"/>
              </w:rPr>
              <w:t xml:space="preserve">姓名： </w:t>
            </w:r>
          </w:p>
        </w:tc>
        <w:tc>
          <w:tcPr>
            <w:tcW w:w="749" w:type="dxa"/>
            <w:vAlign w:val="center"/>
          </w:tcPr>
          <w:p>
            <w:pPr>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1128" w:type="dxa"/>
            <w:vAlign w:val="center"/>
          </w:tcPr>
          <w:p>
            <w:pPr>
              <w:jc w:val="center"/>
              <w:rPr>
                <w:rFonts w:hint="eastAsia" w:ascii="宋体" w:hAnsi="宋体" w:cs="宋体"/>
                <w:color w:val="auto"/>
                <w:szCs w:val="21"/>
              </w:rPr>
            </w:pPr>
            <w:r>
              <w:rPr>
                <w:rFonts w:hint="eastAsia" w:ascii="宋体" w:hAnsi="宋体" w:cs="宋体"/>
                <w:color w:val="auto"/>
                <w:szCs w:val="21"/>
              </w:rPr>
              <w:t>4</w:t>
            </w:r>
          </w:p>
        </w:tc>
        <w:tc>
          <w:tcPr>
            <w:tcW w:w="2410" w:type="dxa"/>
            <w:vAlign w:val="center"/>
          </w:tcPr>
          <w:p>
            <w:pPr>
              <w:jc w:val="center"/>
              <w:rPr>
                <w:rFonts w:hint="eastAsia" w:ascii="宋体" w:hAnsi="宋体" w:cs="宋体"/>
                <w:color w:val="auto"/>
                <w:szCs w:val="21"/>
              </w:rPr>
            </w:pPr>
            <w:r>
              <w:rPr>
                <w:rFonts w:hint="eastAsia" w:ascii="宋体" w:hAnsi="宋体" w:cs="宋体"/>
                <w:color w:val="auto"/>
                <w:szCs w:val="21"/>
              </w:rPr>
              <w:t>总工期</w:t>
            </w:r>
          </w:p>
        </w:tc>
        <w:tc>
          <w:tcPr>
            <w:tcW w:w="1999" w:type="dxa"/>
            <w:vAlign w:val="center"/>
          </w:tcPr>
          <w:p>
            <w:pPr>
              <w:jc w:val="center"/>
              <w:rPr>
                <w:rFonts w:hint="eastAsia" w:ascii="宋体" w:hAnsi="宋体" w:cs="宋体"/>
                <w:color w:val="auto"/>
                <w:szCs w:val="21"/>
              </w:rPr>
            </w:pPr>
            <w:r>
              <w:rPr>
                <w:rFonts w:hint="eastAsia" w:ascii="宋体" w:hAnsi="宋体" w:cs="宋体"/>
                <w:color w:val="auto"/>
                <w:szCs w:val="21"/>
              </w:rPr>
              <w:t>1.1.4.3</w:t>
            </w:r>
          </w:p>
        </w:tc>
        <w:tc>
          <w:tcPr>
            <w:tcW w:w="2543" w:type="dxa"/>
            <w:vAlign w:val="center"/>
          </w:tcPr>
          <w:p>
            <w:pPr>
              <w:spacing w:line="440" w:lineRule="exact"/>
              <w:rPr>
                <w:rFonts w:hint="eastAsia" w:ascii="宋体" w:hAnsi="宋体" w:cs="宋体"/>
                <w:color w:val="auto"/>
                <w:szCs w:val="21"/>
              </w:rPr>
            </w:pPr>
            <w:r>
              <w:rPr>
                <w:rFonts w:hint="eastAsia" w:ascii="宋体" w:hAnsi="宋体" w:cs="宋体"/>
                <w:color w:val="auto"/>
                <w:szCs w:val="21"/>
              </w:rPr>
              <w:t xml:space="preserve">      </w:t>
            </w:r>
          </w:p>
        </w:tc>
        <w:tc>
          <w:tcPr>
            <w:tcW w:w="749" w:type="dxa"/>
            <w:vAlign w:val="center"/>
          </w:tcPr>
          <w:p>
            <w:pPr>
              <w:spacing w:line="440" w:lineRule="exact"/>
              <w:ind w:firstLine="718" w:firstLineChars="342"/>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jc w:val="center"/>
        </w:trPr>
        <w:tc>
          <w:tcPr>
            <w:tcW w:w="1128" w:type="dxa"/>
            <w:vAlign w:val="center"/>
          </w:tcPr>
          <w:p>
            <w:pPr>
              <w:jc w:val="center"/>
              <w:rPr>
                <w:rFonts w:hint="eastAsia" w:ascii="宋体" w:hAnsi="宋体" w:cs="宋体"/>
                <w:color w:val="auto"/>
                <w:szCs w:val="21"/>
              </w:rPr>
            </w:pPr>
            <w:r>
              <w:rPr>
                <w:rFonts w:hint="eastAsia" w:ascii="宋体" w:hAnsi="宋体" w:cs="宋体"/>
                <w:color w:val="auto"/>
                <w:szCs w:val="21"/>
              </w:rPr>
              <w:t>5</w:t>
            </w:r>
          </w:p>
        </w:tc>
        <w:tc>
          <w:tcPr>
            <w:tcW w:w="2410" w:type="dxa"/>
            <w:vAlign w:val="center"/>
          </w:tcPr>
          <w:p>
            <w:pPr>
              <w:jc w:val="center"/>
              <w:rPr>
                <w:rFonts w:hint="eastAsia" w:ascii="宋体" w:hAnsi="宋体" w:cs="宋体"/>
                <w:color w:val="auto"/>
                <w:szCs w:val="21"/>
              </w:rPr>
            </w:pPr>
            <w:r>
              <w:rPr>
                <w:rFonts w:hint="eastAsia" w:ascii="宋体" w:hAnsi="宋体" w:cs="宋体"/>
                <w:color w:val="auto"/>
                <w:szCs w:val="21"/>
              </w:rPr>
              <w:t>缺陷责任期</w:t>
            </w:r>
          </w:p>
        </w:tc>
        <w:tc>
          <w:tcPr>
            <w:tcW w:w="1999" w:type="dxa"/>
            <w:vAlign w:val="center"/>
          </w:tcPr>
          <w:p>
            <w:pPr>
              <w:jc w:val="center"/>
              <w:rPr>
                <w:rFonts w:hint="eastAsia" w:ascii="宋体" w:hAnsi="宋体" w:cs="宋体"/>
                <w:color w:val="auto"/>
                <w:szCs w:val="21"/>
              </w:rPr>
            </w:pPr>
            <w:r>
              <w:rPr>
                <w:rFonts w:hint="eastAsia" w:ascii="宋体" w:hAnsi="宋体" w:cs="宋体"/>
                <w:color w:val="auto"/>
                <w:szCs w:val="21"/>
              </w:rPr>
              <w:t>1.1.4.5</w:t>
            </w:r>
          </w:p>
        </w:tc>
        <w:tc>
          <w:tcPr>
            <w:tcW w:w="2543"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w:t>
            </w:r>
          </w:p>
        </w:tc>
        <w:tc>
          <w:tcPr>
            <w:tcW w:w="749" w:type="dxa"/>
            <w:vAlign w:val="center"/>
          </w:tcPr>
          <w:p>
            <w:pPr>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1128" w:type="dxa"/>
            <w:vAlign w:val="center"/>
          </w:tcPr>
          <w:p>
            <w:pPr>
              <w:jc w:val="center"/>
              <w:rPr>
                <w:rFonts w:hint="eastAsia" w:ascii="宋体" w:hAnsi="宋体" w:cs="宋体"/>
                <w:color w:val="auto"/>
                <w:szCs w:val="21"/>
              </w:rPr>
            </w:pPr>
            <w:r>
              <w:rPr>
                <w:rFonts w:hint="eastAsia" w:ascii="宋体" w:hAnsi="宋体" w:cs="宋体"/>
                <w:color w:val="auto"/>
                <w:szCs w:val="21"/>
              </w:rPr>
              <w:t>6</w:t>
            </w:r>
          </w:p>
        </w:tc>
        <w:tc>
          <w:tcPr>
            <w:tcW w:w="2410" w:type="dxa"/>
            <w:vAlign w:val="center"/>
          </w:tcPr>
          <w:p>
            <w:pPr>
              <w:jc w:val="center"/>
              <w:rPr>
                <w:rFonts w:hint="eastAsia" w:ascii="宋体" w:hAnsi="宋体" w:cs="宋体"/>
                <w:color w:val="auto"/>
                <w:szCs w:val="21"/>
              </w:rPr>
            </w:pPr>
            <w:r>
              <w:rPr>
                <w:rFonts w:hint="eastAsia" w:ascii="宋体" w:hAnsi="宋体" w:cs="宋体"/>
                <w:color w:val="auto"/>
                <w:szCs w:val="21"/>
              </w:rPr>
              <w:t>分包</w:t>
            </w:r>
          </w:p>
        </w:tc>
        <w:tc>
          <w:tcPr>
            <w:tcW w:w="1999" w:type="dxa"/>
            <w:vAlign w:val="center"/>
          </w:tcPr>
          <w:p>
            <w:pPr>
              <w:jc w:val="center"/>
              <w:rPr>
                <w:rFonts w:hint="eastAsia" w:ascii="宋体" w:hAnsi="宋体" w:cs="宋体"/>
                <w:color w:val="auto"/>
                <w:szCs w:val="21"/>
              </w:rPr>
            </w:pPr>
            <w:r>
              <w:rPr>
                <w:rFonts w:hint="eastAsia" w:ascii="宋体" w:hAnsi="宋体" w:cs="宋体"/>
                <w:color w:val="auto"/>
                <w:szCs w:val="21"/>
              </w:rPr>
              <w:t>4.3.4</w:t>
            </w:r>
          </w:p>
        </w:tc>
        <w:tc>
          <w:tcPr>
            <w:tcW w:w="2543"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w:t>
            </w:r>
          </w:p>
        </w:tc>
        <w:tc>
          <w:tcPr>
            <w:tcW w:w="749" w:type="dxa"/>
            <w:vAlign w:val="center"/>
          </w:tcPr>
          <w:p>
            <w:pPr>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jc w:val="center"/>
        </w:trPr>
        <w:tc>
          <w:tcPr>
            <w:tcW w:w="1128" w:type="dxa"/>
            <w:vAlign w:val="top"/>
          </w:tcPr>
          <w:p>
            <w:pPr>
              <w:jc w:val="center"/>
              <w:rPr>
                <w:rFonts w:hint="eastAsia" w:ascii="宋体" w:hAnsi="宋体" w:cs="宋体"/>
                <w:color w:val="auto"/>
                <w:szCs w:val="21"/>
              </w:rPr>
            </w:pPr>
            <w:r>
              <w:rPr>
                <w:rFonts w:hint="eastAsia" w:ascii="宋体" w:hAnsi="宋体" w:cs="宋体"/>
                <w:color w:val="auto"/>
                <w:szCs w:val="21"/>
              </w:rPr>
              <w:t>……</w:t>
            </w:r>
          </w:p>
        </w:tc>
        <w:tc>
          <w:tcPr>
            <w:tcW w:w="2410" w:type="dxa"/>
            <w:vAlign w:val="top"/>
          </w:tcPr>
          <w:p>
            <w:pPr>
              <w:jc w:val="center"/>
              <w:rPr>
                <w:rFonts w:hint="eastAsia" w:ascii="宋体" w:hAnsi="宋体" w:cs="宋体"/>
                <w:color w:val="auto"/>
                <w:szCs w:val="21"/>
              </w:rPr>
            </w:pPr>
            <w:r>
              <w:rPr>
                <w:rFonts w:hint="eastAsia" w:ascii="宋体" w:hAnsi="宋体" w:cs="宋体"/>
                <w:color w:val="auto"/>
                <w:szCs w:val="21"/>
              </w:rPr>
              <w:t>……</w:t>
            </w:r>
          </w:p>
        </w:tc>
        <w:tc>
          <w:tcPr>
            <w:tcW w:w="1999" w:type="dxa"/>
            <w:vAlign w:val="center"/>
          </w:tcPr>
          <w:p>
            <w:pPr>
              <w:jc w:val="center"/>
              <w:rPr>
                <w:rFonts w:hint="eastAsia" w:ascii="宋体" w:hAnsi="宋体" w:cs="宋体"/>
                <w:color w:val="auto"/>
                <w:szCs w:val="21"/>
              </w:rPr>
            </w:pPr>
            <w:r>
              <w:rPr>
                <w:rFonts w:hint="eastAsia" w:ascii="宋体" w:hAnsi="宋体" w:cs="宋体"/>
                <w:color w:val="auto"/>
                <w:szCs w:val="21"/>
              </w:rPr>
              <w:t>……</w:t>
            </w:r>
          </w:p>
        </w:tc>
        <w:tc>
          <w:tcPr>
            <w:tcW w:w="2543"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w:t>
            </w:r>
          </w:p>
        </w:tc>
        <w:tc>
          <w:tcPr>
            <w:tcW w:w="749" w:type="dxa"/>
            <w:vAlign w:val="center"/>
          </w:tcPr>
          <w:p>
            <w:pPr>
              <w:spacing w:line="440" w:lineRule="exact"/>
              <w:ind w:firstLine="718" w:firstLineChars="342"/>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1128" w:type="dxa"/>
            <w:vAlign w:val="top"/>
          </w:tcPr>
          <w:p>
            <w:pPr>
              <w:jc w:val="center"/>
              <w:rPr>
                <w:rFonts w:hint="eastAsia" w:ascii="宋体" w:hAnsi="宋体" w:cs="宋体"/>
                <w:color w:val="auto"/>
                <w:szCs w:val="21"/>
              </w:rPr>
            </w:pPr>
            <w:r>
              <w:rPr>
                <w:rFonts w:hint="eastAsia" w:ascii="宋体" w:hAnsi="宋体" w:cs="宋体"/>
                <w:color w:val="auto"/>
                <w:szCs w:val="21"/>
              </w:rPr>
              <w:t>……</w:t>
            </w:r>
          </w:p>
        </w:tc>
        <w:tc>
          <w:tcPr>
            <w:tcW w:w="2410" w:type="dxa"/>
            <w:vAlign w:val="top"/>
          </w:tcPr>
          <w:p>
            <w:pPr>
              <w:jc w:val="center"/>
              <w:rPr>
                <w:rFonts w:hint="eastAsia" w:ascii="宋体" w:hAnsi="宋体" w:cs="宋体"/>
                <w:color w:val="auto"/>
                <w:szCs w:val="21"/>
              </w:rPr>
            </w:pPr>
            <w:r>
              <w:rPr>
                <w:rFonts w:hint="eastAsia" w:ascii="宋体" w:hAnsi="宋体" w:cs="宋体"/>
                <w:color w:val="auto"/>
                <w:szCs w:val="21"/>
              </w:rPr>
              <w:t>……</w:t>
            </w:r>
          </w:p>
        </w:tc>
        <w:tc>
          <w:tcPr>
            <w:tcW w:w="1999" w:type="dxa"/>
            <w:vAlign w:val="center"/>
          </w:tcPr>
          <w:p>
            <w:pPr>
              <w:jc w:val="center"/>
              <w:rPr>
                <w:rFonts w:hint="eastAsia" w:ascii="宋体" w:hAnsi="宋体" w:cs="宋体"/>
                <w:color w:val="auto"/>
                <w:szCs w:val="21"/>
              </w:rPr>
            </w:pPr>
            <w:r>
              <w:rPr>
                <w:rFonts w:hint="eastAsia" w:ascii="宋体" w:hAnsi="宋体" w:cs="宋体"/>
                <w:color w:val="auto"/>
                <w:szCs w:val="21"/>
              </w:rPr>
              <w:t>……</w:t>
            </w:r>
          </w:p>
        </w:tc>
        <w:tc>
          <w:tcPr>
            <w:tcW w:w="2543"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w:t>
            </w:r>
          </w:p>
        </w:tc>
        <w:tc>
          <w:tcPr>
            <w:tcW w:w="749" w:type="dxa"/>
            <w:vAlign w:val="center"/>
          </w:tcPr>
          <w:p>
            <w:pPr>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1128" w:type="dxa"/>
            <w:vAlign w:val="top"/>
          </w:tcPr>
          <w:p>
            <w:pPr>
              <w:jc w:val="center"/>
              <w:rPr>
                <w:rFonts w:hint="eastAsia" w:ascii="宋体" w:hAnsi="宋体" w:cs="宋体"/>
                <w:color w:val="auto"/>
                <w:szCs w:val="21"/>
              </w:rPr>
            </w:pPr>
            <w:r>
              <w:rPr>
                <w:rFonts w:hint="eastAsia" w:ascii="宋体" w:hAnsi="宋体" w:cs="宋体"/>
                <w:color w:val="auto"/>
                <w:szCs w:val="21"/>
              </w:rPr>
              <w:t>……</w:t>
            </w:r>
          </w:p>
        </w:tc>
        <w:tc>
          <w:tcPr>
            <w:tcW w:w="2410" w:type="dxa"/>
            <w:vAlign w:val="top"/>
          </w:tcPr>
          <w:p>
            <w:pPr>
              <w:jc w:val="center"/>
              <w:rPr>
                <w:rFonts w:hint="eastAsia" w:ascii="宋体" w:hAnsi="宋体" w:cs="宋体"/>
                <w:color w:val="auto"/>
                <w:szCs w:val="21"/>
              </w:rPr>
            </w:pPr>
            <w:r>
              <w:rPr>
                <w:rFonts w:hint="eastAsia" w:ascii="宋体" w:hAnsi="宋体" w:cs="宋体"/>
                <w:color w:val="auto"/>
                <w:szCs w:val="21"/>
              </w:rPr>
              <w:t>……</w:t>
            </w:r>
          </w:p>
        </w:tc>
        <w:tc>
          <w:tcPr>
            <w:tcW w:w="1999" w:type="dxa"/>
            <w:vAlign w:val="center"/>
          </w:tcPr>
          <w:p>
            <w:pPr>
              <w:jc w:val="center"/>
              <w:rPr>
                <w:rFonts w:hint="eastAsia" w:ascii="宋体" w:hAnsi="宋体" w:cs="宋体"/>
                <w:color w:val="auto"/>
                <w:szCs w:val="21"/>
              </w:rPr>
            </w:pPr>
            <w:r>
              <w:rPr>
                <w:rFonts w:hint="eastAsia" w:ascii="宋体" w:hAnsi="宋体" w:cs="宋体"/>
                <w:color w:val="auto"/>
                <w:szCs w:val="21"/>
              </w:rPr>
              <w:t>……</w:t>
            </w:r>
          </w:p>
        </w:tc>
        <w:tc>
          <w:tcPr>
            <w:tcW w:w="2543"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w:t>
            </w:r>
          </w:p>
        </w:tc>
        <w:tc>
          <w:tcPr>
            <w:tcW w:w="749" w:type="dxa"/>
            <w:vAlign w:val="center"/>
          </w:tcPr>
          <w:p>
            <w:pPr>
              <w:spacing w:line="440" w:lineRule="exact"/>
              <w:rPr>
                <w:rFonts w:hint="eastAsia" w:ascii="宋体" w:hAnsi="宋体" w:cs="宋体"/>
                <w:color w:val="auto"/>
                <w:szCs w:val="21"/>
              </w:rPr>
            </w:pPr>
          </w:p>
        </w:tc>
      </w:tr>
    </w:tbl>
    <w:p>
      <w:pPr>
        <w:spacing w:line="440" w:lineRule="exact"/>
        <w:ind w:left="840" w:leftChars="400" w:firstLine="2200" w:firstLineChars="1100"/>
        <w:rPr>
          <w:rFonts w:hint="eastAsia" w:ascii="宋体" w:hAnsi="宋体" w:cs="宋体"/>
          <w:color w:val="auto"/>
          <w:sz w:val="20"/>
          <w:szCs w:val="20"/>
        </w:rPr>
      </w:pPr>
    </w:p>
    <w:p>
      <w:pPr>
        <w:spacing w:line="440" w:lineRule="exact"/>
        <w:rPr>
          <w:rFonts w:hint="eastAsia" w:ascii="宋体" w:hAnsi="宋体" w:cs="宋体"/>
          <w:color w:val="auto"/>
          <w:sz w:val="20"/>
          <w:szCs w:val="20"/>
        </w:rPr>
      </w:pPr>
    </w:p>
    <w:p>
      <w:pPr>
        <w:pStyle w:val="17"/>
        <w:rPr>
          <w:rFonts w:hint="eastAsia"/>
          <w:color w:val="auto"/>
        </w:rPr>
      </w:pPr>
    </w:p>
    <w:p>
      <w:pPr>
        <w:pStyle w:val="17"/>
        <w:rPr>
          <w:rFonts w:hint="eastAsia"/>
          <w:color w:val="auto"/>
        </w:rPr>
      </w:pPr>
    </w:p>
    <w:p>
      <w:pPr>
        <w:pStyle w:val="17"/>
        <w:rPr>
          <w:rFonts w:hint="eastAsia"/>
          <w:color w:val="auto"/>
        </w:rPr>
      </w:pPr>
    </w:p>
    <w:p>
      <w:pPr>
        <w:pStyle w:val="17"/>
        <w:rPr>
          <w:rFonts w:hint="eastAsia"/>
          <w:color w:val="auto"/>
        </w:rPr>
      </w:pPr>
    </w:p>
    <w:p>
      <w:pPr>
        <w:pStyle w:val="17"/>
        <w:rPr>
          <w:rFonts w:hint="eastAsia"/>
          <w:color w:val="auto"/>
        </w:rPr>
      </w:pPr>
    </w:p>
    <w:p>
      <w:pPr>
        <w:pStyle w:val="17"/>
        <w:rPr>
          <w:rFonts w:hint="eastAsia"/>
          <w:color w:val="auto"/>
        </w:rPr>
      </w:pPr>
    </w:p>
    <w:p>
      <w:pPr>
        <w:pStyle w:val="17"/>
        <w:rPr>
          <w:rFonts w:hint="eastAsia"/>
          <w:color w:val="auto"/>
        </w:rPr>
      </w:pPr>
    </w:p>
    <w:p>
      <w:pPr>
        <w:pStyle w:val="17"/>
        <w:rPr>
          <w:rFonts w:hint="eastAsia"/>
          <w:color w:val="auto"/>
        </w:rPr>
      </w:pPr>
    </w:p>
    <w:p>
      <w:pPr>
        <w:pStyle w:val="17"/>
        <w:rPr>
          <w:rFonts w:hint="eastAsia"/>
          <w:color w:val="auto"/>
        </w:rPr>
      </w:pPr>
    </w:p>
    <w:p>
      <w:pPr>
        <w:pStyle w:val="17"/>
        <w:rPr>
          <w:rFonts w:hint="eastAsia"/>
          <w:color w:val="auto"/>
        </w:rPr>
      </w:pPr>
    </w:p>
    <w:p>
      <w:pPr>
        <w:pStyle w:val="17"/>
        <w:rPr>
          <w:rFonts w:hint="eastAsia"/>
          <w:color w:val="auto"/>
        </w:rPr>
      </w:pPr>
    </w:p>
    <w:p>
      <w:pPr>
        <w:pStyle w:val="17"/>
        <w:rPr>
          <w:rFonts w:hint="eastAsia"/>
          <w:color w:val="auto"/>
        </w:rPr>
      </w:pPr>
    </w:p>
    <w:p>
      <w:pPr>
        <w:pStyle w:val="6"/>
        <w:jc w:val="center"/>
        <w:rPr>
          <w:rFonts w:hint="eastAsia" w:ascii="宋体" w:hAnsi="宋体" w:eastAsia="宋体" w:cs="宋体"/>
          <w:color w:val="auto"/>
        </w:rPr>
      </w:pPr>
      <w:bookmarkStart w:id="1211" w:name="_Toc152042580"/>
      <w:bookmarkStart w:id="1212" w:name="_Toc152045791"/>
      <w:bookmarkStart w:id="1213" w:name="_Toc499738277"/>
      <w:bookmarkStart w:id="1214" w:name="_Toc144974860"/>
      <w:bookmarkStart w:id="1215" w:name="_Toc247527831"/>
      <w:bookmarkStart w:id="1216" w:name="_Toc247514283"/>
      <w:bookmarkStart w:id="1217" w:name="_Toc456356122"/>
      <w:r>
        <w:rPr>
          <w:rFonts w:hint="eastAsia" w:ascii="宋体" w:hAnsi="宋体" w:eastAsia="宋体" w:cs="宋体"/>
          <w:color w:val="auto"/>
        </w:rPr>
        <w:t>二、法定代表人身份证明</w:t>
      </w:r>
      <w:bookmarkEnd w:id="1211"/>
      <w:bookmarkEnd w:id="1212"/>
      <w:bookmarkEnd w:id="1213"/>
      <w:bookmarkEnd w:id="1214"/>
      <w:bookmarkEnd w:id="1215"/>
      <w:bookmarkEnd w:id="1216"/>
      <w:bookmarkEnd w:id="1217"/>
    </w:p>
    <w:p>
      <w:pPr>
        <w:spacing w:line="440" w:lineRule="exact"/>
        <w:rPr>
          <w:rFonts w:hint="eastAsia" w:ascii="宋体" w:hAnsi="宋体" w:cs="宋体"/>
          <w:color w:val="auto"/>
          <w:sz w:val="20"/>
          <w:szCs w:val="20"/>
        </w:rPr>
      </w:pPr>
    </w:p>
    <w:p>
      <w:pPr>
        <w:spacing w:line="440" w:lineRule="exact"/>
        <w:rPr>
          <w:rFonts w:hint="eastAsia" w:ascii="宋体" w:hAnsi="宋体" w:cs="宋体"/>
          <w:color w:val="auto"/>
          <w:szCs w:val="21"/>
        </w:rPr>
      </w:pPr>
      <w:r>
        <w:rPr>
          <w:rFonts w:hint="eastAsia" w:ascii="宋体" w:hAnsi="宋体" w:cs="宋体"/>
          <w:color w:val="auto"/>
          <w:szCs w:val="21"/>
        </w:rPr>
        <w:t>投标人名称：</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440" w:lineRule="exact"/>
        <w:rPr>
          <w:rFonts w:hint="eastAsia" w:ascii="宋体" w:hAnsi="宋体" w:cs="宋体"/>
          <w:color w:val="auto"/>
          <w:szCs w:val="21"/>
        </w:rPr>
      </w:pPr>
      <w:r>
        <w:rPr>
          <w:rFonts w:hint="eastAsia" w:ascii="宋体" w:hAnsi="宋体" w:cs="宋体"/>
          <w:color w:val="auto"/>
          <w:szCs w:val="21"/>
        </w:rPr>
        <w:t>单位性质：</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440" w:lineRule="exact"/>
        <w:rPr>
          <w:rFonts w:hint="eastAsia" w:ascii="宋体" w:hAnsi="宋体" w:cs="宋体"/>
          <w:color w:val="auto"/>
          <w:szCs w:val="21"/>
        </w:rPr>
      </w:pPr>
      <w:r>
        <w:rPr>
          <w:rFonts w:hint="eastAsia" w:ascii="宋体" w:hAnsi="宋体" w:cs="宋体"/>
          <w:color w:val="auto"/>
          <w:szCs w:val="21"/>
        </w:rPr>
        <w:t>地址：</w:t>
      </w:r>
      <w:r>
        <w:rPr>
          <w:rFonts w:hint="eastAsia" w:ascii="宋体" w:hAnsi="宋体" w:cs="宋体"/>
          <w:color w:val="auto"/>
          <w:szCs w:val="21"/>
          <w:u w:val="single"/>
        </w:rPr>
        <w:t xml:space="preserve">                                   </w:t>
      </w:r>
    </w:p>
    <w:p>
      <w:pPr>
        <w:spacing w:line="440" w:lineRule="exact"/>
        <w:rPr>
          <w:rFonts w:hint="eastAsia" w:ascii="宋体" w:hAnsi="宋体" w:cs="宋体"/>
          <w:color w:val="auto"/>
          <w:szCs w:val="21"/>
        </w:rPr>
      </w:pPr>
      <w:r>
        <w:rPr>
          <w:rFonts w:hint="eastAsia" w:ascii="宋体" w:hAnsi="宋体" w:cs="宋体"/>
          <w:color w:val="auto"/>
          <w:szCs w:val="21"/>
        </w:rPr>
        <w:t>成立时间：</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440" w:lineRule="exact"/>
        <w:rPr>
          <w:rFonts w:hint="eastAsia" w:ascii="宋体" w:hAnsi="宋体" w:cs="宋体"/>
          <w:color w:val="auto"/>
          <w:szCs w:val="21"/>
        </w:rPr>
      </w:pPr>
      <w:r>
        <w:rPr>
          <w:rFonts w:hint="eastAsia" w:ascii="宋体" w:hAnsi="宋体" w:cs="宋体"/>
          <w:color w:val="auto"/>
          <w:szCs w:val="21"/>
        </w:rPr>
        <w:t>经营期限：</w:t>
      </w:r>
      <w:r>
        <w:rPr>
          <w:rFonts w:hint="eastAsia" w:ascii="宋体" w:hAnsi="宋体" w:cs="宋体"/>
          <w:color w:val="auto"/>
          <w:szCs w:val="21"/>
          <w:u w:val="single"/>
        </w:rPr>
        <w:t xml:space="preserve">                               </w:t>
      </w:r>
    </w:p>
    <w:p>
      <w:pPr>
        <w:spacing w:line="440" w:lineRule="exact"/>
        <w:rPr>
          <w:rFonts w:hint="eastAsia" w:ascii="宋体" w:hAnsi="宋体" w:cs="宋体"/>
          <w:color w:val="auto"/>
          <w:szCs w:val="21"/>
        </w:rPr>
      </w:pPr>
      <w:r>
        <w:rPr>
          <w:rFonts w:hint="eastAsia" w:ascii="宋体" w:hAnsi="宋体" w:cs="宋体"/>
          <w:color w:val="auto"/>
          <w:szCs w:val="21"/>
        </w:rPr>
        <w:t>姓名：</w:t>
      </w:r>
      <w:r>
        <w:rPr>
          <w:rFonts w:hint="eastAsia" w:ascii="宋体" w:hAnsi="宋体" w:cs="宋体"/>
          <w:color w:val="auto"/>
          <w:szCs w:val="21"/>
          <w:u w:val="single"/>
        </w:rPr>
        <w:t xml:space="preserve">        </w:t>
      </w:r>
      <w:r>
        <w:rPr>
          <w:rFonts w:hint="eastAsia" w:ascii="宋体" w:hAnsi="宋体" w:cs="宋体"/>
          <w:color w:val="auto"/>
          <w:szCs w:val="21"/>
        </w:rPr>
        <w:t xml:space="preserve"> 性别：</w:t>
      </w:r>
      <w:r>
        <w:rPr>
          <w:rFonts w:hint="eastAsia" w:ascii="宋体" w:hAnsi="宋体" w:cs="宋体"/>
          <w:color w:val="auto"/>
          <w:szCs w:val="21"/>
          <w:u w:val="single"/>
        </w:rPr>
        <w:t xml:space="preserve">         </w:t>
      </w:r>
      <w:r>
        <w:rPr>
          <w:rFonts w:hint="eastAsia" w:ascii="宋体" w:hAnsi="宋体" w:cs="宋体"/>
          <w:color w:val="auto"/>
          <w:szCs w:val="21"/>
        </w:rPr>
        <w:t xml:space="preserve"> 年龄：</w:t>
      </w:r>
      <w:r>
        <w:rPr>
          <w:rFonts w:hint="eastAsia" w:ascii="宋体" w:hAnsi="宋体" w:cs="宋体"/>
          <w:color w:val="auto"/>
          <w:szCs w:val="21"/>
          <w:u w:val="single"/>
        </w:rPr>
        <w:t xml:space="preserve">        </w:t>
      </w:r>
      <w:r>
        <w:rPr>
          <w:rFonts w:hint="eastAsia" w:ascii="宋体" w:hAnsi="宋体" w:cs="宋体"/>
          <w:color w:val="auto"/>
          <w:szCs w:val="21"/>
        </w:rPr>
        <w:t>职务：</w:t>
      </w:r>
      <w:r>
        <w:rPr>
          <w:rFonts w:hint="eastAsia" w:ascii="宋体" w:hAnsi="宋体" w:cs="宋体"/>
          <w:color w:val="auto"/>
          <w:szCs w:val="21"/>
          <w:u w:val="single"/>
        </w:rPr>
        <w:t xml:space="preserve">        </w:t>
      </w:r>
    </w:p>
    <w:p>
      <w:pPr>
        <w:spacing w:line="440" w:lineRule="exact"/>
        <w:rPr>
          <w:rFonts w:hint="eastAsia" w:ascii="宋体" w:hAnsi="宋体" w:cs="宋体"/>
          <w:color w:val="auto"/>
          <w:szCs w:val="21"/>
        </w:rPr>
      </w:pPr>
      <w:r>
        <w:rPr>
          <w:rFonts w:hint="eastAsia" w:ascii="宋体" w:hAnsi="宋体" w:cs="宋体"/>
          <w:color w:val="auto"/>
          <w:szCs w:val="21"/>
        </w:rPr>
        <w:t>系</w:t>
      </w:r>
      <w:r>
        <w:rPr>
          <w:rFonts w:hint="eastAsia" w:ascii="宋体" w:hAnsi="宋体" w:cs="宋体"/>
          <w:color w:val="auto"/>
          <w:szCs w:val="21"/>
          <w:u w:val="single"/>
        </w:rPr>
        <w:t xml:space="preserve">                             </w:t>
      </w:r>
      <w:r>
        <w:rPr>
          <w:rFonts w:hint="eastAsia" w:ascii="宋体" w:hAnsi="宋体" w:cs="宋体"/>
          <w:color w:val="auto"/>
          <w:szCs w:val="21"/>
        </w:rPr>
        <w:t xml:space="preserve"> （投标人名称）的法定代表人。</w:t>
      </w:r>
    </w:p>
    <w:p>
      <w:pPr>
        <w:spacing w:line="440" w:lineRule="exact"/>
        <w:ind w:firstLine="420" w:firstLineChars="200"/>
        <w:rPr>
          <w:rFonts w:hint="eastAsia" w:ascii="宋体" w:hAnsi="宋体" w:cs="宋体"/>
          <w:color w:val="auto"/>
          <w:szCs w:val="21"/>
        </w:rPr>
      </w:pPr>
      <w:r>
        <w:rPr>
          <w:rFonts w:hint="eastAsia" w:ascii="宋体" w:hAnsi="宋体" w:cs="宋体"/>
          <w:color w:val="auto"/>
          <w:szCs w:val="21"/>
        </w:rPr>
        <w:t>特此证明。</w:t>
      </w:r>
    </w:p>
    <w:p>
      <w:pPr>
        <w:spacing w:line="440" w:lineRule="exact"/>
        <w:rPr>
          <w:rFonts w:hint="eastAsia" w:ascii="宋体" w:hAnsi="宋体" w:cs="宋体"/>
          <w:color w:val="auto"/>
          <w:szCs w:val="21"/>
        </w:rPr>
      </w:pPr>
    </w:p>
    <w:p>
      <w:pPr>
        <w:spacing w:line="440" w:lineRule="exact"/>
        <w:rPr>
          <w:rFonts w:hint="eastAsia" w:ascii="宋体" w:hAnsi="宋体" w:cs="宋体"/>
          <w:color w:val="auto"/>
          <w:szCs w:val="21"/>
        </w:rPr>
      </w:pPr>
      <w:r>
        <w:rPr>
          <w:rFonts w:hint="eastAsia" w:ascii="宋体" w:hAnsi="宋体" w:cs="宋体"/>
          <w:color w:val="auto"/>
          <w:szCs w:val="21"/>
        </w:rPr>
        <w:t>附：法定代表人身份证复印件。</w:t>
      </w:r>
    </w:p>
    <w:p>
      <w:pPr>
        <w:spacing w:line="440" w:lineRule="exact"/>
        <w:rPr>
          <w:rFonts w:hint="eastAsia" w:ascii="宋体" w:hAnsi="宋体" w:cs="宋体"/>
          <w:color w:val="auto"/>
          <w:szCs w:val="21"/>
        </w:rPr>
      </w:pPr>
    </w:p>
    <w:p>
      <w:pPr>
        <w:spacing w:line="440" w:lineRule="exact"/>
        <w:rPr>
          <w:rFonts w:hint="eastAsia" w:ascii="宋体" w:hAnsi="宋体" w:cs="宋体"/>
          <w:color w:val="auto"/>
          <w:szCs w:val="21"/>
        </w:rPr>
      </w:pPr>
      <w:r>
        <w:rPr>
          <w:rFonts w:hint="eastAsia" w:ascii="宋体" w:hAnsi="宋体" w:cs="宋体"/>
          <w:color w:val="auto"/>
          <w:szCs w:val="21"/>
        </w:rPr>
        <w:t xml:space="preserve">                          投标人：</w:t>
      </w:r>
      <w:r>
        <w:rPr>
          <w:rFonts w:hint="eastAsia" w:ascii="宋体" w:hAnsi="宋体" w:cs="宋体"/>
          <w:color w:val="auto"/>
          <w:szCs w:val="21"/>
          <w:u w:val="single"/>
        </w:rPr>
        <w:t xml:space="preserve">                 </w:t>
      </w:r>
      <w:r>
        <w:rPr>
          <w:rFonts w:hint="eastAsia" w:ascii="宋体" w:hAnsi="宋体" w:cs="宋体"/>
          <w:color w:val="auto"/>
          <w:szCs w:val="21"/>
        </w:rPr>
        <w:t>（盖单位章）</w:t>
      </w:r>
    </w:p>
    <w:p>
      <w:pPr>
        <w:spacing w:line="440" w:lineRule="exact"/>
        <w:rPr>
          <w:rFonts w:hint="eastAsia"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 xml:space="preserve"> 日         </w:t>
      </w:r>
    </w:p>
    <w:p>
      <w:pPr>
        <w:spacing w:line="440" w:lineRule="exact"/>
        <w:rPr>
          <w:rFonts w:hint="eastAsia" w:ascii="宋体" w:hAnsi="宋体" w:cs="宋体"/>
          <w:color w:val="auto"/>
          <w:szCs w:val="21"/>
        </w:rPr>
      </w:pPr>
    </w:p>
    <w:p>
      <w:pPr>
        <w:pStyle w:val="17"/>
        <w:rPr>
          <w:rFonts w:hint="eastAsia"/>
          <w:color w:val="auto"/>
        </w:rPr>
      </w:pPr>
    </w:p>
    <w:p>
      <w:pPr>
        <w:pStyle w:val="17"/>
        <w:rPr>
          <w:rFonts w:hint="eastAsia"/>
          <w:color w:val="auto"/>
        </w:rPr>
      </w:pPr>
    </w:p>
    <w:p>
      <w:pPr>
        <w:pStyle w:val="17"/>
        <w:rPr>
          <w:rFonts w:hint="eastAsia"/>
          <w:color w:val="auto"/>
        </w:rPr>
      </w:pPr>
    </w:p>
    <w:p>
      <w:pPr>
        <w:pStyle w:val="17"/>
        <w:rPr>
          <w:rFonts w:hint="eastAsia"/>
          <w:color w:val="auto"/>
        </w:rPr>
      </w:pPr>
    </w:p>
    <w:p>
      <w:pPr>
        <w:pStyle w:val="17"/>
        <w:rPr>
          <w:rFonts w:hint="eastAsia"/>
          <w:color w:val="auto"/>
        </w:rPr>
      </w:pPr>
    </w:p>
    <w:p>
      <w:pPr>
        <w:pStyle w:val="17"/>
        <w:rPr>
          <w:rFonts w:hint="eastAsia"/>
          <w:color w:val="auto"/>
        </w:rPr>
      </w:pPr>
    </w:p>
    <w:p>
      <w:pPr>
        <w:pStyle w:val="17"/>
        <w:rPr>
          <w:rFonts w:hint="eastAsia"/>
          <w:color w:val="auto"/>
        </w:rPr>
      </w:pPr>
    </w:p>
    <w:p>
      <w:pPr>
        <w:pStyle w:val="17"/>
        <w:rPr>
          <w:rFonts w:hint="eastAsia"/>
          <w:color w:val="auto"/>
        </w:rPr>
      </w:pPr>
    </w:p>
    <w:p>
      <w:pPr>
        <w:pStyle w:val="17"/>
        <w:rPr>
          <w:rFonts w:hint="eastAsia"/>
          <w:color w:val="auto"/>
        </w:rPr>
      </w:pPr>
    </w:p>
    <w:p>
      <w:pPr>
        <w:pStyle w:val="17"/>
        <w:rPr>
          <w:rFonts w:hint="eastAsia"/>
          <w:color w:val="auto"/>
        </w:rPr>
      </w:pPr>
    </w:p>
    <w:p>
      <w:pPr>
        <w:pStyle w:val="17"/>
        <w:rPr>
          <w:rFonts w:hint="eastAsia"/>
          <w:color w:val="auto"/>
        </w:rPr>
      </w:pPr>
    </w:p>
    <w:p>
      <w:pPr>
        <w:pStyle w:val="17"/>
        <w:rPr>
          <w:rFonts w:hint="eastAsia"/>
          <w:color w:val="auto"/>
        </w:rPr>
      </w:pPr>
    </w:p>
    <w:p>
      <w:pPr>
        <w:pStyle w:val="6"/>
        <w:numPr>
          <w:ilvl w:val="0"/>
          <w:numId w:val="14"/>
        </w:numPr>
        <w:jc w:val="center"/>
        <w:rPr>
          <w:rFonts w:hint="eastAsia" w:ascii="宋体" w:hAnsi="宋体" w:eastAsia="宋体" w:cs="宋体"/>
          <w:color w:val="auto"/>
        </w:rPr>
      </w:pPr>
      <w:bookmarkStart w:id="1218" w:name="_Toc499738278"/>
      <w:bookmarkStart w:id="1219" w:name="_Toc144974861"/>
      <w:bookmarkStart w:id="1220" w:name="_Toc152045792"/>
      <w:bookmarkStart w:id="1221" w:name="_Toc456356123"/>
      <w:bookmarkStart w:id="1222" w:name="_Toc247527832"/>
      <w:bookmarkStart w:id="1223" w:name="_Toc152042581"/>
      <w:bookmarkStart w:id="1224" w:name="_Toc247514284"/>
      <w:r>
        <w:rPr>
          <w:rFonts w:hint="eastAsia" w:ascii="宋体" w:hAnsi="宋体" w:eastAsia="宋体" w:cs="宋体"/>
          <w:color w:val="auto"/>
        </w:rPr>
        <w:t>授权委托书</w:t>
      </w:r>
      <w:bookmarkEnd w:id="1218"/>
      <w:bookmarkEnd w:id="1219"/>
      <w:bookmarkEnd w:id="1220"/>
      <w:bookmarkEnd w:id="1221"/>
      <w:bookmarkEnd w:id="1222"/>
      <w:bookmarkEnd w:id="1223"/>
      <w:bookmarkEnd w:id="1224"/>
    </w:p>
    <w:p>
      <w:pPr>
        <w:topLinePunct/>
        <w:spacing w:line="480" w:lineRule="auto"/>
        <w:ind w:firstLine="420" w:firstLineChars="200"/>
        <w:rPr>
          <w:color w:val="auto"/>
          <w:szCs w:val="21"/>
        </w:rPr>
      </w:pPr>
      <w:r>
        <w:rPr>
          <w:color w:val="auto"/>
          <w:szCs w:val="21"/>
        </w:rPr>
        <w:t>本人</w:t>
      </w:r>
      <w:r>
        <w:rPr>
          <w:color w:val="auto"/>
          <w:szCs w:val="21"/>
          <w:u w:val="single"/>
        </w:rPr>
        <w:t xml:space="preserve">       </w:t>
      </w:r>
      <w:r>
        <w:rPr>
          <w:color w:val="auto"/>
          <w:szCs w:val="21"/>
        </w:rPr>
        <w:t>（姓名）系</w:t>
      </w:r>
      <w:r>
        <w:rPr>
          <w:color w:val="auto"/>
          <w:szCs w:val="21"/>
          <w:u w:val="single"/>
        </w:rPr>
        <w:t xml:space="preserve">        </w:t>
      </w:r>
      <w:r>
        <w:rPr>
          <w:color w:val="auto"/>
          <w:szCs w:val="21"/>
        </w:rPr>
        <w:t>（投标人名称）的法定代表人，现委托</w:t>
      </w:r>
      <w:r>
        <w:rPr>
          <w:color w:val="auto"/>
          <w:szCs w:val="21"/>
          <w:u w:val="single"/>
        </w:rPr>
        <w:t xml:space="preserve">        </w:t>
      </w:r>
      <w:r>
        <w:rPr>
          <w:color w:val="auto"/>
          <w:szCs w:val="21"/>
        </w:rPr>
        <w:t>（姓名）为我方代理人。代理人根据授权，以我方名义签署、澄清</w:t>
      </w:r>
      <w:r>
        <w:rPr>
          <w:rFonts w:hint="eastAsia"/>
          <w:color w:val="auto"/>
          <w:szCs w:val="21"/>
        </w:rPr>
        <w:t>、说明、补正</w:t>
      </w:r>
      <w:r>
        <w:rPr>
          <w:color w:val="auto"/>
          <w:szCs w:val="21"/>
        </w:rPr>
        <w:t>、递交、撤回、修改</w:t>
      </w:r>
      <w:r>
        <w:rPr>
          <w:color w:val="auto"/>
          <w:szCs w:val="21"/>
          <w:u w:val="single"/>
        </w:rPr>
        <w:t xml:space="preserve">           </w:t>
      </w:r>
      <w:r>
        <w:rPr>
          <w:color w:val="auto"/>
          <w:szCs w:val="21"/>
        </w:rPr>
        <w:t>（项目名称）</w:t>
      </w:r>
      <w:r>
        <w:rPr>
          <w:rFonts w:hint="eastAsia"/>
          <w:color w:val="auto"/>
          <w:szCs w:val="21"/>
        </w:rPr>
        <w:t>设计</w:t>
      </w:r>
      <w:r>
        <w:rPr>
          <w:rFonts w:hint="eastAsia"/>
          <w:color w:val="auto"/>
          <w:szCs w:val="21"/>
          <w:lang w:eastAsia="zh-CN"/>
        </w:rPr>
        <w:t>采购</w:t>
      </w:r>
      <w:r>
        <w:rPr>
          <w:rFonts w:hint="eastAsia"/>
          <w:color w:val="auto"/>
          <w:szCs w:val="21"/>
        </w:rPr>
        <w:t>施工</w:t>
      </w:r>
      <w:r>
        <w:rPr>
          <w:rFonts w:hint="eastAsia"/>
          <w:color w:val="auto"/>
          <w:szCs w:val="21"/>
          <w:lang w:eastAsia="zh-CN"/>
        </w:rPr>
        <w:t>（</w:t>
      </w:r>
      <w:r>
        <w:rPr>
          <w:rFonts w:hint="eastAsia"/>
          <w:color w:val="auto"/>
          <w:szCs w:val="21"/>
          <w:lang w:val="en-US" w:eastAsia="zh-CN"/>
        </w:rPr>
        <w:t>EPC)</w:t>
      </w:r>
      <w:r>
        <w:rPr>
          <w:rFonts w:hint="eastAsia"/>
          <w:color w:val="auto"/>
          <w:szCs w:val="21"/>
        </w:rPr>
        <w:t>总承包</w:t>
      </w:r>
      <w:r>
        <w:rPr>
          <w:color w:val="auto"/>
          <w:szCs w:val="21"/>
        </w:rPr>
        <w:t>投标文件、签订合同和处理有关事宜，其法律后果由我方承担。</w:t>
      </w:r>
    </w:p>
    <w:p>
      <w:pPr>
        <w:spacing w:line="480" w:lineRule="auto"/>
        <w:rPr>
          <w:color w:val="auto"/>
          <w:szCs w:val="21"/>
        </w:rPr>
      </w:pPr>
      <w:r>
        <w:rPr>
          <w:color w:val="auto"/>
          <w:szCs w:val="21"/>
        </w:rPr>
        <w:t xml:space="preserve">    委托期限：</w:t>
      </w:r>
      <w:r>
        <w:rPr>
          <w:color w:val="auto"/>
          <w:szCs w:val="21"/>
          <w:u w:val="single"/>
        </w:rPr>
        <w:t xml:space="preserve">             </w:t>
      </w:r>
      <w:r>
        <w:rPr>
          <w:rFonts w:hint="eastAsia"/>
          <w:color w:val="auto"/>
          <w:szCs w:val="21"/>
        </w:rPr>
        <w:t>。</w:t>
      </w:r>
    </w:p>
    <w:p>
      <w:pPr>
        <w:spacing w:line="480" w:lineRule="auto"/>
        <w:ind w:firstLine="420" w:firstLineChars="200"/>
        <w:rPr>
          <w:color w:val="auto"/>
          <w:szCs w:val="21"/>
        </w:rPr>
      </w:pPr>
      <w:r>
        <w:rPr>
          <w:color w:val="auto"/>
          <w:szCs w:val="21"/>
        </w:rPr>
        <w:t>代理人无转委托权。</w:t>
      </w:r>
    </w:p>
    <w:p>
      <w:pPr>
        <w:widowControl/>
        <w:topLinePunct/>
        <w:spacing w:line="480" w:lineRule="auto"/>
        <w:ind w:firstLine="420" w:firstLineChars="200"/>
        <w:rPr>
          <w:rFonts w:ascii="宋体"/>
          <w:color w:val="auto"/>
          <w:kern w:val="0"/>
          <w:szCs w:val="21"/>
        </w:rPr>
      </w:pPr>
      <w:r>
        <w:rPr>
          <w:rFonts w:hint="eastAsia" w:ascii="宋体" w:hAnsi="宋体"/>
          <w:color w:val="auto"/>
          <w:kern w:val="0"/>
          <w:szCs w:val="21"/>
        </w:rPr>
        <w:t>后附：法定代表人及委托代理人身份证明</w:t>
      </w:r>
    </w:p>
    <w:p>
      <w:pPr>
        <w:widowControl/>
        <w:topLinePunct/>
        <w:spacing w:line="480" w:lineRule="auto"/>
        <w:ind w:firstLine="420"/>
        <w:rPr>
          <w:rFonts w:eastAsia="黑体"/>
          <w:color w:val="auto"/>
          <w:sz w:val="20"/>
          <w:szCs w:val="20"/>
        </w:rPr>
      </w:pPr>
      <w:r>
        <w:rPr>
          <w:rFonts w:hint="eastAsia" w:ascii="宋体" w:hAnsi="宋体"/>
          <w:color w:val="auto"/>
          <w:szCs w:val="21"/>
        </w:rPr>
        <w:t>委托代理人</w:t>
      </w:r>
      <w:r>
        <w:rPr>
          <w:rFonts w:ascii="宋体" w:hAnsi="宋体"/>
          <w:color w:val="auto"/>
          <w:szCs w:val="21"/>
        </w:rPr>
        <w:t>:</w:t>
      </w:r>
    </w:p>
    <w:tbl>
      <w:tblPr>
        <w:tblStyle w:val="67"/>
        <w:tblW w:w="8307" w:type="dxa"/>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04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Ex>
        <w:trPr>
          <w:trHeight w:val="1612" w:hRule="atLeast"/>
        </w:trPr>
        <w:tc>
          <w:tcPr>
            <w:tcW w:w="4260" w:type="dxa"/>
            <w:tcBorders>
              <w:top w:val="single" w:color="auto" w:sz="12" w:space="0"/>
              <w:bottom w:val="single" w:color="auto" w:sz="12" w:space="0"/>
            </w:tcBorders>
            <w:vAlign w:val="center"/>
          </w:tcPr>
          <w:p>
            <w:pPr>
              <w:snapToGrid w:val="0"/>
              <w:spacing w:line="480" w:lineRule="auto"/>
              <w:ind w:firstLine="420"/>
              <w:jc w:val="center"/>
              <w:rPr>
                <w:rFonts w:ascii="宋体"/>
                <w:color w:val="auto"/>
                <w:szCs w:val="21"/>
              </w:rPr>
            </w:pPr>
            <w:r>
              <w:rPr>
                <w:rFonts w:hint="eastAsia" w:ascii="宋体" w:hAnsi="宋体"/>
                <w:color w:val="auto"/>
                <w:szCs w:val="21"/>
              </w:rPr>
              <w:t>法定代表人二代身份证复印件（正面）</w:t>
            </w:r>
          </w:p>
        </w:tc>
        <w:tc>
          <w:tcPr>
            <w:tcW w:w="4047" w:type="dxa"/>
            <w:tcBorders>
              <w:top w:val="single" w:color="auto" w:sz="12" w:space="0"/>
              <w:bottom w:val="single" w:color="auto" w:sz="12" w:space="0"/>
            </w:tcBorders>
            <w:vAlign w:val="center"/>
          </w:tcPr>
          <w:p>
            <w:pPr>
              <w:snapToGrid w:val="0"/>
              <w:spacing w:line="480" w:lineRule="auto"/>
              <w:ind w:firstLine="420"/>
              <w:jc w:val="center"/>
              <w:rPr>
                <w:rFonts w:ascii="宋体"/>
                <w:color w:val="auto"/>
                <w:szCs w:val="21"/>
              </w:rPr>
            </w:pPr>
            <w:r>
              <w:rPr>
                <w:rFonts w:hint="eastAsia" w:ascii="宋体" w:hAnsi="宋体"/>
                <w:color w:val="auto"/>
                <w:szCs w:val="21"/>
              </w:rPr>
              <w:t>法定代表人二代身份证复印件（反面）</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Ex>
        <w:trPr>
          <w:trHeight w:val="1608" w:hRule="atLeast"/>
        </w:trPr>
        <w:tc>
          <w:tcPr>
            <w:tcW w:w="4260" w:type="dxa"/>
            <w:tcBorders>
              <w:top w:val="single" w:color="auto" w:sz="12" w:space="0"/>
              <w:bottom w:val="single" w:color="auto" w:sz="12" w:space="0"/>
            </w:tcBorders>
            <w:vAlign w:val="center"/>
          </w:tcPr>
          <w:p>
            <w:pPr>
              <w:snapToGrid w:val="0"/>
              <w:spacing w:line="480" w:lineRule="auto"/>
              <w:ind w:firstLine="420"/>
              <w:jc w:val="center"/>
              <w:rPr>
                <w:rFonts w:ascii="宋体"/>
                <w:color w:val="auto"/>
                <w:szCs w:val="21"/>
              </w:rPr>
            </w:pPr>
            <w:r>
              <w:rPr>
                <w:rFonts w:hint="eastAsia" w:ascii="宋体" w:hAnsi="宋体"/>
                <w:color w:val="auto"/>
                <w:szCs w:val="21"/>
              </w:rPr>
              <w:t>委托代理人二代身份证复印件（正面）</w:t>
            </w:r>
          </w:p>
        </w:tc>
        <w:tc>
          <w:tcPr>
            <w:tcW w:w="4047" w:type="dxa"/>
            <w:tcBorders>
              <w:top w:val="single" w:color="auto" w:sz="12" w:space="0"/>
              <w:bottom w:val="single" w:color="auto" w:sz="12" w:space="0"/>
            </w:tcBorders>
            <w:vAlign w:val="center"/>
          </w:tcPr>
          <w:p>
            <w:pPr>
              <w:snapToGrid w:val="0"/>
              <w:spacing w:line="480" w:lineRule="auto"/>
              <w:ind w:firstLine="420"/>
              <w:jc w:val="center"/>
              <w:rPr>
                <w:rFonts w:ascii="宋体"/>
                <w:color w:val="auto"/>
                <w:szCs w:val="21"/>
              </w:rPr>
            </w:pPr>
            <w:r>
              <w:rPr>
                <w:rFonts w:hint="eastAsia" w:ascii="宋体" w:hAnsi="宋体"/>
                <w:color w:val="auto"/>
                <w:szCs w:val="21"/>
              </w:rPr>
              <w:t>委托代理人二代身份证复印件（反面）</w:t>
            </w:r>
          </w:p>
        </w:tc>
      </w:tr>
    </w:tbl>
    <w:p>
      <w:pPr>
        <w:topLinePunct/>
        <w:spacing w:line="480" w:lineRule="auto"/>
        <w:ind w:firstLine="420"/>
        <w:rPr>
          <w:color w:val="auto"/>
          <w:szCs w:val="21"/>
        </w:rPr>
      </w:pPr>
      <w:r>
        <w:rPr>
          <w:rFonts w:hint="eastAsia"/>
          <w:color w:val="auto"/>
          <w:szCs w:val="21"/>
        </w:rPr>
        <w:t>牵头人名称：（盖单位章）</w:t>
      </w:r>
    </w:p>
    <w:p>
      <w:pPr>
        <w:widowControl/>
        <w:topLinePunct/>
        <w:spacing w:line="480" w:lineRule="auto"/>
        <w:ind w:firstLine="420"/>
        <w:rPr>
          <w:color w:val="auto"/>
          <w:kern w:val="0"/>
          <w:szCs w:val="21"/>
        </w:rPr>
      </w:pPr>
      <w:r>
        <w:rPr>
          <w:rFonts w:hint="eastAsia"/>
          <w:color w:val="auto"/>
          <w:kern w:val="0"/>
          <w:szCs w:val="21"/>
        </w:rPr>
        <w:t>法定代表人：（签字）</w:t>
      </w:r>
    </w:p>
    <w:p>
      <w:pPr>
        <w:widowControl/>
        <w:topLinePunct/>
        <w:spacing w:line="480" w:lineRule="auto"/>
        <w:ind w:firstLine="420"/>
        <w:rPr>
          <w:color w:val="auto"/>
          <w:kern w:val="0"/>
          <w:szCs w:val="21"/>
        </w:rPr>
      </w:pPr>
      <w:r>
        <w:rPr>
          <w:rFonts w:hint="eastAsia"/>
          <w:color w:val="auto"/>
          <w:kern w:val="0"/>
          <w:szCs w:val="21"/>
        </w:rPr>
        <w:t>委托代理人：（签字）</w:t>
      </w:r>
    </w:p>
    <w:p>
      <w:pPr>
        <w:topLinePunct/>
        <w:spacing w:line="480" w:lineRule="auto"/>
        <w:ind w:firstLine="420"/>
        <w:rPr>
          <w:color w:val="auto"/>
          <w:szCs w:val="21"/>
        </w:rPr>
      </w:pPr>
      <w:r>
        <w:rPr>
          <w:rFonts w:hint="eastAsia"/>
          <w:color w:val="auto"/>
          <w:szCs w:val="21"/>
        </w:rPr>
        <w:t>成员名称：（盖单位章）</w:t>
      </w:r>
    </w:p>
    <w:p>
      <w:pPr>
        <w:widowControl/>
        <w:topLinePunct/>
        <w:spacing w:line="480" w:lineRule="auto"/>
        <w:ind w:firstLine="420"/>
        <w:rPr>
          <w:rFonts w:hint="eastAsia"/>
          <w:color w:val="auto"/>
          <w:kern w:val="0"/>
          <w:szCs w:val="21"/>
        </w:rPr>
      </w:pPr>
      <w:r>
        <w:rPr>
          <w:rFonts w:hint="eastAsia"/>
          <w:color w:val="auto"/>
          <w:kern w:val="0"/>
          <w:szCs w:val="21"/>
        </w:rPr>
        <w:t>法定代表人：（签字）</w:t>
      </w:r>
    </w:p>
    <w:p>
      <w:pPr>
        <w:widowControl/>
        <w:topLinePunct/>
        <w:spacing w:line="480" w:lineRule="auto"/>
        <w:ind w:firstLine="420"/>
        <w:jc w:val="left"/>
        <w:rPr>
          <w:color w:val="auto"/>
          <w:kern w:val="0"/>
        </w:rPr>
      </w:pPr>
      <w:bookmarkStart w:id="1225" w:name="_Toc11587_WPSOffice_Level1"/>
      <w:bookmarkStart w:id="1226" w:name="_Toc17700_WPSOffice_Level1"/>
      <w:r>
        <w:rPr>
          <w:rFonts w:hint="eastAsia" w:ascii="宋体" w:hAnsi="宋体"/>
          <w:color w:val="auto"/>
          <w:szCs w:val="21"/>
        </w:rPr>
        <w:t>年月日</w:t>
      </w:r>
      <w:bookmarkEnd w:id="1225"/>
      <w:bookmarkEnd w:id="1226"/>
    </w:p>
    <w:p>
      <w:pPr>
        <w:numPr>
          <w:ilvl w:val="0"/>
          <w:numId w:val="0"/>
        </w:numPr>
        <w:rPr>
          <w:rFonts w:hint="eastAsia"/>
          <w:color w:val="auto"/>
        </w:rPr>
      </w:pPr>
    </w:p>
    <w:p>
      <w:pPr>
        <w:pStyle w:val="2"/>
        <w:rPr>
          <w:rFonts w:hint="eastAsia" w:ascii="宋体" w:hAnsi="宋体" w:cs="宋体"/>
          <w:color w:val="auto"/>
          <w:szCs w:val="21"/>
        </w:rPr>
      </w:pPr>
    </w:p>
    <w:p>
      <w:pPr>
        <w:pStyle w:val="6"/>
        <w:jc w:val="center"/>
        <w:rPr>
          <w:rFonts w:hint="eastAsia" w:ascii="宋体" w:hAnsi="宋体" w:eastAsia="宋体" w:cs="宋体"/>
          <w:color w:val="auto"/>
        </w:rPr>
      </w:pPr>
      <w:bookmarkStart w:id="1227" w:name="_Toc499738279"/>
      <w:bookmarkStart w:id="1228" w:name="_Toc247527833"/>
      <w:bookmarkStart w:id="1229" w:name="_Toc456356124"/>
      <w:bookmarkStart w:id="1230" w:name="_Toc152045793"/>
      <w:bookmarkStart w:id="1231" w:name="_Toc247514285"/>
      <w:bookmarkStart w:id="1232" w:name="_Toc152042582"/>
      <w:r>
        <w:rPr>
          <w:rFonts w:hint="eastAsia" w:ascii="宋体" w:hAnsi="宋体" w:eastAsia="宋体" w:cs="宋体"/>
          <w:color w:val="auto"/>
        </w:rPr>
        <w:t>三、联合体协议书</w:t>
      </w:r>
      <w:bookmarkEnd w:id="1227"/>
      <w:bookmarkEnd w:id="1228"/>
      <w:bookmarkEnd w:id="1229"/>
      <w:bookmarkEnd w:id="1230"/>
      <w:bookmarkEnd w:id="1231"/>
      <w:bookmarkEnd w:id="1232"/>
    </w:p>
    <w:p>
      <w:pPr>
        <w:snapToGrid w:val="0"/>
        <w:spacing w:line="360" w:lineRule="auto"/>
        <w:rPr>
          <w:rFonts w:hint="eastAsia" w:ascii="宋体" w:hAnsi="宋体" w:cs="宋体"/>
          <w:color w:val="auto"/>
          <w:szCs w:val="21"/>
        </w:rPr>
      </w:pPr>
      <w:bookmarkStart w:id="1233" w:name="_Toc296602998"/>
      <w:r>
        <w:rPr>
          <w:rFonts w:hint="eastAsia" w:ascii="宋体" w:hAnsi="宋体" w:cs="宋体"/>
          <w:color w:val="auto"/>
          <w:szCs w:val="21"/>
        </w:rPr>
        <w:t>牵头人名称：</w:t>
      </w:r>
      <w:r>
        <w:rPr>
          <w:rFonts w:hint="eastAsia" w:ascii="宋体" w:hAnsi="宋体" w:cs="宋体"/>
          <w:color w:val="auto"/>
          <w:szCs w:val="21"/>
          <w:u w:val="single"/>
        </w:rPr>
        <w:t xml:space="preserve">                                                  </w:t>
      </w:r>
    </w:p>
    <w:p>
      <w:pPr>
        <w:snapToGrid w:val="0"/>
        <w:spacing w:line="360" w:lineRule="auto"/>
        <w:rPr>
          <w:rFonts w:hint="eastAsia" w:ascii="宋体" w:hAnsi="宋体" w:cs="宋体"/>
          <w:color w:val="auto"/>
          <w:szCs w:val="21"/>
        </w:rPr>
      </w:pPr>
      <w:r>
        <w:rPr>
          <w:rFonts w:hint="eastAsia" w:ascii="宋体" w:hAnsi="宋体" w:cs="宋体"/>
          <w:color w:val="auto"/>
          <w:szCs w:val="21"/>
        </w:rPr>
        <w:t>法定代表人：</w:t>
      </w:r>
      <w:r>
        <w:rPr>
          <w:rFonts w:hint="eastAsia" w:ascii="宋体" w:hAnsi="宋体" w:cs="宋体"/>
          <w:color w:val="auto"/>
          <w:szCs w:val="21"/>
          <w:u w:val="single"/>
        </w:rPr>
        <w:t xml:space="preserve">                                                                                               </w:t>
      </w:r>
    </w:p>
    <w:p>
      <w:pPr>
        <w:snapToGrid w:val="0"/>
        <w:spacing w:line="360" w:lineRule="auto"/>
        <w:rPr>
          <w:rFonts w:hint="eastAsia" w:ascii="宋体" w:hAnsi="宋体" w:cs="宋体"/>
          <w:color w:val="auto"/>
          <w:szCs w:val="21"/>
        </w:rPr>
      </w:pPr>
      <w:r>
        <w:rPr>
          <w:rFonts w:hint="eastAsia" w:ascii="宋体" w:hAnsi="宋体" w:cs="宋体"/>
          <w:color w:val="auto"/>
          <w:szCs w:val="21"/>
        </w:rPr>
        <w:t>成员二名称：</w:t>
      </w:r>
      <w:r>
        <w:rPr>
          <w:rFonts w:hint="eastAsia" w:ascii="宋体" w:hAnsi="宋体" w:cs="宋体"/>
          <w:color w:val="auto"/>
          <w:szCs w:val="21"/>
          <w:u w:val="single"/>
        </w:rPr>
        <w:t xml:space="preserve">                                                  </w:t>
      </w:r>
    </w:p>
    <w:p>
      <w:pPr>
        <w:snapToGrid w:val="0"/>
        <w:spacing w:line="360" w:lineRule="auto"/>
        <w:rPr>
          <w:rFonts w:hint="eastAsia" w:ascii="宋体" w:hAnsi="宋体" w:cs="宋体"/>
          <w:color w:val="auto"/>
          <w:szCs w:val="21"/>
        </w:rPr>
      </w:pPr>
      <w:r>
        <w:rPr>
          <w:rFonts w:hint="eastAsia" w:ascii="宋体" w:hAnsi="宋体" w:cs="宋体"/>
          <w:color w:val="auto"/>
          <w:szCs w:val="21"/>
        </w:rPr>
        <w:t>法定代表人：</w:t>
      </w:r>
      <w:r>
        <w:rPr>
          <w:rFonts w:hint="eastAsia" w:ascii="宋体" w:hAnsi="宋体" w:cs="宋体"/>
          <w:color w:val="auto"/>
          <w:szCs w:val="21"/>
          <w:u w:val="single"/>
        </w:rPr>
        <w:t xml:space="preserve">                                                                                                    </w:t>
      </w:r>
    </w:p>
    <w:p>
      <w:pPr>
        <w:snapToGrid w:val="0"/>
        <w:spacing w:line="360" w:lineRule="auto"/>
        <w:ind w:firstLine="525" w:firstLineChars="250"/>
        <w:rPr>
          <w:rFonts w:hint="eastAsia" w:ascii="宋体" w:hAnsi="宋体" w:cs="宋体"/>
          <w:color w:val="auto"/>
          <w:szCs w:val="21"/>
        </w:rPr>
      </w:pPr>
      <w:r>
        <w:rPr>
          <w:rFonts w:hint="eastAsia" w:ascii="宋体" w:hAnsi="宋体" w:cs="宋体"/>
          <w:color w:val="auto"/>
          <w:szCs w:val="21"/>
        </w:rPr>
        <w:t>……</w:t>
      </w:r>
    </w:p>
    <w:p>
      <w:pPr>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鉴于上述各成员单位经过友好协商，自愿组成</w:t>
      </w:r>
      <w:r>
        <w:rPr>
          <w:rFonts w:hint="eastAsia" w:ascii="宋体" w:hAnsi="宋体" w:cs="宋体"/>
          <w:color w:val="auto"/>
          <w:szCs w:val="21"/>
          <w:u w:val="single"/>
        </w:rPr>
        <w:t xml:space="preserve">       </w:t>
      </w:r>
      <w:r>
        <w:rPr>
          <w:rFonts w:hint="eastAsia" w:ascii="宋体" w:hAnsi="宋体" w:cs="宋体"/>
          <w:color w:val="auto"/>
          <w:szCs w:val="21"/>
        </w:rPr>
        <w:t>（联合体名称）联合体，共同参加</w:t>
      </w:r>
    </w:p>
    <w:p>
      <w:pPr>
        <w:snapToGrid w:val="0"/>
        <w:spacing w:line="360" w:lineRule="auto"/>
        <w:rPr>
          <w:rFonts w:hint="eastAsia"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（招标人名称）（以下简称招标人）</w:t>
      </w:r>
      <w:r>
        <w:rPr>
          <w:rFonts w:hint="eastAsia" w:ascii="宋体" w:hAnsi="宋体" w:cs="宋体"/>
          <w:color w:val="auto"/>
          <w:szCs w:val="21"/>
          <w:u w:val="single"/>
        </w:rPr>
        <w:t xml:space="preserve">        </w:t>
      </w:r>
      <w:r>
        <w:rPr>
          <w:rFonts w:hint="eastAsia" w:ascii="宋体" w:hAnsi="宋体" w:cs="宋体"/>
          <w:color w:val="auto"/>
          <w:szCs w:val="21"/>
        </w:rPr>
        <w:t>（项目名称）</w:t>
      </w:r>
      <w:r>
        <w:rPr>
          <w:rFonts w:hint="eastAsia" w:ascii="宋体" w:hAnsi="宋体" w:cs="宋体"/>
          <w:color w:val="auto"/>
          <w:szCs w:val="21"/>
          <w:u w:val="single"/>
        </w:rPr>
        <w:t xml:space="preserve">      </w:t>
      </w:r>
      <w:r>
        <w:rPr>
          <w:rFonts w:hint="eastAsia" w:ascii="宋体" w:hAnsi="宋体" w:cs="宋体"/>
          <w:color w:val="auto"/>
          <w:szCs w:val="21"/>
        </w:rPr>
        <w:t>标段（以下简称本工程）的施工投标并争取赢得本工程施工承包合同（以下简称合同）。现就联合体投标事宜订立如下协议：</w:t>
      </w:r>
    </w:p>
    <w:p>
      <w:pPr>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u w:val="single"/>
        </w:rPr>
        <w:t xml:space="preserve">        </w:t>
      </w:r>
      <w:r>
        <w:rPr>
          <w:rFonts w:hint="eastAsia" w:ascii="宋体" w:hAnsi="宋体" w:cs="宋体"/>
          <w:color w:val="auto"/>
          <w:szCs w:val="21"/>
        </w:rPr>
        <w:t>（某成员单位名称）为</w:t>
      </w:r>
      <w:r>
        <w:rPr>
          <w:rFonts w:hint="eastAsia" w:ascii="宋体" w:hAnsi="宋体" w:cs="宋体"/>
          <w:color w:val="auto"/>
          <w:szCs w:val="21"/>
          <w:u w:val="single"/>
        </w:rPr>
        <w:t xml:space="preserve">              </w:t>
      </w:r>
      <w:r>
        <w:rPr>
          <w:rFonts w:hint="eastAsia" w:ascii="宋体" w:hAnsi="宋体" w:cs="宋体"/>
          <w:color w:val="auto"/>
          <w:szCs w:val="21"/>
        </w:rPr>
        <w:t>（联合体名称）牵头人。</w:t>
      </w:r>
    </w:p>
    <w:p>
      <w:pPr>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4．联合体各成员单位内部的职责分工如下：</w:t>
      </w:r>
      <w:r>
        <w:rPr>
          <w:rFonts w:hint="eastAsia" w:ascii="宋体" w:hAnsi="宋体" w:cs="宋体"/>
          <w:color w:val="auto"/>
          <w:szCs w:val="21"/>
          <w:u w:val="single"/>
        </w:rPr>
        <w:t xml:space="preserve">                           </w:t>
      </w:r>
      <w:r>
        <w:rPr>
          <w:rFonts w:hint="eastAsia" w:ascii="宋体" w:hAnsi="宋体" w:cs="宋体"/>
          <w:color w:val="auto"/>
          <w:szCs w:val="21"/>
        </w:rPr>
        <w:t>。按照本条上述分工，联合体成员单位各自所承担的合同工作量比例如下：</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5．投标工作和联合体在中标后工程实施过程中的有关费用按各自承担的工作量分摊。</w:t>
      </w:r>
    </w:p>
    <w:p>
      <w:pPr>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6．联合体中标后，本联合体协议是合同的附件，对联合体各成员单位有合同约束力。</w:t>
      </w:r>
    </w:p>
    <w:p>
      <w:pPr>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7．本协议书自签署之日起生效，联合体未中标或者中标时合同履行完毕后自动失效。</w:t>
      </w:r>
    </w:p>
    <w:p>
      <w:pPr>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8．本协议书一式</w:t>
      </w:r>
      <w:r>
        <w:rPr>
          <w:rFonts w:hint="eastAsia" w:ascii="宋体" w:hAnsi="宋体" w:cs="宋体"/>
          <w:color w:val="auto"/>
          <w:szCs w:val="21"/>
          <w:u w:val="single"/>
        </w:rPr>
        <w:t xml:space="preserve">            </w:t>
      </w:r>
      <w:r>
        <w:rPr>
          <w:rFonts w:hint="eastAsia" w:ascii="宋体" w:hAnsi="宋体" w:cs="宋体"/>
          <w:color w:val="auto"/>
          <w:szCs w:val="21"/>
        </w:rPr>
        <w:t>份，联合体成员和招标人各执</w:t>
      </w:r>
      <w:r>
        <w:rPr>
          <w:rFonts w:hint="eastAsia" w:ascii="宋体" w:hAnsi="宋体" w:cs="宋体"/>
          <w:color w:val="auto"/>
          <w:szCs w:val="21"/>
          <w:u w:val="single"/>
        </w:rPr>
        <w:t>一</w:t>
      </w:r>
      <w:r>
        <w:rPr>
          <w:rFonts w:hint="eastAsia" w:ascii="宋体" w:hAnsi="宋体" w:cs="宋体"/>
          <w:color w:val="auto"/>
          <w:szCs w:val="21"/>
        </w:rPr>
        <w:t>份。</w:t>
      </w:r>
    </w:p>
    <w:p>
      <w:pPr>
        <w:snapToGrid w:val="0"/>
        <w:spacing w:line="360" w:lineRule="auto"/>
        <w:ind w:firstLine="1785" w:firstLineChars="850"/>
        <w:rPr>
          <w:rFonts w:hint="eastAsia" w:ascii="宋体" w:hAnsi="宋体" w:cs="宋体"/>
          <w:color w:val="auto"/>
          <w:szCs w:val="21"/>
        </w:rPr>
      </w:pPr>
      <w:r>
        <w:rPr>
          <w:rFonts w:hint="eastAsia" w:ascii="宋体" w:hAnsi="宋体" w:cs="宋体"/>
          <w:color w:val="auto"/>
          <w:szCs w:val="21"/>
        </w:rPr>
        <w:t>牵头人名称：</w:t>
      </w:r>
      <w:r>
        <w:rPr>
          <w:rFonts w:hint="eastAsia" w:ascii="宋体" w:hAnsi="宋体" w:cs="宋体"/>
          <w:color w:val="auto"/>
          <w:szCs w:val="21"/>
          <w:u w:val="single"/>
        </w:rPr>
        <w:t xml:space="preserve">                                    </w:t>
      </w:r>
      <w:r>
        <w:rPr>
          <w:rFonts w:hint="eastAsia" w:ascii="宋体" w:hAnsi="宋体" w:cs="宋体"/>
          <w:color w:val="auto"/>
          <w:szCs w:val="21"/>
        </w:rPr>
        <w:t>（盖单位章）</w:t>
      </w:r>
    </w:p>
    <w:p>
      <w:pPr>
        <w:snapToGrid w:val="0"/>
        <w:spacing w:line="360" w:lineRule="auto"/>
        <w:ind w:firstLine="1785" w:firstLineChars="850"/>
        <w:rPr>
          <w:rFonts w:hint="eastAsia" w:ascii="宋体" w:hAnsi="宋体" w:cs="宋体"/>
          <w:color w:val="auto"/>
          <w:szCs w:val="21"/>
        </w:rPr>
      </w:pPr>
      <w:r>
        <w:rPr>
          <w:rFonts w:hint="eastAsia" w:ascii="宋体" w:hAnsi="宋体" w:cs="宋体"/>
          <w:color w:val="auto"/>
          <w:szCs w:val="21"/>
        </w:rPr>
        <w:t>法定代表人或其委托代理人：</w:t>
      </w:r>
      <w:r>
        <w:rPr>
          <w:rFonts w:hint="eastAsia" w:ascii="宋体" w:hAnsi="宋体" w:cs="宋体"/>
          <w:color w:val="auto"/>
          <w:szCs w:val="21"/>
          <w:u w:val="single"/>
        </w:rPr>
        <w:t xml:space="preserve">                          </w:t>
      </w:r>
      <w:r>
        <w:rPr>
          <w:rFonts w:hint="eastAsia" w:ascii="宋体" w:hAnsi="宋体" w:cs="宋体"/>
          <w:color w:val="auto"/>
          <w:szCs w:val="21"/>
        </w:rPr>
        <w:t>（签字）</w:t>
      </w:r>
    </w:p>
    <w:p>
      <w:pPr>
        <w:snapToGrid w:val="0"/>
        <w:spacing w:line="360" w:lineRule="auto"/>
        <w:ind w:firstLine="1785" w:firstLineChars="850"/>
        <w:rPr>
          <w:rFonts w:hint="eastAsia" w:ascii="宋体" w:hAnsi="宋体" w:cs="宋体"/>
          <w:color w:val="auto"/>
          <w:szCs w:val="21"/>
        </w:rPr>
      </w:pPr>
      <w:r>
        <w:rPr>
          <w:rFonts w:hint="eastAsia" w:ascii="宋体" w:hAnsi="宋体" w:cs="宋体"/>
          <w:color w:val="auto"/>
          <w:szCs w:val="21"/>
        </w:rPr>
        <w:t>成员二名称：</w:t>
      </w:r>
      <w:r>
        <w:rPr>
          <w:rFonts w:hint="eastAsia" w:ascii="宋体" w:hAnsi="宋体" w:cs="宋体"/>
          <w:color w:val="auto"/>
          <w:szCs w:val="21"/>
          <w:u w:val="single"/>
        </w:rPr>
        <w:t xml:space="preserve">                                    </w:t>
      </w:r>
      <w:r>
        <w:rPr>
          <w:rFonts w:hint="eastAsia" w:ascii="宋体" w:hAnsi="宋体" w:cs="宋体"/>
          <w:color w:val="auto"/>
          <w:szCs w:val="21"/>
        </w:rPr>
        <w:t>（盖单位章）</w:t>
      </w:r>
    </w:p>
    <w:p>
      <w:pPr>
        <w:snapToGrid w:val="0"/>
        <w:spacing w:line="360" w:lineRule="auto"/>
        <w:ind w:firstLine="1785" w:firstLineChars="850"/>
        <w:rPr>
          <w:rFonts w:hint="eastAsia" w:ascii="宋体" w:hAnsi="宋体" w:cs="宋体"/>
          <w:color w:val="auto"/>
          <w:szCs w:val="21"/>
        </w:rPr>
      </w:pPr>
      <w:r>
        <w:rPr>
          <w:rFonts w:hint="eastAsia" w:ascii="宋体" w:hAnsi="宋体" w:cs="宋体"/>
          <w:color w:val="auto"/>
          <w:szCs w:val="21"/>
        </w:rPr>
        <w:t>法定代表人或其委托代理人：</w:t>
      </w:r>
      <w:r>
        <w:rPr>
          <w:rFonts w:hint="eastAsia" w:ascii="宋体" w:hAnsi="宋体" w:cs="宋体"/>
          <w:color w:val="auto"/>
          <w:szCs w:val="21"/>
          <w:u w:val="single"/>
        </w:rPr>
        <w:t xml:space="preserve">                          </w:t>
      </w:r>
      <w:r>
        <w:rPr>
          <w:rFonts w:hint="eastAsia" w:ascii="宋体" w:hAnsi="宋体" w:cs="宋体"/>
          <w:color w:val="auto"/>
          <w:szCs w:val="21"/>
        </w:rPr>
        <w:t>（签字）</w:t>
      </w:r>
    </w:p>
    <w:p>
      <w:pPr>
        <w:snapToGrid w:val="0"/>
        <w:spacing w:line="360" w:lineRule="auto"/>
        <w:ind w:firstLine="2100" w:firstLineChars="1000"/>
        <w:rPr>
          <w:rFonts w:hint="eastAsia" w:ascii="宋体" w:hAnsi="宋体" w:cs="宋体"/>
          <w:color w:val="auto"/>
          <w:szCs w:val="21"/>
        </w:rPr>
      </w:pPr>
      <w:r>
        <w:rPr>
          <w:rFonts w:hint="eastAsia" w:ascii="宋体" w:hAnsi="宋体" w:cs="宋体"/>
          <w:color w:val="auto"/>
          <w:szCs w:val="21"/>
        </w:rPr>
        <w:t>……</w:t>
      </w:r>
    </w:p>
    <w:p>
      <w:pPr>
        <w:snapToGrid w:val="0"/>
        <w:spacing w:line="360" w:lineRule="auto"/>
        <w:jc w:val="right"/>
        <w:rPr>
          <w:rFonts w:hint="eastAsia"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 xml:space="preserve">日   </w:t>
      </w:r>
    </w:p>
    <w:p>
      <w:pPr>
        <w:spacing w:line="360" w:lineRule="auto"/>
        <w:rPr>
          <w:rFonts w:hint="eastAsia" w:ascii="宋体" w:hAnsi="宋体" w:cs="宋体"/>
          <w:color w:val="auto"/>
          <w:sz w:val="18"/>
          <w:szCs w:val="18"/>
        </w:rPr>
      </w:pPr>
      <w:r>
        <w:rPr>
          <w:rFonts w:hint="eastAsia" w:ascii="宋体" w:hAnsi="宋体" w:cs="宋体"/>
          <w:color w:val="auto"/>
          <w:sz w:val="18"/>
          <w:szCs w:val="18"/>
        </w:rPr>
        <w:t>备注：本协议书内容可以扩充，但必须包括以上内容，如由委托代理人签字的，应附法定代表人签字的授权委托书。</w:t>
      </w:r>
    </w:p>
    <w:p>
      <w:pPr>
        <w:pStyle w:val="2"/>
        <w:rPr>
          <w:rFonts w:hint="eastAsia" w:ascii="宋体" w:hAnsi="宋体" w:cs="宋体"/>
          <w:color w:val="auto"/>
          <w:sz w:val="18"/>
          <w:szCs w:val="18"/>
        </w:rPr>
      </w:pPr>
    </w:p>
    <w:p>
      <w:pPr>
        <w:pStyle w:val="3"/>
        <w:rPr>
          <w:rFonts w:hint="eastAsia" w:ascii="宋体" w:hAnsi="宋体" w:cs="宋体"/>
          <w:color w:val="auto"/>
          <w:sz w:val="18"/>
          <w:szCs w:val="18"/>
        </w:rPr>
      </w:pPr>
    </w:p>
    <w:p>
      <w:pPr>
        <w:pStyle w:val="4"/>
        <w:rPr>
          <w:rFonts w:hint="eastAsia" w:ascii="宋体" w:hAnsi="宋体" w:cs="宋体"/>
          <w:color w:val="auto"/>
          <w:sz w:val="18"/>
          <w:szCs w:val="18"/>
        </w:rPr>
      </w:pPr>
    </w:p>
    <w:p>
      <w:pPr>
        <w:pStyle w:val="4"/>
        <w:rPr>
          <w:rFonts w:hint="eastAsia" w:ascii="宋体" w:hAnsi="宋体" w:cs="宋体"/>
          <w:color w:val="auto"/>
          <w:sz w:val="18"/>
          <w:szCs w:val="18"/>
        </w:rPr>
      </w:pPr>
    </w:p>
    <w:p>
      <w:pPr>
        <w:widowControl/>
        <w:topLinePunct/>
        <w:spacing w:line="440" w:lineRule="atLeast"/>
        <w:jc w:val="center"/>
        <w:rPr>
          <w:rFonts w:hint="eastAsia" w:ascii="黑体" w:hAnsi="黑体" w:eastAsia="黑体"/>
          <w:b/>
          <w:bCs/>
          <w:color w:val="auto"/>
          <w:sz w:val="30"/>
        </w:rPr>
      </w:pPr>
      <w:bookmarkStart w:id="1234" w:name="_Toc499738280"/>
      <w:bookmarkStart w:id="1235" w:name="_Toc456356125"/>
      <w:r>
        <w:rPr>
          <w:rFonts w:hint="eastAsia" w:ascii="Cambria" w:hAnsi="Cambria" w:eastAsia="宋体"/>
          <w:b/>
          <w:bCs/>
          <w:color w:val="auto"/>
          <w:sz w:val="32"/>
          <w:szCs w:val="32"/>
          <w:lang w:val="en-US" w:eastAsia="zh-CN"/>
        </w:rPr>
        <w:t>四、</w:t>
      </w:r>
      <w:bookmarkEnd w:id="1233"/>
      <w:bookmarkEnd w:id="1234"/>
      <w:bookmarkEnd w:id="1235"/>
      <w:r>
        <w:rPr>
          <w:rFonts w:hint="eastAsia" w:ascii="Cambria" w:hAnsi="Cambria" w:eastAsia="宋体"/>
          <w:b/>
          <w:bCs/>
          <w:color w:val="auto"/>
          <w:sz w:val="32"/>
          <w:szCs w:val="32"/>
          <w:lang w:val="en-US" w:eastAsia="zh-CN"/>
        </w:rPr>
        <w:t>投标担保</w:t>
      </w:r>
    </w:p>
    <w:p>
      <w:pPr>
        <w:spacing w:line="360" w:lineRule="auto"/>
        <w:jc w:val="left"/>
        <w:rPr>
          <w:rFonts w:hint="eastAsia"/>
          <w:color w:val="auto"/>
        </w:rPr>
      </w:pPr>
    </w:p>
    <w:p>
      <w:pPr>
        <w:spacing w:beforeLines="0" w:afterLines="0"/>
        <w:jc w:val="center"/>
        <w:rPr>
          <w:rFonts w:hint="eastAsia" w:ascii="黑体" w:hAnsi="黑体" w:eastAsia="黑体"/>
          <w:b/>
          <w:bCs/>
          <w:color w:val="auto"/>
          <w:sz w:val="28"/>
          <w:szCs w:val="24"/>
          <w:lang w:val="en-US" w:eastAsia="zh-CN" w:bidi="ar-SA"/>
        </w:rPr>
      </w:pPr>
      <w:r>
        <w:rPr>
          <w:rFonts w:hint="eastAsia" w:ascii="黑体" w:hAnsi="黑体" w:eastAsia="黑体"/>
          <w:b/>
          <w:bCs/>
          <w:color w:val="auto"/>
          <w:sz w:val="28"/>
          <w:szCs w:val="24"/>
          <w:lang w:val="en-US" w:eastAsia="zh-CN" w:bidi="ar-SA"/>
        </w:rPr>
        <w:t>投标担保(承诺)</w:t>
      </w:r>
    </w:p>
    <w:p>
      <w:pPr>
        <w:spacing w:line="360" w:lineRule="auto"/>
        <w:rPr>
          <w:rFonts w:hint="eastAsia"/>
          <w:color w:val="auto"/>
          <w:lang w:val="en-US" w:eastAsia="zh-CN"/>
        </w:rPr>
      </w:pPr>
      <w:r>
        <w:rPr>
          <w:color w:val="auto"/>
          <w:u w:val="single"/>
        </w:rPr>
        <w:t xml:space="preserve">                      </w:t>
      </w:r>
      <w:r>
        <w:rPr>
          <w:rFonts w:hint="eastAsia"/>
          <w:color w:val="auto"/>
          <w:lang w:val="en-US" w:eastAsia="zh-CN"/>
        </w:rPr>
        <w:t xml:space="preserve">（招标人名称）： </w:t>
      </w:r>
    </w:p>
    <w:p>
      <w:pPr>
        <w:spacing w:line="360" w:lineRule="auto"/>
        <w:ind w:firstLine="420" w:firstLineChars="200"/>
        <w:rPr>
          <w:rFonts w:hint="eastAsia"/>
          <w:color w:val="auto"/>
          <w:lang w:val="en-US" w:eastAsia="zh-CN"/>
        </w:rPr>
      </w:pPr>
      <w:r>
        <w:rPr>
          <w:rFonts w:hint="eastAsia"/>
          <w:color w:val="auto"/>
          <w:lang w:val="en-US" w:eastAsia="zh-CN"/>
        </w:rPr>
        <w:t>经慎重研究，我公司</w:t>
      </w:r>
      <w:r>
        <w:rPr>
          <w:color w:val="auto"/>
        </w:rPr>
        <w:t xml:space="preserve"> </w:t>
      </w:r>
      <w:r>
        <w:rPr>
          <w:color w:val="auto"/>
          <w:u w:val="single"/>
        </w:rPr>
        <w:t xml:space="preserve">                      </w:t>
      </w:r>
      <w:r>
        <w:rPr>
          <w:rFonts w:hint="eastAsia"/>
          <w:color w:val="auto"/>
          <w:lang w:val="en-US" w:eastAsia="zh-CN"/>
        </w:rPr>
        <w:t>（投标人名称，以下称“投标人”）决定</w:t>
      </w:r>
      <w:r>
        <w:rPr>
          <w:color w:val="auto"/>
          <w:u w:val="single"/>
        </w:rPr>
        <w:t xml:space="preserve">   </w:t>
      </w:r>
      <w:r>
        <w:rPr>
          <w:rFonts w:hint="eastAsia"/>
          <w:color w:val="auto"/>
          <w:lang w:val="en-US" w:eastAsia="zh-CN"/>
        </w:rPr>
        <w:t>年___月_____日参与你方组织的</w:t>
      </w:r>
      <w:r>
        <w:rPr>
          <w:color w:val="auto"/>
          <w:u w:val="single"/>
        </w:rPr>
        <w:t xml:space="preserve">                                </w:t>
      </w:r>
      <w:r>
        <w:rPr>
          <w:rFonts w:hint="eastAsia"/>
          <w:color w:val="auto"/>
          <w:lang w:val="en-US" w:eastAsia="zh-CN"/>
        </w:rPr>
        <w:t xml:space="preserve">（工程名称）的招标投标，我方承诺严格按照《招标投标法》及其实施条例等法律法规和政策文件的要求，履行投标义务。 </w:t>
      </w:r>
    </w:p>
    <w:p>
      <w:pPr>
        <w:spacing w:line="360" w:lineRule="auto"/>
        <w:rPr>
          <w:rFonts w:hint="eastAsia"/>
          <w:color w:val="auto"/>
          <w:lang w:val="en-US" w:eastAsia="zh-CN"/>
        </w:rPr>
      </w:pPr>
      <w:r>
        <w:rPr>
          <w:rFonts w:hint="eastAsia"/>
          <w:color w:val="auto"/>
          <w:lang w:val="en-US" w:eastAsia="zh-CN"/>
        </w:rPr>
        <w:t xml:space="preserve">如果发生不履行相关投标义务的行为，愿意接受法律法规和招标文件作出的处理。 </w:t>
      </w:r>
    </w:p>
    <w:p>
      <w:pPr>
        <w:spacing w:line="360" w:lineRule="auto"/>
        <w:rPr>
          <w:rFonts w:hint="eastAsia"/>
          <w:color w:val="auto"/>
          <w:lang w:val="en-US" w:eastAsia="zh-CN"/>
        </w:rPr>
      </w:pPr>
      <w:r>
        <w:rPr>
          <w:rFonts w:hint="eastAsia"/>
          <w:color w:val="auto"/>
          <w:lang w:val="en-US" w:eastAsia="zh-CN"/>
        </w:rPr>
        <w:t xml:space="preserve">投标人： </w:t>
      </w:r>
      <w:r>
        <w:rPr>
          <w:color w:val="auto"/>
          <w:u w:val="single"/>
        </w:rPr>
        <w:t xml:space="preserve">                      </w:t>
      </w:r>
      <w:r>
        <w:rPr>
          <w:rFonts w:hint="eastAsia"/>
          <w:color w:val="auto"/>
          <w:lang w:val="en-US" w:eastAsia="zh-CN"/>
        </w:rPr>
        <w:t xml:space="preserve">（盖章） </w:t>
      </w:r>
    </w:p>
    <w:p>
      <w:pPr>
        <w:spacing w:line="360" w:lineRule="auto"/>
        <w:rPr>
          <w:rFonts w:hint="eastAsia"/>
          <w:color w:val="auto"/>
          <w:lang w:val="en-US" w:eastAsia="zh-CN"/>
        </w:rPr>
      </w:pPr>
      <w:r>
        <w:rPr>
          <w:rFonts w:hint="eastAsia"/>
          <w:color w:val="auto"/>
          <w:lang w:val="en-US" w:eastAsia="zh-CN"/>
        </w:rPr>
        <w:t xml:space="preserve">法定代表人： </w:t>
      </w:r>
      <w:r>
        <w:rPr>
          <w:color w:val="auto"/>
          <w:u w:val="single"/>
        </w:rPr>
        <w:t xml:space="preserve">                      </w:t>
      </w:r>
      <w:r>
        <w:rPr>
          <w:rFonts w:hint="eastAsia"/>
          <w:color w:val="auto"/>
          <w:lang w:val="en-US" w:eastAsia="zh-CN"/>
        </w:rPr>
        <w:t xml:space="preserve">（签字或盖章） </w:t>
      </w:r>
    </w:p>
    <w:p>
      <w:pPr>
        <w:spacing w:line="360" w:lineRule="auto"/>
        <w:rPr>
          <w:rFonts w:hint="eastAsia"/>
          <w:color w:val="auto"/>
          <w:lang w:val="en-US" w:eastAsia="zh-CN"/>
        </w:rPr>
      </w:pPr>
      <w:r>
        <w:rPr>
          <w:rFonts w:hint="eastAsia"/>
          <w:color w:val="auto"/>
          <w:lang w:val="en-US" w:eastAsia="zh-CN"/>
        </w:rPr>
        <w:t>地址：</w:t>
      </w:r>
      <w:r>
        <w:rPr>
          <w:color w:val="auto"/>
          <w:u w:val="single"/>
        </w:rPr>
        <w:t xml:space="preserve">                   </w:t>
      </w:r>
      <w:r>
        <w:rPr>
          <w:rFonts w:hint="eastAsia"/>
          <w:color w:val="auto"/>
          <w:lang w:val="en-US" w:eastAsia="zh-CN"/>
        </w:rPr>
        <w:t xml:space="preserve"> </w:t>
      </w:r>
      <w:r>
        <w:rPr>
          <w:color w:val="auto"/>
          <w:u w:val="single"/>
        </w:rPr>
        <w:t xml:space="preserve">       </w:t>
      </w:r>
      <w:r>
        <w:rPr>
          <w:rFonts w:hint="eastAsia"/>
          <w:color w:val="auto"/>
          <w:lang w:val="en-US" w:eastAsia="zh-CN"/>
        </w:rPr>
        <w:t xml:space="preserve"> </w:t>
      </w:r>
      <w:r>
        <w:rPr>
          <w:color w:val="auto"/>
          <w:u w:val="single"/>
        </w:rPr>
        <w:t xml:space="preserve">                      </w:t>
      </w:r>
    </w:p>
    <w:p>
      <w:pPr>
        <w:spacing w:line="360" w:lineRule="auto"/>
        <w:rPr>
          <w:rFonts w:hint="eastAsia"/>
          <w:color w:val="auto"/>
          <w:lang w:val="en-US" w:eastAsia="zh-CN"/>
        </w:rPr>
      </w:pPr>
      <w:r>
        <w:rPr>
          <w:rFonts w:hint="eastAsia"/>
          <w:color w:val="auto"/>
          <w:lang w:val="en-US" w:eastAsia="zh-CN"/>
        </w:rPr>
        <w:t xml:space="preserve">电话： </w:t>
      </w:r>
    </w:p>
    <w:p>
      <w:pPr>
        <w:spacing w:line="360" w:lineRule="auto"/>
        <w:rPr>
          <w:rFonts w:hint="eastAsia"/>
          <w:color w:val="auto"/>
          <w:lang w:val="en-US" w:eastAsia="zh-CN"/>
        </w:rPr>
      </w:pPr>
      <w:r>
        <w:rPr>
          <w:rFonts w:hint="eastAsia"/>
          <w:color w:val="auto"/>
          <w:lang w:val="en-US" w:eastAsia="zh-CN"/>
        </w:rPr>
        <w:t>传真：</w:t>
      </w:r>
    </w:p>
    <w:p>
      <w:pPr>
        <w:pStyle w:val="6"/>
        <w:jc w:val="center"/>
        <w:rPr>
          <w:rFonts w:hint="eastAsia" w:ascii="宋体" w:hAnsi="Times New Roman" w:eastAsia="宋体" w:cs="Times New Roman"/>
          <w:b w:val="0"/>
          <w:bCs w:val="0"/>
          <w:color w:val="auto"/>
          <w:kern w:val="0"/>
          <w:sz w:val="24"/>
          <w:szCs w:val="20"/>
          <w:lang w:val="en-US" w:eastAsia="zh-CN" w:bidi="ar-SA"/>
        </w:rPr>
      </w:pPr>
      <w:r>
        <w:rPr>
          <w:rFonts w:hint="eastAsia" w:ascii="宋体" w:hAnsi="Times New Roman" w:eastAsia="宋体" w:cs="Times New Roman"/>
          <w:b w:val="0"/>
          <w:bCs w:val="0"/>
          <w:color w:val="auto"/>
          <w:kern w:val="0"/>
          <w:sz w:val="24"/>
          <w:szCs w:val="20"/>
          <w:u w:val="single"/>
          <w:lang w:val="en-US" w:eastAsia="zh-CN" w:bidi="ar-SA"/>
        </w:rPr>
        <w:t xml:space="preserve">   </w:t>
      </w:r>
      <w:r>
        <w:rPr>
          <w:rFonts w:hint="eastAsia" w:ascii="宋体" w:hAnsi="Times New Roman" w:eastAsia="宋体" w:cs="Times New Roman"/>
          <w:b w:val="0"/>
          <w:bCs w:val="0"/>
          <w:color w:val="auto"/>
          <w:kern w:val="0"/>
          <w:sz w:val="24"/>
          <w:szCs w:val="20"/>
          <w:lang w:val="en-US" w:eastAsia="zh-CN" w:bidi="ar-SA"/>
        </w:rPr>
        <w:t>年___月_____日</w:t>
      </w:r>
    </w:p>
    <w:p>
      <w:pPr>
        <w:jc w:val="left"/>
        <w:rPr>
          <w:rFonts w:hint="eastAsia"/>
          <w:color w:val="auto"/>
        </w:rPr>
      </w:pPr>
    </w:p>
    <w:p>
      <w:pPr>
        <w:pStyle w:val="2"/>
        <w:rPr>
          <w:rFonts w:hint="eastAsia"/>
          <w:color w:val="auto"/>
        </w:rPr>
      </w:pPr>
    </w:p>
    <w:p>
      <w:pPr>
        <w:pStyle w:val="3"/>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6"/>
        <w:jc w:val="center"/>
        <w:rPr>
          <w:rFonts w:hint="eastAsia" w:ascii="宋体" w:hAnsi="宋体" w:eastAsia="宋体" w:cs="宋体"/>
          <w:color w:val="auto"/>
        </w:rPr>
      </w:pPr>
      <w:bookmarkStart w:id="1236" w:name="_Toc456356126"/>
      <w:bookmarkStart w:id="1237" w:name="_Toc499738281"/>
      <w:r>
        <w:rPr>
          <w:rFonts w:hint="eastAsia" w:ascii="宋体" w:hAnsi="宋体" w:eastAsia="宋体" w:cs="宋体"/>
          <w:color w:val="auto"/>
        </w:rPr>
        <w:t>五、投标人业绩及人员配置</w:t>
      </w:r>
      <w:bookmarkEnd w:id="1236"/>
      <w:bookmarkEnd w:id="1237"/>
    </w:p>
    <w:p>
      <w:pPr>
        <w:pStyle w:val="7"/>
        <w:rPr>
          <w:rFonts w:hint="eastAsia" w:ascii="宋体" w:eastAsia="宋体" w:cs="宋体"/>
          <w:color w:val="auto"/>
          <w:sz w:val="23"/>
          <w:szCs w:val="23"/>
        </w:rPr>
      </w:pPr>
      <w:bookmarkStart w:id="1238" w:name="_Toc456356127"/>
      <w:bookmarkStart w:id="1239" w:name="_Toc499738282"/>
      <w:r>
        <w:rPr>
          <w:rFonts w:hint="eastAsia" w:ascii="宋体" w:eastAsia="宋体" w:cs="宋体"/>
          <w:color w:val="auto"/>
        </w:rPr>
        <w:t>（一）主要人员简历表</w:t>
      </w:r>
      <w:bookmarkEnd w:id="1238"/>
      <w:bookmarkEnd w:id="1239"/>
    </w:p>
    <w:tbl>
      <w:tblPr>
        <w:tblStyle w:val="67"/>
        <w:tblW w:w="9906"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383"/>
        <w:gridCol w:w="414"/>
        <w:gridCol w:w="840"/>
        <w:gridCol w:w="1078"/>
        <w:gridCol w:w="1238"/>
        <w:gridCol w:w="820"/>
        <w:gridCol w:w="1466"/>
        <w:gridCol w:w="190"/>
        <w:gridCol w:w="247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jc w:val="center"/>
        </w:trPr>
        <w:tc>
          <w:tcPr>
            <w:tcW w:w="1383"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姓  名</w:t>
            </w:r>
          </w:p>
        </w:tc>
        <w:tc>
          <w:tcPr>
            <w:tcW w:w="1254" w:type="dxa"/>
            <w:gridSpan w:val="2"/>
            <w:vAlign w:val="center"/>
          </w:tcPr>
          <w:p>
            <w:pPr>
              <w:spacing w:line="440" w:lineRule="exact"/>
              <w:jc w:val="center"/>
              <w:rPr>
                <w:rFonts w:hint="eastAsia" w:ascii="宋体" w:hAnsi="宋体" w:cs="宋体"/>
                <w:color w:val="auto"/>
                <w:szCs w:val="21"/>
              </w:rPr>
            </w:pPr>
          </w:p>
        </w:tc>
        <w:tc>
          <w:tcPr>
            <w:tcW w:w="1078"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年 龄</w:t>
            </w:r>
          </w:p>
        </w:tc>
        <w:tc>
          <w:tcPr>
            <w:tcW w:w="1238" w:type="dxa"/>
            <w:vAlign w:val="center"/>
          </w:tcPr>
          <w:p>
            <w:pPr>
              <w:spacing w:line="440" w:lineRule="exact"/>
              <w:jc w:val="center"/>
              <w:rPr>
                <w:rFonts w:hint="eastAsia" w:ascii="宋体" w:hAnsi="宋体" w:cs="宋体"/>
                <w:color w:val="auto"/>
                <w:szCs w:val="21"/>
              </w:rPr>
            </w:pPr>
          </w:p>
        </w:tc>
        <w:tc>
          <w:tcPr>
            <w:tcW w:w="2476" w:type="dxa"/>
            <w:gridSpan w:val="3"/>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学历</w:t>
            </w:r>
          </w:p>
        </w:tc>
        <w:tc>
          <w:tcPr>
            <w:tcW w:w="2477" w:type="dxa"/>
            <w:vAlign w:val="center"/>
          </w:tcPr>
          <w:p>
            <w:pPr>
              <w:spacing w:line="440" w:lineRule="exact"/>
              <w:jc w:val="center"/>
              <w:rPr>
                <w:rFonts w:hint="eastAsia" w:ascii="宋体" w:hAnsi="宋体" w:cs="宋体"/>
                <w:color w:val="auto"/>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jc w:val="center"/>
        </w:trPr>
        <w:tc>
          <w:tcPr>
            <w:tcW w:w="1383"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职  称</w:t>
            </w:r>
          </w:p>
        </w:tc>
        <w:tc>
          <w:tcPr>
            <w:tcW w:w="1254" w:type="dxa"/>
            <w:gridSpan w:val="2"/>
            <w:vAlign w:val="center"/>
          </w:tcPr>
          <w:p>
            <w:pPr>
              <w:spacing w:line="440" w:lineRule="exact"/>
              <w:jc w:val="center"/>
              <w:rPr>
                <w:rFonts w:hint="eastAsia" w:ascii="宋体" w:hAnsi="宋体" w:cs="宋体"/>
                <w:color w:val="auto"/>
                <w:szCs w:val="21"/>
              </w:rPr>
            </w:pPr>
          </w:p>
        </w:tc>
        <w:tc>
          <w:tcPr>
            <w:tcW w:w="1078"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职 务</w:t>
            </w:r>
          </w:p>
        </w:tc>
        <w:tc>
          <w:tcPr>
            <w:tcW w:w="1238" w:type="dxa"/>
            <w:vAlign w:val="center"/>
          </w:tcPr>
          <w:p>
            <w:pPr>
              <w:spacing w:line="440" w:lineRule="exact"/>
              <w:jc w:val="center"/>
              <w:rPr>
                <w:rFonts w:hint="eastAsia" w:ascii="宋体" w:hAnsi="宋体" w:cs="宋体"/>
                <w:color w:val="auto"/>
                <w:szCs w:val="21"/>
              </w:rPr>
            </w:pPr>
          </w:p>
        </w:tc>
        <w:tc>
          <w:tcPr>
            <w:tcW w:w="2476" w:type="dxa"/>
            <w:gridSpan w:val="3"/>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拟在本合同任职</w:t>
            </w:r>
          </w:p>
        </w:tc>
        <w:tc>
          <w:tcPr>
            <w:tcW w:w="2477" w:type="dxa"/>
            <w:vAlign w:val="center"/>
          </w:tcPr>
          <w:p>
            <w:pPr>
              <w:spacing w:line="440" w:lineRule="exact"/>
              <w:jc w:val="center"/>
              <w:rPr>
                <w:rFonts w:hint="eastAsia" w:ascii="宋体" w:hAnsi="宋体" w:cs="宋体"/>
                <w:color w:val="auto"/>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jc w:val="center"/>
        </w:trPr>
        <w:tc>
          <w:tcPr>
            <w:tcW w:w="1383"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毕业学校</w:t>
            </w:r>
          </w:p>
        </w:tc>
        <w:tc>
          <w:tcPr>
            <w:tcW w:w="8523" w:type="dxa"/>
            <w:gridSpan w:val="8"/>
            <w:vAlign w:val="top"/>
          </w:tcPr>
          <w:p>
            <w:pPr>
              <w:spacing w:line="440" w:lineRule="exact"/>
              <w:ind w:firstLine="945" w:firstLineChars="450"/>
              <w:rPr>
                <w:rFonts w:hint="eastAsia" w:ascii="宋体" w:hAnsi="宋体" w:cs="宋体"/>
                <w:color w:val="auto"/>
                <w:szCs w:val="21"/>
              </w:rPr>
            </w:pPr>
            <w:r>
              <w:rPr>
                <w:rFonts w:hint="eastAsia" w:ascii="宋体" w:hAnsi="宋体" w:cs="宋体"/>
                <w:color w:val="auto"/>
                <w:szCs w:val="21"/>
              </w:rPr>
              <w:t>年毕业于            学校        专业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jc w:val="center"/>
        </w:trPr>
        <w:tc>
          <w:tcPr>
            <w:tcW w:w="9906" w:type="dxa"/>
            <w:gridSpan w:val="9"/>
            <w:vAlign w:val="center"/>
          </w:tcPr>
          <w:p>
            <w:pPr>
              <w:spacing w:line="440" w:lineRule="exact"/>
              <w:rPr>
                <w:rFonts w:hint="eastAsia" w:ascii="宋体" w:hAnsi="宋体" w:cs="宋体"/>
                <w:color w:val="auto"/>
                <w:szCs w:val="21"/>
              </w:rPr>
            </w:pPr>
            <w:r>
              <w:rPr>
                <w:rFonts w:hint="eastAsia" w:ascii="宋体" w:hAnsi="宋体" w:cs="宋体"/>
                <w:color w:val="auto"/>
                <w:szCs w:val="21"/>
              </w:rPr>
              <w:t>主要工作经历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 w:hRule="atLeast"/>
          <w:jc w:val="center"/>
        </w:trPr>
        <w:tc>
          <w:tcPr>
            <w:tcW w:w="1797" w:type="dxa"/>
            <w:gridSpan w:val="2"/>
            <w:vAlign w:val="center"/>
          </w:tcPr>
          <w:p>
            <w:pPr>
              <w:spacing w:line="440" w:lineRule="exact"/>
              <w:rPr>
                <w:rFonts w:hint="eastAsia" w:ascii="宋体" w:hAnsi="宋体" w:cs="宋体"/>
                <w:color w:val="auto"/>
                <w:szCs w:val="21"/>
              </w:rPr>
            </w:pPr>
            <w:r>
              <w:rPr>
                <w:rFonts w:hint="eastAsia" w:ascii="宋体" w:hAnsi="宋体" w:cs="宋体"/>
                <w:color w:val="auto"/>
                <w:szCs w:val="21"/>
              </w:rPr>
              <w:t>时  间</w:t>
            </w:r>
          </w:p>
        </w:tc>
        <w:tc>
          <w:tcPr>
            <w:tcW w:w="3976" w:type="dxa"/>
            <w:gridSpan w:val="4"/>
            <w:vAlign w:val="center"/>
          </w:tcPr>
          <w:p>
            <w:pPr>
              <w:spacing w:line="440" w:lineRule="exact"/>
              <w:rPr>
                <w:rFonts w:hint="eastAsia" w:ascii="宋体" w:hAnsi="宋体" w:cs="宋体"/>
                <w:color w:val="auto"/>
                <w:szCs w:val="21"/>
              </w:rPr>
            </w:pPr>
            <w:r>
              <w:rPr>
                <w:rFonts w:hint="eastAsia" w:ascii="宋体" w:hAnsi="宋体" w:cs="宋体"/>
                <w:color w:val="auto"/>
                <w:szCs w:val="21"/>
              </w:rPr>
              <w:t>参加过的类似项目</w:t>
            </w:r>
          </w:p>
        </w:tc>
        <w:tc>
          <w:tcPr>
            <w:tcW w:w="1466" w:type="dxa"/>
            <w:vAlign w:val="center"/>
          </w:tcPr>
          <w:p>
            <w:pPr>
              <w:spacing w:line="440" w:lineRule="exact"/>
              <w:rPr>
                <w:rFonts w:hint="eastAsia" w:ascii="宋体" w:hAnsi="宋体" w:cs="宋体"/>
                <w:color w:val="auto"/>
                <w:szCs w:val="21"/>
              </w:rPr>
            </w:pPr>
            <w:r>
              <w:rPr>
                <w:rFonts w:hint="eastAsia" w:ascii="宋体" w:hAnsi="宋体" w:cs="宋体"/>
                <w:color w:val="auto"/>
                <w:szCs w:val="21"/>
              </w:rPr>
              <w:t>担任职务</w:t>
            </w:r>
          </w:p>
        </w:tc>
        <w:tc>
          <w:tcPr>
            <w:tcW w:w="2667" w:type="dxa"/>
            <w:gridSpan w:val="2"/>
            <w:vAlign w:val="center"/>
          </w:tcPr>
          <w:p>
            <w:pPr>
              <w:spacing w:line="440" w:lineRule="exact"/>
              <w:rPr>
                <w:rFonts w:hint="eastAsia" w:ascii="宋体" w:hAnsi="宋体" w:cs="宋体"/>
                <w:color w:val="auto"/>
                <w:szCs w:val="21"/>
              </w:rPr>
            </w:pPr>
            <w:r>
              <w:rPr>
                <w:rFonts w:hint="eastAsia" w:ascii="宋体" w:hAnsi="宋体" w:cs="宋体"/>
                <w:color w:val="auto"/>
                <w:szCs w:val="21"/>
              </w:rPr>
              <w:t>发包人及联系电话</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33" w:hRule="atLeast"/>
          <w:jc w:val="center"/>
        </w:trPr>
        <w:tc>
          <w:tcPr>
            <w:tcW w:w="1797" w:type="dxa"/>
            <w:gridSpan w:val="2"/>
            <w:vAlign w:val="center"/>
          </w:tcPr>
          <w:p>
            <w:pPr>
              <w:spacing w:line="440" w:lineRule="exact"/>
              <w:rPr>
                <w:rFonts w:hint="eastAsia" w:ascii="宋体" w:hAnsi="宋体" w:cs="宋体"/>
                <w:color w:val="auto"/>
                <w:szCs w:val="21"/>
              </w:rPr>
            </w:pPr>
          </w:p>
        </w:tc>
        <w:tc>
          <w:tcPr>
            <w:tcW w:w="3976" w:type="dxa"/>
            <w:gridSpan w:val="4"/>
            <w:vAlign w:val="center"/>
          </w:tcPr>
          <w:p>
            <w:pPr>
              <w:spacing w:line="440" w:lineRule="exact"/>
              <w:rPr>
                <w:rFonts w:hint="eastAsia" w:ascii="宋体" w:hAnsi="宋体" w:cs="宋体"/>
                <w:color w:val="auto"/>
                <w:szCs w:val="21"/>
              </w:rPr>
            </w:pPr>
          </w:p>
        </w:tc>
        <w:tc>
          <w:tcPr>
            <w:tcW w:w="1466" w:type="dxa"/>
            <w:vAlign w:val="center"/>
          </w:tcPr>
          <w:p>
            <w:pPr>
              <w:spacing w:line="440" w:lineRule="exact"/>
              <w:rPr>
                <w:rFonts w:hint="eastAsia" w:ascii="宋体" w:hAnsi="宋体" w:cs="宋体"/>
                <w:color w:val="auto"/>
                <w:szCs w:val="21"/>
              </w:rPr>
            </w:pPr>
          </w:p>
        </w:tc>
        <w:tc>
          <w:tcPr>
            <w:tcW w:w="2667" w:type="dxa"/>
            <w:gridSpan w:val="2"/>
            <w:vAlign w:val="center"/>
          </w:tcPr>
          <w:p>
            <w:pPr>
              <w:spacing w:line="440" w:lineRule="exact"/>
              <w:rPr>
                <w:rFonts w:hint="eastAsia" w:ascii="宋体" w:hAnsi="宋体" w:cs="宋体"/>
                <w:color w:val="auto"/>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33" w:hRule="atLeast"/>
          <w:jc w:val="center"/>
        </w:trPr>
        <w:tc>
          <w:tcPr>
            <w:tcW w:w="1797" w:type="dxa"/>
            <w:gridSpan w:val="2"/>
            <w:vAlign w:val="center"/>
          </w:tcPr>
          <w:p>
            <w:pPr>
              <w:spacing w:line="440" w:lineRule="exact"/>
              <w:rPr>
                <w:rFonts w:hint="eastAsia" w:ascii="宋体" w:hAnsi="宋体" w:cs="宋体"/>
                <w:color w:val="auto"/>
                <w:szCs w:val="21"/>
              </w:rPr>
            </w:pPr>
          </w:p>
        </w:tc>
        <w:tc>
          <w:tcPr>
            <w:tcW w:w="3976" w:type="dxa"/>
            <w:gridSpan w:val="4"/>
            <w:vAlign w:val="center"/>
          </w:tcPr>
          <w:p>
            <w:pPr>
              <w:spacing w:line="440" w:lineRule="exact"/>
              <w:rPr>
                <w:rFonts w:hint="eastAsia" w:ascii="宋体" w:hAnsi="宋体" w:cs="宋体"/>
                <w:color w:val="auto"/>
                <w:szCs w:val="21"/>
              </w:rPr>
            </w:pPr>
          </w:p>
        </w:tc>
        <w:tc>
          <w:tcPr>
            <w:tcW w:w="1466" w:type="dxa"/>
            <w:vAlign w:val="center"/>
          </w:tcPr>
          <w:p>
            <w:pPr>
              <w:spacing w:line="440" w:lineRule="exact"/>
              <w:rPr>
                <w:rFonts w:hint="eastAsia" w:ascii="宋体" w:hAnsi="宋体" w:cs="宋体"/>
                <w:color w:val="auto"/>
                <w:szCs w:val="21"/>
              </w:rPr>
            </w:pPr>
          </w:p>
        </w:tc>
        <w:tc>
          <w:tcPr>
            <w:tcW w:w="2667" w:type="dxa"/>
            <w:gridSpan w:val="2"/>
            <w:vAlign w:val="center"/>
          </w:tcPr>
          <w:p>
            <w:pPr>
              <w:spacing w:line="440" w:lineRule="exact"/>
              <w:rPr>
                <w:rFonts w:hint="eastAsia" w:ascii="宋体" w:hAnsi="宋体" w:cs="宋体"/>
                <w:color w:val="auto"/>
                <w:szCs w:val="21"/>
              </w:rPr>
            </w:pPr>
          </w:p>
        </w:tc>
      </w:tr>
    </w:tbl>
    <w:p>
      <w:pPr>
        <w:spacing w:line="400" w:lineRule="exact"/>
        <w:ind w:firstLine="420" w:firstLineChars="200"/>
        <w:rPr>
          <w:rFonts w:hint="eastAsia" w:ascii="宋体" w:hAnsi="宋体" w:cs="宋体"/>
          <w:color w:val="auto"/>
        </w:rPr>
      </w:pPr>
      <w:r>
        <w:rPr>
          <w:rFonts w:hint="eastAsia" w:ascii="宋体" w:hAnsi="宋体" w:cs="宋体"/>
          <w:color w:val="auto"/>
        </w:rPr>
        <w:t>“主要人员简历表”中的项目负责人（项目经理）应附注册建造师证、身份证、职称证（如有）、项目负责人安全考核合格证、社保证明，管理过的项目业绩须附合中标通知书和合同协议书复印件和竣工验收资料；本项目设计负责人应附身份证、</w:t>
      </w:r>
      <w:r>
        <w:rPr>
          <w:rFonts w:hint="eastAsia" w:ascii="宋体" w:hAnsi="宋体" w:cs="宋体"/>
          <w:color w:val="auto"/>
          <w:szCs w:val="21"/>
        </w:rPr>
        <w:t>注册建筑师证书或职称证书</w:t>
      </w:r>
      <w:r>
        <w:rPr>
          <w:rFonts w:hint="eastAsia" w:ascii="宋体" w:hAnsi="宋体" w:cs="宋体"/>
          <w:color w:val="auto"/>
        </w:rPr>
        <w:t>、社保证明。</w:t>
      </w:r>
    </w:p>
    <w:p>
      <w:pPr>
        <w:pStyle w:val="6"/>
        <w:jc w:val="center"/>
        <w:rPr>
          <w:rFonts w:hint="eastAsia" w:ascii="宋体" w:hAnsi="宋体" w:eastAsia="宋体" w:cs="宋体"/>
          <w:color w:val="auto"/>
        </w:rPr>
      </w:pPr>
      <w:r>
        <w:rPr>
          <w:rFonts w:hint="eastAsia" w:ascii="宋体" w:hAnsi="宋体" w:eastAsia="宋体" w:cs="宋体"/>
          <w:color w:val="auto"/>
        </w:rPr>
        <w:br w:type="page"/>
      </w:r>
      <w:bookmarkStart w:id="1240" w:name="_Toc456356128"/>
      <w:bookmarkStart w:id="1241" w:name="_Toc499738283"/>
      <w:r>
        <w:rPr>
          <w:rFonts w:hint="eastAsia" w:ascii="宋体" w:hAnsi="宋体" w:eastAsia="宋体" w:cs="宋体"/>
          <w:color w:val="auto"/>
        </w:rPr>
        <w:t>六、</w:t>
      </w:r>
      <w:bookmarkStart w:id="1242" w:name="_Toc247514299"/>
      <w:bookmarkStart w:id="1243" w:name="_Toc247527847"/>
      <w:bookmarkStart w:id="1244" w:name="_Toc152045807"/>
      <w:bookmarkStart w:id="1245" w:name="_Toc152042596"/>
      <w:bookmarkStart w:id="1246" w:name="_Toc144974875"/>
      <w:r>
        <w:rPr>
          <w:rFonts w:hint="eastAsia" w:ascii="宋体" w:hAnsi="宋体" w:eastAsia="宋体" w:cs="宋体"/>
          <w:color w:val="auto"/>
        </w:rPr>
        <w:t>资格审查资料</w:t>
      </w:r>
      <w:bookmarkEnd w:id="1240"/>
      <w:bookmarkEnd w:id="1241"/>
      <w:bookmarkEnd w:id="1242"/>
      <w:bookmarkEnd w:id="1243"/>
      <w:bookmarkEnd w:id="1244"/>
      <w:bookmarkEnd w:id="1245"/>
      <w:bookmarkEnd w:id="1246"/>
    </w:p>
    <w:p>
      <w:pPr>
        <w:pStyle w:val="7"/>
        <w:rPr>
          <w:rFonts w:hint="eastAsia" w:ascii="宋体" w:eastAsia="宋体" w:cs="宋体"/>
          <w:color w:val="auto"/>
          <w:sz w:val="23"/>
          <w:szCs w:val="23"/>
        </w:rPr>
      </w:pPr>
      <w:bookmarkStart w:id="1247" w:name="_Toc152045808"/>
      <w:bookmarkStart w:id="1248" w:name="_Toc144974876"/>
      <w:bookmarkStart w:id="1249" w:name="_Toc152042597"/>
      <w:bookmarkStart w:id="1250" w:name="_Toc247514300"/>
      <w:bookmarkStart w:id="1251" w:name="_Toc499738284"/>
      <w:bookmarkStart w:id="1252" w:name="_Toc456356129"/>
      <w:bookmarkStart w:id="1253" w:name="_Toc247527848"/>
      <w:r>
        <w:rPr>
          <w:rFonts w:hint="eastAsia" w:ascii="宋体" w:eastAsia="宋体" w:cs="宋体"/>
          <w:color w:val="auto"/>
        </w:rPr>
        <w:t>（一）投标人基本情况表</w:t>
      </w:r>
      <w:bookmarkEnd w:id="1247"/>
      <w:bookmarkEnd w:id="1248"/>
      <w:bookmarkEnd w:id="1249"/>
      <w:bookmarkEnd w:id="1250"/>
      <w:bookmarkEnd w:id="1251"/>
      <w:bookmarkEnd w:id="1252"/>
      <w:bookmarkEnd w:id="1253"/>
    </w:p>
    <w:tbl>
      <w:tblPr>
        <w:tblStyle w:val="67"/>
        <w:tblW w:w="986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92"/>
        <w:gridCol w:w="1034"/>
        <w:gridCol w:w="1095"/>
        <w:gridCol w:w="967"/>
        <w:gridCol w:w="483"/>
        <w:gridCol w:w="359"/>
        <w:gridCol w:w="1241"/>
        <w:gridCol w:w="564"/>
        <w:gridCol w:w="990"/>
        <w:gridCol w:w="11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1" w:hRule="atLeast"/>
        </w:trPr>
        <w:tc>
          <w:tcPr>
            <w:tcW w:w="199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投标人名称</w:t>
            </w:r>
          </w:p>
        </w:tc>
        <w:tc>
          <w:tcPr>
            <w:tcW w:w="7873" w:type="dxa"/>
            <w:gridSpan w:val="9"/>
            <w:vAlign w:val="center"/>
          </w:tcPr>
          <w:p>
            <w:pPr>
              <w:topLinePunct/>
              <w:spacing w:line="440" w:lineRule="exact"/>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1" w:hRule="atLeast"/>
        </w:trPr>
        <w:tc>
          <w:tcPr>
            <w:tcW w:w="199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注册地址</w:t>
            </w:r>
          </w:p>
        </w:tc>
        <w:tc>
          <w:tcPr>
            <w:tcW w:w="3938" w:type="dxa"/>
            <w:gridSpan w:val="5"/>
            <w:vAlign w:val="center"/>
          </w:tcPr>
          <w:p>
            <w:pPr>
              <w:topLinePunct/>
              <w:spacing w:line="440" w:lineRule="exact"/>
              <w:jc w:val="center"/>
              <w:rPr>
                <w:rFonts w:hint="eastAsia" w:ascii="宋体" w:hAnsi="宋体" w:cs="宋体"/>
                <w:color w:val="auto"/>
                <w:szCs w:val="21"/>
              </w:rPr>
            </w:pPr>
          </w:p>
        </w:tc>
        <w:tc>
          <w:tcPr>
            <w:tcW w:w="1241"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邮政编码</w:t>
            </w:r>
          </w:p>
        </w:tc>
        <w:tc>
          <w:tcPr>
            <w:tcW w:w="2694" w:type="dxa"/>
            <w:gridSpan w:val="3"/>
            <w:vAlign w:val="center"/>
          </w:tcPr>
          <w:p>
            <w:pPr>
              <w:topLinePunct/>
              <w:spacing w:line="440" w:lineRule="exact"/>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5" w:hRule="atLeast"/>
        </w:trPr>
        <w:tc>
          <w:tcPr>
            <w:tcW w:w="1992" w:type="dxa"/>
            <w:vMerge w:val="restart"/>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联系方式</w:t>
            </w:r>
          </w:p>
        </w:tc>
        <w:tc>
          <w:tcPr>
            <w:tcW w:w="1034"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联系人</w:t>
            </w:r>
          </w:p>
        </w:tc>
        <w:tc>
          <w:tcPr>
            <w:tcW w:w="2904" w:type="dxa"/>
            <w:gridSpan w:val="4"/>
            <w:vAlign w:val="center"/>
          </w:tcPr>
          <w:p>
            <w:pPr>
              <w:topLinePunct/>
              <w:spacing w:line="440" w:lineRule="exact"/>
              <w:jc w:val="center"/>
              <w:rPr>
                <w:rFonts w:hint="eastAsia" w:ascii="宋体" w:hAnsi="宋体" w:cs="宋体"/>
                <w:color w:val="auto"/>
                <w:szCs w:val="21"/>
              </w:rPr>
            </w:pPr>
          </w:p>
        </w:tc>
        <w:tc>
          <w:tcPr>
            <w:tcW w:w="1241"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电 话</w:t>
            </w:r>
          </w:p>
        </w:tc>
        <w:tc>
          <w:tcPr>
            <w:tcW w:w="2694" w:type="dxa"/>
            <w:gridSpan w:val="3"/>
            <w:vAlign w:val="center"/>
          </w:tcPr>
          <w:p>
            <w:pPr>
              <w:topLinePunct/>
              <w:spacing w:line="440" w:lineRule="exact"/>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3" w:hRule="atLeast"/>
        </w:trPr>
        <w:tc>
          <w:tcPr>
            <w:tcW w:w="1992" w:type="dxa"/>
            <w:vMerge w:val="continue"/>
            <w:vAlign w:val="center"/>
          </w:tcPr>
          <w:p>
            <w:pPr>
              <w:topLinePunct/>
              <w:spacing w:line="440" w:lineRule="exact"/>
              <w:jc w:val="center"/>
              <w:rPr>
                <w:rFonts w:hint="eastAsia" w:ascii="宋体" w:hAnsi="宋体" w:cs="宋体"/>
                <w:color w:val="auto"/>
                <w:szCs w:val="21"/>
              </w:rPr>
            </w:pPr>
          </w:p>
        </w:tc>
        <w:tc>
          <w:tcPr>
            <w:tcW w:w="1034"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传  真</w:t>
            </w:r>
          </w:p>
        </w:tc>
        <w:tc>
          <w:tcPr>
            <w:tcW w:w="2904" w:type="dxa"/>
            <w:gridSpan w:val="4"/>
            <w:vAlign w:val="center"/>
          </w:tcPr>
          <w:p>
            <w:pPr>
              <w:topLinePunct/>
              <w:spacing w:line="440" w:lineRule="exact"/>
              <w:jc w:val="center"/>
              <w:rPr>
                <w:rFonts w:hint="eastAsia" w:ascii="宋体" w:hAnsi="宋体" w:cs="宋体"/>
                <w:color w:val="auto"/>
                <w:szCs w:val="21"/>
              </w:rPr>
            </w:pPr>
          </w:p>
        </w:tc>
        <w:tc>
          <w:tcPr>
            <w:tcW w:w="1241"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网 址</w:t>
            </w:r>
          </w:p>
        </w:tc>
        <w:tc>
          <w:tcPr>
            <w:tcW w:w="2694" w:type="dxa"/>
            <w:gridSpan w:val="3"/>
            <w:vAlign w:val="center"/>
          </w:tcPr>
          <w:p>
            <w:pPr>
              <w:topLinePunct/>
              <w:spacing w:line="440" w:lineRule="exact"/>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4" w:hRule="atLeast"/>
        </w:trPr>
        <w:tc>
          <w:tcPr>
            <w:tcW w:w="199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组织结构</w:t>
            </w:r>
          </w:p>
        </w:tc>
        <w:tc>
          <w:tcPr>
            <w:tcW w:w="7873" w:type="dxa"/>
            <w:gridSpan w:val="9"/>
            <w:vAlign w:val="center"/>
          </w:tcPr>
          <w:p>
            <w:pPr>
              <w:topLinePunct/>
              <w:spacing w:line="440" w:lineRule="exact"/>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8" w:hRule="atLeast"/>
        </w:trPr>
        <w:tc>
          <w:tcPr>
            <w:tcW w:w="199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法定代表人</w:t>
            </w:r>
          </w:p>
        </w:tc>
        <w:tc>
          <w:tcPr>
            <w:tcW w:w="1034"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姓名</w:t>
            </w:r>
          </w:p>
        </w:tc>
        <w:tc>
          <w:tcPr>
            <w:tcW w:w="1095" w:type="dxa"/>
            <w:vAlign w:val="center"/>
          </w:tcPr>
          <w:p>
            <w:pPr>
              <w:topLinePunct/>
              <w:spacing w:line="440" w:lineRule="exact"/>
              <w:jc w:val="center"/>
              <w:rPr>
                <w:rFonts w:hint="eastAsia" w:ascii="宋体" w:hAnsi="宋体" w:cs="宋体"/>
                <w:color w:val="auto"/>
                <w:szCs w:val="21"/>
              </w:rPr>
            </w:pPr>
          </w:p>
        </w:tc>
        <w:tc>
          <w:tcPr>
            <w:tcW w:w="1450" w:type="dxa"/>
            <w:gridSpan w:val="2"/>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技术职称</w:t>
            </w:r>
          </w:p>
        </w:tc>
        <w:tc>
          <w:tcPr>
            <w:tcW w:w="2164" w:type="dxa"/>
            <w:gridSpan w:val="3"/>
            <w:vAlign w:val="center"/>
          </w:tcPr>
          <w:p>
            <w:pPr>
              <w:topLinePunct/>
              <w:spacing w:line="440" w:lineRule="exact"/>
              <w:jc w:val="center"/>
              <w:rPr>
                <w:rFonts w:hint="eastAsia" w:ascii="宋体" w:hAnsi="宋体" w:cs="宋体"/>
                <w:color w:val="auto"/>
                <w:szCs w:val="21"/>
              </w:rPr>
            </w:pPr>
          </w:p>
        </w:tc>
        <w:tc>
          <w:tcPr>
            <w:tcW w:w="990"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电话</w:t>
            </w:r>
          </w:p>
        </w:tc>
        <w:tc>
          <w:tcPr>
            <w:tcW w:w="1140" w:type="dxa"/>
            <w:vAlign w:val="center"/>
          </w:tcPr>
          <w:p>
            <w:pPr>
              <w:topLinePunct/>
              <w:spacing w:line="440" w:lineRule="exact"/>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2" w:hRule="atLeast"/>
        </w:trPr>
        <w:tc>
          <w:tcPr>
            <w:tcW w:w="199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技术负责人</w:t>
            </w:r>
          </w:p>
        </w:tc>
        <w:tc>
          <w:tcPr>
            <w:tcW w:w="1034"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姓名</w:t>
            </w:r>
          </w:p>
        </w:tc>
        <w:tc>
          <w:tcPr>
            <w:tcW w:w="1095" w:type="dxa"/>
            <w:vAlign w:val="center"/>
          </w:tcPr>
          <w:p>
            <w:pPr>
              <w:topLinePunct/>
              <w:spacing w:line="440" w:lineRule="exact"/>
              <w:jc w:val="center"/>
              <w:rPr>
                <w:rFonts w:hint="eastAsia" w:ascii="宋体" w:hAnsi="宋体" w:cs="宋体"/>
                <w:color w:val="auto"/>
                <w:szCs w:val="21"/>
              </w:rPr>
            </w:pPr>
          </w:p>
        </w:tc>
        <w:tc>
          <w:tcPr>
            <w:tcW w:w="1450" w:type="dxa"/>
            <w:gridSpan w:val="2"/>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技术职称</w:t>
            </w:r>
          </w:p>
        </w:tc>
        <w:tc>
          <w:tcPr>
            <w:tcW w:w="2164" w:type="dxa"/>
            <w:gridSpan w:val="3"/>
            <w:vAlign w:val="center"/>
          </w:tcPr>
          <w:p>
            <w:pPr>
              <w:topLinePunct/>
              <w:spacing w:line="440" w:lineRule="exact"/>
              <w:jc w:val="center"/>
              <w:rPr>
                <w:rFonts w:hint="eastAsia" w:ascii="宋体" w:hAnsi="宋体" w:cs="宋体"/>
                <w:color w:val="auto"/>
                <w:szCs w:val="21"/>
              </w:rPr>
            </w:pPr>
          </w:p>
        </w:tc>
        <w:tc>
          <w:tcPr>
            <w:tcW w:w="990"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电话</w:t>
            </w:r>
          </w:p>
        </w:tc>
        <w:tc>
          <w:tcPr>
            <w:tcW w:w="1140" w:type="dxa"/>
            <w:vAlign w:val="center"/>
          </w:tcPr>
          <w:p>
            <w:pPr>
              <w:topLinePunct/>
              <w:spacing w:line="440" w:lineRule="exact"/>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99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成立时间</w:t>
            </w:r>
          </w:p>
        </w:tc>
        <w:tc>
          <w:tcPr>
            <w:tcW w:w="2129" w:type="dxa"/>
            <w:gridSpan w:val="2"/>
            <w:vAlign w:val="center"/>
          </w:tcPr>
          <w:p>
            <w:pPr>
              <w:topLinePunct/>
              <w:spacing w:line="440" w:lineRule="exact"/>
              <w:jc w:val="center"/>
              <w:rPr>
                <w:rFonts w:hint="eastAsia" w:ascii="宋体" w:hAnsi="宋体" w:cs="宋体"/>
                <w:color w:val="auto"/>
                <w:szCs w:val="21"/>
              </w:rPr>
            </w:pPr>
          </w:p>
        </w:tc>
        <w:tc>
          <w:tcPr>
            <w:tcW w:w="5744" w:type="dxa"/>
            <w:gridSpan w:val="7"/>
            <w:vAlign w:val="center"/>
          </w:tcPr>
          <w:p>
            <w:pPr>
              <w:topLinePunct/>
              <w:spacing w:line="440" w:lineRule="exact"/>
              <w:ind w:firstLine="105" w:firstLineChars="50"/>
              <w:jc w:val="center"/>
              <w:rPr>
                <w:rFonts w:hint="eastAsia" w:ascii="宋体" w:hAnsi="宋体" w:cs="宋体"/>
                <w:color w:val="auto"/>
                <w:szCs w:val="21"/>
              </w:rPr>
            </w:pPr>
            <w:r>
              <w:rPr>
                <w:rFonts w:hint="eastAsia" w:ascii="宋体" w:hAnsi="宋体" w:cs="宋体"/>
                <w:color w:val="auto"/>
                <w:szCs w:val="21"/>
              </w:rPr>
              <w:t>员工总人数：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58" w:hRule="atLeast"/>
        </w:trPr>
        <w:tc>
          <w:tcPr>
            <w:tcW w:w="199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企业资质等级</w:t>
            </w:r>
          </w:p>
        </w:tc>
        <w:tc>
          <w:tcPr>
            <w:tcW w:w="2129" w:type="dxa"/>
            <w:gridSpan w:val="2"/>
            <w:vAlign w:val="center"/>
          </w:tcPr>
          <w:p>
            <w:pPr>
              <w:topLinePunct/>
              <w:spacing w:line="440" w:lineRule="exact"/>
              <w:jc w:val="center"/>
              <w:rPr>
                <w:rFonts w:hint="eastAsia" w:ascii="宋体" w:hAnsi="宋体" w:cs="宋体"/>
                <w:color w:val="auto"/>
                <w:szCs w:val="21"/>
              </w:rPr>
            </w:pPr>
          </w:p>
        </w:tc>
        <w:tc>
          <w:tcPr>
            <w:tcW w:w="967" w:type="dxa"/>
            <w:vMerge w:val="restart"/>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其中</w:t>
            </w:r>
          </w:p>
        </w:tc>
        <w:tc>
          <w:tcPr>
            <w:tcW w:w="2647" w:type="dxa"/>
            <w:gridSpan w:val="4"/>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项目经理</w:t>
            </w:r>
          </w:p>
        </w:tc>
        <w:tc>
          <w:tcPr>
            <w:tcW w:w="2130" w:type="dxa"/>
            <w:gridSpan w:val="2"/>
            <w:vAlign w:val="center"/>
          </w:tcPr>
          <w:p>
            <w:pPr>
              <w:topLinePunct/>
              <w:spacing w:line="440" w:lineRule="exact"/>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0" w:hRule="atLeast"/>
        </w:trPr>
        <w:tc>
          <w:tcPr>
            <w:tcW w:w="199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营业执照号</w:t>
            </w:r>
          </w:p>
        </w:tc>
        <w:tc>
          <w:tcPr>
            <w:tcW w:w="2129" w:type="dxa"/>
            <w:gridSpan w:val="2"/>
            <w:vAlign w:val="center"/>
          </w:tcPr>
          <w:p>
            <w:pPr>
              <w:topLinePunct/>
              <w:spacing w:line="440" w:lineRule="exact"/>
              <w:jc w:val="center"/>
              <w:rPr>
                <w:rFonts w:hint="eastAsia" w:ascii="宋体" w:hAnsi="宋体" w:cs="宋体"/>
                <w:color w:val="auto"/>
                <w:szCs w:val="21"/>
              </w:rPr>
            </w:pPr>
          </w:p>
        </w:tc>
        <w:tc>
          <w:tcPr>
            <w:tcW w:w="967" w:type="dxa"/>
            <w:vMerge w:val="continue"/>
            <w:vAlign w:val="center"/>
          </w:tcPr>
          <w:p>
            <w:pPr>
              <w:topLinePunct/>
              <w:spacing w:line="440" w:lineRule="exact"/>
              <w:jc w:val="center"/>
              <w:rPr>
                <w:rFonts w:hint="eastAsia" w:ascii="宋体" w:hAnsi="宋体" w:cs="宋体"/>
                <w:color w:val="auto"/>
                <w:szCs w:val="21"/>
              </w:rPr>
            </w:pPr>
          </w:p>
        </w:tc>
        <w:tc>
          <w:tcPr>
            <w:tcW w:w="2647" w:type="dxa"/>
            <w:gridSpan w:val="4"/>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高级职称人员</w:t>
            </w:r>
          </w:p>
        </w:tc>
        <w:tc>
          <w:tcPr>
            <w:tcW w:w="2130" w:type="dxa"/>
            <w:gridSpan w:val="2"/>
            <w:vAlign w:val="center"/>
          </w:tcPr>
          <w:p>
            <w:pPr>
              <w:topLinePunct/>
              <w:spacing w:line="440" w:lineRule="exact"/>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4" w:hRule="atLeast"/>
        </w:trPr>
        <w:tc>
          <w:tcPr>
            <w:tcW w:w="199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注册资金</w:t>
            </w:r>
          </w:p>
        </w:tc>
        <w:tc>
          <w:tcPr>
            <w:tcW w:w="2129" w:type="dxa"/>
            <w:gridSpan w:val="2"/>
            <w:vAlign w:val="center"/>
          </w:tcPr>
          <w:p>
            <w:pPr>
              <w:topLinePunct/>
              <w:spacing w:line="440" w:lineRule="exact"/>
              <w:jc w:val="center"/>
              <w:rPr>
                <w:rFonts w:hint="eastAsia" w:ascii="宋体" w:hAnsi="宋体" w:cs="宋体"/>
                <w:color w:val="auto"/>
                <w:szCs w:val="21"/>
              </w:rPr>
            </w:pPr>
          </w:p>
        </w:tc>
        <w:tc>
          <w:tcPr>
            <w:tcW w:w="967" w:type="dxa"/>
            <w:vMerge w:val="continue"/>
            <w:vAlign w:val="center"/>
          </w:tcPr>
          <w:p>
            <w:pPr>
              <w:topLinePunct/>
              <w:spacing w:line="440" w:lineRule="exact"/>
              <w:jc w:val="center"/>
              <w:rPr>
                <w:rFonts w:hint="eastAsia" w:ascii="宋体" w:hAnsi="宋体" w:cs="宋体"/>
                <w:color w:val="auto"/>
                <w:szCs w:val="21"/>
              </w:rPr>
            </w:pPr>
          </w:p>
        </w:tc>
        <w:tc>
          <w:tcPr>
            <w:tcW w:w="2647" w:type="dxa"/>
            <w:gridSpan w:val="4"/>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中级职称人员</w:t>
            </w:r>
          </w:p>
        </w:tc>
        <w:tc>
          <w:tcPr>
            <w:tcW w:w="2130" w:type="dxa"/>
            <w:gridSpan w:val="2"/>
            <w:vAlign w:val="center"/>
          </w:tcPr>
          <w:p>
            <w:pPr>
              <w:topLinePunct/>
              <w:spacing w:line="440" w:lineRule="exact"/>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6" w:hRule="atLeast"/>
        </w:trPr>
        <w:tc>
          <w:tcPr>
            <w:tcW w:w="199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开户银行</w:t>
            </w:r>
          </w:p>
        </w:tc>
        <w:tc>
          <w:tcPr>
            <w:tcW w:w="2129" w:type="dxa"/>
            <w:gridSpan w:val="2"/>
            <w:vAlign w:val="center"/>
          </w:tcPr>
          <w:p>
            <w:pPr>
              <w:topLinePunct/>
              <w:spacing w:line="440" w:lineRule="exact"/>
              <w:jc w:val="center"/>
              <w:rPr>
                <w:rFonts w:hint="eastAsia" w:ascii="宋体" w:hAnsi="宋体" w:cs="宋体"/>
                <w:color w:val="auto"/>
                <w:szCs w:val="21"/>
              </w:rPr>
            </w:pPr>
          </w:p>
        </w:tc>
        <w:tc>
          <w:tcPr>
            <w:tcW w:w="967" w:type="dxa"/>
            <w:vMerge w:val="continue"/>
            <w:vAlign w:val="center"/>
          </w:tcPr>
          <w:p>
            <w:pPr>
              <w:topLinePunct/>
              <w:spacing w:line="440" w:lineRule="exact"/>
              <w:jc w:val="center"/>
              <w:rPr>
                <w:rFonts w:hint="eastAsia" w:ascii="宋体" w:hAnsi="宋体" w:cs="宋体"/>
                <w:color w:val="auto"/>
                <w:szCs w:val="21"/>
              </w:rPr>
            </w:pPr>
          </w:p>
        </w:tc>
        <w:tc>
          <w:tcPr>
            <w:tcW w:w="2647" w:type="dxa"/>
            <w:gridSpan w:val="4"/>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初级职称人员</w:t>
            </w:r>
          </w:p>
        </w:tc>
        <w:tc>
          <w:tcPr>
            <w:tcW w:w="2130" w:type="dxa"/>
            <w:gridSpan w:val="2"/>
            <w:vAlign w:val="center"/>
          </w:tcPr>
          <w:p>
            <w:pPr>
              <w:topLinePunct/>
              <w:spacing w:line="440" w:lineRule="exact"/>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199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账号</w:t>
            </w:r>
          </w:p>
        </w:tc>
        <w:tc>
          <w:tcPr>
            <w:tcW w:w="2129" w:type="dxa"/>
            <w:gridSpan w:val="2"/>
            <w:vAlign w:val="center"/>
          </w:tcPr>
          <w:p>
            <w:pPr>
              <w:topLinePunct/>
              <w:spacing w:line="440" w:lineRule="exact"/>
              <w:jc w:val="center"/>
              <w:rPr>
                <w:rFonts w:hint="eastAsia" w:ascii="宋体" w:hAnsi="宋体" w:cs="宋体"/>
                <w:color w:val="auto"/>
                <w:szCs w:val="21"/>
              </w:rPr>
            </w:pPr>
          </w:p>
        </w:tc>
        <w:tc>
          <w:tcPr>
            <w:tcW w:w="967" w:type="dxa"/>
            <w:vMerge w:val="continue"/>
            <w:vAlign w:val="center"/>
          </w:tcPr>
          <w:p>
            <w:pPr>
              <w:topLinePunct/>
              <w:spacing w:line="440" w:lineRule="exact"/>
              <w:jc w:val="center"/>
              <w:rPr>
                <w:rFonts w:hint="eastAsia" w:ascii="宋体" w:hAnsi="宋体" w:cs="宋体"/>
                <w:color w:val="auto"/>
                <w:szCs w:val="21"/>
              </w:rPr>
            </w:pPr>
          </w:p>
        </w:tc>
        <w:tc>
          <w:tcPr>
            <w:tcW w:w="2647" w:type="dxa"/>
            <w:gridSpan w:val="4"/>
            <w:vAlign w:val="center"/>
          </w:tcPr>
          <w:p>
            <w:pPr>
              <w:topLinePunct/>
              <w:spacing w:line="440" w:lineRule="exact"/>
              <w:jc w:val="center"/>
              <w:rPr>
                <w:rFonts w:hint="eastAsia" w:ascii="宋体" w:hAnsi="宋体" w:cs="宋体"/>
                <w:color w:val="auto"/>
              </w:rPr>
            </w:pPr>
            <w:r>
              <w:rPr>
                <w:rFonts w:hint="eastAsia" w:ascii="宋体" w:hAnsi="宋体" w:cs="宋体"/>
                <w:color w:val="auto"/>
                <w:szCs w:val="21"/>
              </w:rPr>
              <w:t>技工</w:t>
            </w:r>
          </w:p>
        </w:tc>
        <w:tc>
          <w:tcPr>
            <w:tcW w:w="2130" w:type="dxa"/>
            <w:gridSpan w:val="2"/>
            <w:vAlign w:val="center"/>
          </w:tcPr>
          <w:p>
            <w:pPr>
              <w:topLinePunct/>
              <w:spacing w:line="440" w:lineRule="exact"/>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43" w:hRule="atLeast"/>
        </w:trPr>
        <w:tc>
          <w:tcPr>
            <w:tcW w:w="1992" w:type="dxa"/>
            <w:vAlign w:val="center"/>
          </w:tcPr>
          <w:p>
            <w:pPr>
              <w:topLinePunct/>
              <w:spacing w:line="440" w:lineRule="exact"/>
              <w:ind w:firstLine="210" w:firstLineChars="100"/>
              <w:jc w:val="center"/>
              <w:rPr>
                <w:rFonts w:hint="eastAsia" w:ascii="宋体" w:hAnsi="宋体" w:cs="宋体"/>
                <w:color w:val="auto"/>
                <w:szCs w:val="21"/>
              </w:rPr>
            </w:pPr>
            <w:r>
              <w:rPr>
                <w:rFonts w:hint="eastAsia" w:ascii="宋体" w:hAnsi="宋体" w:cs="宋体"/>
                <w:color w:val="auto"/>
                <w:szCs w:val="21"/>
              </w:rPr>
              <w:t>经营范围</w:t>
            </w:r>
          </w:p>
        </w:tc>
        <w:tc>
          <w:tcPr>
            <w:tcW w:w="7873" w:type="dxa"/>
            <w:gridSpan w:val="9"/>
            <w:vAlign w:val="center"/>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trPr>
        <w:tc>
          <w:tcPr>
            <w:tcW w:w="199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备注</w:t>
            </w:r>
          </w:p>
        </w:tc>
        <w:tc>
          <w:tcPr>
            <w:tcW w:w="7873" w:type="dxa"/>
            <w:gridSpan w:val="9"/>
            <w:vAlign w:val="center"/>
          </w:tcPr>
          <w:p>
            <w:pPr>
              <w:topLinePunct/>
              <w:spacing w:line="440" w:lineRule="exact"/>
              <w:jc w:val="center"/>
              <w:rPr>
                <w:rFonts w:hint="eastAsia" w:ascii="宋体" w:hAnsi="宋体" w:cs="宋体"/>
                <w:color w:val="auto"/>
                <w:szCs w:val="21"/>
              </w:rPr>
            </w:pPr>
          </w:p>
        </w:tc>
      </w:tr>
    </w:tbl>
    <w:p>
      <w:pPr>
        <w:ind w:firstLine="527" w:firstLineChars="250"/>
        <w:rPr>
          <w:rFonts w:hint="eastAsia" w:ascii="宋体" w:hAnsi="宋体" w:cs="宋体"/>
          <w:b/>
          <w:bCs/>
          <w:color w:val="auto"/>
          <w:szCs w:val="21"/>
        </w:rPr>
      </w:pPr>
      <w:r>
        <w:rPr>
          <w:rFonts w:hint="eastAsia" w:ascii="宋体" w:hAnsi="宋体" w:cs="宋体"/>
          <w:b/>
          <w:bCs/>
          <w:color w:val="auto"/>
          <w:szCs w:val="21"/>
        </w:rPr>
        <w:t>注：1.</w:t>
      </w:r>
      <w:r>
        <w:rPr>
          <w:rFonts w:hint="eastAsia" w:ascii="宋体" w:hAnsi="宋体" w:cs="宋体"/>
          <w:b/>
          <w:color w:val="auto"/>
        </w:rPr>
        <w:t xml:space="preserve"> 附</w:t>
      </w:r>
      <w:r>
        <w:rPr>
          <w:rFonts w:hint="eastAsia" w:ascii="宋体" w:hAnsi="宋体" w:cs="宋体"/>
          <w:b/>
          <w:bCs/>
          <w:color w:val="auto"/>
          <w:szCs w:val="21"/>
        </w:rPr>
        <w:t>企业营业执照、资质证书、安全生产许可证书、湖南省外建筑企业须按照湘建建【2015】190号文件要求办理省外入湘企业基本情况登记（以“湖南省住房和城乡建设网”查询为准，提供查询结果）或入湘施工登记证（处于有效期内）的复印件（仅省外企业提供，如联合体双方都为省外企业，均需办理省外入湘企业基本情况登记或具有入湘登记证）。2.联合体成员单位分别填写。</w:t>
      </w:r>
    </w:p>
    <w:p>
      <w:pPr>
        <w:pStyle w:val="7"/>
        <w:ind w:firstLine="98"/>
        <w:rPr>
          <w:rFonts w:hint="eastAsia" w:ascii="宋体" w:eastAsia="宋体" w:cs="宋体"/>
          <w:color w:val="auto"/>
        </w:rPr>
      </w:pPr>
      <w:r>
        <w:rPr>
          <w:rFonts w:hint="eastAsia" w:ascii="宋体" w:eastAsia="宋体" w:cs="宋体"/>
          <w:color w:val="auto"/>
          <w:sz w:val="20"/>
        </w:rPr>
        <w:br w:type="page"/>
      </w:r>
      <w:bookmarkStart w:id="1254" w:name="_Toc499738285"/>
      <w:bookmarkStart w:id="1255" w:name="_Toc152042598"/>
      <w:bookmarkStart w:id="1256" w:name="_Toc152045809"/>
      <w:bookmarkStart w:id="1257" w:name="_Toc456356130"/>
      <w:bookmarkStart w:id="1258" w:name="_Toc144974877"/>
      <w:bookmarkStart w:id="1259" w:name="_Toc247514301"/>
      <w:bookmarkStart w:id="1260" w:name="_Toc247527849"/>
      <w:r>
        <w:rPr>
          <w:rFonts w:hint="eastAsia" w:ascii="宋体" w:eastAsia="宋体" w:cs="宋体"/>
          <w:color w:val="auto"/>
        </w:rPr>
        <w:t>（二）近年财务状况表</w:t>
      </w:r>
      <w:bookmarkEnd w:id="1254"/>
      <w:bookmarkEnd w:id="1255"/>
      <w:bookmarkEnd w:id="1256"/>
      <w:bookmarkEnd w:id="1257"/>
      <w:bookmarkEnd w:id="1258"/>
      <w:bookmarkEnd w:id="1259"/>
      <w:bookmarkEnd w:id="1260"/>
    </w:p>
    <w:p>
      <w:pPr>
        <w:ind w:firstLine="630" w:firstLineChars="300"/>
        <w:rPr>
          <w:rFonts w:hint="eastAsia" w:ascii="宋体" w:hAnsi="宋体" w:cs="宋体"/>
          <w:color w:val="auto"/>
        </w:rPr>
      </w:pPr>
      <w:r>
        <w:rPr>
          <w:rFonts w:hint="eastAsia" w:ascii="宋体" w:hAnsi="宋体" w:cs="宋体"/>
          <w:color w:val="auto"/>
        </w:rPr>
        <w:t>附（如为联合体投标，附联合体牵头人的）近一年经会计师事务所或审计机构审计的财务会计报表，包括资产负债表、现金流量表、利润表和财务情况说明书的复印件。</w:t>
      </w:r>
    </w:p>
    <w:p>
      <w:pPr>
        <w:pStyle w:val="7"/>
        <w:rPr>
          <w:rFonts w:hint="eastAsia" w:ascii="宋体" w:eastAsia="宋体" w:cs="宋体"/>
          <w:color w:val="auto"/>
          <w:sz w:val="23"/>
          <w:szCs w:val="23"/>
        </w:rPr>
      </w:pPr>
      <w:bookmarkStart w:id="1261" w:name="_Toc456356131"/>
      <w:bookmarkStart w:id="1262" w:name="_Toc499738286"/>
      <w:bookmarkStart w:id="1263" w:name="_Toc152042599"/>
      <w:bookmarkStart w:id="1264" w:name="_Toc247514302"/>
      <w:bookmarkStart w:id="1265" w:name="_Toc144974878"/>
      <w:bookmarkStart w:id="1266" w:name="_Toc247527850"/>
      <w:bookmarkStart w:id="1267" w:name="_Toc152045810"/>
      <w:r>
        <w:rPr>
          <w:rFonts w:hint="eastAsia" w:ascii="宋体" w:eastAsia="宋体" w:cs="宋体"/>
          <w:color w:val="auto"/>
        </w:rPr>
        <w:t>（三）近年完成的类似项目情况表</w:t>
      </w:r>
      <w:bookmarkEnd w:id="1261"/>
      <w:bookmarkEnd w:id="1262"/>
      <w:bookmarkEnd w:id="1263"/>
      <w:bookmarkEnd w:id="1264"/>
      <w:bookmarkEnd w:id="1265"/>
      <w:bookmarkEnd w:id="1266"/>
      <w:bookmarkEnd w:id="1267"/>
      <w:r>
        <w:rPr>
          <w:rFonts w:hint="eastAsia" w:ascii="宋体" w:eastAsia="宋体" w:cs="宋体"/>
          <w:color w:val="auto"/>
        </w:rPr>
        <w:t>（包含施工、工程总承包）</w:t>
      </w:r>
    </w:p>
    <w:tbl>
      <w:tblPr>
        <w:tblStyle w:val="67"/>
        <w:tblW w:w="986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26"/>
        <w:gridCol w:w="7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0" w:hRule="atLeast"/>
        </w:trPr>
        <w:tc>
          <w:tcPr>
            <w:tcW w:w="2626"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项目名称</w:t>
            </w:r>
          </w:p>
        </w:tc>
        <w:tc>
          <w:tcPr>
            <w:tcW w:w="7239"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6" w:hRule="atLeast"/>
        </w:trPr>
        <w:tc>
          <w:tcPr>
            <w:tcW w:w="2626"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项目所在地</w:t>
            </w:r>
          </w:p>
        </w:tc>
        <w:tc>
          <w:tcPr>
            <w:tcW w:w="7239"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4" w:hRule="atLeast"/>
        </w:trPr>
        <w:tc>
          <w:tcPr>
            <w:tcW w:w="2626"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发包人名称</w:t>
            </w:r>
          </w:p>
        </w:tc>
        <w:tc>
          <w:tcPr>
            <w:tcW w:w="7239"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8" w:hRule="atLeast"/>
        </w:trPr>
        <w:tc>
          <w:tcPr>
            <w:tcW w:w="2626"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发包人地址</w:t>
            </w:r>
          </w:p>
        </w:tc>
        <w:tc>
          <w:tcPr>
            <w:tcW w:w="7239"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6" w:hRule="atLeast"/>
        </w:trPr>
        <w:tc>
          <w:tcPr>
            <w:tcW w:w="2626"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发包人电话</w:t>
            </w:r>
          </w:p>
        </w:tc>
        <w:tc>
          <w:tcPr>
            <w:tcW w:w="7239"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0" w:hRule="atLeast"/>
        </w:trPr>
        <w:tc>
          <w:tcPr>
            <w:tcW w:w="2626"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合同价格</w:t>
            </w:r>
          </w:p>
        </w:tc>
        <w:tc>
          <w:tcPr>
            <w:tcW w:w="7239"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4" w:hRule="atLeast"/>
        </w:trPr>
        <w:tc>
          <w:tcPr>
            <w:tcW w:w="2626"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开工日期</w:t>
            </w:r>
          </w:p>
        </w:tc>
        <w:tc>
          <w:tcPr>
            <w:tcW w:w="7239"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7" w:hRule="atLeast"/>
        </w:trPr>
        <w:tc>
          <w:tcPr>
            <w:tcW w:w="2626"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rPr>
              <w:t>竣工</w:t>
            </w:r>
            <w:r>
              <w:rPr>
                <w:rFonts w:hint="eastAsia" w:ascii="宋体" w:hAnsi="宋体" w:cs="宋体"/>
                <w:color w:val="auto"/>
                <w:szCs w:val="21"/>
              </w:rPr>
              <w:t>日期</w:t>
            </w:r>
          </w:p>
        </w:tc>
        <w:tc>
          <w:tcPr>
            <w:tcW w:w="7239"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7" w:hRule="atLeast"/>
        </w:trPr>
        <w:tc>
          <w:tcPr>
            <w:tcW w:w="2626"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承担的工作</w:t>
            </w:r>
          </w:p>
        </w:tc>
        <w:tc>
          <w:tcPr>
            <w:tcW w:w="7239"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trPr>
        <w:tc>
          <w:tcPr>
            <w:tcW w:w="2626"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工程质量</w:t>
            </w:r>
          </w:p>
        </w:tc>
        <w:tc>
          <w:tcPr>
            <w:tcW w:w="7239"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9" w:hRule="atLeast"/>
        </w:trPr>
        <w:tc>
          <w:tcPr>
            <w:tcW w:w="2626"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项目负责人</w:t>
            </w:r>
          </w:p>
        </w:tc>
        <w:tc>
          <w:tcPr>
            <w:tcW w:w="7239"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trPr>
        <w:tc>
          <w:tcPr>
            <w:tcW w:w="2626"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技术负责人</w:t>
            </w:r>
          </w:p>
        </w:tc>
        <w:tc>
          <w:tcPr>
            <w:tcW w:w="7239"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trPr>
        <w:tc>
          <w:tcPr>
            <w:tcW w:w="2626"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设计负责人</w:t>
            </w:r>
          </w:p>
        </w:tc>
        <w:tc>
          <w:tcPr>
            <w:tcW w:w="7239"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4" w:hRule="atLeast"/>
        </w:trPr>
        <w:tc>
          <w:tcPr>
            <w:tcW w:w="2626"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项目描述</w:t>
            </w:r>
          </w:p>
        </w:tc>
        <w:tc>
          <w:tcPr>
            <w:tcW w:w="7239"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4" w:hRule="atLeast"/>
        </w:trPr>
        <w:tc>
          <w:tcPr>
            <w:tcW w:w="2626"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备注</w:t>
            </w:r>
          </w:p>
        </w:tc>
        <w:tc>
          <w:tcPr>
            <w:tcW w:w="7239" w:type="dxa"/>
            <w:vAlign w:val="top"/>
          </w:tcPr>
          <w:p>
            <w:pPr>
              <w:topLinePunct/>
              <w:spacing w:line="440" w:lineRule="exact"/>
              <w:rPr>
                <w:rFonts w:hint="eastAsia" w:ascii="宋体" w:hAnsi="宋体" w:cs="宋体"/>
                <w:color w:val="auto"/>
                <w:szCs w:val="21"/>
              </w:rPr>
            </w:pPr>
          </w:p>
        </w:tc>
      </w:tr>
    </w:tbl>
    <w:p>
      <w:pPr>
        <w:spacing w:before="156" w:beforeLines="50" w:line="340" w:lineRule="exact"/>
        <w:ind w:firstLine="422" w:firstLineChars="200"/>
        <w:rPr>
          <w:rFonts w:hint="eastAsia" w:ascii="宋体" w:hAnsi="宋体" w:cs="宋体"/>
          <w:b/>
          <w:color w:val="auto"/>
          <w:szCs w:val="21"/>
        </w:rPr>
      </w:pPr>
      <w:bookmarkStart w:id="1268" w:name="_Toc247514303"/>
      <w:bookmarkStart w:id="1269" w:name="_Toc247527851"/>
      <w:bookmarkStart w:id="1270" w:name="_Toc152042600"/>
      <w:bookmarkStart w:id="1271" w:name="_Toc144974879"/>
      <w:bookmarkStart w:id="1272" w:name="_Toc152045811"/>
      <w:r>
        <w:rPr>
          <w:rFonts w:hint="eastAsia" w:ascii="宋体" w:hAnsi="宋体" w:cs="宋体"/>
          <w:b/>
          <w:color w:val="auto"/>
          <w:szCs w:val="21"/>
        </w:rPr>
        <w:t>（1）每张表格只填写一个项目，并标明序号。</w:t>
      </w:r>
    </w:p>
    <w:p>
      <w:pPr>
        <w:rPr>
          <w:rFonts w:hint="eastAsia" w:ascii="宋体" w:hAnsi="宋体" w:cs="宋体"/>
          <w:color w:val="auto"/>
          <w:szCs w:val="21"/>
        </w:rPr>
      </w:pPr>
      <w:r>
        <w:rPr>
          <w:rFonts w:hint="eastAsia" w:ascii="宋体" w:hAnsi="宋体" w:cs="宋体"/>
          <w:b/>
          <w:color w:val="auto"/>
          <w:szCs w:val="21"/>
        </w:rPr>
        <w:t xml:space="preserve">    （2）</w:t>
      </w:r>
      <w:r>
        <w:rPr>
          <w:rFonts w:hint="eastAsia" w:ascii="宋体" w:hAnsi="宋体" w:cs="宋体"/>
          <w:bCs/>
          <w:color w:val="auto"/>
          <w:szCs w:val="21"/>
        </w:rPr>
        <w:t>投标人近五年（以提交投标文件截止时间前60个月内为有效），</w:t>
      </w:r>
      <w:r>
        <w:rPr>
          <w:rFonts w:hint="eastAsia" w:ascii="宋体" w:hAnsi="宋体" w:cs="宋体"/>
          <w:color w:val="auto"/>
        </w:rPr>
        <w:t>项目业绩须附类似项目证明资料复印件及原件，招标工程应同时提供中标通知书、合同协议书和竣工验收备案登记表【或竣工验收资料（适用专业工程招标）】；非招标工程应同时提供合同协议书和竣工验收备案登记表【或竣工验收资料（适用专业工程招标）】，具体年份要求见投标人须知前附表。每张表格只填写一个项目，并标明序号。</w:t>
      </w:r>
      <w:r>
        <w:rPr>
          <w:rFonts w:hint="eastAsia" w:ascii="宋体" w:hAnsi="宋体" w:cs="宋体"/>
          <w:bCs/>
          <w:color w:val="auto"/>
          <w:szCs w:val="21"/>
        </w:rPr>
        <w:t>以往工程业绩有效时间以竣工验收资料建设单位签字时间为准。</w:t>
      </w:r>
    </w:p>
    <w:p>
      <w:pPr>
        <w:pStyle w:val="7"/>
        <w:rPr>
          <w:rFonts w:hint="eastAsia" w:ascii="宋体" w:eastAsia="宋体" w:cs="宋体"/>
          <w:color w:val="auto"/>
        </w:rPr>
      </w:pPr>
      <w:bookmarkStart w:id="1273" w:name="_Toc499738287"/>
      <w:bookmarkStart w:id="1274" w:name="_Toc456356132"/>
      <w:r>
        <w:rPr>
          <w:rFonts w:hint="eastAsia" w:ascii="宋体" w:eastAsia="宋体" w:cs="宋体"/>
          <w:color w:val="auto"/>
        </w:rPr>
        <w:t>（四）正在实施的和新承接的项目情况表</w:t>
      </w:r>
      <w:bookmarkEnd w:id="1268"/>
      <w:bookmarkEnd w:id="1269"/>
      <w:bookmarkEnd w:id="1270"/>
      <w:bookmarkEnd w:id="1271"/>
      <w:bookmarkEnd w:id="1272"/>
      <w:bookmarkEnd w:id="1273"/>
      <w:bookmarkEnd w:id="1274"/>
    </w:p>
    <w:tbl>
      <w:tblPr>
        <w:tblStyle w:val="67"/>
        <w:tblW w:w="986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52"/>
        <w:gridCol w:w="74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0" w:hRule="atLeast"/>
        </w:trPr>
        <w:tc>
          <w:tcPr>
            <w:tcW w:w="245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项目名称</w:t>
            </w:r>
          </w:p>
        </w:tc>
        <w:tc>
          <w:tcPr>
            <w:tcW w:w="7413"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6" w:hRule="atLeast"/>
        </w:trPr>
        <w:tc>
          <w:tcPr>
            <w:tcW w:w="245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项目所在地</w:t>
            </w:r>
          </w:p>
        </w:tc>
        <w:tc>
          <w:tcPr>
            <w:tcW w:w="7413"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4" w:hRule="atLeast"/>
        </w:trPr>
        <w:tc>
          <w:tcPr>
            <w:tcW w:w="245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发包人名称</w:t>
            </w:r>
          </w:p>
        </w:tc>
        <w:tc>
          <w:tcPr>
            <w:tcW w:w="7413"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8" w:hRule="atLeast"/>
        </w:trPr>
        <w:tc>
          <w:tcPr>
            <w:tcW w:w="245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发包人地址</w:t>
            </w:r>
          </w:p>
        </w:tc>
        <w:tc>
          <w:tcPr>
            <w:tcW w:w="7413"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6" w:hRule="atLeast"/>
        </w:trPr>
        <w:tc>
          <w:tcPr>
            <w:tcW w:w="245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发包人电话</w:t>
            </w:r>
          </w:p>
        </w:tc>
        <w:tc>
          <w:tcPr>
            <w:tcW w:w="7413"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0" w:hRule="atLeast"/>
        </w:trPr>
        <w:tc>
          <w:tcPr>
            <w:tcW w:w="245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签约合同价</w:t>
            </w:r>
          </w:p>
        </w:tc>
        <w:tc>
          <w:tcPr>
            <w:tcW w:w="7413"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4" w:hRule="atLeast"/>
        </w:trPr>
        <w:tc>
          <w:tcPr>
            <w:tcW w:w="245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开工日期</w:t>
            </w:r>
          </w:p>
        </w:tc>
        <w:tc>
          <w:tcPr>
            <w:tcW w:w="7413"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7" w:hRule="atLeast"/>
        </w:trPr>
        <w:tc>
          <w:tcPr>
            <w:tcW w:w="245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计划</w:t>
            </w:r>
            <w:r>
              <w:rPr>
                <w:rFonts w:hint="eastAsia" w:ascii="宋体" w:hAnsi="宋体" w:cs="宋体"/>
                <w:color w:val="auto"/>
              </w:rPr>
              <w:t>竣工</w:t>
            </w:r>
            <w:r>
              <w:rPr>
                <w:rFonts w:hint="eastAsia" w:ascii="宋体" w:hAnsi="宋体" w:cs="宋体"/>
                <w:color w:val="auto"/>
                <w:szCs w:val="21"/>
              </w:rPr>
              <w:t>日期</w:t>
            </w:r>
          </w:p>
        </w:tc>
        <w:tc>
          <w:tcPr>
            <w:tcW w:w="7413"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7" w:hRule="atLeast"/>
        </w:trPr>
        <w:tc>
          <w:tcPr>
            <w:tcW w:w="245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承担的工作</w:t>
            </w:r>
          </w:p>
        </w:tc>
        <w:tc>
          <w:tcPr>
            <w:tcW w:w="7413"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trPr>
        <w:tc>
          <w:tcPr>
            <w:tcW w:w="245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工程质量</w:t>
            </w:r>
          </w:p>
        </w:tc>
        <w:tc>
          <w:tcPr>
            <w:tcW w:w="7413"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9" w:hRule="atLeast"/>
        </w:trPr>
        <w:tc>
          <w:tcPr>
            <w:tcW w:w="245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项目经理</w:t>
            </w:r>
          </w:p>
        </w:tc>
        <w:tc>
          <w:tcPr>
            <w:tcW w:w="7413"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trPr>
        <w:tc>
          <w:tcPr>
            <w:tcW w:w="245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技术负责人</w:t>
            </w:r>
          </w:p>
        </w:tc>
        <w:tc>
          <w:tcPr>
            <w:tcW w:w="7413" w:type="dxa"/>
            <w:vAlign w:val="top"/>
          </w:tcPr>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trPr>
        <w:tc>
          <w:tcPr>
            <w:tcW w:w="245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项目描述</w:t>
            </w:r>
          </w:p>
        </w:tc>
        <w:tc>
          <w:tcPr>
            <w:tcW w:w="7413" w:type="dxa"/>
            <w:vAlign w:val="top"/>
          </w:tcPr>
          <w:p>
            <w:pPr>
              <w:topLinePunct/>
              <w:spacing w:line="440" w:lineRule="exact"/>
              <w:rPr>
                <w:rFonts w:hint="eastAsia" w:ascii="宋体" w:hAnsi="宋体" w:cs="宋体"/>
                <w:color w:val="auto"/>
                <w:szCs w:val="21"/>
              </w:rPr>
            </w:pPr>
          </w:p>
          <w:p>
            <w:pPr>
              <w:topLinePunct/>
              <w:spacing w:line="440" w:lineRule="exact"/>
              <w:rPr>
                <w:rFonts w:hint="eastAsia" w:ascii="宋体" w:hAnsi="宋体" w:cs="宋体"/>
                <w:color w:val="auto"/>
                <w:szCs w:val="21"/>
              </w:rPr>
            </w:pPr>
          </w:p>
          <w:p>
            <w:pPr>
              <w:topLinePunct/>
              <w:spacing w:line="440" w:lineRule="exact"/>
              <w:rPr>
                <w:rFonts w:hint="eastAsia" w:ascii="宋体" w:hAnsi="宋体" w:cs="宋体"/>
                <w:color w:val="auto"/>
                <w:szCs w:val="21"/>
              </w:rPr>
            </w:pPr>
          </w:p>
          <w:p>
            <w:pPr>
              <w:topLinePunct/>
              <w:spacing w:line="440" w:lineRule="exact"/>
              <w:rPr>
                <w:rFonts w:hint="eastAsia" w:ascii="宋体" w:hAnsi="宋体" w:cs="宋体"/>
                <w:color w:val="auto"/>
                <w:szCs w:val="21"/>
              </w:rPr>
            </w:pPr>
          </w:p>
          <w:p>
            <w:pPr>
              <w:topLinePunct/>
              <w:spacing w:line="440" w:lineRule="exac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trPr>
        <w:tc>
          <w:tcPr>
            <w:tcW w:w="2452" w:type="dxa"/>
            <w:vAlign w:val="center"/>
          </w:tcPr>
          <w:p>
            <w:pPr>
              <w:topLinePunct/>
              <w:spacing w:line="440" w:lineRule="exact"/>
              <w:jc w:val="center"/>
              <w:rPr>
                <w:rFonts w:hint="eastAsia" w:ascii="宋体" w:hAnsi="宋体" w:cs="宋体"/>
                <w:color w:val="auto"/>
                <w:szCs w:val="21"/>
              </w:rPr>
            </w:pPr>
            <w:r>
              <w:rPr>
                <w:rFonts w:hint="eastAsia" w:ascii="宋体" w:hAnsi="宋体" w:cs="宋体"/>
                <w:color w:val="auto"/>
                <w:szCs w:val="21"/>
              </w:rPr>
              <w:t>备注</w:t>
            </w:r>
          </w:p>
        </w:tc>
        <w:tc>
          <w:tcPr>
            <w:tcW w:w="7413" w:type="dxa"/>
            <w:vAlign w:val="top"/>
          </w:tcPr>
          <w:p>
            <w:pPr>
              <w:topLinePunct/>
              <w:spacing w:line="440" w:lineRule="exact"/>
              <w:rPr>
                <w:rFonts w:hint="eastAsia" w:ascii="宋体" w:hAnsi="宋体" w:cs="宋体"/>
                <w:color w:val="auto"/>
                <w:szCs w:val="21"/>
              </w:rPr>
            </w:pPr>
          </w:p>
        </w:tc>
      </w:tr>
    </w:tbl>
    <w:p>
      <w:pPr>
        <w:rPr>
          <w:rFonts w:hint="eastAsia" w:ascii="宋体" w:hAnsi="宋体" w:cs="宋体"/>
          <w:bCs/>
          <w:color w:val="auto"/>
          <w:szCs w:val="21"/>
        </w:rPr>
      </w:pPr>
      <w:bookmarkStart w:id="1275" w:name="_Toc152045812"/>
      <w:bookmarkStart w:id="1276" w:name="_Toc152042601"/>
      <w:bookmarkStart w:id="1277" w:name="_Toc144974880"/>
      <w:bookmarkStart w:id="1278" w:name="_Toc247514304"/>
      <w:bookmarkStart w:id="1279" w:name="_Toc247527852"/>
      <w:r>
        <w:rPr>
          <w:rFonts w:hint="eastAsia" w:ascii="宋体" w:hAnsi="宋体" w:cs="宋体"/>
          <w:bCs/>
          <w:color w:val="auto"/>
          <w:szCs w:val="21"/>
        </w:rPr>
        <w:t>注：1.每张表格只填写一个项目，并标明序号。附中标通知书或承包合同的复印件或扫描件。</w:t>
      </w:r>
    </w:p>
    <w:p>
      <w:pPr>
        <w:topLinePunct/>
        <w:spacing w:line="440" w:lineRule="exact"/>
        <w:jc w:val="center"/>
        <w:rPr>
          <w:rFonts w:hint="eastAsia" w:ascii="宋体" w:hAnsi="宋体" w:cs="宋体"/>
          <w:color w:val="auto"/>
        </w:rPr>
      </w:pPr>
    </w:p>
    <w:p>
      <w:pPr>
        <w:topLinePunct/>
        <w:spacing w:line="440" w:lineRule="exact"/>
        <w:jc w:val="center"/>
        <w:rPr>
          <w:rFonts w:hint="eastAsia" w:ascii="宋体" w:hAnsi="宋体" w:cs="宋体"/>
          <w:color w:val="auto"/>
        </w:rPr>
      </w:pPr>
    </w:p>
    <w:p>
      <w:pPr>
        <w:topLinePunct/>
        <w:spacing w:line="440" w:lineRule="exact"/>
        <w:jc w:val="center"/>
        <w:rPr>
          <w:rFonts w:hint="eastAsia" w:ascii="宋体" w:hAnsi="宋体" w:cs="宋体"/>
          <w:color w:val="auto"/>
        </w:rPr>
      </w:pPr>
    </w:p>
    <w:p>
      <w:pPr>
        <w:pStyle w:val="7"/>
        <w:rPr>
          <w:rFonts w:hint="eastAsia" w:ascii="宋体" w:eastAsia="宋体" w:cs="宋体"/>
          <w:color w:val="auto"/>
        </w:rPr>
      </w:pPr>
      <w:bookmarkStart w:id="1280" w:name="_Toc499738288"/>
      <w:bookmarkStart w:id="1281" w:name="_Toc456356133"/>
      <w:r>
        <w:rPr>
          <w:rFonts w:hint="eastAsia" w:ascii="宋体" w:eastAsia="宋体" w:cs="宋体"/>
          <w:color w:val="auto"/>
        </w:rPr>
        <w:t>（五）近年发生的重大诉讼及仲裁情况</w:t>
      </w:r>
      <w:bookmarkEnd w:id="1275"/>
      <w:bookmarkEnd w:id="1276"/>
      <w:bookmarkEnd w:id="1277"/>
      <w:bookmarkEnd w:id="1278"/>
      <w:bookmarkEnd w:id="1279"/>
      <w:bookmarkEnd w:id="1280"/>
      <w:bookmarkEnd w:id="1281"/>
    </w:p>
    <w:tbl>
      <w:tblPr>
        <w:tblStyle w:val="67"/>
        <w:tblW w:w="986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64"/>
        <w:gridCol w:w="2557"/>
        <w:gridCol w:w="1790"/>
        <w:gridCol w:w="2330"/>
        <w:gridCol w:w="16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564"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类别</w:t>
            </w:r>
          </w:p>
        </w:tc>
        <w:tc>
          <w:tcPr>
            <w:tcW w:w="2557"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序号</w:t>
            </w:r>
          </w:p>
        </w:tc>
        <w:tc>
          <w:tcPr>
            <w:tcW w:w="1790"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发生时间</w:t>
            </w:r>
          </w:p>
        </w:tc>
        <w:tc>
          <w:tcPr>
            <w:tcW w:w="2330"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情况简介</w:t>
            </w:r>
          </w:p>
        </w:tc>
        <w:tc>
          <w:tcPr>
            <w:tcW w:w="1624"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证明材料索引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564" w:type="dxa"/>
            <w:vMerge w:val="restart"/>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诉讼情况</w:t>
            </w:r>
          </w:p>
        </w:tc>
        <w:tc>
          <w:tcPr>
            <w:tcW w:w="2557" w:type="dxa"/>
            <w:vAlign w:val="center"/>
          </w:tcPr>
          <w:p>
            <w:pPr>
              <w:spacing w:line="440" w:lineRule="exact"/>
              <w:jc w:val="center"/>
              <w:rPr>
                <w:rFonts w:hint="eastAsia" w:ascii="宋体" w:hAnsi="宋体" w:cs="宋体"/>
                <w:color w:val="auto"/>
                <w:szCs w:val="21"/>
              </w:rPr>
            </w:pPr>
          </w:p>
        </w:tc>
        <w:tc>
          <w:tcPr>
            <w:tcW w:w="1790" w:type="dxa"/>
            <w:vAlign w:val="center"/>
          </w:tcPr>
          <w:p>
            <w:pPr>
              <w:spacing w:line="440" w:lineRule="exact"/>
              <w:jc w:val="center"/>
              <w:rPr>
                <w:rFonts w:hint="eastAsia" w:ascii="宋体" w:hAnsi="宋体" w:cs="宋体"/>
                <w:color w:val="auto"/>
                <w:szCs w:val="21"/>
              </w:rPr>
            </w:pPr>
          </w:p>
        </w:tc>
        <w:tc>
          <w:tcPr>
            <w:tcW w:w="2330" w:type="dxa"/>
            <w:vAlign w:val="center"/>
          </w:tcPr>
          <w:p>
            <w:pPr>
              <w:spacing w:line="440" w:lineRule="exact"/>
              <w:jc w:val="center"/>
              <w:rPr>
                <w:rFonts w:hint="eastAsia" w:ascii="宋体" w:hAnsi="宋体" w:cs="宋体"/>
                <w:color w:val="auto"/>
                <w:szCs w:val="21"/>
              </w:rPr>
            </w:pPr>
          </w:p>
        </w:tc>
        <w:tc>
          <w:tcPr>
            <w:tcW w:w="1624" w:type="dxa"/>
            <w:vAlign w:val="center"/>
          </w:tcPr>
          <w:p>
            <w:pPr>
              <w:spacing w:line="440" w:lineRule="exact"/>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564" w:type="dxa"/>
            <w:vMerge w:val="continue"/>
            <w:vAlign w:val="center"/>
          </w:tcPr>
          <w:p>
            <w:pPr>
              <w:spacing w:line="440" w:lineRule="exact"/>
              <w:jc w:val="center"/>
              <w:rPr>
                <w:rFonts w:hint="eastAsia" w:ascii="宋体" w:hAnsi="宋体" w:cs="宋体"/>
                <w:color w:val="auto"/>
                <w:szCs w:val="21"/>
              </w:rPr>
            </w:pPr>
          </w:p>
        </w:tc>
        <w:tc>
          <w:tcPr>
            <w:tcW w:w="2557" w:type="dxa"/>
            <w:vAlign w:val="center"/>
          </w:tcPr>
          <w:p>
            <w:pPr>
              <w:spacing w:line="440" w:lineRule="exact"/>
              <w:jc w:val="center"/>
              <w:rPr>
                <w:rFonts w:hint="eastAsia" w:ascii="宋体" w:hAnsi="宋体" w:cs="宋体"/>
                <w:color w:val="auto"/>
                <w:szCs w:val="21"/>
              </w:rPr>
            </w:pPr>
          </w:p>
        </w:tc>
        <w:tc>
          <w:tcPr>
            <w:tcW w:w="1790" w:type="dxa"/>
            <w:vAlign w:val="center"/>
          </w:tcPr>
          <w:p>
            <w:pPr>
              <w:spacing w:line="440" w:lineRule="exact"/>
              <w:jc w:val="center"/>
              <w:rPr>
                <w:rFonts w:hint="eastAsia" w:ascii="宋体" w:hAnsi="宋体" w:cs="宋体"/>
                <w:color w:val="auto"/>
                <w:szCs w:val="21"/>
              </w:rPr>
            </w:pPr>
          </w:p>
        </w:tc>
        <w:tc>
          <w:tcPr>
            <w:tcW w:w="2330" w:type="dxa"/>
            <w:vAlign w:val="center"/>
          </w:tcPr>
          <w:p>
            <w:pPr>
              <w:spacing w:line="440" w:lineRule="exact"/>
              <w:jc w:val="center"/>
              <w:rPr>
                <w:rFonts w:hint="eastAsia" w:ascii="宋体" w:hAnsi="宋体" w:cs="宋体"/>
                <w:color w:val="auto"/>
                <w:szCs w:val="21"/>
              </w:rPr>
            </w:pPr>
          </w:p>
        </w:tc>
        <w:tc>
          <w:tcPr>
            <w:tcW w:w="1624" w:type="dxa"/>
            <w:vAlign w:val="center"/>
          </w:tcPr>
          <w:p>
            <w:pPr>
              <w:spacing w:line="440" w:lineRule="exact"/>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564" w:type="dxa"/>
            <w:vMerge w:val="continue"/>
            <w:vAlign w:val="center"/>
          </w:tcPr>
          <w:p>
            <w:pPr>
              <w:spacing w:line="440" w:lineRule="exact"/>
              <w:jc w:val="center"/>
              <w:rPr>
                <w:rFonts w:hint="eastAsia" w:ascii="宋体" w:hAnsi="宋体" w:cs="宋体"/>
                <w:color w:val="auto"/>
                <w:szCs w:val="21"/>
              </w:rPr>
            </w:pPr>
          </w:p>
        </w:tc>
        <w:tc>
          <w:tcPr>
            <w:tcW w:w="2557" w:type="dxa"/>
            <w:vAlign w:val="center"/>
          </w:tcPr>
          <w:p>
            <w:pPr>
              <w:spacing w:line="440" w:lineRule="exact"/>
              <w:jc w:val="center"/>
              <w:rPr>
                <w:rFonts w:hint="eastAsia" w:ascii="宋体" w:hAnsi="宋体" w:cs="宋体"/>
                <w:color w:val="auto"/>
                <w:szCs w:val="21"/>
              </w:rPr>
            </w:pPr>
          </w:p>
        </w:tc>
        <w:tc>
          <w:tcPr>
            <w:tcW w:w="1790" w:type="dxa"/>
            <w:vAlign w:val="center"/>
          </w:tcPr>
          <w:p>
            <w:pPr>
              <w:spacing w:line="440" w:lineRule="exact"/>
              <w:jc w:val="center"/>
              <w:rPr>
                <w:rFonts w:hint="eastAsia" w:ascii="宋体" w:hAnsi="宋体" w:cs="宋体"/>
                <w:color w:val="auto"/>
                <w:szCs w:val="21"/>
              </w:rPr>
            </w:pPr>
          </w:p>
        </w:tc>
        <w:tc>
          <w:tcPr>
            <w:tcW w:w="2330" w:type="dxa"/>
            <w:vAlign w:val="center"/>
          </w:tcPr>
          <w:p>
            <w:pPr>
              <w:spacing w:line="440" w:lineRule="exact"/>
              <w:jc w:val="center"/>
              <w:rPr>
                <w:rFonts w:hint="eastAsia" w:ascii="宋体" w:hAnsi="宋体" w:cs="宋体"/>
                <w:color w:val="auto"/>
                <w:szCs w:val="21"/>
              </w:rPr>
            </w:pPr>
          </w:p>
        </w:tc>
        <w:tc>
          <w:tcPr>
            <w:tcW w:w="1624" w:type="dxa"/>
            <w:vAlign w:val="center"/>
          </w:tcPr>
          <w:p>
            <w:pPr>
              <w:spacing w:line="440" w:lineRule="exact"/>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564" w:type="dxa"/>
            <w:vMerge w:val="restart"/>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仲裁情况</w:t>
            </w:r>
          </w:p>
        </w:tc>
        <w:tc>
          <w:tcPr>
            <w:tcW w:w="2557" w:type="dxa"/>
            <w:vAlign w:val="center"/>
          </w:tcPr>
          <w:p>
            <w:pPr>
              <w:spacing w:line="440" w:lineRule="exact"/>
              <w:jc w:val="center"/>
              <w:rPr>
                <w:rFonts w:hint="eastAsia" w:ascii="宋体" w:hAnsi="宋体" w:cs="宋体"/>
                <w:color w:val="auto"/>
                <w:szCs w:val="21"/>
              </w:rPr>
            </w:pPr>
          </w:p>
        </w:tc>
        <w:tc>
          <w:tcPr>
            <w:tcW w:w="1790" w:type="dxa"/>
            <w:vAlign w:val="center"/>
          </w:tcPr>
          <w:p>
            <w:pPr>
              <w:spacing w:line="440" w:lineRule="exact"/>
              <w:jc w:val="center"/>
              <w:rPr>
                <w:rFonts w:hint="eastAsia" w:ascii="宋体" w:hAnsi="宋体" w:cs="宋体"/>
                <w:color w:val="auto"/>
                <w:szCs w:val="21"/>
              </w:rPr>
            </w:pPr>
          </w:p>
        </w:tc>
        <w:tc>
          <w:tcPr>
            <w:tcW w:w="2330" w:type="dxa"/>
            <w:vAlign w:val="center"/>
          </w:tcPr>
          <w:p>
            <w:pPr>
              <w:spacing w:line="440" w:lineRule="exact"/>
              <w:jc w:val="center"/>
              <w:rPr>
                <w:rFonts w:hint="eastAsia" w:ascii="宋体" w:hAnsi="宋体" w:cs="宋体"/>
                <w:color w:val="auto"/>
                <w:szCs w:val="21"/>
              </w:rPr>
            </w:pPr>
          </w:p>
        </w:tc>
        <w:tc>
          <w:tcPr>
            <w:tcW w:w="1624" w:type="dxa"/>
            <w:vAlign w:val="center"/>
          </w:tcPr>
          <w:p>
            <w:pPr>
              <w:spacing w:line="440" w:lineRule="exact"/>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564" w:type="dxa"/>
            <w:vMerge w:val="continue"/>
            <w:vAlign w:val="top"/>
          </w:tcPr>
          <w:p>
            <w:pPr>
              <w:spacing w:line="440" w:lineRule="exact"/>
              <w:jc w:val="center"/>
              <w:rPr>
                <w:rFonts w:hint="eastAsia" w:ascii="宋体" w:hAnsi="宋体" w:cs="宋体"/>
                <w:color w:val="auto"/>
                <w:szCs w:val="21"/>
              </w:rPr>
            </w:pPr>
          </w:p>
        </w:tc>
        <w:tc>
          <w:tcPr>
            <w:tcW w:w="2557" w:type="dxa"/>
            <w:vAlign w:val="top"/>
          </w:tcPr>
          <w:p>
            <w:pPr>
              <w:spacing w:line="440" w:lineRule="exact"/>
              <w:jc w:val="center"/>
              <w:rPr>
                <w:rFonts w:hint="eastAsia" w:ascii="宋体" w:hAnsi="宋体" w:cs="宋体"/>
                <w:color w:val="auto"/>
                <w:szCs w:val="21"/>
              </w:rPr>
            </w:pPr>
          </w:p>
        </w:tc>
        <w:tc>
          <w:tcPr>
            <w:tcW w:w="1790" w:type="dxa"/>
            <w:vAlign w:val="top"/>
          </w:tcPr>
          <w:p>
            <w:pPr>
              <w:spacing w:line="440" w:lineRule="exact"/>
              <w:jc w:val="center"/>
              <w:rPr>
                <w:rFonts w:hint="eastAsia" w:ascii="宋体" w:hAnsi="宋体" w:cs="宋体"/>
                <w:color w:val="auto"/>
                <w:szCs w:val="21"/>
              </w:rPr>
            </w:pPr>
          </w:p>
        </w:tc>
        <w:tc>
          <w:tcPr>
            <w:tcW w:w="2330" w:type="dxa"/>
            <w:vAlign w:val="top"/>
          </w:tcPr>
          <w:p>
            <w:pPr>
              <w:spacing w:line="440" w:lineRule="exact"/>
              <w:jc w:val="center"/>
              <w:rPr>
                <w:rFonts w:hint="eastAsia" w:ascii="宋体" w:hAnsi="宋体" w:cs="宋体"/>
                <w:color w:val="auto"/>
                <w:szCs w:val="21"/>
              </w:rPr>
            </w:pPr>
          </w:p>
        </w:tc>
        <w:tc>
          <w:tcPr>
            <w:tcW w:w="1624" w:type="dxa"/>
            <w:vAlign w:val="top"/>
          </w:tcPr>
          <w:p>
            <w:pPr>
              <w:spacing w:line="440" w:lineRule="exact"/>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564" w:type="dxa"/>
            <w:vMerge w:val="continue"/>
            <w:vAlign w:val="top"/>
          </w:tcPr>
          <w:p>
            <w:pPr>
              <w:spacing w:line="440" w:lineRule="exact"/>
              <w:jc w:val="center"/>
              <w:rPr>
                <w:rFonts w:hint="eastAsia" w:ascii="宋体" w:hAnsi="宋体" w:cs="宋体"/>
                <w:color w:val="auto"/>
                <w:szCs w:val="21"/>
              </w:rPr>
            </w:pPr>
          </w:p>
        </w:tc>
        <w:tc>
          <w:tcPr>
            <w:tcW w:w="2557" w:type="dxa"/>
            <w:vAlign w:val="top"/>
          </w:tcPr>
          <w:p>
            <w:pPr>
              <w:spacing w:line="440" w:lineRule="exact"/>
              <w:jc w:val="center"/>
              <w:rPr>
                <w:rFonts w:hint="eastAsia" w:ascii="宋体" w:hAnsi="宋体" w:cs="宋体"/>
                <w:color w:val="auto"/>
                <w:szCs w:val="21"/>
              </w:rPr>
            </w:pPr>
          </w:p>
        </w:tc>
        <w:tc>
          <w:tcPr>
            <w:tcW w:w="1790" w:type="dxa"/>
            <w:vAlign w:val="top"/>
          </w:tcPr>
          <w:p>
            <w:pPr>
              <w:spacing w:line="440" w:lineRule="exact"/>
              <w:jc w:val="center"/>
              <w:rPr>
                <w:rFonts w:hint="eastAsia" w:ascii="宋体" w:hAnsi="宋体" w:cs="宋体"/>
                <w:color w:val="auto"/>
                <w:szCs w:val="21"/>
              </w:rPr>
            </w:pPr>
          </w:p>
        </w:tc>
        <w:tc>
          <w:tcPr>
            <w:tcW w:w="2330" w:type="dxa"/>
            <w:vAlign w:val="top"/>
          </w:tcPr>
          <w:p>
            <w:pPr>
              <w:spacing w:line="440" w:lineRule="exact"/>
              <w:jc w:val="center"/>
              <w:rPr>
                <w:rFonts w:hint="eastAsia" w:ascii="宋体" w:hAnsi="宋体" w:cs="宋体"/>
                <w:color w:val="auto"/>
                <w:szCs w:val="21"/>
              </w:rPr>
            </w:pPr>
          </w:p>
        </w:tc>
        <w:tc>
          <w:tcPr>
            <w:tcW w:w="1624" w:type="dxa"/>
            <w:vAlign w:val="top"/>
          </w:tcPr>
          <w:p>
            <w:pPr>
              <w:spacing w:line="440" w:lineRule="exact"/>
              <w:jc w:val="center"/>
              <w:rPr>
                <w:rFonts w:hint="eastAsia" w:ascii="宋体" w:hAnsi="宋体" w:cs="宋体"/>
                <w:color w:val="auto"/>
                <w:szCs w:val="21"/>
              </w:rPr>
            </w:pPr>
          </w:p>
        </w:tc>
      </w:tr>
    </w:tbl>
    <w:p>
      <w:pPr>
        <w:rPr>
          <w:rFonts w:hint="eastAsia" w:ascii="宋体" w:hAnsi="宋体" w:cs="宋体"/>
          <w:color w:val="auto"/>
        </w:rPr>
      </w:pPr>
    </w:p>
    <w:p>
      <w:pPr>
        <w:rPr>
          <w:rFonts w:hint="eastAsia" w:ascii="宋体" w:hAnsi="宋体" w:cs="宋体"/>
          <w:color w:val="auto"/>
        </w:rPr>
      </w:pPr>
      <w:r>
        <w:rPr>
          <w:rFonts w:hint="eastAsia" w:ascii="宋体" w:hAnsi="宋体" w:cs="宋体"/>
          <w:color w:val="auto"/>
        </w:rPr>
        <w:t>注：1、有效时间以投标截止时间前1080天为准。2、近年发生的诉讼及仲裁情况仅限于认定为投标人有违法行为的，且与履行施工总承包合同有关的案件，不包括调解结案以及未裁决的仲裁或未终审判决的诉讼。</w:t>
      </w:r>
    </w:p>
    <w:p>
      <w:pPr>
        <w:rPr>
          <w:rFonts w:hint="eastAsia" w:ascii="宋体" w:hAnsi="宋体" w:cs="宋体"/>
          <w:color w:val="auto"/>
        </w:rPr>
      </w:pPr>
    </w:p>
    <w:p>
      <w:pPr>
        <w:rPr>
          <w:rFonts w:hint="eastAsia" w:ascii="宋体" w:hAnsi="宋体" w:cs="宋体"/>
          <w:color w:val="auto"/>
        </w:rPr>
      </w:pPr>
    </w:p>
    <w:p>
      <w:pPr>
        <w:pStyle w:val="7"/>
        <w:rPr>
          <w:rFonts w:hint="eastAsia" w:ascii="宋体" w:eastAsia="宋体" w:cs="宋体"/>
          <w:color w:val="auto"/>
        </w:rPr>
      </w:pPr>
      <w:bookmarkStart w:id="1282" w:name="_Toc499738289"/>
      <w:bookmarkStart w:id="1283" w:name="_Toc456356134"/>
      <w:bookmarkStart w:id="1284" w:name="_Toc152045813"/>
      <w:bookmarkStart w:id="1285" w:name="_Toc247527853"/>
      <w:bookmarkStart w:id="1286" w:name="_Toc152042602"/>
      <w:bookmarkStart w:id="1287" w:name="_Toc247514305"/>
      <w:bookmarkStart w:id="1288" w:name="_Toc247530162"/>
      <w:bookmarkStart w:id="1289" w:name="_Toc144974881"/>
      <w:r>
        <w:rPr>
          <w:rFonts w:hint="eastAsia" w:ascii="宋体" w:eastAsia="宋体" w:cs="宋体"/>
          <w:color w:val="auto"/>
        </w:rPr>
        <w:t>（六）拟投入本项目的主要施工设备表</w:t>
      </w:r>
      <w:bookmarkEnd w:id="1282"/>
      <w:bookmarkEnd w:id="1283"/>
    </w:p>
    <w:tbl>
      <w:tblPr>
        <w:tblStyle w:val="67"/>
        <w:tblW w:w="986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1"/>
        <w:gridCol w:w="1225"/>
        <w:gridCol w:w="858"/>
        <w:gridCol w:w="1117"/>
        <w:gridCol w:w="758"/>
        <w:gridCol w:w="833"/>
        <w:gridCol w:w="1367"/>
        <w:gridCol w:w="987"/>
        <w:gridCol w:w="1190"/>
        <w:gridCol w:w="7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51" w:type="dxa"/>
            <w:vAlign w:val="center"/>
          </w:tcPr>
          <w:p>
            <w:pPr>
              <w:spacing w:line="440" w:lineRule="exact"/>
              <w:rPr>
                <w:rFonts w:hint="eastAsia" w:ascii="宋体" w:hAnsi="宋体" w:cs="宋体"/>
                <w:color w:val="auto"/>
                <w:szCs w:val="21"/>
              </w:rPr>
            </w:pPr>
            <w:r>
              <w:rPr>
                <w:rFonts w:hint="eastAsia" w:ascii="宋体" w:hAnsi="宋体" w:cs="宋体"/>
                <w:color w:val="auto"/>
                <w:szCs w:val="21"/>
              </w:rPr>
              <w:t>序号</w:t>
            </w:r>
          </w:p>
        </w:tc>
        <w:tc>
          <w:tcPr>
            <w:tcW w:w="1225"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设备名称</w:t>
            </w:r>
          </w:p>
        </w:tc>
        <w:tc>
          <w:tcPr>
            <w:tcW w:w="858"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型号</w:t>
            </w:r>
          </w:p>
          <w:p>
            <w:pPr>
              <w:spacing w:line="440" w:lineRule="exact"/>
              <w:jc w:val="center"/>
              <w:rPr>
                <w:rFonts w:hint="eastAsia" w:ascii="宋体" w:hAnsi="宋体" w:cs="宋体"/>
                <w:color w:val="auto"/>
                <w:szCs w:val="21"/>
              </w:rPr>
            </w:pPr>
            <w:r>
              <w:rPr>
                <w:rFonts w:hint="eastAsia" w:ascii="宋体" w:hAnsi="宋体" w:cs="宋体"/>
                <w:color w:val="auto"/>
                <w:szCs w:val="21"/>
              </w:rPr>
              <w:t>规格</w:t>
            </w:r>
          </w:p>
        </w:tc>
        <w:tc>
          <w:tcPr>
            <w:tcW w:w="1117"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数量</w:t>
            </w:r>
          </w:p>
        </w:tc>
        <w:tc>
          <w:tcPr>
            <w:tcW w:w="758"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国别</w:t>
            </w:r>
          </w:p>
          <w:p>
            <w:pPr>
              <w:spacing w:line="440" w:lineRule="exact"/>
              <w:jc w:val="center"/>
              <w:rPr>
                <w:rFonts w:hint="eastAsia" w:ascii="宋体" w:hAnsi="宋体" w:cs="宋体"/>
                <w:color w:val="auto"/>
                <w:szCs w:val="21"/>
              </w:rPr>
            </w:pPr>
            <w:r>
              <w:rPr>
                <w:rFonts w:hint="eastAsia" w:ascii="宋体" w:hAnsi="宋体" w:cs="宋体"/>
                <w:color w:val="auto"/>
                <w:szCs w:val="21"/>
              </w:rPr>
              <w:t>产地</w:t>
            </w:r>
          </w:p>
        </w:tc>
        <w:tc>
          <w:tcPr>
            <w:tcW w:w="833"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制造</w:t>
            </w:r>
          </w:p>
          <w:p>
            <w:pPr>
              <w:spacing w:line="440" w:lineRule="exact"/>
              <w:jc w:val="center"/>
              <w:rPr>
                <w:rFonts w:hint="eastAsia" w:ascii="宋体" w:hAnsi="宋体" w:cs="宋体"/>
                <w:color w:val="auto"/>
                <w:szCs w:val="21"/>
              </w:rPr>
            </w:pPr>
            <w:r>
              <w:rPr>
                <w:rFonts w:hint="eastAsia" w:ascii="宋体" w:hAnsi="宋体" w:cs="宋体"/>
                <w:color w:val="auto"/>
                <w:szCs w:val="21"/>
              </w:rPr>
              <w:t>年份</w:t>
            </w:r>
          </w:p>
        </w:tc>
        <w:tc>
          <w:tcPr>
            <w:tcW w:w="1367"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额定功率（kW）</w:t>
            </w:r>
          </w:p>
        </w:tc>
        <w:tc>
          <w:tcPr>
            <w:tcW w:w="987"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生产</w:t>
            </w:r>
          </w:p>
          <w:p>
            <w:pPr>
              <w:spacing w:line="440" w:lineRule="exact"/>
              <w:jc w:val="center"/>
              <w:rPr>
                <w:rFonts w:hint="eastAsia" w:ascii="宋体" w:hAnsi="宋体" w:cs="宋体"/>
                <w:color w:val="auto"/>
                <w:szCs w:val="21"/>
              </w:rPr>
            </w:pPr>
            <w:r>
              <w:rPr>
                <w:rFonts w:hint="eastAsia" w:ascii="宋体" w:hAnsi="宋体" w:cs="宋体"/>
                <w:color w:val="auto"/>
                <w:szCs w:val="21"/>
              </w:rPr>
              <w:t>能力</w:t>
            </w:r>
          </w:p>
        </w:tc>
        <w:tc>
          <w:tcPr>
            <w:tcW w:w="1190"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用于施工部位</w:t>
            </w:r>
          </w:p>
        </w:tc>
        <w:tc>
          <w:tcPr>
            <w:tcW w:w="779"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51" w:type="dxa"/>
            <w:vAlign w:val="center"/>
          </w:tcPr>
          <w:p>
            <w:pPr>
              <w:spacing w:line="440" w:lineRule="exact"/>
              <w:jc w:val="center"/>
              <w:rPr>
                <w:rFonts w:hint="eastAsia" w:ascii="宋体" w:hAnsi="宋体" w:cs="宋体"/>
                <w:color w:val="auto"/>
                <w:szCs w:val="21"/>
              </w:rPr>
            </w:pPr>
          </w:p>
        </w:tc>
        <w:tc>
          <w:tcPr>
            <w:tcW w:w="1225" w:type="dxa"/>
            <w:vAlign w:val="center"/>
          </w:tcPr>
          <w:p>
            <w:pPr>
              <w:spacing w:line="440" w:lineRule="exact"/>
              <w:jc w:val="center"/>
              <w:rPr>
                <w:rFonts w:hint="eastAsia" w:ascii="宋体" w:hAnsi="宋体" w:cs="宋体"/>
                <w:color w:val="auto"/>
                <w:szCs w:val="21"/>
              </w:rPr>
            </w:pPr>
          </w:p>
        </w:tc>
        <w:tc>
          <w:tcPr>
            <w:tcW w:w="858" w:type="dxa"/>
            <w:vAlign w:val="center"/>
          </w:tcPr>
          <w:p>
            <w:pPr>
              <w:spacing w:line="440" w:lineRule="exact"/>
              <w:jc w:val="center"/>
              <w:rPr>
                <w:rFonts w:hint="eastAsia" w:ascii="宋体" w:hAnsi="宋体" w:cs="宋体"/>
                <w:color w:val="auto"/>
                <w:szCs w:val="21"/>
              </w:rPr>
            </w:pPr>
          </w:p>
        </w:tc>
        <w:tc>
          <w:tcPr>
            <w:tcW w:w="1117" w:type="dxa"/>
            <w:vAlign w:val="center"/>
          </w:tcPr>
          <w:p>
            <w:pPr>
              <w:spacing w:line="440" w:lineRule="exact"/>
              <w:jc w:val="center"/>
              <w:rPr>
                <w:rFonts w:hint="eastAsia" w:ascii="宋体" w:hAnsi="宋体" w:cs="宋体"/>
                <w:color w:val="auto"/>
                <w:szCs w:val="21"/>
              </w:rPr>
            </w:pPr>
          </w:p>
        </w:tc>
        <w:tc>
          <w:tcPr>
            <w:tcW w:w="758" w:type="dxa"/>
            <w:vAlign w:val="center"/>
          </w:tcPr>
          <w:p>
            <w:pPr>
              <w:spacing w:line="440" w:lineRule="exact"/>
              <w:jc w:val="center"/>
              <w:rPr>
                <w:rFonts w:hint="eastAsia" w:ascii="宋体" w:hAnsi="宋体" w:cs="宋体"/>
                <w:color w:val="auto"/>
                <w:szCs w:val="21"/>
              </w:rPr>
            </w:pPr>
          </w:p>
        </w:tc>
        <w:tc>
          <w:tcPr>
            <w:tcW w:w="833" w:type="dxa"/>
            <w:vAlign w:val="center"/>
          </w:tcPr>
          <w:p>
            <w:pPr>
              <w:spacing w:line="440" w:lineRule="exact"/>
              <w:jc w:val="center"/>
              <w:rPr>
                <w:rFonts w:hint="eastAsia" w:ascii="宋体" w:hAnsi="宋体" w:cs="宋体"/>
                <w:color w:val="auto"/>
                <w:szCs w:val="21"/>
              </w:rPr>
            </w:pPr>
          </w:p>
        </w:tc>
        <w:tc>
          <w:tcPr>
            <w:tcW w:w="1367" w:type="dxa"/>
            <w:vAlign w:val="center"/>
          </w:tcPr>
          <w:p>
            <w:pPr>
              <w:spacing w:line="440" w:lineRule="exact"/>
              <w:jc w:val="center"/>
              <w:rPr>
                <w:rFonts w:hint="eastAsia" w:ascii="宋体" w:hAnsi="宋体" w:cs="宋体"/>
                <w:color w:val="auto"/>
                <w:szCs w:val="21"/>
              </w:rPr>
            </w:pPr>
          </w:p>
        </w:tc>
        <w:tc>
          <w:tcPr>
            <w:tcW w:w="987" w:type="dxa"/>
            <w:vAlign w:val="center"/>
          </w:tcPr>
          <w:p>
            <w:pPr>
              <w:spacing w:line="440" w:lineRule="exact"/>
              <w:jc w:val="center"/>
              <w:rPr>
                <w:rFonts w:hint="eastAsia" w:ascii="宋体" w:hAnsi="宋体" w:cs="宋体"/>
                <w:color w:val="auto"/>
                <w:szCs w:val="21"/>
              </w:rPr>
            </w:pPr>
          </w:p>
        </w:tc>
        <w:tc>
          <w:tcPr>
            <w:tcW w:w="1190" w:type="dxa"/>
            <w:vAlign w:val="center"/>
          </w:tcPr>
          <w:p>
            <w:pPr>
              <w:spacing w:line="440" w:lineRule="exact"/>
              <w:jc w:val="center"/>
              <w:rPr>
                <w:rFonts w:hint="eastAsia" w:ascii="宋体" w:hAnsi="宋体" w:cs="宋体"/>
                <w:color w:val="auto"/>
                <w:szCs w:val="21"/>
              </w:rPr>
            </w:pPr>
          </w:p>
        </w:tc>
        <w:tc>
          <w:tcPr>
            <w:tcW w:w="779" w:type="dxa"/>
            <w:vAlign w:val="center"/>
          </w:tcPr>
          <w:p>
            <w:pPr>
              <w:spacing w:line="440" w:lineRule="exact"/>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51" w:type="dxa"/>
            <w:vAlign w:val="top"/>
          </w:tcPr>
          <w:p>
            <w:pPr>
              <w:spacing w:line="440" w:lineRule="exact"/>
              <w:jc w:val="center"/>
              <w:rPr>
                <w:rFonts w:hint="eastAsia" w:ascii="宋体" w:hAnsi="宋体" w:cs="宋体"/>
                <w:color w:val="auto"/>
                <w:szCs w:val="21"/>
              </w:rPr>
            </w:pPr>
          </w:p>
        </w:tc>
        <w:tc>
          <w:tcPr>
            <w:tcW w:w="1225" w:type="dxa"/>
            <w:vAlign w:val="top"/>
          </w:tcPr>
          <w:p>
            <w:pPr>
              <w:spacing w:line="440" w:lineRule="exact"/>
              <w:jc w:val="center"/>
              <w:rPr>
                <w:rFonts w:hint="eastAsia" w:ascii="宋体" w:hAnsi="宋体" w:cs="宋体"/>
                <w:color w:val="auto"/>
                <w:szCs w:val="21"/>
              </w:rPr>
            </w:pPr>
          </w:p>
        </w:tc>
        <w:tc>
          <w:tcPr>
            <w:tcW w:w="858" w:type="dxa"/>
            <w:vAlign w:val="top"/>
          </w:tcPr>
          <w:p>
            <w:pPr>
              <w:spacing w:line="440" w:lineRule="exact"/>
              <w:jc w:val="center"/>
              <w:rPr>
                <w:rFonts w:hint="eastAsia" w:ascii="宋体" w:hAnsi="宋体" w:cs="宋体"/>
                <w:color w:val="auto"/>
                <w:szCs w:val="21"/>
              </w:rPr>
            </w:pPr>
          </w:p>
        </w:tc>
        <w:tc>
          <w:tcPr>
            <w:tcW w:w="1117" w:type="dxa"/>
            <w:vAlign w:val="top"/>
          </w:tcPr>
          <w:p>
            <w:pPr>
              <w:spacing w:line="440" w:lineRule="exact"/>
              <w:jc w:val="center"/>
              <w:rPr>
                <w:rFonts w:hint="eastAsia" w:ascii="宋体" w:hAnsi="宋体" w:cs="宋体"/>
                <w:color w:val="auto"/>
                <w:szCs w:val="21"/>
              </w:rPr>
            </w:pPr>
          </w:p>
        </w:tc>
        <w:tc>
          <w:tcPr>
            <w:tcW w:w="758" w:type="dxa"/>
            <w:vAlign w:val="top"/>
          </w:tcPr>
          <w:p>
            <w:pPr>
              <w:spacing w:line="440" w:lineRule="exact"/>
              <w:jc w:val="center"/>
              <w:rPr>
                <w:rFonts w:hint="eastAsia" w:ascii="宋体" w:hAnsi="宋体" w:cs="宋体"/>
                <w:color w:val="auto"/>
                <w:szCs w:val="21"/>
              </w:rPr>
            </w:pPr>
          </w:p>
        </w:tc>
        <w:tc>
          <w:tcPr>
            <w:tcW w:w="833" w:type="dxa"/>
            <w:vAlign w:val="top"/>
          </w:tcPr>
          <w:p>
            <w:pPr>
              <w:spacing w:line="440" w:lineRule="exact"/>
              <w:jc w:val="center"/>
              <w:rPr>
                <w:rFonts w:hint="eastAsia" w:ascii="宋体" w:hAnsi="宋体" w:cs="宋体"/>
                <w:color w:val="auto"/>
                <w:szCs w:val="21"/>
              </w:rPr>
            </w:pPr>
          </w:p>
        </w:tc>
        <w:tc>
          <w:tcPr>
            <w:tcW w:w="1367" w:type="dxa"/>
            <w:vAlign w:val="top"/>
          </w:tcPr>
          <w:p>
            <w:pPr>
              <w:spacing w:line="440" w:lineRule="exact"/>
              <w:jc w:val="center"/>
              <w:rPr>
                <w:rFonts w:hint="eastAsia" w:ascii="宋体" w:hAnsi="宋体" w:cs="宋体"/>
                <w:color w:val="auto"/>
                <w:szCs w:val="21"/>
              </w:rPr>
            </w:pPr>
          </w:p>
        </w:tc>
        <w:tc>
          <w:tcPr>
            <w:tcW w:w="987" w:type="dxa"/>
            <w:vAlign w:val="top"/>
          </w:tcPr>
          <w:p>
            <w:pPr>
              <w:spacing w:line="440" w:lineRule="exact"/>
              <w:jc w:val="center"/>
              <w:rPr>
                <w:rFonts w:hint="eastAsia" w:ascii="宋体" w:hAnsi="宋体" w:cs="宋体"/>
                <w:color w:val="auto"/>
                <w:szCs w:val="21"/>
              </w:rPr>
            </w:pPr>
          </w:p>
        </w:tc>
        <w:tc>
          <w:tcPr>
            <w:tcW w:w="1190" w:type="dxa"/>
            <w:vAlign w:val="top"/>
          </w:tcPr>
          <w:p>
            <w:pPr>
              <w:spacing w:line="440" w:lineRule="exact"/>
              <w:jc w:val="center"/>
              <w:rPr>
                <w:rFonts w:hint="eastAsia" w:ascii="宋体" w:hAnsi="宋体" w:cs="宋体"/>
                <w:color w:val="auto"/>
                <w:szCs w:val="21"/>
              </w:rPr>
            </w:pPr>
          </w:p>
        </w:tc>
        <w:tc>
          <w:tcPr>
            <w:tcW w:w="779" w:type="dxa"/>
            <w:vAlign w:val="top"/>
          </w:tcPr>
          <w:p>
            <w:pPr>
              <w:spacing w:line="440" w:lineRule="exact"/>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51" w:type="dxa"/>
            <w:vAlign w:val="top"/>
          </w:tcPr>
          <w:p>
            <w:pPr>
              <w:spacing w:line="440" w:lineRule="exact"/>
              <w:jc w:val="center"/>
              <w:rPr>
                <w:rFonts w:hint="eastAsia" w:ascii="宋体" w:hAnsi="宋体" w:cs="宋体"/>
                <w:color w:val="auto"/>
                <w:szCs w:val="21"/>
              </w:rPr>
            </w:pPr>
          </w:p>
        </w:tc>
        <w:tc>
          <w:tcPr>
            <w:tcW w:w="1225" w:type="dxa"/>
            <w:vAlign w:val="top"/>
          </w:tcPr>
          <w:p>
            <w:pPr>
              <w:spacing w:line="440" w:lineRule="exact"/>
              <w:jc w:val="center"/>
              <w:rPr>
                <w:rFonts w:hint="eastAsia" w:ascii="宋体" w:hAnsi="宋体" w:cs="宋体"/>
                <w:color w:val="auto"/>
                <w:szCs w:val="21"/>
              </w:rPr>
            </w:pPr>
          </w:p>
        </w:tc>
        <w:tc>
          <w:tcPr>
            <w:tcW w:w="858" w:type="dxa"/>
            <w:vAlign w:val="top"/>
          </w:tcPr>
          <w:p>
            <w:pPr>
              <w:spacing w:line="440" w:lineRule="exact"/>
              <w:jc w:val="center"/>
              <w:rPr>
                <w:rFonts w:hint="eastAsia" w:ascii="宋体" w:hAnsi="宋体" w:cs="宋体"/>
                <w:color w:val="auto"/>
                <w:szCs w:val="21"/>
              </w:rPr>
            </w:pPr>
          </w:p>
        </w:tc>
        <w:tc>
          <w:tcPr>
            <w:tcW w:w="1117" w:type="dxa"/>
            <w:vAlign w:val="top"/>
          </w:tcPr>
          <w:p>
            <w:pPr>
              <w:spacing w:line="440" w:lineRule="exact"/>
              <w:jc w:val="center"/>
              <w:rPr>
                <w:rFonts w:hint="eastAsia" w:ascii="宋体" w:hAnsi="宋体" w:cs="宋体"/>
                <w:color w:val="auto"/>
                <w:szCs w:val="21"/>
              </w:rPr>
            </w:pPr>
          </w:p>
        </w:tc>
        <w:tc>
          <w:tcPr>
            <w:tcW w:w="758" w:type="dxa"/>
            <w:vAlign w:val="top"/>
          </w:tcPr>
          <w:p>
            <w:pPr>
              <w:spacing w:line="440" w:lineRule="exact"/>
              <w:jc w:val="center"/>
              <w:rPr>
                <w:rFonts w:hint="eastAsia" w:ascii="宋体" w:hAnsi="宋体" w:cs="宋体"/>
                <w:color w:val="auto"/>
                <w:szCs w:val="21"/>
              </w:rPr>
            </w:pPr>
          </w:p>
        </w:tc>
        <w:tc>
          <w:tcPr>
            <w:tcW w:w="833" w:type="dxa"/>
            <w:vAlign w:val="top"/>
          </w:tcPr>
          <w:p>
            <w:pPr>
              <w:spacing w:line="440" w:lineRule="exact"/>
              <w:jc w:val="center"/>
              <w:rPr>
                <w:rFonts w:hint="eastAsia" w:ascii="宋体" w:hAnsi="宋体" w:cs="宋体"/>
                <w:color w:val="auto"/>
                <w:szCs w:val="21"/>
              </w:rPr>
            </w:pPr>
          </w:p>
        </w:tc>
        <w:tc>
          <w:tcPr>
            <w:tcW w:w="1367" w:type="dxa"/>
            <w:vAlign w:val="top"/>
          </w:tcPr>
          <w:p>
            <w:pPr>
              <w:spacing w:line="440" w:lineRule="exact"/>
              <w:jc w:val="center"/>
              <w:rPr>
                <w:rFonts w:hint="eastAsia" w:ascii="宋体" w:hAnsi="宋体" w:cs="宋体"/>
                <w:color w:val="auto"/>
                <w:szCs w:val="21"/>
              </w:rPr>
            </w:pPr>
          </w:p>
        </w:tc>
        <w:tc>
          <w:tcPr>
            <w:tcW w:w="987" w:type="dxa"/>
            <w:vAlign w:val="top"/>
          </w:tcPr>
          <w:p>
            <w:pPr>
              <w:spacing w:line="440" w:lineRule="exact"/>
              <w:jc w:val="center"/>
              <w:rPr>
                <w:rFonts w:hint="eastAsia" w:ascii="宋体" w:hAnsi="宋体" w:cs="宋体"/>
                <w:color w:val="auto"/>
                <w:szCs w:val="21"/>
              </w:rPr>
            </w:pPr>
          </w:p>
        </w:tc>
        <w:tc>
          <w:tcPr>
            <w:tcW w:w="1190" w:type="dxa"/>
            <w:vAlign w:val="top"/>
          </w:tcPr>
          <w:p>
            <w:pPr>
              <w:spacing w:line="440" w:lineRule="exact"/>
              <w:jc w:val="center"/>
              <w:rPr>
                <w:rFonts w:hint="eastAsia" w:ascii="宋体" w:hAnsi="宋体" w:cs="宋体"/>
                <w:color w:val="auto"/>
                <w:szCs w:val="21"/>
              </w:rPr>
            </w:pPr>
          </w:p>
        </w:tc>
        <w:tc>
          <w:tcPr>
            <w:tcW w:w="779" w:type="dxa"/>
            <w:vAlign w:val="top"/>
          </w:tcPr>
          <w:p>
            <w:pPr>
              <w:spacing w:line="440" w:lineRule="exact"/>
              <w:jc w:val="center"/>
              <w:rPr>
                <w:rFonts w:hint="eastAsia" w:ascii="宋体" w:hAnsi="宋体" w:cs="宋体"/>
                <w:color w:val="auto"/>
                <w:szCs w:val="21"/>
              </w:rPr>
            </w:pPr>
          </w:p>
        </w:tc>
      </w:tr>
    </w:tbl>
    <w:p>
      <w:pPr>
        <w:topLinePunct/>
        <w:spacing w:line="440" w:lineRule="exact"/>
        <w:jc w:val="center"/>
        <w:rPr>
          <w:rFonts w:hint="eastAsia" w:ascii="宋体" w:hAnsi="宋体" w:cs="宋体"/>
          <w:color w:val="auto"/>
        </w:rPr>
      </w:pPr>
      <w:bookmarkStart w:id="1290" w:name="_Toc144974866"/>
      <w:bookmarkStart w:id="1291" w:name="_Toc152045798"/>
      <w:bookmarkStart w:id="1292" w:name="_Toc152042587"/>
      <w:bookmarkStart w:id="1293" w:name="_Toc179632818"/>
    </w:p>
    <w:p>
      <w:pPr>
        <w:topLinePunct/>
        <w:spacing w:line="440" w:lineRule="exact"/>
        <w:jc w:val="center"/>
        <w:rPr>
          <w:rFonts w:hint="eastAsia" w:ascii="宋体" w:hAnsi="宋体" w:cs="宋体"/>
          <w:color w:val="auto"/>
        </w:rPr>
      </w:pPr>
    </w:p>
    <w:p>
      <w:pPr>
        <w:pStyle w:val="7"/>
        <w:rPr>
          <w:rFonts w:hint="eastAsia" w:ascii="宋体" w:eastAsia="宋体" w:cs="宋体"/>
          <w:color w:val="auto"/>
        </w:rPr>
      </w:pPr>
      <w:bookmarkStart w:id="1294" w:name="_Toc499738290"/>
      <w:bookmarkStart w:id="1295" w:name="_Toc456356135"/>
      <w:r>
        <w:rPr>
          <w:rFonts w:hint="eastAsia" w:ascii="宋体" w:eastAsia="宋体" w:cs="宋体"/>
          <w:color w:val="auto"/>
        </w:rPr>
        <w:t>（七）拟配备本项目的试验和检测仪器设备表</w:t>
      </w:r>
      <w:bookmarkEnd w:id="1290"/>
      <w:bookmarkEnd w:id="1291"/>
      <w:bookmarkEnd w:id="1292"/>
      <w:bookmarkEnd w:id="1293"/>
      <w:bookmarkEnd w:id="1294"/>
      <w:bookmarkEnd w:id="1295"/>
    </w:p>
    <w:tbl>
      <w:tblPr>
        <w:tblStyle w:val="67"/>
        <w:tblW w:w="986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5"/>
        <w:gridCol w:w="1267"/>
        <w:gridCol w:w="886"/>
        <w:gridCol w:w="1154"/>
        <w:gridCol w:w="783"/>
        <w:gridCol w:w="860"/>
        <w:gridCol w:w="1413"/>
        <w:gridCol w:w="1926"/>
        <w:gridCol w:w="8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75" w:type="dxa"/>
            <w:vAlign w:val="center"/>
          </w:tcPr>
          <w:p>
            <w:pPr>
              <w:spacing w:line="440" w:lineRule="exact"/>
              <w:rPr>
                <w:rFonts w:hint="eastAsia" w:ascii="宋体" w:hAnsi="宋体" w:cs="宋体"/>
                <w:color w:val="auto"/>
                <w:szCs w:val="21"/>
              </w:rPr>
            </w:pPr>
            <w:r>
              <w:rPr>
                <w:rFonts w:hint="eastAsia" w:ascii="宋体" w:hAnsi="宋体" w:cs="宋体"/>
                <w:color w:val="auto"/>
                <w:szCs w:val="21"/>
              </w:rPr>
              <w:t>序号</w:t>
            </w:r>
          </w:p>
        </w:tc>
        <w:tc>
          <w:tcPr>
            <w:tcW w:w="1267"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仪器设备名称</w:t>
            </w:r>
          </w:p>
        </w:tc>
        <w:tc>
          <w:tcPr>
            <w:tcW w:w="886"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型号</w:t>
            </w:r>
          </w:p>
          <w:p>
            <w:pPr>
              <w:spacing w:line="440" w:lineRule="exact"/>
              <w:jc w:val="center"/>
              <w:rPr>
                <w:rFonts w:hint="eastAsia" w:ascii="宋体" w:hAnsi="宋体" w:cs="宋体"/>
                <w:color w:val="auto"/>
                <w:szCs w:val="21"/>
              </w:rPr>
            </w:pPr>
            <w:r>
              <w:rPr>
                <w:rFonts w:hint="eastAsia" w:ascii="宋体" w:hAnsi="宋体" w:cs="宋体"/>
                <w:color w:val="auto"/>
                <w:szCs w:val="21"/>
              </w:rPr>
              <w:t>规格</w:t>
            </w:r>
          </w:p>
        </w:tc>
        <w:tc>
          <w:tcPr>
            <w:tcW w:w="1154"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数量</w:t>
            </w:r>
          </w:p>
        </w:tc>
        <w:tc>
          <w:tcPr>
            <w:tcW w:w="783"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国别</w:t>
            </w:r>
          </w:p>
          <w:p>
            <w:pPr>
              <w:spacing w:line="440" w:lineRule="exact"/>
              <w:jc w:val="center"/>
              <w:rPr>
                <w:rFonts w:hint="eastAsia" w:ascii="宋体" w:hAnsi="宋体" w:cs="宋体"/>
                <w:color w:val="auto"/>
                <w:szCs w:val="21"/>
              </w:rPr>
            </w:pPr>
            <w:r>
              <w:rPr>
                <w:rFonts w:hint="eastAsia" w:ascii="宋体" w:hAnsi="宋体" w:cs="宋体"/>
                <w:color w:val="auto"/>
                <w:szCs w:val="21"/>
              </w:rPr>
              <w:t>产地</w:t>
            </w:r>
          </w:p>
        </w:tc>
        <w:tc>
          <w:tcPr>
            <w:tcW w:w="860"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制造</w:t>
            </w:r>
          </w:p>
          <w:p>
            <w:pPr>
              <w:spacing w:line="440" w:lineRule="exact"/>
              <w:jc w:val="center"/>
              <w:rPr>
                <w:rFonts w:hint="eastAsia" w:ascii="宋体" w:hAnsi="宋体" w:cs="宋体"/>
                <w:color w:val="auto"/>
                <w:szCs w:val="21"/>
              </w:rPr>
            </w:pPr>
            <w:r>
              <w:rPr>
                <w:rFonts w:hint="eastAsia" w:ascii="宋体" w:hAnsi="宋体" w:cs="宋体"/>
                <w:color w:val="auto"/>
                <w:szCs w:val="21"/>
              </w:rPr>
              <w:t>年份</w:t>
            </w:r>
          </w:p>
        </w:tc>
        <w:tc>
          <w:tcPr>
            <w:tcW w:w="1413"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已使用台时数</w:t>
            </w:r>
          </w:p>
        </w:tc>
        <w:tc>
          <w:tcPr>
            <w:tcW w:w="1926"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用途</w:t>
            </w:r>
          </w:p>
        </w:tc>
        <w:tc>
          <w:tcPr>
            <w:tcW w:w="801"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75" w:type="dxa"/>
            <w:vAlign w:val="center"/>
          </w:tcPr>
          <w:p>
            <w:pPr>
              <w:spacing w:line="440" w:lineRule="exact"/>
              <w:jc w:val="center"/>
              <w:rPr>
                <w:rFonts w:hint="eastAsia" w:ascii="宋体" w:hAnsi="宋体" w:cs="宋体"/>
                <w:color w:val="auto"/>
                <w:szCs w:val="21"/>
              </w:rPr>
            </w:pPr>
          </w:p>
        </w:tc>
        <w:tc>
          <w:tcPr>
            <w:tcW w:w="1267" w:type="dxa"/>
            <w:vAlign w:val="center"/>
          </w:tcPr>
          <w:p>
            <w:pPr>
              <w:spacing w:line="440" w:lineRule="exact"/>
              <w:jc w:val="center"/>
              <w:rPr>
                <w:rFonts w:hint="eastAsia" w:ascii="宋体" w:hAnsi="宋体" w:cs="宋体"/>
                <w:color w:val="auto"/>
                <w:szCs w:val="21"/>
              </w:rPr>
            </w:pPr>
          </w:p>
        </w:tc>
        <w:tc>
          <w:tcPr>
            <w:tcW w:w="886" w:type="dxa"/>
            <w:vAlign w:val="center"/>
          </w:tcPr>
          <w:p>
            <w:pPr>
              <w:spacing w:line="440" w:lineRule="exact"/>
              <w:jc w:val="center"/>
              <w:rPr>
                <w:rFonts w:hint="eastAsia" w:ascii="宋体" w:hAnsi="宋体" w:cs="宋体"/>
                <w:color w:val="auto"/>
                <w:szCs w:val="21"/>
              </w:rPr>
            </w:pPr>
          </w:p>
        </w:tc>
        <w:tc>
          <w:tcPr>
            <w:tcW w:w="1154" w:type="dxa"/>
            <w:vAlign w:val="center"/>
          </w:tcPr>
          <w:p>
            <w:pPr>
              <w:spacing w:line="440" w:lineRule="exact"/>
              <w:jc w:val="center"/>
              <w:rPr>
                <w:rFonts w:hint="eastAsia" w:ascii="宋体" w:hAnsi="宋体" w:cs="宋体"/>
                <w:color w:val="auto"/>
                <w:szCs w:val="21"/>
              </w:rPr>
            </w:pPr>
          </w:p>
        </w:tc>
        <w:tc>
          <w:tcPr>
            <w:tcW w:w="783" w:type="dxa"/>
            <w:vAlign w:val="center"/>
          </w:tcPr>
          <w:p>
            <w:pPr>
              <w:spacing w:line="440" w:lineRule="exact"/>
              <w:jc w:val="center"/>
              <w:rPr>
                <w:rFonts w:hint="eastAsia" w:ascii="宋体" w:hAnsi="宋体" w:cs="宋体"/>
                <w:color w:val="auto"/>
                <w:szCs w:val="21"/>
              </w:rPr>
            </w:pPr>
          </w:p>
        </w:tc>
        <w:tc>
          <w:tcPr>
            <w:tcW w:w="860" w:type="dxa"/>
            <w:vAlign w:val="center"/>
          </w:tcPr>
          <w:p>
            <w:pPr>
              <w:spacing w:line="440" w:lineRule="exact"/>
              <w:jc w:val="center"/>
              <w:rPr>
                <w:rFonts w:hint="eastAsia" w:ascii="宋体" w:hAnsi="宋体" w:cs="宋体"/>
                <w:color w:val="auto"/>
                <w:szCs w:val="21"/>
              </w:rPr>
            </w:pPr>
          </w:p>
        </w:tc>
        <w:tc>
          <w:tcPr>
            <w:tcW w:w="1413" w:type="dxa"/>
            <w:vAlign w:val="center"/>
          </w:tcPr>
          <w:p>
            <w:pPr>
              <w:spacing w:line="440" w:lineRule="exact"/>
              <w:jc w:val="center"/>
              <w:rPr>
                <w:rFonts w:hint="eastAsia" w:ascii="宋体" w:hAnsi="宋体" w:cs="宋体"/>
                <w:color w:val="auto"/>
                <w:szCs w:val="21"/>
              </w:rPr>
            </w:pPr>
          </w:p>
        </w:tc>
        <w:tc>
          <w:tcPr>
            <w:tcW w:w="1926" w:type="dxa"/>
            <w:vAlign w:val="center"/>
          </w:tcPr>
          <w:p>
            <w:pPr>
              <w:spacing w:line="440" w:lineRule="exact"/>
              <w:jc w:val="center"/>
              <w:rPr>
                <w:rFonts w:hint="eastAsia" w:ascii="宋体" w:hAnsi="宋体" w:cs="宋体"/>
                <w:color w:val="auto"/>
                <w:szCs w:val="21"/>
              </w:rPr>
            </w:pPr>
          </w:p>
        </w:tc>
        <w:tc>
          <w:tcPr>
            <w:tcW w:w="801" w:type="dxa"/>
            <w:vAlign w:val="center"/>
          </w:tcPr>
          <w:p>
            <w:pPr>
              <w:spacing w:line="440" w:lineRule="exact"/>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75" w:type="dxa"/>
            <w:vAlign w:val="center"/>
          </w:tcPr>
          <w:p>
            <w:pPr>
              <w:spacing w:line="440" w:lineRule="exact"/>
              <w:jc w:val="center"/>
              <w:rPr>
                <w:rFonts w:hint="eastAsia" w:ascii="宋体" w:hAnsi="宋体" w:cs="宋体"/>
                <w:color w:val="auto"/>
                <w:szCs w:val="21"/>
              </w:rPr>
            </w:pPr>
          </w:p>
        </w:tc>
        <w:tc>
          <w:tcPr>
            <w:tcW w:w="1267" w:type="dxa"/>
            <w:vAlign w:val="center"/>
          </w:tcPr>
          <w:p>
            <w:pPr>
              <w:spacing w:line="440" w:lineRule="exact"/>
              <w:jc w:val="center"/>
              <w:rPr>
                <w:rFonts w:hint="eastAsia" w:ascii="宋体" w:hAnsi="宋体" w:cs="宋体"/>
                <w:color w:val="auto"/>
                <w:szCs w:val="21"/>
              </w:rPr>
            </w:pPr>
          </w:p>
        </w:tc>
        <w:tc>
          <w:tcPr>
            <w:tcW w:w="886" w:type="dxa"/>
            <w:vAlign w:val="center"/>
          </w:tcPr>
          <w:p>
            <w:pPr>
              <w:spacing w:line="440" w:lineRule="exact"/>
              <w:jc w:val="center"/>
              <w:rPr>
                <w:rFonts w:hint="eastAsia" w:ascii="宋体" w:hAnsi="宋体" w:cs="宋体"/>
                <w:color w:val="auto"/>
                <w:szCs w:val="21"/>
              </w:rPr>
            </w:pPr>
          </w:p>
        </w:tc>
        <w:tc>
          <w:tcPr>
            <w:tcW w:w="1154" w:type="dxa"/>
            <w:vAlign w:val="center"/>
          </w:tcPr>
          <w:p>
            <w:pPr>
              <w:spacing w:line="440" w:lineRule="exact"/>
              <w:jc w:val="center"/>
              <w:rPr>
                <w:rFonts w:hint="eastAsia" w:ascii="宋体" w:hAnsi="宋体" w:cs="宋体"/>
                <w:color w:val="auto"/>
                <w:szCs w:val="21"/>
              </w:rPr>
            </w:pPr>
          </w:p>
        </w:tc>
        <w:tc>
          <w:tcPr>
            <w:tcW w:w="783" w:type="dxa"/>
            <w:vAlign w:val="center"/>
          </w:tcPr>
          <w:p>
            <w:pPr>
              <w:spacing w:line="440" w:lineRule="exact"/>
              <w:jc w:val="center"/>
              <w:rPr>
                <w:rFonts w:hint="eastAsia" w:ascii="宋体" w:hAnsi="宋体" w:cs="宋体"/>
                <w:color w:val="auto"/>
                <w:szCs w:val="21"/>
              </w:rPr>
            </w:pPr>
          </w:p>
        </w:tc>
        <w:tc>
          <w:tcPr>
            <w:tcW w:w="860" w:type="dxa"/>
            <w:vAlign w:val="center"/>
          </w:tcPr>
          <w:p>
            <w:pPr>
              <w:spacing w:line="440" w:lineRule="exact"/>
              <w:jc w:val="center"/>
              <w:rPr>
                <w:rFonts w:hint="eastAsia" w:ascii="宋体" w:hAnsi="宋体" w:cs="宋体"/>
                <w:color w:val="auto"/>
                <w:szCs w:val="21"/>
              </w:rPr>
            </w:pPr>
          </w:p>
        </w:tc>
        <w:tc>
          <w:tcPr>
            <w:tcW w:w="1413" w:type="dxa"/>
            <w:vAlign w:val="center"/>
          </w:tcPr>
          <w:p>
            <w:pPr>
              <w:spacing w:line="440" w:lineRule="exact"/>
              <w:jc w:val="center"/>
              <w:rPr>
                <w:rFonts w:hint="eastAsia" w:ascii="宋体" w:hAnsi="宋体" w:cs="宋体"/>
                <w:color w:val="auto"/>
                <w:szCs w:val="21"/>
              </w:rPr>
            </w:pPr>
          </w:p>
        </w:tc>
        <w:tc>
          <w:tcPr>
            <w:tcW w:w="1926" w:type="dxa"/>
            <w:vAlign w:val="center"/>
          </w:tcPr>
          <w:p>
            <w:pPr>
              <w:spacing w:line="440" w:lineRule="exact"/>
              <w:jc w:val="center"/>
              <w:rPr>
                <w:rFonts w:hint="eastAsia" w:ascii="宋体" w:hAnsi="宋体" w:cs="宋体"/>
                <w:color w:val="auto"/>
                <w:szCs w:val="21"/>
              </w:rPr>
            </w:pPr>
          </w:p>
        </w:tc>
        <w:tc>
          <w:tcPr>
            <w:tcW w:w="801" w:type="dxa"/>
            <w:vAlign w:val="center"/>
          </w:tcPr>
          <w:p>
            <w:pPr>
              <w:spacing w:line="440" w:lineRule="exact"/>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75" w:type="dxa"/>
            <w:vAlign w:val="top"/>
          </w:tcPr>
          <w:p>
            <w:pPr>
              <w:spacing w:line="440" w:lineRule="exact"/>
              <w:jc w:val="center"/>
              <w:rPr>
                <w:rFonts w:hint="eastAsia" w:ascii="宋体" w:hAnsi="宋体" w:cs="宋体"/>
                <w:color w:val="auto"/>
                <w:szCs w:val="21"/>
              </w:rPr>
            </w:pPr>
          </w:p>
        </w:tc>
        <w:tc>
          <w:tcPr>
            <w:tcW w:w="1267" w:type="dxa"/>
            <w:vAlign w:val="top"/>
          </w:tcPr>
          <w:p>
            <w:pPr>
              <w:spacing w:line="440" w:lineRule="exact"/>
              <w:jc w:val="center"/>
              <w:rPr>
                <w:rFonts w:hint="eastAsia" w:ascii="宋体" w:hAnsi="宋体" w:cs="宋体"/>
                <w:color w:val="auto"/>
                <w:szCs w:val="21"/>
              </w:rPr>
            </w:pPr>
          </w:p>
        </w:tc>
        <w:tc>
          <w:tcPr>
            <w:tcW w:w="886" w:type="dxa"/>
            <w:vAlign w:val="top"/>
          </w:tcPr>
          <w:p>
            <w:pPr>
              <w:spacing w:line="440" w:lineRule="exact"/>
              <w:jc w:val="center"/>
              <w:rPr>
                <w:rFonts w:hint="eastAsia" w:ascii="宋体" w:hAnsi="宋体" w:cs="宋体"/>
                <w:color w:val="auto"/>
                <w:szCs w:val="21"/>
              </w:rPr>
            </w:pPr>
          </w:p>
        </w:tc>
        <w:tc>
          <w:tcPr>
            <w:tcW w:w="1154" w:type="dxa"/>
            <w:vAlign w:val="top"/>
          </w:tcPr>
          <w:p>
            <w:pPr>
              <w:spacing w:line="440" w:lineRule="exact"/>
              <w:jc w:val="center"/>
              <w:rPr>
                <w:rFonts w:hint="eastAsia" w:ascii="宋体" w:hAnsi="宋体" w:cs="宋体"/>
                <w:color w:val="auto"/>
                <w:szCs w:val="21"/>
              </w:rPr>
            </w:pPr>
          </w:p>
        </w:tc>
        <w:tc>
          <w:tcPr>
            <w:tcW w:w="783" w:type="dxa"/>
            <w:vAlign w:val="top"/>
          </w:tcPr>
          <w:p>
            <w:pPr>
              <w:spacing w:line="440" w:lineRule="exact"/>
              <w:jc w:val="center"/>
              <w:rPr>
                <w:rFonts w:hint="eastAsia" w:ascii="宋体" w:hAnsi="宋体" w:cs="宋体"/>
                <w:color w:val="auto"/>
                <w:szCs w:val="21"/>
              </w:rPr>
            </w:pPr>
          </w:p>
        </w:tc>
        <w:tc>
          <w:tcPr>
            <w:tcW w:w="860" w:type="dxa"/>
            <w:vAlign w:val="top"/>
          </w:tcPr>
          <w:p>
            <w:pPr>
              <w:spacing w:line="440" w:lineRule="exact"/>
              <w:jc w:val="center"/>
              <w:rPr>
                <w:rFonts w:hint="eastAsia" w:ascii="宋体" w:hAnsi="宋体" w:cs="宋体"/>
                <w:color w:val="auto"/>
                <w:szCs w:val="21"/>
              </w:rPr>
            </w:pPr>
          </w:p>
        </w:tc>
        <w:tc>
          <w:tcPr>
            <w:tcW w:w="1413" w:type="dxa"/>
            <w:vAlign w:val="top"/>
          </w:tcPr>
          <w:p>
            <w:pPr>
              <w:spacing w:line="440" w:lineRule="exact"/>
              <w:jc w:val="center"/>
              <w:rPr>
                <w:rFonts w:hint="eastAsia" w:ascii="宋体" w:hAnsi="宋体" w:cs="宋体"/>
                <w:color w:val="auto"/>
                <w:szCs w:val="21"/>
              </w:rPr>
            </w:pPr>
          </w:p>
        </w:tc>
        <w:tc>
          <w:tcPr>
            <w:tcW w:w="1926" w:type="dxa"/>
            <w:vAlign w:val="top"/>
          </w:tcPr>
          <w:p>
            <w:pPr>
              <w:spacing w:line="440" w:lineRule="exact"/>
              <w:jc w:val="center"/>
              <w:rPr>
                <w:rFonts w:hint="eastAsia" w:ascii="宋体" w:hAnsi="宋体" w:cs="宋体"/>
                <w:color w:val="auto"/>
                <w:szCs w:val="21"/>
              </w:rPr>
            </w:pPr>
          </w:p>
        </w:tc>
        <w:tc>
          <w:tcPr>
            <w:tcW w:w="801" w:type="dxa"/>
            <w:vAlign w:val="top"/>
          </w:tcPr>
          <w:p>
            <w:pPr>
              <w:spacing w:line="440" w:lineRule="exact"/>
              <w:jc w:val="center"/>
              <w:rPr>
                <w:rFonts w:hint="eastAsia" w:ascii="宋体" w:hAnsi="宋体" w:cs="宋体"/>
                <w:color w:val="auto"/>
                <w:szCs w:val="21"/>
              </w:rPr>
            </w:pPr>
          </w:p>
        </w:tc>
      </w:tr>
    </w:tbl>
    <w:p>
      <w:pPr>
        <w:topLinePunct/>
        <w:spacing w:line="440" w:lineRule="exact"/>
        <w:jc w:val="center"/>
        <w:rPr>
          <w:rFonts w:hint="eastAsia" w:ascii="宋体" w:hAnsi="宋体" w:cs="宋体"/>
          <w:color w:val="auto"/>
        </w:rPr>
      </w:pPr>
      <w:bookmarkStart w:id="1296" w:name="_Toc144974872"/>
      <w:bookmarkStart w:id="1297" w:name="_Toc179632824"/>
      <w:bookmarkStart w:id="1298" w:name="_Toc152042593"/>
      <w:bookmarkStart w:id="1299" w:name="_Toc152045804"/>
    </w:p>
    <w:p>
      <w:pPr>
        <w:pStyle w:val="7"/>
        <w:rPr>
          <w:rFonts w:hint="eastAsia" w:ascii="宋体" w:eastAsia="宋体" w:cs="宋体"/>
          <w:color w:val="auto"/>
        </w:rPr>
      </w:pPr>
      <w:bookmarkStart w:id="1300" w:name="_Toc499738291"/>
      <w:bookmarkStart w:id="1301" w:name="_Toc456356136"/>
      <w:r>
        <w:rPr>
          <w:rFonts w:hint="eastAsia" w:ascii="宋体" w:eastAsia="宋体" w:cs="宋体"/>
          <w:color w:val="auto"/>
        </w:rPr>
        <w:t>（八）项目管理机构组成表</w:t>
      </w:r>
      <w:bookmarkEnd w:id="1296"/>
      <w:bookmarkEnd w:id="1297"/>
      <w:bookmarkEnd w:id="1298"/>
      <w:bookmarkEnd w:id="1299"/>
      <w:bookmarkEnd w:id="1300"/>
      <w:bookmarkEnd w:id="1301"/>
    </w:p>
    <w:tbl>
      <w:tblPr>
        <w:tblStyle w:val="67"/>
        <w:tblW w:w="986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9"/>
        <w:gridCol w:w="834"/>
        <w:gridCol w:w="833"/>
        <w:gridCol w:w="1251"/>
        <w:gridCol w:w="833"/>
        <w:gridCol w:w="835"/>
        <w:gridCol w:w="833"/>
        <w:gridCol w:w="2922"/>
        <w:gridCol w:w="7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49" w:type="dxa"/>
            <w:vMerge w:val="restart"/>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职务</w:t>
            </w:r>
          </w:p>
        </w:tc>
        <w:tc>
          <w:tcPr>
            <w:tcW w:w="834" w:type="dxa"/>
            <w:vMerge w:val="restart"/>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姓名</w:t>
            </w:r>
          </w:p>
        </w:tc>
        <w:tc>
          <w:tcPr>
            <w:tcW w:w="833" w:type="dxa"/>
            <w:vMerge w:val="restart"/>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职称</w:t>
            </w:r>
          </w:p>
        </w:tc>
        <w:tc>
          <w:tcPr>
            <w:tcW w:w="6674" w:type="dxa"/>
            <w:gridSpan w:val="5"/>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执业或职业资格证明</w:t>
            </w:r>
          </w:p>
        </w:tc>
        <w:tc>
          <w:tcPr>
            <w:tcW w:w="775"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49" w:type="dxa"/>
            <w:vMerge w:val="continue"/>
            <w:vAlign w:val="center"/>
          </w:tcPr>
          <w:p>
            <w:pPr>
              <w:spacing w:line="440" w:lineRule="exact"/>
              <w:jc w:val="center"/>
              <w:rPr>
                <w:rFonts w:hint="eastAsia" w:ascii="宋体" w:hAnsi="宋体" w:cs="宋体"/>
                <w:color w:val="auto"/>
                <w:szCs w:val="21"/>
              </w:rPr>
            </w:pPr>
          </w:p>
        </w:tc>
        <w:tc>
          <w:tcPr>
            <w:tcW w:w="834" w:type="dxa"/>
            <w:vMerge w:val="continue"/>
            <w:vAlign w:val="center"/>
          </w:tcPr>
          <w:p>
            <w:pPr>
              <w:spacing w:line="440" w:lineRule="exact"/>
              <w:jc w:val="center"/>
              <w:rPr>
                <w:rFonts w:hint="eastAsia" w:ascii="宋体" w:hAnsi="宋体" w:cs="宋体"/>
                <w:color w:val="auto"/>
                <w:szCs w:val="21"/>
              </w:rPr>
            </w:pPr>
          </w:p>
        </w:tc>
        <w:tc>
          <w:tcPr>
            <w:tcW w:w="833" w:type="dxa"/>
            <w:vMerge w:val="continue"/>
            <w:vAlign w:val="center"/>
          </w:tcPr>
          <w:p>
            <w:pPr>
              <w:spacing w:line="440" w:lineRule="exact"/>
              <w:jc w:val="center"/>
              <w:rPr>
                <w:rFonts w:hint="eastAsia" w:ascii="宋体" w:hAnsi="宋体" w:cs="宋体"/>
                <w:color w:val="auto"/>
                <w:szCs w:val="21"/>
              </w:rPr>
            </w:pPr>
          </w:p>
        </w:tc>
        <w:tc>
          <w:tcPr>
            <w:tcW w:w="1251"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证书名称</w:t>
            </w:r>
          </w:p>
        </w:tc>
        <w:tc>
          <w:tcPr>
            <w:tcW w:w="833"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级别</w:t>
            </w:r>
          </w:p>
        </w:tc>
        <w:tc>
          <w:tcPr>
            <w:tcW w:w="835"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证号</w:t>
            </w:r>
          </w:p>
        </w:tc>
        <w:tc>
          <w:tcPr>
            <w:tcW w:w="833"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专业</w:t>
            </w:r>
          </w:p>
        </w:tc>
        <w:tc>
          <w:tcPr>
            <w:tcW w:w="2922" w:type="dxa"/>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养老保险</w:t>
            </w:r>
          </w:p>
        </w:tc>
        <w:tc>
          <w:tcPr>
            <w:tcW w:w="775" w:type="dxa"/>
            <w:vAlign w:val="center"/>
          </w:tcPr>
          <w:p>
            <w:pPr>
              <w:spacing w:line="440" w:lineRule="exact"/>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49" w:type="dxa"/>
            <w:vAlign w:val="center"/>
          </w:tcPr>
          <w:p>
            <w:pPr>
              <w:spacing w:line="440" w:lineRule="exact"/>
              <w:jc w:val="center"/>
              <w:rPr>
                <w:rFonts w:hint="eastAsia" w:ascii="宋体" w:hAnsi="宋体" w:cs="宋体"/>
                <w:color w:val="auto"/>
                <w:szCs w:val="21"/>
              </w:rPr>
            </w:pPr>
          </w:p>
        </w:tc>
        <w:tc>
          <w:tcPr>
            <w:tcW w:w="834" w:type="dxa"/>
            <w:vAlign w:val="center"/>
          </w:tcPr>
          <w:p>
            <w:pPr>
              <w:spacing w:line="440" w:lineRule="exact"/>
              <w:jc w:val="center"/>
              <w:rPr>
                <w:rFonts w:hint="eastAsia" w:ascii="宋体" w:hAnsi="宋体" w:cs="宋体"/>
                <w:color w:val="auto"/>
                <w:szCs w:val="21"/>
              </w:rPr>
            </w:pPr>
          </w:p>
        </w:tc>
        <w:tc>
          <w:tcPr>
            <w:tcW w:w="833" w:type="dxa"/>
            <w:vAlign w:val="center"/>
          </w:tcPr>
          <w:p>
            <w:pPr>
              <w:spacing w:line="440" w:lineRule="exact"/>
              <w:jc w:val="center"/>
              <w:rPr>
                <w:rFonts w:hint="eastAsia" w:ascii="宋体" w:hAnsi="宋体" w:cs="宋体"/>
                <w:color w:val="auto"/>
                <w:szCs w:val="21"/>
              </w:rPr>
            </w:pPr>
          </w:p>
        </w:tc>
        <w:tc>
          <w:tcPr>
            <w:tcW w:w="1251" w:type="dxa"/>
            <w:vAlign w:val="center"/>
          </w:tcPr>
          <w:p>
            <w:pPr>
              <w:spacing w:line="440" w:lineRule="exact"/>
              <w:jc w:val="center"/>
              <w:rPr>
                <w:rFonts w:hint="eastAsia" w:ascii="宋体" w:hAnsi="宋体" w:cs="宋体"/>
                <w:color w:val="auto"/>
                <w:szCs w:val="21"/>
              </w:rPr>
            </w:pPr>
          </w:p>
        </w:tc>
        <w:tc>
          <w:tcPr>
            <w:tcW w:w="833" w:type="dxa"/>
            <w:vAlign w:val="center"/>
          </w:tcPr>
          <w:p>
            <w:pPr>
              <w:spacing w:line="440" w:lineRule="exact"/>
              <w:jc w:val="center"/>
              <w:rPr>
                <w:rFonts w:hint="eastAsia" w:ascii="宋体" w:hAnsi="宋体" w:cs="宋体"/>
                <w:color w:val="auto"/>
                <w:szCs w:val="21"/>
              </w:rPr>
            </w:pPr>
          </w:p>
        </w:tc>
        <w:tc>
          <w:tcPr>
            <w:tcW w:w="835" w:type="dxa"/>
            <w:vAlign w:val="center"/>
          </w:tcPr>
          <w:p>
            <w:pPr>
              <w:spacing w:line="440" w:lineRule="exact"/>
              <w:jc w:val="center"/>
              <w:rPr>
                <w:rFonts w:hint="eastAsia" w:ascii="宋体" w:hAnsi="宋体" w:cs="宋体"/>
                <w:color w:val="auto"/>
                <w:szCs w:val="21"/>
              </w:rPr>
            </w:pPr>
          </w:p>
        </w:tc>
        <w:tc>
          <w:tcPr>
            <w:tcW w:w="833" w:type="dxa"/>
            <w:vAlign w:val="center"/>
          </w:tcPr>
          <w:p>
            <w:pPr>
              <w:spacing w:line="440" w:lineRule="exact"/>
              <w:jc w:val="center"/>
              <w:rPr>
                <w:rFonts w:hint="eastAsia" w:ascii="宋体" w:hAnsi="宋体" w:cs="宋体"/>
                <w:color w:val="auto"/>
                <w:szCs w:val="21"/>
              </w:rPr>
            </w:pPr>
          </w:p>
        </w:tc>
        <w:tc>
          <w:tcPr>
            <w:tcW w:w="2922" w:type="dxa"/>
            <w:vAlign w:val="center"/>
          </w:tcPr>
          <w:p>
            <w:pPr>
              <w:spacing w:line="440" w:lineRule="exact"/>
              <w:jc w:val="center"/>
              <w:rPr>
                <w:rFonts w:hint="eastAsia" w:ascii="宋体" w:hAnsi="宋体" w:cs="宋体"/>
                <w:color w:val="auto"/>
                <w:szCs w:val="21"/>
              </w:rPr>
            </w:pPr>
          </w:p>
        </w:tc>
        <w:tc>
          <w:tcPr>
            <w:tcW w:w="775" w:type="dxa"/>
            <w:vAlign w:val="center"/>
          </w:tcPr>
          <w:p>
            <w:pPr>
              <w:spacing w:line="440" w:lineRule="exact"/>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49" w:type="dxa"/>
            <w:vAlign w:val="top"/>
          </w:tcPr>
          <w:p>
            <w:pPr>
              <w:spacing w:line="440" w:lineRule="exact"/>
              <w:jc w:val="center"/>
              <w:rPr>
                <w:rFonts w:hint="eastAsia" w:ascii="宋体" w:hAnsi="宋体" w:cs="宋体"/>
                <w:color w:val="auto"/>
                <w:szCs w:val="21"/>
              </w:rPr>
            </w:pPr>
          </w:p>
        </w:tc>
        <w:tc>
          <w:tcPr>
            <w:tcW w:w="834" w:type="dxa"/>
            <w:vAlign w:val="top"/>
          </w:tcPr>
          <w:p>
            <w:pPr>
              <w:spacing w:line="440" w:lineRule="exact"/>
              <w:jc w:val="center"/>
              <w:rPr>
                <w:rFonts w:hint="eastAsia" w:ascii="宋体" w:hAnsi="宋体" w:cs="宋体"/>
                <w:color w:val="auto"/>
                <w:szCs w:val="21"/>
              </w:rPr>
            </w:pPr>
          </w:p>
        </w:tc>
        <w:tc>
          <w:tcPr>
            <w:tcW w:w="833" w:type="dxa"/>
            <w:vAlign w:val="top"/>
          </w:tcPr>
          <w:p>
            <w:pPr>
              <w:spacing w:line="440" w:lineRule="exact"/>
              <w:jc w:val="center"/>
              <w:rPr>
                <w:rFonts w:hint="eastAsia" w:ascii="宋体" w:hAnsi="宋体" w:cs="宋体"/>
                <w:color w:val="auto"/>
                <w:szCs w:val="21"/>
              </w:rPr>
            </w:pPr>
          </w:p>
        </w:tc>
        <w:tc>
          <w:tcPr>
            <w:tcW w:w="1251" w:type="dxa"/>
            <w:vAlign w:val="top"/>
          </w:tcPr>
          <w:p>
            <w:pPr>
              <w:spacing w:line="440" w:lineRule="exact"/>
              <w:jc w:val="center"/>
              <w:rPr>
                <w:rFonts w:hint="eastAsia" w:ascii="宋体" w:hAnsi="宋体" w:cs="宋体"/>
                <w:color w:val="auto"/>
                <w:szCs w:val="21"/>
              </w:rPr>
            </w:pPr>
          </w:p>
        </w:tc>
        <w:tc>
          <w:tcPr>
            <w:tcW w:w="833" w:type="dxa"/>
            <w:vAlign w:val="top"/>
          </w:tcPr>
          <w:p>
            <w:pPr>
              <w:spacing w:line="440" w:lineRule="exact"/>
              <w:jc w:val="center"/>
              <w:rPr>
                <w:rFonts w:hint="eastAsia" w:ascii="宋体" w:hAnsi="宋体" w:cs="宋体"/>
                <w:color w:val="auto"/>
                <w:szCs w:val="21"/>
              </w:rPr>
            </w:pPr>
          </w:p>
        </w:tc>
        <w:tc>
          <w:tcPr>
            <w:tcW w:w="835" w:type="dxa"/>
            <w:vAlign w:val="top"/>
          </w:tcPr>
          <w:p>
            <w:pPr>
              <w:spacing w:line="440" w:lineRule="exact"/>
              <w:jc w:val="center"/>
              <w:rPr>
                <w:rFonts w:hint="eastAsia" w:ascii="宋体" w:hAnsi="宋体" w:cs="宋体"/>
                <w:color w:val="auto"/>
                <w:szCs w:val="21"/>
              </w:rPr>
            </w:pPr>
          </w:p>
        </w:tc>
        <w:tc>
          <w:tcPr>
            <w:tcW w:w="833" w:type="dxa"/>
            <w:vAlign w:val="top"/>
          </w:tcPr>
          <w:p>
            <w:pPr>
              <w:spacing w:line="440" w:lineRule="exact"/>
              <w:jc w:val="center"/>
              <w:rPr>
                <w:rFonts w:hint="eastAsia" w:ascii="宋体" w:hAnsi="宋体" w:cs="宋体"/>
                <w:color w:val="auto"/>
                <w:szCs w:val="21"/>
              </w:rPr>
            </w:pPr>
          </w:p>
        </w:tc>
        <w:tc>
          <w:tcPr>
            <w:tcW w:w="2922" w:type="dxa"/>
            <w:vAlign w:val="top"/>
          </w:tcPr>
          <w:p>
            <w:pPr>
              <w:spacing w:line="440" w:lineRule="exact"/>
              <w:jc w:val="center"/>
              <w:rPr>
                <w:rFonts w:hint="eastAsia" w:ascii="宋体" w:hAnsi="宋体" w:cs="宋体"/>
                <w:color w:val="auto"/>
                <w:szCs w:val="21"/>
              </w:rPr>
            </w:pPr>
          </w:p>
        </w:tc>
        <w:tc>
          <w:tcPr>
            <w:tcW w:w="775" w:type="dxa"/>
            <w:vAlign w:val="top"/>
          </w:tcPr>
          <w:p>
            <w:pPr>
              <w:spacing w:line="440" w:lineRule="exact"/>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49" w:type="dxa"/>
            <w:vAlign w:val="top"/>
          </w:tcPr>
          <w:p>
            <w:pPr>
              <w:spacing w:line="440" w:lineRule="exact"/>
              <w:jc w:val="center"/>
              <w:rPr>
                <w:rFonts w:hint="eastAsia" w:ascii="宋体" w:hAnsi="宋体" w:cs="宋体"/>
                <w:color w:val="auto"/>
                <w:szCs w:val="21"/>
              </w:rPr>
            </w:pPr>
          </w:p>
        </w:tc>
        <w:tc>
          <w:tcPr>
            <w:tcW w:w="834" w:type="dxa"/>
            <w:vAlign w:val="top"/>
          </w:tcPr>
          <w:p>
            <w:pPr>
              <w:spacing w:line="440" w:lineRule="exact"/>
              <w:jc w:val="center"/>
              <w:rPr>
                <w:rFonts w:hint="eastAsia" w:ascii="宋体" w:hAnsi="宋体" w:cs="宋体"/>
                <w:color w:val="auto"/>
                <w:szCs w:val="21"/>
              </w:rPr>
            </w:pPr>
          </w:p>
        </w:tc>
        <w:tc>
          <w:tcPr>
            <w:tcW w:w="833" w:type="dxa"/>
            <w:vAlign w:val="top"/>
          </w:tcPr>
          <w:p>
            <w:pPr>
              <w:spacing w:line="440" w:lineRule="exact"/>
              <w:jc w:val="center"/>
              <w:rPr>
                <w:rFonts w:hint="eastAsia" w:ascii="宋体" w:hAnsi="宋体" w:cs="宋体"/>
                <w:color w:val="auto"/>
                <w:szCs w:val="21"/>
              </w:rPr>
            </w:pPr>
          </w:p>
        </w:tc>
        <w:tc>
          <w:tcPr>
            <w:tcW w:w="1251" w:type="dxa"/>
            <w:vAlign w:val="top"/>
          </w:tcPr>
          <w:p>
            <w:pPr>
              <w:spacing w:line="440" w:lineRule="exact"/>
              <w:jc w:val="center"/>
              <w:rPr>
                <w:rFonts w:hint="eastAsia" w:ascii="宋体" w:hAnsi="宋体" w:cs="宋体"/>
                <w:color w:val="auto"/>
                <w:szCs w:val="21"/>
              </w:rPr>
            </w:pPr>
          </w:p>
        </w:tc>
        <w:tc>
          <w:tcPr>
            <w:tcW w:w="833" w:type="dxa"/>
            <w:vAlign w:val="top"/>
          </w:tcPr>
          <w:p>
            <w:pPr>
              <w:spacing w:line="440" w:lineRule="exact"/>
              <w:jc w:val="center"/>
              <w:rPr>
                <w:rFonts w:hint="eastAsia" w:ascii="宋体" w:hAnsi="宋体" w:cs="宋体"/>
                <w:color w:val="auto"/>
                <w:szCs w:val="21"/>
              </w:rPr>
            </w:pPr>
          </w:p>
        </w:tc>
        <w:tc>
          <w:tcPr>
            <w:tcW w:w="835" w:type="dxa"/>
            <w:vAlign w:val="top"/>
          </w:tcPr>
          <w:p>
            <w:pPr>
              <w:spacing w:line="440" w:lineRule="exact"/>
              <w:jc w:val="center"/>
              <w:rPr>
                <w:rFonts w:hint="eastAsia" w:ascii="宋体" w:hAnsi="宋体" w:cs="宋体"/>
                <w:color w:val="auto"/>
                <w:szCs w:val="21"/>
              </w:rPr>
            </w:pPr>
          </w:p>
        </w:tc>
        <w:tc>
          <w:tcPr>
            <w:tcW w:w="833" w:type="dxa"/>
            <w:vAlign w:val="top"/>
          </w:tcPr>
          <w:p>
            <w:pPr>
              <w:spacing w:line="440" w:lineRule="exact"/>
              <w:jc w:val="center"/>
              <w:rPr>
                <w:rFonts w:hint="eastAsia" w:ascii="宋体" w:hAnsi="宋体" w:cs="宋体"/>
                <w:color w:val="auto"/>
                <w:szCs w:val="21"/>
              </w:rPr>
            </w:pPr>
          </w:p>
        </w:tc>
        <w:tc>
          <w:tcPr>
            <w:tcW w:w="2922" w:type="dxa"/>
            <w:vAlign w:val="top"/>
          </w:tcPr>
          <w:p>
            <w:pPr>
              <w:spacing w:line="440" w:lineRule="exact"/>
              <w:jc w:val="center"/>
              <w:rPr>
                <w:rFonts w:hint="eastAsia" w:ascii="宋体" w:hAnsi="宋体" w:cs="宋体"/>
                <w:color w:val="auto"/>
                <w:szCs w:val="21"/>
              </w:rPr>
            </w:pPr>
          </w:p>
        </w:tc>
        <w:tc>
          <w:tcPr>
            <w:tcW w:w="775" w:type="dxa"/>
            <w:vAlign w:val="top"/>
          </w:tcPr>
          <w:p>
            <w:pPr>
              <w:spacing w:line="440" w:lineRule="exact"/>
              <w:jc w:val="center"/>
              <w:rPr>
                <w:rFonts w:hint="eastAsia" w:ascii="宋体" w:hAnsi="宋体" w:cs="宋体"/>
                <w:color w:val="auto"/>
                <w:szCs w:val="21"/>
              </w:rPr>
            </w:pPr>
          </w:p>
        </w:tc>
      </w:tr>
      <w:bookmarkEnd w:id="1284"/>
      <w:bookmarkEnd w:id="1285"/>
      <w:bookmarkEnd w:id="1286"/>
      <w:bookmarkEnd w:id="1287"/>
      <w:bookmarkEnd w:id="1288"/>
      <w:bookmarkEnd w:id="1289"/>
    </w:tbl>
    <w:p>
      <w:pPr>
        <w:pStyle w:val="6"/>
        <w:jc w:val="center"/>
        <w:rPr>
          <w:rFonts w:hint="eastAsia" w:ascii="宋体" w:hAnsi="宋体" w:eastAsia="宋体" w:cs="宋体"/>
          <w:color w:val="auto"/>
        </w:rPr>
      </w:pPr>
    </w:p>
    <w:p>
      <w:pPr>
        <w:rPr>
          <w:rFonts w:hint="eastAsia" w:ascii="宋体" w:hAnsi="宋体" w:cs="宋体"/>
          <w:color w:val="auto"/>
        </w:rPr>
      </w:pPr>
    </w:p>
    <w:p>
      <w:pPr>
        <w:pStyle w:val="2"/>
        <w:rPr>
          <w:rFonts w:hint="eastAsia" w:ascii="宋体" w:hAnsi="宋体" w:cs="宋体"/>
          <w:color w:val="auto"/>
        </w:rPr>
      </w:pPr>
    </w:p>
    <w:p>
      <w:pPr>
        <w:pStyle w:val="3"/>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6"/>
        <w:jc w:val="center"/>
        <w:rPr>
          <w:rFonts w:hint="eastAsia" w:ascii="宋体" w:hAnsi="宋体" w:eastAsia="宋体" w:cs="宋体"/>
          <w:color w:val="auto"/>
        </w:rPr>
      </w:pPr>
      <w:bookmarkStart w:id="1302" w:name="_Toc499738292"/>
      <w:bookmarkStart w:id="1303" w:name="_Toc456356137"/>
      <w:r>
        <w:rPr>
          <w:rFonts w:hint="eastAsia" w:ascii="宋体" w:hAnsi="宋体" w:eastAsia="宋体" w:cs="宋体"/>
          <w:color w:val="auto"/>
        </w:rPr>
        <w:t>七、其他资料</w:t>
      </w:r>
      <w:bookmarkEnd w:id="1302"/>
      <w:bookmarkEnd w:id="1303"/>
    </w:p>
    <w:p>
      <w:pPr>
        <w:jc w:val="center"/>
        <w:rPr>
          <w:rFonts w:hint="eastAsia" w:ascii="宋体" w:hAnsi="宋体" w:cs="宋体"/>
          <w:color w:val="auto"/>
        </w:rPr>
      </w:pPr>
    </w:p>
    <w:p>
      <w:pPr>
        <w:jc w:val="center"/>
        <w:rPr>
          <w:rFonts w:hint="eastAsia" w:ascii="宋体" w:hAnsi="宋体" w:cs="宋体"/>
          <w:color w:val="auto"/>
        </w:rPr>
      </w:pPr>
    </w:p>
    <w:p>
      <w:pPr>
        <w:jc w:val="center"/>
        <w:rPr>
          <w:rFonts w:hint="eastAsia" w:ascii="宋体" w:hAnsi="宋体" w:cs="宋体"/>
          <w:color w:val="auto"/>
        </w:rPr>
      </w:pPr>
    </w:p>
    <w:p>
      <w:pPr>
        <w:jc w:val="center"/>
        <w:rPr>
          <w:rFonts w:hint="eastAsia" w:ascii="宋体" w:hAnsi="宋体" w:cs="宋体"/>
          <w:color w:val="auto"/>
        </w:rPr>
      </w:pPr>
    </w:p>
    <w:p>
      <w:pPr>
        <w:jc w:val="center"/>
        <w:rPr>
          <w:rFonts w:hint="eastAsia" w:ascii="宋体" w:hAnsi="宋体" w:cs="宋体"/>
          <w:color w:val="auto"/>
        </w:rPr>
      </w:pPr>
    </w:p>
    <w:p>
      <w:pPr>
        <w:jc w:val="center"/>
        <w:rPr>
          <w:rFonts w:hint="eastAsia" w:ascii="宋体" w:hAnsi="宋体" w:cs="宋体"/>
          <w:color w:val="auto"/>
        </w:rPr>
      </w:pPr>
    </w:p>
    <w:p>
      <w:pPr>
        <w:jc w:val="center"/>
        <w:rPr>
          <w:rFonts w:hint="eastAsia" w:ascii="宋体" w:hAnsi="宋体" w:cs="宋体"/>
          <w:color w:val="auto"/>
        </w:rPr>
      </w:pPr>
    </w:p>
    <w:p>
      <w:pPr>
        <w:jc w:val="center"/>
        <w:rPr>
          <w:rFonts w:hint="eastAsia" w:ascii="宋体" w:hAnsi="宋体" w:cs="宋体"/>
          <w:color w:val="auto"/>
        </w:rPr>
      </w:pPr>
    </w:p>
    <w:p>
      <w:pPr>
        <w:jc w:val="center"/>
        <w:rPr>
          <w:rFonts w:hint="eastAsia" w:ascii="宋体" w:hAnsi="宋体" w:cs="宋体"/>
          <w:color w:val="auto"/>
        </w:rPr>
      </w:pPr>
    </w:p>
    <w:p>
      <w:pPr>
        <w:jc w:val="center"/>
        <w:rPr>
          <w:rFonts w:hint="eastAsia" w:ascii="宋体" w:hAnsi="宋体" w:cs="宋体"/>
          <w:color w:val="auto"/>
        </w:rPr>
      </w:pPr>
    </w:p>
    <w:p>
      <w:pPr>
        <w:jc w:val="center"/>
        <w:rPr>
          <w:rFonts w:hint="eastAsia" w:ascii="宋体" w:hAnsi="宋体" w:cs="宋体"/>
          <w:color w:val="auto"/>
        </w:rPr>
      </w:pPr>
    </w:p>
    <w:p>
      <w:pPr>
        <w:jc w:val="center"/>
        <w:rPr>
          <w:rFonts w:hint="eastAsia" w:ascii="宋体" w:hAnsi="宋体" w:cs="宋体"/>
          <w:color w:val="auto"/>
        </w:rPr>
      </w:pPr>
    </w:p>
    <w:p>
      <w:pPr>
        <w:jc w:val="center"/>
        <w:rPr>
          <w:rFonts w:hint="eastAsia" w:ascii="宋体" w:hAnsi="宋体" w:cs="宋体"/>
          <w:color w:val="auto"/>
        </w:rPr>
      </w:pPr>
    </w:p>
    <w:p>
      <w:pPr>
        <w:jc w:val="center"/>
        <w:rPr>
          <w:rFonts w:hint="eastAsia" w:ascii="宋体" w:hAnsi="宋体" w:cs="宋体"/>
          <w:color w:val="auto"/>
        </w:rPr>
      </w:pPr>
    </w:p>
    <w:p>
      <w:pPr>
        <w:jc w:val="center"/>
        <w:rPr>
          <w:rFonts w:hint="eastAsia" w:ascii="宋体" w:hAnsi="宋体" w:cs="宋体"/>
          <w:color w:val="auto"/>
        </w:rPr>
      </w:pPr>
    </w:p>
    <w:p>
      <w:pPr>
        <w:jc w:val="center"/>
        <w:rPr>
          <w:rFonts w:hint="eastAsia" w:ascii="宋体" w:hAnsi="宋体" w:cs="宋体"/>
          <w:color w:val="auto"/>
        </w:rPr>
      </w:pPr>
    </w:p>
    <w:p>
      <w:pPr>
        <w:jc w:val="center"/>
        <w:rPr>
          <w:rFonts w:hint="eastAsia" w:ascii="宋体" w:hAnsi="宋体" w:cs="宋体"/>
          <w:color w:val="auto"/>
        </w:rPr>
      </w:pPr>
    </w:p>
    <w:p>
      <w:pPr>
        <w:jc w:val="center"/>
        <w:rPr>
          <w:rFonts w:hint="eastAsia" w:ascii="宋体" w:hAnsi="宋体" w:cs="宋体"/>
          <w:color w:val="auto"/>
        </w:rPr>
      </w:pPr>
    </w:p>
    <w:p>
      <w:pPr>
        <w:jc w:val="center"/>
        <w:rPr>
          <w:rFonts w:hint="eastAsia" w:ascii="宋体" w:hAnsi="宋体" w:cs="宋体"/>
          <w:color w:val="auto"/>
        </w:rPr>
      </w:pPr>
    </w:p>
    <w:p>
      <w:pPr>
        <w:jc w:val="center"/>
        <w:rPr>
          <w:rFonts w:hint="eastAsia" w:ascii="宋体" w:hAnsi="宋体" w:cs="宋体"/>
          <w:color w:val="auto"/>
        </w:rPr>
      </w:pPr>
    </w:p>
    <w:p>
      <w:pPr>
        <w:jc w:val="center"/>
        <w:rPr>
          <w:rFonts w:hint="eastAsia" w:ascii="宋体" w:hAnsi="宋体" w:cs="宋体"/>
          <w:color w:val="auto"/>
        </w:rPr>
      </w:pPr>
    </w:p>
    <w:p>
      <w:pPr>
        <w:rPr>
          <w:rFonts w:hint="eastAsia" w:ascii="宋体" w:hAnsi="宋体" w:cs="宋体"/>
          <w:color w:val="auto"/>
        </w:rPr>
      </w:pPr>
    </w:p>
    <w:p>
      <w:pPr>
        <w:rPr>
          <w:rFonts w:hint="eastAsia" w:ascii="宋体" w:hAnsi="宋体" w:cs="宋体"/>
          <w:color w:val="auto"/>
        </w:rPr>
      </w:pPr>
    </w:p>
    <w:p>
      <w:pPr>
        <w:spacing w:line="360" w:lineRule="auto"/>
        <w:ind w:right="6"/>
        <w:rPr>
          <w:rFonts w:hint="eastAsia" w:ascii="宋体" w:hAnsi="宋体" w:cs="宋体"/>
          <w:color w:val="auto"/>
          <w:sz w:val="28"/>
          <w:szCs w:val="28"/>
        </w:rPr>
      </w:pPr>
      <w:bookmarkStart w:id="1304" w:name="_Toc460778521"/>
      <w:bookmarkStart w:id="1305" w:name="_Toc152042584"/>
      <w:bookmarkStart w:id="1306" w:name="_Toc456356139"/>
      <w:bookmarkStart w:id="1307" w:name="_Toc455734854"/>
      <w:bookmarkStart w:id="1308" w:name="_Toc247527835"/>
      <w:bookmarkStart w:id="1309" w:name="_Toc144974863"/>
      <w:bookmarkStart w:id="1310" w:name="_Toc247514287"/>
      <w:bookmarkStart w:id="1311" w:name="_Toc152045795"/>
      <w:r>
        <w:rPr>
          <w:rFonts w:hint="eastAsia" w:ascii="宋体" w:hAnsi="宋体" w:cs="宋体"/>
          <w:color w:val="auto"/>
        </w:rPr>
        <w:br w:type="page"/>
      </w:r>
      <w:bookmarkEnd w:id="1304"/>
      <w:bookmarkEnd w:id="1305"/>
      <w:bookmarkEnd w:id="1306"/>
      <w:bookmarkEnd w:id="1307"/>
      <w:bookmarkEnd w:id="1308"/>
      <w:bookmarkEnd w:id="1309"/>
      <w:bookmarkEnd w:id="1310"/>
      <w:bookmarkEnd w:id="1311"/>
    </w:p>
    <w:p>
      <w:pPr>
        <w:rPr>
          <w:rFonts w:hint="eastAsia" w:ascii="宋体" w:hAnsi="宋体" w:cs="宋体"/>
          <w:color w:val="auto"/>
        </w:rPr>
      </w:pPr>
    </w:p>
    <w:p>
      <w:pPr>
        <w:pStyle w:val="5"/>
        <w:numPr>
          <w:ilvl w:val="0"/>
          <w:numId w:val="12"/>
        </w:numPr>
        <w:jc w:val="center"/>
        <w:rPr>
          <w:rFonts w:hint="eastAsia" w:ascii="宋体" w:hAnsi="宋体" w:cs="宋体"/>
          <w:color w:val="auto"/>
          <w:sz w:val="28"/>
          <w:szCs w:val="28"/>
        </w:rPr>
      </w:pPr>
      <w:bookmarkStart w:id="1312" w:name="_Toc499738294"/>
      <w:r>
        <w:rPr>
          <w:rFonts w:hint="eastAsia" w:ascii="宋体" w:hAnsi="宋体" w:cs="宋体"/>
          <w:color w:val="auto"/>
          <w:sz w:val="28"/>
          <w:szCs w:val="28"/>
        </w:rPr>
        <w:t>技术部分格式</w:t>
      </w:r>
      <w:bookmarkEnd w:id="1312"/>
    </w:p>
    <w:p>
      <w:pPr>
        <w:rPr>
          <w:rFonts w:hint="eastAsia" w:ascii="宋体" w:hAnsi="宋体" w:cs="宋体"/>
          <w:color w:val="auto"/>
        </w:rPr>
      </w:pPr>
    </w:p>
    <w:p>
      <w:pPr>
        <w:rPr>
          <w:rFonts w:hint="eastAsia" w:ascii="宋体" w:hAnsi="宋体" w:cs="宋体"/>
          <w:color w:val="auto"/>
        </w:rPr>
      </w:pPr>
    </w:p>
    <w:p>
      <w:pPr>
        <w:jc w:val="center"/>
        <w:rPr>
          <w:rFonts w:hint="eastAsia" w:ascii="宋体" w:hAnsi="宋体" w:cs="宋体"/>
          <w:color w:val="auto"/>
          <w:sz w:val="48"/>
          <w:szCs w:val="48"/>
        </w:rPr>
      </w:pPr>
    </w:p>
    <w:p>
      <w:pPr>
        <w:jc w:val="center"/>
        <w:rPr>
          <w:rFonts w:hint="eastAsia" w:ascii="宋体" w:hAnsi="宋体" w:cs="宋体"/>
          <w:color w:val="auto"/>
          <w:sz w:val="48"/>
          <w:szCs w:val="48"/>
        </w:rPr>
      </w:pPr>
      <w:r>
        <w:rPr>
          <w:rFonts w:hint="eastAsia" w:ascii="宋体" w:hAnsi="宋体" w:cs="宋体"/>
          <w:color w:val="auto"/>
          <w:sz w:val="48"/>
          <w:szCs w:val="48"/>
        </w:rPr>
        <w:t>杨树塘路道路工程建设项目设计施工总承包（EPC）</w:t>
      </w:r>
    </w:p>
    <w:p>
      <w:pPr>
        <w:rPr>
          <w:rFonts w:hint="eastAsia" w:ascii="宋体" w:hAnsi="宋体" w:cs="宋体"/>
          <w:color w:val="auto"/>
          <w:sz w:val="20"/>
          <w:szCs w:val="20"/>
        </w:rPr>
      </w:pPr>
    </w:p>
    <w:p>
      <w:pPr>
        <w:rPr>
          <w:rFonts w:hint="eastAsia" w:ascii="宋体" w:hAnsi="宋体" w:cs="宋体"/>
          <w:color w:val="auto"/>
          <w:sz w:val="20"/>
          <w:szCs w:val="20"/>
        </w:rPr>
      </w:pPr>
    </w:p>
    <w:p>
      <w:pPr>
        <w:rPr>
          <w:rFonts w:hint="eastAsia" w:ascii="宋体" w:hAnsi="宋体" w:cs="宋体"/>
          <w:color w:val="auto"/>
          <w:sz w:val="20"/>
          <w:szCs w:val="20"/>
        </w:rPr>
      </w:pPr>
    </w:p>
    <w:p>
      <w:pPr>
        <w:rPr>
          <w:rFonts w:hint="eastAsia" w:ascii="宋体" w:hAnsi="宋体" w:cs="宋体"/>
          <w:color w:val="auto"/>
          <w:sz w:val="20"/>
          <w:szCs w:val="20"/>
        </w:rPr>
      </w:pPr>
    </w:p>
    <w:p>
      <w:pPr>
        <w:rPr>
          <w:rFonts w:hint="eastAsia" w:ascii="宋体" w:hAnsi="宋体" w:cs="宋体"/>
          <w:color w:val="auto"/>
          <w:sz w:val="20"/>
          <w:szCs w:val="20"/>
        </w:rPr>
      </w:pPr>
    </w:p>
    <w:p>
      <w:pPr>
        <w:rPr>
          <w:rFonts w:hint="eastAsia" w:ascii="宋体" w:hAnsi="宋体" w:cs="宋体"/>
          <w:color w:val="auto"/>
          <w:sz w:val="20"/>
          <w:szCs w:val="20"/>
        </w:rPr>
      </w:pPr>
    </w:p>
    <w:p>
      <w:pPr>
        <w:jc w:val="center"/>
        <w:rPr>
          <w:rFonts w:hint="eastAsia" w:ascii="宋体" w:hAnsi="宋体" w:cs="宋体"/>
          <w:color w:val="auto"/>
          <w:sz w:val="48"/>
          <w:szCs w:val="48"/>
        </w:rPr>
      </w:pPr>
      <w:r>
        <w:rPr>
          <w:rFonts w:hint="eastAsia" w:ascii="宋体" w:hAnsi="宋体" w:cs="宋体"/>
          <w:color w:val="auto"/>
          <w:sz w:val="48"/>
          <w:szCs w:val="48"/>
        </w:rPr>
        <w:t>投  标  文  件</w:t>
      </w:r>
    </w:p>
    <w:p>
      <w:pPr>
        <w:jc w:val="center"/>
        <w:rPr>
          <w:rFonts w:hint="eastAsia" w:ascii="宋体" w:hAnsi="宋体" w:cs="宋体"/>
          <w:color w:val="auto"/>
          <w:sz w:val="32"/>
          <w:szCs w:val="32"/>
        </w:rPr>
      </w:pPr>
      <w:r>
        <w:rPr>
          <w:rFonts w:hint="eastAsia" w:ascii="宋体" w:hAnsi="宋体" w:cs="宋体"/>
          <w:color w:val="auto"/>
          <w:sz w:val="32"/>
          <w:szCs w:val="32"/>
        </w:rPr>
        <w:t>（技术部分）</w:t>
      </w:r>
    </w:p>
    <w:p>
      <w:pPr>
        <w:jc w:val="center"/>
        <w:rPr>
          <w:rFonts w:hint="eastAsia" w:ascii="宋体" w:hAnsi="宋体" w:cs="宋体"/>
          <w:color w:val="auto"/>
          <w:sz w:val="28"/>
          <w:szCs w:val="28"/>
        </w:rPr>
      </w:pPr>
      <w:r>
        <w:rPr>
          <w:rFonts w:hint="eastAsia" w:ascii="宋体" w:hAnsi="宋体" w:cs="宋体"/>
          <w:color w:val="auto"/>
          <w:sz w:val="28"/>
          <w:szCs w:val="28"/>
        </w:rPr>
        <w:t>招标编号：</w:t>
      </w:r>
    </w:p>
    <w:p>
      <w:pPr>
        <w:rPr>
          <w:rFonts w:hint="eastAsia" w:ascii="宋体" w:hAnsi="宋体" w:cs="宋体"/>
          <w:color w:val="auto"/>
          <w:sz w:val="28"/>
          <w:szCs w:val="28"/>
        </w:rPr>
      </w:pPr>
    </w:p>
    <w:p>
      <w:pPr>
        <w:rPr>
          <w:rFonts w:hint="eastAsia" w:ascii="宋体" w:hAnsi="宋体" w:cs="宋体"/>
          <w:color w:val="auto"/>
          <w:sz w:val="28"/>
          <w:szCs w:val="28"/>
        </w:rPr>
      </w:pPr>
    </w:p>
    <w:p>
      <w:pPr>
        <w:rPr>
          <w:rFonts w:hint="eastAsia" w:ascii="宋体" w:hAnsi="宋体" w:cs="宋体"/>
          <w:color w:val="auto"/>
          <w:sz w:val="28"/>
          <w:szCs w:val="28"/>
        </w:rPr>
      </w:pPr>
    </w:p>
    <w:p>
      <w:pPr>
        <w:rPr>
          <w:rFonts w:hint="eastAsia" w:ascii="宋体" w:hAnsi="宋体" w:cs="宋体"/>
          <w:color w:val="auto"/>
          <w:sz w:val="28"/>
          <w:szCs w:val="28"/>
        </w:rPr>
      </w:pPr>
    </w:p>
    <w:p>
      <w:pPr>
        <w:rPr>
          <w:rFonts w:hint="eastAsia" w:ascii="宋体" w:hAnsi="宋体" w:cs="宋体"/>
          <w:color w:val="auto"/>
          <w:sz w:val="28"/>
          <w:szCs w:val="28"/>
        </w:rPr>
      </w:pPr>
    </w:p>
    <w:p>
      <w:pPr>
        <w:jc w:val="center"/>
        <w:rPr>
          <w:rFonts w:hint="eastAsia" w:ascii="宋体" w:hAnsi="宋体" w:cs="宋体"/>
          <w:color w:val="auto"/>
          <w:sz w:val="28"/>
          <w:szCs w:val="28"/>
          <w:u w:val="single"/>
        </w:rPr>
      </w:pPr>
      <w:r>
        <w:rPr>
          <w:rFonts w:hint="eastAsia" w:ascii="宋体" w:hAnsi="宋体" w:cs="宋体"/>
          <w:color w:val="auto"/>
          <w:sz w:val="28"/>
          <w:szCs w:val="28"/>
        </w:rPr>
        <w:t>投标人：</w:t>
      </w:r>
      <w:r>
        <w:rPr>
          <w:rFonts w:hint="eastAsia" w:ascii="宋体" w:hAnsi="宋体" w:cs="宋体"/>
          <w:color w:val="auto"/>
          <w:sz w:val="28"/>
          <w:szCs w:val="28"/>
          <w:u w:val="single"/>
        </w:rPr>
        <w:t xml:space="preserve">                              </w:t>
      </w:r>
      <w:r>
        <w:rPr>
          <w:rFonts w:hint="eastAsia" w:ascii="宋体" w:hAnsi="宋体" w:cs="宋体"/>
          <w:color w:val="auto"/>
          <w:sz w:val="28"/>
          <w:szCs w:val="28"/>
        </w:rPr>
        <w:t>（盖单位章）</w:t>
      </w:r>
    </w:p>
    <w:p>
      <w:pPr>
        <w:jc w:val="center"/>
        <w:rPr>
          <w:rFonts w:hint="eastAsia" w:ascii="宋体" w:hAnsi="宋体" w:cs="宋体"/>
          <w:color w:val="auto"/>
          <w:sz w:val="28"/>
          <w:szCs w:val="28"/>
        </w:rPr>
      </w:pPr>
      <w:r>
        <w:rPr>
          <w:rFonts w:hint="eastAsia" w:ascii="宋体" w:hAnsi="宋体" w:cs="宋体"/>
          <w:color w:val="auto"/>
          <w:sz w:val="28"/>
          <w:szCs w:val="28"/>
        </w:rPr>
        <w:t>法定代表人或其委托代理人：</w:t>
      </w:r>
      <w:r>
        <w:rPr>
          <w:rFonts w:hint="eastAsia" w:ascii="宋体" w:hAnsi="宋体" w:cs="宋体"/>
          <w:color w:val="auto"/>
          <w:sz w:val="28"/>
          <w:szCs w:val="28"/>
          <w:u w:val="single"/>
        </w:rPr>
        <w:t xml:space="preserve">                </w:t>
      </w:r>
      <w:r>
        <w:rPr>
          <w:rFonts w:hint="eastAsia" w:ascii="宋体" w:hAnsi="宋体" w:cs="宋体"/>
          <w:color w:val="auto"/>
          <w:sz w:val="28"/>
          <w:szCs w:val="28"/>
        </w:rPr>
        <w:t>（签字）</w:t>
      </w:r>
    </w:p>
    <w:p>
      <w:pPr>
        <w:jc w:val="center"/>
        <w:rPr>
          <w:rFonts w:hint="eastAsia" w:ascii="宋体" w:hAnsi="宋体" w:cs="宋体"/>
          <w:color w:val="auto"/>
          <w:sz w:val="28"/>
          <w:szCs w:val="28"/>
        </w:rPr>
      </w:pPr>
      <w:r>
        <w:rPr>
          <w:rFonts w:hint="eastAsia" w:ascii="宋体" w:hAnsi="宋体" w:cs="宋体"/>
          <w:color w:val="auto"/>
          <w:sz w:val="28"/>
          <w:szCs w:val="28"/>
          <w:u w:val="single"/>
        </w:rPr>
        <w:t xml:space="preserve">        </w:t>
      </w:r>
      <w:r>
        <w:rPr>
          <w:rFonts w:hint="eastAsia" w:ascii="宋体" w:hAnsi="宋体" w:cs="宋体"/>
          <w:color w:val="auto"/>
          <w:sz w:val="28"/>
          <w:szCs w:val="28"/>
        </w:rPr>
        <w:t>年</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p>
    <w:p>
      <w:pPr>
        <w:rPr>
          <w:rFonts w:hint="eastAsia" w:ascii="宋体" w:hAnsi="宋体" w:cs="宋体"/>
          <w:color w:val="auto"/>
        </w:rPr>
      </w:pPr>
    </w:p>
    <w:p>
      <w:pPr>
        <w:rPr>
          <w:rFonts w:hint="eastAsia" w:ascii="宋体" w:hAnsi="宋体" w:cs="宋体"/>
          <w:color w:val="auto"/>
        </w:rPr>
      </w:pPr>
    </w:p>
    <w:p>
      <w:pPr>
        <w:pStyle w:val="6"/>
        <w:jc w:val="center"/>
        <w:rPr>
          <w:rFonts w:hint="eastAsia" w:ascii="宋体" w:hAnsi="宋体" w:eastAsia="宋体" w:cs="宋体"/>
          <w:color w:val="auto"/>
        </w:rPr>
      </w:pPr>
      <w:bookmarkStart w:id="1313" w:name="_Toc476061426"/>
      <w:bookmarkStart w:id="1314" w:name="_Toc499738295"/>
      <w:r>
        <w:rPr>
          <w:rFonts w:hint="eastAsia" w:ascii="宋体" w:hAnsi="宋体" w:eastAsia="宋体" w:cs="宋体"/>
          <w:color w:val="auto"/>
        </w:rPr>
        <w:t>第一部分 承包人设计</w:t>
      </w:r>
      <w:bookmarkEnd w:id="1313"/>
      <w:r>
        <w:rPr>
          <w:rFonts w:hint="eastAsia" w:ascii="宋体" w:hAnsi="宋体" w:eastAsia="宋体" w:cs="宋体"/>
          <w:color w:val="auto"/>
        </w:rPr>
        <w:t>方案</w:t>
      </w:r>
      <w:bookmarkEnd w:id="1314"/>
    </w:p>
    <w:p>
      <w:pPr>
        <w:rPr>
          <w:color w:val="auto"/>
        </w:rPr>
      </w:pPr>
      <w:r>
        <w:rPr>
          <w:rFonts w:hint="eastAsia" w:ascii="宋体" w:hAnsi="宋体" w:cs="宋体"/>
          <w:color w:val="auto"/>
          <w:szCs w:val="21"/>
        </w:rPr>
        <w:t>承包人设计方案格式自定，包括下列内容（按此顺序）：</w:t>
      </w:r>
    </w:p>
    <w:p>
      <w:pPr>
        <w:spacing w:line="500" w:lineRule="exact"/>
        <w:rPr>
          <w:rFonts w:hint="eastAsia" w:ascii="宋体" w:hAnsi="宋体" w:eastAsia="宋体" w:cs="宋体"/>
          <w:color w:val="auto"/>
          <w:szCs w:val="21"/>
          <w:lang w:eastAsia="zh-CN"/>
        </w:rPr>
      </w:pPr>
      <w:r>
        <w:rPr>
          <w:rFonts w:hint="eastAsia" w:ascii="宋体" w:hAnsi="宋体" w:cs="宋体"/>
          <w:color w:val="auto"/>
          <w:szCs w:val="21"/>
        </w:rPr>
        <w:t>1. 对招标项目设计优化各个功能及分项设计优化</w:t>
      </w:r>
      <w:r>
        <w:rPr>
          <w:rFonts w:hint="eastAsia" w:ascii="宋体" w:hAnsi="宋体" w:cs="宋体"/>
          <w:color w:val="auto"/>
          <w:szCs w:val="21"/>
          <w:lang w:eastAsia="zh-CN"/>
        </w:rPr>
        <w:t>；</w:t>
      </w:r>
    </w:p>
    <w:p>
      <w:pPr>
        <w:spacing w:line="500" w:lineRule="exact"/>
        <w:rPr>
          <w:rFonts w:hint="eastAsia" w:ascii="宋体" w:hAnsi="宋体" w:cs="宋体"/>
          <w:color w:val="auto"/>
          <w:szCs w:val="21"/>
        </w:rPr>
      </w:pPr>
      <w:r>
        <w:rPr>
          <w:rFonts w:hint="eastAsia" w:ascii="宋体" w:hAnsi="宋体" w:cs="宋体"/>
          <w:color w:val="auto"/>
          <w:szCs w:val="21"/>
        </w:rPr>
        <w:t>2. 对招标项目技术可行性；</w:t>
      </w:r>
    </w:p>
    <w:p>
      <w:pPr>
        <w:spacing w:line="500" w:lineRule="exact"/>
        <w:rPr>
          <w:rFonts w:hint="eastAsia" w:ascii="宋体" w:hAnsi="宋体" w:cs="宋体"/>
          <w:color w:val="auto"/>
          <w:szCs w:val="21"/>
        </w:rPr>
      </w:pPr>
      <w:r>
        <w:rPr>
          <w:rFonts w:hint="eastAsia" w:ascii="宋体" w:hAnsi="宋体" w:cs="宋体"/>
          <w:color w:val="auto"/>
          <w:szCs w:val="21"/>
        </w:rPr>
        <w:t>3. 对本工程设计重点、难点的认识及对策设计组织安排；</w:t>
      </w:r>
    </w:p>
    <w:p>
      <w:pPr>
        <w:spacing w:line="500" w:lineRule="exact"/>
        <w:rPr>
          <w:rFonts w:hint="eastAsia" w:ascii="宋体" w:hAnsi="宋体" w:cs="宋体"/>
          <w:color w:val="auto"/>
          <w:szCs w:val="21"/>
        </w:rPr>
      </w:pPr>
      <w:r>
        <w:rPr>
          <w:rFonts w:hint="eastAsia" w:ascii="宋体" w:hAnsi="宋体" w:cs="宋体"/>
          <w:color w:val="auto"/>
          <w:szCs w:val="21"/>
        </w:rPr>
        <w:t>4. 对招标项目设计的完整性</w:t>
      </w:r>
      <w:r>
        <w:rPr>
          <w:rFonts w:hint="eastAsia" w:ascii="宋体" w:hAnsi="宋体" w:cs="宋体"/>
          <w:color w:val="auto"/>
          <w:szCs w:val="21"/>
          <w:lang w:eastAsia="zh-CN"/>
        </w:rPr>
        <w:t>（含</w:t>
      </w:r>
      <w:r>
        <w:rPr>
          <w:rFonts w:hint="eastAsia" w:ascii="宋体" w:hAnsi="宋体" w:cs="宋体"/>
          <w:color w:val="auto"/>
          <w:szCs w:val="21"/>
        </w:rPr>
        <w:t>设计进度保证措施</w:t>
      </w:r>
      <w:r>
        <w:rPr>
          <w:rFonts w:hint="eastAsia" w:ascii="宋体" w:hAnsi="宋体" w:cs="宋体"/>
          <w:color w:val="auto"/>
          <w:szCs w:val="21"/>
          <w:lang w:eastAsia="zh-CN"/>
        </w:rPr>
        <w:t>、</w:t>
      </w:r>
      <w:r>
        <w:rPr>
          <w:rFonts w:hint="eastAsia" w:ascii="宋体" w:hAnsi="宋体" w:cs="宋体"/>
          <w:color w:val="auto"/>
          <w:szCs w:val="21"/>
        </w:rPr>
        <w:t>设计质量保证措施</w:t>
      </w:r>
      <w:r>
        <w:rPr>
          <w:rFonts w:hint="eastAsia" w:ascii="宋体" w:hAnsi="宋体" w:cs="宋体"/>
          <w:color w:val="auto"/>
          <w:szCs w:val="21"/>
          <w:lang w:eastAsia="zh-CN"/>
        </w:rPr>
        <w:t>、</w:t>
      </w:r>
      <w:r>
        <w:rPr>
          <w:rFonts w:hint="eastAsia" w:ascii="宋体" w:hAnsi="宋体" w:cs="宋体"/>
          <w:color w:val="auto"/>
          <w:szCs w:val="21"/>
        </w:rPr>
        <w:t>后期服务计划及保障措施</w:t>
      </w:r>
      <w:r>
        <w:rPr>
          <w:rFonts w:hint="eastAsia" w:ascii="宋体" w:hAnsi="宋体" w:cs="宋体"/>
          <w:color w:val="auto"/>
          <w:szCs w:val="21"/>
          <w:lang w:eastAsia="zh-CN"/>
        </w:rPr>
        <w:t>）</w:t>
      </w:r>
      <w:r>
        <w:rPr>
          <w:rFonts w:hint="eastAsia" w:ascii="宋体" w:hAnsi="宋体" w:cs="宋体"/>
          <w:color w:val="auto"/>
          <w:szCs w:val="21"/>
        </w:rPr>
        <w:t>；</w:t>
      </w:r>
    </w:p>
    <w:p>
      <w:pPr>
        <w:spacing w:line="500" w:lineRule="exact"/>
        <w:rPr>
          <w:rFonts w:hint="eastAsia" w:ascii="宋体" w:hAnsi="宋体" w:eastAsia="宋体" w:cs="宋体"/>
          <w:color w:val="auto"/>
          <w:szCs w:val="21"/>
          <w:lang w:eastAsia="zh-CN"/>
        </w:rPr>
      </w:pPr>
      <w:r>
        <w:rPr>
          <w:rFonts w:hint="eastAsia" w:ascii="宋体" w:hAnsi="宋体" w:cs="宋体"/>
          <w:color w:val="auto"/>
          <w:szCs w:val="21"/>
        </w:rPr>
        <w:t>5. 合理化建议</w:t>
      </w:r>
      <w:r>
        <w:rPr>
          <w:rFonts w:hint="eastAsia" w:ascii="宋体" w:hAnsi="宋体" w:cs="宋体"/>
          <w:color w:val="auto"/>
          <w:szCs w:val="21"/>
          <w:lang w:eastAsia="zh-CN"/>
        </w:rPr>
        <w:t>。</w:t>
      </w:r>
    </w:p>
    <w:p>
      <w:pPr>
        <w:rPr>
          <w:rFonts w:hint="eastAsia" w:ascii="宋体" w:hAnsi="宋体" w:cs="宋体"/>
          <w:b/>
          <w:color w:val="auto"/>
        </w:rPr>
      </w:pPr>
    </w:p>
    <w:p>
      <w:pPr>
        <w:rPr>
          <w:rFonts w:hint="eastAsia" w:ascii="宋体" w:hAnsi="宋体" w:cs="宋体"/>
          <w:b/>
          <w:color w:val="auto"/>
        </w:rPr>
      </w:pPr>
    </w:p>
    <w:p>
      <w:pPr>
        <w:rPr>
          <w:rFonts w:hint="eastAsia" w:ascii="宋体" w:hAnsi="宋体" w:cs="宋体"/>
          <w:b/>
          <w:color w:val="auto"/>
        </w:rPr>
      </w:pPr>
    </w:p>
    <w:p>
      <w:pPr>
        <w:rPr>
          <w:rFonts w:hint="eastAsia" w:ascii="宋体" w:hAnsi="宋体" w:cs="宋体"/>
          <w:b/>
          <w:color w:val="auto"/>
        </w:rPr>
      </w:pPr>
    </w:p>
    <w:p>
      <w:pPr>
        <w:rPr>
          <w:rFonts w:hint="eastAsia" w:ascii="宋体" w:hAnsi="宋体" w:cs="宋体"/>
          <w:b/>
          <w:color w:val="auto"/>
        </w:rPr>
      </w:pPr>
    </w:p>
    <w:p>
      <w:pPr>
        <w:jc w:val="center"/>
        <w:rPr>
          <w:rFonts w:hint="eastAsia" w:ascii="宋体" w:hAnsi="宋体" w:eastAsia="宋体" w:cs="宋体"/>
          <w:b/>
          <w:bCs/>
          <w:color w:val="auto"/>
          <w:kern w:val="2"/>
          <w:sz w:val="32"/>
          <w:szCs w:val="32"/>
          <w:lang w:val="en-US" w:eastAsia="zh-CN" w:bidi="ar-SA"/>
        </w:rPr>
      </w:pPr>
      <w:r>
        <w:rPr>
          <w:rFonts w:hint="eastAsia" w:ascii="宋体" w:hAnsi="宋体" w:cs="宋体"/>
          <w:b/>
          <w:color w:val="auto"/>
        </w:rPr>
        <w:br w:type="page"/>
      </w:r>
      <w:bookmarkStart w:id="1315" w:name="_Toc499738296"/>
      <w:r>
        <w:rPr>
          <w:rFonts w:hint="eastAsia" w:ascii="宋体" w:hAnsi="宋体" w:eastAsia="宋体" w:cs="宋体"/>
          <w:b/>
          <w:bCs/>
          <w:color w:val="auto"/>
          <w:kern w:val="2"/>
          <w:sz w:val="32"/>
          <w:szCs w:val="32"/>
          <w:lang w:val="en-US" w:eastAsia="zh-CN" w:bidi="ar-SA"/>
        </w:rPr>
        <w:t>第二部分 承包人实施方案</w:t>
      </w:r>
      <w:bookmarkEnd w:id="1315"/>
    </w:p>
    <w:p>
      <w:pPr>
        <w:rPr>
          <w:color w:val="auto"/>
        </w:rPr>
      </w:pPr>
      <w:r>
        <w:rPr>
          <w:rFonts w:hint="eastAsia" w:ascii="宋体" w:hAnsi="宋体" w:cs="宋体"/>
          <w:color w:val="auto"/>
          <w:szCs w:val="21"/>
        </w:rPr>
        <w:t>承包人实施方案格式自定，包括下列内容（按此顺序）：</w:t>
      </w:r>
    </w:p>
    <w:p>
      <w:pPr>
        <w:spacing w:line="360" w:lineRule="auto"/>
        <w:rPr>
          <w:rFonts w:hint="eastAsia" w:ascii="宋体" w:hAnsi="宋体" w:cs="宋体"/>
          <w:color w:val="auto"/>
          <w:szCs w:val="21"/>
        </w:rPr>
      </w:pPr>
      <w:r>
        <w:rPr>
          <w:rFonts w:hint="eastAsia" w:ascii="宋体" w:hAnsi="宋体" w:cs="宋体"/>
          <w:color w:val="auto"/>
          <w:szCs w:val="21"/>
        </w:rPr>
        <w:t>（一）概述</w:t>
      </w:r>
    </w:p>
    <w:p>
      <w:pPr>
        <w:ind w:firstLine="420" w:firstLineChars="200"/>
        <w:rPr>
          <w:rFonts w:hint="eastAsia" w:ascii="宋体" w:hAnsi="宋体" w:cs="宋体"/>
          <w:color w:val="auto"/>
        </w:rPr>
      </w:pPr>
      <w:r>
        <w:rPr>
          <w:rFonts w:hint="eastAsia" w:ascii="宋体" w:hAnsi="宋体" w:cs="宋体"/>
          <w:color w:val="auto"/>
        </w:rPr>
        <w:t>1. 实施计划简要介绍。</w:t>
      </w:r>
    </w:p>
    <w:p>
      <w:pPr>
        <w:ind w:firstLine="420" w:firstLineChars="200"/>
        <w:rPr>
          <w:rFonts w:hint="eastAsia" w:ascii="宋体" w:hAnsi="宋体" w:cs="宋体"/>
          <w:color w:val="auto"/>
        </w:rPr>
      </w:pPr>
      <w:r>
        <w:rPr>
          <w:rFonts w:hint="eastAsia" w:ascii="宋体" w:hAnsi="宋体" w:cs="宋体"/>
          <w:color w:val="auto"/>
        </w:rPr>
        <w:t>2. 项目范围。</w:t>
      </w:r>
    </w:p>
    <w:p>
      <w:pPr>
        <w:ind w:firstLine="420" w:firstLineChars="200"/>
        <w:rPr>
          <w:rFonts w:hint="eastAsia" w:ascii="宋体" w:hAnsi="宋体" w:cs="宋体"/>
          <w:color w:val="auto"/>
        </w:rPr>
      </w:pPr>
      <w:r>
        <w:rPr>
          <w:rFonts w:hint="eastAsia" w:ascii="宋体" w:hAnsi="宋体" w:cs="宋体"/>
          <w:color w:val="auto"/>
        </w:rPr>
        <w:t>3. 项目特点。</w:t>
      </w:r>
    </w:p>
    <w:p>
      <w:pPr>
        <w:spacing w:line="360" w:lineRule="auto"/>
        <w:rPr>
          <w:rFonts w:hint="eastAsia" w:ascii="宋体" w:hAnsi="宋体" w:cs="宋体"/>
          <w:color w:val="auto"/>
          <w:szCs w:val="21"/>
        </w:rPr>
      </w:pPr>
      <w:r>
        <w:rPr>
          <w:rFonts w:hint="eastAsia" w:ascii="宋体" w:hAnsi="宋体" w:cs="宋体"/>
          <w:color w:val="auto"/>
          <w:szCs w:val="21"/>
        </w:rPr>
        <w:t>（二）总体实施方案</w:t>
      </w:r>
    </w:p>
    <w:p>
      <w:pPr>
        <w:ind w:firstLine="420" w:firstLineChars="200"/>
        <w:rPr>
          <w:rFonts w:hint="eastAsia" w:ascii="宋体" w:hAnsi="宋体" w:cs="宋体"/>
          <w:color w:val="auto"/>
        </w:rPr>
      </w:pPr>
      <w:r>
        <w:rPr>
          <w:rFonts w:hint="eastAsia" w:ascii="宋体" w:hAnsi="宋体" w:cs="宋体"/>
          <w:color w:val="auto"/>
        </w:rPr>
        <w:t>1. 项目目标（质量、工期、造价）。</w:t>
      </w:r>
    </w:p>
    <w:p>
      <w:pPr>
        <w:ind w:firstLine="420" w:firstLineChars="200"/>
        <w:rPr>
          <w:rFonts w:hint="eastAsia" w:ascii="宋体" w:hAnsi="宋体" w:cs="宋体"/>
          <w:color w:val="auto"/>
        </w:rPr>
      </w:pPr>
      <w:r>
        <w:rPr>
          <w:rFonts w:hint="eastAsia" w:ascii="宋体" w:hAnsi="宋体" w:cs="宋体"/>
          <w:color w:val="auto"/>
        </w:rPr>
        <w:t>2. 项目实施组织形式。</w:t>
      </w:r>
    </w:p>
    <w:p>
      <w:pPr>
        <w:ind w:firstLine="420" w:firstLineChars="200"/>
        <w:rPr>
          <w:rFonts w:hint="eastAsia" w:ascii="宋体" w:hAnsi="宋体" w:cs="宋体"/>
          <w:color w:val="auto"/>
        </w:rPr>
      </w:pPr>
      <w:r>
        <w:rPr>
          <w:rFonts w:hint="eastAsia" w:ascii="宋体" w:hAnsi="宋体" w:cs="宋体"/>
          <w:color w:val="auto"/>
        </w:rPr>
        <w:t>3. 项目阶段划分。</w:t>
      </w:r>
    </w:p>
    <w:p>
      <w:pPr>
        <w:ind w:firstLine="420" w:firstLineChars="200"/>
        <w:rPr>
          <w:rFonts w:hint="eastAsia" w:ascii="宋体" w:hAnsi="宋体" w:cs="宋体"/>
          <w:color w:val="auto"/>
        </w:rPr>
      </w:pPr>
      <w:r>
        <w:rPr>
          <w:rFonts w:hint="eastAsia" w:ascii="宋体" w:hAnsi="宋体" w:cs="宋体"/>
          <w:color w:val="auto"/>
        </w:rPr>
        <w:t>4. 项目工作分解结构。</w:t>
      </w:r>
    </w:p>
    <w:p>
      <w:pPr>
        <w:ind w:firstLine="420" w:firstLineChars="200"/>
        <w:rPr>
          <w:rFonts w:hint="eastAsia" w:ascii="宋体" w:hAnsi="宋体" w:cs="宋体"/>
          <w:color w:val="auto"/>
        </w:rPr>
      </w:pPr>
      <w:r>
        <w:rPr>
          <w:rFonts w:hint="eastAsia" w:ascii="宋体" w:hAnsi="宋体" w:cs="宋体"/>
          <w:color w:val="auto"/>
        </w:rPr>
        <w:t>5. 对项目各阶段工作及文件的要求。</w:t>
      </w:r>
    </w:p>
    <w:p>
      <w:pPr>
        <w:ind w:firstLine="420" w:firstLineChars="200"/>
        <w:rPr>
          <w:rFonts w:hint="eastAsia" w:ascii="宋体" w:hAnsi="宋体" w:cs="宋体"/>
          <w:color w:val="auto"/>
        </w:rPr>
      </w:pPr>
      <w:r>
        <w:rPr>
          <w:rFonts w:hint="eastAsia" w:ascii="宋体" w:hAnsi="宋体" w:cs="宋体"/>
          <w:color w:val="auto"/>
        </w:rPr>
        <w:t>6. 项目分包和采购计划。</w:t>
      </w:r>
    </w:p>
    <w:p>
      <w:pPr>
        <w:ind w:firstLine="420" w:firstLineChars="200"/>
        <w:rPr>
          <w:rFonts w:hint="eastAsia" w:ascii="宋体" w:hAnsi="宋体" w:cs="宋体"/>
          <w:color w:val="auto"/>
        </w:rPr>
      </w:pPr>
      <w:r>
        <w:rPr>
          <w:rFonts w:hint="eastAsia" w:ascii="宋体" w:hAnsi="宋体" w:cs="宋体"/>
          <w:color w:val="auto"/>
        </w:rPr>
        <w:t>7. 项目沟通与协调程序。</w:t>
      </w:r>
    </w:p>
    <w:p>
      <w:pPr>
        <w:spacing w:line="360" w:lineRule="auto"/>
        <w:rPr>
          <w:rFonts w:hint="eastAsia" w:ascii="宋体" w:hAnsi="宋体" w:cs="宋体"/>
          <w:color w:val="auto"/>
          <w:szCs w:val="21"/>
        </w:rPr>
      </w:pPr>
      <w:r>
        <w:rPr>
          <w:rFonts w:hint="eastAsia" w:ascii="宋体" w:hAnsi="宋体" w:cs="宋体"/>
          <w:color w:val="auto"/>
          <w:szCs w:val="21"/>
        </w:rPr>
        <w:t>（三）项目实施要点</w:t>
      </w:r>
    </w:p>
    <w:p>
      <w:pPr>
        <w:ind w:firstLine="420" w:firstLineChars="200"/>
        <w:rPr>
          <w:rFonts w:hint="eastAsia" w:ascii="宋体" w:hAnsi="宋体" w:cs="宋体"/>
          <w:color w:val="auto"/>
        </w:rPr>
      </w:pPr>
      <w:r>
        <w:rPr>
          <w:rFonts w:hint="eastAsia" w:ascii="宋体" w:hAnsi="宋体" w:cs="宋体"/>
          <w:color w:val="auto"/>
        </w:rPr>
        <w:t>1. 设计实施要点。</w:t>
      </w:r>
    </w:p>
    <w:p>
      <w:pPr>
        <w:ind w:firstLine="420" w:firstLineChars="200"/>
        <w:rPr>
          <w:rFonts w:hint="eastAsia" w:ascii="宋体" w:hAnsi="宋体" w:cs="宋体"/>
          <w:color w:val="auto"/>
        </w:rPr>
      </w:pPr>
      <w:r>
        <w:rPr>
          <w:rFonts w:hint="eastAsia" w:ascii="宋体" w:hAnsi="宋体" w:cs="宋体"/>
          <w:color w:val="auto"/>
        </w:rPr>
        <w:t>2. 采购实施要点。</w:t>
      </w:r>
    </w:p>
    <w:p>
      <w:pPr>
        <w:ind w:firstLine="420" w:firstLineChars="200"/>
        <w:rPr>
          <w:rFonts w:hint="eastAsia" w:ascii="宋体" w:hAnsi="宋体" w:cs="宋体"/>
          <w:color w:val="auto"/>
        </w:rPr>
      </w:pPr>
      <w:r>
        <w:rPr>
          <w:rFonts w:hint="eastAsia" w:ascii="宋体" w:hAnsi="宋体" w:cs="宋体"/>
          <w:color w:val="auto"/>
        </w:rPr>
        <w:t>3. 施工实施要点。</w:t>
      </w:r>
    </w:p>
    <w:p>
      <w:pPr>
        <w:ind w:firstLine="420" w:firstLineChars="200"/>
        <w:rPr>
          <w:rFonts w:hint="eastAsia" w:ascii="宋体" w:hAnsi="宋体" w:cs="宋体"/>
          <w:color w:val="auto"/>
        </w:rPr>
      </w:pPr>
      <w:r>
        <w:rPr>
          <w:rFonts w:hint="eastAsia" w:ascii="宋体" w:hAnsi="宋体" w:cs="宋体"/>
          <w:color w:val="auto"/>
        </w:rPr>
        <w:t>4. 试运行实施要点。</w:t>
      </w:r>
    </w:p>
    <w:p>
      <w:pPr>
        <w:spacing w:line="360" w:lineRule="auto"/>
        <w:rPr>
          <w:rFonts w:hint="eastAsia" w:ascii="宋体" w:hAnsi="宋体" w:cs="宋体"/>
          <w:color w:val="auto"/>
          <w:szCs w:val="21"/>
        </w:rPr>
      </w:pPr>
      <w:r>
        <w:rPr>
          <w:rFonts w:hint="eastAsia" w:ascii="宋体" w:hAnsi="宋体" w:cs="宋体"/>
          <w:color w:val="auto"/>
          <w:szCs w:val="21"/>
        </w:rPr>
        <w:t>（四）项目管理要点</w:t>
      </w:r>
    </w:p>
    <w:p>
      <w:pPr>
        <w:ind w:firstLine="420" w:firstLineChars="200"/>
        <w:rPr>
          <w:rFonts w:hint="eastAsia" w:ascii="宋体" w:hAnsi="宋体" w:cs="宋体"/>
          <w:color w:val="auto"/>
        </w:rPr>
      </w:pPr>
      <w:r>
        <w:rPr>
          <w:rFonts w:hint="eastAsia" w:ascii="宋体" w:hAnsi="宋体" w:cs="宋体"/>
          <w:color w:val="auto"/>
        </w:rPr>
        <w:t>1. 合同管理要点。</w:t>
      </w:r>
    </w:p>
    <w:p>
      <w:pPr>
        <w:ind w:firstLine="420" w:firstLineChars="200"/>
        <w:rPr>
          <w:rFonts w:hint="eastAsia" w:ascii="宋体" w:hAnsi="宋体" w:cs="宋体"/>
          <w:color w:val="auto"/>
        </w:rPr>
      </w:pPr>
      <w:r>
        <w:rPr>
          <w:rFonts w:hint="eastAsia" w:ascii="宋体" w:hAnsi="宋体" w:cs="宋体"/>
          <w:color w:val="auto"/>
        </w:rPr>
        <w:t>2. 资源管理要点。</w:t>
      </w:r>
    </w:p>
    <w:p>
      <w:pPr>
        <w:ind w:firstLine="420" w:firstLineChars="200"/>
        <w:rPr>
          <w:rFonts w:hint="eastAsia" w:ascii="宋体" w:hAnsi="宋体" w:cs="宋体"/>
          <w:color w:val="auto"/>
        </w:rPr>
      </w:pPr>
      <w:r>
        <w:rPr>
          <w:rFonts w:hint="eastAsia" w:ascii="宋体" w:hAnsi="宋体" w:cs="宋体"/>
          <w:color w:val="auto"/>
        </w:rPr>
        <w:t>3. 质量控制要点。</w:t>
      </w:r>
    </w:p>
    <w:p>
      <w:pPr>
        <w:ind w:firstLine="420" w:firstLineChars="200"/>
        <w:rPr>
          <w:rFonts w:hint="eastAsia" w:ascii="宋体" w:hAnsi="宋体" w:cs="宋体"/>
          <w:color w:val="auto"/>
        </w:rPr>
      </w:pPr>
      <w:r>
        <w:rPr>
          <w:rFonts w:hint="eastAsia" w:ascii="宋体" w:hAnsi="宋体" w:cs="宋体"/>
          <w:color w:val="auto"/>
        </w:rPr>
        <w:t>4. 进度控制要点。</w:t>
      </w:r>
    </w:p>
    <w:p>
      <w:pPr>
        <w:ind w:firstLine="420" w:firstLineChars="200"/>
        <w:rPr>
          <w:rFonts w:hint="eastAsia" w:ascii="宋体" w:hAnsi="宋体" w:cs="宋体"/>
          <w:color w:val="auto"/>
        </w:rPr>
      </w:pPr>
      <w:r>
        <w:rPr>
          <w:rFonts w:hint="eastAsia" w:ascii="宋体" w:hAnsi="宋体" w:cs="宋体"/>
          <w:color w:val="auto"/>
        </w:rPr>
        <w:t>5. 费用估算及控制要点。</w:t>
      </w:r>
    </w:p>
    <w:p>
      <w:pPr>
        <w:ind w:firstLine="420" w:firstLineChars="200"/>
        <w:rPr>
          <w:rFonts w:hint="eastAsia" w:ascii="宋体" w:hAnsi="宋体" w:cs="宋体"/>
          <w:color w:val="auto"/>
        </w:rPr>
      </w:pPr>
      <w:r>
        <w:rPr>
          <w:rFonts w:hint="eastAsia" w:ascii="宋体" w:hAnsi="宋体" w:cs="宋体"/>
          <w:color w:val="auto"/>
        </w:rPr>
        <w:t>6. 安全管理要点。</w:t>
      </w:r>
    </w:p>
    <w:p>
      <w:pPr>
        <w:ind w:firstLine="420" w:firstLineChars="200"/>
        <w:rPr>
          <w:rFonts w:hint="eastAsia" w:ascii="宋体" w:hAnsi="宋体" w:cs="宋体"/>
          <w:color w:val="auto"/>
        </w:rPr>
      </w:pPr>
      <w:r>
        <w:rPr>
          <w:rFonts w:hint="eastAsia" w:ascii="宋体" w:hAnsi="宋体" w:cs="宋体"/>
          <w:color w:val="auto"/>
        </w:rPr>
        <w:t>7. 职业健康管理要点。</w:t>
      </w:r>
    </w:p>
    <w:p>
      <w:pPr>
        <w:ind w:firstLine="420" w:firstLineChars="200"/>
        <w:rPr>
          <w:rFonts w:hint="eastAsia" w:ascii="宋体" w:hAnsi="宋体" w:cs="宋体"/>
          <w:color w:val="auto"/>
        </w:rPr>
      </w:pPr>
      <w:r>
        <w:rPr>
          <w:rFonts w:hint="eastAsia" w:ascii="宋体" w:hAnsi="宋体" w:cs="宋体"/>
          <w:color w:val="auto"/>
        </w:rPr>
        <w:t>8．环境管理要点。</w:t>
      </w:r>
    </w:p>
    <w:p>
      <w:pPr>
        <w:ind w:firstLine="420" w:firstLineChars="200"/>
        <w:rPr>
          <w:rFonts w:hint="eastAsia" w:ascii="宋体" w:hAnsi="宋体" w:cs="宋体"/>
          <w:color w:val="auto"/>
        </w:rPr>
      </w:pPr>
      <w:r>
        <w:rPr>
          <w:rFonts w:hint="eastAsia" w:ascii="宋体" w:hAnsi="宋体" w:cs="宋体"/>
          <w:color w:val="auto"/>
        </w:rPr>
        <w:t>9. 沟通和协调管理要点。</w:t>
      </w:r>
    </w:p>
    <w:p>
      <w:pPr>
        <w:ind w:firstLine="420" w:firstLineChars="200"/>
        <w:rPr>
          <w:rFonts w:hint="eastAsia" w:ascii="宋体" w:hAnsi="宋体" w:cs="宋体"/>
          <w:color w:val="auto"/>
        </w:rPr>
      </w:pPr>
      <w:r>
        <w:rPr>
          <w:rFonts w:hint="eastAsia" w:ascii="宋体" w:hAnsi="宋体" w:cs="宋体"/>
          <w:color w:val="auto"/>
        </w:rPr>
        <w:t>10. 财务管理要点。</w:t>
      </w:r>
    </w:p>
    <w:p>
      <w:pPr>
        <w:ind w:firstLine="420" w:firstLineChars="200"/>
        <w:rPr>
          <w:rFonts w:hint="eastAsia" w:ascii="宋体" w:hAnsi="宋体" w:cs="宋体"/>
          <w:color w:val="auto"/>
        </w:rPr>
      </w:pPr>
      <w:r>
        <w:rPr>
          <w:rFonts w:hint="eastAsia" w:ascii="宋体" w:hAnsi="宋体" w:cs="宋体"/>
          <w:color w:val="auto"/>
        </w:rPr>
        <w:t>11. 风险管理要点。</w:t>
      </w:r>
    </w:p>
    <w:p>
      <w:pPr>
        <w:ind w:firstLine="420" w:firstLineChars="200"/>
        <w:rPr>
          <w:rFonts w:hint="eastAsia" w:ascii="宋体" w:hAnsi="宋体" w:cs="宋体"/>
          <w:color w:val="auto"/>
        </w:rPr>
      </w:pPr>
      <w:r>
        <w:rPr>
          <w:rFonts w:hint="eastAsia" w:ascii="宋体" w:hAnsi="宋体" w:cs="宋体"/>
          <w:color w:val="auto"/>
        </w:rPr>
        <w:t>12. 文件及信息管理要点。</w:t>
      </w:r>
    </w:p>
    <w:p>
      <w:pPr>
        <w:ind w:firstLine="420" w:firstLineChars="200"/>
        <w:rPr>
          <w:rFonts w:hint="eastAsia" w:ascii="宋体" w:hAnsi="宋体" w:cs="宋体"/>
          <w:color w:val="auto"/>
        </w:rPr>
      </w:pPr>
      <w:r>
        <w:rPr>
          <w:rFonts w:hint="eastAsia" w:ascii="宋体" w:hAnsi="宋体" w:cs="宋体"/>
          <w:color w:val="auto"/>
        </w:rPr>
        <w:t>13. 报告制度。</w:t>
      </w:r>
    </w:p>
    <w:p>
      <w:pPr>
        <w:jc w:val="both"/>
        <w:rPr>
          <w:rFonts w:hint="eastAsia" w:ascii="宋体" w:hAnsi="宋体" w:cs="宋体"/>
          <w:b/>
          <w:color w:val="auto"/>
        </w:rPr>
      </w:pPr>
    </w:p>
    <w:p>
      <w:pPr>
        <w:pStyle w:val="2"/>
        <w:rPr>
          <w:rFonts w:hint="eastAsia" w:ascii="宋体" w:hAnsi="宋体" w:cs="宋体"/>
          <w:b/>
          <w:color w:val="auto"/>
        </w:rPr>
      </w:pPr>
    </w:p>
    <w:p>
      <w:pPr>
        <w:pStyle w:val="3"/>
        <w:rPr>
          <w:rFonts w:hint="eastAsia" w:ascii="宋体" w:hAnsi="宋体" w:cs="宋体"/>
          <w:b/>
          <w:color w:val="auto"/>
        </w:rPr>
      </w:pPr>
    </w:p>
    <w:p>
      <w:pPr>
        <w:pStyle w:val="4"/>
        <w:rPr>
          <w:rFonts w:hint="eastAsia" w:ascii="宋体" w:hAnsi="宋体" w:cs="宋体"/>
          <w:b/>
          <w:color w:val="auto"/>
        </w:rPr>
      </w:pPr>
    </w:p>
    <w:p>
      <w:pPr>
        <w:pStyle w:val="4"/>
        <w:rPr>
          <w:rFonts w:hint="eastAsia" w:ascii="宋体" w:hAnsi="宋体" w:cs="宋体"/>
          <w:b/>
          <w:color w:val="auto"/>
        </w:rPr>
      </w:pPr>
    </w:p>
    <w:p>
      <w:pPr>
        <w:pStyle w:val="4"/>
        <w:rPr>
          <w:rFonts w:hint="eastAsia" w:ascii="宋体" w:hAnsi="宋体" w:cs="宋体"/>
          <w:b/>
          <w:color w:val="auto"/>
        </w:rPr>
      </w:pPr>
    </w:p>
    <w:p>
      <w:pPr>
        <w:pStyle w:val="4"/>
        <w:rPr>
          <w:rFonts w:hint="eastAsia" w:ascii="宋体" w:hAnsi="宋体" w:cs="宋体"/>
          <w:b/>
          <w:color w:val="auto"/>
        </w:rPr>
      </w:pPr>
    </w:p>
    <w:p>
      <w:pPr>
        <w:pStyle w:val="4"/>
        <w:rPr>
          <w:rFonts w:hint="eastAsia" w:ascii="宋体" w:hAnsi="宋体" w:cs="宋体"/>
          <w:b/>
          <w:color w:val="auto"/>
        </w:rPr>
      </w:pPr>
    </w:p>
    <w:p>
      <w:pPr>
        <w:pStyle w:val="4"/>
        <w:rPr>
          <w:rFonts w:hint="eastAsia" w:ascii="宋体" w:hAnsi="宋体" w:cs="宋体"/>
          <w:b/>
          <w:color w:val="auto"/>
        </w:rPr>
      </w:pPr>
    </w:p>
    <w:p>
      <w:pPr>
        <w:pStyle w:val="4"/>
        <w:rPr>
          <w:rFonts w:hint="eastAsia" w:ascii="宋体" w:hAnsi="宋体" w:cs="宋体"/>
          <w:b/>
          <w:color w:val="auto"/>
        </w:rPr>
      </w:pPr>
    </w:p>
    <w:p>
      <w:pPr>
        <w:jc w:val="center"/>
        <w:rPr>
          <w:rFonts w:hint="eastAsia" w:ascii="宋体" w:hAnsi="宋体" w:cs="宋体"/>
          <w:b/>
          <w:color w:val="auto"/>
          <w:sz w:val="24"/>
        </w:rPr>
      </w:pPr>
    </w:p>
    <w:p>
      <w:pPr>
        <w:jc w:val="center"/>
        <w:rPr>
          <w:rFonts w:hint="eastAsia" w:ascii="宋体" w:hAnsi="宋体" w:cs="宋体"/>
          <w:b/>
          <w:color w:val="auto"/>
          <w:sz w:val="24"/>
        </w:rPr>
      </w:pPr>
      <w:r>
        <w:rPr>
          <w:rFonts w:hint="eastAsia" w:ascii="宋体" w:hAnsi="宋体" w:cs="宋体"/>
          <w:b/>
          <w:color w:val="auto"/>
          <w:sz w:val="24"/>
        </w:rPr>
        <w:t>资信业绩评审计分表（</w:t>
      </w:r>
      <w:r>
        <w:rPr>
          <w:rFonts w:hint="eastAsia" w:ascii="宋体" w:hAnsi="宋体" w:cs="宋体"/>
          <w:b/>
          <w:color w:val="auto"/>
          <w:sz w:val="24"/>
          <w:lang w:eastAsia="zh-CN"/>
        </w:rPr>
        <w:t>自评分</w:t>
      </w:r>
      <w:r>
        <w:rPr>
          <w:rFonts w:hint="eastAsia" w:ascii="宋体" w:hAnsi="宋体" w:cs="宋体"/>
          <w:b/>
          <w:color w:val="auto"/>
          <w:sz w:val="24"/>
        </w:rPr>
        <w:t>）</w:t>
      </w:r>
    </w:p>
    <w:tbl>
      <w:tblPr>
        <w:tblStyle w:val="67"/>
        <w:tblW w:w="887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788"/>
        <w:gridCol w:w="1285"/>
        <w:gridCol w:w="3700"/>
        <w:gridCol w:w="570"/>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exact"/>
        </w:trPr>
        <w:tc>
          <w:tcPr>
            <w:tcW w:w="701" w:type="dxa"/>
            <w:vAlign w:val="center"/>
          </w:tcPr>
          <w:p>
            <w:pPr>
              <w:snapToGrid w:val="0"/>
              <w:spacing w:line="240" w:lineRule="exact"/>
              <w:jc w:val="center"/>
              <w:rPr>
                <w:rFonts w:ascii="宋体"/>
                <w:color w:val="auto"/>
              </w:rPr>
            </w:pPr>
            <w:r>
              <w:rPr>
                <w:rFonts w:hint="eastAsia" w:ascii="宋体" w:hAnsi="宋体" w:cs="宋体"/>
                <w:color w:val="auto"/>
              </w:rPr>
              <w:t>序号</w:t>
            </w:r>
          </w:p>
        </w:tc>
        <w:tc>
          <w:tcPr>
            <w:tcW w:w="1788" w:type="dxa"/>
            <w:vAlign w:val="center"/>
          </w:tcPr>
          <w:p>
            <w:pPr>
              <w:snapToGrid w:val="0"/>
              <w:spacing w:line="240" w:lineRule="exact"/>
              <w:jc w:val="center"/>
              <w:rPr>
                <w:rFonts w:ascii="宋体"/>
                <w:color w:val="auto"/>
              </w:rPr>
            </w:pPr>
            <w:r>
              <w:rPr>
                <w:rFonts w:hint="eastAsia" w:ascii="宋体" w:hAnsi="宋体" w:cs="宋体"/>
                <w:color w:val="auto"/>
              </w:rPr>
              <w:t>项目</w:t>
            </w:r>
          </w:p>
        </w:tc>
        <w:tc>
          <w:tcPr>
            <w:tcW w:w="5555" w:type="dxa"/>
            <w:gridSpan w:val="3"/>
            <w:vAlign w:val="center"/>
          </w:tcPr>
          <w:p>
            <w:pPr>
              <w:snapToGrid w:val="0"/>
              <w:spacing w:line="240" w:lineRule="exact"/>
              <w:ind w:right="-212"/>
              <w:jc w:val="center"/>
              <w:rPr>
                <w:rFonts w:ascii="宋体"/>
                <w:color w:val="auto"/>
              </w:rPr>
            </w:pPr>
            <w:r>
              <w:rPr>
                <w:rFonts w:hint="eastAsia" w:ascii="宋体" w:hAnsi="宋体" w:cs="宋体"/>
                <w:color w:val="auto"/>
              </w:rPr>
              <w:t>评审标准</w:t>
            </w:r>
          </w:p>
        </w:tc>
        <w:tc>
          <w:tcPr>
            <w:tcW w:w="834" w:type="dxa"/>
            <w:vAlign w:val="center"/>
          </w:tcPr>
          <w:p>
            <w:pPr>
              <w:widowControl/>
              <w:snapToGrid w:val="0"/>
              <w:spacing w:line="240" w:lineRule="exact"/>
              <w:jc w:val="center"/>
              <w:rPr>
                <w:rFonts w:ascii="宋体"/>
                <w:color w:val="auto"/>
                <w:kern w:val="0"/>
              </w:rPr>
            </w:pPr>
            <w:r>
              <w:rPr>
                <w:rFonts w:hint="eastAsia" w:ascii="宋体" w:hAnsi="宋体" w:cs="宋体"/>
                <w:color w:val="auto"/>
                <w:kern w:val="0"/>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trPr>
        <w:tc>
          <w:tcPr>
            <w:tcW w:w="701" w:type="dxa"/>
            <w:vAlign w:val="center"/>
          </w:tcPr>
          <w:p>
            <w:pPr>
              <w:snapToGrid w:val="0"/>
              <w:spacing w:line="240" w:lineRule="exact"/>
              <w:jc w:val="center"/>
              <w:rPr>
                <w:rFonts w:ascii="宋体" w:hAnsi="宋体" w:cs="宋体"/>
                <w:color w:val="auto"/>
              </w:rPr>
            </w:pPr>
            <w:r>
              <w:rPr>
                <w:rFonts w:ascii="宋体" w:hAnsi="宋体" w:cs="宋体"/>
                <w:color w:val="auto"/>
              </w:rPr>
              <w:t>1</w:t>
            </w:r>
          </w:p>
        </w:tc>
        <w:tc>
          <w:tcPr>
            <w:tcW w:w="1788" w:type="dxa"/>
            <w:vAlign w:val="center"/>
          </w:tcPr>
          <w:p>
            <w:pPr>
              <w:widowControl/>
              <w:spacing w:line="240" w:lineRule="exact"/>
              <w:jc w:val="center"/>
              <w:rPr>
                <w:rFonts w:ascii="宋体" w:hAnsi="宋体"/>
                <w:color w:val="auto"/>
              </w:rPr>
            </w:pPr>
            <w:r>
              <w:rPr>
                <w:rFonts w:hint="eastAsia" w:ascii="宋体" w:hAnsi="宋体" w:cs="宋体"/>
                <w:color w:val="auto"/>
              </w:rPr>
              <w:t>类似项目业绩</w:t>
            </w:r>
            <w:r>
              <w:rPr>
                <w:rFonts w:hint="eastAsia" w:ascii="宋体" w:hAnsi="宋体" w:cs="宋体"/>
                <w:color w:val="auto"/>
                <w:szCs w:val="21"/>
              </w:rPr>
              <w:t>（联合体任何一方）</w:t>
            </w:r>
          </w:p>
          <w:p>
            <w:pPr>
              <w:snapToGrid w:val="0"/>
              <w:spacing w:line="240" w:lineRule="exact"/>
              <w:jc w:val="center"/>
              <w:rPr>
                <w:rFonts w:ascii="宋体"/>
                <w:color w:val="auto"/>
              </w:rPr>
            </w:pPr>
          </w:p>
        </w:tc>
        <w:tc>
          <w:tcPr>
            <w:tcW w:w="4985" w:type="dxa"/>
            <w:gridSpan w:val="2"/>
            <w:vAlign w:val="center"/>
          </w:tcPr>
          <w:p>
            <w:pPr>
              <w:widowControl/>
              <w:spacing w:line="240" w:lineRule="exact"/>
              <w:jc w:val="center"/>
              <w:rPr>
                <w:rFonts w:ascii="宋体" w:hAnsi="宋体"/>
                <w:color w:val="auto"/>
              </w:rPr>
            </w:pPr>
            <w:r>
              <w:rPr>
                <w:rFonts w:hint="eastAsia" w:ascii="宋体" w:hAnsi="宋体"/>
                <w:color w:val="auto"/>
              </w:rPr>
              <w:t>业绩要求：每项业绩加</w:t>
            </w:r>
            <w:r>
              <w:rPr>
                <w:rFonts w:ascii="宋体" w:hAnsi="宋体"/>
                <w:color w:val="auto"/>
              </w:rPr>
              <w:t>5分</w:t>
            </w:r>
            <w:r>
              <w:rPr>
                <w:rFonts w:hint="eastAsia" w:ascii="宋体" w:hAnsi="宋体"/>
                <w:color w:val="auto"/>
              </w:rPr>
              <w:t>，最多合计加两项工程。</w:t>
            </w:r>
          </w:p>
          <w:p>
            <w:pPr>
              <w:snapToGrid w:val="0"/>
              <w:spacing w:line="240" w:lineRule="exact"/>
              <w:rPr>
                <w:rFonts w:ascii="宋体" w:hAnsi="宋体"/>
                <w:color w:val="auto"/>
              </w:rPr>
            </w:pPr>
            <w:r>
              <w:rPr>
                <w:rFonts w:hint="eastAsia" w:ascii="宋体" w:hAnsi="宋体"/>
                <w:color w:val="auto"/>
              </w:rPr>
              <w:t>（提供原件扫描件，并在投标文件中提供复印件加盖公章，否则不加分）</w:t>
            </w:r>
          </w:p>
        </w:tc>
        <w:tc>
          <w:tcPr>
            <w:tcW w:w="570" w:type="dxa"/>
            <w:vAlign w:val="center"/>
          </w:tcPr>
          <w:p>
            <w:pPr>
              <w:snapToGrid w:val="0"/>
              <w:spacing w:line="240" w:lineRule="exact"/>
              <w:jc w:val="center"/>
              <w:rPr>
                <w:rFonts w:ascii="宋体" w:hAnsi="宋体"/>
                <w:color w:val="auto"/>
              </w:rPr>
            </w:pPr>
            <w:r>
              <w:rPr>
                <w:rFonts w:hint="eastAsia" w:ascii="宋体" w:hAnsi="宋体"/>
                <w:color w:val="auto"/>
              </w:rPr>
              <w:t>10</w:t>
            </w:r>
          </w:p>
        </w:tc>
        <w:tc>
          <w:tcPr>
            <w:tcW w:w="834" w:type="dxa"/>
            <w:vAlign w:val="center"/>
          </w:tcPr>
          <w:p>
            <w:pPr>
              <w:widowControl/>
              <w:snapToGrid w:val="0"/>
              <w:spacing w:line="240" w:lineRule="exact"/>
              <w:jc w:val="center"/>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3" w:hRule="atLeast"/>
        </w:trPr>
        <w:tc>
          <w:tcPr>
            <w:tcW w:w="701" w:type="dxa"/>
            <w:vMerge w:val="restart"/>
            <w:vAlign w:val="center"/>
          </w:tcPr>
          <w:p>
            <w:pPr>
              <w:snapToGrid w:val="0"/>
              <w:spacing w:line="240" w:lineRule="exact"/>
              <w:jc w:val="center"/>
              <w:rPr>
                <w:rFonts w:ascii="宋体" w:hAnsi="宋体" w:cs="宋体"/>
                <w:color w:val="auto"/>
              </w:rPr>
            </w:pPr>
            <w:r>
              <w:rPr>
                <w:rFonts w:hint="eastAsia" w:ascii="宋体" w:hAnsi="宋体" w:cs="宋体"/>
                <w:color w:val="auto"/>
              </w:rPr>
              <w:t>2</w:t>
            </w:r>
          </w:p>
        </w:tc>
        <w:tc>
          <w:tcPr>
            <w:tcW w:w="1788" w:type="dxa"/>
            <w:vMerge w:val="restart"/>
            <w:vAlign w:val="center"/>
          </w:tcPr>
          <w:p>
            <w:pPr>
              <w:spacing w:line="280" w:lineRule="exact"/>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企业获奖及信用情况</w:t>
            </w:r>
          </w:p>
        </w:tc>
        <w:tc>
          <w:tcPr>
            <w:tcW w:w="4985" w:type="dxa"/>
            <w:gridSpan w:val="2"/>
            <w:vAlign w:val="bottom"/>
          </w:tcPr>
          <w:p>
            <w:pPr>
              <w:widowControl/>
              <w:jc w:val="left"/>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投标人同时获得上年度省建筑施工安全生产标准化年度考评优良企业和质量管理标准化企业考评优良企业的计10分。</w:t>
            </w:r>
          </w:p>
        </w:tc>
        <w:tc>
          <w:tcPr>
            <w:tcW w:w="570" w:type="dxa"/>
            <w:vAlign w:val="center"/>
          </w:tcPr>
          <w:p>
            <w:pPr>
              <w:snapToGrid w:val="0"/>
              <w:spacing w:line="240" w:lineRule="exact"/>
              <w:jc w:val="center"/>
              <w:rPr>
                <w:rFonts w:ascii="宋体" w:hAnsi="宋体"/>
                <w:color w:val="auto"/>
              </w:rPr>
            </w:pPr>
            <w:r>
              <w:rPr>
                <w:rFonts w:hint="eastAsia" w:ascii="宋体" w:hAnsi="宋体"/>
                <w:color w:val="auto"/>
              </w:rPr>
              <w:t>10</w:t>
            </w:r>
          </w:p>
        </w:tc>
        <w:tc>
          <w:tcPr>
            <w:tcW w:w="834" w:type="dxa"/>
            <w:vMerge w:val="restart"/>
            <w:vAlign w:val="center"/>
          </w:tcPr>
          <w:p>
            <w:pPr>
              <w:widowControl/>
              <w:snapToGrid w:val="0"/>
              <w:spacing w:line="240" w:lineRule="exact"/>
              <w:jc w:val="center"/>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atLeast"/>
        </w:trPr>
        <w:tc>
          <w:tcPr>
            <w:tcW w:w="701" w:type="dxa"/>
            <w:vMerge w:val="continue"/>
            <w:vAlign w:val="center"/>
          </w:tcPr>
          <w:p>
            <w:pPr>
              <w:snapToGrid w:val="0"/>
              <w:spacing w:line="240" w:lineRule="exact"/>
              <w:jc w:val="center"/>
              <w:rPr>
                <w:rFonts w:ascii="宋体" w:hAnsi="宋体" w:cs="宋体"/>
                <w:color w:val="auto"/>
              </w:rPr>
            </w:pPr>
          </w:p>
        </w:tc>
        <w:tc>
          <w:tcPr>
            <w:tcW w:w="1788" w:type="dxa"/>
            <w:vMerge w:val="continue"/>
            <w:vAlign w:val="center"/>
          </w:tcPr>
          <w:p>
            <w:pPr>
              <w:spacing w:line="280" w:lineRule="exact"/>
              <w:jc w:val="center"/>
              <w:rPr>
                <w:rFonts w:hint="eastAsia" w:ascii="Times New Roman" w:hAnsi="Times New Roman" w:eastAsia="宋体" w:cs="Times New Roman"/>
                <w:color w:val="auto"/>
                <w:kern w:val="2"/>
                <w:sz w:val="21"/>
                <w:szCs w:val="22"/>
                <w:lang w:val="en-US" w:eastAsia="zh-CN" w:bidi="ar-SA"/>
              </w:rPr>
            </w:pPr>
          </w:p>
        </w:tc>
        <w:tc>
          <w:tcPr>
            <w:tcW w:w="4985" w:type="dxa"/>
            <w:gridSpan w:val="2"/>
            <w:vAlign w:val="center"/>
          </w:tcPr>
          <w:p>
            <w:pPr>
              <w:pStyle w:val="158"/>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投标人获得近年度中国建筑协会AAA信用的计15分，提供相关证明文件原件扫描件，否则不计分。</w:t>
            </w:r>
          </w:p>
        </w:tc>
        <w:tc>
          <w:tcPr>
            <w:tcW w:w="570" w:type="dxa"/>
            <w:vAlign w:val="center"/>
          </w:tcPr>
          <w:p>
            <w:pPr>
              <w:snapToGrid w:val="0"/>
              <w:spacing w:line="240" w:lineRule="exact"/>
              <w:jc w:val="center"/>
              <w:rPr>
                <w:rFonts w:hint="eastAsia" w:ascii="宋体" w:hAnsi="宋体"/>
                <w:color w:val="auto"/>
                <w:lang w:eastAsia="zh-CN"/>
              </w:rPr>
            </w:pPr>
            <w:r>
              <w:rPr>
                <w:rFonts w:hint="eastAsia" w:ascii="宋体" w:hAnsi="宋体"/>
                <w:color w:val="auto"/>
              </w:rPr>
              <w:t>1</w:t>
            </w:r>
            <w:r>
              <w:rPr>
                <w:rFonts w:hint="eastAsia" w:ascii="宋体" w:hAnsi="宋体"/>
                <w:color w:val="auto"/>
                <w:lang w:val="en-US" w:eastAsia="zh-CN"/>
              </w:rPr>
              <w:t>5</w:t>
            </w:r>
          </w:p>
        </w:tc>
        <w:tc>
          <w:tcPr>
            <w:tcW w:w="834" w:type="dxa"/>
            <w:vMerge w:val="continue"/>
            <w:vAlign w:val="center"/>
          </w:tcPr>
          <w:p>
            <w:pPr>
              <w:widowControl/>
              <w:snapToGrid w:val="0"/>
              <w:spacing w:line="240" w:lineRule="exact"/>
              <w:jc w:val="center"/>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trPr>
        <w:tc>
          <w:tcPr>
            <w:tcW w:w="701" w:type="dxa"/>
            <w:vMerge w:val="continue"/>
            <w:vAlign w:val="center"/>
          </w:tcPr>
          <w:p>
            <w:pPr>
              <w:snapToGrid w:val="0"/>
              <w:spacing w:line="240" w:lineRule="exact"/>
              <w:jc w:val="center"/>
              <w:rPr>
                <w:rFonts w:ascii="宋体" w:hAnsi="宋体" w:cs="宋体"/>
                <w:color w:val="auto"/>
              </w:rPr>
            </w:pPr>
          </w:p>
        </w:tc>
        <w:tc>
          <w:tcPr>
            <w:tcW w:w="1788" w:type="dxa"/>
            <w:vMerge w:val="continue"/>
            <w:vAlign w:val="center"/>
          </w:tcPr>
          <w:p>
            <w:pPr>
              <w:spacing w:line="280" w:lineRule="exact"/>
              <w:jc w:val="center"/>
              <w:rPr>
                <w:rFonts w:hint="eastAsia" w:ascii="Times New Roman" w:hAnsi="Times New Roman" w:eastAsia="宋体" w:cs="Times New Roman"/>
                <w:color w:val="auto"/>
                <w:kern w:val="2"/>
                <w:sz w:val="21"/>
                <w:szCs w:val="22"/>
                <w:lang w:val="en-US" w:eastAsia="zh-CN" w:bidi="ar-SA"/>
              </w:rPr>
            </w:pPr>
          </w:p>
        </w:tc>
        <w:tc>
          <w:tcPr>
            <w:tcW w:w="4985" w:type="dxa"/>
            <w:gridSpan w:val="2"/>
            <w:vAlign w:val="center"/>
          </w:tcPr>
          <w:p>
            <w:pPr>
              <w:pStyle w:val="17"/>
              <w:spacing w:line="240" w:lineRule="auto"/>
              <w:ind w:firstLine="0"/>
              <w:jc w:val="left"/>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投标人获得过市级及以上建筑协会颁发的“优质工程”的加5分，否则不计分。</w:t>
            </w:r>
          </w:p>
        </w:tc>
        <w:tc>
          <w:tcPr>
            <w:tcW w:w="570" w:type="dxa"/>
            <w:vAlign w:val="center"/>
          </w:tcPr>
          <w:p>
            <w:pPr>
              <w:snapToGrid w:val="0"/>
              <w:spacing w:line="240" w:lineRule="exact"/>
              <w:jc w:val="center"/>
              <w:rPr>
                <w:rFonts w:hint="eastAsia" w:ascii="宋体" w:hAnsi="宋体"/>
                <w:color w:val="auto"/>
                <w:lang w:val="en-US" w:eastAsia="zh-CN"/>
              </w:rPr>
            </w:pPr>
            <w:r>
              <w:rPr>
                <w:rFonts w:hint="eastAsia" w:ascii="宋体" w:hAnsi="宋体"/>
                <w:color w:val="auto"/>
                <w:lang w:val="en-US" w:eastAsia="zh-CN"/>
              </w:rPr>
              <w:t>5</w:t>
            </w:r>
          </w:p>
        </w:tc>
        <w:tc>
          <w:tcPr>
            <w:tcW w:w="834" w:type="dxa"/>
            <w:vMerge w:val="continue"/>
            <w:vAlign w:val="center"/>
          </w:tcPr>
          <w:p>
            <w:pPr>
              <w:widowControl/>
              <w:snapToGrid w:val="0"/>
              <w:spacing w:line="240" w:lineRule="exact"/>
              <w:jc w:val="center"/>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701" w:type="dxa"/>
            <w:vMerge w:val="continue"/>
            <w:vAlign w:val="center"/>
          </w:tcPr>
          <w:p>
            <w:pPr>
              <w:snapToGrid w:val="0"/>
              <w:spacing w:line="240" w:lineRule="exact"/>
              <w:jc w:val="center"/>
              <w:rPr>
                <w:rFonts w:ascii="宋体" w:hAnsi="宋体" w:cs="宋体"/>
                <w:color w:val="auto"/>
              </w:rPr>
            </w:pPr>
          </w:p>
        </w:tc>
        <w:tc>
          <w:tcPr>
            <w:tcW w:w="1788" w:type="dxa"/>
            <w:vMerge w:val="continue"/>
            <w:vAlign w:val="center"/>
          </w:tcPr>
          <w:p>
            <w:pPr>
              <w:spacing w:line="280" w:lineRule="exact"/>
              <w:jc w:val="center"/>
              <w:rPr>
                <w:rFonts w:hint="eastAsia" w:ascii="Times New Roman" w:hAnsi="Times New Roman" w:eastAsia="宋体" w:cs="Times New Roman"/>
                <w:color w:val="auto"/>
                <w:kern w:val="2"/>
                <w:sz w:val="21"/>
                <w:szCs w:val="22"/>
                <w:lang w:val="en-US" w:eastAsia="zh-CN" w:bidi="ar-SA"/>
              </w:rPr>
            </w:pPr>
          </w:p>
        </w:tc>
        <w:tc>
          <w:tcPr>
            <w:tcW w:w="4985" w:type="dxa"/>
            <w:gridSpan w:val="2"/>
            <w:vAlign w:val="center"/>
          </w:tcPr>
          <w:p>
            <w:pPr>
              <w:pStyle w:val="17"/>
              <w:spacing w:line="240" w:lineRule="auto"/>
              <w:ind w:firstLine="0"/>
              <w:jc w:val="left"/>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投标人获得上一年度获得国家税务总局公示的纳税信用</w:t>
            </w:r>
            <w:r>
              <w:rPr>
                <w:rFonts w:hint="eastAsia" w:cs="Times New Roman"/>
                <w:color w:val="auto"/>
                <w:kern w:val="2"/>
                <w:sz w:val="21"/>
                <w:szCs w:val="22"/>
                <w:lang w:val="en-US" w:eastAsia="zh-CN" w:bidi="ar-SA"/>
              </w:rPr>
              <w:t>B</w:t>
            </w:r>
            <w:r>
              <w:rPr>
                <w:rFonts w:hint="eastAsia" w:ascii="Times New Roman" w:hAnsi="Times New Roman" w:eastAsia="宋体" w:cs="Times New Roman"/>
                <w:color w:val="auto"/>
                <w:kern w:val="2"/>
                <w:sz w:val="21"/>
                <w:szCs w:val="22"/>
                <w:lang w:val="en-US" w:eastAsia="zh-CN" w:bidi="ar-SA"/>
              </w:rPr>
              <w:t>级</w:t>
            </w:r>
            <w:r>
              <w:rPr>
                <w:rFonts w:hint="eastAsia" w:cs="Times New Roman"/>
                <w:color w:val="auto"/>
                <w:kern w:val="2"/>
                <w:sz w:val="21"/>
                <w:szCs w:val="22"/>
                <w:lang w:val="en-US" w:eastAsia="zh-CN" w:bidi="ar-SA"/>
              </w:rPr>
              <w:t>及以上</w:t>
            </w:r>
            <w:r>
              <w:rPr>
                <w:rFonts w:hint="eastAsia" w:ascii="Times New Roman" w:hAnsi="Times New Roman" w:eastAsia="宋体" w:cs="Times New Roman"/>
                <w:color w:val="auto"/>
                <w:kern w:val="2"/>
                <w:sz w:val="21"/>
                <w:szCs w:val="22"/>
                <w:lang w:val="en-US" w:eastAsia="zh-CN" w:bidi="ar-SA"/>
              </w:rPr>
              <w:t>纳税人评价的</w:t>
            </w:r>
            <w:bookmarkStart w:id="1316" w:name="_GoBack"/>
            <w:bookmarkEnd w:id="1316"/>
            <w:r>
              <w:rPr>
                <w:rFonts w:hint="eastAsia" w:ascii="Times New Roman" w:hAnsi="Times New Roman" w:eastAsia="宋体" w:cs="Times New Roman"/>
                <w:color w:val="auto"/>
                <w:kern w:val="2"/>
                <w:sz w:val="21"/>
                <w:szCs w:val="22"/>
                <w:lang w:val="en-US" w:eastAsia="zh-CN" w:bidi="ar-SA"/>
              </w:rPr>
              <w:t>计5分。提供税务局官方网站查询结果截图，否则不予计分。</w:t>
            </w:r>
          </w:p>
        </w:tc>
        <w:tc>
          <w:tcPr>
            <w:tcW w:w="570" w:type="dxa"/>
            <w:vAlign w:val="center"/>
          </w:tcPr>
          <w:p>
            <w:pPr>
              <w:snapToGrid w:val="0"/>
              <w:spacing w:line="240" w:lineRule="exact"/>
              <w:jc w:val="center"/>
              <w:rPr>
                <w:rFonts w:hint="default" w:ascii="宋体" w:hAnsi="宋体"/>
                <w:color w:val="auto"/>
                <w:lang w:val="en-US" w:eastAsia="zh-CN"/>
              </w:rPr>
            </w:pPr>
            <w:r>
              <w:rPr>
                <w:rFonts w:hint="eastAsia" w:ascii="宋体" w:hAnsi="宋体"/>
                <w:color w:val="auto"/>
                <w:lang w:val="en-US" w:eastAsia="zh-CN"/>
              </w:rPr>
              <w:t>5</w:t>
            </w:r>
          </w:p>
        </w:tc>
        <w:tc>
          <w:tcPr>
            <w:tcW w:w="834" w:type="dxa"/>
            <w:vAlign w:val="center"/>
          </w:tcPr>
          <w:p>
            <w:pPr>
              <w:widowControl/>
              <w:snapToGrid w:val="0"/>
              <w:spacing w:line="240" w:lineRule="exact"/>
              <w:jc w:val="center"/>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701" w:type="dxa"/>
            <w:vAlign w:val="center"/>
          </w:tcPr>
          <w:p>
            <w:pPr>
              <w:widowControl/>
              <w:spacing w:line="240" w:lineRule="exact"/>
              <w:jc w:val="center"/>
              <w:rPr>
                <w:rFonts w:ascii="宋体"/>
                <w:color w:val="auto"/>
              </w:rPr>
            </w:pPr>
            <w:r>
              <w:rPr>
                <w:rFonts w:hint="eastAsia" w:ascii="宋体"/>
                <w:color w:val="auto"/>
              </w:rPr>
              <w:t>3</w:t>
            </w:r>
          </w:p>
        </w:tc>
        <w:tc>
          <w:tcPr>
            <w:tcW w:w="1788" w:type="dxa"/>
            <w:vAlign w:val="center"/>
          </w:tcPr>
          <w:p>
            <w:pPr>
              <w:widowControl/>
              <w:spacing w:line="240" w:lineRule="exact"/>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企业安全认证</w:t>
            </w:r>
          </w:p>
          <w:p>
            <w:pPr>
              <w:widowControl/>
              <w:spacing w:line="240" w:lineRule="exact"/>
              <w:jc w:val="center"/>
              <w:rPr>
                <w:rFonts w:hint="eastAsia" w:ascii="Times New Roman" w:hAnsi="Times New Roman" w:eastAsia="宋体" w:cs="Times New Roman"/>
                <w:color w:val="auto"/>
                <w:kern w:val="2"/>
                <w:sz w:val="21"/>
                <w:szCs w:val="22"/>
                <w:lang w:val="en-US" w:eastAsia="zh-CN" w:bidi="ar-SA"/>
              </w:rPr>
            </w:pPr>
          </w:p>
        </w:tc>
        <w:tc>
          <w:tcPr>
            <w:tcW w:w="4985" w:type="dxa"/>
            <w:gridSpan w:val="2"/>
            <w:vAlign w:val="center"/>
          </w:tcPr>
          <w:p>
            <w:pPr>
              <w:pStyle w:val="17"/>
              <w:spacing w:line="240" w:lineRule="auto"/>
              <w:ind w:firstLine="0"/>
              <w:jc w:val="left"/>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投标人具有省级安全认证证书的计10分；市级安全认证证书的计5分；提供相关证明、文件等资料，否则不计分。</w:t>
            </w:r>
          </w:p>
        </w:tc>
        <w:tc>
          <w:tcPr>
            <w:tcW w:w="570" w:type="dxa"/>
            <w:vAlign w:val="center"/>
          </w:tcPr>
          <w:p>
            <w:pPr>
              <w:snapToGrid w:val="0"/>
              <w:spacing w:line="240" w:lineRule="exact"/>
              <w:jc w:val="center"/>
              <w:rPr>
                <w:rFonts w:hint="eastAsia" w:ascii="宋体" w:hAnsi="宋体"/>
                <w:color w:val="auto"/>
                <w:lang w:val="en-US" w:eastAsia="zh-CN"/>
              </w:rPr>
            </w:pPr>
            <w:r>
              <w:rPr>
                <w:rFonts w:hint="eastAsia" w:ascii="宋体" w:hAnsi="宋体"/>
                <w:color w:val="auto"/>
                <w:lang w:val="en-US" w:eastAsia="zh-CN"/>
              </w:rPr>
              <w:t>10</w:t>
            </w:r>
          </w:p>
        </w:tc>
        <w:tc>
          <w:tcPr>
            <w:tcW w:w="834" w:type="dxa"/>
            <w:vAlign w:val="center"/>
          </w:tcPr>
          <w:p>
            <w:pPr>
              <w:snapToGrid w:val="0"/>
              <w:spacing w:line="240" w:lineRule="exact"/>
              <w:jc w:val="center"/>
              <w:rPr>
                <w:rFonts w:ascii="宋体" w:hAnsi="宋体" w:cs="宋体"/>
                <w:color w:val="auto"/>
              </w:rPr>
            </w:pPr>
          </w:p>
          <w:p>
            <w:pPr>
              <w:snapToGrid w:val="0"/>
              <w:spacing w:line="24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7" w:hRule="atLeast"/>
        </w:trPr>
        <w:tc>
          <w:tcPr>
            <w:tcW w:w="701" w:type="dxa"/>
            <w:vAlign w:val="center"/>
          </w:tcPr>
          <w:p>
            <w:pPr>
              <w:snapToGrid w:val="0"/>
              <w:spacing w:line="240" w:lineRule="exact"/>
              <w:jc w:val="center"/>
              <w:rPr>
                <w:rFonts w:ascii="宋体" w:hAnsi="宋体" w:cs="宋体"/>
                <w:color w:val="auto"/>
              </w:rPr>
            </w:pPr>
            <w:r>
              <w:rPr>
                <w:rFonts w:hint="eastAsia" w:ascii="宋体" w:hAnsi="宋体" w:cs="宋体"/>
                <w:color w:val="auto"/>
              </w:rPr>
              <w:t>5</w:t>
            </w:r>
          </w:p>
        </w:tc>
        <w:tc>
          <w:tcPr>
            <w:tcW w:w="1788" w:type="dxa"/>
            <w:vAlign w:val="center"/>
          </w:tcPr>
          <w:p>
            <w:pPr>
              <w:spacing w:line="280" w:lineRule="exact"/>
              <w:jc w:val="center"/>
              <w:rPr>
                <w:color w:val="auto"/>
                <w:szCs w:val="21"/>
              </w:rPr>
            </w:pPr>
            <w:r>
              <w:rPr>
                <w:rFonts w:hint="eastAsia"/>
                <w:color w:val="auto"/>
                <w:szCs w:val="21"/>
              </w:rPr>
              <w:t>企业体系认证情况</w:t>
            </w:r>
          </w:p>
        </w:tc>
        <w:tc>
          <w:tcPr>
            <w:tcW w:w="4985" w:type="dxa"/>
            <w:gridSpan w:val="2"/>
            <w:vAlign w:val="center"/>
          </w:tcPr>
          <w:p>
            <w:pPr>
              <w:pStyle w:val="308"/>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投标人同时具备有效的ISO9001质量管理体系、ISO14001环境管理体系、GB/T28001职业健康安全管理体系、GB/T29490-2013知识产权管理体系认证的计15分。提供证书原件扫描件，否则不计分。</w:t>
            </w:r>
          </w:p>
        </w:tc>
        <w:tc>
          <w:tcPr>
            <w:tcW w:w="570" w:type="dxa"/>
            <w:vAlign w:val="center"/>
          </w:tcPr>
          <w:p>
            <w:pPr>
              <w:snapToGrid w:val="0"/>
              <w:spacing w:line="240" w:lineRule="exact"/>
              <w:jc w:val="center"/>
              <w:rPr>
                <w:rFonts w:hint="default" w:ascii="宋体" w:hAnsi="宋体"/>
                <w:color w:val="auto"/>
                <w:lang w:val="en-US" w:eastAsia="zh-CN"/>
              </w:rPr>
            </w:pPr>
            <w:r>
              <w:rPr>
                <w:rFonts w:hint="eastAsia" w:ascii="宋体" w:hAnsi="宋体"/>
                <w:color w:val="auto"/>
                <w:lang w:val="en-US" w:eastAsia="zh-CN"/>
              </w:rPr>
              <w:t>15</w:t>
            </w:r>
          </w:p>
        </w:tc>
        <w:tc>
          <w:tcPr>
            <w:tcW w:w="834" w:type="dxa"/>
            <w:vAlign w:val="center"/>
          </w:tcPr>
          <w:p>
            <w:pPr>
              <w:snapToGrid w:val="0"/>
              <w:spacing w:line="24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trPr>
        <w:tc>
          <w:tcPr>
            <w:tcW w:w="701" w:type="dxa"/>
            <w:vMerge w:val="restart"/>
            <w:vAlign w:val="center"/>
          </w:tcPr>
          <w:p>
            <w:pPr>
              <w:snapToGrid w:val="0"/>
              <w:spacing w:line="240" w:lineRule="exact"/>
              <w:jc w:val="center"/>
              <w:rPr>
                <w:rFonts w:ascii="宋体" w:hAnsi="宋体" w:cs="宋体"/>
                <w:color w:val="auto"/>
              </w:rPr>
            </w:pPr>
            <w:r>
              <w:rPr>
                <w:rFonts w:hint="eastAsia" w:ascii="宋体" w:hAnsi="宋体" w:cs="宋体"/>
                <w:color w:val="auto"/>
              </w:rPr>
              <w:t>6</w:t>
            </w:r>
          </w:p>
        </w:tc>
        <w:tc>
          <w:tcPr>
            <w:tcW w:w="1788" w:type="dxa"/>
            <w:vMerge w:val="restart"/>
            <w:vAlign w:val="center"/>
          </w:tcPr>
          <w:p>
            <w:pPr>
              <w:snapToGrid w:val="0"/>
              <w:spacing w:line="240" w:lineRule="exact"/>
              <w:jc w:val="center"/>
              <w:rPr>
                <w:rFonts w:ascii="宋体"/>
                <w:color w:val="auto"/>
                <w:spacing w:val="-12"/>
              </w:rPr>
            </w:pPr>
            <w:r>
              <w:rPr>
                <w:rFonts w:hint="eastAsia" w:ascii="宋体" w:hAnsi="宋体" w:cs="宋体"/>
                <w:color w:val="auto"/>
                <w:spacing w:val="-12"/>
              </w:rPr>
              <w:t>不良行为记录情况</w:t>
            </w:r>
          </w:p>
        </w:tc>
        <w:tc>
          <w:tcPr>
            <w:tcW w:w="1285" w:type="dxa"/>
            <w:vMerge w:val="restart"/>
            <w:vAlign w:val="center"/>
          </w:tcPr>
          <w:p>
            <w:pPr>
              <w:snapToGrid w:val="0"/>
              <w:spacing w:line="240" w:lineRule="exact"/>
              <w:jc w:val="center"/>
              <w:rPr>
                <w:rFonts w:ascii="宋体"/>
                <w:color w:val="auto"/>
                <w:spacing w:val="-12"/>
              </w:rPr>
            </w:pPr>
            <w:r>
              <w:rPr>
                <w:rFonts w:hint="eastAsia" w:ascii="宋体" w:hAnsi="宋体" w:cs="宋体"/>
                <w:color w:val="auto"/>
              </w:rPr>
              <w:t>拟任项目经理</w:t>
            </w:r>
          </w:p>
        </w:tc>
        <w:tc>
          <w:tcPr>
            <w:tcW w:w="3700" w:type="dxa"/>
            <w:vAlign w:val="center"/>
          </w:tcPr>
          <w:p>
            <w:pPr>
              <w:snapToGrid w:val="0"/>
              <w:spacing w:line="240" w:lineRule="exact"/>
              <w:rPr>
                <w:rFonts w:ascii="宋体"/>
                <w:color w:val="auto"/>
              </w:rPr>
            </w:pPr>
            <w:r>
              <w:rPr>
                <w:rFonts w:hint="eastAsia" w:ascii="宋体" w:hAnsi="宋体" w:cs="宋体"/>
                <w:color w:val="auto"/>
              </w:rPr>
              <w:t>没有不良行为记录</w:t>
            </w:r>
          </w:p>
        </w:tc>
        <w:tc>
          <w:tcPr>
            <w:tcW w:w="570" w:type="dxa"/>
            <w:vAlign w:val="center"/>
          </w:tcPr>
          <w:p>
            <w:pPr>
              <w:snapToGrid w:val="0"/>
              <w:spacing w:line="240" w:lineRule="exact"/>
              <w:jc w:val="center"/>
              <w:rPr>
                <w:rFonts w:ascii="宋体" w:hAnsi="宋体" w:cs="宋体"/>
                <w:color w:val="auto"/>
              </w:rPr>
            </w:pPr>
            <w:r>
              <w:rPr>
                <w:rFonts w:hint="eastAsia" w:ascii="宋体" w:hAnsi="宋体" w:cs="宋体"/>
                <w:color w:val="auto"/>
              </w:rPr>
              <w:t>20</w:t>
            </w:r>
          </w:p>
        </w:tc>
        <w:tc>
          <w:tcPr>
            <w:tcW w:w="834" w:type="dxa"/>
            <w:vMerge w:val="restart"/>
            <w:vAlign w:val="center"/>
          </w:tcPr>
          <w:p>
            <w:pPr>
              <w:snapToGrid w:val="0"/>
              <w:spacing w:line="24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701" w:type="dxa"/>
            <w:vMerge w:val="continue"/>
            <w:vAlign w:val="center"/>
          </w:tcPr>
          <w:p>
            <w:pPr>
              <w:widowControl/>
              <w:spacing w:line="240" w:lineRule="exact"/>
              <w:jc w:val="left"/>
              <w:rPr>
                <w:rFonts w:ascii="宋体"/>
                <w:color w:val="auto"/>
              </w:rPr>
            </w:pPr>
          </w:p>
        </w:tc>
        <w:tc>
          <w:tcPr>
            <w:tcW w:w="1788" w:type="dxa"/>
            <w:vMerge w:val="continue"/>
            <w:vAlign w:val="center"/>
          </w:tcPr>
          <w:p>
            <w:pPr>
              <w:widowControl/>
              <w:spacing w:line="240" w:lineRule="exact"/>
              <w:jc w:val="left"/>
              <w:rPr>
                <w:rFonts w:ascii="宋体"/>
                <w:color w:val="auto"/>
                <w:spacing w:val="-12"/>
              </w:rPr>
            </w:pPr>
          </w:p>
        </w:tc>
        <w:tc>
          <w:tcPr>
            <w:tcW w:w="1285" w:type="dxa"/>
            <w:vMerge w:val="continue"/>
            <w:vAlign w:val="center"/>
          </w:tcPr>
          <w:p>
            <w:pPr>
              <w:widowControl/>
              <w:spacing w:line="240" w:lineRule="exact"/>
              <w:jc w:val="left"/>
              <w:rPr>
                <w:rFonts w:ascii="宋体"/>
                <w:color w:val="auto"/>
                <w:spacing w:val="-12"/>
              </w:rPr>
            </w:pPr>
          </w:p>
        </w:tc>
        <w:tc>
          <w:tcPr>
            <w:tcW w:w="4270" w:type="dxa"/>
            <w:gridSpan w:val="2"/>
            <w:vAlign w:val="center"/>
          </w:tcPr>
          <w:p>
            <w:pPr>
              <w:snapToGrid w:val="0"/>
              <w:spacing w:line="240" w:lineRule="exact"/>
              <w:rPr>
                <w:rFonts w:ascii="宋体"/>
                <w:color w:val="auto"/>
              </w:rPr>
            </w:pPr>
            <w:r>
              <w:rPr>
                <w:rFonts w:hint="eastAsia" w:ascii="宋体" w:hAnsi="宋体" w:cs="宋体"/>
                <w:color w:val="auto"/>
              </w:rPr>
              <w:t>每发生一次一般不良行为记录扣4分</w:t>
            </w:r>
          </w:p>
        </w:tc>
        <w:tc>
          <w:tcPr>
            <w:tcW w:w="834" w:type="dxa"/>
            <w:vMerge w:val="continue"/>
            <w:vAlign w:val="center"/>
          </w:tcPr>
          <w:p>
            <w:pPr>
              <w:snapToGrid w:val="0"/>
              <w:spacing w:line="24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701" w:type="dxa"/>
            <w:vMerge w:val="continue"/>
            <w:vAlign w:val="center"/>
          </w:tcPr>
          <w:p>
            <w:pPr>
              <w:widowControl/>
              <w:spacing w:line="240" w:lineRule="exact"/>
              <w:jc w:val="left"/>
              <w:rPr>
                <w:rFonts w:ascii="宋体"/>
                <w:color w:val="auto"/>
              </w:rPr>
            </w:pPr>
          </w:p>
        </w:tc>
        <w:tc>
          <w:tcPr>
            <w:tcW w:w="1788" w:type="dxa"/>
            <w:vMerge w:val="continue"/>
            <w:vAlign w:val="center"/>
          </w:tcPr>
          <w:p>
            <w:pPr>
              <w:widowControl/>
              <w:spacing w:line="240" w:lineRule="exact"/>
              <w:jc w:val="left"/>
              <w:rPr>
                <w:rFonts w:ascii="宋体"/>
                <w:color w:val="auto"/>
                <w:spacing w:val="-12"/>
              </w:rPr>
            </w:pPr>
          </w:p>
        </w:tc>
        <w:tc>
          <w:tcPr>
            <w:tcW w:w="1285" w:type="dxa"/>
            <w:vMerge w:val="continue"/>
            <w:vAlign w:val="center"/>
          </w:tcPr>
          <w:p>
            <w:pPr>
              <w:widowControl/>
              <w:spacing w:line="240" w:lineRule="exact"/>
              <w:jc w:val="left"/>
              <w:rPr>
                <w:rFonts w:ascii="宋体"/>
                <w:color w:val="auto"/>
                <w:spacing w:val="-12"/>
              </w:rPr>
            </w:pPr>
          </w:p>
        </w:tc>
        <w:tc>
          <w:tcPr>
            <w:tcW w:w="4270" w:type="dxa"/>
            <w:gridSpan w:val="2"/>
            <w:vAlign w:val="center"/>
          </w:tcPr>
          <w:p>
            <w:pPr>
              <w:snapToGrid w:val="0"/>
              <w:spacing w:line="240" w:lineRule="exact"/>
              <w:rPr>
                <w:rFonts w:ascii="宋体"/>
                <w:color w:val="auto"/>
              </w:rPr>
            </w:pPr>
            <w:r>
              <w:rPr>
                <w:rFonts w:hint="eastAsia" w:ascii="宋体" w:hAnsi="宋体" w:cs="宋体"/>
                <w:color w:val="auto"/>
              </w:rPr>
              <w:t>每发生一次严重不良行为记录扣8分</w:t>
            </w:r>
          </w:p>
        </w:tc>
        <w:tc>
          <w:tcPr>
            <w:tcW w:w="834" w:type="dxa"/>
            <w:vMerge w:val="continue"/>
            <w:vAlign w:val="center"/>
          </w:tcPr>
          <w:p>
            <w:pPr>
              <w:snapToGrid w:val="0"/>
              <w:spacing w:line="24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trPr>
        <w:tc>
          <w:tcPr>
            <w:tcW w:w="701" w:type="dxa"/>
            <w:vMerge w:val="continue"/>
            <w:vAlign w:val="center"/>
          </w:tcPr>
          <w:p>
            <w:pPr>
              <w:widowControl/>
              <w:spacing w:line="240" w:lineRule="exact"/>
              <w:jc w:val="left"/>
              <w:rPr>
                <w:rFonts w:ascii="宋体"/>
                <w:color w:val="auto"/>
              </w:rPr>
            </w:pPr>
          </w:p>
        </w:tc>
        <w:tc>
          <w:tcPr>
            <w:tcW w:w="1788" w:type="dxa"/>
            <w:vMerge w:val="continue"/>
            <w:vAlign w:val="center"/>
          </w:tcPr>
          <w:p>
            <w:pPr>
              <w:widowControl/>
              <w:spacing w:line="240" w:lineRule="exact"/>
              <w:jc w:val="left"/>
              <w:rPr>
                <w:rFonts w:ascii="宋体"/>
                <w:color w:val="auto"/>
                <w:spacing w:val="-12"/>
              </w:rPr>
            </w:pPr>
          </w:p>
        </w:tc>
        <w:tc>
          <w:tcPr>
            <w:tcW w:w="1285" w:type="dxa"/>
            <w:vMerge w:val="restart"/>
            <w:vAlign w:val="center"/>
          </w:tcPr>
          <w:p>
            <w:pPr>
              <w:snapToGrid w:val="0"/>
              <w:spacing w:line="240" w:lineRule="exact"/>
              <w:jc w:val="center"/>
              <w:rPr>
                <w:rFonts w:ascii="宋体"/>
                <w:color w:val="auto"/>
                <w:spacing w:val="-8"/>
              </w:rPr>
            </w:pPr>
            <w:r>
              <w:rPr>
                <w:rFonts w:hint="eastAsia" w:ascii="宋体" w:hAnsi="宋体" w:cs="宋体"/>
                <w:color w:val="auto"/>
                <w:spacing w:val="-8"/>
              </w:rPr>
              <w:t>投标人</w:t>
            </w:r>
          </w:p>
        </w:tc>
        <w:tc>
          <w:tcPr>
            <w:tcW w:w="3700" w:type="dxa"/>
            <w:vAlign w:val="center"/>
          </w:tcPr>
          <w:p>
            <w:pPr>
              <w:snapToGrid w:val="0"/>
              <w:spacing w:line="240" w:lineRule="exact"/>
              <w:rPr>
                <w:rFonts w:ascii="宋体"/>
                <w:color w:val="auto"/>
              </w:rPr>
            </w:pPr>
            <w:r>
              <w:rPr>
                <w:rFonts w:hint="eastAsia" w:ascii="宋体" w:hAnsi="宋体" w:cs="宋体"/>
                <w:color w:val="auto"/>
              </w:rPr>
              <w:t>没有不良行为记录</w:t>
            </w:r>
          </w:p>
        </w:tc>
        <w:tc>
          <w:tcPr>
            <w:tcW w:w="570" w:type="dxa"/>
            <w:vAlign w:val="center"/>
          </w:tcPr>
          <w:p>
            <w:pPr>
              <w:snapToGrid w:val="0"/>
              <w:spacing w:line="240" w:lineRule="exact"/>
              <w:jc w:val="center"/>
              <w:rPr>
                <w:rFonts w:ascii="宋体" w:hAnsi="宋体" w:cs="宋体"/>
                <w:color w:val="auto"/>
              </w:rPr>
            </w:pPr>
            <w:r>
              <w:rPr>
                <w:rFonts w:hint="eastAsia" w:ascii="宋体" w:hAnsi="宋体" w:cs="宋体"/>
                <w:color w:val="auto"/>
              </w:rPr>
              <w:t>10</w:t>
            </w:r>
          </w:p>
        </w:tc>
        <w:tc>
          <w:tcPr>
            <w:tcW w:w="834" w:type="dxa"/>
            <w:vMerge w:val="restart"/>
            <w:vAlign w:val="center"/>
          </w:tcPr>
          <w:p>
            <w:pPr>
              <w:snapToGrid w:val="0"/>
              <w:spacing w:line="24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701" w:type="dxa"/>
            <w:vMerge w:val="continue"/>
            <w:vAlign w:val="center"/>
          </w:tcPr>
          <w:p>
            <w:pPr>
              <w:widowControl/>
              <w:spacing w:line="240" w:lineRule="exact"/>
              <w:jc w:val="left"/>
              <w:rPr>
                <w:rFonts w:ascii="宋体"/>
                <w:color w:val="auto"/>
              </w:rPr>
            </w:pPr>
          </w:p>
        </w:tc>
        <w:tc>
          <w:tcPr>
            <w:tcW w:w="1788" w:type="dxa"/>
            <w:vMerge w:val="continue"/>
            <w:vAlign w:val="center"/>
          </w:tcPr>
          <w:p>
            <w:pPr>
              <w:widowControl/>
              <w:spacing w:line="240" w:lineRule="exact"/>
              <w:jc w:val="left"/>
              <w:rPr>
                <w:rFonts w:ascii="宋体"/>
                <w:color w:val="auto"/>
                <w:spacing w:val="-12"/>
              </w:rPr>
            </w:pPr>
          </w:p>
        </w:tc>
        <w:tc>
          <w:tcPr>
            <w:tcW w:w="1285" w:type="dxa"/>
            <w:vMerge w:val="continue"/>
            <w:vAlign w:val="center"/>
          </w:tcPr>
          <w:p>
            <w:pPr>
              <w:widowControl/>
              <w:spacing w:line="240" w:lineRule="exact"/>
              <w:jc w:val="left"/>
              <w:rPr>
                <w:rFonts w:ascii="宋体"/>
                <w:color w:val="auto"/>
                <w:spacing w:val="-8"/>
              </w:rPr>
            </w:pPr>
          </w:p>
        </w:tc>
        <w:tc>
          <w:tcPr>
            <w:tcW w:w="4270" w:type="dxa"/>
            <w:gridSpan w:val="2"/>
            <w:vAlign w:val="center"/>
          </w:tcPr>
          <w:p>
            <w:pPr>
              <w:snapToGrid w:val="0"/>
              <w:spacing w:line="240" w:lineRule="exact"/>
              <w:rPr>
                <w:rFonts w:ascii="宋体"/>
                <w:color w:val="auto"/>
              </w:rPr>
            </w:pPr>
            <w:r>
              <w:rPr>
                <w:rFonts w:hint="eastAsia" w:ascii="宋体" w:hAnsi="宋体" w:cs="宋体"/>
                <w:color w:val="auto"/>
              </w:rPr>
              <w:t>每发生一次一般不良行为记录扣3分</w:t>
            </w:r>
          </w:p>
        </w:tc>
        <w:tc>
          <w:tcPr>
            <w:tcW w:w="834" w:type="dxa"/>
            <w:vMerge w:val="continue"/>
            <w:vAlign w:val="center"/>
          </w:tcPr>
          <w:p>
            <w:pPr>
              <w:snapToGrid w:val="0"/>
              <w:spacing w:line="24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701" w:type="dxa"/>
            <w:vMerge w:val="continue"/>
            <w:vAlign w:val="center"/>
          </w:tcPr>
          <w:p>
            <w:pPr>
              <w:widowControl/>
              <w:spacing w:line="240" w:lineRule="exact"/>
              <w:jc w:val="left"/>
              <w:rPr>
                <w:rFonts w:ascii="宋体"/>
                <w:color w:val="auto"/>
              </w:rPr>
            </w:pPr>
          </w:p>
        </w:tc>
        <w:tc>
          <w:tcPr>
            <w:tcW w:w="1788" w:type="dxa"/>
            <w:vMerge w:val="continue"/>
            <w:vAlign w:val="center"/>
          </w:tcPr>
          <w:p>
            <w:pPr>
              <w:widowControl/>
              <w:spacing w:line="240" w:lineRule="exact"/>
              <w:jc w:val="left"/>
              <w:rPr>
                <w:rFonts w:ascii="宋体"/>
                <w:color w:val="auto"/>
                <w:spacing w:val="-12"/>
              </w:rPr>
            </w:pPr>
          </w:p>
        </w:tc>
        <w:tc>
          <w:tcPr>
            <w:tcW w:w="1285" w:type="dxa"/>
            <w:vMerge w:val="continue"/>
            <w:vAlign w:val="center"/>
          </w:tcPr>
          <w:p>
            <w:pPr>
              <w:widowControl/>
              <w:spacing w:line="240" w:lineRule="exact"/>
              <w:jc w:val="left"/>
              <w:rPr>
                <w:rFonts w:ascii="宋体"/>
                <w:color w:val="auto"/>
                <w:spacing w:val="-8"/>
              </w:rPr>
            </w:pPr>
          </w:p>
        </w:tc>
        <w:tc>
          <w:tcPr>
            <w:tcW w:w="4270" w:type="dxa"/>
            <w:gridSpan w:val="2"/>
            <w:vAlign w:val="center"/>
          </w:tcPr>
          <w:p>
            <w:pPr>
              <w:snapToGrid w:val="0"/>
              <w:spacing w:line="240" w:lineRule="exact"/>
              <w:rPr>
                <w:rFonts w:ascii="宋体"/>
                <w:color w:val="auto"/>
              </w:rPr>
            </w:pPr>
            <w:r>
              <w:rPr>
                <w:rFonts w:hint="eastAsia" w:ascii="宋体" w:hAnsi="宋体" w:cs="宋体"/>
                <w:color w:val="auto"/>
              </w:rPr>
              <w:t>每发生一次严重不良行为记录扣5分</w:t>
            </w:r>
          </w:p>
        </w:tc>
        <w:tc>
          <w:tcPr>
            <w:tcW w:w="834" w:type="dxa"/>
            <w:vMerge w:val="continue"/>
            <w:vAlign w:val="center"/>
          </w:tcPr>
          <w:p>
            <w:pPr>
              <w:snapToGrid w:val="0"/>
              <w:spacing w:line="24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01" w:type="dxa"/>
            <w:vAlign w:val="center"/>
          </w:tcPr>
          <w:p>
            <w:pPr>
              <w:snapToGrid w:val="0"/>
              <w:spacing w:line="240" w:lineRule="exact"/>
              <w:jc w:val="center"/>
              <w:rPr>
                <w:rFonts w:ascii="宋体" w:hAnsi="宋体" w:cs="宋体"/>
                <w:color w:val="auto"/>
              </w:rPr>
            </w:pPr>
            <w:r>
              <w:rPr>
                <w:rFonts w:hint="eastAsia" w:ascii="宋体" w:hAnsi="宋体" w:cs="宋体"/>
                <w:color w:val="auto"/>
              </w:rPr>
              <w:t>7</w:t>
            </w:r>
          </w:p>
        </w:tc>
        <w:tc>
          <w:tcPr>
            <w:tcW w:w="7343" w:type="dxa"/>
            <w:gridSpan w:val="4"/>
            <w:vAlign w:val="center"/>
          </w:tcPr>
          <w:p>
            <w:pPr>
              <w:snapToGrid w:val="0"/>
              <w:spacing w:line="240" w:lineRule="exact"/>
              <w:jc w:val="center"/>
              <w:rPr>
                <w:rFonts w:ascii="宋体"/>
                <w:color w:val="auto"/>
              </w:rPr>
            </w:pPr>
            <w:r>
              <w:rPr>
                <w:rFonts w:hint="eastAsia" w:ascii="宋体" w:hAnsi="宋体" w:cs="宋体"/>
                <w:color w:val="auto"/>
              </w:rPr>
              <w:t>合计</w:t>
            </w:r>
          </w:p>
        </w:tc>
        <w:tc>
          <w:tcPr>
            <w:tcW w:w="834" w:type="dxa"/>
            <w:vAlign w:val="center"/>
          </w:tcPr>
          <w:p>
            <w:pPr>
              <w:snapToGrid w:val="0"/>
              <w:spacing w:line="240" w:lineRule="exact"/>
              <w:jc w:val="center"/>
              <w:rPr>
                <w:rFonts w:ascii="宋体"/>
                <w:color w:val="auto"/>
              </w:rPr>
            </w:pPr>
          </w:p>
        </w:tc>
      </w:tr>
    </w:tbl>
    <w:p>
      <w:pPr>
        <w:pStyle w:val="4"/>
        <w:rPr>
          <w:rFonts w:hint="eastAsia" w:ascii="宋体" w:hAnsi="宋体" w:cs="宋体"/>
          <w:b/>
          <w:color w:val="auto"/>
        </w:rPr>
      </w:pPr>
    </w:p>
    <w:sectPr>
      <w:footerReference r:id="rId15" w:type="default"/>
      <w:pgSz w:w="11906" w:h="16838"/>
      <w:pgMar w:top="1134" w:right="1123" w:bottom="1412" w:left="1134" w:header="907"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MingLiU">
    <w:altName w:val="PMingLiU-ExtB"/>
    <w:panose1 w:val="02020509000000000000"/>
    <w:charset w:val="88"/>
    <w:family w:val="modern"/>
    <w:pitch w:val="default"/>
    <w:sig w:usb0="00000000" w:usb1="00000000" w:usb2="00000016" w:usb3="00000000" w:csb0="00100001" w:csb1="00000000"/>
  </w:font>
  <w:font w:name="CG Times">
    <w:altName w:val="Times New Roman"/>
    <w:panose1 w:val="00000000000000000000"/>
    <w:charset w:val="00"/>
    <w:family w:val="roman"/>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宋体">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FrankRuehl">
    <w:altName w:val="Segoe Print"/>
    <w:panose1 w:val="020E0503060101010101"/>
    <w:charset w:val="B1"/>
    <w:family w:val="swiss"/>
    <w:pitch w:val="default"/>
    <w:sig w:usb0="00000000" w:usb1="00000000" w:usb2="00000000" w:usb3="00000000" w:csb0="00000020" w:csb1="00200000"/>
  </w:font>
  <w:font w:name="Times">
    <w:altName w:val="Times New Roman"/>
    <w:panose1 w:val="02020603050405020304"/>
    <w:charset w:val="00"/>
    <w:family w:val="roman"/>
    <w:pitch w:val="default"/>
    <w:sig w:usb0="00000000" w:usb1="00000000" w:usb2="00000009" w:usb3="00000000" w:csb0="000001FF" w:csb1="00000000"/>
  </w:font>
  <w:font w:name="Calibri Light">
    <w:panose1 w:val="020F0302020204030204"/>
    <w:charset w:val="00"/>
    <w:family w:val="swiss"/>
    <w:pitch w:val="default"/>
    <w:sig w:usb0="E0002AFF" w:usb1="C000247B" w:usb2="00000009" w:usb3="00000000" w:csb0="200001FF" w:csb1="00000000"/>
  </w:font>
  <w:font w:name="CordiaUPC">
    <w:altName w:val="Yu Gothic UI Light"/>
    <w:panose1 w:val="020B0304020202020204"/>
    <w:charset w:val="00"/>
    <w:family w:val="swiss"/>
    <w:pitch w:val="default"/>
    <w:sig w:usb0="00000000" w:usb1="00000000" w:usb2="00000000" w:usb3="00000000" w:csb0="00010001" w:csb1="00000000"/>
  </w:font>
  <w:font w:name="Microsoft YaHei UI">
    <w:panose1 w:val="020B0503020204020204"/>
    <w:charset w:val="86"/>
    <w:family w:val="swiss"/>
    <w:pitch w:val="default"/>
    <w:sig w:usb0="80000287" w:usb1="28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inherit">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8CF3C50" w:usb2="00000016" w:usb3="00000000" w:csb0="0004001F" w:csb1="00000000"/>
  </w:font>
  <w:font w:name="Yu Gothic UI Light">
    <w:panose1 w:val="020B03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5"/>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wlV7Ia8BAABL&#10;AwAADgAAAAAAAAABACAAAAAeAQAAZHJzL2Uyb0RvYy54bWxQSwUGAAAAAAYABgBZAQAAPwUAAAAA&#10;">
              <v:fill on="f" focussize="0,0"/>
              <v:stroke on="f"/>
              <v:imagedata o:title=""/>
              <o:lock v:ext="edit" aspectratio="f"/>
              <v:textbox inset="0mm,0mm,0mm,0mm" style="mso-fit-shape-to-text:t;">
                <w:txbxContent>
                  <w:p>
                    <w:pPr>
                      <w:pStyle w:val="35"/>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5"/>
                            <w:rPr>
                              <w:rFonts w:hint="eastAsia"/>
                            </w:rPr>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AwmbStAQAASwMA&#10;AA4AAAAAAAAAAQAgAAAAHgEAAGRycy9lMm9Eb2MueG1sUEsFBgAAAAAGAAYAWQEAAD0FAAAAAA==&#10;">
              <v:fill on="f" focussize="0,0"/>
              <v:stroke on="f"/>
              <v:imagedata o:title=""/>
              <o:lock v:ext="edit" aspectratio="f"/>
              <v:textbox inset="0mm,0mm,0mm,0mm" style="mso-fit-shape-to-text:t;">
                <w:txbxContent>
                  <w:p>
                    <w:pPr>
                      <w:pStyle w:val="35"/>
                      <w:rPr>
                        <w:rFonts w:hint="eastAsia"/>
                      </w:rPr>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 PAGE   \* MERGEFORMAT </w:instrText>
    </w:r>
    <w:r>
      <w:fldChar w:fldCharType="separate"/>
    </w:r>
    <w:r>
      <w:rPr>
        <w:lang w:val="zh-CN"/>
      </w:rPr>
      <w:t>38</w:t>
    </w:r>
    <w:r>
      <w:fldChar w:fldCharType="end"/>
    </w:r>
  </w:p>
  <w:p>
    <w:pPr>
      <w:pStyle w:val="3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left" w:pos="4988"/>
      </w:tabs>
    </w:pPr>
    <w:r>
      <w:tab/>
    </w:r>
    <w:r>
      <w:fldChar w:fldCharType="begin"/>
    </w:r>
    <w:r>
      <w:instrText xml:space="preserve"> PAGE   \* MERGEFORMAT </w:instrText>
    </w:r>
    <w:r>
      <w:fldChar w:fldCharType="separate"/>
    </w:r>
    <w:r>
      <w:rPr>
        <w:lang w:val="zh-CN"/>
      </w:rPr>
      <w:t>39</w:t>
    </w:r>
    <w:r>
      <w:fldChar w:fldCharType="end"/>
    </w:r>
    <w:r>
      <w:tab/>
    </w:r>
  </w:p>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 PAGE   \* MERGEFORMAT </w:instrText>
    </w:r>
    <w:r>
      <w:fldChar w:fldCharType="separate"/>
    </w:r>
    <w:r>
      <w:rPr>
        <w:lang w:val="zh-CN"/>
      </w:rPr>
      <w:t>144</w:t>
    </w:r>
    <w:r>
      <w:fldChar w:fldCharType="end"/>
    </w:r>
  </w:p>
  <w:p>
    <w:pPr>
      <w:pStyle w:val="35"/>
      <w:rPr>
        <w:rFonts w:hint="eastAsia" w:cs="宋体"/>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rPr>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5"/>
                            <w:rPr>
                              <w:rFonts w:hint="eastAsia"/>
                            </w:rPr>
                          </w:pPr>
                          <w:r>
                            <w:rPr>
                              <w:rFonts w:hint="eastAsia"/>
                            </w:rPr>
                            <w:fldChar w:fldCharType="begin"/>
                          </w:r>
                          <w:r>
                            <w:rPr>
                              <w:rFonts w:hint="eastAsia"/>
                            </w:rPr>
                            <w:instrText xml:space="preserve"> PAGE  \* MERGEFORMAT </w:instrText>
                          </w:r>
                          <w:r>
                            <w:rPr>
                              <w:rFonts w:hint="eastAsia"/>
                            </w:rPr>
                            <w:fldChar w:fldCharType="separate"/>
                          </w:r>
                          <w:r>
                            <w:t>156</w:t>
                          </w:r>
                          <w:r>
                            <w:rPr>
                              <w:rFonts w:hint="eastAsia"/>
                            </w:rP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JxrtWrgEAAEwD&#10;AAAOAAAAAAAAAAEAIAAAAB4BAABkcnMvZTJvRG9jLnhtbFBLBQYAAAAABgAGAFkBAAA+BQAAAAA=&#10;">
              <v:fill on="f" focussize="0,0"/>
              <v:stroke on="f"/>
              <v:imagedata o:title=""/>
              <o:lock v:ext="edit" aspectratio="f"/>
              <v:textbox inset="0mm,0mm,0mm,0mm" style="mso-fit-shape-to-text:t;">
                <w:txbxContent>
                  <w:p>
                    <w:pPr>
                      <w:pStyle w:val="35"/>
                      <w:rPr>
                        <w:rFonts w:hint="eastAsia"/>
                      </w:rPr>
                    </w:pPr>
                    <w:r>
                      <w:rPr>
                        <w:rFonts w:hint="eastAsia"/>
                      </w:rPr>
                      <w:fldChar w:fldCharType="begin"/>
                    </w:r>
                    <w:r>
                      <w:rPr>
                        <w:rFonts w:hint="eastAsia"/>
                      </w:rPr>
                      <w:instrText xml:space="preserve"> PAGE  \* MERGEFORMAT </w:instrText>
                    </w:r>
                    <w:r>
                      <w:rPr>
                        <w:rFonts w:hint="eastAsia"/>
                      </w:rPr>
                      <w:fldChar w:fldCharType="separate"/>
                    </w:r>
                    <w:r>
                      <w:t>156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spacing w:before="360" w:beforeLines="150"/>
      <w:jc w:val="lef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2B669D"/>
    <w:multiLevelType w:val="singleLevel"/>
    <w:tmpl w:val="A92B669D"/>
    <w:lvl w:ilvl="0" w:tentative="0">
      <w:start w:val="1"/>
      <w:numFmt w:val="decimal"/>
      <w:suff w:val="nothing"/>
      <w:lvlText w:val="%1．"/>
      <w:lvlJc w:val="left"/>
    </w:lvl>
  </w:abstractNum>
  <w:abstractNum w:abstractNumId="1">
    <w:nsid w:val="B37E52F5"/>
    <w:multiLevelType w:val="singleLevel"/>
    <w:tmpl w:val="B37E52F5"/>
    <w:lvl w:ilvl="0" w:tentative="0">
      <w:start w:val="1"/>
      <w:numFmt w:val="decimal"/>
      <w:pStyle w:val="303"/>
      <w:suff w:val="nothing"/>
      <w:lvlText w:val="%1．"/>
      <w:lvlJc w:val="left"/>
    </w:lvl>
  </w:abstractNum>
  <w:abstractNum w:abstractNumId="2">
    <w:nsid w:val="D4A107F0"/>
    <w:multiLevelType w:val="singleLevel"/>
    <w:tmpl w:val="D4A107F0"/>
    <w:lvl w:ilvl="0" w:tentative="0">
      <w:start w:val="1"/>
      <w:numFmt w:val="decimal"/>
      <w:suff w:val="nothing"/>
      <w:lvlText w:val="（%1）"/>
      <w:lvlJc w:val="left"/>
    </w:lvl>
  </w:abstractNum>
  <w:abstractNum w:abstractNumId="3">
    <w:nsid w:val="E5003A1F"/>
    <w:multiLevelType w:val="singleLevel"/>
    <w:tmpl w:val="E5003A1F"/>
    <w:lvl w:ilvl="0" w:tentative="0">
      <w:start w:val="5"/>
      <w:numFmt w:val="chineseCounting"/>
      <w:pStyle w:val="198"/>
      <w:suff w:val="nothing"/>
      <w:lvlText w:val="%1、"/>
      <w:lvlJc w:val="left"/>
      <w:rPr>
        <w:rFonts w:hint="eastAsia"/>
      </w:rPr>
    </w:lvl>
  </w:abstractNum>
  <w:abstractNum w:abstractNumId="4">
    <w:nsid w:val="03B97469"/>
    <w:multiLevelType w:val="multilevel"/>
    <w:tmpl w:val="03B97469"/>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CF426A1"/>
    <w:multiLevelType w:val="singleLevel"/>
    <w:tmpl w:val="0CF426A1"/>
    <w:lvl w:ilvl="0" w:tentative="0">
      <w:start w:val="1"/>
      <w:numFmt w:val="decimal"/>
      <w:pStyle w:val="173"/>
      <w:suff w:val="nothing"/>
      <w:lvlText w:val="（%1）"/>
      <w:lvlJc w:val="left"/>
    </w:lvl>
  </w:abstractNum>
  <w:abstractNum w:abstractNumId="6">
    <w:nsid w:val="1715BB5F"/>
    <w:multiLevelType w:val="singleLevel"/>
    <w:tmpl w:val="1715BB5F"/>
    <w:lvl w:ilvl="0" w:tentative="0">
      <w:start w:val="1"/>
      <w:numFmt w:val="decimal"/>
      <w:pStyle w:val="259"/>
      <w:suff w:val="nothing"/>
      <w:lvlText w:val="%1．"/>
      <w:lvlJc w:val="left"/>
    </w:lvl>
  </w:abstractNum>
  <w:abstractNum w:abstractNumId="7">
    <w:nsid w:val="229734FF"/>
    <w:multiLevelType w:val="multilevel"/>
    <w:tmpl w:val="229734FF"/>
    <w:lvl w:ilvl="0" w:tentative="0">
      <w:start w:val="1"/>
      <w:numFmt w:val="decimal"/>
      <w:lvlText w:val="第%1条"/>
      <w:lvlJc w:val="left"/>
      <w:pPr>
        <w:ind w:left="0" w:firstLine="0"/>
      </w:pPr>
    </w:lvl>
    <w:lvl w:ilvl="1" w:tentative="0">
      <w:start w:val="1"/>
      <w:numFmt w:val="decimal"/>
      <w:lvlText w:val="%1.%2"/>
      <w:lvlJc w:val="left"/>
      <w:pPr>
        <w:ind w:left="0" w:firstLine="0"/>
      </w:pPr>
    </w:lvl>
    <w:lvl w:ilvl="2" w:tentative="0">
      <w:start w:val="1"/>
      <w:numFmt w:val="decimal"/>
      <w:lvlText w:val="%1.%2.%3"/>
      <w:lvlJc w:val="left"/>
      <w:pPr>
        <w:ind w:left="0" w:firstLine="0"/>
      </w:p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8">
    <w:nsid w:val="301F5202"/>
    <w:multiLevelType w:val="multilevel"/>
    <w:tmpl w:val="301F5202"/>
    <w:lvl w:ilvl="0" w:tentative="0">
      <w:start w:val="1"/>
      <w:numFmt w:val="decimal"/>
      <w:pStyle w:val="164"/>
      <w:lvlText w:val="第%1条"/>
      <w:lvlJc w:val="left"/>
      <w:pPr>
        <w:ind w:left="851" w:firstLine="0"/>
      </w:pPr>
    </w:lvl>
    <w:lvl w:ilvl="1" w:tentative="0">
      <w:start w:val="1"/>
      <w:numFmt w:val="decimal"/>
      <w:lvlText w:val="%1.%2"/>
      <w:lvlJc w:val="left"/>
      <w:pPr>
        <w:ind w:left="991" w:hanging="567"/>
      </w:pPr>
    </w:lvl>
    <w:lvl w:ilvl="2" w:tentative="0">
      <w:start w:val="1"/>
      <w:numFmt w:val="decimal"/>
      <w:lvlText w:val="%1.%2.%3"/>
      <w:lvlJc w:val="left"/>
      <w:pPr>
        <w:ind w:left="2835" w:hanging="567"/>
      </w:pPr>
    </w:lvl>
    <w:lvl w:ilvl="3" w:tentative="0">
      <w:start w:val="1"/>
      <w:numFmt w:val="decimal"/>
      <w:lvlText w:val="%1.%2.%3.%4"/>
      <w:lvlJc w:val="left"/>
      <w:pPr>
        <w:ind w:left="1983" w:hanging="708"/>
      </w:pPr>
    </w:lvl>
    <w:lvl w:ilvl="4" w:tentative="0">
      <w:start w:val="1"/>
      <w:numFmt w:val="decimal"/>
      <w:lvlText w:val="%1.%2.%3.%4.%5"/>
      <w:lvlJc w:val="left"/>
      <w:pPr>
        <w:ind w:left="2550" w:hanging="850"/>
      </w:pPr>
    </w:lvl>
    <w:lvl w:ilvl="5" w:tentative="0">
      <w:start w:val="1"/>
      <w:numFmt w:val="decimal"/>
      <w:pStyle w:val="182"/>
      <w:lvlText w:val="%1.%2.%3.%4.%5.%6"/>
      <w:lvlJc w:val="left"/>
      <w:pPr>
        <w:ind w:left="3259" w:hanging="1134"/>
      </w:pPr>
    </w:lvl>
    <w:lvl w:ilvl="6" w:tentative="0">
      <w:start w:val="1"/>
      <w:numFmt w:val="decimal"/>
      <w:lvlText w:val="%1.%2.%3.%4.%5.%6.%7"/>
      <w:lvlJc w:val="left"/>
      <w:pPr>
        <w:ind w:left="3826" w:hanging="1276"/>
      </w:pPr>
    </w:lvl>
    <w:lvl w:ilvl="7" w:tentative="0">
      <w:start w:val="1"/>
      <w:numFmt w:val="decimal"/>
      <w:lvlText w:val="%1.%2.%3.%4.%5.%6.%7.%8"/>
      <w:lvlJc w:val="left"/>
      <w:pPr>
        <w:ind w:left="4393" w:hanging="1418"/>
      </w:pPr>
    </w:lvl>
    <w:lvl w:ilvl="8" w:tentative="0">
      <w:start w:val="1"/>
      <w:numFmt w:val="decimal"/>
      <w:lvlText w:val="%1.%2.%3.%4.%5.%6.%7.%8.%9"/>
      <w:lvlJc w:val="left"/>
      <w:pPr>
        <w:ind w:left="5101" w:hanging="1700"/>
      </w:pPr>
    </w:lvl>
  </w:abstractNum>
  <w:abstractNum w:abstractNumId="9">
    <w:nsid w:val="5937CC5C"/>
    <w:multiLevelType w:val="singleLevel"/>
    <w:tmpl w:val="5937CC5C"/>
    <w:lvl w:ilvl="0" w:tentative="0">
      <w:start w:val="3"/>
      <w:numFmt w:val="chineseCounting"/>
      <w:suff w:val="space"/>
      <w:lvlText w:val="第%1章"/>
      <w:lvlJc w:val="left"/>
    </w:lvl>
  </w:abstractNum>
  <w:abstractNum w:abstractNumId="10">
    <w:nsid w:val="603F41F0"/>
    <w:multiLevelType w:val="singleLevel"/>
    <w:tmpl w:val="603F41F0"/>
    <w:lvl w:ilvl="0" w:tentative="0">
      <w:start w:val="1"/>
      <w:numFmt w:val="chineseCounting"/>
      <w:suff w:val="nothing"/>
      <w:lvlText w:val="（%1）"/>
      <w:lvlJc w:val="left"/>
    </w:lvl>
  </w:abstractNum>
  <w:abstractNum w:abstractNumId="11">
    <w:nsid w:val="603F48E3"/>
    <w:multiLevelType w:val="singleLevel"/>
    <w:tmpl w:val="603F48E3"/>
    <w:lvl w:ilvl="0" w:tentative="0">
      <w:start w:val="2"/>
      <w:numFmt w:val="chineseCounting"/>
      <w:suff w:val="nothing"/>
      <w:lvlText w:val="%1、"/>
      <w:lvlJc w:val="left"/>
    </w:lvl>
  </w:abstractNum>
  <w:abstractNum w:abstractNumId="12">
    <w:nsid w:val="62687BB6"/>
    <w:multiLevelType w:val="multilevel"/>
    <w:tmpl w:val="62687BB6"/>
    <w:lvl w:ilvl="0" w:tentative="0">
      <w:start w:val="1"/>
      <w:numFmt w:val="decimal"/>
      <w:pStyle w:val="199"/>
      <w:lvlText w:val="附件%1"/>
      <w:lvlJc w:val="left"/>
      <w:pPr>
        <w:ind w:left="3681" w:hanging="420"/>
      </w:pPr>
      <w:rPr>
        <w:sz w:val="30"/>
        <w:szCs w:val="30"/>
      </w:rPr>
    </w:lvl>
    <w:lvl w:ilvl="1" w:tentative="0">
      <w:start w:val="1"/>
      <w:numFmt w:val="lowerLetter"/>
      <w:lvlText w:val="%2)"/>
      <w:lvlJc w:val="left"/>
      <w:pPr>
        <w:ind w:left="983" w:hanging="420"/>
      </w:pPr>
    </w:lvl>
    <w:lvl w:ilvl="2" w:tentative="0">
      <w:start w:val="1"/>
      <w:numFmt w:val="lowerRoman"/>
      <w:lvlText w:val="%3."/>
      <w:lvlJc w:val="right"/>
      <w:pPr>
        <w:ind w:left="1403" w:hanging="420"/>
      </w:pPr>
    </w:lvl>
    <w:lvl w:ilvl="3" w:tentative="0">
      <w:start w:val="1"/>
      <w:numFmt w:val="decimal"/>
      <w:lvlText w:val="%4."/>
      <w:lvlJc w:val="left"/>
      <w:pPr>
        <w:ind w:left="1823" w:hanging="420"/>
      </w:pPr>
    </w:lvl>
    <w:lvl w:ilvl="4" w:tentative="0">
      <w:start w:val="1"/>
      <w:numFmt w:val="lowerLetter"/>
      <w:lvlText w:val="%5)"/>
      <w:lvlJc w:val="left"/>
      <w:pPr>
        <w:ind w:left="2243" w:hanging="420"/>
      </w:pPr>
    </w:lvl>
    <w:lvl w:ilvl="5" w:tentative="0">
      <w:start w:val="1"/>
      <w:numFmt w:val="lowerRoman"/>
      <w:lvlText w:val="%6."/>
      <w:lvlJc w:val="right"/>
      <w:pPr>
        <w:ind w:left="2663" w:hanging="420"/>
      </w:pPr>
    </w:lvl>
    <w:lvl w:ilvl="6" w:tentative="0">
      <w:start w:val="1"/>
      <w:numFmt w:val="decimal"/>
      <w:lvlText w:val="%7."/>
      <w:lvlJc w:val="left"/>
      <w:pPr>
        <w:ind w:left="3083" w:hanging="420"/>
      </w:pPr>
    </w:lvl>
    <w:lvl w:ilvl="7" w:tentative="0">
      <w:start w:val="1"/>
      <w:numFmt w:val="lowerLetter"/>
      <w:lvlText w:val="%8)"/>
      <w:lvlJc w:val="left"/>
      <w:pPr>
        <w:ind w:left="3503" w:hanging="420"/>
      </w:pPr>
    </w:lvl>
    <w:lvl w:ilvl="8" w:tentative="0">
      <w:start w:val="1"/>
      <w:numFmt w:val="lowerRoman"/>
      <w:lvlText w:val="%9."/>
      <w:lvlJc w:val="right"/>
      <w:pPr>
        <w:ind w:left="3923" w:hanging="420"/>
      </w:pPr>
    </w:lvl>
  </w:abstractNum>
  <w:abstractNum w:abstractNumId="13">
    <w:nsid w:val="7543651A"/>
    <w:multiLevelType w:val="multilevel"/>
    <w:tmpl w:val="7543651A"/>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pStyle w:val="154"/>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lvlOverride w:ilvl="0">
      <w:lvl w:ilvl="0" w:tentative="1">
        <w:start w:val="1"/>
        <w:numFmt w:val="decimal"/>
        <w:pStyle w:val="307"/>
        <w:lvlText w:val="第%1条"/>
        <w:lvlJc w:val="left"/>
        <w:pPr>
          <w:ind w:left="0" w:firstLine="0"/>
        </w:pPr>
      </w:lvl>
    </w:lvlOverride>
    <w:lvlOverride w:ilvl="1">
      <w:lvl w:ilvl="1" w:tentative="1">
        <w:start w:val="1"/>
        <w:numFmt w:val="decimal"/>
        <w:pStyle w:val="162"/>
        <w:lvlText w:val="%1.%2"/>
        <w:lvlJc w:val="left"/>
        <w:pPr>
          <w:ind w:left="1843" w:firstLine="0"/>
        </w:pPr>
      </w:lvl>
    </w:lvlOverride>
    <w:lvlOverride w:ilvl="2">
      <w:lvl w:ilvl="2" w:tentative="1">
        <w:start w:val="1"/>
        <w:numFmt w:val="decimal"/>
        <w:pStyle w:val="83"/>
        <w:lvlText w:val="%1.%2.%3"/>
        <w:lvlJc w:val="left"/>
        <w:pPr>
          <w:ind w:left="2126" w:firstLine="0"/>
        </w:pPr>
      </w:lvl>
    </w:lvlOverride>
    <w:lvlOverride w:ilvl="3">
      <w:lvl w:ilvl="3" w:tentative="1">
        <w:start w:val="1"/>
        <w:numFmt w:val="decimal"/>
        <w:lvlText w:val="%1.%2.%3.%4"/>
        <w:lvlJc w:val="left"/>
        <w:pPr>
          <w:ind w:left="710" w:firstLine="0"/>
        </w:pPr>
      </w:lvl>
    </w:lvlOverride>
    <w:lvlOverride w:ilvl="4">
      <w:lvl w:ilvl="4" w:tentative="1">
        <w:start w:val="1"/>
        <w:numFmt w:val="decimal"/>
        <w:lvlText w:val="%1.%2.%3.%4.%5"/>
        <w:lvlJc w:val="left"/>
        <w:pPr>
          <w:ind w:left="0" w:firstLine="0"/>
        </w:pPr>
      </w:lvl>
    </w:lvlOverride>
    <w:lvlOverride w:ilvl="5">
      <w:lvl w:ilvl="5" w:tentative="1">
        <w:start w:val="1"/>
        <w:numFmt w:val="decimal"/>
        <w:lvlText w:val="%1.%2.%3.%4.%5.%6"/>
        <w:lvlJc w:val="left"/>
        <w:pPr>
          <w:ind w:left="0" w:firstLine="0"/>
        </w:pPr>
      </w:lvl>
    </w:lvlOverride>
    <w:lvlOverride w:ilvl="6">
      <w:lvl w:ilvl="6" w:tentative="1">
        <w:start w:val="1"/>
        <w:numFmt w:val="decimal"/>
        <w:lvlText w:val="%1.%2.%3.%4.%5.%6.%7"/>
        <w:lvlJc w:val="left"/>
        <w:pPr>
          <w:ind w:left="0" w:firstLine="0"/>
        </w:pPr>
      </w:lvl>
    </w:lvlOverride>
    <w:lvlOverride w:ilvl="7">
      <w:lvl w:ilvl="7" w:tentative="1">
        <w:start w:val="1"/>
        <w:numFmt w:val="decimal"/>
        <w:lvlText w:val="%1.%2.%3.%4.%5.%6.%7.%8"/>
        <w:lvlJc w:val="left"/>
        <w:pPr>
          <w:ind w:left="0" w:firstLine="0"/>
        </w:pPr>
      </w:lvl>
    </w:lvlOverride>
    <w:lvlOverride w:ilvl="8">
      <w:lvl w:ilvl="8" w:tentative="1">
        <w:start w:val="1"/>
        <w:numFmt w:val="decimal"/>
        <w:lvlText w:val="%1.%2.%3.%4.%5.%6.%7.%8.%9"/>
        <w:lvlJc w:val="left"/>
        <w:pPr>
          <w:ind w:left="0" w:firstLine="0"/>
        </w:pPr>
      </w:lvl>
    </w:lvlOverride>
  </w:num>
  <w:num w:numId="2">
    <w:abstractNumId w:val="2"/>
  </w:num>
  <w:num w:numId="3">
    <w:abstractNumId w:val="13"/>
  </w:num>
  <w:num w:numId="4">
    <w:abstractNumId w:val="8"/>
  </w:num>
  <w:num w:numId="5">
    <w:abstractNumId w:val="5"/>
  </w:num>
  <w:num w:numId="6">
    <w:abstractNumId w:val="3"/>
  </w:num>
  <w:num w:numId="7">
    <w:abstractNumId w:val="12"/>
  </w:num>
  <w:num w:numId="8">
    <w:abstractNumId w:val="9"/>
  </w:num>
  <w:num w:numId="9">
    <w:abstractNumId w:val="6"/>
  </w:num>
  <w:num w:numId="10">
    <w:abstractNumId w:val="1"/>
  </w:num>
  <w:num w:numId="11">
    <w:abstractNumId w:val="0"/>
  </w:num>
  <w:num w:numId="12">
    <w:abstractNumId w:val="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readOnly" w:enforcement="0"/>
  <w:defaultTabStop w:val="420"/>
  <w:hyphenationZone w:val="360"/>
  <w:drawingGridHorizontalSpacing w:val="105"/>
  <w:drawingGridVerticalSpacing w:val="287"/>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8D"/>
    <w:rsid w:val="000021E6"/>
    <w:rsid w:val="00003059"/>
    <w:rsid w:val="0000358F"/>
    <w:rsid w:val="000038C1"/>
    <w:rsid w:val="0000448D"/>
    <w:rsid w:val="00006546"/>
    <w:rsid w:val="00007128"/>
    <w:rsid w:val="00007FE4"/>
    <w:rsid w:val="00010913"/>
    <w:rsid w:val="00014127"/>
    <w:rsid w:val="00021E02"/>
    <w:rsid w:val="00032526"/>
    <w:rsid w:val="0003459A"/>
    <w:rsid w:val="00035CD2"/>
    <w:rsid w:val="000368A3"/>
    <w:rsid w:val="00036AB9"/>
    <w:rsid w:val="00037E52"/>
    <w:rsid w:val="00040B1B"/>
    <w:rsid w:val="0004138C"/>
    <w:rsid w:val="00042154"/>
    <w:rsid w:val="00042238"/>
    <w:rsid w:val="00045734"/>
    <w:rsid w:val="00047A72"/>
    <w:rsid w:val="0005194D"/>
    <w:rsid w:val="000519FF"/>
    <w:rsid w:val="000522A2"/>
    <w:rsid w:val="00054477"/>
    <w:rsid w:val="000549CC"/>
    <w:rsid w:val="0005501B"/>
    <w:rsid w:val="000554C7"/>
    <w:rsid w:val="00057132"/>
    <w:rsid w:val="00061E78"/>
    <w:rsid w:val="000624BE"/>
    <w:rsid w:val="00064372"/>
    <w:rsid w:val="00065FB4"/>
    <w:rsid w:val="0006652D"/>
    <w:rsid w:val="00067B02"/>
    <w:rsid w:val="00075163"/>
    <w:rsid w:val="000753D3"/>
    <w:rsid w:val="00077067"/>
    <w:rsid w:val="000844A8"/>
    <w:rsid w:val="00086FA5"/>
    <w:rsid w:val="00091746"/>
    <w:rsid w:val="00091F71"/>
    <w:rsid w:val="000920F1"/>
    <w:rsid w:val="00094474"/>
    <w:rsid w:val="00096E27"/>
    <w:rsid w:val="00096E95"/>
    <w:rsid w:val="00097FE4"/>
    <w:rsid w:val="000A3C67"/>
    <w:rsid w:val="000A427A"/>
    <w:rsid w:val="000A4795"/>
    <w:rsid w:val="000A5413"/>
    <w:rsid w:val="000A7D1E"/>
    <w:rsid w:val="000B029E"/>
    <w:rsid w:val="000B0AB2"/>
    <w:rsid w:val="000B0EDB"/>
    <w:rsid w:val="000B127D"/>
    <w:rsid w:val="000B3506"/>
    <w:rsid w:val="000B3F72"/>
    <w:rsid w:val="000B4DF8"/>
    <w:rsid w:val="000B5453"/>
    <w:rsid w:val="000B6C67"/>
    <w:rsid w:val="000B7693"/>
    <w:rsid w:val="000B7C04"/>
    <w:rsid w:val="000C1786"/>
    <w:rsid w:val="000C2826"/>
    <w:rsid w:val="000C4246"/>
    <w:rsid w:val="000C5623"/>
    <w:rsid w:val="000C6A99"/>
    <w:rsid w:val="000C6D92"/>
    <w:rsid w:val="000C6E14"/>
    <w:rsid w:val="000C6F28"/>
    <w:rsid w:val="000D139D"/>
    <w:rsid w:val="000D1B1C"/>
    <w:rsid w:val="000D3058"/>
    <w:rsid w:val="000D3260"/>
    <w:rsid w:val="000D3854"/>
    <w:rsid w:val="000D4152"/>
    <w:rsid w:val="000E0AA7"/>
    <w:rsid w:val="000E6551"/>
    <w:rsid w:val="000E72FF"/>
    <w:rsid w:val="000E7801"/>
    <w:rsid w:val="000F0521"/>
    <w:rsid w:val="000F349C"/>
    <w:rsid w:val="000F41C8"/>
    <w:rsid w:val="000F4BD0"/>
    <w:rsid w:val="000F5645"/>
    <w:rsid w:val="00100B2B"/>
    <w:rsid w:val="00100B47"/>
    <w:rsid w:val="00100C8D"/>
    <w:rsid w:val="001020D5"/>
    <w:rsid w:val="00102279"/>
    <w:rsid w:val="0010253D"/>
    <w:rsid w:val="00102FED"/>
    <w:rsid w:val="0010339B"/>
    <w:rsid w:val="001042B5"/>
    <w:rsid w:val="0010541C"/>
    <w:rsid w:val="00107268"/>
    <w:rsid w:val="00110552"/>
    <w:rsid w:val="001111B8"/>
    <w:rsid w:val="00112193"/>
    <w:rsid w:val="001126E0"/>
    <w:rsid w:val="0011342D"/>
    <w:rsid w:val="0011388C"/>
    <w:rsid w:val="001150CD"/>
    <w:rsid w:val="00116489"/>
    <w:rsid w:val="001173F7"/>
    <w:rsid w:val="00120D34"/>
    <w:rsid w:val="00122C8D"/>
    <w:rsid w:val="00126695"/>
    <w:rsid w:val="00126F25"/>
    <w:rsid w:val="00130466"/>
    <w:rsid w:val="00131AA6"/>
    <w:rsid w:val="0013290D"/>
    <w:rsid w:val="0013399C"/>
    <w:rsid w:val="00133DDD"/>
    <w:rsid w:val="00134B07"/>
    <w:rsid w:val="00135D16"/>
    <w:rsid w:val="0013780D"/>
    <w:rsid w:val="0013790F"/>
    <w:rsid w:val="00140C8E"/>
    <w:rsid w:val="00140D64"/>
    <w:rsid w:val="001432B2"/>
    <w:rsid w:val="0014395E"/>
    <w:rsid w:val="00144D0A"/>
    <w:rsid w:val="001450CA"/>
    <w:rsid w:val="00147BF8"/>
    <w:rsid w:val="001520CB"/>
    <w:rsid w:val="00156268"/>
    <w:rsid w:val="00160334"/>
    <w:rsid w:val="00161373"/>
    <w:rsid w:val="00162AD4"/>
    <w:rsid w:val="001633A9"/>
    <w:rsid w:val="00163D4A"/>
    <w:rsid w:val="001652F3"/>
    <w:rsid w:val="00165787"/>
    <w:rsid w:val="00167006"/>
    <w:rsid w:val="00167E85"/>
    <w:rsid w:val="00170BBE"/>
    <w:rsid w:val="00172A09"/>
    <w:rsid w:val="0017397E"/>
    <w:rsid w:val="001763FF"/>
    <w:rsid w:val="00176E3F"/>
    <w:rsid w:val="001779F1"/>
    <w:rsid w:val="00177FAF"/>
    <w:rsid w:val="001800D9"/>
    <w:rsid w:val="0018159F"/>
    <w:rsid w:val="001824E5"/>
    <w:rsid w:val="00183574"/>
    <w:rsid w:val="00185049"/>
    <w:rsid w:val="001866CB"/>
    <w:rsid w:val="001867C3"/>
    <w:rsid w:val="00186848"/>
    <w:rsid w:val="00190168"/>
    <w:rsid w:val="00190C90"/>
    <w:rsid w:val="00195810"/>
    <w:rsid w:val="00196ACF"/>
    <w:rsid w:val="001A59AC"/>
    <w:rsid w:val="001A5AF5"/>
    <w:rsid w:val="001A616B"/>
    <w:rsid w:val="001A659A"/>
    <w:rsid w:val="001B1309"/>
    <w:rsid w:val="001B1EE9"/>
    <w:rsid w:val="001B30C0"/>
    <w:rsid w:val="001C1225"/>
    <w:rsid w:val="001C299C"/>
    <w:rsid w:val="001C5A0D"/>
    <w:rsid w:val="001D0E09"/>
    <w:rsid w:val="001D1D15"/>
    <w:rsid w:val="001D2036"/>
    <w:rsid w:val="001D2435"/>
    <w:rsid w:val="001D36D2"/>
    <w:rsid w:val="001D5166"/>
    <w:rsid w:val="001D534A"/>
    <w:rsid w:val="001D5A83"/>
    <w:rsid w:val="001E080A"/>
    <w:rsid w:val="001E11CD"/>
    <w:rsid w:val="001E2332"/>
    <w:rsid w:val="001E3131"/>
    <w:rsid w:val="001E3CD5"/>
    <w:rsid w:val="001E540E"/>
    <w:rsid w:val="001E6B37"/>
    <w:rsid w:val="001E7E0F"/>
    <w:rsid w:val="001F04C4"/>
    <w:rsid w:val="001F067D"/>
    <w:rsid w:val="001F1276"/>
    <w:rsid w:val="001F140F"/>
    <w:rsid w:val="001F1501"/>
    <w:rsid w:val="001F1692"/>
    <w:rsid w:val="001F1B9E"/>
    <w:rsid w:val="001F2FA6"/>
    <w:rsid w:val="001F39CE"/>
    <w:rsid w:val="001F3BFA"/>
    <w:rsid w:val="001F53D1"/>
    <w:rsid w:val="001F582F"/>
    <w:rsid w:val="001F5F31"/>
    <w:rsid w:val="001F6C2C"/>
    <w:rsid w:val="001F6CAE"/>
    <w:rsid w:val="001F706C"/>
    <w:rsid w:val="002002EC"/>
    <w:rsid w:val="002007F4"/>
    <w:rsid w:val="00200FBC"/>
    <w:rsid w:val="00201A1D"/>
    <w:rsid w:val="00201B16"/>
    <w:rsid w:val="00201F79"/>
    <w:rsid w:val="002021A6"/>
    <w:rsid w:val="00202CFC"/>
    <w:rsid w:val="0020579D"/>
    <w:rsid w:val="00205FAC"/>
    <w:rsid w:val="0020626A"/>
    <w:rsid w:val="002077F5"/>
    <w:rsid w:val="002078CA"/>
    <w:rsid w:val="00211E2F"/>
    <w:rsid w:val="00215418"/>
    <w:rsid w:val="00221FD0"/>
    <w:rsid w:val="00222FF0"/>
    <w:rsid w:val="00223DDC"/>
    <w:rsid w:val="00225F8D"/>
    <w:rsid w:val="002263C1"/>
    <w:rsid w:val="0022718E"/>
    <w:rsid w:val="002279F8"/>
    <w:rsid w:val="0023005E"/>
    <w:rsid w:val="00230AAC"/>
    <w:rsid w:val="00231158"/>
    <w:rsid w:val="0023181C"/>
    <w:rsid w:val="002321B1"/>
    <w:rsid w:val="002329B0"/>
    <w:rsid w:val="00232F25"/>
    <w:rsid w:val="00233D14"/>
    <w:rsid w:val="00234CA3"/>
    <w:rsid w:val="002373A4"/>
    <w:rsid w:val="00241CBF"/>
    <w:rsid w:val="00244A2E"/>
    <w:rsid w:val="002458E0"/>
    <w:rsid w:val="002459DB"/>
    <w:rsid w:val="0024798F"/>
    <w:rsid w:val="00247E67"/>
    <w:rsid w:val="002521E0"/>
    <w:rsid w:val="00252742"/>
    <w:rsid w:val="002551C4"/>
    <w:rsid w:val="002579CD"/>
    <w:rsid w:val="002600C6"/>
    <w:rsid w:val="002612D9"/>
    <w:rsid w:val="0026165D"/>
    <w:rsid w:val="00261DFB"/>
    <w:rsid w:val="002636CC"/>
    <w:rsid w:val="00264CA7"/>
    <w:rsid w:val="002711CD"/>
    <w:rsid w:val="0027171D"/>
    <w:rsid w:val="00272AB7"/>
    <w:rsid w:val="00273C55"/>
    <w:rsid w:val="00273FCD"/>
    <w:rsid w:val="00276374"/>
    <w:rsid w:val="00276392"/>
    <w:rsid w:val="0027642A"/>
    <w:rsid w:val="002822F4"/>
    <w:rsid w:val="0028264F"/>
    <w:rsid w:val="00282812"/>
    <w:rsid w:val="00282C9A"/>
    <w:rsid w:val="00283375"/>
    <w:rsid w:val="00284CC3"/>
    <w:rsid w:val="0028505F"/>
    <w:rsid w:val="00286DAE"/>
    <w:rsid w:val="002878C4"/>
    <w:rsid w:val="00290066"/>
    <w:rsid w:val="00291274"/>
    <w:rsid w:val="002919E3"/>
    <w:rsid w:val="002935E1"/>
    <w:rsid w:val="00295740"/>
    <w:rsid w:val="0029715A"/>
    <w:rsid w:val="002971ED"/>
    <w:rsid w:val="002A44BB"/>
    <w:rsid w:val="002A5105"/>
    <w:rsid w:val="002A6BC2"/>
    <w:rsid w:val="002A70E1"/>
    <w:rsid w:val="002B1E40"/>
    <w:rsid w:val="002B3530"/>
    <w:rsid w:val="002B5236"/>
    <w:rsid w:val="002B589B"/>
    <w:rsid w:val="002B6AC5"/>
    <w:rsid w:val="002C101C"/>
    <w:rsid w:val="002C4F8D"/>
    <w:rsid w:val="002C5206"/>
    <w:rsid w:val="002C528E"/>
    <w:rsid w:val="002C5336"/>
    <w:rsid w:val="002C5564"/>
    <w:rsid w:val="002C5C71"/>
    <w:rsid w:val="002C5DD9"/>
    <w:rsid w:val="002C652F"/>
    <w:rsid w:val="002D0494"/>
    <w:rsid w:val="002D0E6A"/>
    <w:rsid w:val="002D225E"/>
    <w:rsid w:val="002D4294"/>
    <w:rsid w:val="002D42BA"/>
    <w:rsid w:val="002D5F2B"/>
    <w:rsid w:val="002D6026"/>
    <w:rsid w:val="002D62A9"/>
    <w:rsid w:val="002D6D5D"/>
    <w:rsid w:val="002D7FD3"/>
    <w:rsid w:val="002E49FB"/>
    <w:rsid w:val="002E4A65"/>
    <w:rsid w:val="002E4DDA"/>
    <w:rsid w:val="002E5820"/>
    <w:rsid w:val="002E6DFA"/>
    <w:rsid w:val="002F1BE5"/>
    <w:rsid w:val="002F1E92"/>
    <w:rsid w:val="002F2AB3"/>
    <w:rsid w:val="002F2CB6"/>
    <w:rsid w:val="002F75B4"/>
    <w:rsid w:val="003013D2"/>
    <w:rsid w:val="0030361F"/>
    <w:rsid w:val="00303BA5"/>
    <w:rsid w:val="00304572"/>
    <w:rsid w:val="00304809"/>
    <w:rsid w:val="00304998"/>
    <w:rsid w:val="003054F0"/>
    <w:rsid w:val="003064B7"/>
    <w:rsid w:val="00310E28"/>
    <w:rsid w:val="00312168"/>
    <w:rsid w:val="003121B1"/>
    <w:rsid w:val="00312263"/>
    <w:rsid w:val="003125FD"/>
    <w:rsid w:val="0031533D"/>
    <w:rsid w:val="00316307"/>
    <w:rsid w:val="003203D0"/>
    <w:rsid w:val="0032071F"/>
    <w:rsid w:val="0032322F"/>
    <w:rsid w:val="00324D7B"/>
    <w:rsid w:val="003279D9"/>
    <w:rsid w:val="003313FF"/>
    <w:rsid w:val="003319AC"/>
    <w:rsid w:val="0033499E"/>
    <w:rsid w:val="00334D86"/>
    <w:rsid w:val="00334F62"/>
    <w:rsid w:val="00340808"/>
    <w:rsid w:val="00340CFC"/>
    <w:rsid w:val="003426D2"/>
    <w:rsid w:val="00343B65"/>
    <w:rsid w:val="00343E37"/>
    <w:rsid w:val="00344188"/>
    <w:rsid w:val="003452D1"/>
    <w:rsid w:val="00346E0F"/>
    <w:rsid w:val="00346F32"/>
    <w:rsid w:val="00350288"/>
    <w:rsid w:val="00355E0C"/>
    <w:rsid w:val="00357A3E"/>
    <w:rsid w:val="00357B76"/>
    <w:rsid w:val="00364BD4"/>
    <w:rsid w:val="00364F6E"/>
    <w:rsid w:val="00365B4D"/>
    <w:rsid w:val="00366587"/>
    <w:rsid w:val="00367377"/>
    <w:rsid w:val="00367800"/>
    <w:rsid w:val="00367A06"/>
    <w:rsid w:val="00367EA4"/>
    <w:rsid w:val="003714A4"/>
    <w:rsid w:val="00371C87"/>
    <w:rsid w:val="003723A5"/>
    <w:rsid w:val="00377D83"/>
    <w:rsid w:val="00380E4C"/>
    <w:rsid w:val="003846EA"/>
    <w:rsid w:val="00384F2C"/>
    <w:rsid w:val="003852FF"/>
    <w:rsid w:val="00387DDE"/>
    <w:rsid w:val="00390C30"/>
    <w:rsid w:val="0039101D"/>
    <w:rsid w:val="00392178"/>
    <w:rsid w:val="0039313E"/>
    <w:rsid w:val="00394B3E"/>
    <w:rsid w:val="0039695D"/>
    <w:rsid w:val="00397931"/>
    <w:rsid w:val="00397D6B"/>
    <w:rsid w:val="00397FDA"/>
    <w:rsid w:val="003A0ED3"/>
    <w:rsid w:val="003A1A4D"/>
    <w:rsid w:val="003A2752"/>
    <w:rsid w:val="003A44E4"/>
    <w:rsid w:val="003A5668"/>
    <w:rsid w:val="003A6B58"/>
    <w:rsid w:val="003A7A8A"/>
    <w:rsid w:val="003A7DA4"/>
    <w:rsid w:val="003B1014"/>
    <w:rsid w:val="003B13D2"/>
    <w:rsid w:val="003B1E39"/>
    <w:rsid w:val="003B1E95"/>
    <w:rsid w:val="003B2854"/>
    <w:rsid w:val="003B44AF"/>
    <w:rsid w:val="003B6027"/>
    <w:rsid w:val="003B6B95"/>
    <w:rsid w:val="003C016A"/>
    <w:rsid w:val="003C6193"/>
    <w:rsid w:val="003C73D2"/>
    <w:rsid w:val="003C7FA0"/>
    <w:rsid w:val="003D0C92"/>
    <w:rsid w:val="003D2047"/>
    <w:rsid w:val="003D412B"/>
    <w:rsid w:val="003D5667"/>
    <w:rsid w:val="003D5997"/>
    <w:rsid w:val="003D670C"/>
    <w:rsid w:val="003D73B2"/>
    <w:rsid w:val="003E5456"/>
    <w:rsid w:val="003E5FFE"/>
    <w:rsid w:val="003E6D85"/>
    <w:rsid w:val="003F1F80"/>
    <w:rsid w:val="003F4C37"/>
    <w:rsid w:val="003F5321"/>
    <w:rsid w:val="003F6712"/>
    <w:rsid w:val="003F696E"/>
    <w:rsid w:val="003F7ED2"/>
    <w:rsid w:val="00400854"/>
    <w:rsid w:val="00402B4E"/>
    <w:rsid w:val="00403929"/>
    <w:rsid w:val="00403C34"/>
    <w:rsid w:val="004058ED"/>
    <w:rsid w:val="00405B09"/>
    <w:rsid w:val="00410D26"/>
    <w:rsid w:val="004141F8"/>
    <w:rsid w:val="00414E6E"/>
    <w:rsid w:val="004157FF"/>
    <w:rsid w:val="00415A68"/>
    <w:rsid w:val="004209F0"/>
    <w:rsid w:val="00420AB2"/>
    <w:rsid w:val="0042134B"/>
    <w:rsid w:val="00422277"/>
    <w:rsid w:val="00422B8F"/>
    <w:rsid w:val="004273B0"/>
    <w:rsid w:val="00431F81"/>
    <w:rsid w:val="0043451C"/>
    <w:rsid w:val="00434E37"/>
    <w:rsid w:val="004362C9"/>
    <w:rsid w:val="0044122A"/>
    <w:rsid w:val="004416FF"/>
    <w:rsid w:val="00442AD1"/>
    <w:rsid w:val="00445BBD"/>
    <w:rsid w:val="00447E61"/>
    <w:rsid w:val="0045067C"/>
    <w:rsid w:val="00451EDB"/>
    <w:rsid w:val="004526DA"/>
    <w:rsid w:val="00453D54"/>
    <w:rsid w:val="00455678"/>
    <w:rsid w:val="00455A05"/>
    <w:rsid w:val="00455DB4"/>
    <w:rsid w:val="00456956"/>
    <w:rsid w:val="0045766F"/>
    <w:rsid w:val="004576B7"/>
    <w:rsid w:val="00460C28"/>
    <w:rsid w:val="00462611"/>
    <w:rsid w:val="00464A41"/>
    <w:rsid w:val="00465C06"/>
    <w:rsid w:val="004665E8"/>
    <w:rsid w:val="00467CA9"/>
    <w:rsid w:val="00473443"/>
    <w:rsid w:val="0047405A"/>
    <w:rsid w:val="00474A6F"/>
    <w:rsid w:val="004760A3"/>
    <w:rsid w:val="004808B7"/>
    <w:rsid w:val="00481C1E"/>
    <w:rsid w:val="004832D9"/>
    <w:rsid w:val="004836B8"/>
    <w:rsid w:val="00484099"/>
    <w:rsid w:val="004842BA"/>
    <w:rsid w:val="00485105"/>
    <w:rsid w:val="0048597D"/>
    <w:rsid w:val="00485DC6"/>
    <w:rsid w:val="0048658E"/>
    <w:rsid w:val="0048740F"/>
    <w:rsid w:val="00491E64"/>
    <w:rsid w:val="00491F8F"/>
    <w:rsid w:val="00494E77"/>
    <w:rsid w:val="00495158"/>
    <w:rsid w:val="00495E2B"/>
    <w:rsid w:val="00497417"/>
    <w:rsid w:val="004A0E05"/>
    <w:rsid w:val="004A11F0"/>
    <w:rsid w:val="004A2C18"/>
    <w:rsid w:val="004A3B31"/>
    <w:rsid w:val="004A778E"/>
    <w:rsid w:val="004B0A15"/>
    <w:rsid w:val="004B1CB3"/>
    <w:rsid w:val="004B351C"/>
    <w:rsid w:val="004B446B"/>
    <w:rsid w:val="004B46BB"/>
    <w:rsid w:val="004B630A"/>
    <w:rsid w:val="004B6673"/>
    <w:rsid w:val="004B6F17"/>
    <w:rsid w:val="004B7200"/>
    <w:rsid w:val="004C01E0"/>
    <w:rsid w:val="004C0322"/>
    <w:rsid w:val="004C0A24"/>
    <w:rsid w:val="004C1344"/>
    <w:rsid w:val="004C6B14"/>
    <w:rsid w:val="004D004C"/>
    <w:rsid w:val="004D0AAC"/>
    <w:rsid w:val="004D2339"/>
    <w:rsid w:val="004D4391"/>
    <w:rsid w:val="004D6785"/>
    <w:rsid w:val="004E0183"/>
    <w:rsid w:val="004E1C52"/>
    <w:rsid w:val="004E643D"/>
    <w:rsid w:val="004E6EC0"/>
    <w:rsid w:val="004F0513"/>
    <w:rsid w:val="004F0B75"/>
    <w:rsid w:val="004F1DAE"/>
    <w:rsid w:val="004F26BC"/>
    <w:rsid w:val="004F2BFB"/>
    <w:rsid w:val="004F385A"/>
    <w:rsid w:val="004F3EBE"/>
    <w:rsid w:val="004F44CD"/>
    <w:rsid w:val="004F5E2C"/>
    <w:rsid w:val="0050077F"/>
    <w:rsid w:val="00501595"/>
    <w:rsid w:val="00504BF9"/>
    <w:rsid w:val="00507C1A"/>
    <w:rsid w:val="005106D9"/>
    <w:rsid w:val="00511049"/>
    <w:rsid w:val="00511B87"/>
    <w:rsid w:val="005121FB"/>
    <w:rsid w:val="00513BA1"/>
    <w:rsid w:val="00514506"/>
    <w:rsid w:val="00515BB0"/>
    <w:rsid w:val="005204A8"/>
    <w:rsid w:val="005206D9"/>
    <w:rsid w:val="00520BF6"/>
    <w:rsid w:val="005215F6"/>
    <w:rsid w:val="0052216A"/>
    <w:rsid w:val="00523746"/>
    <w:rsid w:val="00524042"/>
    <w:rsid w:val="0052536C"/>
    <w:rsid w:val="00526D61"/>
    <w:rsid w:val="00527097"/>
    <w:rsid w:val="005312D2"/>
    <w:rsid w:val="00531C34"/>
    <w:rsid w:val="0053298A"/>
    <w:rsid w:val="0053318E"/>
    <w:rsid w:val="00533CB7"/>
    <w:rsid w:val="0053714D"/>
    <w:rsid w:val="00537B2F"/>
    <w:rsid w:val="00537D0C"/>
    <w:rsid w:val="00540734"/>
    <w:rsid w:val="00541806"/>
    <w:rsid w:val="00542799"/>
    <w:rsid w:val="00546F0E"/>
    <w:rsid w:val="00546F85"/>
    <w:rsid w:val="005471F0"/>
    <w:rsid w:val="00547352"/>
    <w:rsid w:val="00547762"/>
    <w:rsid w:val="0055013E"/>
    <w:rsid w:val="0055106E"/>
    <w:rsid w:val="00555D92"/>
    <w:rsid w:val="00556436"/>
    <w:rsid w:val="00557C92"/>
    <w:rsid w:val="00560DE8"/>
    <w:rsid w:val="0056145A"/>
    <w:rsid w:val="00561B00"/>
    <w:rsid w:val="00561CAA"/>
    <w:rsid w:val="00562399"/>
    <w:rsid w:val="005625AD"/>
    <w:rsid w:val="00566917"/>
    <w:rsid w:val="005671F8"/>
    <w:rsid w:val="00567D0C"/>
    <w:rsid w:val="005700E6"/>
    <w:rsid w:val="005710EA"/>
    <w:rsid w:val="00571E22"/>
    <w:rsid w:val="00572D45"/>
    <w:rsid w:val="00573445"/>
    <w:rsid w:val="00574E3F"/>
    <w:rsid w:val="005763D9"/>
    <w:rsid w:val="00576F23"/>
    <w:rsid w:val="00576F66"/>
    <w:rsid w:val="00580023"/>
    <w:rsid w:val="00581C34"/>
    <w:rsid w:val="00582464"/>
    <w:rsid w:val="005825DD"/>
    <w:rsid w:val="005836B7"/>
    <w:rsid w:val="005868F4"/>
    <w:rsid w:val="005905C2"/>
    <w:rsid w:val="00595490"/>
    <w:rsid w:val="005959DB"/>
    <w:rsid w:val="0059632D"/>
    <w:rsid w:val="0059643D"/>
    <w:rsid w:val="0059754C"/>
    <w:rsid w:val="005A0389"/>
    <w:rsid w:val="005A0EE0"/>
    <w:rsid w:val="005A31DD"/>
    <w:rsid w:val="005B045E"/>
    <w:rsid w:val="005B052B"/>
    <w:rsid w:val="005B3414"/>
    <w:rsid w:val="005B4A2E"/>
    <w:rsid w:val="005B5356"/>
    <w:rsid w:val="005B6834"/>
    <w:rsid w:val="005C1056"/>
    <w:rsid w:val="005C23F1"/>
    <w:rsid w:val="005C5CE7"/>
    <w:rsid w:val="005C6056"/>
    <w:rsid w:val="005C6CCE"/>
    <w:rsid w:val="005D072B"/>
    <w:rsid w:val="005D14F9"/>
    <w:rsid w:val="005D16C6"/>
    <w:rsid w:val="005D384D"/>
    <w:rsid w:val="005D58B2"/>
    <w:rsid w:val="005D6A4A"/>
    <w:rsid w:val="005D78B1"/>
    <w:rsid w:val="005E0920"/>
    <w:rsid w:val="005E4016"/>
    <w:rsid w:val="005E7358"/>
    <w:rsid w:val="005F0ACE"/>
    <w:rsid w:val="005F116D"/>
    <w:rsid w:val="005F239B"/>
    <w:rsid w:val="005F3D9F"/>
    <w:rsid w:val="005F4F5E"/>
    <w:rsid w:val="005F6DC8"/>
    <w:rsid w:val="006008DD"/>
    <w:rsid w:val="0061020E"/>
    <w:rsid w:val="00610352"/>
    <w:rsid w:val="006106EC"/>
    <w:rsid w:val="006127F8"/>
    <w:rsid w:val="00612A20"/>
    <w:rsid w:val="00615E2A"/>
    <w:rsid w:val="00616B47"/>
    <w:rsid w:val="006174D7"/>
    <w:rsid w:val="00617569"/>
    <w:rsid w:val="00617B52"/>
    <w:rsid w:val="0062048A"/>
    <w:rsid w:val="0062157C"/>
    <w:rsid w:val="00622239"/>
    <w:rsid w:val="006266CD"/>
    <w:rsid w:val="00626728"/>
    <w:rsid w:val="006305C1"/>
    <w:rsid w:val="00631398"/>
    <w:rsid w:val="00633E9C"/>
    <w:rsid w:val="00634C67"/>
    <w:rsid w:val="00636132"/>
    <w:rsid w:val="00637277"/>
    <w:rsid w:val="00637DC6"/>
    <w:rsid w:val="00641CEE"/>
    <w:rsid w:val="006423A0"/>
    <w:rsid w:val="00642C1B"/>
    <w:rsid w:val="00642F4F"/>
    <w:rsid w:val="0064431C"/>
    <w:rsid w:val="00645A4E"/>
    <w:rsid w:val="006462F1"/>
    <w:rsid w:val="006548A2"/>
    <w:rsid w:val="006551B3"/>
    <w:rsid w:val="006559BC"/>
    <w:rsid w:val="00657E19"/>
    <w:rsid w:val="00662D4A"/>
    <w:rsid w:val="00666E8D"/>
    <w:rsid w:val="00671A17"/>
    <w:rsid w:val="0067235B"/>
    <w:rsid w:val="00672455"/>
    <w:rsid w:val="0067374F"/>
    <w:rsid w:val="006742C1"/>
    <w:rsid w:val="00680948"/>
    <w:rsid w:val="0068181F"/>
    <w:rsid w:val="006839C2"/>
    <w:rsid w:val="00683C81"/>
    <w:rsid w:val="00683C8A"/>
    <w:rsid w:val="0068447F"/>
    <w:rsid w:val="0068454D"/>
    <w:rsid w:val="00691B1B"/>
    <w:rsid w:val="00692B53"/>
    <w:rsid w:val="00692C2C"/>
    <w:rsid w:val="006952A8"/>
    <w:rsid w:val="0069599B"/>
    <w:rsid w:val="00695C3C"/>
    <w:rsid w:val="00696511"/>
    <w:rsid w:val="0069725F"/>
    <w:rsid w:val="006A2ACD"/>
    <w:rsid w:val="006A3036"/>
    <w:rsid w:val="006A5EA5"/>
    <w:rsid w:val="006A5ED9"/>
    <w:rsid w:val="006A76BE"/>
    <w:rsid w:val="006B054A"/>
    <w:rsid w:val="006B0BC1"/>
    <w:rsid w:val="006B43DB"/>
    <w:rsid w:val="006B4E71"/>
    <w:rsid w:val="006B742E"/>
    <w:rsid w:val="006C356E"/>
    <w:rsid w:val="006C39EB"/>
    <w:rsid w:val="006C6373"/>
    <w:rsid w:val="006D0AA2"/>
    <w:rsid w:val="006D4142"/>
    <w:rsid w:val="006D619B"/>
    <w:rsid w:val="006D67A2"/>
    <w:rsid w:val="006D76DA"/>
    <w:rsid w:val="006E0373"/>
    <w:rsid w:val="006E18E5"/>
    <w:rsid w:val="006E3BD8"/>
    <w:rsid w:val="006E4DD3"/>
    <w:rsid w:val="006E4DF8"/>
    <w:rsid w:val="006E533A"/>
    <w:rsid w:val="006E6D77"/>
    <w:rsid w:val="006F0263"/>
    <w:rsid w:val="006F1AE0"/>
    <w:rsid w:val="006F2D70"/>
    <w:rsid w:val="006F2FA7"/>
    <w:rsid w:val="006F3677"/>
    <w:rsid w:val="006F438F"/>
    <w:rsid w:val="006F4AF9"/>
    <w:rsid w:val="006F547E"/>
    <w:rsid w:val="006F60BB"/>
    <w:rsid w:val="00700391"/>
    <w:rsid w:val="007007A1"/>
    <w:rsid w:val="00702C0D"/>
    <w:rsid w:val="007054F7"/>
    <w:rsid w:val="007055E0"/>
    <w:rsid w:val="007071B8"/>
    <w:rsid w:val="0070780F"/>
    <w:rsid w:val="007120B0"/>
    <w:rsid w:val="007147C5"/>
    <w:rsid w:val="00714E46"/>
    <w:rsid w:val="00715522"/>
    <w:rsid w:val="0071574D"/>
    <w:rsid w:val="00721521"/>
    <w:rsid w:val="00721E2F"/>
    <w:rsid w:val="007227AC"/>
    <w:rsid w:val="007235C5"/>
    <w:rsid w:val="00724416"/>
    <w:rsid w:val="00726AF3"/>
    <w:rsid w:val="0073485C"/>
    <w:rsid w:val="00735E97"/>
    <w:rsid w:val="00736D02"/>
    <w:rsid w:val="00737A57"/>
    <w:rsid w:val="00740356"/>
    <w:rsid w:val="007416DA"/>
    <w:rsid w:val="00741B04"/>
    <w:rsid w:val="00741DEE"/>
    <w:rsid w:val="0074266A"/>
    <w:rsid w:val="00742DF3"/>
    <w:rsid w:val="00743DB9"/>
    <w:rsid w:val="007463F4"/>
    <w:rsid w:val="00746AEB"/>
    <w:rsid w:val="00747451"/>
    <w:rsid w:val="0075012D"/>
    <w:rsid w:val="007504AD"/>
    <w:rsid w:val="00751E9E"/>
    <w:rsid w:val="00753225"/>
    <w:rsid w:val="00753FA3"/>
    <w:rsid w:val="00755373"/>
    <w:rsid w:val="00755971"/>
    <w:rsid w:val="007565C5"/>
    <w:rsid w:val="00756C50"/>
    <w:rsid w:val="007607CA"/>
    <w:rsid w:val="007609F0"/>
    <w:rsid w:val="00760B79"/>
    <w:rsid w:val="00762380"/>
    <w:rsid w:val="0076329F"/>
    <w:rsid w:val="00763387"/>
    <w:rsid w:val="00765406"/>
    <w:rsid w:val="00765BD7"/>
    <w:rsid w:val="00765C71"/>
    <w:rsid w:val="00765EB2"/>
    <w:rsid w:val="007666B8"/>
    <w:rsid w:val="00767CB8"/>
    <w:rsid w:val="00770A90"/>
    <w:rsid w:val="00770BCA"/>
    <w:rsid w:val="00770E66"/>
    <w:rsid w:val="007741EA"/>
    <w:rsid w:val="0077661A"/>
    <w:rsid w:val="00776CB1"/>
    <w:rsid w:val="00777080"/>
    <w:rsid w:val="0077749E"/>
    <w:rsid w:val="00777E77"/>
    <w:rsid w:val="0078235A"/>
    <w:rsid w:val="00783EA3"/>
    <w:rsid w:val="00790138"/>
    <w:rsid w:val="0079092F"/>
    <w:rsid w:val="007912C5"/>
    <w:rsid w:val="0079487A"/>
    <w:rsid w:val="0079626B"/>
    <w:rsid w:val="00796B39"/>
    <w:rsid w:val="007971FF"/>
    <w:rsid w:val="00797F5C"/>
    <w:rsid w:val="007A15D5"/>
    <w:rsid w:val="007A7E19"/>
    <w:rsid w:val="007B1DB0"/>
    <w:rsid w:val="007B1E79"/>
    <w:rsid w:val="007B2D5D"/>
    <w:rsid w:val="007B2ED7"/>
    <w:rsid w:val="007B4E48"/>
    <w:rsid w:val="007B69D5"/>
    <w:rsid w:val="007B7392"/>
    <w:rsid w:val="007B7A35"/>
    <w:rsid w:val="007C0060"/>
    <w:rsid w:val="007C0D4C"/>
    <w:rsid w:val="007C112F"/>
    <w:rsid w:val="007C1570"/>
    <w:rsid w:val="007C223F"/>
    <w:rsid w:val="007C2765"/>
    <w:rsid w:val="007C3FAA"/>
    <w:rsid w:val="007C4956"/>
    <w:rsid w:val="007C6858"/>
    <w:rsid w:val="007C7D2E"/>
    <w:rsid w:val="007D012E"/>
    <w:rsid w:val="007D32E8"/>
    <w:rsid w:val="007D499B"/>
    <w:rsid w:val="007D6842"/>
    <w:rsid w:val="007D701E"/>
    <w:rsid w:val="007D7AF0"/>
    <w:rsid w:val="007E2C6C"/>
    <w:rsid w:val="007F344A"/>
    <w:rsid w:val="007F55FC"/>
    <w:rsid w:val="007F56F9"/>
    <w:rsid w:val="007F6EAC"/>
    <w:rsid w:val="007F73F0"/>
    <w:rsid w:val="00804AFB"/>
    <w:rsid w:val="00805185"/>
    <w:rsid w:val="00805F6B"/>
    <w:rsid w:val="0080627E"/>
    <w:rsid w:val="008069D8"/>
    <w:rsid w:val="00811DF0"/>
    <w:rsid w:val="00814A1C"/>
    <w:rsid w:val="00814AD8"/>
    <w:rsid w:val="00814F1A"/>
    <w:rsid w:val="00817994"/>
    <w:rsid w:val="008202B7"/>
    <w:rsid w:val="008202BD"/>
    <w:rsid w:val="0082086E"/>
    <w:rsid w:val="00821597"/>
    <w:rsid w:val="0082175C"/>
    <w:rsid w:val="0082305E"/>
    <w:rsid w:val="00823634"/>
    <w:rsid w:val="00824ADB"/>
    <w:rsid w:val="008254EC"/>
    <w:rsid w:val="00825741"/>
    <w:rsid w:val="00826200"/>
    <w:rsid w:val="008311B0"/>
    <w:rsid w:val="00832792"/>
    <w:rsid w:val="00833340"/>
    <w:rsid w:val="00833953"/>
    <w:rsid w:val="00835AB9"/>
    <w:rsid w:val="00835B03"/>
    <w:rsid w:val="008410F5"/>
    <w:rsid w:val="0084208D"/>
    <w:rsid w:val="00843CAF"/>
    <w:rsid w:val="00851EB8"/>
    <w:rsid w:val="00852DB5"/>
    <w:rsid w:val="00856513"/>
    <w:rsid w:val="00856D2F"/>
    <w:rsid w:val="0085721F"/>
    <w:rsid w:val="0086098E"/>
    <w:rsid w:val="00860B76"/>
    <w:rsid w:val="008620E5"/>
    <w:rsid w:val="00863480"/>
    <w:rsid w:val="008665F6"/>
    <w:rsid w:val="008718FB"/>
    <w:rsid w:val="00873B10"/>
    <w:rsid w:val="0087485F"/>
    <w:rsid w:val="00874E7E"/>
    <w:rsid w:val="00876416"/>
    <w:rsid w:val="00877D3D"/>
    <w:rsid w:val="00877EAE"/>
    <w:rsid w:val="00884B67"/>
    <w:rsid w:val="00886CA4"/>
    <w:rsid w:val="0089164C"/>
    <w:rsid w:val="008936B0"/>
    <w:rsid w:val="0089439A"/>
    <w:rsid w:val="00895343"/>
    <w:rsid w:val="0089681D"/>
    <w:rsid w:val="00897873"/>
    <w:rsid w:val="008A07F9"/>
    <w:rsid w:val="008A17B3"/>
    <w:rsid w:val="008A27A4"/>
    <w:rsid w:val="008A381A"/>
    <w:rsid w:val="008A483B"/>
    <w:rsid w:val="008A5BBD"/>
    <w:rsid w:val="008A5EE6"/>
    <w:rsid w:val="008B5EF4"/>
    <w:rsid w:val="008B6810"/>
    <w:rsid w:val="008B69B2"/>
    <w:rsid w:val="008C2E6C"/>
    <w:rsid w:val="008C43E4"/>
    <w:rsid w:val="008D0066"/>
    <w:rsid w:val="008D0718"/>
    <w:rsid w:val="008D10F4"/>
    <w:rsid w:val="008D2857"/>
    <w:rsid w:val="008D4597"/>
    <w:rsid w:val="008D51C6"/>
    <w:rsid w:val="008D5C2A"/>
    <w:rsid w:val="008D615D"/>
    <w:rsid w:val="008D6E96"/>
    <w:rsid w:val="008D7555"/>
    <w:rsid w:val="008E147D"/>
    <w:rsid w:val="008E2FAE"/>
    <w:rsid w:val="008E3A4D"/>
    <w:rsid w:val="008E3F75"/>
    <w:rsid w:val="008E4D84"/>
    <w:rsid w:val="008E5D09"/>
    <w:rsid w:val="008E74C5"/>
    <w:rsid w:val="008E7EB1"/>
    <w:rsid w:val="008F028D"/>
    <w:rsid w:val="008F2B6A"/>
    <w:rsid w:val="008F2C8C"/>
    <w:rsid w:val="008F32B8"/>
    <w:rsid w:val="008F532D"/>
    <w:rsid w:val="008F7811"/>
    <w:rsid w:val="00902AAC"/>
    <w:rsid w:val="009066DF"/>
    <w:rsid w:val="009068B2"/>
    <w:rsid w:val="009102CE"/>
    <w:rsid w:val="0091481F"/>
    <w:rsid w:val="009163EE"/>
    <w:rsid w:val="00916636"/>
    <w:rsid w:val="009168A0"/>
    <w:rsid w:val="00916CAF"/>
    <w:rsid w:val="00916E67"/>
    <w:rsid w:val="00917A89"/>
    <w:rsid w:val="00917E23"/>
    <w:rsid w:val="00920213"/>
    <w:rsid w:val="0092149A"/>
    <w:rsid w:val="00922490"/>
    <w:rsid w:val="00922747"/>
    <w:rsid w:val="00926B00"/>
    <w:rsid w:val="00930DE8"/>
    <w:rsid w:val="00932CB9"/>
    <w:rsid w:val="00932CFE"/>
    <w:rsid w:val="00932DC7"/>
    <w:rsid w:val="00933204"/>
    <w:rsid w:val="00934E7A"/>
    <w:rsid w:val="00935943"/>
    <w:rsid w:val="0093736F"/>
    <w:rsid w:val="00937666"/>
    <w:rsid w:val="009403A5"/>
    <w:rsid w:val="00944615"/>
    <w:rsid w:val="00946186"/>
    <w:rsid w:val="00947B2C"/>
    <w:rsid w:val="00950E41"/>
    <w:rsid w:val="00955BC2"/>
    <w:rsid w:val="0095642A"/>
    <w:rsid w:val="0096033A"/>
    <w:rsid w:val="00960802"/>
    <w:rsid w:val="0096128A"/>
    <w:rsid w:val="009620EC"/>
    <w:rsid w:val="00962971"/>
    <w:rsid w:val="00962FD5"/>
    <w:rsid w:val="00963C2E"/>
    <w:rsid w:val="00964386"/>
    <w:rsid w:val="00965F6D"/>
    <w:rsid w:val="009663AC"/>
    <w:rsid w:val="009666EF"/>
    <w:rsid w:val="0096775E"/>
    <w:rsid w:val="00967B5D"/>
    <w:rsid w:val="0097042F"/>
    <w:rsid w:val="00974C6D"/>
    <w:rsid w:val="00975069"/>
    <w:rsid w:val="00976FFB"/>
    <w:rsid w:val="00977D54"/>
    <w:rsid w:val="009813F4"/>
    <w:rsid w:val="00983F87"/>
    <w:rsid w:val="00984FB8"/>
    <w:rsid w:val="00987DA2"/>
    <w:rsid w:val="00991225"/>
    <w:rsid w:val="00992960"/>
    <w:rsid w:val="0099359F"/>
    <w:rsid w:val="00994502"/>
    <w:rsid w:val="0099473B"/>
    <w:rsid w:val="0099749F"/>
    <w:rsid w:val="00997901"/>
    <w:rsid w:val="00997EF4"/>
    <w:rsid w:val="00997F6F"/>
    <w:rsid w:val="009A0308"/>
    <w:rsid w:val="009A0CAA"/>
    <w:rsid w:val="009A2109"/>
    <w:rsid w:val="009A369B"/>
    <w:rsid w:val="009B0CCC"/>
    <w:rsid w:val="009B11E2"/>
    <w:rsid w:val="009B4385"/>
    <w:rsid w:val="009B4578"/>
    <w:rsid w:val="009B5486"/>
    <w:rsid w:val="009B589D"/>
    <w:rsid w:val="009C0540"/>
    <w:rsid w:val="009C1089"/>
    <w:rsid w:val="009C1921"/>
    <w:rsid w:val="009C300C"/>
    <w:rsid w:val="009C4BBC"/>
    <w:rsid w:val="009C6B8D"/>
    <w:rsid w:val="009C7304"/>
    <w:rsid w:val="009D253D"/>
    <w:rsid w:val="009D6F5C"/>
    <w:rsid w:val="009E3D3D"/>
    <w:rsid w:val="009E4A82"/>
    <w:rsid w:val="009E4CCA"/>
    <w:rsid w:val="009E5005"/>
    <w:rsid w:val="009E5C1E"/>
    <w:rsid w:val="009E6746"/>
    <w:rsid w:val="009F36BF"/>
    <w:rsid w:val="009F44B4"/>
    <w:rsid w:val="00A00704"/>
    <w:rsid w:val="00A03FB9"/>
    <w:rsid w:val="00A060D8"/>
    <w:rsid w:val="00A06560"/>
    <w:rsid w:val="00A07F88"/>
    <w:rsid w:val="00A10F38"/>
    <w:rsid w:val="00A12B40"/>
    <w:rsid w:val="00A12DA9"/>
    <w:rsid w:val="00A14363"/>
    <w:rsid w:val="00A20B02"/>
    <w:rsid w:val="00A21789"/>
    <w:rsid w:val="00A23F3E"/>
    <w:rsid w:val="00A24F03"/>
    <w:rsid w:val="00A30CBE"/>
    <w:rsid w:val="00A30FAC"/>
    <w:rsid w:val="00A32958"/>
    <w:rsid w:val="00A342CB"/>
    <w:rsid w:val="00A354B2"/>
    <w:rsid w:val="00A35738"/>
    <w:rsid w:val="00A371AE"/>
    <w:rsid w:val="00A37255"/>
    <w:rsid w:val="00A37B7C"/>
    <w:rsid w:val="00A37F06"/>
    <w:rsid w:val="00A40241"/>
    <w:rsid w:val="00A4086B"/>
    <w:rsid w:val="00A4197D"/>
    <w:rsid w:val="00A41CE1"/>
    <w:rsid w:val="00A42828"/>
    <w:rsid w:val="00A42F57"/>
    <w:rsid w:val="00A43B10"/>
    <w:rsid w:val="00A45673"/>
    <w:rsid w:val="00A46420"/>
    <w:rsid w:val="00A473F9"/>
    <w:rsid w:val="00A5345A"/>
    <w:rsid w:val="00A537BA"/>
    <w:rsid w:val="00A53D29"/>
    <w:rsid w:val="00A5507C"/>
    <w:rsid w:val="00A557EE"/>
    <w:rsid w:val="00A63365"/>
    <w:rsid w:val="00A67209"/>
    <w:rsid w:val="00A70377"/>
    <w:rsid w:val="00A74451"/>
    <w:rsid w:val="00A749E6"/>
    <w:rsid w:val="00A74BBA"/>
    <w:rsid w:val="00A8165B"/>
    <w:rsid w:val="00A828DF"/>
    <w:rsid w:val="00A853DA"/>
    <w:rsid w:val="00A8577E"/>
    <w:rsid w:val="00A9142D"/>
    <w:rsid w:val="00A91731"/>
    <w:rsid w:val="00A97103"/>
    <w:rsid w:val="00A97DEF"/>
    <w:rsid w:val="00AA018F"/>
    <w:rsid w:val="00AA07F2"/>
    <w:rsid w:val="00AA0DC2"/>
    <w:rsid w:val="00AA3525"/>
    <w:rsid w:val="00AA3C1D"/>
    <w:rsid w:val="00AA409E"/>
    <w:rsid w:val="00AA48C6"/>
    <w:rsid w:val="00AA4A1B"/>
    <w:rsid w:val="00AA4C4B"/>
    <w:rsid w:val="00AA4D28"/>
    <w:rsid w:val="00AA5281"/>
    <w:rsid w:val="00AA5FD7"/>
    <w:rsid w:val="00AA6BA1"/>
    <w:rsid w:val="00AB0DB3"/>
    <w:rsid w:val="00AB10FD"/>
    <w:rsid w:val="00AB1AC7"/>
    <w:rsid w:val="00AB4BB5"/>
    <w:rsid w:val="00AB53E7"/>
    <w:rsid w:val="00AC156E"/>
    <w:rsid w:val="00AC15AE"/>
    <w:rsid w:val="00AC5331"/>
    <w:rsid w:val="00AC6BBA"/>
    <w:rsid w:val="00AC7997"/>
    <w:rsid w:val="00AC7C3E"/>
    <w:rsid w:val="00AD0F09"/>
    <w:rsid w:val="00AD1261"/>
    <w:rsid w:val="00AD209D"/>
    <w:rsid w:val="00AD3099"/>
    <w:rsid w:val="00AD4408"/>
    <w:rsid w:val="00AD4495"/>
    <w:rsid w:val="00AD5684"/>
    <w:rsid w:val="00AD5FD0"/>
    <w:rsid w:val="00AD62F3"/>
    <w:rsid w:val="00AD6CCE"/>
    <w:rsid w:val="00AE1B78"/>
    <w:rsid w:val="00AE1BDC"/>
    <w:rsid w:val="00AE3F0D"/>
    <w:rsid w:val="00AE4373"/>
    <w:rsid w:val="00AE4848"/>
    <w:rsid w:val="00AE5A64"/>
    <w:rsid w:val="00AE73A8"/>
    <w:rsid w:val="00AF3813"/>
    <w:rsid w:val="00AF3BAE"/>
    <w:rsid w:val="00AF5536"/>
    <w:rsid w:val="00AF5AC5"/>
    <w:rsid w:val="00AF6EDA"/>
    <w:rsid w:val="00AF7E3D"/>
    <w:rsid w:val="00B00F99"/>
    <w:rsid w:val="00B034B6"/>
    <w:rsid w:val="00B05503"/>
    <w:rsid w:val="00B0737E"/>
    <w:rsid w:val="00B107BA"/>
    <w:rsid w:val="00B11505"/>
    <w:rsid w:val="00B1260C"/>
    <w:rsid w:val="00B12667"/>
    <w:rsid w:val="00B1420D"/>
    <w:rsid w:val="00B14C27"/>
    <w:rsid w:val="00B173E4"/>
    <w:rsid w:val="00B20B24"/>
    <w:rsid w:val="00B21F71"/>
    <w:rsid w:val="00B2370A"/>
    <w:rsid w:val="00B237B1"/>
    <w:rsid w:val="00B24E9C"/>
    <w:rsid w:val="00B311A7"/>
    <w:rsid w:val="00B33BA7"/>
    <w:rsid w:val="00B34781"/>
    <w:rsid w:val="00B34954"/>
    <w:rsid w:val="00B34DDD"/>
    <w:rsid w:val="00B3693C"/>
    <w:rsid w:val="00B36EA9"/>
    <w:rsid w:val="00B37DAF"/>
    <w:rsid w:val="00B40FA1"/>
    <w:rsid w:val="00B4256E"/>
    <w:rsid w:val="00B42C14"/>
    <w:rsid w:val="00B46B21"/>
    <w:rsid w:val="00B52DD5"/>
    <w:rsid w:val="00B54264"/>
    <w:rsid w:val="00B561A1"/>
    <w:rsid w:val="00B567A8"/>
    <w:rsid w:val="00B60072"/>
    <w:rsid w:val="00B6222A"/>
    <w:rsid w:val="00B62C6C"/>
    <w:rsid w:val="00B6454B"/>
    <w:rsid w:val="00B650C1"/>
    <w:rsid w:val="00B70F42"/>
    <w:rsid w:val="00B71066"/>
    <w:rsid w:val="00B716D4"/>
    <w:rsid w:val="00B7177A"/>
    <w:rsid w:val="00B7234E"/>
    <w:rsid w:val="00B74F12"/>
    <w:rsid w:val="00B76C43"/>
    <w:rsid w:val="00B77405"/>
    <w:rsid w:val="00B77B75"/>
    <w:rsid w:val="00B8297A"/>
    <w:rsid w:val="00B82F3D"/>
    <w:rsid w:val="00B84286"/>
    <w:rsid w:val="00B84FCC"/>
    <w:rsid w:val="00B86813"/>
    <w:rsid w:val="00B86C5C"/>
    <w:rsid w:val="00B90F07"/>
    <w:rsid w:val="00B925DF"/>
    <w:rsid w:val="00B94790"/>
    <w:rsid w:val="00B94D61"/>
    <w:rsid w:val="00B94F2E"/>
    <w:rsid w:val="00B952FE"/>
    <w:rsid w:val="00B97059"/>
    <w:rsid w:val="00BA0EC1"/>
    <w:rsid w:val="00BA12BD"/>
    <w:rsid w:val="00BA13DA"/>
    <w:rsid w:val="00BA32A8"/>
    <w:rsid w:val="00BA3A6A"/>
    <w:rsid w:val="00BA6B28"/>
    <w:rsid w:val="00BB0390"/>
    <w:rsid w:val="00BB0A76"/>
    <w:rsid w:val="00BB1507"/>
    <w:rsid w:val="00BB1E3C"/>
    <w:rsid w:val="00BB3570"/>
    <w:rsid w:val="00BB3D76"/>
    <w:rsid w:val="00BB5720"/>
    <w:rsid w:val="00BB5CD4"/>
    <w:rsid w:val="00BC1653"/>
    <w:rsid w:val="00BC1BEA"/>
    <w:rsid w:val="00BC1F28"/>
    <w:rsid w:val="00BC208F"/>
    <w:rsid w:val="00BC39B7"/>
    <w:rsid w:val="00BC6DEF"/>
    <w:rsid w:val="00BC75EC"/>
    <w:rsid w:val="00BC7FF9"/>
    <w:rsid w:val="00BD041C"/>
    <w:rsid w:val="00BD1A05"/>
    <w:rsid w:val="00BD1EA6"/>
    <w:rsid w:val="00BD2018"/>
    <w:rsid w:val="00BD2355"/>
    <w:rsid w:val="00BD24ED"/>
    <w:rsid w:val="00BD448C"/>
    <w:rsid w:val="00BD5DEE"/>
    <w:rsid w:val="00BE2033"/>
    <w:rsid w:val="00BE36AF"/>
    <w:rsid w:val="00BE4696"/>
    <w:rsid w:val="00BE5762"/>
    <w:rsid w:val="00BE5AB5"/>
    <w:rsid w:val="00BE703E"/>
    <w:rsid w:val="00BE77D3"/>
    <w:rsid w:val="00BE796D"/>
    <w:rsid w:val="00BF0F83"/>
    <w:rsid w:val="00BF24F5"/>
    <w:rsid w:val="00BF375B"/>
    <w:rsid w:val="00BF3A3E"/>
    <w:rsid w:val="00BF3DD5"/>
    <w:rsid w:val="00C0134F"/>
    <w:rsid w:val="00C02FB8"/>
    <w:rsid w:val="00C040D9"/>
    <w:rsid w:val="00C04A2D"/>
    <w:rsid w:val="00C04D33"/>
    <w:rsid w:val="00C04E16"/>
    <w:rsid w:val="00C10A6C"/>
    <w:rsid w:val="00C11531"/>
    <w:rsid w:val="00C14086"/>
    <w:rsid w:val="00C16D21"/>
    <w:rsid w:val="00C2127A"/>
    <w:rsid w:val="00C214A3"/>
    <w:rsid w:val="00C23046"/>
    <w:rsid w:val="00C349AA"/>
    <w:rsid w:val="00C36A0D"/>
    <w:rsid w:val="00C379A0"/>
    <w:rsid w:val="00C37D65"/>
    <w:rsid w:val="00C37F88"/>
    <w:rsid w:val="00C43FF5"/>
    <w:rsid w:val="00C4599A"/>
    <w:rsid w:val="00C50C68"/>
    <w:rsid w:val="00C51047"/>
    <w:rsid w:val="00C51485"/>
    <w:rsid w:val="00C51883"/>
    <w:rsid w:val="00C5478B"/>
    <w:rsid w:val="00C54A6B"/>
    <w:rsid w:val="00C55E67"/>
    <w:rsid w:val="00C57476"/>
    <w:rsid w:val="00C604D9"/>
    <w:rsid w:val="00C624E9"/>
    <w:rsid w:val="00C637BB"/>
    <w:rsid w:val="00C63BFA"/>
    <w:rsid w:val="00C63CDA"/>
    <w:rsid w:val="00C647B8"/>
    <w:rsid w:val="00C651B3"/>
    <w:rsid w:val="00C72FD3"/>
    <w:rsid w:val="00C76E44"/>
    <w:rsid w:val="00C80710"/>
    <w:rsid w:val="00C81867"/>
    <w:rsid w:val="00C834EB"/>
    <w:rsid w:val="00C836AD"/>
    <w:rsid w:val="00C8424C"/>
    <w:rsid w:val="00C8511E"/>
    <w:rsid w:val="00C86586"/>
    <w:rsid w:val="00C86E0C"/>
    <w:rsid w:val="00C86E95"/>
    <w:rsid w:val="00C91C05"/>
    <w:rsid w:val="00C933E7"/>
    <w:rsid w:val="00C93AF3"/>
    <w:rsid w:val="00C94250"/>
    <w:rsid w:val="00C9446E"/>
    <w:rsid w:val="00C94961"/>
    <w:rsid w:val="00C95E71"/>
    <w:rsid w:val="00C96C30"/>
    <w:rsid w:val="00CA0896"/>
    <w:rsid w:val="00CA23F5"/>
    <w:rsid w:val="00CA320F"/>
    <w:rsid w:val="00CA48AD"/>
    <w:rsid w:val="00CA5481"/>
    <w:rsid w:val="00CA7C28"/>
    <w:rsid w:val="00CB1E00"/>
    <w:rsid w:val="00CB2578"/>
    <w:rsid w:val="00CB30E6"/>
    <w:rsid w:val="00CB406E"/>
    <w:rsid w:val="00CB41C1"/>
    <w:rsid w:val="00CB617A"/>
    <w:rsid w:val="00CB6780"/>
    <w:rsid w:val="00CC07C5"/>
    <w:rsid w:val="00CC4BAC"/>
    <w:rsid w:val="00CC5E27"/>
    <w:rsid w:val="00CC66A7"/>
    <w:rsid w:val="00CC793C"/>
    <w:rsid w:val="00CC7B84"/>
    <w:rsid w:val="00CD0AFD"/>
    <w:rsid w:val="00CD33CB"/>
    <w:rsid w:val="00CD3A9B"/>
    <w:rsid w:val="00CD40A6"/>
    <w:rsid w:val="00CD621C"/>
    <w:rsid w:val="00CE26C6"/>
    <w:rsid w:val="00CE2830"/>
    <w:rsid w:val="00CE29BC"/>
    <w:rsid w:val="00CE3B92"/>
    <w:rsid w:val="00CE676B"/>
    <w:rsid w:val="00CE6E5B"/>
    <w:rsid w:val="00CF1C48"/>
    <w:rsid w:val="00CF267B"/>
    <w:rsid w:val="00CF2CE4"/>
    <w:rsid w:val="00CF4174"/>
    <w:rsid w:val="00CF5ED8"/>
    <w:rsid w:val="00CF661D"/>
    <w:rsid w:val="00CF69DF"/>
    <w:rsid w:val="00CF6BC0"/>
    <w:rsid w:val="00D036A2"/>
    <w:rsid w:val="00D0424A"/>
    <w:rsid w:val="00D0431D"/>
    <w:rsid w:val="00D057F4"/>
    <w:rsid w:val="00D06B4E"/>
    <w:rsid w:val="00D12CA0"/>
    <w:rsid w:val="00D17E3C"/>
    <w:rsid w:val="00D17F44"/>
    <w:rsid w:val="00D212D8"/>
    <w:rsid w:val="00D23341"/>
    <w:rsid w:val="00D25AFB"/>
    <w:rsid w:val="00D25B07"/>
    <w:rsid w:val="00D27F2D"/>
    <w:rsid w:val="00D27FE5"/>
    <w:rsid w:val="00D3087A"/>
    <w:rsid w:val="00D30E76"/>
    <w:rsid w:val="00D32D97"/>
    <w:rsid w:val="00D342D8"/>
    <w:rsid w:val="00D34863"/>
    <w:rsid w:val="00D35D87"/>
    <w:rsid w:val="00D36885"/>
    <w:rsid w:val="00D36B9A"/>
    <w:rsid w:val="00D4332D"/>
    <w:rsid w:val="00D4659B"/>
    <w:rsid w:val="00D4794E"/>
    <w:rsid w:val="00D542C9"/>
    <w:rsid w:val="00D56E6D"/>
    <w:rsid w:val="00D57E04"/>
    <w:rsid w:val="00D62A7A"/>
    <w:rsid w:val="00D65029"/>
    <w:rsid w:val="00D6607E"/>
    <w:rsid w:val="00D66276"/>
    <w:rsid w:val="00D66FD4"/>
    <w:rsid w:val="00D676A5"/>
    <w:rsid w:val="00D71BC7"/>
    <w:rsid w:val="00D71E99"/>
    <w:rsid w:val="00D73C61"/>
    <w:rsid w:val="00D753B1"/>
    <w:rsid w:val="00D75506"/>
    <w:rsid w:val="00D75792"/>
    <w:rsid w:val="00D757F3"/>
    <w:rsid w:val="00D76351"/>
    <w:rsid w:val="00D7659D"/>
    <w:rsid w:val="00D8409E"/>
    <w:rsid w:val="00D8419E"/>
    <w:rsid w:val="00D86021"/>
    <w:rsid w:val="00D86CE6"/>
    <w:rsid w:val="00D87A40"/>
    <w:rsid w:val="00D87BD9"/>
    <w:rsid w:val="00D90C6F"/>
    <w:rsid w:val="00D93371"/>
    <w:rsid w:val="00D96939"/>
    <w:rsid w:val="00D96E36"/>
    <w:rsid w:val="00D97D86"/>
    <w:rsid w:val="00D97FC3"/>
    <w:rsid w:val="00DA17E5"/>
    <w:rsid w:val="00DA519D"/>
    <w:rsid w:val="00DA6316"/>
    <w:rsid w:val="00DB11EE"/>
    <w:rsid w:val="00DB2CBA"/>
    <w:rsid w:val="00DB2FF6"/>
    <w:rsid w:val="00DB3A10"/>
    <w:rsid w:val="00DB3EFE"/>
    <w:rsid w:val="00DB4631"/>
    <w:rsid w:val="00DB4F06"/>
    <w:rsid w:val="00DB7549"/>
    <w:rsid w:val="00DB7915"/>
    <w:rsid w:val="00DC1A00"/>
    <w:rsid w:val="00DC1EBD"/>
    <w:rsid w:val="00DC42D1"/>
    <w:rsid w:val="00DC6C32"/>
    <w:rsid w:val="00DC6FB2"/>
    <w:rsid w:val="00DC708D"/>
    <w:rsid w:val="00DD0831"/>
    <w:rsid w:val="00DD09E5"/>
    <w:rsid w:val="00DD1D17"/>
    <w:rsid w:val="00DD6125"/>
    <w:rsid w:val="00DD67E3"/>
    <w:rsid w:val="00DD6BDF"/>
    <w:rsid w:val="00DD7E4D"/>
    <w:rsid w:val="00DD7ECD"/>
    <w:rsid w:val="00DE1057"/>
    <w:rsid w:val="00DE3466"/>
    <w:rsid w:val="00DE397A"/>
    <w:rsid w:val="00DE4206"/>
    <w:rsid w:val="00DE5BF9"/>
    <w:rsid w:val="00DE5EC6"/>
    <w:rsid w:val="00DE5F44"/>
    <w:rsid w:val="00DF0708"/>
    <w:rsid w:val="00DF1530"/>
    <w:rsid w:val="00DF34B8"/>
    <w:rsid w:val="00DF3924"/>
    <w:rsid w:val="00DF568D"/>
    <w:rsid w:val="00E0027A"/>
    <w:rsid w:val="00E00C10"/>
    <w:rsid w:val="00E01DB0"/>
    <w:rsid w:val="00E0236F"/>
    <w:rsid w:val="00E02434"/>
    <w:rsid w:val="00E02689"/>
    <w:rsid w:val="00E056B7"/>
    <w:rsid w:val="00E07E8C"/>
    <w:rsid w:val="00E10976"/>
    <w:rsid w:val="00E11937"/>
    <w:rsid w:val="00E11E9E"/>
    <w:rsid w:val="00E1217E"/>
    <w:rsid w:val="00E13431"/>
    <w:rsid w:val="00E13E43"/>
    <w:rsid w:val="00E14621"/>
    <w:rsid w:val="00E150AA"/>
    <w:rsid w:val="00E152FF"/>
    <w:rsid w:val="00E166B7"/>
    <w:rsid w:val="00E207D9"/>
    <w:rsid w:val="00E20EA0"/>
    <w:rsid w:val="00E2358F"/>
    <w:rsid w:val="00E23821"/>
    <w:rsid w:val="00E24677"/>
    <w:rsid w:val="00E2498C"/>
    <w:rsid w:val="00E269AD"/>
    <w:rsid w:val="00E27226"/>
    <w:rsid w:val="00E32930"/>
    <w:rsid w:val="00E32B2B"/>
    <w:rsid w:val="00E32FCA"/>
    <w:rsid w:val="00E365E5"/>
    <w:rsid w:val="00E36DA6"/>
    <w:rsid w:val="00E36DF0"/>
    <w:rsid w:val="00E411EA"/>
    <w:rsid w:val="00E42E75"/>
    <w:rsid w:val="00E44F1C"/>
    <w:rsid w:val="00E473A4"/>
    <w:rsid w:val="00E50EB5"/>
    <w:rsid w:val="00E510F9"/>
    <w:rsid w:val="00E5260C"/>
    <w:rsid w:val="00E53E84"/>
    <w:rsid w:val="00E55AB3"/>
    <w:rsid w:val="00E56B35"/>
    <w:rsid w:val="00E608ED"/>
    <w:rsid w:val="00E60CD2"/>
    <w:rsid w:val="00E60D27"/>
    <w:rsid w:val="00E6115A"/>
    <w:rsid w:val="00E61906"/>
    <w:rsid w:val="00E61D98"/>
    <w:rsid w:val="00E635EA"/>
    <w:rsid w:val="00E66486"/>
    <w:rsid w:val="00E6681B"/>
    <w:rsid w:val="00E70699"/>
    <w:rsid w:val="00E7145B"/>
    <w:rsid w:val="00E72B16"/>
    <w:rsid w:val="00E73299"/>
    <w:rsid w:val="00E752FE"/>
    <w:rsid w:val="00E762A0"/>
    <w:rsid w:val="00E77C5B"/>
    <w:rsid w:val="00E81D17"/>
    <w:rsid w:val="00E826A3"/>
    <w:rsid w:val="00E82742"/>
    <w:rsid w:val="00E82EF3"/>
    <w:rsid w:val="00E845A7"/>
    <w:rsid w:val="00E84819"/>
    <w:rsid w:val="00E85384"/>
    <w:rsid w:val="00E90FB9"/>
    <w:rsid w:val="00E921E9"/>
    <w:rsid w:val="00E92367"/>
    <w:rsid w:val="00E93A22"/>
    <w:rsid w:val="00E95695"/>
    <w:rsid w:val="00E97904"/>
    <w:rsid w:val="00EA0201"/>
    <w:rsid w:val="00EA170E"/>
    <w:rsid w:val="00EA38F8"/>
    <w:rsid w:val="00EA4889"/>
    <w:rsid w:val="00EA781D"/>
    <w:rsid w:val="00EA79AD"/>
    <w:rsid w:val="00EA7D7C"/>
    <w:rsid w:val="00EB0203"/>
    <w:rsid w:val="00EB05FF"/>
    <w:rsid w:val="00EB0B42"/>
    <w:rsid w:val="00EB32BD"/>
    <w:rsid w:val="00EB353A"/>
    <w:rsid w:val="00EB35DF"/>
    <w:rsid w:val="00EB3CA5"/>
    <w:rsid w:val="00EB67EC"/>
    <w:rsid w:val="00EB6FA1"/>
    <w:rsid w:val="00EC053A"/>
    <w:rsid w:val="00EC0D66"/>
    <w:rsid w:val="00EC2369"/>
    <w:rsid w:val="00EC3F0E"/>
    <w:rsid w:val="00EC57E4"/>
    <w:rsid w:val="00EC58C7"/>
    <w:rsid w:val="00EC6054"/>
    <w:rsid w:val="00EC7441"/>
    <w:rsid w:val="00ED02D0"/>
    <w:rsid w:val="00ED05A0"/>
    <w:rsid w:val="00ED102F"/>
    <w:rsid w:val="00ED3E6F"/>
    <w:rsid w:val="00ED4923"/>
    <w:rsid w:val="00ED494A"/>
    <w:rsid w:val="00ED5BFD"/>
    <w:rsid w:val="00EE437B"/>
    <w:rsid w:val="00EE4A46"/>
    <w:rsid w:val="00EE60C8"/>
    <w:rsid w:val="00EE6623"/>
    <w:rsid w:val="00EE74C3"/>
    <w:rsid w:val="00EF0950"/>
    <w:rsid w:val="00EF144E"/>
    <w:rsid w:val="00EF492D"/>
    <w:rsid w:val="00EF5B57"/>
    <w:rsid w:val="00F00C55"/>
    <w:rsid w:val="00F00E4E"/>
    <w:rsid w:val="00F01982"/>
    <w:rsid w:val="00F025F5"/>
    <w:rsid w:val="00F03350"/>
    <w:rsid w:val="00F03F50"/>
    <w:rsid w:val="00F062A7"/>
    <w:rsid w:val="00F06922"/>
    <w:rsid w:val="00F072AD"/>
    <w:rsid w:val="00F1425E"/>
    <w:rsid w:val="00F14906"/>
    <w:rsid w:val="00F20E24"/>
    <w:rsid w:val="00F2146B"/>
    <w:rsid w:val="00F21612"/>
    <w:rsid w:val="00F23576"/>
    <w:rsid w:val="00F241F4"/>
    <w:rsid w:val="00F24D0E"/>
    <w:rsid w:val="00F2528C"/>
    <w:rsid w:val="00F2764F"/>
    <w:rsid w:val="00F27FDA"/>
    <w:rsid w:val="00F320AE"/>
    <w:rsid w:val="00F32310"/>
    <w:rsid w:val="00F332B4"/>
    <w:rsid w:val="00F357BB"/>
    <w:rsid w:val="00F44E69"/>
    <w:rsid w:val="00F50BF3"/>
    <w:rsid w:val="00F52C4D"/>
    <w:rsid w:val="00F541CF"/>
    <w:rsid w:val="00F5428F"/>
    <w:rsid w:val="00F54CB0"/>
    <w:rsid w:val="00F57530"/>
    <w:rsid w:val="00F606BD"/>
    <w:rsid w:val="00F6146A"/>
    <w:rsid w:val="00F626A1"/>
    <w:rsid w:val="00F63B18"/>
    <w:rsid w:val="00F63FA3"/>
    <w:rsid w:val="00F660F6"/>
    <w:rsid w:val="00F674AD"/>
    <w:rsid w:val="00F677B1"/>
    <w:rsid w:val="00F70633"/>
    <w:rsid w:val="00F70A7A"/>
    <w:rsid w:val="00F70FA9"/>
    <w:rsid w:val="00F710F5"/>
    <w:rsid w:val="00F73D1C"/>
    <w:rsid w:val="00F73FC2"/>
    <w:rsid w:val="00F76770"/>
    <w:rsid w:val="00F8177A"/>
    <w:rsid w:val="00F817CC"/>
    <w:rsid w:val="00F8287B"/>
    <w:rsid w:val="00F82A17"/>
    <w:rsid w:val="00F83F4E"/>
    <w:rsid w:val="00F84281"/>
    <w:rsid w:val="00F85091"/>
    <w:rsid w:val="00F85705"/>
    <w:rsid w:val="00F86682"/>
    <w:rsid w:val="00F867C3"/>
    <w:rsid w:val="00F8690E"/>
    <w:rsid w:val="00F87AD4"/>
    <w:rsid w:val="00F87E4F"/>
    <w:rsid w:val="00F87EFA"/>
    <w:rsid w:val="00F91BD0"/>
    <w:rsid w:val="00F93375"/>
    <w:rsid w:val="00F9751A"/>
    <w:rsid w:val="00FA0580"/>
    <w:rsid w:val="00FA079E"/>
    <w:rsid w:val="00FA1ECB"/>
    <w:rsid w:val="00FA69F4"/>
    <w:rsid w:val="00FB10FA"/>
    <w:rsid w:val="00FB1C3C"/>
    <w:rsid w:val="00FB35A7"/>
    <w:rsid w:val="00FB3958"/>
    <w:rsid w:val="00FB45DE"/>
    <w:rsid w:val="00FB537C"/>
    <w:rsid w:val="00FB5DA4"/>
    <w:rsid w:val="00FB6E19"/>
    <w:rsid w:val="00FC02F1"/>
    <w:rsid w:val="00FC0F23"/>
    <w:rsid w:val="00FC1F64"/>
    <w:rsid w:val="00FC25D9"/>
    <w:rsid w:val="00FC3726"/>
    <w:rsid w:val="00FC4F7D"/>
    <w:rsid w:val="00FC61CF"/>
    <w:rsid w:val="00FC6808"/>
    <w:rsid w:val="00FC6ADB"/>
    <w:rsid w:val="00FC6AFD"/>
    <w:rsid w:val="00FC6E89"/>
    <w:rsid w:val="00FD0255"/>
    <w:rsid w:val="00FD0345"/>
    <w:rsid w:val="00FD114F"/>
    <w:rsid w:val="00FD1706"/>
    <w:rsid w:val="00FD4A6E"/>
    <w:rsid w:val="00FD744E"/>
    <w:rsid w:val="00FD7F87"/>
    <w:rsid w:val="00FE04AE"/>
    <w:rsid w:val="00FE15E6"/>
    <w:rsid w:val="00FE169C"/>
    <w:rsid w:val="00FE1873"/>
    <w:rsid w:val="00FE512F"/>
    <w:rsid w:val="00FE737B"/>
    <w:rsid w:val="00FF1A9D"/>
    <w:rsid w:val="00FF2FC4"/>
    <w:rsid w:val="00FF3036"/>
    <w:rsid w:val="00FF5770"/>
    <w:rsid w:val="00FF743B"/>
    <w:rsid w:val="00FF7C0D"/>
    <w:rsid w:val="0101364A"/>
    <w:rsid w:val="01030AAE"/>
    <w:rsid w:val="01295810"/>
    <w:rsid w:val="012A6937"/>
    <w:rsid w:val="014543A7"/>
    <w:rsid w:val="014E1FA2"/>
    <w:rsid w:val="019C305F"/>
    <w:rsid w:val="01A74BCB"/>
    <w:rsid w:val="01B06F08"/>
    <w:rsid w:val="01BD51CE"/>
    <w:rsid w:val="01D30C92"/>
    <w:rsid w:val="01F326E4"/>
    <w:rsid w:val="021639A9"/>
    <w:rsid w:val="02181135"/>
    <w:rsid w:val="026761DF"/>
    <w:rsid w:val="02B96619"/>
    <w:rsid w:val="02F20E77"/>
    <w:rsid w:val="02FD4903"/>
    <w:rsid w:val="02FF4ED6"/>
    <w:rsid w:val="03384159"/>
    <w:rsid w:val="034513CD"/>
    <w:rsid w:val="03520C90"/>
    <w:rsid w:val="038B5CF4"/>
    <w:rsid w:val="03FA5E80"/>
    <w:rsid w:val="040661ED"/>
    <w:rsid w:val="040A0A62"/>
    <w:rsid w:val="04316080"/>
    <w:rsid w:val="04400928"/>
    <w:rsid w:val="04403586"/>
    <w:rsid w:val="0454399B"/>
    <w:rsid w:val="04A856FC"/>
    <w:rsid w:val="04C47F9F"/>
    <w:rsid w:val="04C52633"/>
    <w:rsid w:val="04DD1EEF"/>
    <w:rsid w:val="04DE2D57"/>
    <w:rsid w:val="04E763DE"/>
    <w:rsid w:val="051B06BF"/>
    <w:rsid w:val="05447078"/>
    <w:rsid w:val="05471393"/>
    <w:rsid w:val="0548371A"/>
    <w:rsid w:val="05696889"/>
    <w:rsid w:val="057B0EC7"/>
    <w:rsid w:val="05994D78"/>
    <w:rsid w:val="05BA7815"/>
    <w:rsid w:val="05D1455F"/>
    <w:rsid w:val="05E5236D"/>
    <w:rsid w:val="063C2C99"/>
    <w:rsid w:val="066A0BAF"/>
    <w:rsid w:val="066F1DA4"/>
    <w:rsid w:val="067A6797"/>
    <w:rsid w:val="068B5B41"/>
    <w:rsid w:val="06A20E0C"/>
    <w:rsid w:val="06B8663D"/>
    <w:rsid w:val="06D82185"/>
    <w:rsid w:val="070E3663"/>
    <w:rsid w:val="0722449C"/>
    <w:rsid w:val="072B7330"/>
    <w:rsid w:val="07363251"/>
    <w:rsid w:val="073C4986"/>
    <w:rsid w:val="074D49FA"/>
    <w:rsid w:val="0792745E"/>
    <w:rsid w:val="07A81B9F"/>
    <w:rsid w:val="07AA10AC"/>
    <w:rsid w:val="07CB1352"/>
    <w:rsid w:val="07E644CA"/>
    <w:rsid w:val="08136D6C"/>
    <w:rsid w:val="08170520"/>
    <w:rsid w:val="082044CE"/>
    <w:rsid w:val="08420F3F"/>
    <w:rsid w:val="085523D0"/>
    <w:rsid w:val="085B0512"/>
    <w:rsid w:val="08830E60"/>
    <w:rsid w:val="08933CE2"/>
    <w:rsid w:val="08BC5481"/>
    <w:rsid w:val="08BC772C"/>
    <w:rsid w:val="091943B2"/>
    <w:rsid w:val="09321FE8"/>
    <w:rsid w:val="0961097E"/>
    <w:rsid w:val="09665ABA"/>
    <w:rsid w:val="096A522C"/>
    <w:rsid w:val="097F7A39"/>
    <w:rsid w:val="09835DDE"/>
    <w:rsid w:val="09CD5ACD"/>
    <w:rsid w:val="09F43C39"/>
    <w:rsid w:val="0A154BC5"/>
    <w:rsid w:val="0A2C774F"/>
    <w:rsid w:val="0A610D47"/>
    <w:rsid w:val="0A6B3358"/>
    <w:rsid w:val="0A7A57B8"/>
    <w:rsid w:val="0A877A49"/>
    <w:rsid w:val="0A920B44"/>
    <w:rsid w:val="0AEF00D9"/>
    <w:rsid w:val="0AEF3F3A"/>
    <w:rsid w:val="0AFC16FA"/>
    <w:rsid w:val="0B1D2B27"/>
    <w:rsid w:val="0B20595F"/>
    <w:rsid w:val="0B356C83"/>
    <w:rsid w:val="0B3D6186"/>
    <w:rsid w:val="0B532A5E"/>
    <w:rsid w:val="0B601937"/>
    <w:rsid w:val="0B652BBA"/>
    <w:rsid w:val="0B676CDF"/>
    <w:rsid w:val="0B79242D"/>
    <w:rsid w:val="0B946CBF"/>
    <w:rsid w:val="0BD241B9"/>
    <w:rsid w:val="0BEC1C41"/>
    <w:rsid w:val="0BFA3988"/>
    <w:rsid w:val="0BFB3131"/>
    <w:rsid w:val="0BFF1F21"/>
    <w:rsid w:val="0C1075F7"/>
    <w:rsid w:val="0C1C7AC1"/>
    <w:rsid w:val="0C256D60"/>
    <w:rsid w:val="0C564B6C"/>
    <w:rsid w:val="0C60708E"/>
    <w:rsid w:val="0C900906"/>
    <w:rsid w:val="0CA57745"/>
    <w:rsid w:val="0CAD0654"/>
    <w:rsid w:val="0CBD3F7C"/>
    <w:rsid w:val="0CFC7765"/>
    <w:rsid w:val="0D0432C7"/>
    <w:rsid w:val="0D210F9D"/>
    <w:rsid w:val="0D6718F1"/>
    <w:rsid w:val="0D7A75DB"/>
    <w:rsid w:val="0D992DE6"/>
    <w:rsid w:val="0DAA251A"/>
    <w:rsid w:val="0DD842F1"/>
    <w:rsid w:val="0DDC0FA0"/>
    <w:rsid w:val="0E19090F"/>
    <w:rsid w:val="0E2F555D"/>
    <w:rsid w:val="0E3E5588"/>
    <w:rsid w:val="0E664F2F"/>
    <w:rsid w:val="0E715C2E"/>
    <w:rsid w:val="0E7B2FEE"/>
    <w:rsid w:val="0E833D87"/>
    <w:rsid w:val="0E887F2D"/>
    <w:rsid w:val="0E9674B7"/>
    <w:rsid w:val="0E9E6CAD"/>
    <w:rsid w:val="0EB93AB2"/>
    <w:rsid w:val="0EC86E9D"/>
    <w:rsid w:val="0ECB6CE7"/>
    <w:rsid w:val="0ECC44E0"/>
    <w:rsid w:val="0EF075FA"/>
    <w:rsid w:val="0EFC38F5"/>
    <w:rsid w:val="0F016A50"/>
    <w:rsid w:val="0F083A76"/>
    <w:rsid w:val="0F1C579E"/>
    <w:rsid w:val="0F2D5627"/>
    <w:rsid w:val="0F47278E"/>
    <w:rsid w:val="0F4A6A5B"/>
    <w:rsid w:val="0F5547C6"/>
    <w:rsid w:val="0F595723"/>
    <w:rsid w:val="0F64597E"/>
    <w:rsid w:val="0F68152D"/>
    <w:rsid w:val="0F6B000A"/>
    <w:rsid w:val="0F9833E2"/>
    <w:rsid w:val="0FA03C13"/>
    <w:rsid w:val="0FD04ADF"/>
    <w:rsid w:val="0FD22614"/>
    <w:rsid w:val="0FDA1149"/>
    <w:rsid w:val="0FDC4650"/>
    <w:rsid w:val="0FEC2858"/>
    <w:rsid w:val="100C5577"/>
    <w:rsid w:val="102A4B26"/>
    <w:rsid w:val="1039291C"/>
    <w:rsid w:val="107B097B"/>
    <w:rsid w:val="1107463E"/>
    <w:rsid w:val="11077676"/>
    <w:rsid w:val="11421249"/>
    <w:rsid w:val="115A6DD1"/>
    <w:rsid w:val="115C1032"/>
    <w:rsid w:val="1179258D"/>
    <w:rsid w:val="11891AA6"/>
    <w:rsid w:val="119E590C"/>
    <w:rsid w:val="11E27F37"/>
    <w:rsid w:val="12246CA1"/>
    <w:rsid w:val="12615306"/>
    <w:rsid w:val="12634D23"/>
    <w:rsid w:val="1291271D"/>
    <w:rsid w:val="12A24163"/>
    <w:rsid w:val="12DB01E1"/>
    <w:rsid w:val="131838DA"/>
    <w:rsid w:val="137016E3"/>
    <w:rsid w:val="137A7C7A"/>
    <w:rsid w:val="138A77C6"/>
    <w:rsid w:val="13933F68"/>
    <w:rsid w:val="13DA0EE4"/>
    <w:rsid w:val="13EC5C8C"/>
    <w:rsid w:val="140B378D"/>
    <w:rsid w:val="14511241"/>
    <w:rsid w:val="14663A24"/>
    <w:rsid w:val="14726DA5"/>
    <w:rsid w:val="147C545F"/>
    <w:rsid w:val="149335DA"/>
    <w:rsid w:val="149C7674"/>
    <w:rsid w:val="149E34F0"/>
    <w:rsid w:val="14C017F7"/>
    <w:rsid w:val="150B567F"/>
    <w:rsid w:val="150C1D72"/>
    <w:rsid w:val="1522678A"/>
    <w:rsid w:val="152F4A99"/>
    <w:rsid w:val="15431E22"/>
    <w:rsid w:val="156E06C4"/>
    <w:rsid w:val="157006DC"/>
    <w:rsid w:val="15825286"/>
    <w:rsid w:val="15AE2AC4"/>
    <w:rsid w:val="15B25DC6"/>
    <w:rsid w:val="15C867CA"/>
    <w:rsid w:val="15F62E30"/>
    <w:rsid w:val="15FD747D"/>
    <w:rsid w:val="16132B20"/>
    <w:rsid w:val="161D17DA"/>
    <w:rsid w:val="1621593A"/>
    <w:rsid w:val="1676135E"/>
    <w:rsid w:val="16EA49B9"/>
    <w:rsid w:val="16FB2F0A"/>
    <w:rsid w:val="170234DF"/>
    <w:rsid w:val="17176CA8"/>
    <w:rsid w:val="171F2B10"/>
    <w:rsid w:val="172A6D83"/>
    <w:rsid w:val="172C6039"/>
    <w:rsid w:val="1780720E"/>
    <w:rsid w:val="17C3688F"/>
    <w:rsid w:val="17D25A0C"/>
    <w:rsid w:val="17D977FD"/>
    <w:rsid w:val="17D9785B"/>
    <w:rsid w:val="18022874"/>
    <w:rsid w:val="180F5C8F"/>
    <w:rsid w:val="18102360"/>
    <w:rsid w:val="181672EC"/>
    <w:rsid w:val="18226157"/>
    <w:rsid w:val="18596047"/>
    <w:rsid w:val="185C1C60"/>
    <w:rsid w:val="186046C1"/>
    <w:rsid w:val="18992288"/>
    <w:rsid w:val="18D8314B"/>
    <w:rsid w:val="18FE3FAD"/>
    <w:rsid w:val="1927413C"/>
    <w:rsid w:val="192E56CD"/>
    <w:rsid w:val="192F45CC"/>
    <w:rsid w:val="1951194B"/>
    <w:rsid w:val="195F33FD"/>
    <w:rsid w:val="196023FD"/>
    <w:rsid w:val="19602CAE"/>
    <w:rsid w:val="19697D49"/>
    <w:rsid w:val="197A6B8E"/>
    <w:rsid w:val="19837CC0"/>
    <w:rsid w:val="198505F6"/>
    <w:rsid w:val="198D08AC"/>
    <w:rsid w:val="19975FB0"/>
    <w:rsid w:val="19D64C3E"/>
    <w:rsid w:val="1A1D2E03"/>
    <w:rsid w:val="1A42495F"/>
    <w:rsid w:val="1A850F40"/>
    <w:rsid w:val="1A8B5F13"/>
    <w:rsid w:val="1A95208F"/>
    <w:rsid w:val="1AAD75BF"/>
    <w:rsid w:val="1AAF63C4"/>
    <w:rsid w:val="1AB36522"/>
    <w:rsid w:val="1ACB0AB8"/>
    <w:rsid w:val="1AD4180E"/>
    <w:rsid w:val="1AE16095"/>
    <w:rsid w:val="1AEA6231"/>
    <w:rsid w:val="1B240A73"/>
    <w:rsid w:val="1B2E6AD0"/>
    <w:rsid w:val="1B46248D"/>
    <w:rsid w:val="1B666C79"/>
    <w:rsid w:val="1B700066"/>
    <w:rsid w:val="1B894540"/>
    <w:rsid w:val="1BB33601"/>
    <w:rsid w:val="1BC640F5"/>
    <w:rsid w:val="1C066B16"/>
    <w:rsid w:val="1C0A7805"/>
    <w:rsid w:val="1C1F54C6"/>
    <w:rsid w:val="1C285EE0"/>
    <w:rsid w:val="1C42609C"/>
    <w:rsid w:val="1C896904"/>
    <w:rsid w:val="1C91387F"/>
    <w:rsid w:val="1C9A2A2D"/>
    <w:rsid w:val="1CAB1A16"/>
    <w:rsid w:val="1CD77D87"/>
    <w:rsid w:val="1CE82E95"/>
    <w:rsid w:val="1CFA5708"/>
    <w:rsid w:val="1CFD3FEF"/>
    <w:rsid w:val="1CFD4591"/>
    <w:rsid w:val="1D2B6981"/>
    <w:rsid w:val="1D3B52D1"/>
    <w:rsid w:val="1D515C71"/>
    <w:rsid w:val="1D716D17"/>
    <w:rsid w:val="1D745502"/>
    <w:rsid w:val="1D986CC6"/>
    <w:rsid w:val="1DAD2E1A"/>
    <w:rsid w:val="1DE56373"/>
    <w:rsid w:val="1DF0529E"/>
    <w:rsid w:val="1DFB18A9"/>
    <w:rsid w:val="1DFD0E87"/>
    <w:rsid w:val="1E034707"/>
    <w:rsid w:val="1E530089"/>
    <w:rsid w:val="1E684F4D"/>
    <w:rsid w:val="1E86117E"/>
    <w:rsid w:val="1E865FFB"/>
    <w:rsid w:val="1E8772B1"/>
    <w:rsid w:val="1EAD40F3"/>
    <w:rsid w:val="1F1D6BCE"/>
    <w:rsid w:val="1F291425"/>
    <w:rsid w:val="1F3E4816"/>
    <w:rsid w:val="1F4E35BA"/>
    <w:rsid w:val="1F656D0D"/>
    <w:rsid w:val="1F6A5C5E"/>
    <w:rsid w:val="1F777740"/>
    <w:rsid w:val="1F8A1789"/>
    <w:rsid w:val="1F917002"/>
    <w:rsid w:val="1FBB06BE"/>
    <w:rsid w:val="1FD2180A"/>
    <w:rsid w:val="1FD44B14"/>
    <w:rsid w:val="1FDD4D0F"/>
    <w:rsid w:val="1FE36552"/>
    <w:rsid w:val="20235177"/>
    <w:rsid w:val="202F2301"/>
    <w:rsid w:val="20BD10F1"/>
    <w:rsid w:val="20D761E3"/>
    <w:rsid w:val="20E23FE9"/>
    <w:rsid w:val="20E42D0C"/>
    <w:rsid w:val="20E553A3"/>
    <w:rsid w:val="21102C92"/>
    <w:rsid w:val="211554F9"/>
    <w:rsid w:val="213B22BC"/>
    <w:rsid w:val="214540F0"/>
    <w:rsid w:val="21752D39"/>
    <w:rsid w:val="21856EEB"/>
    <w:rsid w:val="218E0C5F"/>
    <w:rsid w:val="21965CB9"/>
    <w:rsid w:val="21A11341"/>
    <w:rsid w:val="21C23B0B"/>
    <w:rsid w:val="21DF1D3A"/>
    <w:rsid w:val="21FE02F4"/>
    <w:rsid w:val="2226120E"/>
    <w:rsid w:val="2256065A"/>
    <w:rsid w:val="22697758"/>
    <w:rsid w:val="229D0F49"/>
    <w:rsid w:val="22A462ED"/>
    <w:rsid w:val="22EC172E"/>
    <w:rsid w:val="22ED29BE"/>
    <w:rsid w:val="23025444"/>
    <w:rsid w:val="23043F6F"/>
    <w:rsid w:val="23331000"/>
    <w:rsid w:val="234D6664"/>
    <w:rsid w:val="23631BB5"/>
    <w:rsid w:val="237469F4"/>
    <w:rsid w:val="2383184D"/>
    <w:rsid w:val="238D74EE"/>
    <w:rsid w:val="23AD6027"/>
    <w:rsid w:val="23F315E2"/>
    <w:rsid w:val="241579DC"/>
    <w:rsid w:val="242B225C"/>
    <w:rsid w:val="242F1677"/>
    <w:rsid w:val="244966FD"/>
    <w:rsid w:val="245B1BD0"/>
    <w:rsid w:val="2466666E"/>
    <w:rsid w:val="247F55B9"/>
    <w:rsid w:val="24812EB4"/>
    <w:rsid w:val="24BC67C3"/>
    <w:rsid w:val="24C16ABB"/>
    <w:rsid w:val="24C35A98"/>
    <w:rsid w:val="24D204DB"/>
    <w:rsid w:val="24EF1031"/>
    <w:rsid w:val="250007DC"/>
    <w:rsid w:val="25004CFD"/>
    <w:rsid w:val="25337B0F"/>
    <w:rsid w:val="253A0D19"/>
    <w:rsid w:val="2555081B"/>
    <w:rsid w:val="255D03F9"/>
    <w:rsid w:val="256055FD"/>
    <w:rsid w:val="258C61CF"/>
    <w:rsid w:val="25A005BB"/>
    <w:rsid w:val="25A93259"/>
    <w:rsid w:val="25CD69B8"/>
    <w:rsid w:val="25D637D6"/>
    <w:rsid w:val="26112D23"/>
    <w:rsid w:val="26397241"/>
    <w:rsid w:val="267278B5"/>
    <w:rsid w:val="26770D30"/>
    <w:rsid w:val="26874231"/>
    <w:rsid w:val="269C7D1B"/>
    <w:rsid w:val="271A2055"/>
    <w:rsid w:val="27216F3B"/>
    <w:rsid w:val="275421AE"/>
    <w:rsid w:val="278338F2"/>
    <w:rsid w:val="27834E84"/>
    <w:rsid w:val="27CC2DE1"/>
    <w:rsid w:val="27DA74A7"/>
    <w:rsid w:val="28001B29"/>
    <w:rsid w:val="2819148F"/>
    <w:rsid w:val="2855555A"/>
    <w:rsid w:val="288D5E76"/>
    <w:rsid w:val="289F1A10"/>
    <w:rsid w:val="28BF3B9F"/>
    <w:rsid w:val="28DA56D5"/>
    <w:rsid w:val="28E730F8"/>
    <w:rsid w:val="28F46785"/>
    <w:rsid w:val="29226578"/>
    <w:rsid w:val="29794547"/>
    <w:rsid w:val="29841CAC"/>
    <w:rsid w:val="29BD40ED"/>
    <w:rsid w:val="29F15024"/>
    <w:rsid w:val="2A0B7027"/>
    <w:rsid w:val="2A141305"/>
    <w:rsid w:val="2A613623"/>
    <w:rsid w:val="2A656CEB"/>
    <w:rsid w:val="2A6F5CAB"/>
    <w:rsid w:val="2AAD5A98"/>
    <w:rsid w:val="2AF15EE6"/>
    <w:rsid w:val="2B3A26D9"/>
    <w:rsid w:val="2B5A7C8B"/>
    <w:rsid w:val="2B5C249E"/>
    <w:rsid w:val="2B8A7E87"/>
    <w:rsid w:val="2BA15EB0"/>
    <w:rsid w:val="2BAE7B02"/>
    <w:rsid w:val="2BC769AE"/>
    <w:rsid w:val="2BCF3E06"/>
    <w:rsid w:val="2BDC5192"/>
    <w:rsid w:val="2BEB4A9A"/>
    <w:rsid w:val="2BEE0F69"/>
    <w:rsid w:val="2BF83028"/>
    <w:rsid w:val="2C462E9A"/>
    <w:rsid w:val="2C5A6198"/>
    <w:rsid w:val="2C7D158F"/>
    <w:rsid w:val="2CBD22F6"/>
    <w:rsid w:val="2CC922C4"/>
    <w:rsid w:val="2CD96D7B"/>
    <w:rsid w:val="2CEF7E9D"/>
    <w:rsid w:val="2CF03C7D"/>
    <w:rsid w:val="2D2F019E"/>
    <w:rsid w:val="2D2F1ECF"/>
    <w:rsid w:val="2D607D23"/>
    <w:rsid w:val="2D9D5255"/>
    <w:rsid w:val="2DC612DB"/>
    <w:rsid w:val="2DCD3B1D"/>
    <w:rsid w:val="2DCE5731"/>
    <w:rsid w:val="2DDF1B00"/>
    <w:rsid w:val="2DFE21E0"/>
    <w:rsid w:val="2E0B587F"/>
    <w:rsid w:val="2E5C4991"/>
    <w:rsid w:val="2E653B8B"/>
    <w:rsid w:val="2E6968A7"/>
    <w:rsid w:val="2E944568"/>
    <w:rsid w:val="2EA652DD"/>
    <w:rsid w:val="2EB41AE8"/>
    <w:rsid w:val="2EDA19C2"/>
    <w:rsid w:val="2EDC753C"/>
    <w:rsid w:val="2EE56F16"/>
    <w:rsid w:val="2F1B2588"/>
    <w:rsid w:val="2F557BBA"/>
    <w:rsid w:val="2F6A4EC5"/>
    <w:rsid w:val="2F7F4E2B"/>
    <w:rsid w:val="2F836602"/>
    <w:rsid w:val="2F8445CB"/>
    <w:rsid w:val="2FD21544"/>
    <w:rsid w:val="2FF53FDC"/>
    <w:rsid w:val="2FFE3919"/>
    <w:rsid w:val="3038119B"/>
    <w:rsid w:val="30436059"/>
    <w:rsid w:val="3054021C"/>
    <w:rsid w:val="30811249"/>
    <w:rsid w:val="309060A1"/>
    <w:rsid w:val="30922261"/>
    <w:rsid w:val="309D629C"/>
    <w:rsid w:val="30A67164"/>
    <w:rsid w:val="30B559EC"/>
    <w:rsid w:val="312D706C"/>
    <w:rsid w:val="313F16F8"/>
    <w:rsid w:val="314B2022"/>
    <w:rsid w:val="315305F8"/>
    <w:rsid w:val="31661D90"/>
    <w:rsid w:val="316A2CD9"/>
    <w:rsid w:val="319824AC"/>
    <w:rsid w:val="319E71F5"/>
    <w:rsid w:val="31E01EF3"/>
    <w:rsid w:val="32036CC4"/>
    <w:rsid w:val="320D2A43"/>
    <w:rsid w:val="3226766D"/>
    <w:rsid w:val="32316BBA"/>
    <w:rsid w:val="3233796A"/>
    <w:rsid w:val="32500BEA"/>
    <w:rsid w:val="326356DB"/>
    <w:rsid w:val="32702051"/>
    <w:rsid w:val="32782D8B"/>
    <w:rsid w:val="32835CA4"/>
    <w:rsid w:val="32897A38"/>
    <w:rsid w:val="32BF39B8"/>
    <w:rsid w:val="32D90A42"/>
    <w:rsid w:val="32EA4C63"/>
    <w:rsid w:val="33017A62"/>
    <w:rsid w:val="33126A69"/>
    <w:rsid w:val="332C167E"/>
    <w:rsid w:val="33644FF5"/>
    <w:rsid w:val="3372571C"/>
    <w:rsid w:val="33757E2A"/>
    <w:rsid w:val="33AB5944"/>
    <w:rsid w:val="33B50C41"/>
    <w:rsid w:val="33C4779E"/>
    <w:rsid w:val="33CE3781"/>
    <w:rsid w:val="33EC7360"/>
    <w:rsid w:val="33FE3BAE"/>
    <w:rsid w:val="340602C4"/>
    <w:rsid w:val="34545546"/>
    <w:rsid w:val="345F08BF"/>
    <w:rsid w:val="34725CD5"/>
    <w:rsid w:val="349F5B79"/>
    <w:rsid w:val="34AE1FC4"/>
    <w:rsid w:val="34B64783"/>
    <w:rsid w:val="34BD5964"/>
    <w:rsid w:val="34DC1B77"/>
    <w:rsid w:val="34E55DF9"/>
    <w:rsid w:val="3503138A"/>
    <w:rsid w:val="35033CEE"/>
    <w:rsid w:val="35157549"/>
    <w:rsid w:val="351A72EE"/>
    <w:rsid w:val="35492417"/>
    <w:rsid w:val="3558374E"/>
    <w:rsid w:val="3560749F"/>
    <w:rsid w:val="358C74D3"/>
    <w:rsid w:val="35A10B12"/>
    <w:rsid w:val="35A178E6"/>
    <w:rsid w:val="35C7011A"/>
    <w:rsid w:val="35E70789"/>
    <w:rsid w:val="361663C7"/>
    <w:rsid w:val="364D4A87"/>
    <w:rsid w:val="3656751F"/>
    <w:rsid w:val="36673909"/>
    <w:rsid w:val="366A53B5"/>
    <w:rsid w:val="367200CC"/>
    <w:rsid w:val="36722AF2"/>
    <w:rsid w:val="369E0917"/>
    <w:rsid w:val="36BF5C17"/>
    <w:rsid w:val="36D70DC4"/>
    <w:rsid w:val="36EA1A80"/>
    <w:rsid w:val="36FB6197"/>
    <w:rsid w:val="371F22E3"/>
    <w:rsid w:val="372056F0"/>
    <w:rsid w:val="372F6E4C"/>
    <w:rsid w:val="373F6676"/>
    <w:rsid w:val="37AF09ED"/>
    <w:rsid w:val="37ED073B"/>
    <w:rsid w:val="38344055"/>
    <w:rsid w:val="38417EED"/>
    <w:rsid w:val="3848095F"/>
    <w:rsid w:val="38B91446"/>
    <w:rsid w:val="38DE0C58"/>
    <w:rsid w:val="38EC4206"/>
    <w:rsid w:val="3915494F"/>
    <w:rsid w:val="392E4F3C"/>
    <w:rsid w:val="394157EA"/>
    <w:rsid w:val="39686B34"/>
    <w:rsid w:val="3981397A"/>
    <w:rsid w:val="39A60C78"/>
    <w:rsid w:val="39B63175"/>
    <w:rsid w:val="39B923DA"/>
    <w:rsid w:val="39C3170D"/>
    <w:rsid w:val="39DC6D49"/>
    <w:rsid w:val="39DE11ED"/>
    <w:rsid w:val="39E15F39"/>
    <w:rsid w:val="39FB238B"/>
    <w:rsid w:val="3A5512CC"/>
    <w:rsid w:val="3A630034"/>
    <w:rsid w:val="3A685857"/>
    <w:rsid w:val="3A7538B6"/>
    <w:rsid w:val="3A940226"/>
    <w:rsid w:val="3AAB188B"/>
    <w:rsid w:val="3ABC092F"/>
    <w:rsid w:val="3ACE1B56"/>
    <w:rsid w:val="3AD25348"/>
    <w:rsid w:val="3AE15F16"/>
    <w:rsid w:val="3AF42B80"/>
    <w:rsid w:val="3AFA1A6D"/>
    <w:rsid w:val="3B0B0197"/>
    <w:rsid w:val="3B1B39D3"/>
    <w:rsid w:val="3B2C3789"/>
    <w:rsid w:val="3B375E97"/>
    <w:rsid w:val="3B683847"/>
    <w:rsid w:val="3C1D5841"/>
    <w:rsid w:val="3C1E4740"/>
    <w:rsid w:val="3C2D3C45"/>
    <w:rsid w:val="3C5C34EF"/>
    <w:rsid w:val="3C71348F"/>
    <w:rsid w:val="3CA431BA"/>
    <w:rsid w:val="3CA658EE"/>
    <w:rsid w:val="3CA76EA9"/>
    <w:rsid w:val="3CAD3E47"/>
    <w:rsid w:val="3CB4693F"/>
    <w:rsid w:val="3CD354D5"/>
    <w:rsid w:val="3CE36460"/>
    <w:rsid w:val="3CE44EEE"/>
    <w:rsid w:val="3CF67215"/>
    <w:rsid w:val="3D0B1AC1"/>
    <w:rsid w:val="3D287271"/>
    <w:rsid w:val="3D3A4794"/>
    <w:rsid w:val="3D40325E"/>
    <w:rsid w:val="3D5C00EF"/>
    <w:rsid w:val="3DD54936"/>
    <w:rsid w:val="3E037B8D"/>
    <w:rsid w:val="3E121F77"/>
    <w:rsid w:val="3E201246"/>
    <w:rsid w:val="3E467AED"/>
    <w:rsid w:val="3E554B11"/>
    <w:rsid w:val="3E594406"/>
    <w:rsid w:val="3E5E0425"/>
    <w:rsid w:val="3E840341"/>
    <w:rsid w:val="3EA2650B"/>
    <w:rsid w:val="3EB20971"/>
    <w:rsid w:val="3ECC24B4"/>
    <w:rsid w:val="3EDB2B73"/>
    <w:rsid w:val="3EF328B3"/>
    <w:rsid w:val="3EFE17F6"/>
    <w:rsid w:val="3F0A3841"/>
    <w:rsid w:val="3F4127E1"/>
    <w:rsid w:val="3F4527E4"/>
    <w:rsid w:val="3F4F5A3F"/>
    <w:rsid w:val="3F5D5216"/>
    <w:rsid w:val="3FC73CFA"/>
    <w:rsid w:val="3FCC6619"/>
    <w:rsid w:val="3FED629D"/>
    <w:rsid w:val="400D3DA0"/>
    <w:rsid w:val="4041417C"/>
    <w:rsid w:val="406676BB"/>
    <w:rsid w:val="40722746"/>
    <w:rsid w:val="40A046D9"/>
    <w:rsid w:val="40A720CE"/>
    <w:rsid w:val="41100076"/>
    <w:rsid w:val="41595480"/>
    <w:rsid w:val="41684B5B"/>
    <w:rsid w:val="417F7903"/>
    <w:rsid w:val="41A047C3"/>
    <w:rsid w:val="41B92C78"/>
    <w:rsid w:val="41C70AB5"/>
    <w:rsid w:val="41D3054D"/>
    <w:rsid w:val="423E0D7C"/>
    <w:rsid w:val="42725C38"/>
    <w:rsid w:val="427631A0"/>
    <w:rsid w:val="42897E5E"/>
    <w:rsid w:val="42A53C7F"/>
    <w:rsid w:val="42BC38F4"/>
    <w:rsid w:val="42DE3DC9"/>
    <w:rsid w:val="42E67C79"/>
    <w:rsid w:val="42E821EC"/>
    <w:rsid w:val="42EA44ED"/>
    <w:rsid w:val="43022D0B"/>
    <w:rsid w:val="4325606A"/>
    <w:rsid w:val="433E11C3"/>
    <w:rsid w:val="439C3CB4"/>
    <w:rsid w:val="43B43E9C"/>
    <w:rsid w:val="43FD1370"/>
    <w:rsid w:val="44122CDC"/>
    <w:rsid w:val="44287C43"/>
    <w:rsid w:val="44390820"/>
    <w:rsid w:val="445034D2"/>
    <w:rsid w:val="445F79AB"/>
    <w:rsid w:val="44AF3B9B"/>
    <w:rsid w:val="450D1794"/>
    <w:rsid w:val="45645467"/>
    <w:rsid w:val="456E137D"/>
    <w:rsid w:val="456F43E6"/>
    <w:rsid w:val="459206C3"/>
    <w:rsid w:val="45AC5155"/>
    <w:rsid w:val="45AC6AC9"/>
    <w:rsid w:val="45B71ED6"/>
    <w:rsid w:val="45C32065"/>
    <w:rsid w:val="45DE2AC2"/>
    <w:rsid w:val="4600665D"/>
    <w:rsid w:val="464A3133"/>
    <w:rsid w:val="468212DD"/>
    <w:rsid w:val="468F0691"/>
    <w:rsid w:val="469928BF"/>
    <w:rsid w:val="469B3A26"/>
    <w:rsid w:val="469F0F3A"/>
    <w:rsid w:val="46A01452"/>
    <w:rsid w:val="46B65BEF"/>
    <w:rsid w:val="46CA287D"/>
    <w:rsid w:val="46DB4C81"/>
    <w:rsid w:val="471A3605"/>
    <w:rsid w:val="475235D7"/>
    <w:rsid w:val="477D7240"/>
    <w:rsid w:val="47853AB5"/>
    <w:rsid w:val="47877D67"/>
    <w:rsid w:val="47913943"/>
    <w:rsid w:val="47B67923"/>
    <w:rsid w:val="47C70F90"/>
    <w:rsid w:val="47CD5D7F"/>
    <w:rsid w:val="47D47962"/>
    <w:rsid w:val="47DC4CA6"/>
    <w:rsid w:val="47E62EC9"/>
    <w:rsid w:val="48171FB5"/>
    <w:rsid w:val="481F7668"/>
    <w:rsid w:val="48477D5A"/>
    <w:rsid w:val="485B4010"/>
    <w:rsid w:val="48746B1D"/>
    <w:rsid w:val="487E218A"/>
    <w:rsid w:val="488E29B5"/>
    <w:rsid w:val="48AB78B7"/>
    <w:rsid w:val="48AC49DF"/>
    <w:rsid w:val="48CA6ABF"/>
    <w:rsid w:val="48CE77DF"/>
    <w:rsid w:val="48D36B92"/>
    <w:rsid w:val="48E71FF3"/>
    <w:rsid w:val="492B5B67"/>
    <w:rsid w:val="492E1F2D"/>
    <w:rsid w:val="493B03E3"/>
    <w:rsid w:val="495A7B67"/>
    <w:rsid w:val="497C3813"/>
    <w:rsid w:val="497F1DA7"/>
    <w:rsid w:val="498C31E0"/>
    <w:rsid w:val="49C31104"/>
    <w:rsid w:val="4A492988"/>
    <w:rsid w:val="4A5E3553"/>
    <w:rsid w:val="4A794551"/>
    <w:rsid w:val="4A931F5A"/>
    <w:rsid w:val="4AA027AD"/>
    <w:rsid w:val="4AA6287F"/>
    <w:rsid w:val="4AC5164A"/>
    <w:rsid w:val="4AE34440"/>
    <w:rsid w:val="4AF66F17"/>
    <w:rsid w:val="4B281F39"/>
    <w:rsid w:val="4B62429F"/>
    <w:rsid w:val="4B665A39"/>
    <w:rsid w:val="4B867299"/>
    <w:rsid w:val="4B9675D0"/>
    <w:rsid w:val="4BA7644C"/>
    <w:rsid w:val="4BB70A55"/>
    <w:rsid w:val="4BC60652"/>
    <w:rsid w:val="4BD26868"/>
    <w:rsid w:val="4BDC7961"/>
    <w:rsid w:val="4BDD6C50"/>
    <w:rsid w:val="4BDF366A"/>
    <w:rsid w:val="4BFA4E5A"/>
    <w:rsid w:val="4C02672B"/>
    <w:rsid w:val="4C0A510E"/>
    <w:rsid w:val="4C133C29"/>
    <w:rsid w:val="4C2E2B80"/>
    <w:rsid w:val="4C5F16B6"/>
    <w:rsid w:val="4C691322"/>
    <w:rsid w:val="4C722810"/>
    <w:rsid w:val="4C766BAC"/>
    <w:rsid w:val="4C7C134E"/>
    <w:rsid w:val="4CEA69F3"/>
    <w:rsid w:val="4CF842FE"/>
    <w:rsid w:val="4CFC7B35"/>
    <w:rsid w:val="4D24783A"/>
    <w:rsid w:val="4D371F6D"/>
    <w:rsid w:val="4D3E584C"/>
    <w:rsid w:val="4D4E05BC"/>
    <w:rsid w:val="4D50558C"/>
    <w:rsid w:val="4D7F40A7"/>
    <w:rsid w:val="4D83332F"/>
    <w:rsid w:val="4D9043AA"/>
    <w:rsid w:val="4D986D5E"/>
    <w:rsid w:val="4DE53556"/>
    <w:rsid w:val="4DF66750"/>
    <w:rsid w:val="4E1229B8"/>
    <w:rsid w:val="4E3E7123"/>
    <w:rsid w:val="4EAA6163"/>
    <w:rsid w:val="4F085F36"/>
    <w:rsid w:val="4F124521"/>
    <w:rsid w:val="4F293F39"/>
    <w:rsid w:val="4F3866C3"/>
    <w:rsid w:val="4F4334B3"/>
    <w:rsid w:val="4F672506"/>
    <w:rsid w:val="4F6A27E4"/>
    <w:rsid w:val="4F73123C"/>
    <w:rsid w:val="4FB14B22"/>
    <w:rsid w:val="4FBB1ED7"/>
    <w:rsid w:val="4FC853B0"/>
    <w:rsid w:val="4FDA27F5"/>
    <w:rsid w:val="4FF83F5B"/>
    <w:rsid w:val="50231AAB"/>
    <w:rsid w:val="50263209"/>
    <w:rsid w:val="504D160B"/>
    <w:rsid w:val="508D0526"/>
    <w:rsid w:val="50AC763C"/>
    <w:rsid w:val="50C6377F"/>
    <w:rsid w:val="511B6223"/>
    <w:rsid w:val="51256832"/>
    <w:rsid w:val="51290E2D"/>
    <w:rsid w:val="51367D1B"/>
    <w:rsid w:val="514F4E74"/>
    <w:rsid w:val="519D29E8"/>
    <w:rsid w:val="519E4E3D"/>
    <w:rsid w:val="51B03F63"/>
    <w:rsid w:val="51B43957"/>
    <w:rsid w:val="51C365CF"/>
    <w:rsid w:val="51C7051D"/>
    <w:rsid w:val="52074AB8"/>
    <w:rsid w:val="52574FCF"/>
    <w:rsid w:val="527979C0"/>
    <w:rsid w:val="52844E2F"/>
    <w:rsid w:val="528F3547"/>
    <w:rsid w:val="529A5B05"/>
    <w:rsid w:val="52B53052"/>
    <w:rsid w:val="52B54EFC"/>
    <w:rsid w:val="52BF6964"/>
    <w:rsid w:val="52C4410B"/>
    <w:rsid w:val="52C66FF6"/>
    <w:rsid w:val="52C7648A"/>
    <w:rsid w:val="52FA530A"/>
    <w:rsid w:val="532A1DEB"/>
    <w:rsid w:val="533162AE"/>
    <w:rsid w:val="53365351"/>
    <w:rsid w:val="53593E07"/>
    <w:rsid w:val="537C6132"/>
    <w:rsid w:val="538F543B"/>
    <w:rsid w:val="53A25979"/>
    <w:rsid w:val="53DF449F"/>
    <w:rsid w:val="53E27867"/>
    <w:rsid w:val="53E97F0B"/>
    <w:rsid w:val="53FD2646"/>
    <w:rsid w:val="54035385"/>
    <w:rsid w:val="540863D7"/>
    <w:rsid w:val="540B6F2A"/>
    <w:rsid w:val="544936B7"/>
    <w:rsid w:val="54777628"/>
    <w:rsid w:val="548B33B3"/>
    <w:rsid w:val="548F1756"/>
    <w:rsid w:val="54B8191E"/>
    <w:rsid w:val="54F279EC"/>
    <w:rsid w:val="55224283"/>
    <w:rsid w:val="552B225A"/>
    <w:rsid w:val="55300507"/>
    <w:rsid w:val="557543A5"/>
    <w:rsid w:val="55810A13"/>
    <w:rsid w:val="558458D7"/>
    <w:rsid w:val="55A3281C"/>
    <w:rsid w:val="565726EF"/>
    <w:rsid w:val="5663347A"/>
    <w:rsid w:val="56BE439A"/>
    <w:rsid w:val="56D11B09"/>
    <w:rsid w:val="570C2C40"/>
    <w:rsid w:val="573F0E58"/>
    <w:rsid w:val="57420C69"/>
    <w:rsid w:val="574D1208"/>
    <w:rsid w:val="57613492"/>
    <w:rsid w:val="576940C3"/>
    <w:rsid w:val="577B1423"/>
    <w:rsid w:val="5782574E"/>
    <w:rsid w:val="5797606A"/>
    <w:rsid w:val="57D7050A"/>
    <w:rsid w:val="57E8719A"/>
    <w:rsid w:val="57F00FF2"/>
    <w:rsid w:val="58090A5A"/>
    <w:rsid w:val="58127F4E"/>
    <w:rsid w:val="585649C3"/>
    <w:rsid w:val="58586C11"/>
    <w:rsid w:val="58803F21"/>
    <w:rsid w:val="58B42B47"/>
    <w:rsid w:val="58D7571D"/>
    <w:rsid w:val="58DA2D1B"/>
    <w:rsid w:val="58E22D98"/>
    <w:rsid w:val="59164DA5"/>
    <w:rsid w:val="59191E13"/>
    <w:rsid w:val="591C23F1"/>
    <w:rsid w:val="592E7F63"/>
    <w:rsid w:val="59321B08"/>
    <w:rsid w:val="593E1951"/>
    <w:rsid w:val="59475357"/>
    <w:rsid w:val="594A1FE2"/>
    <w:rsid w:val="598B7880"/>
    <w:rsid w:val="599A6F55"/>
    <w:rsid w:val="59C90B75"/>
    <w:rsid w:val="59CA3306"/>
    <w:rsid w:val="59CA6DCB"/>
    <w:rsid w:val="59D164EA"/>
    <w:rsid w:val="59D3253A"/>
    <w:rsid w:val="59E1413B"/>
    <w:rsid w:val="59E91BA3"/>
    <w:rsid w:val="59F34469"/>
    <w:rsid w:val="59FD1FEE"/>
    <w:rsid w:val="5A090742"/>
    <w:rsid w:val="5A12463E"/>
    <w:rsid w:val="5A14285E"/>
    <w:rsid w:val="5A545048"/>
    <w:rsid w:val="5A675FAD"/>
    <w:rsid w:val="5A725288"/>
    <w:rsid w:val="5A786D14"/>
    <w:rsid w:val="5A861106"/>
    <w:rsid w:val="5A93443C"/>
    <w:rsid w:val="5AB53D12"/>
    <w:rsid w:val="5AD1511F"/>
    <w:rsid w:val="5ADC2809"/>
    <w:rsid w:val="5B1136DF"/>
    <w:rsid w:val="5B1F1B86"/>
    <w:rsid w:val="5B682F68"/>
    <w:rsid w:val="5B7371A7"/>
    <w:rsid w:val="5B782AD4"/>
    <w:rsid w:val="5BA60B0F"/>
    <w:rsid w:val="5C301DB9"/>
    <w:rsid w:val="5C324C2D"/>
    <w:rsid w:val="5C392D45"/>
    <w:rsid w:val="5C46224C"/>
    <w:rsid w:val="5C4E673D"/>
    <w:rsid w:val="5C6F16E2"/>
    <w:rsid w:val="5C6F2B27"/>
    <w:rsid w:val="5C6F48D6"/>
    <w:rsid w:val="5C922401"/>
    <w:rsid w:val="5CB245D3"/>
    <w:rsid w:val="5CB47EF5"/>
    <w:rsid w:val="5CCE4823"/>
    <w:rsid w:val="5CF21619"/>
    <w:rsid w:val="5CFC1C39"/>
    <w:rsid w:val="5D236964"/>
    <w:rsid w:val="5D6E266A"/>
    <w:rsid w:val="5DB10AAF"/>
    <w:rsid w:val="5DB91F6D"/>
    <w:rsid w:val="5DBD0BC0"/>
    <w:rsid w:val="5DBE4722"/>
    <w:rsid w:val="5DC32536"/>
    <w:rsid w:val="5DE712E3"/>
    <w:rsid w:val="5E0E6107"/>
    <w:rsid w:val="5E460F23"/>
    <w:rsid w:val="5E61040C"/>
    <w:rsid w:val="5E6E148E"/>
    <w:rsid w:val="5E6E46A0"/>
    <w:rsid w:val="5E836F7C"/>
    <w:rsid w:val="5EC6270E"/>
    <w:rsid w:val="5EEC072E"/>
    <w:rsid w:val="5EF742FF"/>
    <w:rsid w:val="5EFE4C3B"/>
    <w:rsid w:val="5F1543DF"/>
    <w:rsid w:val="5F567500"/>
    <w:rsid w:val="5F690BCF"/>
    <w:rsid w:val="5F91792F"/>
    <w:rsid w:val="5F985B54"/>
    <w:rsid w:val="5FA26D57"/>
    <w:rsid w:val="5FBD290A"/>
    <w:rsid w:val="5FD87AC5"/>
    <w:rsid w:val="5FF22AF9"/>
    <w:rsid w:val="60255594"/>
    <w:rsid w:val="6025736F"/>
    <w:rsid w:val="602E08AA"/>
    <w:rsid w:val="60544716"/>
    <w:rsid w:val="6068156D"/>
    <w:rsid w:val="6075544E"/>
    <w:rsid w:val="60A56C10"/>
    <w:rsid w:val="60A75C43"/>
    <w:rsid w:val="60ED3D64"/>
    <w:rsid w:val="60F37415"/>
    <w:rsid w:val="61051EEA"/>
    <w:rsid w:val="612324B5"/>
    <w:rsid w:val="61401194"/>
    <w:rsid w:val="61483564"/>
    <w:rsid w:val="61734EB4"/>
    <w:rsid w:val="61834FB5"/>
    <w:rsid w:val="61B54548"/>
    <w:rsid w:val="61DB0436"/>
    <w:rsid w:val="621A02FC"/>
    <w:rsid w:val="623D5A60"/>
    <w:rsid w:val="62523828"/>
    <w:rsid w:val="627C7819"/>
    <w:rsid w:val="62A13B44"/>
    <w:rsid w:val="62AF2A2F"/>
    <w:rsid w:val="62BE2502"/>
    <w:rsid w:val="62C818BC"/>
    <w:rsid w:val="62C97A91"/>
    <w:rsid w:val="62CF185C"/>
    <w:rsid w:val="62D65811"/>
    <w:rsid w:val="62E6570C"/>
    <w:rsid w:val="62F629C2"/>
    <w:rsid w:val="632E5C49"/>
    <w:rsid w:val="63400A0A"/>
    <w:rsid w:val="6353377C"/>
    <w:rsid w:val="636A6AFD"/>
    <w:rsid w:val="63972669"/>
    <w:rsid w:val="63B14C20"/>
    <w:rsid w:val="64025D81"/>
    <w:rsid w:val="64043157"/>
    <w:rsid w:val="64073E07"/>
    <w:rsid w:val="640D05B6"/>
    <w:rsid w:val="642924E5"/>
    <w:rsid w:val="642E6876"/>
    <w:rsid w:val="64457528"/>
    <w:rsid w:val="645130C0"/>
    <w:rsid w:val="6453122D"/>
    <w:rsid w:val="64552766"/>
    <w:rsid w:val="646D5554"/>
    <w:rsid w:val="647948F8"/>
    <w:rsid w:val="647C6376"/>
    <w:rsid w:val="649F1FB0"/>
    <w:rsid w:val="64E42209"/>
    <w:rsid w:val="65365406"/>
    <w:rsid w:val="65450356"/>
    <w:rsid w:val="654D41FD"/>
    <w:rsid w:val="6579251F"/>
    <w:rsid w:val="65D10AAD"/>
    <w:rsid w:val="65D322A6"/>
    <w:rsid w:val="65D8080D"/>
    <w:rsid w:val="66234E74"/>
    <w:rsid w:val="662F2F33"/>
    <w:rsid w:val="664C7B5D"/>
    <w:rsid w:val="66502141"/>
    <w:rsid w:val="665A011D"/>
    <w:rsid w:val="66694164"/>
    <w:rsid w:val="66A023EE"/>
    <w:rsid w:val="66B348CF"/>
    <w:rsid w:val="66BC1C0F"/>
    <w:rsid w:val="66C73CB8"/>
    <w:rsid w:val="66D533E9"/>
    <w:rsid w:val="675C27D4"/>
    <w:rsid w:val="676744F5"/>
    <w:rsid w:val="67C13D1B"/>
    <w:rsid w:val="67D15282"/>
    <w:rsid w:val="67EC7947"/>
    <w:rsid w:val="68296F8E"/>
    <w:rsid w:val="683731E7"/>
    <w:rsid w:val="6850162D"/>
    <w:rsid w:val="685C6D19"/>
    <w:rsid w:val="6872522F"/>
    <w:rsid w:val="688155E4"/>
    <w:rsid w:val="68B55D2E"/>
    <w:rsid w:val="68D3247B"/>
    <w:rsid w:val="68E64955"/>
    <w:rsid w:val="68F92876"/>
    <w:rsid w:val="69296798"/>
    <w:rsid w:val="69320262"/>
    <w:rsid w:val="69646680"/>
    <w:rsid w:val="69695B82"/>
    <w:rsid w:val="6970312B"/>
    <w:rsid w:val="69AC6BAD"/>
    <w:rsid w:val="69CA1FB6"/>
    <w:rsid w:val="6A4F5C04"/>
    <w:rsid w:val="6A572686"/>
    <w:rsid w:val="6A5F0C59"/>
    <w:rsid w:val="6A631FE3"/>
    <w:rsid w:val="6A7135C0"/>
    <w:rsid w:val="6A8D6592"/>
    <w:rsid w:val="6A915919"/>
    <w:rsid w:val="6AD16CDF"/>
    <w:rsid w:val="6B0F6956"/>
    <w:rsid w:val="6B4C42C6"/>
    <w:rsid w:val="6B5B61E2"/>
    <w:rsid w:val="6B6423E5"/>
    <w:rsid w:val="6B67191C"/>
    <w:rsid w:val="6B6A72C5"/>
    <w:rsid w:val="6BBF5CCB"/>
    <w:rsid w:val="6BCE7368"/>
    <w:rsid w:val="6BDD5A7E"/>
    <w:rsid w:val="6BDF1715"/>
    <w:rsid w:val="6BE27B6F"/>
    <w:rsid w:val="6C084E28"/>
    <w:rsid w:val="6C221571"/>
    <w:rsid w:val="6C243AD8"/>
    <w:rsid w:val="6C255EAB"/>
    <w:rsid w:val="6C5F6E18"/>
    <w:rsid w:val="6C6B20C4"/>
    <w:rsid w:val="6C953AFE"/>
    <w:rsid w:val="6CDF37D5"/>
    <w:rsid w:val="6CFE4A26"/>
    <w:rsid w:val="6D310996"/>
    <w:rsid w:val="6D615D59"/>
    <w:rsid w:val="6DB6173C"/>
    <w:rsid w:val="6DBB46BB"/>
    <w:rsid w:val="6DDF2B3D"/>
    <w:rsid w:val="6DEB15AF"/>
    <w:rsid w:val="6E0A2FF3"/>
    <w:rsid w:val="6E0F114A"/>
    <w:rsid w:val="6E3F0A2D"/>
    <w:rsid w:val="6E5A0FCB"/>
    <w:rsid w:val="6E5D2CDA"/>
    <w:rsid w:val="6E6D4A75"/>
    <w:rsid w:val="6EAD13E7"/>
    <w:rsid w:val="6ED15D17"/>
    <w:rsid w:val="6ED33F4B"/>
    <w:rsid w:val="6EDF1991"/>
    <w:rsid w:val="6EF12FE0"/>
    <w:rsid w:val="6F0909AE"/>
    <w:rsid w:val="6F21038F"/>
    <w:rsid w:val="6F3364EC"/>
    <w:rsid w:val="6F36399C"/>
    <w:rsid w:val="6F66422E"/>
    <w:rsid w:val="6FA20A6B"/>
    <w:rsid w:val="6FBB40F9"/>
    <w:rsid w:val="6FC05AE0"/>
    <w:rsid w:val="6FDF1022"/>
    <w:rsid w:val="700766DE"/>
    <w:rsid w:val="700D5978"/>
    <w:rsid w:val="701C066D"/>
    <w:rsid w:val="7034783F"/>
    <w:rsid w:val="70835C6F"/>
    <w:rsid w:val="708D1F99"/>
    <w:rsid w:val="70BD18BC"/>
    <w:rsid w:val="70D874FB"/>
    <w:rsid w:val="70FE1AB1"/>
    <w:rsid w:val="71084BA8"/>
    <w:rsid w:val="71371490"/>
    <w:rsid w:val="716D1517"/>
    <w:rsid w:val="718B5E40"/>
    <w:rsid w:val="71913860"/>
    <w:rsid w:val="71A23050"/>
    <w:rsid w:val="71A73309"/>
    <w:rsid w:val="71AB6E73"/>
    <w:rsid w:val="71B0338A"/>
    <w:rsid w:val="71BB1DD3"/>
    <w:rsid w:val="71BC4E30"/>
    <w:rsid w:val="71DF2869"/>
    <w:rsid w:val="71E5451F"/>
    <w:rsid w:val="72325B95"/>
    <w:rsid w:val="72532712"/>
    <w:rsid w:val="7253790A"/>
    <w:rsid w:val="7265487E"/>
    <w:rsid w:val="727F715E"/>
    <w:rsid w:val="72DB6086"/>
    <w:rsid w:val="72F22A56"/>
    <w:rsid w:val="72F268A7"/>
    <w:rsid w:val="72F42032"/>
    <w:rsid w:val="736E634C"/>
    <w:rsid w:val="737F157C"/>
    <w:rsid w:val="73A97AF6"/>
    <w:rsid w:val="73C170DF"/>
    <w:rsid w:val="73C722AE"/>
    <w:rsid w:val="73CB6DBA"/>
    <w:rsid w:val="73F32A79"/>
    <w:rsid w:val="740C3E5C"/>
    <w:rsid w:val="7422485E"/>
    <w:rsid w:val="742A3235"/>
    <w:rsid w:val="744B3918"/>
    <w:rsid w:val="7460515F"/>
    <w:rsid w:val="74791238"/>
    <w:rsid w:val="74A9418E"/>
    <w:rsid w:val="74D7378F"/>
    <w:rsid w:val="75102040"/>
    <w:rsid w:val="751439F9"/>
    <w:rsid w:val="753F5BA1"/>
    <w:rsid w:val="754547C9"/>
    <w:rsid w:val="756B3271"/>
    <w:rsid w:val="75805B92"/>
    <w:rsid w:val="758302F3"/>
    <w:rsid w:val="75A7579B"/>
    <w:rsid w:val="75C47461"/>
    <w:rsid w:val="75CD465C"/>
    <w:rsid w:val="75E96FC5"/>
    <w:rsid w:val="76295445"/>
    <w:rsid w:val="763A61E6"/>
    <w:rsid w:val="76493A52"/>
    <w:rsid w:val="76550C4F"/>
    <w:rsid w:val="766B724E"/>
    <w:rsid w:val="76970D0F"/>
    <w:rsid w:val="76A43431"/>
    <w:rsid w:val="76AC47A8"/>
    <w:rsid w:val="76B265F6"/>
    <w:rsid w:val="76B9767C"/>
    <w:rsid w:val="76E66923"/>
    <w:rsid w:val="76FA3BFA"/>
    <w:rsid w:val="76FF158C"/>
    <w:rsid w:val="770D50C0"/>
    <w:rsid w:val="771F7104"/>
    <w:rsid w:val="77284AA1"/>
    <w:rsid w:val="77493DEC"/>
    <w:rsid w:val="774A200E"/>
    <w:rsid w:val="77667095"/>
    <w:rsid w:val="77847392"/>
    <w:rsid w:val="77984E3E"/>
    <w:rsid w:val="779C5E44"/>
    <w:rsid w:val="78801748"/>
    <w:rsid w:val="78847804"/>
    <w:rsid w:val="78A42C7E"/>
    <w:rsid w:val="78E95187"/>
    <w:rsid w:val="78EF6E5B"/>
    <w:rsid w:val="790229A8"/>
    <w:rsid w:val="790421F4"/>
    <w:rsid w:val="790A14EF"/>
    <w:rsid w:val="793B53AC"/>
    <w:rsid w:val="79B4182D"/>
    <w:rsid w:val="79BF3FB3"/>
    <w:rsid w:val="79C54C30"/>
    <w:rsid w:val="79D81ECD"/>
    <w:rsid w:val="79E97AB7"/>
    <w:rsid w:val="7A1E5C3F"/>
    <w:rsid w:val="7A1E6831"/>
    <w:rsid w:val="7A1E7A82"/>
    <w:rsid w:val="7A255328"/>
    <w:rsid w:val="7A396FAF"/>
    <w:rsid w:val="7A3E1792"/>
    <w:rsid w:val="7A426C18"/>
    <w:rsid w:val="7A562E51"/>
    <w:rsid w:val="7A710F59"/>
    <w:rsid w:val="7A844DE3"/>
    <w:rsid w:val="7A86410E"/>
    <w:rsid w:val="7A872A8C"/>
    <w:rsid w:val="7A9710F3"/>
    <w:rsid w:val="7A9C6C67"/>
    <w:rsid w:val="7AA05B89"/>
    <w:rsid w:val="7B064109"/>
    <w:rsid w:val="7B181A0A"/>
    <w:rsid w:val="7B340A8F"/>
    <w:rsid w:val="7B5C448C"/>
    <w:rsid w:val="7B8D753B"/>
    <w:rsid w:val="7B9521FF"/>
    <w:rsid w:val="7BDF3027"/>
    <w:rsid w:val="7C0D48C1"/>
    <w:rsid w:val="7C45059A"/>
    <w:rsid w:val="7C4B356D"/>
    <w:rsid w:val="7C812BEF"/>
    <w:rsid w:val="7C865F43"/>
    <w:rsid w:val="7C8F14A5"/>
    <w:rsid w:val="7C9D555B"/>
    <w:rsid w:val="7CA07427"/>
    <w:rsid w:val="7CCA37E3"/>
    <w:rsid w:val="7CD376EF"/>
    <w:rsid w:val="7CE34890"/>
    <w:rsid w:val="7CEA389A"/>
    <w:rsid w:val="7CF50A55"/>
    <w:rsid w:val="7D367896"/>
    <w:rsid w:val="7D4D219B"/>
    <w:rsid w:val="7D630DD6"/>
    <w:rsid w:val="7DA468EF"/>
    <w:rsid w:val="7DC273DD"/>
    <w:rsid w:val="7DD07B56"/>
    <w:rsid w:val="7DFB666E"/>
    <w:rsid w:val="7DFF3F0B"/>
    <w:rsid w:val="7E0818FF"/>
    <w:rsid w:val="7E207F07"/>
    <w:rsid w:val="7E5E2063"/>
    <w:rsid w:val="7E77791D"/>
    <w:rsid w:val="7E7C2685"/>
    <w:rsid w:val="7EAC601F"/>
    <w:rsid w:val="7EBD028D"/>
    <w:rsid w:val="7EED4FB1"/>
    <w:rsid w:val="7EF33CAF"/>
    <w:rsid w:val="7F0E26A5"/>
    <w:rsid w:val="7F2224CA"/>
    <w:rsid w:val="7F3E4F50"/>
    <w:rsid w:val="7F4D4E33"/>
    <w:rsid w:val="7F9519F7"/>
    <w:rsid w:val="7FCE774A"/>
    <w:rsid w:val="7FDA6D8F"/>
    <w:rsid w:val="7FEA49F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name="toa heading"/>
    <w:lsdException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0"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iPriority="0" w:semiHidden="0" w:name="Body Text First Indent 2"/>
    <w:lsdException w:uiPriority="99" w:name="Note Heading"/>
    <w:lsdException w:qFormat="1" w:unhideWhenUsed="0" w:uiPriority="99" w:semiHidden="0" w:name="Body Text 2"/>
    <w:lsdException w:qFormat="1" w:unhideWhenUsed="0" w:uiPriority="99" w:semiHidden="0" w:name="Body Text 3"/>
    <w:lsdException w:unhideWhenUsed="0" w:uiPriority="99" w:semiHidden="0" w:name="Body Text Indent 2"/>
    <w:lsdException w:qFormat="1" w:unhideWhenUsed="0" w:uiPriority="99" w:semiHidden="0" w:name="Body Text Indent 3"/>
    <w:lsdException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99" w:semiHidden="0" w:name="HTML Preformatted"/>
    <w:lsdException w:qFormat="1" w:uiPriority="99" w:semiHidden="0" w:name="HTML Sample"/>
    <w:lsdException w:qFormat="1" w:uiPriority="99" w:semiHidden="0" w:name="HTML Typewriter"/>
    <w:lsdException w:qFormat="1" w:uiPriority="99" w:semiHidden="0"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435"/>
    <w:qFormat/>
    <w:uiPriority w:val="9"/>
    <w:pPr>
      <w:keepNext/>
      <w:keepLines/>
      <w:spacing w:before="340" w:beforeLines="0" w:after="330" w:afterLines="0" w:line="576" w:lineRule="auto"/>
      <w:outlineLvl w:val="0"/>
    </w:pPr>
    <w:rPr>
      <w:b/>
      <w:bCs/>
      <w:kern w:val="44"/>
      <w:sz w:val="44"/>
      <w:szCs w:val="44"/>
    </w:rPr>
  </w:style>
  <w:style w:type="paragraph" w:styleId="6">
    <w:name w:val="heading 2"/>
    <w:basedOn w:val="1"/>
    <w:next w:val="1"/>
    <w:link w:val="513"/>
    <w:qFormat/>
    <w:uiPriority w:val="99"/>
    <w:pPr>
      <w:keepNext/>
      <w:keepLines/>
      <w:spacing w:before="260" w:beforeLines="0" w:after="260" w:afterLines="0" w:line="415" w:lineRule="auto"/>
      <w:outlineLvl w:val="1"/>
    </w:pPr>
    <w:rPr>
      <w:rFonts w:ascii="Arial" w:hAnsi="Arial" w:eastAsia="黑体"/>
      <w:b/>
      <w:bCs/>
      <w:sz w:val="32"/>
      <w:szCs w:val="32"/>
    </w:rPr>
  </w:style>
  <w:style w:type="paragraph" w:styleId="7">
    <w:name w:val="heading 3"/>
    <w:basedOn w:val="1"/>
    <w:next w:val="1"/>
    <w:link w:val="412"/>
    <w:qFormat/>
    <w:uiPriority w:val="0"/>
    <w:pPr>
      <w:keepNext/>
      <w:keepLines/>
      <w:spacing w:before="260" w:beforeLines="0" w:after="260" w:afterLines="0" w:line="415" w:lineRule="auto"/>
      <w:ind w:firstLine="137" w:firstLineChars="49"/>
      <w:outlineLvl w:val="2"/>
    </w:pPr>
    <w:rPr>
      <w:rFonts w:ascii="黑体" w:hAnsi="宋体" w:eastAsia="黑体"/>
      <w:bCs/>
      <w:sz w:val="28"/>
      <w:szCs w:val="28"/>
    </w:rPr>
  </w:style>
  <w:style w:type="paragraph" w:styleId="8">
    <w:name w:val="heading 4"/>
    <w:basedOn w:val="1"/>
    <w:next w:val="1"/>
    <w:link w:val="469"/>
    <w:qFormat/>
    <w:uiPriority w:val="99"/>
    <w:pPr>
      <w:keepNext/>
      <w:keepLines/>
      <w:spacing w:before="280" w:beforeLines="0" w:after="290" w:afterLines="0" w:line="374" w:lineRule="auto"/>
      <w:outlineLvl w:val="3"/>
    </w:pPr>
    <w:rPr>
      <w:rFonts w:ascii="Arial" w:hAnsi="Arial" w:eastAsia="黑体"/>
      <w:b/>
      <w:bCs/>
      <w:sz w:val="24"/>
      <w:szCs w:val="28"/>
    </w:rPr>
  </w:style>
  <w:style w:type="paragraph" w:styleId="9">
    <w:name w:val="heading 5"/>
    <w:basedOn w:val="1"/>
    <w:next w:val="1"/>
    <w:link w:val="518"/>
    <w:qFormat/>
    <w:uiPriority w:val="9"/>
    <w:pPr>
      <w:widowControl/>
      <w:spacing w:before="240" w:after="60"/>
      <w:jc w:val="left"/>
      <w:outlineLvl w:val="4"/>
    </w:pPr>
    <w:rPr>
      <w:rFonts w:ascii="Calibri" w:hAnsi="Calibri"/>
      <w:b/>
      <w:bCs/>
      <w:i/>
      <w:iCs/>
      <w:kern w:val="0"/>
      <w:sz w:val="26"/>
      <w:szCs w:val="26"/>
      <w:lang w:eastAsia="en-US" w:bidi="en-US"/>
    </w:rPr>
  </w:style>
  <w:style w:type="paragraph" w:styleId="10">
    <w:name w:val="heading 6"/>
    <w:basedOn w:val="1"/>
    <w:next w:val="1"/>
    <w:link w:val="337"/>
    <w:qFormat/>
    <w:uiPriority w:val="9"/>
    <w:pPr>
      <w:keepNext/>
      <w:keepLines/>
      <w:widowControl/>
      <w:tabs>
        <w:tab w:val="left" w:pos="1440"/>
      </w:tabs>
      <w:spacing w:before="240" w:beforeLines="0" w:after="64" w:afterLines="0" w:line="319" w:lineRule="auto"/>
      <w:ind w:left="1152" w:hanging="1152"/>
      <w:jc w:val="left"/>
      <w:outlineLvl w:val="5"/>
    </w:pPr>
    <w:rPr>
      <w:rFonts w:ascii="Arial" w:hAnsi="Arial" w:eastAsia="黑体"/>
      <w:b/>
      <w:bCs/>
      <w:kern w:val="0"/>
      <w:sz w:val="24"/>
    </w:rPr>
  </w:style>
  <w:style w:type="paragraph" w:styleId="11">
    <w:name w:val="heading 7"/>
    <w:basedOn w:val="1"/>
    <w:next w:val="1"/>
    <w:link w:val="540"/>
    <w:qFormat/>
    <w:uiPriority w:val="0"/>
    <w:pPr>
      <w:keepNext/>
      <w:keepLines/>
      <w:widowControl/>
      <w:tabs>
        <w:tab w:val="left" w:pos="2520"/>
      </w:tabs>
      <w:spacing w:before="240" w:beforeLines="0" w:after="64" w:afterLines="0" w:line="319" w:lineRule="auto"/>
      <w:ind w:left="1296" w:hanging="1296"/>
      <w:jc w:val="left"/>
      <w:outlineLvl w:val="6"/>
    </w:pPr>
    <w:rPr>
      <w:b/>
      <w:bCs/>
      <w:kern w:val="0"/>
      <w:sz w:val="24"/>
    </w:rPr>
  </w:style>
  <w:style w:type="paragraph" w:styleId="12">
    <w:name w:val="heading 8"/>
    <w:basedOn w:val="1"/>
    <w:next w:val="1"/>
    <w:link w:val="444"/>
    <w:qFormat/>
    <w:uiPriority w:val="0"/>
    <w:pPr>
      <w:keepNext/>
      <w:keepLines/>
      <w:widowControl/>
      <w:tabs>
        <w:tab w:val="left" w:pos="1440"/>
      </w:tabs>
      <w:spacing w:before="240" w:beforeLines="0" w:after="64" w:afterLines="0" w:line="319" w:lineRule="auto"/>
      <w:ind w:left="1440" w:hanging="1440"/>
      <w:jc w:val="left"/>
      <w:outlineLvl w:val="7"/>
    </w:pPr>
    <w:rPr>
      <w:rFonts w:ascii="Arial" w:hAnsi="Arial" w:eastAsia="黑体"/>
      <w:kern w:val="0"/>
      <w:sz w:val="24"/>
    </w:rPr>
  </w:style>
  <w:style w:type="paragraph" w:styleId="13">
    <w:name w:val="heading 9"/>
    <w:basedOn w:val="1"/>
    <w:next w:val="1"/>
    <w:link w:val="526"/>
    <w:qFormat/>
    <w:uiPriority w:val="0"/>
    <w:pPr>
      <w:keepNext/>
      <w:keepLines/>
      <w:widowControl/>
      <w:tabs>
        <w:tab w:val="left" w:pos="1584"/>
      </w:tabs>
      <w:spacing w:before="240" w:beforeLines="0" w:after="64" w:afterLines="0" w:line="319" w:lineRule="auto"/>
      <w:ind w:left="1584" w:hanging="1584"/>
      <w:jc w:val="left"/>
      <w:outlineLvl w:val="8"/>
    </w:pPr>
    <w:rPr>
      <w:rFonts w:ascii="Arial" w:hAnsi="Arial" w:eastAsia="黑体"/>
      <w:kern w:val="0"/>
      <w:szCs w:val="21"/>
    </w:rPr>
  </w:style>
  <w:style w:type="character" w:default="1" w:styleId="51">
    <w:name w:val="Default Paragraph Font"/>
    <w:qFormat/>
    <w:uiPriority w:val="0"/>
  </w:style>
  <w:style w:type="table" w:default="1" w:styleId="6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370"/>
    <w:qFormat/>
    <w:uiPriority w:val="99"/>
    <w:pPr>
      <w:spacing w:after="120" w:afterLines="0"/>
    </w:pPr>
  </w:style>
  <w:style w:type="paragraph" w:customStyle="1" w:styleId="3">
    <w:name w:val="Body Text Indent 21"/>
    <w:basedOn w:val="1"/>
    <w:next w:val="4"/>
    <w:qFormat/>
    <w:uiPriority w:val="0"/>
    <w:pPr>
      <w:widowControl/>
      <w:overflowPunct w:val="0"/>
      <w:autoSpaceDE w:val="0"/>
      <w:autoSpaceDN w:val="0"/>
      <w:adjustRightInd w:val="0"/>
      <w:spacing w:line="360" w:lineRule="auto"/>
      <w:ind w:firstLine="555"/>
      <w:textAlignment w:val="baseline"/>
    </w:pPr>
    <w:rPr>
      <w:rFonts w:ascii="宋体"/>
      <w:spacing w:val="12"/>
      <w:kern w:val="0"/>
      <w:sz w:val="24"/>
    </w:rPr>
  </w:style>
  <w:style w:type="paragraph" w:styleId="4">
    <w:name w:val="header"/>
    <w:basedOn w:val="1"/>
    <w:link w:val="368"/>
    <w:qFormat/>
    <w:uiPriority w:val="0"/>
    <w:pPr>
      <w:pBdr>
        <w:bottom w:val="single" w:color="auto" w:sz="6" w:space="1"/>
      </w:pBdr>
      <w:tabs>
        <w:tab w:val="center" w:pos="4153"/>
        <w:tab w:val="right" w:pos="8306"/>
      </w:tabs>
      <w:snapToGrid w:val="0"/>
      <w:jc w:val="center"/>
    </w:pPr>
    <w:rPr>
      <w:sz w:val="18"/>
      <w:szCs w:val="18"/>
    </w:rPr>
  </w:style>
  <w:style w:type="paragraph" w:styleId="14">
    <w:name w:val="annotation subject"/>
    <w:basedOn w:val="15"/>
    <w:next w:val="15"/>
    <w:link w:val="397"/>
    <w:qFormat/>
    <w:uiPriority w:val="99"/>
    <w:pPr>
      <w:jc w:val="both"/>
    </w:pPr>
    <w:rPr>
      <w:b/>
      <w:bCs/>
    </w:rPr>
  </w:style>
  <w:style w:type="paragraph" w:styleId="15">
    <w:name w:val="annotation text"/>
    <w:basedOn w:val="1"/>
    <w:link w:val="473"/>
    <w:qFormat/>
    <w:uiPriority w:val="99"/>
    <w:pPr>
      <w:jc w:val="left"/>
    </w:pPr>
  </w:style>
  <w:style w:type="paragraph" w:styleId="16">
    <w:name w:val="toc 7"/>
    <w:basedOn w:val="1"/>
    <w:next w:val="1"/>
    <w:qFormat/>
    <w:uiPriority w:val="39"/>
    <w:pPr>
      <w:ind w:left="1260"/>
      <w:jc w:val="left"/>
    </w:pPr>
    <w:rPr>
      <w:sz w:val="18"/>
      <w:szCs w:val="18"/>
    </w:rPr>
  </w:style>
  <w:style w:type="paragraph" w:styleId="17">
    <w:name w:val="Body Text First Indent"/>
    <w:basedOn w:val="2"/>
    <w:link w:val="538"/>
    <w:qFormat/>
    <w:uiPriority w:val="99"/>
    <w:pPr>
      <w:spacing w:line="312" w:lineRule="auto"/>
      <w:ind w:firstLine="420"/>
    </w:pPr>
  </w:style>
  <w:style w:type="paragraph" w:styleId="18">
    <w:name w:val="Normal Indent"/>
    <w:basedOn w:val="1"/>
    <w:link w:val="543"/>
    <w:qFormat/>
    <w:uiPriority w:val="0"/>
    <w:pPr>
      <w:ind w:firstLine="420" w:firstLineChars="200"/>
    </w:pPr>
  </w:style>
  <w:style w:type="paragraph" w:styleId="19">
    <w:name w:val="caption"/>
    <w:basedOn w:val="1"/>
    <w:next w:val="1"/>
    <w:qFormat/>
    <w:uiPriority w:val="0"/>
    <w:rPr>
      <w:rFonts w:ascii="Cambria" w:hAnsi="Cambria" w:eastAsia="黑体"/>
      <w:sz w:val="20"/>
      <w:szCs w:val="20"/>
    </w:rPr>
  </w:style>
  <w:style w:type="paragraph" w:styleId="20">
    <w:name w:val="Document Map"/>
    <w:basedOn w:val="1"/>
    <w:link w:val="531"/>
    <w:qFormat/>
    <w:uiPriority w:val="99"/>
    <w:pPr>
      <w:shd w:val="clear" w:color="auto" w:fill="000080"/>
    </w:pPr>
  </w:style>
  <w:style w:type="paragraph" w:styleId="21">
    <w:name w:val="toa heading"/>
    <w:basedOn w:val="1"/>
    <w:next w:val="1"/>
    <w:semiHidden/>
    <w:qFormat/>
    <w:uiPriority w:val="0"/>
    <w:pPr>
      <w:spacing w:before="120"/>
    </w:pPr>
    <w:rPr>
      <w:rFonts w:ascii="Arial" w:hAnsi="Arial" w:cs="Arial"/>
      <w:sz w:val="24"/>
    </w:rPr>
  </w:style>
  <w:style w:type="paragraph" w:styleId="22">
    <w:name w:val="Salutation"/>
    <w:basedOn w:val="1"/>
    <w:next w:val="1"/>
    <w:link w:val="372"/>
    <w:qFormat/>
    <w:uiPriority w:val="0"/>
    <w:rPr>
      <w:rFonts w:ascii="宋体"/>
      <w:sz w:val="24"/>
      <w:szCs w:val="20"/>
    </w:rPr>
  </w:style>
  <w:style w:type="paragraph" w:styleId="23">
    <w:name w:val="Body Text 3"/>
    <w:basedOn w:val="1"/>
    <w:link w:val="524"/>
    <w:qFormat/>
    <w:uiPriority w:val="99"/>
    <w:rPr>
      <w:rFonts w:ascii="宋体"/>
      <w:sz w:val="24"/>
      <w:szCs w:val="20"/>
    </w:rPr>
  </w:style>
  <w:style w:type="paragraph" w:styleId="24">
    <w:name w:val="Body Text Indent"/>
    <w:basedOn w:val="1"/>
    <w:link w:val="371"/>
    <w:qFormat/>
    <w:uiPriority w:val="99"/>
    <w:pPr>
      <w:spacing w:after="120" w:afterLines="0"/>
      <w:ind w:left="420" w:leftChars="200"/>
    </w:pPr>
  </w:style>
  <w:style w:type="paragraph" w:styleId="25">
    <w:name w:val="Block Text"/>
    <w:basedOn w:val="1"/>
    <w:uiPriority w:val="99"/>
    <w:pPr>
      <w:adjustRightInd w:val="0"/>
      <w:ind w:left="420" w:right="33"/>
      <w:jc w:val="left"/>
      <w:textAlignment w:val="baseline"/>
    </w:pPr>
    <w:rPr>
      <w:kern w:val="0"/>
      <w:sz w:val="24"/>
      <w:szCs w:val="20"/>
    </w:rPr>
  </w:style>
  <w:style w:type="paragraph" w:styleId="26">
    <w:name w:val="index 4"/>
    <w:basedOn w:val="1"/>
    <w:next w:val="1"/>
    <w:qFormat/>
    <w:uiPriority w:val="0"/>
    <w:pPr>
      <w:ind w:left="600" w:leftChars="600"/>
    </w:pPr>
  </w:style>
  <w:style w:type="paragraph" w:styleId="27">
    <w:name w:val="toc 5"/>
    <w:basedOn w:val="1"/>
    <w:next w:val="1"/>
    <w:qFormat/>
    <w:uiPriority w:val="39"/>
    <w:pPr>
      <w:ind w:left="840"/>
      <w:jc w:val="left"/>
    </w:pPr>
    <w:rPr>
      <w:sz w:val="18"/>
      <w:szCs w:val="18"/>
    </w:rPr>
  </w:style>
  <w:style w:type="paragraph" w:styleId="28">
    <w:name w:val="toc 3"/>
    <w:basedOn w:val="1"/>
    <w:next w:val="1"/>
    <w:qFormat/>
    <w:uiPriority w:val="39"/>
    <w:pPr>
      <w:ind w:left="420"/>
      <w:jc w:val="left"/>
    </w:pPr>
    <w:rPr>
      <w:iCs/>
      <w:sz w:val="20"/>
      <w:szCs w:val="20"/>
    </w:rPr>
  </w:style>
  <w:style w:type="paragraph" w:styleId="29">
    <w:name w:val="Plain Text"/>
    <w:basedOn w:val="1"/>
    <w:link w:val="391"/>
    <w:qFormat/>
    <w:uiPriority w:val="0"/>
    <w:rPr>
      <w:rFonts w:ascii="宋体" w:hAnsi="Courier New"/>
      <w:szCs w:val="20"/>
    </w:rPr>
  </w:style>
  <w:style w:type="paragraph" w:styleId="30">
    <w:name w:val="toc 8"/>
    <w:basedOn w:val="1"/>
    <w:next w:val="1"/>
    <w:qFormat/>
    <w:uiPriority w:val="39"/>
    <w:pPr>
      <w:ind w:left="1470"/>
      <w:jc w:val="left"/>
    </w:pPr>
    <w:rPr>
      <w:sz w:val="18"/>
      <w:szCs w:val="18"/>
    </w:rPr>
  </w:style>
  <w:style w:type="paragraph" w:styleId="31">
    <w:name w:val="Date"/>
    <w:basedOn w:val="1"/>
    <w:next w:val="1"/>
    <w:link w:val="409"/>
    <w:qFormat/>
    <w:uiPriority w:val="0"/>
    <w:rPr>
      <w:sz w:val="24"/>
      <w:szCs w:val="20"/>
    </w:rPr>
  </w:style>
  <w:style w:type="paragraph" w:styleId="32">
    <w:name w:val="Body Text Indent 2"/>
    <w:basedOn w:val="1"/>
    <w:link w:val="433"/>
    <w:uiPriority w:val="99"/>
    <w:pPr>
      <w:spacing w:line="360" w:lineRule="auto"/>
      <w:ind w:firstLine="482" w:firstLineChars="200"/>
    </w:pPr>
    <w:rPr>
      <w:rFonts w:ascii="宋体" w:hAnsi="宋体"/>
      <w:b/>
      <w:bCs/>
      <w:sz w:val="24"/>
    </w:rPr>
  </w:style>
  <w:style w:type="paragraph" w:styleId="33">
    <w:name w:val="endnote text"/>
    <w:basedOn w:val="1"/>
    <w:link w:val="394"/>
    <w:qFormat/>
    <w:uiPriority w:val="0"/>
    <w:pPr>
      <w:snapToGrid w:val="0"/>
      <w:jc w:val="left"/>
    </w:pPr>
    <w:rPr>
      <w:kern w:val="0"/>
      <w:sz w:val="20"/>
    </w:rPr>
  </w:style>
  <w:style w:type="paragraph" w:styleId="34">
    <w:name w:val="Balloon Text"/>
    <w:basedOn w:val="1"/>
    <w:link w:val="359"/>
    <w:qFormat/>
    <w:uiPriority w:val="99"/>
    <w:rPr>
      <w:sz w:val="18"/>
      <w:szCs w:val="18"/>
    </w:rPr>
  </w:style>
  <w:style w:type="paragraph" w:styleId="35">
    <w:name w:val="footer"/>
    <w:basedOn w:val="1"/>
    <w:link w:val="508"/>
    <w:qFormat/>
    <w:uiPriority w:val="0"/>
    <w:pPr>
      <w:tabs>
        <w:tab w:val="center" w:pos="4153"/>
        <w:tab w:val="right" w:pos="8306"/>
      </w:tabs>
      <w:snapToGrid w:val="0"/>
      <w:jc w:val="left"/>
    </w:pPr>
    <w:rPr>
      <w:sz w:val="18"/>
      <w:szCs w:val="18"/>
    </w:rPr>
  </w:style>
  <w:style w:type="paragraph" w:styleId="36">
    <w:name w:val="Body Text First Indent 2"/>
    <w:basedOn w:val="24"/>
    <w:unhideWhenUsed/>
    <w:qFormat/>
    <w:uiPriority w:val="0"/>
    <w:pPr>
      <w:widowControl/>
      <w:adjustRightInd/>
      <w:snapToGrid/>
      <w:spacing w:after="0"/>
      <w:ind w:firstLine="360"/>
      <w:jc w:val="left"/>
    </w:pPr>
    <w:rPr>
      <w:spacing w:val="62"/>
      <w:kern w:val="0"/>
      <w:szCs w:val="20"/>
    </w:rPr>
  </w:style>
  <w:style w:type="paragraph" w:styleId="37">
    <w:name w:val="toc 1"/>
    <w:basedOn w:val="1"/>
    <w:next w:val="1"/>
    <w:qFormat/>
    <w:uiPriority w:val="39"/>
    <w:pPr>
      <w:spacing w:before="120" w:beforeLines="0" w:after="120" w:afterLines="0"/>
      <w:jc w:val="left"/>
    </w:pPr>
    <w:rPr>
      <w:b/>
      <w:bCs/>
      <w:caps/>
      <w:sz w:val="20"/>
      <w:szCs w:val="20"/>
    </w:rPr>
  </w:style>
  <w:style w:type="paragraph" w:styleId="38">
    <w:name w:val="toc 4"/>
    <w:basedOn w:val="1"/>
    <w:next w:val="1"/>
    <w:qFormat/>
    <w:uiPriority w:val="39"/>
    <w:pPr>
      <w:ind w:left="630"/>
      <w:jc w:val="left"/>
    </w:pPr>
    <w:rPr>
      <w:sz w:val="18"/>
      <w:szCs w:val="18"/>
    </w:rPr>
  </w:style>
  <w:style w:type="paragraph" w:styleId="39">
    <w:name w:val="Subtitle"/>
    <w:basedOn w:val="1"/>
    <w:next w:val="1"/>
    <w:link w:val="417"/>
    <w:qFormat/>
    <w:uiPriority w:val="11"/>
    <w:pPr>
      <w:widowControl/>
      <w:spacing w:after="60"/>
      <w:jc w:val="center"/>
      <w:outlineLvl w:val="1"/>
    </w:pPr>
    <w:rPr>
      <w:rFonts w:ascii="Cambria" w:hAnsi="Cambria"/>
      <w:kern w:val="0"/>
      <w:sz w:val="24"/>
    </w:rPr>
  </w:style>
  <w:style w:type="paragraph" w:styleId="40">
    <w:name w:val="List"/>
    <w:basedOn w:val="1"/>
    <w:uiPriority w:val="99"/>
    <w:pPr>
      <w:tabs>
        <w:tab w:val="left" w:pos="900"/>
        <w:tab w:val="left" w:pos="1287"/>
      </w:tabs>
      <w:adjustRightInd w:val="0"/>
      <w:snapToGrid w:val="0"/>
      <w:spacing w:line="360" w:lineRule="auto"/>
      <w:ind w:left="898" w:leftChars="171" w:hanging="539"/>
    </w:pPr>
    <w:rPr>
      <w:sz w:val="24"/>
    </w:rPr>
  </w:style>
  <w:style w:type="paragraph" w:styleId="41">
    <w:name w:val="footnote text"/>
    <w:basedOn w:val="1"/>
    <w:link w:val="492"/>
    <w:qFormat/>
    <w:uiPriority w:val="0"/>
    <w:pPr>
      <w:adjustRightInd w:val="0"/>
      <w:spacing w:line="312" w:lineRule="atLeast"/>
      <w:jc w:val="left"/>
      <w:textAlignment w:val="baseline"/>
    </w:pPr>
    <w:rPr>
      <w:kern w:val="0"/>
      <w:sz w:val="18"/>
      <w:szCs w:val="20"/>
    </w:rPr>
  </w:style>
  <w:style w:type="paragraph" w:styleId="42">
    <w:name w:val="toc 6"/>
    <w:basedOn w:val="1"/>
    <w:next w:val="1"/>
    <w:qFormat/>
    <w:uiPriority w:val="39"/>
    <w:pPr>
      <w:ind w:left="1050"/>
      <w:jc w:val="left"/>
    </w:pPr>
    <w:rPr>
      <w:sz w:val="18"/>
      <w:szCs w:val="18"/>
    </w:rPr>
  </w:style>
  <w:style w:type="paragraph" w:styleId="43">
    <w:name w:val="Body Text Indent 3"/>
    <w:basedOn w:val="1"/>
    <w:link w:val="399"/>
    <w:qFormat/>
    <w:uiPriority w:val="99"/>
    <w:pPr>
      <w:spacing w:after="120" w:afterLines="0"/>
      <w:ind w:left="420" w:leftChars="200"/>
    </w:pPr>
    <w:rPr>
      <w:sz w:val="16"/>
      <w:szCs w:val="16"/>
    </w:rPr>
  </w:style>
  <w:style w:type="paragraph" w:styleId="44">
    <w:name w:val="toc 2"/>
    <w:basedOn w:val="1"/>
    <w:next w:val="1"/>
    <w:qFormat/>
    <w:uiPriority w:val="39"/>
    <w:pPr>
      <w:ind w:left="210"/>
      <w:jc w:val="left"/>
    </w:pPr>
    <w:rPr>
      <w:smallCaps/>
      <w:sz w:val="20"/>
      <w:szCs w:val="20"/>
    </w:rPr>
  </w:style>
  <w:style w:type="paragraph" w:styleId="45">
    <w:name w:val="toc 9"/>
    <w:basedOn w:val="1"/>
    <w:next w:val="1"/>
    <w:qFormat/>
    <w:uiPriority w:val="39"/>
    <w:pPr>
      <w:ind w:left="1680"/>
      <w:jc w:val="left"/>
    </w:pPr>
    <w:rPr>
      <w:sz w:val="18"/>
      <w:szCs w:val="18"/>
    </w:rPr>
  </w:style>
  <w:style w:type="paragraph" w:styleId="46">
    <w:name w:val="Body Text 2"/>
    <w:basedOn w:val="1"/>
    <w:link w:val="481"/>
    <w:qFormat/>
    <w:uiPriority w:val="99"/>
    <w:rPr>
      <w:rFonts w:ascii="宋体" w:hAnsi="宋体"/>
      <w:b/>
      <w:bCs/>
    </w:rPr>
  </w:style>
  <w:style w:type="paragraph" w:styleId="47">
    <w:name w:val="HTML Preformatted"/>
    <w:basedOn w:val="1"/>
    <w:link w:val="47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48">
    <w:name w:val="Normal (Web)"/>
    <w:basedOn w:val="1"/>
    <w:qFormat/>
    <w:uiPriority w:val="99"/>
    <w:pPr>
      <w:widowControl/>
      <w:spacing w:before="100" w:beforeAutospacing="1" w:after="100" w:afterAutospacing="1"/>
      <w:jc w:val="left"/>
    </w:pPr>
    <w:rPr>
      <w:kern w:val="0"/>
      <w:sz w:val="24"/>
    </w:rPr>
  </w:style>
  <w:style w:type="paragraph" w:styleId="49">
    <w:name w:val="index 1"/>
    <w:basedOn w:val="1"/>
    <w:next w:val="1"/>
    <w:qFormat/>
    <w:uiPriority w:val="99"/>
    <w:pPr>
      <w:spacing w:line="220" w:lineRule="exact"/>
      <w:jc w:val="center"/>
    </w:pPr>
    <w:rPr>
      <w:rFonts w:ascii="仿宋_GB2312" w:eastAsia="仿宋_GB2312"/>
      <w:szCs w:val="21"/>
    </w:rPr>
  </w:style>
  <w:style w:type="paragraph" w:styleId="50">
    <w:name w:val="Title"/>
    <w:basedOn w:val="1"/>
    <w:link w:val="375"/>
    <w:qFormat/>
    <w:uiPriority w:val="99"/>
    <w:pPr>
      <w:adjustRightInd w:val="0"/>
      <w:spacing w:before="240" w:beforeLines="0" w:after="60" w:afterLines="0" w:line="420" w:lineRule="atLeast"/>
      <w:jc w:val="center"/>
      <w:textAlignment w:val="baseline"/>
      <w:outlineLvl w:val="0"/>
    </w:pPr>
    <w:rPr>
      <w:rFonts w:ascii="Arial" w:hAnsi="Arial"/>
      <w:b/>
      <w:kern w:val="0"/>
      <w:sz w:val="32"/>
      <w:szCs w:val="20"/>
    </w:rPr>
  </w:style>
  <w:style w:type="character" w:styleId="52">
    <w:name w:val="Strong"/>
    <w:qFormat/>
    <w:uiPriority w:val="22"/>
    <w:rPr>
      <w:b/>
      <w:bCs/>
    </w:rPr>
  </w:style>
  <w:style w:type="character" w:styleId="53">
    <w:name w:val="page number"/>
    <w:basedOn w:val="51"/>
    <w:qFormat/>
    <w:uiPriority w:val="99"/>
  </w:style>
  <w:style w:type="character" w:styleId="54">
    <w:name w:val="FollowedHyperlink"/>
    <w:qFormat/>
    <w:uiPriority w:val="99"/>
    <w:rPr>
      <w:color w:val="15428B"/>
      <w:u w:val="none"/>
    </w:rPr>
  </w:style>
  <w:style w:type="character" w:styleId="55">
    <w:name w:val="Emphasis"/>
    <w:qFormat/>
    <w:uiPriority w:val="99"/>
    <w:rPr>
      <w:i/>
      <w:iCs/>
    </w:rPr>
  </w:style>
  <w:style w:type="character" w:styleId="56">
    <w:name w:val="HTML Definition"/>
    <w:unhideWhenUsed/>
    <w:qFormat/>
    <w:uiPriority w:val="99"/>
  </w:style>
  <w:style w:type="character" w:styleId="57">
    <w:name w:val="HTML Typewriter"/>
    <w:unhideWhenUsed/>
    <w:qFormat/>
    <w:uiPriority w:val="99"/>
    <w:rPr>
      <w:rFonts w:ascii="monospace" w:hAnsi="monospace" w:eastAsia="monospace" w:cs="monospace"/>
      <w:sz w:val="20"/>
    </w:rPr>
  </w:style>
  <w:style w:type="character" w:styleId="58">
    <w:name w:val="HTML Acronym"/>
    <w:unhideWhenUsed/>
    <w:qFormat/>
    <w:uiPriority w:val="99"/>
    <w:rPr>
      <w:color w:val="FF3300"/>
      <w:u w:val="single"/>
    </w:rPr>
  </w:style>
  <w:style w:type="character" w:styleId="59">
    <w:name w:val="HTML Variable"/>
    <w:unhideWhenUsed/>
    <w:qFormat/>
    <w:uiPriority w:val="99"/>
  </w:style>
  <w:style w:type="character" w:styleId="60">
    <w:name w:val="Hyperlink"/>
    <w:qFormat/>
    <w:uiPriority w:val="99"/>
    <w:rPr>
      <w:color w:val="15428B"/>
      <w:u w:val="none"/>
    </w:rPr>
  </w:style>
  <w:style w:type="character" w:styleId="61">
    <w:name w:val="HTML Code"/>
    <w:unhideWhenUsed/>
    <w:qFormat/>
    <w:uiPriority w:val="99"/>
    <w:rPr>
      <w:rFonts w:ascii="Courier New" w:hAnsi="Courier New"/>
      <w:sz w:val="20"/>
    </w:rPr>
  </w:style>
  <w:style w:type="character" w:styleId="62">
    <w:name w:val="annotation reference"/>
    <w:qFormat/>
    <w:uiPriority w:val="99"/>
    <w:rPr>
      <w:sz w:val="21"/>
      <w:szCs w:val="21"/>
    </w:rPr>
  </w:style>
  <w:style w:type="character" w:styleId="63">
    <w:name w:val="HTML Cite"/>
    <w:unhideWhenUsed/>
    <w:qFormat/>
    <w:uiPriority w:val="99"/>
  </w:style>
  <w:style w:type="character" w:styleId="64">
    <w:name w:val="footnote reference"/>
    <w:qFormat/>
    <w:uiPriority w:val="99"/>
    <w:rPr>
      <w:vertAlign w:val="superscript"/>
    </w:rPr>
  </w:style>
  <w:style w:type="character" w:styleId="65">
    <w:name w:val="HTML Keyboard"/>
    <w:unhideWhenUsed/>
    <w:qFormat/>
    <w:uiPriority w:val="99"/>
    <w:rPr>
      <w:rFonts w:hint="default" w:ascii="monospace" w:hAnsi="monospace" w:eastAsia="monospace" w:cs="monospace"/>
      <w:sz w:val="20"/>
    </w:rPr>
  </w:style>
  <w:style w:type="character" w:styleId="66">
    <w:name w:val="HTML Sample"/>
    <w:unhideWhenUsed/>
    <w:qFormat/>
    <w:uiPriority w:val="99"/>
    <w:rPr>
      <w:rFonts w:hint="default" w:ascii="monospace" w:hAnsi="monospace" w:eastAsia="monospace" w:cs="monospace"/>
    </w:rPr>
  </w:style>
  <w:style w:type="table" w:styleId="68">
    <w:name w:val="Table Grid"/>
    <w:basedOn w:val="6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9">
    <w:name w:val="yu"/>
    <w:basedOn w:val="1"/>
    <w:qFormat/>
    <w:uiPriority w:val="99"/>
    <w:pPr>
      <w:autoSpaceDE w:val="0"/>
      <w:autoSpaceDN w:val="0"/>
      <w:adjustRightInd w:val="0"/>
      <w:spacing w:line="360" w:lineRule="auto"/>
      <w:ind w:left="720" w:firstLine="540"/>
      <w:textAlignment w:val="baseline"/>
    </w:pPr>
    <w:rPr>
      <w:rFonts w:ascii="宋体"/>
      <w:kern w:val="0"/>
      <w:sz w:val="24"/>
      <w:szCs w:val="20"/>
    </w:rPr>
  </w:style>
  <w:style w:type="paragraph" w:customStyle="1" w:styleId="70">
    <w:name w:val="样式8"/>
    <w:basedOn w:val="1"/>
    <w:qFormat/>
    <w:uiPriority w:val="0"/>
    <w:pPr>
      <w:widowControl/>
      <w:wordWrap w:val="0"/>
      <w:topLinePunct/>
      <w:autoSpaceDE w:val="0"/>
      <w:autoSpaceDN w:val="0"/>
      <w:adjustRightInd w:val="0"/>
      <w:ind w:left="1274" w:leftChars="531" w:firstLine="2"/>
    </w:pPr>
    <w:rPr>
      <w:rFonts w:ascii="宋体" w:hAnsi="宋体"/>
      <w:bCs/>
      <w:kern w:val="0"/>
      <w:sz w:val="24"/>
      <w:szCs w:val="20"/>
    </w:rPr>
  </w:style>
  <w:style w:type="paragraph" w:customStyle="1" w:styleId="71">
    <w:name w:val="p0"/>
    <w:basedOn w:val="1"/>
    <w:link w:val="522"/>
    <w:qFormat/>
    <w:uiPriority w:val="0"/>
    <w:pPr>
      <w:widowControl/>
    </w:pPr>
    <w:rPr>
      <w:szCs w:val="21"/>
    </w:rPr>
  </w:style>
  <w:style w:type="paragraph" w:customStyle="1" w:styleId="72">
    <w:name w:val="Style12"/>
    <w:basedOn w:val="1"/>
    <w:unhideWhenUsed/>
    <w:qFormat/>
    <w:uiPriority w:val="0"/>
    <w:pPr>
      <w:spacing w:line="564" w:lineRule="exact"/>
      <w:ind w:hanging="115"/>
    </w:pPr>
  </w:style>
  <w:style w:type="paragraph" w:customStyle="1" w:styleId="73">
    <w:name w:val="xl31"/>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7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5">
    <w:name w:val="xl46"/>
    <w:basedOn w:val="1"/>
    <w:qFormat/>
    <w:uiPriority w:val="99"/>
    <w:pPr>
      <w:widowControl/>
      <w:pBdr>
        <w:top w:val="single" w:color="auto" w:sz="8" w:space="0"/>
        <w:bottom w:val="single" w:color="auto" w:sz="4" w:space="0"/>
      </w:pBdr>
      <w:spacing w:before="100" w:beforeAutospacing="1" w:after="100" w:afterAutospacing="1"/>
      <w:jc w:val="center"/>
      <w:textAlignment w:val="center"/>
    </w:pPr>
    <w:rPr>
      <w:rFonts w:hint="eastAsia" w:ascii="黑体" w:hAnsi="Arial Unicode MS" w:eastAsia="黑体"/>
      <w:b/>
      <w:bCs/>
      <w:kern w:val="0"/>
      <w:sz w:val="24"/>
    </w:rPr>
  </w:style>
  <w:style w:type="paragraph" w:customStyle="1" w:styleId="76">
    <w:name w:val="正文文本 (4)"/>
    <w:basedOn w:val="1"/>
    <w:link w:val="541"/>
    <w:qFormat/>
    <w:uiPriority w:val="99"/>
    <w:pPr>
      <w:shd w:val="clear" w:color="auto" w:fill="FFFFFF"/>
      <w:spacing w:before="360" w:after="3180" w:line="240" w:lineRule="atLeast"/>
      <w:jc w:val="center"/>
    </w:pPr>
    <w:rPr>
      <w:rFonts w:ascii="MingLiU" w:hAnsi="MingLiU" w:eastAsia="MingLiU"/>
      <w:kern w:val="0"/>
      <w:sz w:val="15"/>
      <w:szCs w:val="15"/>
    </w:rPr>
  </w:style>
  <w:style w:type="paragraph" w:customStyle="1" w:styleId="77">
    <w:name w:val="样式 标题 3 + (中文) 黑体 小四 非加粗 段前: 7.8 磅 段后: 0 磅 行距: 固定值 20 磅"/>
    <w:basedOn w:val="7"/>
    <w:link w:val="402"/>
    <w:qFormat/>
    <w:uiPriority w:val="0"/>
    <w:pPr>
      <w:spacing w:before="0" w:beforeLines="0" w:after="0" w:afterLines="0" w:line="400" w:lineRule="exact"/>
    </w:pPr>
    <w:rPr>
      <w:bCs w:val="0"/>
      <w:sz w:val="24"/>
      <w:szCs w:val="20"/>
    </w:rPr>
  </w:style>
  <w:style w:type="paragraph" w:customStyle="1" w:styleId="78">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79">
    <w:name w:val="wenjianming"/>
    <w:basedOn w:val="1"/>
    <w:qFormat/>
    <w:uiPriority w:val="99"/>
    <w:pPr>
      <w:widowControl/>
      <w:spacing w:before="100" w:beforeAutospacing="1" w:after="100" w:afterAutospacing="1" w:line="300" w:lineRule="atLeast"/>
      <w:jc w:val="left"/>
    </w:pPr>
    <w:rPr>
      <w:color w:val="000000"/>
      <w:kern w:val="0"/>
      <w:szCs w:val="21"/>
    </w:rPr>
  </w:style>
  <w:style w:type="paragraph" w:customStyle="1" w:styleId="80">
    <w:name w:val="修订2"/>
    <w:qFormat/>
    <w:uiPriority w:val="99"/>
    <w:rPr>
      <w:rFonts w:ascii="Times New Roman" w:hAnsi="Times New Roman" w:eastAsia="宋体" w:cs="Times New Roman"/>
      <w:kern w:val="2"/>
      <w:sz w:val="21"/>
      <w:szCs w:val="24"/>
      <w:lang w:val="en-US" w:eastAsia="zh-CN" w:bidi="ar-SA"/>
    </w:rPr>
  </w:style>
  <w:style w:type="paragraph" w:customStyle="1" w:styleId="81">
    <w:name w:val="Style9"/>
    <w:basedOn w:val="1"/>
    <w:unhideWhenUsed/>
    <w:qFormat/>
    <w:uiPriority w:val="0"/>
  </w:style>
  <w:style w:type="paragraph" w:customStyle="1" w:styleId="82">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3">
    <w:name w:val="LIST ALPHA CAPS 3"/>
    <w:basedOn w:val="1"/>
    <w:next w:val="23"/>
    <w:qFormat/>
    <w:uiPriority w:val="0"/>
    <w:pPr>
      <w:widowControl/>
      <w:numPr>
        <w:ilvl w:val="2"/>
        <w:numId w:val="1"/>
      </w:numPr>
      <w:tabs>
        <w:tab w:val="left" w:pos="68"/>
        <w:tab w:val="left" w:pos="1928"/>
      </w:tabs>
      <w:wordWrap w:val="0"/>
      <w:topLinePunct/>
      <w:adjustRightInd w:val="0"/>
      <w:snapToGrid w:val="0"/>
      <w:spacing w:after="200" w:afterLines="50" w:line="288" w:lineRule="auto"/>
      <w:ind w:firstLineChars="200"/>
    </w:pPr>
    <w:rPr>
      <w:rFonts w:ascii="CG Times" w:hAnsi="CG Times"/>
      <w:kern w:val="0"/>
      <w:sz w:val="22"/>
      <w:szCs w:val="20"/>
      <w:lang w:val="en-GB"/>
    </w:rPr>
  </w:style>
  <w:style w:type="paragraph" w:customStyle="1" w:styleId="84">
    <w:name w:val="Char1 Char Char Char Char Char Char"/>
    <w:basedOn w:val="1"/>
    <w:qFormat/>
    <w:uiPriority w:val="99"/>
    <w:rPr>
      <w:rFonts w:ascii="宋体" w:hAnsi="宋体"/>
      <w:sz w:val="24"/>
      <w:szCs w:val="20"/>
    </w:rPr>
  </w:style>
  <w:style w:type="paragraph" w:customStyle="1" w:styleId="85">
    <w:name w:val="页脚 New"/>
    <w:basedOn w:val="78"/>
    <w:qFormat/>
    <w:uiPriority w:val="99"/>
    <w:pPr>
      <w:tabs>
        <w:tab w:val="center" w:pos="4153"/>
        <w:tab w:val="right" w:pos="8306"/>
      </w:tabs>
      <w:snapToGrid w:val="0"/>
      <w:jc w:val="left"/>
    </w:pPr>
    <w:rPr>
      <w:sz w:val="18"/>
      <w:szCs w:val="18"/>
    </w:rPr>
  </w:style>
  <w:style w:type="paragraph" w:customStyle="1" w:styleId="86">
    <w:name w:val="标题 #2"/>
    <w:basedOn w:val="1"/>
    <w:link w:val="499"/>
    <w:qFormat/>
    <w:uiPriority w:val="99"/>
    <w:pPr>
      <w:shd w:val="clear" w:color="auto" w:fill="FFFFFF"/>
      <w:spacing w:after="240" w:line="240" w:lineRule="atLeast"/>
      <w:jc w:val="center"/>
      <w:outlineLvl w:val="1"/>
    </w:pPr>
    <w:rPr>
      <w:rFonts w:ascii="MingLiU" w:hAnsi="MingLiU" w:eastAsia="MingLiU"/>
      <w:spacing w:val="30"/>
      <w:kern w:val="0"/>
      <w:szCs w:val="21"/>
    </w:rPr>
  </w:style>
  <w:style w:type="paragraph" w:customStyle="1" w:styleId="87">
    <w:name w:val="表格一"/>
    <w:basedOn w:val="1"/>
    <w:qFormat/>
    <w:uiPriority w:val="99"/>
    <w:pPr>
      <w:spacing w:line="240" w:lineRule="exact"/>
      <w:ind w:left="105" w:leftChars="50"/>
    </w:pPr>
    <w:rPr>
      <w:sz w:val="18"/>
      <w:szCs w:val="21"/>
    </w:rPr>
  </w:style>
  <w:style w:type="paragraph" w:customStyle="1" w:styleId="88">
    <w:name w:val="通用标题4"/>
    <w:next w:val="1"/>
    <w:qFormat/>
    <w:uiPriority w:val="0"/>
    <w:pPr>
      <w:numPr>
        <w:ilvl w:val="2"/>
        <w:numId w:val="2"/>
      </w:numPr>
      <w:tabs>
        <w:tab w:val="left" w:pos="851"/>
      </w:tabs>
      <w:adjustRightInd w:val="0"/>
      <w:snapToGrid w:val="0"/>
      <w:spacing w:after="120" w:afterLines="50" w:line="360" w:lineRule="auto"/>
      <w:jc w:val="both"/>
      <w:outlineLvl w:val="3"/>
    </w:pPr>
    <w:rPr>
      <w:rFonts w:ascii="宋体" w:hAnsi="宋体" w:eastAsia="宋体" w:cs="Times New Roman"/>
      <w:kern w:val="2"/>
      <w:sz w:val="24"/>
      <w:szCs w:val="21"/>
      <w:lang w:val="en-US" w:eastAsia="zh-CN" w:bidi="ar-SA"/>
    </w:rPr>
  </w:style>
  <w:style w:type="paragraph" w:customStyle="1" w:styleId="89">
    <w:name w:val="XW正文"/>
    <w:basedOn w:val="24"/>
    <w:link w:val="458"/>
    <w:qFormat/>
    <w:uiPriority w:val="0"/>
    <w:pPr>
      <w:adjustRightInd w:val="0"/>
      <w:spacing w:after="0" w:line="360" w:lineRule="auto"/>
      <w:ind w:left="0" w:leftChars="0"/>
      <w:jc w:val="left"/>
      <w:textAlignment w:val="baseline"/>
    </w:pPr>
    <w:rPr>
      <w:kern w:val="0"/>
      <w:sz w:val="24"/>
      <w:szCs w:val="20"/>
    </w:rPr>
  </w:style>
  <w:style w:type="paragraph" w:customStyle="1" w:styleId="90">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0"/>
      <w:szCs w:val="20"/>
    </w:rPr>
  </w:style>
  <w:style w:type="paragraph" w:customStyle="1" w:styleId="9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92">
    <w:name w:val="正文①"/>
    <w:basedOn w:val="1"/>
    <w:qFormat/>
    <w:uiPriority w:val="99"/>
    <w:pPr>
      <w:tabs>
        <w:tab w:val="left" w:pos="999"/>
        <w:tab w:val="left" w:pos="1878"/>
      </w:tabs>
      <w:snapToGrid w:val="0"/>
      <w:spacing w:line="360" w:lineRule="auto"/>
      <w:ind w:left="1878" w:hanging="420"/>
      <w:outlineLvl w:val="2"/>
    </w:pPr>
    <w:rPr>
      <w:sz w:val="28"/>
      <w:szCs w:val="20"/>
    </w:rPr>
  </w:style>
  <w:style w:type="paragraph" w:customStyle="1" w:styleId="93">
    <w:name w:val="List Paragraph1"/>
    <w:basedOn w:val="1"/>
    <w:qFormat/>
    <w:uiPriority w:val="99"/>
    <w:pPr>
      <w:ind w:firstLine="420" w:firstLineChars="200"/>
    </w:pPr>
  </w:style>
  <w:style w:type="paragraph" w:customStyle="1" w:styleId="94">
    <w:name w:val="Title 5 Chinese"/>
    <w:qFormat/>
    <w:uiPriority w:val="0"/>
    <w:pPr>
      <w:ind w:left="1701"/>
    </w:pPr>
    <w:rPr>
      <w:rFonts w:ascii="Times New Roman" w:hAnsi="Times New Roman" w:eastAsia="宋体" w:cs="Times New Roman"/>
      <w:kern w:val="2"/>
      <w:sz w:val="24"/>
      <w:szCs w:val="24"/>
      <w:lang w:val="en-US" w:eastAsia="zh-CN" w:bidi="ar-SA"/>
    </w:rPr>
  </w:style>
  <w:style w:type="paragraph" w:customStyle="1" w:styleId="95">
    <w:name w:val="表格标题"/>
    <w:basedOn w:val="1"/>
    <w:qFormat/>
    <w:uiPriority w:val="99"/>
    <w:pPr>
      <w:adjustRightInd w:val="0"/>
      <w:snapToGrid w:val="0"/>
      <w:spacing w:beforeLines="50" w:line="360" w:lineRule="auto"/>
      <w:jc w:val="center"/>
    </w:pPr>
    <w:rPr>
      <w:rFonts w:ascii="黑体" w:hAnsi="宋体" w:eastAsia="黑体"/>
      <w:b/>
      <w:bCs/>
      <w:sz w:val="18"/>
      <w:szCs w:val="21"/>
    </w:rPr>
  </w:style>
  <w:style w:type="paragraph" w:customStyle="1" w:styleId="96">
    <w:name w:val="xl33"/>
    <w:basedOn w:val="1"/>
    <w:qFormat/>
    <w:uiPriority w:val="99"/>
    <w:pPr>
      <w:widowControl/>
      <w:spacing w:before="100" w:beforeAutospacing="1" w:after="100" w:afterAutospacing="1"/>
      <w:jc w:val="center"/>
      <w:textAlignment w:val="center"/>
    </w:pPr>
    <w:rPr>
      <w:rFonts w:ascii="Arial Unicode MS" w:hAnsi="Arial Unicode MS"/>
      <w:b/>
      <w:bCs/>
      <w:kern w:val="0"/>
      <w:sz w:val="28"/>
      <w:szCs w:val="28"/>
    </w:rPr>
  </w:style>
  <w:style w:type="paragraph" w:customStyle="1" w:styleId="97">
    <w:name w:val="样式3"/>
    <w:basedOn w:val="1"/>
    <w:qFormat/>
    <w:uiPriority w:val="0"/>
    <w:pPr>
      <w:spacing w:line="400" w:lineRule="exact"/>
      <w:ind w:left="1260" w:hanging="420"/>
    </w:pPr>
  </w:style>
  <w:style w:type="paragraph" w:customStyle="1" w:styleId="98">
    <w:name w:val="xl49"/>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kern w:val="0"/>
      <w:sz w:val="18"/>
      <w:szCs w:val="18"/>
    </w:rPr>
  </w:style>
  <w:style w:type="paragraph" w:customStyle="1" w:styleId="99">
    <w:name w:val="font6"/>
    <w:basedOn w:val="1"/>
    <w:qFormat/>
    <w:uiPriority w:val="0"/>
    <w:pPr>
      <w:widowControl/>
      <w:spacing w:before="100" w:beforeAutospacing="1" w:after="100" w:afterAutospacing="1"/>
      <w:jc w:val="left"/>
    </w:pPr>
    <w:rPr>
      <w:kern w:val="0"/>
      <w:sz w:val="18"/>
      <w:szCs w:val="18"/>
    </w:rPr>
  </w:style>
  <w:style w:type="paragraph" w:customStyle="1" w:styleId="100">
    <w:name w:val=" Char Char Char Char Char Char Char"/>
    <w:basedOn w:val="1"/>
    <w:qFormat/>
    <w:uiPriority w:val="0"/>
    <w:pPr>
      <w:snapToGrid w:val="0"/>
      <w:spacing w:line="360" w:lineRule="auto"/>
      <w:ind w:firstLine="200" w:firstLineChars="200"/>
    </w:pPr>
    <w:rPr>
      <w:rFonts w:eastAsia="仿宋_GB2312"/>
      <w:sz w:val="24"/>
    </w:rPr>
  </w:style>
  <w:style w:type="paragraph" w:customStyle="1" w:styleId="101">
    <w:name w:val="正文文本 (3)"/>
    <w:basedOn w:val="1"/>
    <w:link w:val="406"/>
    <w:qFormat/>
    <w:uiPriority w:val="99"/>
    <w:pPr>
      <w:shd w:val="clear" w:color="auto" w:fill="FFFFFF"/>
      <w:spacing w:after="1020" w:line="240" w:lineRule="atLeast"/>
      <w:jc w:val="left"/>
    </w:pPr>
    <w:rPr>
      <w:rFonts w:ascii="Tahoma" w:hAnsi="Tahoma" w:eastAsia="Times New Roman"/>
      <w:kern w:val="0"/>
      <w:sz w:val="14"/>
      <w:szCs w:val="14"/>
      <w:lang w:eastAsia="en-US"/>
    </w:rPr>
  </w:style>
  <w:style w:type="paragraph" w:customStyle="1" w:styleId="102">
    <w:name w:val="样式1"/>
    <w:basedOn w:val="1"/>
    <w:next w:val="8"/>
    <w:link w:val="345"/>
    <w:qFormat/>
    <w:uiPriority w:val="99"/>
    <w:pPr>
      <w:spacing w:line="360" w:lineRule="auto"/>
      <w:ind w:firstLine="420" w:firstLineChars="200"/>
    </w:pPr>
    <w:rPr>
      <w:rFonts w:ascii="宋体" w:hAnsi="宋体"/>
      <w:szCs w:val="21"/>
    </w:rPr>
  </w:style>
  <w:style w:type="paragraph" w:customStyle="1" w:styleId="103">
    <w:name w:val="Char Char2 Char Char Char Char"/>
    <w:basedOn w:val="1"/>
    <w:qFormat/>
    <w:uiPriority w:val="0"/>
    <w:rPr>
      <w:rFonts w:eastAsia="仿宋_GB2312"/>
      <w:sz w:val="32"/>
      <w:szCs w:val="32"/>
    </w:rPr>
  </w:style>
  <w:style w:type="paragraph" w:customStyle="1" w:styleId="104">
    <w:name w:val="页脚 New New"/>
    <w:basedOn w:val="105"/>
    <w:qFormat/>
    <w:uiPriority w:val="0"/>
    <w:pPr>
      <w:tabs>
        <w:tab w:val="center" w:pos="4153"/>
        <w:tab w:val="right" w:pos="8306"/>
      </w:tabs>
      <w:snapToGrid w:val="0"/>
      <w:jc w:val="left"/>
    </w:pPr>
    <w:rPr>
      <w:sz w:val="18"/>
      <w:szCs w:val="18"/>
    </w:rPr>
  </w:style>
  <w:style w:type="paragraph" w:customStyle="1" w:styleId="105">
    <w:name w:val="正文 New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06">
    <w:name w:val="明显引用1"/>
    <w:basedOn w:val="1"/>
    <w:next w:val="1"/>
    <w:qFormat/>
    <w:uiPriority w:val="99"/>
    <w:pPr>
      <w:widowControl/>
      <w:ind w:left="720" w:right="720"/>
      <w:jc w:val="left"/>
    </w:pPr>
    <w:rPr>
      <w:b/>
      <w:i/>
      <w:kern w:val="0"/>
      <w:sz w:val="24"/>
      <w:szCs w:val="20"/>
    </w:rPr>
  </w:style>
  <w:style w:type="paragraph" w:customStyle="1" w:styleId="107">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108">
    <w:name w:val="列出段落2"/>
    <w:basedOn w:val="1"/>
    <w:qFormat/>
    <w:uiPriority w:val="99"/>
    <w:pPr>
      <w:widowControl/>
      <w:ind w:left="720"/>
      <w:jc w:val="left"/>
    </w:pPr>
    <w:rPr>
      <w:rFonts w:ascii="Calibri" w:hAnsi="Calibri"/>
      <w:kern w:val="0"/>
      <w:sz w:val="24"/>
      <w:lang w:eastAsia="en-US"/>
    </w:rPr>
  </w:style>
  <w:style w:type="paragraph" w:customStyle="1" w:styleId="109">
    <w:name w:val="xl65"/>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仿宋_GB2312" w:hAnsi="Arial Unicode MS" w:eastAsia="仿宋_GB2312" w:cs="Arial Unicode MS"/>
      <w:b/>
      <w:bCs/>
      <w:kern w:val="0"/>
      <w:sz w:val="20"/>
      <w:szCs w:val="20"/>
    </w:rPr>
  </w:style>
  <w:style w:type="paragraph" w:customStyle="1" w:styleId="110">
    <w:name w:val="xl28"/>
    <w:basedOn w:val="1"/>
    <w:qFormat/>
    <w:uiPriority w:val="99"/>
    <w:pPr>
      <w:widowControl/>
      <w:spacing w:before="100" w:beforeAutospacing="1" w:after="100" w:afterAutospacing="1"/>
      <w:jc w:val="left"/>
      <w:textAlignment w:val="center"/>
    </w:pPr>
    <w:rPr>
      <w:rFonts w:ascii="Arial Unicode MS" w:hAnsi="Arial Unicode MS"/>
      <w:kern w:val="0"/>
      <w:sz w:val="20"/>
      <w:szCs w:val="20"/>
    </w:rPr>
  </w:style>
  <w:style w:type="paragraph" w:customStyle="1" w:styleId="111">
    <w:name w:val="样式 左侧:  1 字符 右侧:  1 字符"/>
    <w:basedOn w:val="1"/>
    <w:qFormat/>
    <w:uiPriority w:val="0"/>
    <w:rPr>
      <w:rFonts w:ascii="'宋体" w:cs="宋体"/>
      <w:sz w:val="24"/>
      <w:szCs w:val="20"/>
    </w:rPr>
  </w:style>
  <w:style w:type="paragraph" w:customStyle="1" w:styleId="112">
    <w:name w:val="目录文字"/>
    <w:basedOn w:val="1"/>
    <w:qFormat/>
    <w:uiPriority w:val="99"/>
    <w:pPr>
      <w:widowControl/>
      <w:spacing w:line="480" w:lineRule="auto"/>
      <w:jc w:val="left"/>
    </w:pPr>
    <w:rPr>
      <w:rFonts w:ascii="宋体" w:hAnsi="宋体"/>
      <w:kern w:val="0"/>
      <w:sz w:val="24"/>
      <w:szCs w:val="20"/>
    </w:rPr>
  </w:style>
  <w:style w:type="paragraph" w:customStyle="1" w:styleId="113">
    <w:name w:val="xl51"/>
    <w:basedOn w:val="1"/>
    <w:qFormat/>
    <w:uiPriority w:val="99"/>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center"/>
    </w:pPr>
    <w:rPr>
      <w:rFonts w:hint="eastAsia" w:ascii="仿宋_GB2312" w:hAnsi="Arial Unicode MS" w:eastAsia="仿宋_GB2312"/>
      <w:kern w:val="0"/>
      <w:sz w:val="24"/>
    </w:rPr>
  </w:style>
  <w:style w:type="paragraph" w:customStyle="1" w:styleId="114">
    <w:name w:val=" Char1"/>
    <w:basedOn w:val="1"/>
    <w:qFormat/>
    <w:uiPriority w:val="0"/>
    <w:pPr>
      <w:widowControl/>
      <w:spacing w:after="160" w:line="240" w:lineRule="exact"/>
      <w:jc w:val="left"/>
    </w:pPr>
    <w:rPr>
      <w:szCs w:val="20"/>
    </w:rPr>
  </w:style>
  <w:style w:type="paragraph" w:customStyle="1" w:styleId="115">
    <w:name w:val="样式 标题 2 + Times New Roman 四号 非加粗 段前: 5 磅 段后: 0 磅 行距: 固定值 20..."/>
    <w:basedOn w:val="6"/>
    <w:qFormat/>
    <w:uiPriority w:val="99"/>
    <w:pPr>
      <w:spacing w:before="100" w:beforeLines="0" w:after="0" w:afterLines="0" w:line="400" w:lineRule="exact"/>
    </w:pPr>
    <w:rPr>
      <w:rFonts w:ascii="Times New Roman" w:hAnsi="Times New Roman" w:cs="宋体"/>
      <w:b w:val="0"/>
      <w:bCs w:val="0"/>
      <w:sz w:val="28"/>
      <w:szCs w:val="20"/>
    </w:rPr>
  </w:style>
  <w:style w:type="paragraph" w:customStyle="1" w:styleId="116">
    <w:name w:val="Char3 Char Char Char Char Char Char"/>
    <w:basedOn w:val="1"/>
    <w:qFormat/>
    <w:uiPriority w:val="0"/>
    <w:rPr>
      <w:rFonts w:hint="eastAsia" w:ascii="宋体" w:hAnsi="宋体"/>
      <w:sz w:val="24"/>
    </w:rPr>
  </w:style>
  <w:style w:type="paragraph" w:customStyle="1" w:styleId="117">
    <w:name w:val="标题 1 +"/>
    <w:basedOn w:val="5"/>
    <w:next w:val="1"/>
    <w:qFormat/>
    <w:uiPriority w:val="99"/>
    <w:pPr>
      <w:spacing w:before="0" w:after="0" w:line="600" w:lineRule="auto"/>
      <w:jc w:val="center"/>
    </w:pPr>
    <w:rPr>
      <w:rFonts w:eastAsia="黑体"/>
      <w:kern w:val="0"/>
      <w:sz w:val="32"/>
      <w:szCs w:val="32"/>
    </w:rPr>
  </w:style>
  <w:style w:type="paragraph" w:customStyle="1" w:styleId="11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19">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0">
    <w:name w:val="_Style 25"/>
    <w:basedOn w:val="1"/>
    <w:qFormat/>
    <w:uiPriority w:val="99"/>
    <w:pPr>
      <w:widowControl/>
      <w:jc w:val="left"/>
    </w:pPr>
    <w:rPr>
      <w:rFonts w:ascii="Calibri" w:hAnsi="Calibri"/>
      <w:kern w:val="0"/>
      <w:sz w:val="24"/>
      <w:lang w:eastAsia="en-US"/>
    </w:rPr>
  </w:style>
  <w:style w:type="paragraph" w:customStyle="1" w:styleId="121">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22">
    <w:name w:val="菲页2"/>
    <w:basedOn w:val="7"/>
    <w:qFormat/>
    <w:uiPriority w:val="0"/>
    <w:pPr>
      <w:widowControl/>
      <w:tabs>
        <w:tab w:val="left" w:pos="1680"/>
      </w:tabs>
      <w:spacing w:before="120" w:after="120" w:line="360" w:lineRule="auto"/>
      <w:ind w:left="1680" w:hanging="420" w:firstLineChars="0"/>
      <w:jc w:val="center"/>
    </w:pPr>
    <w:rPr>
      <w:bCs w:val="0"/>
      <w:kern w:val="0"/>
      <w:sz w:val="44"/>
      <w:szCs w:val="20"/>
    </w:rPr>
  </w:style>
  <w:style w:type="paragraph" w:customStyle="1" w:styleId="123">
    <w:name w:val="正文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Char Char Char"/>
    <w:basedOn w:val="1"/>
    <w:qFormat/>
    <w:uiPriority w:val="99"/>
    <w:rPr>
      <w:sz w:val="24"/>
    </w:rPr>
  </w:style>
  <w:style w:type="paragraph" w:customStyle="1" w:styleId="125">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left"/>
      <w:textAlignment w:val="center"/>
    </w:pPr>
    <w:rPr>
      <w:rFonts w:ascii="宋体" w:hAnsi="宋体" w:cs="宋体"/>
      <w:b/>
      <w:bCs/>
      <w:kern w:val="0"/>
      <w:sz w:val="20"/>
      <w:szCs w:val="20"/>
    </w:rPr>
  </w:style>
  <w:style w:type="paragraph" w:customStyle="1" w:styleId="126">
    <w:name w:val="t3c"/>
    <w:basedOn w:val="1"/>
    <w:qFormat/>
    <w:uiPriority w:val="99"/>
    <w:pPr>
      <w:widowControl/>
      <w:spacing w:before="100" w:beforeAutospacing="1" w:after="100" w:afterAutospacing="1"/>
      <w:jc w:val="left"/>
    </w:pPr>
    <w:rPr>
      <w:rFonts w:ascii="宋体" w:hAnsi="宋体" w:cs="宋体"/>
      <w:b/>
      <w:bCs/>
      <w:kern w:val="0"/>
      <w:sz w:val="24"/>
    </w:rPr>
  </w:style>
  <w:style w:type="paragraph" w:customStyle="1" w:styleId="127">
    <w:name w:val="正文格式"/>
    <w:basedOn w:val="1"/>
    <w:qFormat/>
    <w:uiPriority w:val="0"/>
    <w:pPr>
      <w:widowControl/>
      <w:adjustRightInd w:val="0"/>
      <w:spacing w:line="400" w:lineRule="atLeast"/>
      <w:ind w:firstLine="482"/>
      <w:textAlignment w:val="baseline"/>
    </w:pPr>
    <w:rPr>
      <w:kern w:val="0"/>
      <w:sz w:val="24"/>
    </w:rPr>
  </w:style>
  <w:style w:type="paragraph" w:customStyle="1" w:styleId="128">
    <w:name w:val="正文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9">
    <w:name w:val="p15"/>
    <w:basedOn w:val="1"/>
    <w:qFormat/>
    <w:uiPriority w:val="0"/>
    <w:pPr>
      <w:widowControl/>
    </w:pPr>
    <w:rPr>
      <w:rFonts w:ascii="宋体" w:hAnsi="宋体" w:cs="宋体"/>
      <w:kern w:val="0"/>
      <w:szCs w:val="21"/>
    </w:rPr>
  </w:style>
  <w:style w:type="paragraph" w:customStyle="1" w:styleId="130">
    <w:name w:val="列出段落1"/>
    <w:basedOn w:val="1"/>
    <w:qFormat/>
    <w:uiPriority w:val="99"/>
    <w:pPr>
      <w:widowControl/>
      <w:ind w:left="720"/>
      <w:jc w:val="left"/>
    </w:pPr>
    <w:rPr>
      <w:rFonts w:ascii="Calibri" w:hAnsi="Calibri"/>
      <w:kern w:val="0"/>
      <w:sz w:val="24"/>
      <w:lang w:eastAsia="en-US"/>
    </w:rPr>
  </w:style>
  <w:style w:type="paragraph" w:customStyle="1" w:styleId="131">
    <w:name w:val="正文－段内 Char Char Char Char"/>
    <w:basedOn w:val="1"/>
    <w:qFormat/>
    <w:uiPriority w:val="0"/>
    <w:pPr>
      <w:adjustRightInd w:val="0"/>
      <w:snapToGrid w:val="0"/>
      <w:spacing w:line="336" w:lineRule="auto"/>
      <w:ind w:firstLine="480" w:firstLineChars="200"/>
      <w:textAlignment w:val="baseline"/>
    </w:pPr>
    <w:rPr>
      <w:rFonts w:ascii="宋体"/>
      <w:kern w:val="0"/>
      <w:sz w:val="24"/>
    </w:rPr>
  </w:style>
  <w:style w:type="paragraph" w:customStyle="1" w:styleId="132">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textAlignment w:val="center"/>
    </w:pPr>
    <w:rPr>
      <w:rFonts w:ascii="宋体" w:hAnsi="宋体" w:cs="宋体"/>
      <w:b/>
      <w:bCs/>
      <w:kern w:val="0"/>
      <w:sz w:val="20"/>
      <w:szCs w:val="20"/>
    </w:rPr>
  </w:style>
  <w:style w:type="paragraph" w:customStyle="1" w:styleId="13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134">
    <w:name w:val="xl58"/>
    <w:basedOn w:val="1"/>
    <w:qFormat/>
    <w:uiPriority w:val="0"/>
    <w:pPr>
      <w:widowControl/>
      <w:pBdr>
        <w:top w:val="single" w:color="auto" w:sz="4" w:space="0"/>
        <w:bottom w:val="single" w:color="auto" w:sz="8" w:space="0"/>
        <w:right w:val="single" w:color="auto" w:sz="8" w:space="0"/>
      </w:pBdr>
      <w:spacing w:before="100" w:beforeAutospacing="1" w:after="100" w:afterAutospacing="1"/>
      <w:jc w:val="left"/>
      <w:textAlignment w:val="center"/>
    </w:pPr>
    <w:rPr>
      <w:rFonts w:hint="eastAsia" w:ascii="仿宋_GB2312" w:hAnsi="Arial Unicode MS" w:eastAsia="仿宋_GB2312"/>
      <w:kern w:val="0"/>
      <w:sz w:val="20"/>
      <w:szCs w:val="20"/>
    </w:rPr>
  </w:style>
  <w:style w:type="paragraph" w:customStyle="1" w:styleId="135">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6">
    <w:name w:val="正文 + 宋体"/>
    <w:basedOn w:val="1"/>
    <w:link w:val="461"/>
    <w:qFormat/>
    <w:uiPriority w:val="0"/>
    <w:pPr>
      <w:tabs>
        <w:tab w:val="left" w:pos="2205"/>
      </w:tabs>
      <w:spacing w:line="620" w:lineRule="exact"/>
      <w:ind w:firstLine="580" w:firstLineChars="207"/>
    </w:pPr>
    <w:rPr>
      <w:rFonts w:ascii="宋体" w:hAnsi="宋体"/>
      <w:kern w:val="0"/>
      <w:sz w:val="28"/>
    </w:rPr>
  </w:style>
  <w:style w:type="paragraph" w:customStyle="1" w:styleId="137">
    <w:name w:val="table"/>
    <w:qFormat/>
    <w:uiPriority w:val="0"/>
    <w:pPr>
      <w:framePr w:hSpace="180" w:wrap="around" w:vAnchor="text" w:hAnchor="margin" w:y="1418"/>
      <w:adjustRightInd w:val="0"/>
      <w:snapToGrid w:val="0"/>
    </w:pPr>
    <w:rPr>
      <w:rFonts w:ascii="宋体" w:hAnsi="Calibri" w:eastAsia="宋体" w:cs="Times New Roman"/>
      <w:kern w:val="2"/>
      <w:sz w:val="24"/>
      <w:szCs w:val="22"/>
      <w:lang w:val="en-US" w:eastAsia="zh-CN" w:bidi="ar-SA"/>
    </w:rPr>
  </w:style>
  <w:style w:type="paragraph" w:customStyle="1" w:styleId="138">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139">
    <w:name w:val="正文 + 行距: 固定值 28.5 磅"/>
    <w:basedOn w:val="1"/>
    <w:qFormat/>
    <w:uiPriority w:val="0"/>
    <w:pPr>
      <w:tabs>
        <w:tab w:val="left" w:pos="2205"/>
      </w:tabs>
      <w:spacing w:line="570" w:lineRule="exact"/>
      <w:ind w:firstLine="580" w:firstLineChars="207"/>
    </w:pPr>
  </w:style>
  <w:style w:type="paragraph" w:customStyle="1" w:styleId="140">
    <w:name w:val="CM99"/>
    <w:basedOn w:val="1"/>
    <w:next w:val="1"/>
    <w:qFormat/>
    <w:uiPriority w:val="0"/>
    <w:pPr>
      <w:autoSpaceDE w:val="0"/>
      <w:autoSpaceDN w:val="0"/>
      <w:adjustRightInd w:val="0"/>
      <w:spacing w:after="443"/>
      <w:jc w:val="left"/>
    </w:pPr>
    <w:rPr>
      <w:rFonts w:ascii="宋体" w:hAnsi="Times New Roman" w:eastAsia="宋体" w:cs="Times New Roman"/>
      <w:kern w:val="0"/>
      <w:sz w:val="24"/>
      <w:szCs w:val="20"/>
    </w:rPr>
  </w:style>
  <w:style w:type="paragraph" w:customStyle="1" w:styleId="141">
    <w:name w:val="font1"/>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42">
    <w:name w:val="Revision"/>
    <w:qFormat/>
    <w:uiPriority w:val="0"/>
    <w:rPr>
      <w:rFonts w:ascii="Times New Roman" w:hAnsi="Times New Roman" w:eastAsia="宋体" w:cs="Times New Roman"/>
      <w:kern w:val="2"/>
      <w:sz w:val="21"/>
      <w:szCs w:val="24"/>
      <w:lang w:val="en-US" w:eastAsia="zh-CN" w:bidi="ar-SA"/>
    </w:rPr>
  </w:style>
  <w:style w:type="paragraph" w:customStyle="1" w:styleId="143">
    <w:name w:val="xl84"/>
    <w:basedOn w:val="1"/>
    <w:qFormat/>
    <w:uiPriority w:val="0"/>
    <w:pPr>
      <w:widowControl/>
      <w:spacing w:before="100" w:beforeAutospacing="1" w:after="100" w:afterAutospacing="1"/>
      <w:jc w:val="left"/>
    </w:pPr>
    <w:rPr>
      <w:rFonts w:ascii="宋体" w:hAnsi="宋体" w:cs="宋体"/>
      <w:kern w:val="0"/>
      <w:sz w:val="24"/>
    </w:rPr>
  </w:style>
  <w:style w:type="paragraph" w:customStyle="1" w:styleId="144">
    <w:name w:val="正文2"/>
    <w:basedOn w:val="1"/>
    <w:qFormat/>
    <w:uiPriority w:val="99"/>
    <w:pPr>
      <w:tabs>
        <w:tab w:val="left" w:pos="360"/>
        <w:tab w:val="left" w:pos="999"/>
      </w:tabs>
      <w:spacing w:line="480" w:lineRule="exact"/>
      <w:ind w:left="999" w:hanging="432"/>
      <w:outlineLvl w:val="2"/>
    </w:pPr>
    <w:rPr>
      <w:sz w:val="28"/>
      <w:szCs w:val="20"/>
    </w:rPr>
  </w:style>
  <w:style w:type="paragraph" w:customStyle="1" w:styleId="145">
    <w:name w:val="xl30"/>
    <w:basedOn w:val="1"/>
    <w:qFormat/>
    <w:uiPriority w:val="99"/>
    <w:pPr>
      <w:widowControl/>
      <w:spacing w:before="100" w:beforeAutospacing="1" w:after="100" w:afterAutospacing="1"/>
      <w:jc w:val="left"/>
      <w:textAlignment w:val="center"/>
    </w:pPr>
    <w:rPr>
      <w:rFonts w:ascii="Arial Unicode MS" w:hAnsi="Arial Unicode MS"/>
      <w:kern w:val="0"/>
      <w:sz w:val="22"/>
      <w:szCs w:val="22"/>
    </w:rPr>
  </w:style>
  <w:style w:type="paragraph" w:customStyle="1" w:styleId="146">
    <w:name w:val="1"/>
    <w:basedOn w:val="1"/>
    <w:qFormat/>
    <w:uiPriority w:val="99"/>
  </w:style>
  <w:style w:type="paragraph" w:customStyle="1" w:styleId="147">
    <w:name w:val="页眉 New New"/>
    <w:basedOn w:val="105"/>
    <w:qFormat/>
    <w:uiPriority w:val="0"/>
    <w:pPr>
      <w:pBdr>
        <w:bottom w:val="single" w:color="auto" w:sz="6" w:space="1"/>
      </w:pBdr>
      <w:tabs>
        <w:tab w:val="center" w:pos="4153"/>
        <w:tab w:val="right" w:pos="8306"/>
      </w:tabs>
      <w:snapToGrid w:val="0"/>
      <w:jc w:val="center"/>
    </w:pPr>
    <w:rPr>
      <w:sz w:val="18"/>
      <w:szCs w:val="18"/>
    </w:rPr>
  </w:style>
  <w:style w:type="paragraph" w:customStyle="1" w:styleId="148">
    <w:name w:val="xl38"/>
    <w:basedOn w:val="1"/>
    <w:qFormat/>
    <w:uiPriority w:val="99"/>
    <w:pPr>
      <w:widowControl/>
      <w:spacing w:before="100" w:beforeAutospacing="1" w:after="100" w:afterAutospacing="1"/>
      <w:jc w:val="left"/>
      <w:textAlignment w:val="center"/>
    </w:pPr>
    <w:rPr>
      <w:rFonts w:ascii="Arial Unicode MS" w:hAnsi="Arial Unicode MS"/>
      <w:kern w:val="0"/>
      <w:sz w:val="24"/>
    </w:rPr>
  </w:style>
  <w:style w:type="paragraph" w:customStyle="1" w:styleId="149">
    <w:name w:val="xl71"/>
    <w:basedOn w:val="1"/>
    <w:qFormat/>
    <w:uiPriority w:val="0"/>
    <w:pPr>
      <w:widowControl/>
      <w:pBdr>
        <w:left w:val="single" w:color="auto" w:sz="8" w:space="0"/>
        <w:bottom w:val="single" w:color="auto" w:sz="8" w:space="0"/>
      </w:pBdr>
      <w:spacing w:before="100" w:beforeAutospacing="1" w:after="100" w:afterAutospacing="1"/>
      <w:jc w:val="left"/>
      <w:textAlignment w:val="center"/>
    </w:pPr>
    <w:rPr>
      <w:rFonts w:hint="eastAsia" w:ascii="仿宋_GB2312" w:hAnsi="Arial Unicode MS" w:eastAsia="仿宋_GB2312" w:cs="Arial Unicode MS"/>
      <w:kern w:val="0"/>
      <w:sz w:val="20"/>
      <w:szCs w:val="20"/>
    </w:rPr>
  </w:style>
  <w:style w:type="paragraph" w:customStyle="1" w:styleId="150">
    <w:name w:val=" Char Char Char Char Char Char Char Char Char Char Char Char"/>
    <w:basedOn w:val="1"/>
    <w:qFormat/>
    <w:uiPriority w:val="0"/>
    <w:pPr>
      <w:widowControl/>
      <w:spacing w:after="160" w:line="240" w:lineRule="exact"/>
      <w:jc w:val="left"/>
    </w:pPr>
  </w:style>
  <w:style w:type="paragraph" w:customStyle="1" w:styleId="151">
    <w:name w:val="正文文本 21"/>
    <w:basedOn w:val="1"/>
    <w:qFormat/>
    <w:uiPriority w:val="0"/>
    <w:pPr>
      <w:autoSpaceDE w:val="0"/>
      <w:autoSpaceDN w:val="0"/>
      <w:adjustRightInd w:val="0"/>
      <w:spacing w:line="380" w:lineRule="atLeast"/>
      <w:textAlignment w:val="baseline"/>
    </w:pPr>
    <w:rPr>
      <w:spacing w:val="10"/>
      <w:kern w:val="0"/>
      <w:sz w:val="24"/>
      <w:szCs w:val="20"/>
    </w:rPr>
  </w:style>
  <w:style w:type="paragraph" w:customStyle="1" w:styleId="152">
    <w:name w:val="_Style 49"/>
    <w:basedOn w:val="1"/>
    <w:qFormat/>
    <w:uiPriority w:val="0"/>
    <w:rPr>
      <w:rFonts w:ascii="Calibri" w:hAnsi="Calibri"/>
      <w:kern w:val="0"/>
      <w:sz w:val="24"/>
      <w:lang w:eastAsia="en-US" w:bidi="en-US"/>
    </w:rPr>
  </w:style>
  <w:style w:type="paragraph" w:customStyle="1" w:styleId="153">
    <w:name w:val="4正文 Char"/>
    <w:basedOn w:val="1"/>
    <w:qFormat/>
    <w:uiPriority w:val="99"/>
    <w:pPr>
      <w:spacing w:line="360" w:lineRule="auto"/>
      <w:ind w:firstLine="412" w:firstLineChars="196"/>
      <w:outlineLvl w:val="1"/>
    </w:pPr>
    <w:rPr>
      <w:kern w:val="0"/>
      <w:szCs w:val="21"/>
    </w:rPr>
  </w:style>
  <w:style w:type="paragraph" w:customStyle="1" w:styleId="154">
    <w:name w:val="通用标题6"/>
    <w:basedOn w:val="1"/>
    <w:qFormat/>
    <w:uiPriority w:val="0"/>
    <w:pPr>
      <w:widowControl/>
      <w:numPr>
        <w:ilvl w:val="4"/>
        <w:numId w:val="3"/>
      </w:numPr>
      <w:tabs>
        <w:tab w:val="left" w:pos="993"/>
      </w:tabs>
      <w:adjustRightInd w:val="0"/>
      <w:snapToGrid w:val="0"/>
      <w:spacing w:after="120" w:afterLines="50" w:line="360" w:lineRule="auto"/>
      <w:ind w:firstLine="0"/>
    </w:pPr>
    <w:rPr>
      <w:rFonts w:ascii="宋体" w:hAnsi="宋体"/>
      <w:kern w:val="0"/>
      <w:sz w:val="24"/>
      <w:szCs w:val="20"/>
    </w:rPr>
  </w:style>
  <w:style w:type="paragraph" w:customStyle="1" w:styleId="155">
    <w:name w:val="Char Char Char Char Char Char Char Char Char Char Char Char Char Char Char Char Char Char Char Char Char1 Char Char Char Char Char Char Char Char Char Char"/>
    <w:basedOn w:val="1"/>
    <w:qFormat/>
    <w:uiPriority w:val="0"/>
    <w:pPr>
      <w:widowControl/>
      <w:spacing w:after="160" w:line="240" w:lineRule="exact"/>
      <w:jc w:val="left"/>
    </w:pPr>
    <w:rPr>
      <w:rFonts w:ascii="Verdana" w:hAnsi="Verdana" w:eastAsia="Times New Roman"/>
      <w:kern w:val="0"/>
      <w:sz w:val="20"/>
      <w:szCs w:val="20"/>
      <w:lang w:eastAsia="en-US"/>
    </w:rPr>
  </w:style>
  <w:style w:type="paragraph" w:customStyle="1" w:styleId="156">
    <w:name w:val="_Style 60"/>
    <w:basedOn w:val="1"/>
    <w:qFormat/>
    <w:uiPriority w:val="0"/>
    <w:rPr>
      <w:rFonts w:ascii="Calibri" w:hAnsi="Calibri"/>
      <w:szCs w:val="22"/>
    </w:rPr>
  </w:style>
  <w:style w:type="paragraph" w:customStyle="1" w:styleId="157">
    <w:name w:val="xl4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hint="eastAsia" w:ascii="仿宋_GB2312" w:hAnsi="Arial Unicode MS" w:eastAsia="仿宋_GB2312"/>
      <w:kern w:val="0"/>
      <w:sz w:val="24"/>
    </w:rPr>
  </w:style>
  <w:style w:type="paragraph" w:customStyle="1" w:styleId="158">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9">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0">
    <w:name w:val="zbggmain"/>
    <w:basedOn w:val="1"/>
    <w:qFormat/>
    <w:uiPriority w:val="99"/>
    <w:pPr>
      <w:widowControl/>
      <w:spacing w:before="100" w:beforeAutospacing="1" w:after="100" w:afterAutospacing="1" w:line="360" w:lineRule="auto"/>
      <w:jc w:val="left"/>
    </w:pPr>
    <w:rPr>
      <w:color w:val="000000"/>
      <w:kern w:val="0"/>
      <w:sz w:val="24"/>
    </w:rPr>
  </w:style>
  <w:style w:type="paragraph" w:customStyle="1" w:styleId="161">
    <w:name w:val="xl39"/>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162">
    <w:name w:val="LIST ALPHA CAPS 2"/>
    <w:basedOn w:val="1"/>
    <w:next w:val="46"/>
    <w:qFormat/>
    <w:uiPriority w:val="0"/>
    <w:pPr>
      <w:widowControl/>
      <w:numPr>
        <w:ilvl w:val="1"/>
        <w:numId w:val="1"/>
      </w:numPr>
      <w:tabs>
        <w:tab w:val="left" w:pos="50"/>
        <w:tab w:val="left" w:pos="1417"/>
      </w:tabs>
      <w:wordWrap w:val="0"/>
      <w:topLinePunct/>
      <w:adjustRightInd w:val="0"/>
      <w:snapToGrid w:val="0"/>
      <w:spacing w:after="200" w:afterLines="50" w:line="288" w:lineRule="auto"/>
      <w:ind w:firstLineChars="200"/>
    </w:pPr>
    <w:rPr>
      <w:rFonts w:ascii="CG Times" w:hAnsi="CG Times"/>
      <w:kern w:val="0"/>
      <w:sz w:val="22"/>
      <w:szCs w:val="20"/>
      <w:lang w:val="en-GB"/>
    </w:rPr>
  </w:style>
  <w:style w:type="paragraph" w:customStyle="1" w:styleId="163">
    <w:name w:val="xl42"/>
    <w:basedOn w:val="1"/>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jc w:val="left"/>
      <w:textAlignment w:val="center"/>
    </w:pPr>
    <w:rPr>
      <w:rFonts w:hint="eastAsia" w:ascii="仿宋_GB2312" w:hAnsi="Arial Unicode MS" w:eastAsia="仿宋_GB2312"/>
      <w:kern w:val="0"/>
      <w:sz w:val="24"/>
    </w:rPr>
  </w:style>
  <w:style w:type="paragraph" w:customStyle="1" w:styleId="164">
    <w:name w:val="通用标题2"/>
    <w:basedOn w:val="6"/>
    <w:next w:val="1"/>
    <w:qFormat/>
    <w:uiPriority w:val="0"/>
    <w:pPr>
      <w:keepNext w:val="0"/>
      <w:keepLines w:val="0"/>
      <w:widowControl/>
      <w:numPr>
        <w:ilvl w:val="0"/>
        <w:numId w:val="4"/>
      </w:numPr>
      <w:tabs>
        <w:tab w:val="left" w:pos="993"/>
      </w:tabs>
      <w:wordWrap w:val="0"/>
      <w:topLinePunct/>
      <w:adjustRightInd w:val="0"/>
      <w:snapToGrid w:val="0"/>
      <w:spacing w:before="0" w:after="120" w:afterLines="50" w:line="360" w:lineRule="auto"/>
    </w:pPr>
    <w:rPr>
      <w:rFonts w:ascii="黑体" w:hAnsi="黑体"/>
      <w:bCs w:val="0"/>
      <w:kern w:val="0"/>
      <w:sz w:val="28"/>
      <w:szCs w:val="20"/>
    </w:rPr>
  </w:style>
  <w:style w:type="paragraph" w:customStyle="1" w:styleId="165">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left"/>
      <w:textAlignment w:val="center"/>
    </w:pPr>
    <w:rPr>
      <w:rFonts w:ascii="宋体" w:hAnsi="宋体" w:cs="宋体"/>
      <w:b/>
      <w:bCs/>
      <w:kern w:val="0"/>
      <w:sz w:val="20"/>
      <w:szCs w:val="20"/>
    </w:rPr>
  </w:style>
  <w:style w:type="paragraph" w:customStyle="1" w:styleId="166">
    <w:name w:val="_Style 41"/>
    <w:basedOn w:val="1"/>
    <w:qFormat/>
    <w:uiPriority w:val="0"/>
    <w:pPr>
      <w:spacing w:line="360" w:lineRule="auto"/>
      <w:ind w:firstLine="200" w:firstLineChars="200"/>
    </w:pPr>
    <w:rPr>
      <w:rFonts w:hint="eastAsia" w:ascii="宋体" w:hAnsi="宋体"/>
      <w:sz w:val="24"/>
    </w:rPr>
  </w:style>
  <w:style w:type="paragraph" w:customStyle="1" w:styleId="167">
    <w:name w:val="xl35"/>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168">
    <w:name w:val="无间隔2"/>
    <w:basedOn w:val="1"/>
    <w:qFormat/>
    <w:uiPriority w:val="99"/>
    <w:pPr>
      <w:widowControl/>
      <w:jc w:val="left"/>
    </w:pPr>
    <w:rPr>
      <w:rFonts w:ascii="Calibri" w:hAnsi="Calibri"/>
      <w:kern w:val="0"/>
      <w:sz w:val="24"/>
      <w:szCs w:val="32"/>
      <w:lang w:eastAsia="en-US"/>
    </w:rPr>
  </w:style>
  <w:style w:type="paragraph" w:customStyle="1" w:styleId="169">
    <w:name w:val="xl76"/>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b/>
      <w:bCs/>
      <w:kern w:val="0"/>
      <w:sz w:val="20"/>
      <w:szCs w:val="20"/>
    </w:rPr>
  </w:style>
  <w:style w:type="paragraph" w:customStyle="1" w:styleId="170">
    <w:name w:val="Char1 Char Char Char 字元 Char Char 字元 Char 字元 Char1 Char Char Char"/>
    <w:basedOn w:val="1"/>
    <w:qFormat/>
    <w:uiPriority w:val="99"/>
    <w:rPr>
      <w:szCs w:val="20"/>
    </w:rPr>
  </w:style>
  <w:style w:type="paragraph" w:customStyle="1" w:styleId="171">
    <w:name w:val="正文(1)"/>
    <w:basedOn w:val="1"/>
    <w:qFormat/>
    <w:uiPriority w:val="99"/>
    <w:pPr>
      <w:tabs>
        <w:tab w:val="left" w:pos="432"/>
        <w:tab w:val="left" w:pos="1287"/>
      </w:tabs>
      <w:spacing w:line="360" w:lineRule="auto"/>
      <w:ind w:left="432" w:hanging="432"/>
    </w:pPr>
    <w:rPr>
      <w:sz w:val="28"/>
      <w:szCs w:val="20"/>
    </w:rPr>
  </w:style>
  <w:style w:type="paragraph" w:customStyle="1" w:styleId="172">
    <w:name w:val="_Style 171"/>
    <w:basedOn w:val="5"/>
    <w:next w:val="1"/>
    <w:qFormat/>
    <w:uiPriority w:val="0"/>
    <w:pPr>
      <w:keepLines w:val="0"/>
      <w:widowControl/>
      <w:spacing w:before="240" w:after="60" w:line="240" w:lineRule="auto"/>
      <w:jc w:val="left"/>
      <w:outlineLvl w:val="9"/>
    </w:pPr>
    <w:rPr>
      <w:rFonts w:ascii="Cambria" w:hAnsi="Cambria"/>
      <w:kern w:val="32"/>
      <w:sz w:val="32"/>
      <w:szCs w:val="32"/>
      <w:lang w:eastAsia="en-US" w:bidi="en-US"/>
    </w:rPr>
  </w:style>
  <w:style w:type="paragraph" w:customStyle="1" w:styleId="173">
    <w:name w:val="Title 4"/>
    <w:next w:val="174"/>
    <w:qFormat/>
    <w:uiPriority w:val="0"/>
    <w:pPr>
      <w:numPr>
        <w:ilvl w:val="0"/>
        <w:numId w:val="5"/>
      </w:numPr>
      <w:ind w:left="1276" w:hanging="562"/>
      <w:jc w:val="both"/>
    </w:pPr>
    <w:rPr>
      <w:rFonts w:ascii="Times New Roman" w:hAnsi="Times New Roman" w:eastAsia="宋体" w:cs="Times New Roman"/>
      <w:kern w:val="2"/>
      <w:sz w:val="24"/>
      <w:szCs w:val="24"/>
      <w:lang w:val="en-US" w:eastAsia="zh-CN" w:bidi="ar-SA"/>
    </w:rPr>
  </w:style>
  <w:style w:type="paragraph" w:customStyle="1" w:styleId="174">
    <w:name w:val="Title 4 Chinese"/>
    <w:qFormat/>
    <w:uiPriority w:val="0"/>
    <w:pPr>
      <w:ind w:left="1276"/>
    </w:pPr>
    <w:rPr>
      <w:rFonts w:ascii="Times New Roman" w:hAnsi="Times New Roman" w:eastAsia="宋体" w:cs="Times New Roman"/>
      <w:kern w:val="2"/>
      <w:sz w:val="24"/>
      <w:szCs w:val="24"/>
      <w:lang w:val="en-US" w:eastAsia="zh-CN" w:bidi="ar-SA"/>
    </w:rPr>
  </w:style>
  <w:style w:type="paragraph" w:customStyle="1" w:styleId="175">
    <w:name w:val="表格文字"/>
    <w:basedOn w:val="1"/>
    <w:qFormat/>
    <w:uiPriority w:val="99"/>
    <w:pPr>
      <w:adjustRightInd w:val="0"/>
      <w:spacing w:line="420" w:lineRule="atLeast"/>
      <w:jc w:val="left"/>
      <w:textAlignment w:val="baseline"/>
    </w:pPr>
    <w:rPr>
      <w:kern w:val="0"/>
      <w:szCs w:val="20"/>
    </w:rPr>
  </w:style>
  <w:style w:type="paragraph" w:customStyle="1" w:styleId="176">
    <w:name w:val="1 Char Char Char Char"/>
    <w:basedOn w:val="1"/>
    <w:qFormat/>
    <w:uiPriority w:val="0"/>
  </w:style>
  <w:style w:type="paragraph" w:customStyle="1" w:styleId="177">
    <w:name w:val="font7"/>
    <w:basedOn w:val="1"/>
    <w:qFormat/>
    <w:uiPriority w:val="0"/>
    <w:pPr>
      <w:widowControl/>
      <w:spacing w:before="100" w:beforeAutospacing="1" w:after="100" w:afterAutospacing="1"/>
      <w:jc w:val="left"/>
    </w:pPr>
    <w:rPr>
      <w:rFonts w:hint="eastAsia" w:ascii="仿宋_GB2312" w:hAnsi="Arial Unicode MS" w:eastAsia="仿宋_GB2312"/>
      <w:kern w:val="0"/>
      <w:sz w:val="24"/>
      <w:u w:val="single"/>
    </w:rPr>
  </w:style>
  <w:style w:type="paragraph" w:customStyle="1" w:styleId="178">
    <w:name w:val="pa-30"/>
    <w:basedOn w:val="1"/>
    <w:qFormat/>
    <w:uiPriority w:val="99"/>
    <w:pPr>
      <w:widowControl/>
      <w:spacing w:before="150" w:after="150" w:line="360" w:lineRule="atLeast"/>
      <w:ind w:firstLine="560"/>
      <w:jc w:val="left"/>
    </w:pPr>
    <w:rPr>
      <w:rFonts w:ascii="宋体" w:hAnsi="宋体" w:cs="宋体"/>
      <w:kern w:val="0"/>
      <w:sz w:val="24"/>
    </w:rPr>
  </w:style>
  <w:style w:type="paragraph" w:customStyle="1" w:styleId="179">
    <w:name w:val="目录"/>
    <w:basedOn w:val="1"/>
    <w:qFormat/>
    <w:uiPriority w:val="99"/>
    <w:pPr>
      <w:widowControl/>
      <w:jc w:val="center"/>
    </w:pPr>
    <w:rPr>
      <w:rFonts w:ascii="宋体"/>
      <w:b/>
      <w:kern w:val="0"/>
      <w:sz w:val="36"/>
      <w:szCs w:val="20"/>
    </w:rPr>
  </w:style>
  <w:style w:type="paragraph" w:customStyle="1" w:styleId="180">
    <w:name w:val="xl44"/>
    <w:basedOn w:val="1"/>
    <w:qFormat/>
    <w:uiPriority w:val="99"/>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center"/>
    </w:pPr>
    <w:rPr>
      <w:rFonts w:hint="eastAsia" w:ascii="仿宋_GB2312" w:hAnsi="Arial Unicode MS" w:eastAsia="仿宋_GB2312"/>
      <w:kern w:val="0"/>
      <w:sz w:val="24"/>
    </w:rPr>
  </w:style>
  <w:style w:type="paragraph" w:customStyle="1" w:styleId="181">
    <w:name w:val="xl50"/>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kern w:val="0"/>
      <w:sz w:val="18"/>
      <w:szCs w:val="18"/>
    </w:rPr>
  </w:style>
  <w:style w:type="paragraph" w:customStyle="1" w:styleId="182">
    <w:name w:val="通用标题7"/>
    <w:basedOn w:val="1"/>
    <w:qFormat/>
    <w:uiPriority w:val="0"/>
    <w:pPr>
      <w:widowControl/>
      <w:numPr>
        <w:ilvl w:val="5"/>
        <w:numId w:val="4"/>
      </w:numPr>
      <w:wordWrap w:val="0"/>
      <w:topLinePunct/>
      <w:adjustRightInd w:val="0"/>
      <w:snapToGrid w:val="0"/>
      <w:spacing w:after="120" w:afterLines="50" w:line="360" w:lineRule="auto"/>
      <w:ind w:firstLineChars="200"/>
    </w:pPr>
    <w:rPr>
      <w:rFonts w:ascii="宋体" w:hAnsi="宋体"/>
      <w:kern w:val="0"/>
      <w:sz w:val="24"/>
      <w:szCs w:val="20"/>
    </w:rPr>
  </w:style>
  <w:style w:type="paragraph" w:customStyle="1" w:styleId="183">
    <w:name w:val="菲页1"/>
    <w:basedOn w:val="6"/>
    <w:qFormat/>
    <w:uiPriority w:val="0"/>
    <w:pPr>
      <w:widowControl/>
      <w:spacing w:line="416" w:lineRule="auto"/>
      <w:jc w:val="center"/>
    </w:pPr>
    <w:rPr>
      <w:rFonts w:ascii="黑体" w:hAnsi="宋体"/>
      <w:b w:val="0"/>
      <w:bCs w:val="0"/>
      <w:kern w:val="0"/>
      <w:sz w:val="52"/>
      <w:szCs w:val="20"/>
    </w:rPr>
  </w:style>
  <w:style w:type="paragraph" w:customStyle="1" w:styleId="184">
    <w:name w:val="Style44"/>
    <w:basedOn w:val="1"/>
    <w:unhideWhenUsed/>
    <w:qFormat/>
    <w:uiPriority w:val="0"/>
  </w:style>
  <w:style w:type="paragraph" w:customStyle="1" w:styleId="185">
    <w:name w:val="0"/>
    <w:basedOn w:val="1"/>
    <w:qFormat/>
    <w:uiPriority w:val="99"/>
    <w:pPr>
      <w:widowControl/>
      <w:spacing w:before="100" w:beforeAutospacing="1" w:after="100" w:afterAutospacing="1"/>
      <w:jc w:val="left"/>
    </w:pPr>
    <w:rPr>
      <w:rFonts w:ascii="宋体" w:hAnsi="宋体" w:cs="宋体"/>
      <w:kern w:val="0"/>
      <w:sz w:val="24"/>
    </w:rPr>
  </w:style>
  <w:style w:type="paragraph" w:customStyle="1" w:styleId="18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87">
    <w:name w:val="xl26"/>
    <w:basedOn w:val="1"/>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188">
    <w:name w:val="font8"/>
    <w:basedOn w:val="1"/>
    <w:qFormat/>
    <w:uiPriority w:val="0"/>
    <w:pPr>
      <w:widowControl/>
      <w:spacing w:before="100" w:beforeAutospacing="1" w:after="100" w:afterAutospacing="1"/>
      <w:jc w:val="left"/>
    </w:pPr>
    <w:rPr>
      <w:rFonts w:hint="eastAsia" w:ascii="仿宋_GB2312" w:hAnsi="Arial Unicode MS" w:eastAsia="仿宋_GB2312"/>
      <w:kern w:val="0"/>
      <w:sz w:val="20"/>
      <w:szCs w:val="20"/>
      <w:u w:val="single"/>
    </w:rPr>
  </w:style>
  <w:style w:type="paragraph" w:customStyle="1" w:styleId="18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190">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91">
    <w:name w:val="小标题"/>
    <w:qFormat/>
    <w:uiPriority w:val="0"/>
    <w:pPr>
      <w:tabs>
        <w:tab w:val="left" w:pos="993"/>
      </w:tabs>
      <w:adjustRightInd w:val="0"/>
      <w:snapToGrid w:val="0"/>
    </w:pPr>
    <w:rPr>
      <w:rFonts w:ascii="Times New Roman" w:hAnsi="Times New Roman" w:eastAsia="宋体" w:cs="Times New Roman"/>
      <w:bCs/>
      <w:kern w:val="2"/>
      <w:sz w:val="24"/>
      <w:szCs w:val="22"/>
      <w:lang w:val="en-US" w:eastAsia="zh-CN" w:bidi="ar-SA"/>
    </w:rPr>
  </w:style>
  <w:style w:type="paragraph" w:customStyle="1" w:styleId="192">
    <w:name w:val="标题 #3 (2)"/>
    <w:basedOn w:val="1"/>
    <w:link w:val="354"/>
    <w:qFormat/>
    <w:uiPriority w:val="99"/>
    <w:pPr>
      <w:shd w:val="clear" w:color="auto" w:fill="FFFFFF"/>
      <w:spacing w:before="120" w:after="120" w:line="240" w:lineRule="atLeast"/>
      <w:ind w:firstLine="260"/>
      <w:jc w:val="distribute"/>
      <w:outlineLvl w:val="2"/>
    </w:pPr>
    <w:rPr>
      <w:rFonts w:ascii="MingLiU" w:hAnsi="MingLiU" w:eastAsia="MingLiU"/>
      <w:kern w:val="0"/>
      <w:sz w:val="11"/>
      <w:szCs w:val="11"/>
    </w:rPr>
  </w:style>
  <w:style w:type="paragraph" w:customStyle="1" w:styleId="193">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仿宋_GB2312" w:hAnsi="Arial Unicode MS" w:eastAsia="仿宋_GB2312" w:cs="Arial Unicode MS"/>
      <w:color w:val="000000"/>
      <w:kern w:val="0"/>
      <w:sz w:val="20"/>
      <w:szCs w:val="20"/>
    </w:rPr>
  </w:style>
  <w:style w:type="paragraph" w:customStyle="1" w:styleId="194">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
    <w:name w:val="样式2"/>
    <w:basedOn w:val="7"/>
    <w:qFormat/>
    <w:uiPriority w:val="99"/>
    <w:rPr>
      <w:i/>
    </w:rPr>
  </w:style>
  <w:style w:type="paragraph" w:customStyle="1" w:styleId="196">
    <w:name w:val="xl6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b/>
      <w:bCs/>
      <w:kern w:val="0"/>
      <w:sz w:val="20"/>
      <w:szCs w:val="20"/>
    </w:rPr>
  </w:style>
  <w:style w:type="paragraph" w:customStyle="1" w:styleId="197">
    <w:name w:val="TOC 标题1"/>
    <w:basedOn w:val="5"/>
    <w:next w:val="1"/>
    <w:qFormat/>
    <w:uiPriority w:val="39"/>
    <w:pPr>
      <w:keepLines w:val="0"/>
      <w:widowControl/>
      <w:spacing w:before="240" w:after="60" w:line="240" w:lineRule="auto"/>
      <w:jc w:val="left"/>
      <w:outlineLvl w:val="9"/>
    </w:pPr>
    <w:rPr>
      <w:rFonts w:ascii="Cambria" w:hAnsi="Cambria"/>
      <w:kern w:val="32"/>
      <w:sz w:val="32"/>
      <w:szCs w:val="32"/>
      <w:lang w:eastAsia="en-US"/>
    </w:rPr>
  </w:style>
  <w:style w:type="paragraph" w:customStyle="1" w:styleId="198">
    <w:name w:val="协议书标题2"/>
    <w:basedOn w:val="6"/>
    <w:next w:val="1"/>
    <w:qFormat/>
    <w:uiPriority w:val="0"/>
    <w:pPr>
      <w:keepNext w:val="0"/>
      <w:keepLines w:val="0"/>
      <w:widowControl/>
      <w:numPr>
        <w:ilvl w:val="0"/>
        <w:numId w:val="6"/>
      </w:numPr>
      <w:tabs>
        <w:tab w:val="left" w:pos="567"/>
      </w:tabs>
      <w:wordWrap w:val="0"/>
      <w:topLinePunct/>
      <w:adjustRightInd w:val="0"/>
      <w:snapToGrid w:val="0"/>
      <w:spacing w:before="0" w:after="120" w:afterLines="50" w:line="360" w:lineRule="auto"/>
      <w:ind w:firstLine="0"/>
      <w:jc w:val="left"/>
    </w:pPr>
    <w:rPr>
      <w:rFonts w:ascii="宋体" w:hAnsi="宋体" w:eastAsia="宋体"/>
      <w:bCs w:val="0"/>
      <w:kern w:val="0"/>
      <w:sz w:val="24"/>
      <w:szCs w:val="20"/>
    </w:rPr>
  </w:style>
  <w:style w:type="paragraph" w:customStyle="1" w:styleId="199">
    <w:name w:val="附件标题1"/>
    <w:next w:val="1"/>
    <w:qFormat/>
    <w:uiPriority w:val="0"/>
    <w:pPr>
      <w:numPr>
        <w:ilvl w:val="0"/>
        <w:numId w:val="7"/>
      </w:numPr>
      <w:tabs>
        <w:tab w:val="left" w:pos="567"/>
      </w:tabs>
      <w:adjustRightInd w:val="0"/>
      <w:snapToGrid w:val="0"/>
      <w:spacing w:after="120" w:afterLines="50" w:line="312" w:lineRule="auto"/>
    </w:pPr>
    <w:rPr>
      <w:rFonts w:ascii="黑体" w:hAnsi="黑体" w:eastAsia="黑体" w:cs="Times New Roman"/>
      <w:b/>
      <w:kern w:val="2"/>
      <w:sz w:val="24"/>
      <w:szCs w:val="24"/>
      <w:lang w:val="en-US" w:eastAsia="zh-CN" w:bidi="ar-SA"/>
    </w:rPr>
  </w:style>
  <w:style w:type="paragraph" w:customStyle="1" w:styleId="200">
    <w:name w:val="菲页(卷)"/>
    <w:basedOn w:val="5"/>
    <w:next w:val="186"/>
    <w:qFormat/>
    <w:uiPriority w:val="0"/>
    <w:pPr>
      <w:keepLines w:val="0"/>
      <w:widowControl/>
      <w:tabs>
        <w:tab w:val="left" w:pos="1140"/>
      </w:tabs>
      <w:spacing w:before="0" w:after="0" w:line="240" w:lineRule="auto"/>
      <w:ind w:left="1140" w:hanging="720"/>
      <w:jc w:val="center"/>
      <w:outlineLvl w:val="1"/>
    </w:pPr>
    <w:rPr>
      <w:rFonts w:ascii="黑体" w:eastAsia="黑体"/>
      <w:b w:val="0"/>
      <w:bCs w:val="0"/>
      <w:kern w:val="0"/>
      <w:sz w:val="52"/>
      <w:szCs w:val="20"/>
    </w:rPr>
  </w:style>
  <w:style w:type="paragraph" w:customStyle="1" w:styleId="20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3">
    <w:name w:val="xl73"/>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hint="eastAsia" w:ascii="仿宋_GB2312" w:hAnsi="Arial Unicode MS" w:eastAsia="仿宋_GB2312" w:cs="Arial Unicode MS"/>
      <w:kern w:val="0"/>
      <w:sz w:val="20"/>
      <w:szCs w:val="20"/>
    </w:rPr>
  </w:style>
  <w:style w:type="paragraph" w:customStyle="1" w:styleId="204">
    <w:name w:val="xl4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int="eastAsia" w:ascii="黑体" w:hAnsi="Arial Unicode MS" w:eastAsia="黑体"/>
      <w:b/>
      <w:bCs/>
      <w:kern w:val="0"/>
      <w:sz w:val="24"/>
    </w:rPr>
  </w:style>
  <w:style w:type="paragraph" w:customStyle="1" w:styleId="205">
    <w:name w:val="_Style 4"/>
    <w:basedOn w:val="1"/>
    <w:qFormat/>
    <w:uiPriority w:val="0"/>
    <w:pPr>
      <w:widowControl/>
      <w:spacing w:after="160" w:line="240" w:lineRule="exact"/>
      <w:jc w:val="left"/>
    </w:pPr>
    <w:rPr>
      <w:szCs w:val="20"/>
    </w:rPr>
  </w:style>
  <w:style w:type="paragraph" w:customStyle="1" w:styleId="206">
    <w:name w:val="_Style 1"/>
    <w:basedOn w:val="1"/>
    <w:qFormat/>
    <w:uiPriority w:val="99"/>
    <w:pPr>
      <w:ind w:firstLine="420" w:firstLineChars="200"/>
    </w:pPr>
  </w:style>
  <w:style w:type="paragraph" w:customStyle="1" w:styleId="207">
    <w:name w:val="Style64"/>
    <w:basedOn w:val="1"/>
    <w:unhideWhenUsed/>
    <w:qFormat/>
    <w:uiPriority w:val="0"/>
  </w:style>
  <w:style w:type="paragraph" w:customStyle="1" w:styleId="208">
    <w:name w:val="正文文本 (6)"/>
    <w:basedOn w:val="1"/>
    <w:link w:val="534"/>
    <w:qFormat/>
    <w:uiPriority w:val="99"/>
    <w:pPr>
      <w:shd w:val="clear" w:color="auto" w:fill="FFFFFF"/>
      <w:spacing w:before="120" w:after="120" w:line="240" w:lineRule="atLeast"/>
      <w:ind w:firstLine="260"/>
      <w:jc w:val="distribute"/>
    </w:pPr>
    <w:rPr>
      <w:rFonts w:ascii="MingLiU" w:hAnsi="MingLiU" w:eastAsia="MingLiU"/>
      <w:spacing w:val="20"/>
      <w:kern w:val="0"/>
      <w:sz w:val="13"/>
      <w:szCs w:val="13"/>
    </w:rPr>
  </w:style>
  <w:style w:type="paragraph" w:customStyle="1" w:styleId="209">
    <w:name w:val="Char Char Char Char Char Char Char Char Char Char Char Char Char"/>
    <w:basedOn w:val="1"/>
    <w:qFormat/>
    <w:uiPriority w:val="0"/>
    <w:rPr>
      <w:rFonts w:ascii="宋体" w:hAnsi="宋体"/>
      <w:sz w:val="24"/>
    </w:rPr>
  </w:style>
  <w:style w:type="paragraph" w:customStyle="1" w:styleId="210">
    <w:name w:val="xl57"/>
    <w:basedOn w:val="1"/>
    <w:qFormat/>
    <w:uiPriority w:val="0"/>
    <w:pPr>
      <w:widowControl/>
      <w:spacing w:before="100" w:beforeAutospacing="1" w:after="100" w:afterAutospacing="1"/>
      <w:jc w:val="right"/>
      <w:textAlignment w:val="center"/>
    </w:pPr>
    <w:rPr>
      <w:rFonts w:hint="eastAsia" w:ascii="仿宋_GB2312" w:hAnsi="Arial Unicode MS" w:eastAsia="仿宋_GB2312"/>
      <w:kern w:val="0"/>
      <w:sz w:val="18"/>
      <w:szCs w:val="18"/>
    </w:rPr>
  </w:style>
  <w:style w:type="paragraph" w:customStyle="1" w:styleId="211">
    <w:name w:val="Char Char Char Char"/>
    <w:basedOn w:val="1"/>
    <w:qFormat/>
    <w:uiPriority w:val="0"/>
    <w:pPr>
      <w:snapToGrid w:val="0"/>
      <w:spacing w:line="360" w:lineRule="auto"/>
      <w:ind w:firstLine="200" w:firstLineChars="200"/>
    </w:pPr>
    <w:rPr>
      <w:rFonts w:ascii="Arial" w:hAnsi="Arial"/>
      <w:sz w:val="32"/>
      <w:szCs w:val="20"/>
    </w:rPr>
  </w:style>
  <w:style w:type="paragraph" w:customStyle="1" w:styleId="212">
    <w:name w:val="修订1"/>
    <w:qFormat/>
    <w:uiPriority w:val="99"/>
    <w:rPr>
      <w:rFonts w:ascii="Times New Roman" w:hAnsi="Times New Roman" w:eastAsia="宋体" w:cs="Times New Roman"/>
      <w:kern w:val="2"/>
      <w:sz w:val="21"/>
      <w:szCs w:val="24"/>
      <w:lang w:val="en-US" w:eastAsia="zh-CN" w:bidi="ar-SA"/>
    </w:rPr>
  </w:style>
  <w:style w:type="paragraph" w:customStyle="1" w:styleId="213">
    <w:name w:val="xl87"/>
    <w:basedOn w:val="1"/>
    <w:qFormat/>
    <w:uiPriority w:val="0"/>
    <w:pPr>
      <w:widowControl/>
      <w:spacing w:before="100" w:beforeAutospacing="1" w:after="100" w:afterAutospacing="1"/>
      <w:jc w:val="left"/>
    </w:pPr>
    <w:rPr>
      <w:rFonts w:ascii="宋体" w:hAnsi="宋体" w:cs="宋体"/>
      <w:kern w:val="0"/>
      <w:sz w:val="24"/>
    </w:rPr>
  </w:style>
  <w:style w:type="paragraph" w:customStyle="1" w:styleId="214">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15">
    <w:name w:val="xl66"/>
    <w:basedOn w:val="1"/>
    <w:qFormat/>
    <w:uiPriority w:val="0"/>
    <w:pPr>
      <w:widowControl/>
      <w:spacing w:before="100" w:beforeAutospacing="1" w:after="100" w:afterAutospacing="1"/>
      <w:jc w:val="center"/>
      <w:textAlignment w:val="center"/>
    </w:pPr>
    <w:rPr>
      <w:rFonts w:hint="eastAsia" w:ascii="隶书" w:hAnsi="Arial Unicode MS" w:eastAsia="隶书" w:cs="Arial Unicode MS"/>
      <w:b/>
      <w:bCs/>
      <w:kern w:val="0"/>
      <w:sz w:val="40"/>
      <w:szCs w:val="40"/>
    </w:rPr>
  </w:style>
  <w:style w:type="paragraph" w:customStyle="1" w:styleId="21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17">
    <w:name w:val="表格"/>
    <w:basedOn w:val="1"/>
    <w:qFormat/>
    <w:uiPriority w:val="99"/>
    <w:pPr>
      <w:jc w:val="center"/>
      <w:textAlignment w:val="center"/>
    </w:pPr>
    <w:rPr>
      <w:rFonts w:ascii="华文细黑" w:hAnsi="华文细黑"/>
      <w:kern w:val="0"/>
      <w:szCs w:val="20"/>
    </w:rPr>
  </w:style>
  <w:style w:type="paragraph" w:customStyle="1" w:styleId="218">
    <w:name w:val="xl36"/>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19">
    <w:name w:val="标题4"/>
    <w:basedOn w:val="6"/>
    <w:next w:val="26"/>
    <w:link w:val="454"/>
    <w:qFormat/>
    <w:uiPriority w:val="0"/>
    <w:pPr>
      <w:spacing w:line="413" w:lineRule="auto"/>
    </w:pPr>
    <w:rPr>
      <w:rFonts w:eastAsia="宋体"/>
      <w:kern w:val="0"/>
      <w:sz w:val="24"/>
    </w:rPr>
  </w:style>
  <w:style w:type="paragraph" w:customStyle="1" w:styleId="220">
    <w:name w:val="xl6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center"/>
    </w:pPr>
    <w:rPr>
      <w:rFonts w:hint="eastAsia" w:ascii="仿宋_GB2312" w:hAnsi="Arial Unicode MS" w:eastAsia="仿宋_GB2312" w:cs="Arial Unicode MS"/>
      <w:kern w:val="0"/>
      <w:sz w:val="20"/>
      <w:szCs w:val="20"/>
    </w:rPr>
  </w:style>
  <w:style w:type="paragraph" w:customStyle="1" w:styleId="221">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left"/>
      <w:textAlignment w:val="center"/>
    </w:pPr>
    <w:rPr>
      <w:rFonts w:ascii="宋体" w:hAnsi="宋体" w:cs="宋体"/>
      <w:b/>
      <w:bCs/>
      <w:kern w:val="0"/>
      <w:sz w:val="20"/>
      <w:szCs w:val="20"/>
    </w:rPr>
  </w:style>
  <w:style w:type="paragraph" w:customStyle="1" w:styleId="222">
    <w:name w:val="xl69"/>
    <w:basedOn w:val="1"/>
    <w:qFormat/>
    <w:uiPriority w:val="0"/>
    <w:pPr>
      <w:widowControl/>
      <w:pBdr>
        <w:top w:val="single" w:color="auto" w:sz="4" w:space="0"/>
      </w:pBdr>
      <w:spacing w:before="100" w:beforeAutospacing="1" w:after="100" w:afterAutospacing="1"/>
      <w:jc w:val="left"/>
      <w:textAlignment w:val="center"/>
    </w:pPr>
    <w:rPr>
      <w:rFonts w:hint="eastAsia" w:ascii="仿宋_GB2312" w:hAnsi="Arial Unicode MS" w:eastAsia="仿宋_GB2312" w:cs="Arial Unicode MS"/>
      <w:kern w:val="0"/>
      <w:sz w:val="20"/>
      <w:szCs w:val="20"/>
    </w:rPr>
  </w:style>
  <w:style w:type="paragraph" w:customStyle="1" w:styleId="22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left"/>
      <w:textAlignment w:val="center"/>
    </w:pPr>
    <w:rPr>
      <w:rFonts w:ascii="宋体" w:hAnsi="宋体" w:cs="宋体"/>
      <w:kern w:val="0"/>
      <w:sz w:val="20"/>
      <w:szCs w:val="20"/>
    </w:rPr>
  </w:style>
  <w:style w:type="paragraph" w:customStyle="1" w:styleId="224">
    <w:name w:val="Heading 2"/>
    <w:basedOn w:val="1"/>
    <w:qFormat/>
    <w:uiPriority w:val="1"/>
    <w:pPr>
      <w:spacing w:line="269" w:lineRule="exact"/>
      <w:ind w:left="628" w:hanging="477"/>
      <w:outlineLvl w:val="2"/>
    </w:pPr>
    <w:rPr>
      <w:b/>
      <w:bCs/>
      <w:sz w:val="21"/>
      <w:szCs w:val="21"/>
    </w:rPr>
  </w:style>
  <w:style w:type="paragraph" w:customStyle="1" w:styleId="225">
    <w:name w:val="标题 #3"/>
    <w:basedOn w:val="1"/>
    <w:link w:val="445"/>
    <w:qFormat/>
    <w:uiPriority w:val="99"/>
    <w:pPr>
      <w:shd w:val="clear" w:color="auto" w:fill="FFFFFF"/>
      <w:spacing w:before="180" w:after="180" w:line="240" w:lineRule="atLeast"/>
      <w:ind w:firstLine="260"/>
      <w:jc w:val="distribute"/>
      <w:outlineLvl w:val="2"/>
    </w:pPr>
    <w:rPr>
      <w:rFonts w:ascii="MingLiU" w:hAnsi="MingLiU" w:eastAsia="MingLiU"/>
      <w:spacing w:val="20"/>
      <w:kern w:val="0"/>
      <w:sz w:val="13"/>
      <w:szCs w:val="13"/>
    </w:rPr>
  </w:style>
  <w:style w:type="paragraph" w:customStyle="1" w:styleId="226">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仿宋_GB2312" w:hAnsi="Arial Unicode MS" w:eastAsia="仿宋_GB2312" w:cs="Arial Unicode MS"/>
      <w:kern w:val="0"/>
      <w:sz w:val="20"/>
      <w:szCs w:val="20"/>
    </w:rPr>
  </w:style>
  <w:style w:type="paragraph" w:customStyle="1" w:styleId="227">
    <w:name w:val="标题5"/>
    <w:basedOn w:val="7"/>
    <w:link w:val="432"/>
    <w:qFormat/>
    <w:uiPriority w:val="0"/>
    <w:pPr>
      <w:spacing w:line="413" w:lineRule="auto"/>
      <w:ind w:firstLine="0" w:firstLineChars="0"/>
    </w:pPr>
    <w:rPr>
      <w:rFonts w:ascii="Arial" w:hAnsi="Arial" w:eastAsia="宋体"/>
      <w:b/>
      <w:kern w:val="0"/>
      <w:sz w:val="24"/>
      <w:szCs w:val="32"/>
    </w:rPr>
  </w:style>
  <w:style w:type="paragraph" w:customStyle="1" w:styleId="228">
    <w:name w:val="标题3"/>
    <w:basedOn w:val="5"/>
    <w:qFormat/>
    <w:uiPriority w:val="99"/>
    <w:pPr>
      <w:keepLines w:val="0"/>
      <w:spacing w:before="156" w:beforeLines="50" w:after="156" w:afterLines="50" w:line="400" w:lineRule="exact"/>
    </w:pPr>
    <w:rPr>
      <w:rFonts w:ascii="宋体" w:hAnsi="宋体"/>
      <w:kern w:val="32"/>
      <w:sz w:val="24"/>
      <w:szCs w:val="32"/>
    </w:rPr>
  </w:style>
  <w:style w:type="paragraph" w:customStyle="1" w:styleId="229">
    <w:name w:val="明显引用2"/>
    <w:basedOn w:val="1"/>
    <w:next w:val="1"/>
    <w:qFormat/>
    <w:uiPriority w:val="99"/>
    <w:pPr>
      <w:widowControl/>
      <w:ind w:left="720" w:right="720"/>
      <w:jc w:val="left"/>
    </w:pPr>
    <w:rPr>
      <w:b/>
      <w:i/>
      <w:kern w:val="0"/>
      <w:sz w:val="24"/>
      <w:szCs w:val="20"/>
    </w:rPr>
  </w:style>
  <w:style w:type="paragraph" w:customStyle="1" w:styleId="230">
    <w:name w:val="xl53"/>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仿宋_GB2312" w:hAnsi="Arial Unicode MS" w:eastAsia="仿宋_GB2312"/>
      <w:kern w:val="0"/>
      <w:sz w:val="18"/>
      <w:szCs w:val="18"/>
    </w:rPr>
  </w:style>
  <w:style w:type="paragraph" w:customStyle="1" w:styleId="231">
    <w:name w:val="正文文本 (2)"/>
    <w:basedOn w:val="1"/>
    <w:link w:val="364"/>
    <w:qFormat/>
    <w:uiPriority w:val="99"/>
    <w:pPr>
      <w:shd w:val="clear" w:color="auto" w:fill="FFFFFF"/>
      <w:spacing w:line="226" w:lineRule="exact"/>
      <w:ind w:hanging="200"/>
      <w:jc w:val="distribute"/>
    </w:pPr>
    <w:rPr>
      <w:rFonts w:ascii="MingLiU" w:hAnsi="MingLiU" w:eastAsia="MingLiU"/>
      <w:kern w:val="0"/>
      <w:sz w:val="11"/>
      <w:szCs w:val="11"/>
    </w:rPr>
  </w:style>
  <w:style w:type="paragraph" w:customStyle="1" w:styleId="232">
    <w:name w:val="图坔格式 Char"/>
    <w:basedOn w:val="1"/>
    <w:qFormat/>
    <w:uiPriority w:val="99"/>
    <w:pPr>
      <w:spacing w:beforeLines="50" w:afterLines="50"/>
      <w:jc w:val="center"/>
    </w:pPr>
  </w:style>
  <w:style w:type="paragraph" w:customStyle="1" w:styleId="23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34">
    <w:name w:val="bb"/>
    <w:basedOn w:val="1"/>
    <w:qFormat/>
    <w:uiPriority w:val="99"/>
    <w:pPr>
      <w:widowControl/>
      <w:spacing w:before="100" w:beforeAutospacing="1" w:after="100" w:afterAutospacing="1"/>
      <w:jc w:val="left"/>
    </w:pPr>
    <w:rPr>
      <w:rFonts w:ascii="宋体" w:hAnsi="宋体" w:cs="宋体"/>
      <w:b/>
      <w:bCs/>
      <w:color w:val="990000"/>
      <w:kern w:val="0"/>
      <w:szCs w:val="21"/>
    </w:rPr>
  </w:style>
  <w:style w:type="paragraph" w:customStyle="1" w:styleId="235">
    <w:name w:val="xl54"/>
    <w:basedOn w:val="1"/>
    <w:qFormat/>
    <w:uiPriority w:val="0"/>
    <w:pPr>
      <w:widowControl/>
      <w:spacing w:before="100" w:beforeAutospacing="1" w:after="100" w:afterAutospacing="1"/>
      <w:jc w:val="left"/>
      <w:textAlignment w:val="center"/>
    </w:pPr>
    <w:rPr>
      <w:rFonts w:hint="eastAsia" w:ascii="仿宋_GB2312" w:hAnsi="Arial Unicode MS" w:eastAsia="仿宋_GB2312"/>
      <w:kern w:val="0"/>
      <w:sz w:val="18"/>
      <w:szCs w:val="18"/>
    </w:rPr>
  </w:style>
  <w:style w:type="paragraph" w:customStyle="1" w:styleId="236">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7">
    <w:name w:val="重要文字2"/>
    <w:basedOn w:val="238"/>
    <w:qFormat/>
    <w:uiPriority w:val="99"/>
    <w:pPr>
      <w:adjustRightInd w:val="0"/>
      <w:snapToGrid w:val="0"/>
      <w:spacing w:line="360" w:lineRule="auto"/>
      <w:ind w:firstLine="472" w:firstLineChars="224"/>
    </w:pPr>
    <w:rPr>
      <w:rFonts w:ascii="黑体" w:hAnsi="宋体" w:eastAsia="黑体"/>
      <w:b/>
      <w:sz w:val="21"/>
      <w:szCs w:val="21"/>
    </w:rPr>
  </w:style>
  <w:style w:type="paragraph" w:customStyle="1" w:styleId="238">
    <w:name w:val="重要文字1"/>
    <w:basedOn w:val="1"/>
    <w:qFormat/>
    <w:uiPriority w:val="99"/>
    <w:pPr>
      <w:ind w:firstLine="200" w:firstLineChars="200"/>
    </w:pPr>
    <w:rPr>
      <w:sz w:val="24"/>
    </w:rPr>
  </w:style>
  <w:style w:type="paragraph" w:customStyle="1" w:styleId="239">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left"/>
      <w:textAlignment w:val="center"/>
    </w:pPr>
    <w:rPr>
      <w:rFonts w:ascii="宋体" w:hAnsi="宋体" w:cs="宋体"/>
      <w:b/>
      <w:bCs/>
      <w:kern w:val="0"/>
      <w:sz w:val="20"/>
      <w:szCs w:val="20"/>
    </w:rPr>
  </w:style>
  <w:style w:type="paragraph" w:customStyle="1" w:styleId="240">
    <w:name w:val="默认段落字体 Para Char Char Char Char Char Char Char Char Char Char Char Char Char Char Char Char Char Char Char"/>
    <w:basedOn w:val="1"/>
    <w:qFormat/>
    <w:uiPriority w:val="99"/>
  </w:style>
  <w:style w:type="paragraph" w:customStyle="1" w:styleId="241">
    <w:name w:val="样式5"/>
    <w:basedOn w:val="1"/>
    <w:link w:val="336"/>
    <w:qFormat/>
    <w:uiPriority w:val="99"/>
    <w:pPr>
      <w:spacing w:line="400" w:lineRule="exact"/>
      <w:ind w:firstLine="200" w:firstLineChars="200"/>
    </w:pPr>
    <w:rPr>
      <w:sz w:val="24"/>
    </w:rPr>
  </w:style>
  <w:style w:type="paragraph" w:customStyle="1" w:styleId="242">
    <w:name w:val="List Paragraph"/>
    <w:basedOn w:val="1"/>
    <w:qFormat/>
    <w:uiPriority w:val="34"/>
    <w:pPr>
      <w:ind w:firstLine="420" w:firstLineChars="200"/>
    </w:pPr>
  </w:style>
  <w:style w:type="paragraph" w:customStyle="1" w:styleId="243">
    <w:name w:val="No Spacing1"/>
    <w:link w:val="447"/>
    <w:qFormat/>
    <w:uiPriority w:val="99"/>
    <w:rPr>
      <w:rFonts w:ascii="Calibri" w:hAnsi="Calibri" w:eastAsia="宋体" w:cs="Times New Roman"/>
      <w:sz w:val="22"/>
      <w:szCs w:val="22"/>
      <w:lang w:val="en-US" w:eastAsia="zh-CN" w:bidi="ar-SA"/>
    </w:rPr>
  </w:style>
  <w:style w:type="paragraph" w:customStyle="1" w:styleId="244">
    <w:name w:val="xl70"/>
    <w:basedOn w:val="1"/>
    <w:qFormat/>
    <w:uiPriority w:val="0"/>
    <w:pPr>
      <w:widowControl/>
      <w:pBdr>
        <w:top w:val="single" w:color="auto" w:sz="4" w:space="0"/>
        <w:right w:val="single" w:color="auto" w:sz="8" w:space="0"/>
      </w:pBdr>
      <w:spacing w:before="100" w:beforeAutospacing="1" w:after="100" w:afterAutospacing="1"/>
      <w:jc w:val="left"/>
      <w:textAlignment w:val="center"/>
    </w:pPr>
    <w:rPr>
      <w:rFonts w:hint="eastAsia" w:ascii="仿宋_GB2312" w:hAnsi="Arial Unicode MS" w:eastAsia="仿宋_GB2312" w:cs="Arial Unicode MS"/>
      <w:kern w:val="0"/>
      <w:sz w:val="20"/>
      <w:szCs w:val="20"/>
    </w:rPr>
  </w:style>
  <w:style w:type="paragraph" w:customStyle="1" w:styleId="245">
    <w:name w:val="纯文本1"/>
    <w:basedOn w:val="1"/>
    <w:qFormat/>
    <w:uiPriority w:val="0"/>
    <w:rPr>
      <w:rFonts w:ascii="宋体" w:hAnsi="Courier New"/>
      <w:szCs w:val="20"/>
    </w:rPr>
  </w:style>
  <w:style w:type="paragraph" w:customStyle="1" w:styleId="246">
    <w:name w:val="Blockquote"/>
    <w:basedOn w:val="1"/>
    <w:qFormat/>
    <w:uiPriority w:val="99"/>
    <w:pPr>
      <w:autoSpaceDE w:val="0"/>
      <w:autoSpaceDN w:val="0"/>
      <w:adjustRightInd w:val="0"/>
      <w:spacing w:before="100" w:after="100"/>
      <w:ind w:left="360" w:right="360"/>
      <w:jc w:val="left"/>
    </w:pPr>
    <w:rPr>
      <w:kern w:val="0"/>
      <w:sz w:val="24"/>
      <w:szCs w:val="20"/>
    </w:rPr>
  </w:style>
  <w:style w:type="paragraph" w:customStyle="1" w:styleId="247">
    <w:name w:val="引用1"/>
    <w:basedOn w:val="1"/>
    <w:next w:val="1"/>
    <w:qFormat/>
    <w:uiPriority w:val="99"/>
    <w:pPr>
      <w:widowControl/>
      <w:jc w:val="left"/>
    </w:pPr>
    <w:rPr>
      <w:i/>
      <w:kern w:val="0"/>
      <w:sz w:val="24"/>
      <w:szCs w:val="20"/>
    </w:rPr>
  </w:style>
  <w:style w:type="paragraph" w:customStyle="1" w:styleId="248">
    <w:name w:val="专用标题3"/>
    <w:basedOn w:val="7"/>
    <w:qFormat/>
    <w:uiPriority w:val="0"/>
    <w:pPr>
      <w:widowControl/>
      <w:numPr>
        <w:ilvl w:val="1"/>
        <w:numId w:val="8"/>
      </w:numPr>
      <w:wordWrap w:val="0"/>
      <w:topLinePunct/>
      <w:adjustRightInd w:val="0"/>
      <w:snapToGrid w:val="0"/>
      <w:spacing w:before="0" w:after="120" w:afterLines="50" w:line="360" w:lineRule="auto"/>
      <w:ind w:firstLineChars="0"/>
      <w:jc w:val="left"/>
    </w:pPr>
    <w:rPr>
      <w:rFonts w:ascii="宋体" w:eastAsia="宋体"/>
      <w:b/>
      <w:bCs w:val="0"/>
      <w:kern w:val="0"/>
      <w:sz w:val="24"/>
      <w:szCs w:val="20"/>
    </w:rPr>
  </w:style>
  <w:style w:type="paragraph" w:customStyle="1" w:styleId="249">
    <w:name w:val="通用标题5"/>
    <w:qFormat/>
    <w:uiPriority w:val="0"/>
    <w:pPr>
      <w:widowControl w:val="0"/>
      <w:numPr>
        <w:ilvl w:val="3"/>
        <w:numId w:val="2"/>
      </w:numPr>
      <w:tabs>
        <w:tab w:val="left" w:pos="1134"/>
      </w:tabs>
      <w:autoSpaceDE w:val="0"/>
      <w:autoSpaceDN w:val="0"/>
      <w:adjustRightInd w:val="0"/>
      <w:snapToGrid w:val="0"/>
      <w:spacing w:after="120" w:afterLines="50" w:line="360" w:lineRule="auto"/>
      <w:jc w:val="both"/>
    </w:pPr>
    <w:rPr>
      <w:rFonts w:ascii="宋体" w:hAnsi="宋体" w:eastAsia="宋体" w:cs="Times New Roman"/>
      <w:kern w:val="2"/>
      <w:sz w:val="24"/>
      <w:szCs w:val="21"/>
      <w:lang w:val="en-US" w:eastAsia="zh-CN" w:bidi="ar-SA"/>
    </w:rPr>
  </w:style>
  <w:style w:type="paragraph" w:customStyle="1" w:styleId="250">
    <w:name w:val="正文文本 (7)"/>
    <w:basedOn w:val="1"/>
    <w:link w:val="532"/>
    <w:qFormat/>
    <w:uiPriority w:val="99"/>
    <w:pPr>
      <w:shd w:val="clear" w:color="auto" w:fill="FFFFFF"/>
      <w:spacing w:before="180" w:after="120" w:line="240" w:lineRule="atLeast"/>
      <w:ind w:firstLine="260"/>
    </w:pPr>
    <w:rPr>
      <w:rFonts w:ascii="FrankRuehl" w:hAnsi="FrankRuehl" w:eastAsia="Times New Roman" w:cs="FrankRuehl"/>
      <w:kern w:val="0"/>
      <w:sz w:val="14"/>
      <w:szCs w:val="14"/>
      <w:lang w:eastAsia="en-US" w:bidi="he-IL"/>
    </w:rPr>
  </w:style>
  <w:style w:type="paragraph" w:customStyle="1" w:styleId="251">
    <w:name w:val="font9"/>
    <w:basedOn w:val="1"/>
    <w:qFormat/>
    <w:uiPriority w:val="0"/>
    <w:pPr>
      <w:widowControl/>
      <w:spacing w:before="100" w:beforeAutospacing="1" w:after="100" w:afterAutospacing="1"/>
      <w:jc w:val="left"/>
    </w:pPr>
    <w:rPr>
      <w:rFonts w:hint="eastAsia" w:ascii="仿宋_GB2312" w:hAnsi="Arial Unicode MS" w:eastAsia="仿宋_GB2312" w:cs="Arial Unicode MS"/>
      <w:kern w:val="0"/>
      <w:szCs w:val="21"/>
    </w:rPr>
  </w:style>
  <w:style w:type="paragraph" w:customStyle="1" w:styleId="252">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53">
    <w:name w:val="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4">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仿宋_GB2312" w:hAnsi="Arial Unicode MS" w:eastAsia="仿宋_GB2312" w:cs="Arial Unicode MS"/>
      <w:color w:val="000000"/>
      <w:kern w:val="0"/>
      <w:sz w:val="20"/>
      <w:szCs w:val="20"/>
    </w:rPr>
  </w:style>
  <w:style w:type="paragraph" w:customStyle="1" w:styleId="255">
    <w:name w:val="Table Paragraph"/>
    <w:basedOn w:val="1"/>
    <w:qFormat/>
    <w:uiPriority w:val="1"/>
    <w:rPr>
      <w:rFonts w:ascii="宋体" w:hAnsi="宋体" w:cs="宋体"/>
      <w:lang w:val="zh-CN" w:bidi="zh-CN"/>
    </w:rPr>
  </w:style>
  <w:style w:type="paragraph" w:customStyle="1" w:styleId="256">
    <w:name w:val="xl6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kern w:val="0"/>
      <w:sz w:val="20"/>
      <w:szCs w:val="20"/>
    </w:rPr>
  </w:style>
  <w:style w:type="paragraph" w:customStyle="1" w:styleId="257">
    <w:name w:val="页眉 New"/>
    <w:basedOn w:val="78"/>
    <w:qFormat/>
    <w:uiPriority w:val="99"/>
    <w:pPr>
      <w:pBdr>
        <w:bottom w:val="single" w:color="auto" w:sz="6" w:space="1"/>
      </w:pBdr>
      <w:tabs>
        <w:tab w:val="center" w:pos="4153"/>
        <w:tab w:val="right" w:pos="8306"/>
      </w:tabs>
      <w:snapToGrid w:val="0"/>
      <w:jc w:val="center"/>
    </w:pPr>
    <w:rPr>
      <w:sz w:val="18"/>
      <w:szCs w:val="18"/>
    </w:rPr>
  </w:style>
  <w:style w:type="paragraph" w:customStyle="1" w:styleId="258">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59">
    <w:name w:val="Title 5"/>
    <w:next w:val="94"/>
    <w:qFormat/>
    <w:uiPriority w:val="0"/>
    <w:pPr>
      <w:numPr>
        <w:ilvl w:val="0"/>
        <w:numId w:val="9"/>
      </w:numPr>
      <w:ind w:left="1701" w:hanging="426"/>
      <w:jc w:val="both"/>
    </w:pPr>
    <w:rPr>
      <w:rFonts w:ascii="Times New Roman" w:hAnsi="Times New Roman" w:eastAsia="宋体" w:cs="Times New Roman"/>
      <w:kern w:val="2"/>
      <w:sz w:val="24"/>
      <w:szCs w:val="24"/>
      <w:lang w:val="en-US" w:eastAsia="zh-CN" w:bidi="ar-SA"/>
    </w:rPr>
  </w:style>
  <w:style w:type="paragraph" w:customStyle="1" w:styleId="260">
    <w:name w:val="XW悬挂正文"/>
    <w:basedOn w:val="1"/>
    <w:qFormat/>
    <w:uiPriority w:val="0"/>
    <w:pPr>
      <w:adjustRightInd w:val="0"/>
      <w:spacing w:line="360" w:lineRule="auto"/>
      <w:ind w:left="1032" w:hanging="352"/>
      <w:jc w:val="left"/>
      <w:textAlignment w:val="baseline"/>
    </w:pPr>
    <w:rPr>
      <w:kern w:val="0"/>
      <w:sz w:val="24"/>
      <w:szCs w:val="20"/>
    </w:rPr>
  </w:style>
  <w:style w:type="paragraph" w:customStyle="1" w:styleId="261">
    <w:name w:val="xl4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left"/>
      <w:textAlignment w:val="center"/>
    </w:pPr>
    <w:rPr>
      <w:rFonts w:hint="eastAsia" w:ascii="仿宋_GB2312" w:hAnsi="Arial Unicode MS" w:eastAsia="仿宋_GB2312"/>
      <w:kern w:val="0"/>
      <w:sz w:val="24"/>
    </w:rPr>
  </w:style>
  <w:style w:type="paragraph" w:customStyle="1" w:styleId="262">
    <w:name w:val="XW封面"/>
    <w:basedOn w:val="1"/>
    <w:qFormat/>
    <w:uiPriority w:val="0"/>
    <w:pPr>
      <w:autoSpaceDE w:val="0"/>
      <w:autoSpaceDN w:val="0"/>
      <w:adjustRightInd w:val="0"/>
      <w:spacing w:line="360" w:lineRule="auto"/>
      <w:jc w:val="center"/>
    </w:pPr>
    <w:rPr>
      <w:rFonts w:ascii="Arial" w:hAnsi="Arial" w:eastAsia="黑体"/>
      <w:kern w:val="0"/>
      <w:sz w:val="44"/>
      <w:szCs w:val="20"/>
      <w:lang w:val="zh-CN"/>
    </w:rPr>
  </w:style>
  <w:style w:type="paragraph" w:customStyle="1" w:styleId="263">
    <w:name w:val="Definition Term"/>
    <w:basedOn w:val="1"/>
    <w:next w:val="1"/>
    <w:qFormat/>
    <w:uiPriority w:val="0"/>
    <w:pPr>
      <w:spacing w:line="288" w:lineRule="auto"/>
    </w:pPr>
    <w:rPr>
      <w:szCs w:val="20"/>
    </w:rPr>
  </w:style>
  <w:style w:type="paragraph" w:customStyle="1" w:styleId="264">
    <w:name w:val="标题2"/>
    <w:basedOn w:val="50"/>
    <w:qFormat/>
    <w:uiPriority w:val="99"/>
    <w:pPr>
      <w:adjustRightInd/>
      <w:spacing w:after="240" w:line="240" w:lineRule="auto"/>
      <w:jc w:val="left"/>
      <w:textAlignment w:val="auto"/>
    </w:pPr>
    <w:rPr>
      <w:rFonts w:ascii="Cambria" w:hAnsi="Cambria"/>
      <w:kern w:val="2"/>
      <w:sz w:val="30"/>
      <w:szCs w:val="24"/>
    </w:rPr>
  </w:style>
  <w:style w:type="paragraph" w:customStyle="1" w:styleId="265">
    <w:name w:val="Char21"/>
    <w:basedOn w:val="1"/>
    <w:qFormat/>
    <w:uiPriority w:val="0"/>
    <w:rPr>
      <w:szCs w:val="21"/>
    </w:rPr>
  </w:style>
  <w:style w:type="paragraph" w:customStyle="1" w:styleId="266">
    <w:name w:val="无间隔1"/>
    <w:basedOn w:val="1"/>
    <w:qFormat/>
    <w:uiPriority w:val="99"/>
    <w:pPr>
      <w:widowControl/>
      <w:jc w:val="left"/>
    </w:pPr>
    <w:rPr>
      <w:rFonts w:ascii="Calibri" w:hAnsi="Calibri"/>
      <w:kern w:val="0"/>
      <w:sz w:val="24"/>
      <w:szCs w:val="32"/>
      <w:lang w:eastAsia="en-US"/>
    </w:rPr>
  </w:style>
  <w:style w:type="paragraph" w:customStyle="1" w:styleId="267">
    <w:name w:val="Char2"/>
    <w:basedOn w:val="1"/>
    <w:qFormat/>
    <w:uiPriority w:val="0"/>
    <w:rPr>
      <w:szCs w:val="20"/>
    </w:rPr>
  </w:style>
  <w:style w:type="paragraph" w:customStyle="1" w:styleId="268">
    <w:name w:val="xl45"/>
    <w:basedOn w:val="1"/>
    <w:qFormat/>
    <w:uiPriority w:val="99"/>
    <w:pPr>
      <w:widowControl/>
      <w:pBdr>
        <w:top w:val="single" w:color="auto" w:sz="8" w:space="0"/>
        <w:left w:val="single" w:color="auto" w:sz="4" w:space="0"/>
        <w:bottom w:val="single" w:color="auto" w:sz="4" w:space="0"/>
      </w:pBdr>
      <w:spacing w:before="100" w:beforeAutospacing="1" w:after="100" w:afterAutospacing="1"/>
      <w:jc w:val="center"/>
      <w:textAlignment w:val="center"/>
    </w:pPr>
    <w:rPr>
      <w:rFonts w:hint="eastAsia" w:ascii="黑体" w:hAnsi="Arial Unicode MS" w:eastAsia="黑体"/>
      <w:b/>
      <w:bCs/>
      <w:kern w:val="0"/>
      <w:sz w:val="24"/>
    </w:rPr>
  </w:style>
  <w:style w:type="paragraph" w:customStyle="1" w:styleId="269">
    <w:name w:val="_Style 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0">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71">
    <w:name w:val="xl47"/>
    <w:basedOn w:val="1"/>
    <w:qFormat/>
    <w:uiPriority w:val="99"/>
    <w:pPr>
      <w:widowControl/>
      <w:pBdr>
        <w:top w:val="single" w:color="auto" w:sz="8" w:space="0"/>
        <w:bottom w:val="single" w:color="auto" w:sz="4" w:space="0"/>
        <w:right w:val="single" w:color="auto" w:sz="8" w:space="0"/>
      </w:pBdr>
      <w:spacing w:before="100" w:beforeAutospacing="1" w:after="100" w:afterAutospacing="1"/>
      <w:jc w:val="center"/>
      <w:textAlignment w:val="center"/>
    </w:pPr>
    <w:rPr>
      <w:rFonts w:hint="eastAsia" w:ascii="黑体" w:hAnsi="Arial Unicode MS" w:eastAsia="黑体"/>
      <w:b/>
      <w:bCs/>
      <w:kern w:val="0"/>
      <w:sz w:val="24"/>
    </w:rPr>
  </w:style>
  <w:style w:type="paragraph" w:customStyle="1" w:styleId="272">
    <w:name w:val="表中"/>
    <w:basedOn w:val="1"/>
    <w:qFormat/>
    <w:uiPriority w:val="0"/>
    <w:pPr>
      <w:adjustRightInd w:val="0"/>
      <w:spacing w:line="360" w:lineRule="atLeast"/>
      <w:jc w:val="center"/>
      <w:textAlignment w:val="baseline"/>
    </w:pPr>
    <w:rPr>
      <w:kern w:val="0"/>
      <w:szCs w:val="20"/>
    </w:rPr>
  </w:style>
  <w:style w:type="paragraph" w:customStyle="1" w:styleId="273">
    <w:name w:val="p18"/>
    <w:basedOn w:val="1"/>
    <w:qFormat/>
    <w:uiPriority w:val="0"/>
    <w:pPr>
      <w:widowControl/>
      <w:spacing w:before="100" w:beforeAutospacing="1" w:after="100" w:afterAutospacing="1"/>
      <w:jc w:val="left"/>
    </w:pPr>
    <w:rPr>
      <w:rFonts w:ascii="宋体" w:hAnsi="宋体" w:cs="宋体"/>
      <w:kern w:val="0"/>
      <w:sz w:val="24"/>
    </w:rPr>
  </w:style>
  <w:style w:type="paragraph" w:customStyle="1" w:styleId="274">
    <w:name w:val="正文文本 (5)"/>
    <w:basedOn w:val="1"/>
    <w:link w:val="474"/>
    <w:qFormat/>
    <w:uiPriority w:val="99"/>
    <w:pPr>
      <w:shd w:val="clear" w:color="auto" w:fill="FFFFFF"/>
      <w:spacing w:after="120" w:line="240" w:lineRule="atLeast"/>
      <w:ind w:firstLine="260"/>
      <w:jc w:val="distribute"/>
    </w:pPr>
    <w:rPr>
      <w:rFonts w:ascii="MingLiU" w:hAnsi="MingLiU" w:eastAsia="MingLiU"/>
      <w:kern w:val="0"/>
      <w:sz w:val="11"/>
      <w:szCs w:val="11"/>
    </w:rPr>
  </w:style>
  <w:style w:type="paragraph" w:customStyle="1" w:styleId="275">
    <w:name w:val="xl37"/>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76">
    <w:name w:val="XW“目录”二字"/>
    <w:basedOn w:val="1"/>
    <w:qFormat/>
    <w:uiPriority w:val="0"/>
    <w:pPr>
      <w:adjustRightInd w:val="0"/>
      <w:spacing w:before="400" w:after="300" w:line="440" w:lineRule="atLeast"/>
      <w:jc w:val="center"/>
      <w:textAlignment w:val="baseline"/>
    </w:pPr>
    <w:rPr>
      <w:rFonts w:eastAsia="黑体"/>
      <w:kern w:val="0"/>
      <w:sz w:val="44"/>
      <w:szCs w:val="20"/>
    </w:rPr>
  </w:style>
  <w:style w:type="paragraph" w:customStyle="1" w:styleId="27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78">
    <w:name w:val="xl52"/>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kern w:val="0"/>
      <w:sz w:val="18"/>
      <w:szCs w:val="18"/>
    </w:rPr>
  </w:style>
  <w:style w:type="paragraph" w:customStyle="1" w:styleId="279">
    <w:name w:val="xl27"/>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80">
    <w:name w:val="_Style 279"/>
    <w:qFormat/>
    <w:uiPriority w:val="0"/>
    <w:rPr>
      <w:rFonts w:ascii="Times New Roman" w:hAnsi="Times New Roman" w:eastAsia="宋体" w:cs="Times New Roman"/>
      <w:kern w:val="2"/>
      <w:sz w:val="21"/>
      <w:szCs w:val="24"/>
      <w:lang w:val="en-US" w:eastAsia="zh-CN" w:bidi="ar-SA"/>
    </w:rPr>
  </w:style>
  <w:style w:type="paragraph" w:customStyle="1" w:styleId="281">
    <w:name w:val="List Paragraph2"/>
    <w:basedOn w:val="1"/>
    <w:qFormat/>
    <w:uiPriority w:val="1"/>
    <w:pPr>
      <w:ind w:left="151"/>
    </w:pPr>
  </w:style>
  <w:style w:type="paragraph" w:customStyle="1" w:styleId="282">
    <w:name w:val="BodyText1I"/>
    <w:basedOn w:val="283"/>
    <w:qFormat/>
    <w:uiPriority w:val="0"/>
    <w:pPr>
      <w:spacing w:line="312" w:lineRule="auto"/>
      <w:ind w:firstLine="420"/>
    </w:pPr>
    <w:rPr>
      <w:rFonts w:ascii="Calibri" w:hAnsi="Calibri"/>
    </w:rPr>
  </w:style>
  <w:style w:type="paragraph" w:customStyle="1" w:styleId="283">
    <w:name w:val="BodyText"/>
    <w:basedOn w:val="1"/>
    <w:qFormat/>
    <w:uiPriority w:val="0"/>
    <w:pPr>
      <w:spacing w:after="120"/>
    </w:pPr>
  </w:style>
  <w:style w:type="paragraph" w:customStyle="1" w:styleId="284">
    <w:name w:val="Intense Quote"/>
    <w:basedOn w:val="1"/>
    <w:next w:val="1"/>
    <w:link w:val="363"/>
    <w:qFormat/>
    <w:uiPriority w:val="99"/>
    <w:pPr>
      <w:widowControl/>
      <w:ind w:left="720" w:right="720"/>
      <w:jc w:val="left"/>
    </w:pPr>
    <w:rPr>
      <w:b/>
      <w:i/>
      <w:kern w:val="0"/>
      <w:sz w:val="24"/>
      <w:szCs w:val="20"/>
    </w:rPr>
  </w:style>
  <w:style w:type="paragraph" w:customStyle="1" w:styleId="285">
    <w:name w:val="默认段落字体 Para Char Char Char Char"/>
    <w:basedOn w:val="1"/>
    <w:qFormat/>
    <w:uiPriority w:val="99"/>
    <w:pPr>
      <w:snapToGrid w:val="0"/>
      <w:spacing w:line="360" w:lineRule="auto"/>
      <w:ind w:firstLine="200" w:firstLineChars="200"/>
    </w:pPr>
    <w:rPr>
      <w:rFonts w:eastAsia="仿宋_GB2312"/>
      <w:sz w:val="24"/>
    </w:rPr>
  </w:style>
  <w:style w:type="paragraph" w:customStyle="1" w:styleId="286">
    <w:name w:val="Quote"/>
    <w:basedOn w:val="1"/>
    <w:next w:val="1"/>
    <w:link w:val="344"/>
    <w:qFormat/>
    <w:uiPriority w:val="99"/>
    <w:pPr>
      <w:widowControl/>
      <w:jc w:val="left"/>
    </w:pPr>
    <w:rPr>
      <w:i/>
      <w:kern w:val="0"/>
      <w:sz w:val="24"/>
    </w:rPr>
  </w:style>
  <w:style w:type="paragraph" w:customStyle="1" w:styleId="287">
    <w:name w:val="xl40"/>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88">
    <w:name w:val="Char Char Char Char Char Char3 Char Char Char Char Char Char Char Char Char Char Char Char Char Char Char Char"/>
    <w:basedOn w:val="1"/>
    <w:next w:val="1"/>
    <w:qFormat/>
    <w:uiPriority w:val="0"/>
    <w:pPr>
      <w:spacing w:line="540" w:lineRule="exact"/>
      <w:ind w:firstLine="200" w:firstLineChars="200"/>
      <w:jc w:val="left"/>
    </w:pPr>
    <w:rPr>
      <w:rFonts w:eastAsia="黑体"/>
      <w:spacing w:val="8"/>
      <w:sz w:val="28"/>
      <w:szCs w:val="28"/>
    </w:rPr>
  </w:style>
  <w:style w:type="paragraph" w:customStyle="1" w:styleId="289">
    <w:name w:val="Char"/>
    <w:basedOn w:val="1"/>
    <w:qFormat/>
    <w:uiPriority w:val="99"/>
    <w:pPr>
      <w:tabs>
        <w:tab w:val="left" w:pos="360"/>
      </w:tabs>
    </w:pPr>
    <w:rPr>
      <w:sz w:val="24"/>
    </w:rPr>
  </w:style>
  <w:style w:type="paragraph" w:customStyle="1" w:styleId="290">
    <w:name w:val="Other|1"/>
    <w:basedOn w:val="1"/>
    <w:qFormat/>
    <w:uiPriority w:val="0"/>
    <w:pPr>
      <w:widowControl w:val="0"/>
      <w:shd w:val="clear" w:color="auto" w:fill="auto"/>
      <w:spacing w:line="360" w:lineRule="auto"/>
      <w:ind w:firstLine="400"/>
    </w:pPr>
    <w:rPr>
      <w:rFonts w:ascii="MingLiU" w:hAnsi="MingLiU" w:eastAsia="MingLiU" w:cs="MingLiU"/>
      <w:u w:val="none"/>
      <w:shd w:val="clear" w:color="auto" w:fill="auto"/>
      <w:lang w:val="zh-TW" w:eastAsia="zh-TW" w:bidi="zh-TW"/>
    </w:rPr>
  </w:style>
  <w:style w:type="paragraph" w:customStyle="1" w:styleId="291">
    <w:name w:val=" Char1 Char Char Char Char Char Char"/>
    <w:basedOn w:val="1"/>
    <w:qFormat/>
    <w:uiPriority w:val="0"/>
  </w:style>
  <w:style w:type="paragraph" w:customStyle="1" w:styleId="292">
    <w:name w:val="样式 样式 报告正文 + 首行缩进:  2 字符 + 首行缩进:  2 字符"/>
    <w:basedOn w:val="1"/>
    <w:link w:val="515"/>
    <w:qFormat/>
    <w:uiPriority w:val="99"/>
    <w:pPr>
      <w:adjustRightInd w:val="0"/>
      <w:snapToGrid w:val="0"/>
      <w:spacing w:line="500" w:lineRule="exact"/>
      <w:ind w:firstLine="200" w:firstLineChars="200"/>
    </w:pPr>
    <w:rPr>
      <w:kern w:val="0"/>
      <w:sz w:val="24"/>
      <w:szCs w:val="20"/>
    </w:rPr>
  </w:style>
  <w:style w:type="paragraph" w:customStyle="1" w:styleId="293">
    <w:name w:val="xl99"/>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94">
    <w:name w:val="样式 标题 1 + 黑体 三号 非加粗 居中 段前: 6 磅 段后: 6 磅 行距: 固定值 20 磅"/>
    <w:basedOn w:val="5"/>
    <w:qFormat/>
    <w:uiPriority w:val="99"/>
    <w:pPr>
      <w:spacing w:before="120" w:beforeLines="0" w:after="120" w:afterLines="0" w:line="400" w:lineRule="exact"/>
      <w:jc w:val="center"/>
    </w:pPr>
    <w:rPr>
      <w:rFonts w:ascii="黑体" w:hAnsi="黑体" w:eastAsia="黑体" w:cs="宋体"/>
      <w:b w:val="0"/>
      <w:bCs w:val="0"/>
      <w:sz w:val="32"/>
      <w:szCs w:val="20"/>
    </w:rPr>
  </w:style>
  <w:style w:type="paragraph" w:customStyle="1" w:styleId="295">
    <w:name w:val="缩进2中"/>
    <w:qFormat/>
    <w:uiPriority w:val="0"/>
    <w:pPr>
      <w:ind w:left="708" w:leftChars="295"/>
      <w:jc w:val="both"/>
    </w:pPr>
    <w:rPr>
      <w:rFonts w:ascii="Times" w:hAnsi="Times" w:eastAsia="宋体" w:cs="Times New Roman"/>
      <w:kern w:val="2"/>
      <w:sz w:val="24"/>
      <w:szCs w:val="22"/>
      <w:lang w:val="en-US" w:eastAsia="zh-CN" w:bidi="ar-SA"/>
    </w:rPr>
  </w:style>
  <w:style w:type="paragraph" w:customStyle="1" w:styleId="296">
    <w:name w:val="xl75"/>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b/>
      <w:bCs/>
      <w:kern w:val="0"/>
      <w:sz w:val="20"/>
      <w:szCs w:val="20"/>
    </w:rPr>
  </w:style>
  <w:style w:type="paragraph" w:customStyle="1" w:styleId="297">
    <w:name w:val="xl63"/>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b/>
      <w:bCs/>
      <w:kern w:val="0"/>
      <w:sz w:val="20"/>
      <w:szCs w:val="20"/>
    </w:rPr>
  </w:style>
  <w:style w:type="paragraph" w:customStyle="1" w:styleId="29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99">
    <w:name w:val="修订11"/>
    <w:qFormat/>
    <w:uiPriority w:val="99"/>
    <w:rPr>
      <w:rFonts w:ascii="Times New Roman" w:hAnsi="Times New Roman" w:eastAsia="宋体" w:cs="Times New Roman"/>
      <w:kern w:val="2"/>
      <w:sz w:val="21"/>
      <w:szCs w:val="21"/>
      <w:lang w:val="en-US" w:eastAsia="zh-CN" w:bidi="ar-SA"/>
    </w:rPr>
  </w:style>
  <w:style w:type="paragraph" w:customStyle="1" w:styleId="300">
    <w:name w:val="Char1"/>
    <w:basedOn w:val="1"/>
    <w:qFormat/>
    <w:uiPriority w:val="99"/>
    <w:pPr>
      <w:tabs>
        <w:tab w:val="left" w:pos="360"/>
      </w:tabs>
    </w:pPr>
    <w:rPr>
      <w:sz w:val="24"/>
    </w:rPr>
  </w:style>
  <w:style w:type="paragraph" w:customStyle="1" w:styleId="30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kern w:val="0"/>
      <w:sz w:val="20"/>
      <w:szCs w:val="20"/>
    </w:rPr>
  </w:style>
  <w:style w:type="paragraph" w:customStyle="1" w:styleId="302">
    <w:name w:val="标题 #1"/>
    <w:basedOn w:val="1"/>
    <w:link w:val="378"/>
    <w:qFormat/>
    <w:uiPriority w:val="99"/>
    <w:pPr>
      <w:shd w:val="clear" w:color="auto" w:fill="FFFFFF"/>
      <w:spacing w:before="1020" w:after="360" w:line="240" w:lineRule="atLeast"/>
      <w:jc w:val="left"/>
      <w:outlineLvl w:val="0"/>
    </w:pPr>
    <w:rPr>
      <w:rFonts w:ascii="MingLiU" w:hAnsi="MingLiU" w:eastAsia="MingLiU"/>
      <w:spacing w:val="30"/>
      <w:kern w:val="0"/>
      <w:szCs w:val="21"/>
    </w:rPr>
  </w:style>
  <w:style w:type="paragraph" w:customStyle="1" w:styleId="303">
    <w:name w:val="附件标题"/>
    <w:basedOn w:val="6"/>
    <w:next w:val="1"/>
    <w:qFormat/>
    <w:uiPriority w:val="0"/>
    <w:pPr>
      <w:widowControl/>
      <w:numPr>
        <w:ilvl w:val="0"/>
        <w:numId w:val="10"/>
      </w:numPr>
      <w:tabs>
        <w:tab w:val="left" w:pos="1134"/>
      </w:tabs>
      <w:wordWrap w:val="0"/>
      <w:topLinePunct/>
      <w:adjustRightInd w:val="0"/>
      <w:snapToGrid w:val="0"/>
      <w:spacing w:before="0" w:after="120" w:afterLines="50" w:line="360" w:lineRule="auto"/>
      <w:ind w:firstLine="0"/>
      <w:jc w:val="center"/>
    </w:pPr>
    <w:rPr>
      <w:rFonts w:ascii="黑体" w:hAnsi="黑体"/>
      <w:bCs w:val="0"/>
      <w:kern w:val="0"/>
      <w:sz w:val="30"/>
      <w:szCs w:val="30"/>
    </w:rPr>
  </w:style>
  <w:style w:type="paragraph" w:customStyle="1" w:styleId="304">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05">
    <w:name w:val="xl98"/>
    <w:basedOn w:val="1"/>
    <w:qFormat/>
    <w:uiPriority w:val="0"/>
    <w:pPr>
      <w:widowControl/>
      <w:spacing w:before="100" w:beforeAutospacing="1" w:after="100" w:afterAutospacing="1"/>
      <w:jc w:val="left"/>
    </w:pPr>
    <w:rPr>
      <w:rFonts w:ascii="宋体" w:hAnsi="宋体" w:cs="宋体"/>
      <w:kern w:val="0"/>
      <w:sz w:val="24"/>
    </w:rPr>
  </w:style>
  <w:style w:type="paragraph" w:customStyle="1" w:styleId="306">
    <w:name w:val="xl77"/>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仿宋_GB2312" w:hAnsi="Arial Unicode MS" w:eastAsia="仿宋_GB2312" w:cs="Arial Unicode MS"/>
      <w:b/>
      <w:bCs/>
      <w:kern w:val="0"/>
      <w:sz w:val="20"/>
      <w:szCs w:val="20"/>
    </w:rPr>
  </w:style>
  <w:style w:type="paragraph" w:customStyle="1" w:styleId="307">
    <w:name w:val="List ALPHA CAPS 1"/>
    <w:basedOn w:val="1"/>
    <w:next w:val="2"/>
    <w:qFormat/>
    <w:uiPriority w:val="0"/>
    <w:pPr>
      <w:widowControl/>
      <w:numPr>
        <w:ilvl w:val="0"/>
        <w:numId w:val="1"/>
      </w:numPr>
      <w:tabs>
        <w:tab w:val="left" w:pos="22"/>
        <w:tab w:val="left" w:pos="624"/>
      </w:tabs>
      <w:wordWrap w:val="0"/>
      <w:topLinePunct/>
      <w:adjustRightInd w:val="0"/>
      <w:snapToGrid w:val="0"/>
      <w:spacing w:after="200" w:afterLines="50" w:line="288" w:lineRule="auto"/>
      <w:ind w:firstLineChars="200"/>
    </w:pPr>
    <w:rPr>
      <w:rFonts w:ascii="CG Times" w:hAnsi="CG Times"/>
      <w:kern w:val="0"/>
      <w:sz w:val="22"/>
      <w:szCs w:val="20"/>
      <w:lang w:val="en-GB"/>
    </w:rPr>
  </w:style>
  <w:style w:type="paragraph" w:customStyle="1" w:styleId="308">
    <w:name w:val="正文3"/>
    <w:qFormat/>
    <w:uiPriority w:val="0"/>
    <w:pPr>
      <w:jc w:val="both"/>
    </w:pPr>
    <w:rPr>
      <w:rFonts w:ascii="Calibri" w:hAnsi="Calibri" w:eastAsia="宋体" w:cs="宋体"/>
      <w:kern w:val="2"/>
      <w:sz w:val="21"/>
      <w:szCs w:val="21"/>
      <w:lang w:val="en-US" w:eastAsia="zh-CN" w:bidi="ar-SA"/>
    </w:rPr>
  </w:style>
  <w:style w:type="paragraph" w:customStyle="1" w:styleId="309">
    <w:name w:val="xl55"/>
    <w:basedOn w:val="1"/>
    <w:qFormat/>
    <w:uiPriority w:val="0"/>
    <w:pPr>
      <w:widowControl/>
      <w:spacing w:before="100" w:beforeAutospacing="1" w:after="100" w:afterAutospacing="1"/>
      <w:jc w:val="left"/>
      <w:textAlignment w:val="center"/>
    </w:pPr>
    <w:rPr>
      <w:rFonts w:hint="eastAsia" w:ascii="仿宋_GB2312" w:hAnsi="Arial Unicode MS" w:eastAsia="仿宋_GB2312"/>
      <w:kern w:val="0"/>
      <w:sz w:val="18"/>
      <w:szCs w:val="18"/>
    </w:rPr>
  </w:style>
  <w:style w:type="paragraph" w:customStyle="1" w:styleId="310">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left"/>
      <w:textAlignment w:val="center"/>
    </w:pPr>
    <w:rPr>
      <w:rFonts w:ascii="宋体" w:hAnsi="宋体" w:cs="宋体"/>
      <w:b/>
      <w:bCs/>
      <w:kern w:val="0"/>
      <w:sz w:val="20"/>
      <w:szCs w:val="20"/>
    </w:rPr>
  </w:style>
  <w:style w:type="paragraph" w:customStyle="1" w:styleId="311">
    <w:name w:val="CM91"/>
    <w:basedOn w:val="1"/>
    <w:next w:val="1"/>
    <w:qFormat/>
    <w:uiPriority w:val="0"/>
    <w:pPr>
      <w:autoSpaceDE w:val="0"/>
      <w:autoSpaceDN w:val="0"/>
      <w:adjustRightInd w:val="0"/>
      <w:spacing w:after="160"/>
      <w:jc w:val="left"/>
    </w:pPr>
    <w:rPr>
      <w:rFonts w:ascii="宋体" w:hAnsi="Times New Roman" w:eastAsia="宋体" w:cs="Times New Roman"/>
      <w:kern w:val="0"/>
      <w:sz w:val="24"/>
      <w:szCs w:val="20"/>
    </w:rPr>
  </w:style>
  <w:style w:type="paragraph" w:customStyle="1" w:styleId="312">
    <w:name w:val="专用标题4"/>
    <w:basedOn w:val="8"/>
    <w:next w:val="1"/>
    <w:qFormat/>
    <w:uiPriority w:val="0"/>
    <w:pPr>
      <w:widowControl/>
      <w:numPr>
        <w:ilvl w:val="2"/>
        <w:numId w:val="8"/>
      </w:numPr>
      <w:adjustRightInd w:val="0"/>
      <w:snapToGrid w:val="0"/>
      <w:spacing w:before="0" w:after="0" w:line="240" w:lineRule="auto"/>
      <w:jc w:val="left"/>
    </w:pPr>
    <w:rPr>
      <w:rFonts w:eastAsia="宋体"/>
      <w:b w:val="0"/>
      <w:bCs w:val="0"/>
      <w:sz w:val="28"/>
      <w:szCs w:val="22"/>
    </w:rPr>
  </w:style>
  <w:style w:type="paragraph" w:customStyle="1" w:styleId="313">
    <w:name w:val="p19"/>
    <w:basedOn w:val="1"/>
    <w:qFormat/>
    <w:uiPriority w:val="0"/>
    <w:pPr>
      <w:widowControl/>
      <w:spacing w:before="100" w:beforeAutospacing="1" w:after="100" w:afterAutospacing="1"/>
      <w:jc w:val="left"/>
    </w:pPr>
    <w:rPr>
      <w:rFonts w:ascii="宋体" w:hAnsi="宋体" w:cs="宋体"/>
      <w:kern w:val="0"/>
      <w:sz w:val="24"/>
    </w:rPr>
  </w:style>
  <w:style w:type="paragraph" w:customStyle="1" w:styleId="314">
    <w:name w:val="专用标题2"/>
    <w:basedOn w:val="6"/>
    <w:next w:val="1"/>
    <w:qFormat/>
    <w:uiPriority w:val="0"/>
    <w:pPr>
      <w:keepNext w:val="0"/>
      <w:keepLines w:val="0"/>
      <w:widowControl/>
      <w:tabs>
        <w:tab w:val="left" w:pos="993"/>
      </w:tabs>
      <w:adjustRightInd w:val="0"/>
      <w:snapToGrid w:val="0"/>
      <w:spacing w:before="0" w:after="120" w:afterLines="50" w:line="360" w:lineRule="auto"/>
    </w:pPr>
    <w:rPr>
      <w:rFonts w:ascii="宋体" w:hAnsi="宋体" w:eastAsia="宋体" w:cs="Times"/>
      <w:bCs w:val="0"/>
      <w:kern w:val="0"/>
      <w:sz w:val="28"/>
      <w:szCs w:val="20"/>
    </w:rPr>
  </w:style>
  <w:style w:type="paragraph" w:customStyle="1" w:styleId="315">
    <w:name w:val="通用标题3"/>
    <w:next w:val="1"/>
    <w:qFormat/>
    <w:uiPriority w:val="0"/>
    <w:pPr>
      <w:widowControl w:val="0"/>
      <w:numPr>
        <w:ilvl w:val="1"/>
        <w:numId w:val="2"/>
      </w:numPr>
      <w:tabs>
        <w:tab w:val="left" w:pos="851"/>
      </w:tabs>
      <w:adjustRightInd w:val="0"/>
      <w:snapToGrid w:val="0"/>
      <w:spacing w:after="120" w:afterLines="50" w:line="360" w:lineRule="auto"/>
      <w:jc w:val="both"/>
      <w:outlineLvl w:val="2"/>
    </w:pPr>
    <w:rPr>
      <w:rFonts w:ascii="黑体" w:hAnsi="黑体" w:eastAsia="黑体" w:cs="Times New Roman"/>
      <w:b/>
      <w:kern w:val="2"/>
      <w:sz w:val="24"/>
      <w:szCs w:val="24"/>
      <w:lang w:val="en-US" w:eastAsia="zh-CN" w:bidi="ar-SA"/>
    </w:rPr>
  </w:style>
  <w:style w:type="paragraph" w:customStyle="1" w:styleId="316">
    <w:name w:val="through-content"/>
    <w:basedOn w:val="1"/>
    <w:qFormat/>
    <w:uiPriority w:val="0"/>
    <w:pPr>
      <w:widowControl/>
      <w:wordWrap w:val="0"/>
      <w:topLinePunct/>
      <w:spacing w:before="100" w:beforeAutospacing="1" w:after="100" w:afterAutospacing="1"/>
      <w:jc w:val="left"/>
    </w:pPr>
    <w:rPr>
      <w:rFonts w:ascii="宋体" w:hAnsi="宋体" w:cs="宋体"/>
      <w:kern w:val="0"/>
      <w:sz w:val="24"/>
      <w:szCs w:val="20"/>
    </w:rPr>
  </w:style>
  <w:style w:type="paragraph" w:customStyle="1" w:styleId="317">
    <w:name w:val="引用2"/>
    <w:basedOn w:val="1"/>
    <w:next w:val="1"/>
    <w:qFormat/>
    <w:uiPriority w:val="99"/>
    <w:pPr>
      <w:widowControl/>
      <w:jc w:val="left"/>
    </w:pPr>
    <w:rPr>
      <w:i/>
      <w:kern w:val="0"/>
      <w:sz w:val="24"/>
    </w:rPr>
  </w:style>
  <w:style w:type="paragraph" w:customStyle="1" w:styleId="318">
    <w:name w:val="附件标题-1"/>
    <w:basedOn w:val="1"/>
    <w:qFormat/>
    <w:uiPriority w:val="0"/>
    <w:pPr>
      <w:spacing w:before="50" w:after="50"/>
      <w:jc w:val="center"/>
    </w:pPr>
    <w:rPr>
      <w:rFonts w:eastAsia="黑体"/>
      <w:sz w:val="32"/>
      <w:szCs w:val="20"/>
    </w:rPr>
  </w:style>
  <w:style w:type="paragraph" w:customStyle="1" w:styleId="319">
    <w:name w:val="xl32"/>
    <w:basedOn w:val="1"/>
    <w:qFormat/>
    <w:uiPriority w:val="99"/>
    <w:pPr>
      <w:widowControl/>
      <w:spacing w:before="100" w:beforeAutospacing="1" w:after="100" w:afterAutospacing="1"/>
      <w:jc w:val="center"/>
      <w:textAlignment w:val="center"/>
    </w:pPr>
    <w:rPr>
      <w:rFonts w:ascii="Arial Unicode MS" w:hAnsi="Arial Unicode MS"/>
      <w:kern w:val="0"/>
      <w:sz w:val="20"/>
      <w:szCs w:val="20"/>
    </w:rPr>
  </w:style>
  <w:style w:type="paragraph" w:customStyle="1" w:styleId="320">
    <w:name w:val="6'"/>
    <w:basedOn w:val="1"/>
    <w:qFormat/>
    <w:uiPriority w:val="99"/>
    <w:pPr>
      <w:autoSpaceDE w:val="0"/>
      <w:autoSpaceDN w:val="0"/>
      <w:adjustRightInd w:val="0"/>
      <w:snapToGrid w:val="0"/>
      <w:spacing w:line="320" w:lineRule="exact"/>
      <w:jc w:val="center"/>
      <w:textAlignment w:val="baseline"/>
    </w:pPr>
    <w:rPr>
      <w:spacing w:val="20"/>
      <w:kern w:val="28"/>
      <w:szCs w:val="20"/>
    </w:rPr>
  </w:style>
  <w:style w:type="paragraph" w:customStyle="1" w:styleId="321">
    <w:name w:val="xl72"/>
    <w:basedOn w:val="1"/>
    <w:qFormat/>
    <w:uiPriority w:val="0"/>
    <w:pPr>
      <w:widowControl/>
      <w:pBdr>
        <w:bottom w:val="single" w:color="auto" w:sz="8" w:space="0"/>
      </w:pBdr>
      <w:spacing w:before="100" w:beforeAutospacing="1" w:after="100" w:afterAutospacing="1"/>
      <w:jc w:val="left"/>
      <w:textAlignment w:val="center"/>
    </w:pPr>
    <w:rPr>
      <w:rFonts w:hint="eastAsia" w:ascii="仿宋_GB2312" w:hAnsi="Arial Unicode MS" w:eastAsia="仿宋_GB2312" w:cs="Arial Unicode MS"/>
      <w:kern w:val="0"/>
      <w:sz w:val="20"/>
      <w:szCs w:val="20"/>
    </w:rPr>
  </w:style>
  <w:style w:type="paragraph" w:customStyle="1" w:styleId="322">
    <w:name w:val="xl22"/>
    <w:basedOn w:val="1"/>
    <w:qFormat/>
    <w:uiPriority w:val="0"/>
    <w:pPr>
      <w:widowControl/>
      <w:spacing w:before="100" w:beforeAutospacing="1" w:after="100" w:afterAutospacing="1"/>
    </w:pPr>
    <w:rPr>
      <w:rFonts w:ascii="宋体" w:hAnsi="宋体"/>
      <w:kern w:val="0"/>
      <w:szCs w:val="21"/>
    </w:rPr>
  </w:style>
  <w:style w:type="paragraph" w:customStyle="1" w:styleId="323">
    <w:name w:val="页眉或页脚1"/>
    <w:basedOn w:val="1"/>
    <w:link w:val="480"/>
    <w:qFormat/>
    <w:uiPriority w:val="99"/>
    <w:pPr>
      <w:shd w:val="clear" w:color="auto" w:fill="FFFFFF"/>
      <w:spacing w:line="240" w:lineRule="atLeast"/>
      <w:jc w:val="left"/>
    </w:pPr>
    <w:rPr>
      <w:rFonts w:ascii="FrankRuehl" w:hAnsi="FrankRuehl" w:eastAsia="Times New Roman" w:cs="FrankRuehl"/>
      <w:kern w:val="0"/>
      <w:sz w:val="10"/>
      <w:szCs w:val="10"/>
      <w:lang w:bidi="he-IL"/>
    </w:rPr>
  </w:style>
  <w:style w:type="paragraph" w:customStyle="1" w:styleId="324">
    <w:name w:val="Main Title"/>
    <w:next w:val="1"/>
    <w:qFormat/>
    <w:uiPriority w:val="0"/>
    <w:pPr>
      <w:adjustRightInd w:val="0"/>
      <w:snapToGrid w:val="0"/>
      <w:spacing w:after="120" w:afterLines="50" w:line="360" w:lineRule="auto"/>
      <w:jc w:val="center"/>
    </w:pPr>
    <w:rPr>
      <w:rFonts w:ascii="黑体" w:hAnsi="黑体" w:eastAsia="黑体" w:cs="Times New Roman"/>
      <w:b/>
      <w:kern w:val="2"/>
      <w:sz w:val="36"/>
      <w:szCs w:val="22"/>
      <w:lang w:val="zh-CN" w:eastAsia="zh-CN" w:bidi="ar-SA"/>
    </w:rPr>
  </w:style>
  <w:style w:type="paragraph" w:customStyle="1" w:styleId="325">
    <w:name w:val="Char Char Char Char Char Char Char"/>
    <w:basedOn w:val="1"/>
    <w:qFormat/>
    <w:uiPriority w:val="99"/>
    <w:pPr>
      <w:adjustRightInd w:val="0"/>
      <w:snapToGrid w:val="0"/>
      <w:spacing w:line="360" w:lineRule="auto"/>
      <w:ind w:firstLine="200"/>
      <w:jc w:val="left"/>
    </w:pPr>
    <w:rPr>
      <w:rFonts w:ascii="宋体" w:hAnsi="宋体" w:cs="宋体"/>
      <w:color w:val="0000FF"/>
      <w:sz w:val="24"/>
    </w:rPr>
  </w:style>
  <w:style w:type="paragraph" w:customStyle="1" w:styleId="326">
    <w:name w:val="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327">
    <w:name w:val="content"/>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328">
    <w:name w:val="标题一"/>
    <w:basedOn w:val="1"/>
    <w:qFormat/>
    <w:uiPriority w:val="99"/>
    <w:pPr>
      <w:adjustRightInd w:val="0"/>
      <w:snapToGrid w:val="0"/>
      <w:spacing w:beforeLines="50" w:afterLines="50" w:line="360" w:lineRule="auto"/>
      <w:ind w:left="425"/>
      <w:jc w:val="center"/>
    </w:pPr>
    <w:rPr>
      <w:rFonts w:eastAsia="黑体"/>
      <w:b/>
      <w:bCs/>
      <w:color w:val="000000"/>
      <w:sz w:val="32"/>
    </w:rPr>
  </w:style>
  <w:style w:type="paragraph" w:customStyle="1" w:styleId="329">
    <w:name w:val="xl56"/>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hint="eastAsia" w:ascii="仿宋_GB2312" w:hAnsi="Arial Unicode MS" w:eastAsia="仿宋_GB2312"/>
      <w:kern w:val="0"/>
      <w:sz w:val="18"/>
      <w:szCs w:val="18"/>
    </w:rPr>
  </w:style>
  <w:style w:type="paragraph" w:customStyle="1" w:styleId="330">
    <w:name w:val="xl7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仿宋_GB2312" w:hAnsi="Arial Unicode MS" w:eastAsia="仿宋_GB2312" w:cs="Arial Unicode MS"/>
      <w:kern w:val="0"/>
      <w:szCs w:val="21"/>
    </w:rPr>
  </w:style>
  <w:style w:type="paragraph" w:customStyle="1" w:styleId="331">
    <w:name w:val="Body text|1"/>
    <w:basedOn w:val="1"/>
    <w:qFormat/>
    <w:uiPriority w:val="0"/>
    <w:pPr>
      <w:widowControl w:val="0"/>
      <w:shd w:val="clear" w:color="auto" w:fill="auto"/>
      <w:spacing w:line="360" w:lineRule="auto"/>
      <w:ind w:firstLine="400"/>
    </w:pPr>
    <w:rPr>
      <w:rFonts w:ascii="MingLiU" w:hAnsi="MingLiU" w:eastAsia="MingLiU" w:cs="MingLiU"/>
      <w:u w:val="none"/>
      <w:shd w:val="clear" w:color="auto" w:fill="auto"/>
      <w:lang w:val="zh-TW" w:eastAsia="zh-TW" w:bidi="zh-TW"/>
    </w:rPr>
  </w:style>
  <w:style w:type="paragraph" w:customStyle="1" w:styleId="332">
    <w:name w:val="湖南资审标题1"/>
    <w:basedOn w:val="7"/>
    <w:qFormat/>
    <w:uiPriority w:val="0"/>
    <w:pPr>
      <w:widowControl/>
      <w:tabs>
        <w:tab w:val="left" w:pos="-1440"/>
        <w:tab w:val="left" w:pos="-720"/>
        <w:tab w:val="left" w:pos="0"/>
        <w:tab w:val="left" w:pos="432"/>
        <w:tab w:val="left" w:pos="864"/>
        <w:tab w:val="left" w:pos="1440"/>
      </w:tabs>
      <w:adjustRightInd w:val="0"/>
      <w:spacing w:before="240" w:after="240" w:line="400" w:lineRule="atLeast"/>
      <w:ind w:firstLine="0" w:firstLineChars="0"/>
      <w:jc w:val="center"/>
      <w:textAlignment w:val="baseline"/>
    </w:pPr>
    <w:rPr>
      <w:rFonts w:ascii="Times New Roman" w:hAnsi="Arial" w:eastAsia="宋体"/>
      <w:b/>
      <w:bCs w:val="0"/>
      <w:spacing w:val="6"/>
      <w:kern w:val="0"/>
      <w:sz w:val="30"/>
      <w:szCs w:val="20"/>
    </w:rPr>
  </w:style>
  <w:style w:type="paragraph" w:customStyle="1" w:styleId="333">
    <w:name w:val="400章"/>
    <w:qFormat/>
    <w:uiPriority w:val="0"/>
    <w:pPr>
      <w:tabs>
        <w:tab w:val="left" w:pos="2085"/>
      </w:tabs>
      <w:adjustRightInd w:val="0"/>
      <w:spacing w:line="312" w:lineRule="atLeast"/>
      <w:ind w:left="432" w:hanging="432"/>
      <w:textAlignment w:val="baseline"/>
    </w:pPr>
    <w:rPr>
      <w:rFonts w:ascii="宋体" w:hAnsi="Times New Roman" w:eastAsia="宋体" w:cs="Times New Roman"/>
      <w:sz w:val="24"/>
      <w:lang w:val="en-US" w:eastAsia="zh-CN" w:bidi="ar-SA"/>
    </w:rPr>
  </w:style>
  <w:style w:type="paragraph" w:customStyle="1" w:styleId="334">
    <w:name w:val="pa-39"/>
    <w:basedOn w:val="1"/>
    <w:qFormat/>
    <w:uiPriority w:val="0"/>
    <w:pPr>
      <w:widowControl/>
      <w:spacing w:line="280" w:lineRule="atLeast"/>
      <w:ind w:firstLine="1080"/>
    </w:pPr>
    <w:rPr>
      <w:rFonts w:ascii="宋体" w:hAnsi="宋体" w:cs="宋体"/>
      <w:kern w:val="0"/>
      <w:sz w:val="24"/>
    </w:rPr>
  </w:style>
  <w:style w:type="paragraph" w:customStyle="1" w:styleId="335">
    <w:name w:val="TOC 标题2"/>
    <w:basedOn w:val="5"/>
    <w:next w:val="1"/>
    <w:qFormat/>
    <w:uiPriority w:val="0"/>
    <w:pPr>
      <w:keepLines w:val="0"/>
      <w:widowControl/>
      <w:spacing w:before="240" w:after="60" w:line="240" w:lineRule="auto"/>
      <w:jc w:val="left"/>
      <w:outlineLvl w:val="9"/>
    </w:pPr>
    <w:rPr>
      <w:rFonts w:ascii="Cambria" w:hAnsi="Cambria"/>
      <w:kern w:val="32"/>
      <w:sz w:val="32"/>
      <w:szCs w:val="32"/>
      <w:lang w:eastAsia="en-US"/>
    </w:rPr>
  </w:style>
  <w:style w:type="character" w:customStyle="1" w:styleId="336">
    <w:name w:val="样式5 Char Char"/>
    <w:link w:val="241"/>
    <w:qFormat/>
    <w:locked/>
    <w:uiPriority w:val="99"/>
    <w:rPr>
      <w:kern w:val="2"/>
      <w:sz w:val="24"/>
      <w:szCs w:val="24"/>
    </w:rPr>
  </w:style>
  <w:style w:type="character" w:customStyle="1" w:styleId="337">
    <w:name w:val="标题 6 Char"/>
    <w:link w:val="10"/>
    <w:qFormat/>
    <w:uiPriority w:val="9"/>
    <w:rPr>
      <w:rFonts w:ascii="Arial" w:hAnsi="Arial" w:eastAsia="黑体"/>
      <w:b/>
      <w:bCs/>
      <w:sz w:val="24"/>
      <w:szCs w:val="24"/>
    </w:rPr>
  </w:style>
  <w:style w:type="character" w:customStyle="1" w:styleId="338">
    <w:name w:val="正文文本 (2) + FrankRuehl"/>
    <w:qFormat/>
    <w:uiPriority w:val="99"/>
    <w:rPr>
      <w:rFonts w:ascii="FrankRuehl" w:hAnsi="FrankRuehl" w:eastAsia="Times New Roman" w:cs="FrankRuehl"/>
      <w:color w:val="000000"/>
      <w:spacing w:val="0"/>
      <w:w w:val="100"/>
      <w:position w:val="0"/>
      <w:sz w:val="12"/>
      <w:szCs w:val="12"/>
      <w:shd w:val="clear" w:color="auto" w:fill="FFFFFF"/>
      <w:lang w:val="en-US" w:eastAsia="en-US" w:bidi="he-IL"/>
    </w:rPr>
  </w:style>
  <w:style w:type="character" w:customStyle="1" w:styleId="339">
    <w:name w:val="正文文本缩进 2 Char Char"/>
    <w:qFormat/>
    <w:uiPriority w:val="99"/>
    <w:rPr>
      <w:kern w:val="2"/>
      <w:sz w:val="24"/>
    </w:rPr>
  </w:style>
  <w:style w:type="character" w:customStyle="1" w:styleId="340">
    <w:name w:val="HTML 预设格式 Char1"/>
    <w:semiHidden/>
    <w:qFormat/>
    <w:uiPriority w:val="99"/>
    <w:rPr>
      <w:rFonts w:ascii="Courier New" w:hAnsi="Courier New" w:cs="Courier New"/>
      <w:kern w:val="2"/>
    </w:rPr>
  </w:style>
  <w:style w:type="character" w:customStyle="1" w:styleId="341">
    <w:name w:val="称呼 Char1"/>
    <w:semiHidden/>
    <w:qFormat/>
    <w:uiPriority w:val="99"/>
    <w:rPr>
      <w:rFonts w:ascii="Times New Roman" w:hAnsi="Times New Roman"/>
      <w:kern w:val="2"/>
      <w:sz w:val="21"/>
    </w:rPr>
  </w:style>
  <w:style w:type="character" w:customStyle="1" w:styleId="342">
    <w:name w:val="批注框文本 Char2"/>
    <w:semiHidden/>
    <w:qFormat/>
    <w:uiPriority w:val="99"/>
    <w:rPr>
      <w:rFonts w:ascii="Times New Roman" w:hAnsi="Times New Roman"/>
      <w:kern w:val="2"/>
      <w:sz w:val="18"/>
      <w:szCs w:val="18"/>
    </w:rPr>
  </w:style>
  <w:style w:type="character" w:customStyle="1" w:styleId="343">
    <w:name w:val="页眉 Char1"/>
    <w:qFormat/>
    <w:uiPriority w:val="99"/>
    <w:rPr>
      <w:rFonts w:ascii="Times New Roman" w:hAnsi="Times New Roman" w:eastAsia="宋体" w:cs="Times New Roman"/>
      <w:sz w:val="18"/>
      <w:szCs w:val="18"/>
    </w:rPr>
  </w:style>
  <w:style w:type="character" w:customStyle="1" w:styleId="344">
    <w:name w:val="引用 Char"/>
    <w:link w:val="286"/>
    <w:qFormat/>
    <w:uiPriority w:val="99"/>
    <w:rPr>
      <w:i/>
      <w:sz w:val="24"/>
      <w:szCs w:val="24"/>
    </w:rPr>
  </w:style>
  <w:style w:type="character" w:customStyle="1" w:styleId="345">
    <w:name w:val="样式1 Char"/>
    <w:link w:val="102"/>
    <w:qFormat/>
    <w:uiPriority w:val="99"/>
    <w:rPr>
      <w:rFonts w:ascii="宋体" w:hAnsi="宋体"/>
      <w:kern w:val="2"/>
      <w:sz w:val="21"/>
      <w:szCs w:val="21"/>
    </w:rPr>
  </w:style>
  <w:style w:type="character" w:customStyle="1" w:styleId="346">
    <w:name w:val="纯文本 Char2"/>
    <w:semiHidden/>
    <w:qFormat/>
    <w:uiPriority w:val="99"/>
    <w:rPr>
      <w:rFonts w:ascii="宋体" w:hAnsi="Courier New" w:eastAsia="宋体" w:cs="Courier New"/>
      <w:szCs w:val="21"/>
    </w:rPr>
  </w:style>
  <w:style w:type="character" w:customStyle="1" w:styleId="347">
    <w:name w:val="不明显强调1"/>
    <w:qFormat/>
    <w:uiPriority w:val="99"/>
    <w:rPr>
      <w:i/>
      <w:color w:val="5A5A5A"/>
    </w:rPr>
  </w:style>
  <w:style w:type="character" w:customStyle="1" w:styleId="348">
    <w:name w:val="尾注文本 Char2"/>
    <w:semiHidden/>
    <w:qFormat/>
    <w:uiPriority w:val="99"/>
    <w:rPr>
      <w:rFonts w:ascii="Times New Roman" w:hAnsi="Times New Roman"/>
      <w:kern w:val="2"/>
      <w:sz w:val="21"/>
    </w:rPr>
  </w:style>
  <w:style w:type="character" w:customStyle="1" w:styleId="349">
    <w:name w:val="hover6"/>
    <w:qFormat/>
    <w:uiPriority w:val="0"/>
    <w:rPr>
      <w:color w:val="000000"/>
      <w:shd w:val="clear" w:color="auto" w:fill="FFFFFF"/>
    </w:rPr>
  </w:style>
  <w:style w:type="character" w:customStyle="1" w:styleId="350">
    <w:name w:val="Char Char23"/>
    <w:qFormat/>
    <w:uiPriority w:val="99"/>
    <w:rPr>
      <w:rFonts w:ascii="Cambria" w:hAnsi="Cambria"/>
      <w:b/>
      <w:sz w:val="26"/>
      <w:lang w:eastAsia="en-US"/>
    </w:rPr>
  </w:style>
  <w:style w:type="character" w:customStyle="1" w:styleId="351">
    <w:name w:val="apple-converted-space"/>
    <w:qFormat/>
    <w:uiPriority w:val="99"/>
  </w:style>
  <w:style w:type="character" w:customStyle="1" w:styleId="352">
    <w:name w:val="items"/>
    <w:basedOn w:val="51"/>
    <w:qFormat/>
    <w:uiPriority w:val="0"/>
  </w:style>
  <w:style w:type="character" w:customStyle="1" w:styleId="353">
    <w:name w:val="_Style 352"/>
    <w:qFormat/>
    <w:uiPriority w:val="0"/>
    <w:rPr>
      <w:smallCaps/>
      <w:color w:val="C0504D"/>
      <w:u w:val="single"/>
    </w:rPr>
  </w:style>
  <w:style w:type="character" w:customStyle="1" w:styleId="354">
    <w:name w:val="标题 #3 (2)_"/>
    <w:link w:val="192"/>
    <w:qFormat/>
    <w:locked/>
    <w:uiPriority w:val="99"/>
    <w:rPr>
      <w:rFonts w:ascii="MingLiU" w:hAnsi="MingLiU" w:eastAsia="MingLiU" w:cs="MingLiU"/>
      <w:sz w:val="11"/>
      <w:szCs w:val="11"/>
      <w:shd w:val="clear" w:color="auto" w:fill="FFFFFF"/>
    </w:rPr>
  </w:style>
  <w:style w:type="character" w:customStyle="1" w:styleId="355">
    <w:name w:val="1 Char"/>
    <w:qFormat/>
    <w:uiPriority w:val="99"/>
    <w:rPr>
      <w:rFonts w:ascii="黑体" w:eastAsia="黑体"/>
      <w:sz w:val="52"/>
    </w:rPr>
  </w:style>
  <w:style w:type="character" w:customStyle="1" w:styleId="356">
    <w:name w:val="正文文本缩进 Char1"/>
    <w:qFormat/>
    <w:uiPriority w:val="99"/>
    <w:rPr>
      <w:rFonts w:ascii="Times New Roman" w:hAnsi="Times New Roman" w:eastAsia="宋体" w:cs="Times New Roman"/>
      <w:szCs w:val="20"/>
    </w:rPr>
  </w:style>
  <w:style w:type="character" w:customStyle="1" w:styleId="357">
    <w:name w:val="正文文本 (2) + FrankRuehl2"/>
    <w:qFormat/>
    <w:uiPriority w:val="99"/>
    <w:rPr>
      <w:rFonts w:ascii="FrankRuehl" w:hAnsi="FrankRuehl" w:eastAsia="Times New Roman" w:cs="FrankRuehl"/>
      <w:color w:val="000000"/>
      <w:spacing w:val="0"/>
      <w:w w:val="100"/>
      <w:position w:val="0"/>
      <w:sz w:val="14"/>
      <w:szCs w:val="14"/>
      <w:shd w:val="clear" w:color="auto" w:fill="FFFFFF"/>
      <w:lang w:val="en-US" w:eastAsia="en-US" w:bidi="he-IL"/>
    </w:rPr>
  </w:style>
  <w:style w:type="character" w:customStyle="1" w:styleId="358">
    <w:name w:val="正文文本 3 Char1"/>
    <w:semiHidden/>
    <w:qFormat/>
    <w:uiPriority w:val="99"/>
    <w:rPr>
      <w:rFonts w:ascii="Times New Roman" w:hAnsi="Times New Roman" w:eastAsia="宋体" w:cs="Times New Roman"/>
      <w:sz w:val="16"/>
      <w:szCs w:val="16"/>
    </w:rPr>
  </w:style>
  <w:style w:type="character" w:customStyle="1" w:styleId="359">
    <w:name w:val="批注框文本 Char"/>
    <w:link w:val="34"/>
    <w:qFormat/>
    <w:uiPriority w:val="99"/>
    <w:rPr>
      <w:kern w:val="2"/>
      <w:sz w:val="18"/>
      <w:szCs w:val="18"/>
    </w:rPr>
  </w:style>
  <w:style w:type="character" w:customStyle="1" w:styleId="360">
    <w:name w:val="正文文本缩进 3 Char2"/>
    <w:semiHidden/>
    <w:qFormat/>
    <w:uiPriority w:val="99"/>
    <w:rPr>
      <w:rFonts w:ascii="Times New Roman" w:hAnsi="Times New Roman"/>
      <w:kern w:val="2"/>
      <w:sz w:val="16"/>
      <w:szCs w:val="16"/>
    </w:rPr>
  </w:style>
  <w:style w:type="character" w:customStyle="1" w:styleId="361">
    <w:name w:val="未处理的提及2"/>
    <w:unhideWhenUsed/>
    <w:qFormat/>
    <w:uiPriority w:val="99"/>
    <w:rPr>
      <w:color w:val="605E5C"/>
      <w:shd w:val="clear" w:color="auto" w:fill="E1DFDD"/>
    </w:rPr>
  </w:style>
  <w:style w:type="character" w:customStyle="1" w:styleId="362">
    <w:name w:val="正文文本 2 Char2"/>
    <w:semiHidden/>
    <w:qFormat/>
    <w:uiPriority w:val="99"/>
    <w:rPr>
      <w:rFonts w:ascii="Times New Roman" w:hAnsi="Times New Roman"/>
      <w:kern w:val="2"/>
      <w:sz w:val="21"/>
    </w:rPr>
  </w:style>
  <w:style w:type="character" w:customStyle="1" w:styleId="363">
    <w:name w:val="明显引用 Char"/>
    <w:link w:val="284"/>
    <w:qFormat/>
    <w:uiPriority w:val="99"/>
    <w:rPr>
      <w:b/>
      <w:i/>
      <w:sz w:val="24"/>
    </w:rPr>
  </w:style>
  <w:style w:type="character" w:customStyle="1" w:styleId="364">
    <w:name w:val="正文文本 (2)_"/>
    <w:link w:val="231"/>
    <w:qFormat/>
    <w:locked/>
    <w:uiPriority w:val="99"/>
    <w:rPr>
      <w:rFonts w:ascii="MingLiU" w:hAnsi="MingLiU" w:eastAsia="MingLiU" w:cs="MingLiU"/>
      <w:sz w:val="11"/>
      <w:szCs w:val="11"/>
      <w:shd w:val="clear" w:color="auto" w:fill="FFFFFF"/>
    </w:rPr>
  </w:style>
  <w:style w:type="character" w:customStyle="1" w:styleId="365">
    <w:name w:val="脚注文本 Char1"/>
    <w:semiHidden/>
    <w:qFormat/>
    <w:uiPriority w:val="99"/>
    <w:rPr>
      <w:rFonts w:ascii="Times New Roman" w:hAnsi="Times New Roman" w:eastAsia="宋体" w:cs="Times New Roman"/>
      <w:sz w:val="18"/>
      <w:szCs w:val="18"/>
    </w:rPr>
  </w:style>
  <w:style w:type="character" w:customStyle="1" w:styleId="366">
    <w:name w:val="Char Char7"/>
    <w:qFormat/>
    <w:uiPriority w:val="99"/>
    <w:rPr>
      <w:rFonts w:ascii="Arial" w:hAnsi="Arial" w:eastAsia="黑体" w:cs="Arial"/>
      <w:b/>
      <w:bCs/>
      <w:kern w:val="2"/>
      <w:sz w:val="32"/>
      <w:szCs w:val="32"/>
      <w:lang w:val="en-US" w:eastAsia="zh-CN"/>
    </w:rPr>
  </w:style>
  <w:style w:type="character" w:customStyle="1" w:styleId="367">
    <w:name w:val="ca-281"/>
    <w:qFormat/>
    <w:uiPriority w:val="99"/>
    <w:rPr>
      <w:rFonts w:ascii="宋体" w:hAnsi="宋体" w:eastAsia="宋体"/>
      <w:color w:val="000000"/>
      <w:sz w:val="28"/>
    </w:rPr>
  </w:style>
  <w:style w:type="character" w:customStyle="1" w:styleId="368">
    <w:name w:val="页眉 Char"/>
    <w:link w:val="4"/>
    <w:qFormat/>
    <w:uiPriority w:val="0"/>
    <w:rPr>
      <w:rFonts w:eastAsia="宋体"/>
      <w:kern w:val="2"/>
      <w:sz w:val="18"/>
      <w:szCs w:val="18"/>
      <w:lang w:val="en-US" w:eastAsia="zh-CN" w:bidi="ar-SA"/>
    </w:rPr>
  </w:style>
  <w:style w:type="character" w:customStyle="1" w:styleId="369">
    <w:name w:val="批注主题 Char2"/>
    <w:semiHidden/>
    <w:qFormat/>
    <w:uiPriority w:val="99"/>
    <w:rPr>
      <w:rFonts w:ascii="宋体" w:hAnsi="宋体"/>
      <w:b/>
      <w:bCs/>
      <w:kern w:val="2"/>
      <w:sz w:val="24"/>
      <w:szCs w:val="24"/>
    </w:rPr>
  </w:style>
  <w:style w:type="character" w:customStyle="1" w:styleId="370">
    <w:name w:val="正文文本 Char"/>
    <w:link w:val="2"/>
    <w:qFormat/>
    <w:uiPriority w:val="99"/>
    <w:rPr>
      <w:rFonts w:eastAsia="宋体"/>
      <w:kern w:val="2"/>
      <w:sz w:val="21"/>
      <w:szCs w:val="24"/>
      <w:lang w:val="en-US" w:eastAsia="zh-CN" w:bidi="ar-SA"/>
    </w:rPr>
  </w:style>
  <w:style w:type="character" w:customStyle="1" w:styleId="371">
    <w:name w:val="正文文本缩进 Char"/>
    <w:link w:val="24"/>
    <w:qFormat/>
    <w:uiPriority w:val="99"/>
    <w:rPr>
      <w:kern w:val="2"/>
      <w:sz w:val="21"/>
      <w:szCs w:val="24"/>
    </w:rPr>
  </w:style>
  <w:style w:type="character" w:customStyle="1" w:styleId="372">
    <w:name w:val="称呼 Char"/>
    <w:link w:val="22"/>
    <w:qFormat/>
    <w:uiPriority w:val="0"/>
    <w:rPr>
      <w:rFonts w:ascii="宋体"/>
      <w:kern w:val="2"/>
      <w:sz w:val="24"/>
    </w:rPr>
  </w:style>
  <w:style w:type="character" w:customStyle="1" w:styleId="373">
    <w:name w:val="正文文本 (2) + Arial"/>
    <w:qFormat/>
    <w:uiPriority w:val="99"/>
    <w:rPr>
      <w:rFonts w:ascii="Arial" w:hAnsi="Arial" w:eastAsia="Times New Roman" w:cs="Arial"/>
      <w:color w:val="000000"/>
      <w:spacing w:val="-10"/>
      <w:w w:val="100"/>
      <w:position w:val="0"/>
      <w:sz w:val="11"/>
      <w:szCs w:val="11"/>
      <w:shd w:val="clear" w:color="auto" w:fill="FFFFFF"/>
      <w:lang w:val="en-US" w:eastAsia="en-US"/>
    </w:rPr>
  </w:style>
  <w:style w:type="character" w:customStyle="1" w:styleId="374">
    <w:name w:val="Char Char1"/>
    <w:qFormat/>
    <w:uiPriority w:val="0"/>
    <w:rPr>
      <w:rFonts w:ascii="宋体" w:hAnsi="宋体" w:eastAsia="宋体"/>
      <w:b/>
      <w:bCs/>
      <w:kern w:val="2"/>
      <w:sz w:val="21"/>
      <w:szCs w:val="24"/>
      <w:lang w:val="en-US" w:eastAsia="zh-CN" w:bidi="ar-SA"/>
    </w:rPr>
  </w:style>
  <w:style w:type="character" w:customStyle="1" w:styleId="375">
    <w:name w:val="标题 Char"/>
    <w:link w:val="50"/>
    <w:qFormat/>
    <w:uiPriority w:val="99"/>
    <w:rPr>
      <w:rFonts w:ascii="Arial" w:hAnsi="Arial"/>
      <w:b/>
      <w:sz w:val="32"/>
    </w:rPr>
  </w:style>
  <w:style w:type="character" w:customStyle="1" w:styleId="376">
    <w:name w:val="p0 Char Char"/>
    <w:qFormat/>
    <w:uiPriority w:val="99"/>
  </w:style>
  <w:style w:type="character" w:customStyle="1" w:styleId="377">
    <w:name w:val="HTML 预设格式 Char2"/>
    <w:semiHidden/>
    <w:qFormat/>
    <w:uiPriority w:val="99"/>
    <w:rPr>
      <w:rFonts w:ascii="Courier New" w:hAnsi="Courier New" w:cs="Courier New"/>
      <w:kern w:val="2"/>
    </w:rPr>
  </w:style>
  <w:style w:type="character" w:customStyle="1" w:styleId="378">
    <w:name w:val="标题 #1_"/>
    <w:link w:val="302"/>
    <w:qFormat/>
    <w:locked/>
    <w:uiPriority w:val="99"/>
    <w:rPr>
      <w:rFonts w:ascii="MingLiU" w:hAnsi="MingLiU" w:eastAsia="MingLiU" w:cs="MingLiU"/>
      <w:spacing w:val="30"/>
      <w:sz w:val="21"/>
      <w:szCs w:val="21"/>
      <w:shd w:val="clear" w:color="auto" w:fill="FFFFFF"/>
    </w:rPr>
  </w:style>
  <w:style w:type="character" w:customStyle="1" w:styleId="379">
    <w:name w:val="尾注文本 Char1"/>
    <w:qFormat/>
    <w:uiPriority w:val="99"/>
    <w:rPr>
      <w:rFonts w:ascii="宋体" w:hAnsi="宋体"/>
      <w:kern w:val="2"/>
      <w:sz w:val="24"/>
      <w:szCs w:val="24"/>
    </w:rPr>
  </w:style>
  <w:style w:type="character" w:customStyle="1" w:styleId="380">
    <w:name w:val="javascript"/>
    <w:qFormat/>
    <w:uiPriority w:val="0"/>
  </w:style>
  <w:style w:type="character" w:customStyle="1" w:styleId="381">
    <w:name w:val="普通文字"/>
    <w:qFormat/>
    <w:uiPriority w:val="0"/>
    <w:rPr>
      <w:rFonts w:ascii="宋体" w:hAnsi="Courier New" w:eastAsia="宋体" w:cs="Courier New"/>
      <w:sz w:val="21"/>
      <w:szCs w:val="21"/>
      <w:lang w:val="en-US" w:eastAsia="zh-CN" w:bidi="ar-SA"/>
    </w:rPr>
  </w:style>
  <w:style w:type="character" w:customStyle="1" w:styleId="382">
    <w:name w:val="Char Char25"/>
    <w:qFormat/>
    <w:uiPriority w:val="99"/>
    <w:rPr>
      <w:rFonts w:ascii="Cambria" w:hAnsi="Cambria"/>
      <w:b/>
      <w:kern w:val="32"/>
      <w:sz w:val="32"/>
      <w:lang w:eastAsia="en-US"/>
    </w:rPr>
  </w:style>
  <w:style w:type="character" w:customStyle="1" w:styleId="383">
    <w:name w:val="正文文本 (2) + Arial2"/>
    <w:qFormat/>
    <w:uiPriority w:val="99"/>
    <w:rPr>
      <w:rFonts w:ascii="Arial" w:hAnsi="Arial" w:eastAsia="Times New Roman" w:cs="Arial"/>
      <w:color w:val="000000"/>
      <w:spacing w:val="0"/>
      <w:w w:val="100"/>
      <w:position w:val="0"/>
      <w:sz w:val="11"/>
      <w:szCs w:val="11"/>
      <w:shd w:val="clear" w:color="auto" w:fill="FFFFFF"/>
      <w:lang w:val="en-US" w:eastAsia="en-US"/>
    </w:rPr>
  </w:style>
  <w:style w:type="character" w:customStyle="1" w:styleId="384">
    <w:name w:val="正文文本 (2) + Arial5"/>
    <w:qFormat/>
    <w:uiPriority w:val="99"/>
    <w:rPr>
      <w:rFonts w:ascii="Arial" w:hAnsi="Arial" w:eastAsia="Times New Roman" w:cs="Arial"/>
      <w:b/>
      <w:bCs/>
      <w:color w:val="000000"/>
      <w:spacing w:val="0"/>
      <w:w w:val="100"/>
      <w:position w:val="0"/>
      <w:sz w:val="9"/>
      <w:szCs w:val="9"/>
      <w:shd w:val="clear" w:color="auto" w:fill="FFFFFF"/>
      <w:lang w:val="en-US" w:eastAsia="en-US"/>
    </w:rPr>
  </w:style>
  <w:style w:type="character" w:customStyle="1" w:styleId="385">
    <w:name w:val="正文文本缩进 Char2"/>
    <w:semiHidden/>
    <w:qFormat/>
    <w:uiPriority w:val="99"/>
    <w:rPr>
      <w:rFonts w:ascii="Times New Roman" w:hAnsi="Times New Roman"/>
      <w:kern w:val="2"/>
      <w:sz w:val="21"/>
    </w:rPr>
  </w:style>
  <w:style w:type="character" w:customStyle="1" w:styleId="386">
    <w:name w:val="标题 Char2"/>
    <w:qFormat/>
    <w:uiPriority w:val="10"/>
    <w:rPr>
      <w:rFonts w:ascii="Calibri Light" w:hAnsi="Calibri Light" w:cs="Times New Roman"/>
      <w:b/>
      <w:bCs/>
      <w:kern w:val="2"/>
      <w:sz w:val="32"/>
      <w:szCs w:val="32"/>
    </w:rPr>
  </w:style>
  <w:style w:type="character" w:customStyle="1" w:styleId="387">
    <w:name w:val="style1"/>
    <w:qFormat/>
    <w:uiPriority w:val="99"/>
  </w:style>
  <w:style w:type="character" w:customStyle="1" w:styleId="388">
    <w:name w:val="正文文本 2 Char1"/>
    <w:qFormat/>
    <w:uiPriority w:val="99"/>
    <w:rPr>
      <w:rFonts w:ascii="Times New Roman" w:hAnsi="Times New Roman" w:eastAsia="宋体" w:cs="Times New Roman"/>
      <w:szCs w:val="20"/>
    </w:rPr>
  </w:style>
  <w:style w:type="character" w:customStyle="1" w:styleId="389">
    <w:name w:val="op-map-singlepoint-info-right"/>
    <w:qFormat/>
    <w:uiPriority w:val="0"/>
  </w:style>
  <w:style w:type="character" w:customStyle="1" w:styleId="390">
    <w:name w:val="Placeholder Text"/>
    <w:qFormat/>
    <w:uiPriority w:val="99"/>
    <w:rPr>
      <w:color w:val="808080"/>
    </w:rPr>
  </w:style>
  <w:style w:type="character" w:customStyle="1" w:styleId="391">
    <w:name w:val="纯文本 Char"/>
    <w:link w:val="29"/>
    <w:qFormat/>
    <w:uiPriority w:val="0"/>
    <w:rPr>
      <w:rFonts w:ascii="宋体" w:hAnsi="Courier New"/>
      <w:kern w:val="2"/>
      <w:sz w:val="21"/>
    </w:rPr>
  </w:style>
  <w:style w:type="character" w:customStyle="1" w:styleId="392">
    <w:name w:val="正文文本 (2) + 间距 2 pt1"/>
    <w:qFormat/>
    <w:uiPriority w:val="99"/>
    <w:rPr>
      <w:rFonts w:ascii="MingLiU" w:hAnsi="MingLiU" w:eastAsia="MingLiU" w:cs="MingLiU"/>
      <w:color w:val="000000"/>
      <w:spacing w:val="40"/>
      <w:w w:val="100"/>
      <w:position w:val="0"/>
      <w:sz w:val="11"/>
      <w:szCs w:val="11"/>
      <w:shd w:val="clear" w:color="auto" w:fill="FFFFFF"/>
      <w:lang w:val="zh-TW" w:eastAsia="zh-TW"/>
    </w:rPr>
  </w:style>
  <w:style w:type="character" w:customStyle="1" w:styleId="393">
    <w:name w:val="st1"/>
    <w:qFormat/>
    <w:uiPriority w:val="99"/>
  </w:style>
  <w:style w:type="character" w:customStyle="1" w:styleId="394">
    <w:name w:val="尾注文本 Char"/>
    <w:link w:val="33"/>
    <w:qFormat/>
    <w:uiPriority w:val="0"/>
    <w:rPr>
      <w:szCs w:val="24"/>
    </w:rPr>
  </w:style>
  <w:style w:type="character" w:customStyle="1" w:styleId="395">
    <w:name w:val="正文文本 (6) + 间距 2 pt"/>
    <w:qFormat/>
    <w:uiPriority w:val="99"/>
    <w:rPr>
      <w:rFonts w:ascii="MingLiU" w:hAnsi="MingLiU" w:eastAsia="MingLiU" w:cs="MingLiU"/>
      <w:color w:val="000000"/>
      <w:spacing w:val="40"/>
      <w:w w:val="100"/>
      <w:position w:val="0"/>
      <w:sz w:val="13"/>
      <w:szCs w:val="13"/>
      <w:shd w:val="clear" w:color="auto" w:fill="FFFFFF"/>
      <w:lang w:val="zh-TW" w:eastAsia="zh-TW"/>
    </w:rPr>
  </w:style>
  <w:style w:type="character" w:customStyle="1" w:styleId="396">
    <w:name w:val="Font Style94"/>
    <w:unhideWhenUsed/>
    <w:qFormat/>
    <w:uiPriority w:val="0"/>
    <w:rPr>
      <w:rFonts w:hint="eastAsia" w:ascii="Times New Roman" w:hAnsi="Times New Roman" w:eastAsia="Times New Roman"/>
      <w:sz w:val="28"/>
    </w:rPr>
  </w:style>
  <w:style w:type="character" w:customStyle="1" w:styleId="397">
    <w:name w:val="批注主题 Char"/>
    <w:link w:val="14"/>
    <w:qFormat/>
    <w:uiPriority w:val="99"/>
    <w:rPr>
      <w:rFonts w:eastAsia="宋体"/>
      <w:b/>
      <w:bCs/>
      <w:kern w:val="2"/>
      <w:sz w:val="21"/>
      <w:szCs w:val="24"/>
      <w:lang w:val="en-US" w:eastAsia="zh-CN" w:bidi="ar-SA"/>
    </w:rPr>
  </w:style>
  <w:style w:type="character" w:customStyle="1" w:styleId="398">
    <w:name w:val="个人答复风格"/>
    <w:qFormat/>
    <w:uiPriority w:val="99"/>
    <w:rPr>
      <w:rFonts w:ascii="Arial" w:hAnsi="Arial" w:eastAsia="宋体"/>
      <w:color w:val="auto"/>
      <w:sz w:val="20"/>
    </w:rPr>
  </w:style>
  <w:style w:type="character" w:customStyle="1" w:styleId="399">
    <w:name w:val="正文文本缩进 3 Char"/>
    <w:link w:val="43"/>
    <w:qFormat/>
    <w:uiPriority w:val="99"/>
    <w:rPr>
      <w:kern w:val="2"/>
      <w:sz w:val="16"/>
      <w:szCs w:val="16"/>
    </w:rPr>
  </w:style>
  <w:style w:type="character" w:customStyle="1" w:styleId="400">
    <w:name w:val="hover"/>
    <w:qFormat/>
    <w:uiPriority w:val="0"/>
    <w:rPr>
      <w:color w:val="000000"/>
      <w:shd w:val="clear" w:color="auto" w:fill="FFFFFF"/>
    </w:rPr>
  </w:style>
  <w:style w:type="character" w:customStyle="1" w:styleId="401">
    <w:name w:val="正文文本缩进 2 Char2"/>
    <w:semiHidden/>
    <w:qFormat/>
    <w:uiPriority w:val="99"/>
    <w:rPr>
      <w:rFonts w:ascii="Times New Roman" w:hAnsi="Times New Roman"/>
      <w:kern w:val="2"/>
      <w:sz w:val="21"/>
    </w:rPr>
  </w:style>
  <w:style w:type="character" w:customStyle="1" w:styleId="402">
    <w:name w:val="样式 标题 3 + (中文) 黑体 小四 非加粗 段前: 7.8 磅 段后: 0 磅 行距: 固定值 20 磅 Char Char"/>
    <w:link w:val="77"/>
    <w:qFormat/>
    <w:uiPriority w:val="0"/>
    <w:rPr>
      <w:rFonts w:ascii="黑体" w:hAnsi="宋体" w:eastAsia="黑体" w:cs="宋体"/>
      <w:kern w:val="2"/>
      <w:sz w:val="24"/>
    </w:rPr>
  </w:style>
  <w:style w:type="character" w:customStyle="1" w:styleId="403">
    <w:name w:val="headline-content2"/>
    <w:qFormat/>
    <w:uiPriority w:val="0"/>
  </w:style>
  <w:style w:type="character" w:customStyle="1" w:styleId="404">
    <w:name w:val="正文文本缩进 2 Char3"/>
    <w:semiHidden/>
    <w:qFormat/>
    <w:uiPriority w:val="99"/>
    <w:rPr>
      <w:kern w:val="2"/>
      <w:sz w:val="21"/>
      <w:szCs w:val="24"/>
    </w:rPr>
  </w:style>
  <w:style w:type="character" w:customStyle="1" w:styleId="405">
    <w:name w:val="书籍标题2"/>
    <w:qFormat/>
    <w:uiPriority w:val="99"/>
    <w:rPr>
      <w:rFonts w:ascii="Cambria" w:hAnsi="Cambria" w:eastAsia="宋体"/>
      <w:b/>
      <w:i/>
      <w:sz w:val="24"/>
    </w:rPr>
  </w:style>
  <w:style w:type="character" w:customStyle="1" w:styleId="406">
    <w:name w:val="正文文本 (3)_"/>
    <w:link w:val="101"/>
    <w:qFormat/>
    <w:locked/>
    <w:uiPriority w:val="99"/>
    <w:rPr>
      <w:rFonts w:ascii="Tahoma" w:hAnsi="Tahoma" w:eastAsia="Times New Roman" w:cs="Tahoma"/>
      <w:sz w:val="14"/>
      <w:szCs w:val="14"/>
      <w:shd w:val="clear" w:color="auto" w:fill="FFFFFF"/>
      <w:lang w:eastAsia="en-US"/>
    </w:rPr>
  </w:style>
  <w:style w:type="character" w:customStyle="1" w:styleId="407">
    <w:name w:val="正文文本 (2) + CordiaUPC1"/>
    <w:qFormat/>
    <w:uiPriority w:val="99"/>
    <w:rPr>
      <w:rFonts w:ascii="CordiaUPC" w:hAnsi="CordiaUPC" w:eastAsia="Times New Roman" w:cs="CordiaUPC"/>
      <w:b/>
      <w:bCs/>
      <w:color w:val="000000"/>
      <w:spacing w:val="0"/>
      <w:w w:val="100"/>
      <w:position w:val="0"/>
      <w:sz w:val="21"/>
      <w:szCs w:val="21"/>
      <w:shd w:val="clear" w:color="auto" w:fill="FFFFFF"/>
      <w:lang w:val="en-US" w:eastAsia="en-US"/>
    </w:rPr>
  </w:style>
  <w:style w:type="character" w:customStyle="1" w:styleId="408">
    <w:name w:val="尾注文本 Char3"/>
    <w:semiHidden/>
    <w:qFormat/>
    <w:uiPriority w:val="99"/>
    <w:rPr>
      <w:kern w:val="2"/>
      <w:sz w:val="21"/>
      <w:szCs w:val="24"/>
    </w:rPr>
  </w:style>
  <w:style w:type="character" w:customStyle="1" w:styleId="409">
    <w:name w:val="日期 Char"/>
    <w:link w:val="31"/>
    <w:qFormat/>
    <w:uiPriority w:val="0"/>
    <w:rPr>
      <w:kern w:val="2"/>
      <w:sz w:val="24"/>
    </w:rPr>
  </w:style>
  <w:style w:type="character" w:customStyle="1" w:styleId="410">
    <w:name w:val="正文文本 (2) + FrankRuehl5"/>
    <w:qFormat/>
    <w:uiPriority w:val="99"/>
    <w:rPr>
      <w:rFonts w:ascii="FrankRuehl" w:hAnsi="FrankRuehl" w:eastAsia="Times New Roman" w:cs="FrankRuehl"/>
      <w:color w:val="000000"/>
      <w:spacing w:val="0"/>
      <w:w w:val="100"/>
      <w:position w:val="0"/>
      <w:sz w:val="14"/>
      <w:szCs w:val="14"/>
      <w:shd w:val="clear" w:color="auto" w:fill="FFFFFF"/>
      <w:lang w:val="en-US" w:eastAsia="en-US" w:bidi="he-IL"/>
    </w:rPr>
  </w:style>
  <w:style w:type="character" w:customStyle="1" w:styleId="411">
    <w:name w:val="_Style 410"/>
    <w:qFormat/>
    <w:uiPriority w:val="0"/>
    <w:rPr>
      <w:b/>
      <w:bCs/>
      <w:i/>
      <w:iCs/>
      <w:color w:val="4F81BD"/>
    </w:rPr>
  </w:style>
  <w:style w:type="character" w:customStyle="1" w:styleId="412">
    <w:name w:val="标题 3 Char"/>
    <w:link w:val="7"/>
    <w:qFormat/>
    <w:uiPriority w:val="0"/>
    <w:rPr>
      <w:rFonts w:ascii="黑体" w:hAnsi="宋体" w:eastAsia="黑体"/>
      <w:bCs/>
      <w:kern w:val="2"/>
      <w:sz w:val="28"/>
      <w:szCs w:val="28"/>
      <w:lang w:val="en-US" w:eastAsia="zh-CN" w:bidi="ar-SA"/>
    </w:rPr>
  </w:style>
  <w:style w:type="character" w:customStyle="1" w:styleId="413">
    <w:name w:val="日期 Char2"/>
    <w:semiHidden/>
    <w:qFormat/>
    <w:uiPriority w:val="99"/>
    <w:rPr>
      <w:rFonts w:ascii="Times New Roman" w:hAnsi="Times New Roman"/>
      <w:kern w:val="2"/>
      <w:sz w:val="21"/>
    </w:rPr>
  </w:style>
  <w:style w:type="character" w:customStyle="1" w:styleId="414">
    <w:name w:val="标题 #3 (2) + 间距 2 pt"/>
    <w:qFormat/>
    <w:uiPriority w:val="99"/>
    <w:rPr>
      <w:rFonts w:ascii="MingLiU" w:hAnsi="MingLiU" w:eastAsia="MingLiU" w:cs="MingLiU"/>
      <w:color w:val="000000"/>
      <w:spacing w:val="40"/>
      <w:w w:val="100"/>
      <w:position w:val="0"/>
      <w:sz w:val="11"/>
      <w:szCs w:val="11"/>
      <w:shd w:val="clear" w:color="auto" w:fill="FFFFFF"/>
      <w:lang w:val="zh-TW" w:eastAsia="zh-TW"/>
    </w:rPr>
  </w:style>
  <w:style w:type="character" w:customStyle="1" w:styleId="415">
    <w:name w:val="font161"/>
    <w:qFormat/>
    <w:uiPriority w:val="99"/>
    <w:rPr>
      <w:b/>
      <w:bCs/>
      <w:sz w:val="32"/>
      <w:szCs w:val="32"/>
    </w:rPr>
  </w:style>
  <w:style w:type="character" w:customStyle="1" w:styleId="416">
    <w:name w:val="标题 Char1"/>
    <w:qFormat/>
    <w:uiPriority w:val="99"/>
    <w:rPr>
      <w:rFonts w:ascii="Cambria" w:hAnsi="Cambria" w:cs="Times New Roman"/>
      <w:b/>
      <w:bCs/>
      <w:kern w:val="2"/>
      <w:sz w:val="32"/>
      <w:szCs w:val="32"/>
    </w:rPr>
  </w:style>
  <w:style w:type="character" w:customStyle="1" w:styleId="417">
    <w:name w:val="副标题 Char"/>
    <w:link w:val="39"/>
    <w:qFormat/>
    <w:uiPriority w:val="11"/>
    <w:rPr>
      <w:rFonts w:ascii="Cambria" w:hAnsi="Cambria"/>
      <w:sz w:val="24"/>
      <w:szCs w:val="24"/>
    </w:rPr>
  </w:style>
  <w:style w:type="character" w:customStyle="1" w:styleId="418">
    <w:name w:val="_Style 417"/>
    <w:qFormat/>
    <w:uiPriority w:val="0"/>
    <w:rPr>
      <w:b/>
      <w:bCs/>
      <w:smallCaps/>
      <w:spacing w:val="5"/>
    </w:rPr>
  </w:style>
  <w:style w:type="character" w:customStyle="1" w:styleId="419">
    <w:name w:val="不明显参考1"/>
    <w:qFormat/>
    <w:uiPriority w:val="99"/>
    <w:rPr>
      <w:sz w:val="24"/>
      <w:u w:val="single"/>
    </w:rPr>
  </w:style>
  <w:style w:type="character" w:customStyle="1" w:styleId="420">
    <w:name w:val="脚注文本 Char2"/>
    <w:semiHidden/>
    <w:qFormat/>
    <w:uiPriority w:val="99"/>
    <w:rPr>
      <w:rFonts w:ascii="Times New Roman" w:hAnsi="Times New Roman"/>
      <w:kern w:val="2"/>
      <w:sz w:val="18"/>
      <w:szCs w:val="18"/>
    </w:rPr>
  </w:style>
  <w:style w:type="character" w:customStyle="1" w:styleId="421">
    <w:name w:val="Font Style124"/>
    <w:unhideWhenUsed/>
    <w:qFormat/>
    <w:uiPriority w:val="0"/>
    <w:rPr>
      <w:rFonts w:hint="eastAsia" w:ascii="宋体" w:hAnsi="宋体" w:eastAsia="宋体"/>
      <w:spacing w:val="30"/>
      <w:sz w:val="24"/>
    </w:rPr>
  </w:style>
  <w:style w:type="character" w:customStyle="1" w:styleId="422">
    <w:name w:val="明显参考2"/>
    <w:qFormat/>
    <w:uiPriority w:val="99"/>
    <w:rPr>
      <w:b/>
      <w:sz w:val="24"/>
      <w:u w:val="single"/>
    </w:rPr>
  </w:style>
  <w:style w:type="character" w:customStyle="1" w:styleId="423">
    <w:name w:val="未处理的提及3"/>
    <w:unhideWhenUsed/>
    <w:qFormat/>
    <w:uiPriority w:val="99"/>
    <w:rPr>
      <w:color w:val="605E5C"/>
      <w:shd w:val="clear" w:color="auto" w:fill="E1DFDD"/>
    </w:rPr>
  </w:style>
  <w:style w:type="character" w:customStyle="1" w:styleId="424">
    <w:name w:val="批注主题 Char1"/>
    <w:qFormat/>
    <w:uiPriority w:val="99"/>
    <w:rPr>
      <w:b/>
      <w:bCs/>
      <w:kern w:val="2"/>
      <w:sz w:val="21"/>
      <w:szCs w:val="22"/>
    </w:rPr>
  </w:style>
  <w:style w:type="character" w:customStyle="1" w:styleId="425">
    <w:name w:val="标题 #1 + 间距 0 pt"/>
    <w:qFormat/>
    <w:uiPriority w:val="99"/>
    <w:rPr>
      <w:rFonts w:ascii="MingLiU" w:hAnsi="MingLiU" w:eastAsia="MingLiU" w:cs="MingLiU"/>
      <w:color w:val="000000"/>
      <w:spacing w:val="0"/>
      <w:w w:val="100"/>
      <w:position w:val="0"/>
      <w:sz w:val="21"/>
      <w:szCs w:val="21"/>
      <w:shd w:val="clear" w:color="auto" w:fill="FFFFFF"/>
      <w:lang w:val="zh-TW" w:eastAsia="zh-TW"/>
    </w:rPr>
  </w:style>
  <w:style w:type="character" w:customStyle="1" w:styleId="426">
    <w:name w:val="正文文本 (2) + CordiaUPC2"/>
    <w:qFormat/>
    <w:uiPriority w:val="99"/>
    <w:rPr>
      <w:rFonts w:ascii="CordiaUPC" w:hAnsi="CordiaUPC" w:eastAsia="Times New Roman" w:cs="CordiaUPC"/>
      <w:b/>
      <w:bCs/>
      <w:color w:val="000000"/>
      <w:spacing w:val="0"/>
      <w:w w:val="100"/>
      <w:position w:val="0"/>
      <w:sz w:val="16"/>
      <w:szCs w:val="16"/>
      <w:shd w:val="clear" w:color="auto" w:fill="FFFFFF"/>
      <w:lang w:val="en-US" w:eastAsia="en-US"/>
    </w:rPr>
  </w:style>
  <w:style w:type="character" w:customStyle="1" w:styleId="427">
    <w:name w:val="纯文本 Char1"/>
    <w:qFormat/>
    <w:uiPriority w:val="99"/>
    <w:rPr>
      <w:rFonts w:ascii="宋体" w:hAnsi="Courier New" w:eastAsia="宋体"/>
      <w:kern w:val="2"/>
      <w:sz w:val="21"/>
      <w:lang w:val="en-US" w:eastAsia="zh-CN" w:bidi="ar-SA"/>
    </w:rPr>
  </w:style>
  <w:style w:type="character" w:customStyle="1" w:styleId="428">
    <w:name w:val="正文文本缩进 2 Char1"/>
    <w:semiHidden/>
    <w:qFormat/>
    <w:uiPriority w:val="99"/>
    <w:rPr>
      <w:rFonts w:ascii="Times New Roman" w:hAnsi="Times New Roman" w:eastAsia="宋体" w:cs="Times New Roman"/>
      <w:szCs w:val="20"/>
    </w:rPr>
  </w:style>
  <w:style w:type="character" w:customStyle="1" w:styleId="429">
    <w:name w:val="明显强调2"/>
    <w:qFormat/>
    <w:uiPriority w:val="99"/>
    <w:rPr>
      <w:b/>
      <w:i/>
      <w:sz w:val="24"/>
      <w:u w:val="single"/>
    </w:rPr>
  </w:style>
  <w:style w:type="character" w:customStyle="1" w:styleId="430">
    <w:name w:val="正文文本 (2) + Arial3"/>
    <w:qFormat/>
    <w:uiPriority w:val="99"/>
    <w:rPr>
      <w:rFonts w:ascii="Arial" w:hAnsi="Arial" w:eastAsia="Times New Roman" w:cs="Arial"/>
      <w:color w:val="000000"/>
      <w:spacing w:val="0"/>
      <w:w w:val="100"/>
      <w:position w:val="0"/>
      <w:sz w:val="11"/>
      <w:szCs w:val="11"/>
      <w:shd w:val="clear" w:color="auto" w:fill="FFFFFF"/>
      <w:lang w:val="en-US" w:eastAsia="en-US"/>
    </w:rPr>
  </w:style>
  <w:style w:type="character" w:customStyle="1" w:styleId="431">
    <w:name w:val="items3"/>
    <w:basedOn w:val="51"/>
    <w:qFormat/>
    <w:uiPriority w:val="0"/>
  </w:style>
  <w:style w:type="character" w:customStyle="1" w:styleId="432">
    <w:name w:val="标题5 Char Char"/>
    <w:link w:val="227"/>
    <w:qFormat/>
    <w:uiPriority w:val="0"/>
    <w:rPr>
      <w:rFonts w:ascii="Arial" w:hAnsi="Arial"/>
      <w:b/>
      <w:bCs/>
      <w:sz w:val="24"/>
      <w:szCs w:val="32"/>
    </w:rPr>
  </w:style>
  <w:style w:type="character" w:customStyle="1" w:styleId="433">
    <w:name w:val="正文文本缩进 2 Char"/>
    <w:link w:val="32"/>
    <w:qFormat/>
    <w:uiPriority w:val="99"/>
    <w:rPr>
      <w:rFonts w:ascii="宋体" w:hAnsi="宋体"/>
      <w:b/>
      <w:bCs/>
      <w:kern w:val="2"/>
      <w:sz w:val="24"/>
      <w:szCs w:val="24"/>
    </w:rPr>
  </w:style>
  <w:style w:type="character" w:customStyle="1" w:styleId="434">
    <w:name w:val="Heading 4 Char"/>
    <w:qFormat/>
    <w:locked/>
    <w:uiPriority w:val="99"/>
    <w:rPr>
      <w:rFonts w:ascii="Arial" w:hAnsi="Arial" w:eastAsia="黑体" w:cs="Arial"/>
      <w:b/>
      <w:bCs/>
      <w:kern w:val="2"/>
      <w:sz w:val="28"/>
      <w:szCs w:val="28"/>
      <w:lang w:val="en-US" w:eastAsia="zh-CN"/>
    </w:rPr>
  </w:style>
  <w:style w:type="character" w:customStyle="1" w:styleId="435">
    <w:name w:val="标题 1 Char"/>
    <w:link w:val="5"/>
    <w:qFormat/>
    <w:uiPriority w:val="9"/>
    <w:rPr>
      <w:rFonts w:eastAsia="宋体"/>
      <w:b/>
      <w:bCs/>
      <w:kern w:val="44"/>
      <w:sz w:val="44"/>
      <w:szCs w:val="44"/>
      <w:lang w:val="en-US" w:eastAsia="zh-CN" w:bidi="ar-SA"/>
    </w:rPr>
  </w:style>
  <w:style w:type="character" w:customStyle="1" w:styleId="436">
    <w:name w:val="纯文本 Char3"/>
    <w:semiHidden/>
    <w:qFormat/>
    <w:uiPriority w:val="99"/>
    <w:rPr>
      <w:rFonts w:ascii="宋体" w:hAnsi="Courier New" w:cs="Courier New"/>
      <w:kern w:val="2"/>
      <w:sz w:val="21"/>
      <w:szCs w:val="21"/>
    </w:rPr>
  </w:style>
  <w:style w:type="character" w:customStyle="1" w:styleId="437">
    <w:name w:val="副标题 Char2"/>
    <w:qFormat/>
    <w:uiPriority w:val="11"/>
    <w:rPr>
      <w:rFonts w:ascii="Cambria" w:hAnsi="Cambria" w:cs="Times New Roman"/>
      <w:b/>
      <w:bCs/>
      <w:kern w:val="28"/>
      <w:sz w:val="32"/>
      <w:szCs w:val="32"/>
    </w:rPr>
  </w:style>
  <w:style w:type="character" w:customStyle="1" w:styleId="438">
    <w:name w:val="标题 #2 + 间距 1 pt"/>
    <w:qFormat/>
    <w:uiPriority w:val="99"/>
    <w:rPr>
      <w:rFonts w:ascii="MingLiU" w:hAnsi="MingLiU" w:eastAsia="MingLiU" w:cs="MingLiU"/>
      <w:color w:val="000000"/>
      <w:spacing w:val="20"/>
      <w:w w:val="100"/>
      <w:position w:val="0"/>
      <w:sz w:val="21"/>
      <w:szCs w:val="21"/>
      <w:shd w:val="clear" w:color="auto" w:fill="FFFFFF"/>
      <w:lang w:val="zh-TW" w:eastAsia="zh-TW"/>
    </w:rPr>
  </w:style>
  <w:style w:type="character" w:customStyle="1" w:styleId="439">
    <w:name w:val="正文文本 (2) + FrankRuehl3"/>
    <w:qFormat/>
    <w:uiPriority w:val="99"/>
    <w:rPr>
      <w:rFonts w:ascii="FrankRuehl" w:hAnsi="FrankRuehl" w:eastAsia="Times New Roman" w:cs="FrankRuehl"/>
      <w:color w:val="000000"/>
      <w:spacing w:val="0"/>
      <w:w w:val="100"/>
      <w:position w:val="0"/>
      <w:sz w:val="8"/>
      <w:szCs w:val="8"/>
      <w:shd w:val="clear" w:color="auto" w:fill="FFFFFF"/>
      <w:lang w:val="en-US" w:eastAsia="en-US" w:bidi="he-IL"/>
    </w:rPr>
  </w:style>
  <w:style w:type="character" w:customStyle="1" w:styleId="440">
    <w:name w:val="批注文字 Char1"/>
    <w:qFormat/>
    <w:uiPriority w:val="99"/>
    <w:rPr>
      <w:rFonts w:ascii="宋体" w:hAnsi="宋体"/>
      <w:kern w:val="2"/>
      <w:sz w:val="24"/>
      <w:szCs w:val="24"/>
    </w:rPr>
  </w:style>
  <w:style w:type="character" w:customStyle="1" w:styleId="441">
    <w:name w:val="textcontents"/>
    <w:qFormat/>
    <w:uiPriority w:val="0"/>
    <w:rPr>
      <w:rFonts w:cs="Times New Roman"/>
    </w:rPr>
  </w:style>
  <w:style w:type="character" w:customStyle="1" w:styleId="442">
    <w:name w:val="明显强调1"/>
    <w:qFormat/>
    <w:uiPriority w:val="99"/>
    <w:rPr>
      <w:b/>
      <w:i/>
      <w:sz w:val="24"/>
      <w:u w:val="single"/>
    </w:rPr>
  </w:style>
  <w:style w:type="character" w:customStyle="1" w:styleId="443">
    <w:name w:val="未处理的提及1"/>
    <w:unhideWhenUsed/>
    <w:qFormat/>
    <w:uiPriority w:val="99"/>
    <w:rPr>
      <w:color w:val="605E5C"/>
      <w:shd w:val="clear" w:color="auto" w:fill="E1DFDD"/>
    </w:rPr>
  </w:style>
  <w:style w:type="character" w:customStyle="1" w:styleId="444">
    <w:name w:val="标题 8 Char"/>
    <w:link w:val="12"/>
    <w:qFormat/>
    <w:uiPriority w:val="0"/>
    <w:rPr>
      <w:rFonts w:ascii="Arial" w:hAnsi="Arial" w:eastAsia="黑体"/>
      <w:sz w:val="24"/>
      <w:szCs w:val="24"/>
    </w:rPr>
  </w:style>
  <w:style w:type="character" w:customStyle="1" w:styleId="445">
    <w:name w:val="标题 #3_"/>
    <w:link w:val="225"/>
    <w:qFormat/>
    <w:locked/>
    <w:uiPriority w:val="99"/>
    <w:rPr>
      <w:rFonts w:ascii="MingLiU" w:hAnsi="MingLiU" w:eastAsia="MingLiU" w:cs="MingLiU"/>
      <w:spacing w:val="20"/>
      <w:sz w:val="13"/>
      <w:szCs w:val="13"/>
      <w:shd w:val="clear" w:color="auto" w:fill="FFFFFF"/>
    </w:rPr>
  </w:style>
  <w:style w:type="character" w:customStyle="1" w:styleId="446">
    <w:name w:val="wx-space"/>
    <w:basedOn w:val="51"/>
    <w:qFormat/>
    <w:uiPriority w:val="0"/>
  </w:style>
  <w:style w:type="character" w:customStyle="1" w:styleId="447">
    <w:name w:val="无间隔 Char"/>
    <w:link w:val="243"/>
    <w:qFormat/>
    <w:locked/>
    <w:uiPriority w:val="99"/>
    <w:rPr>
      <w:rFonts w:ascii="Calibri" w:hAnsi="Calibri"/>
      <w:sz w:val="22"/>
      <w:szCs w:val="22"/>
      <w:lang w:val="en-US" w:eastAsia="zh-CN" w:bidi="ar-SA"/>
    </w:rPr>
  </w:style>
  <w:style w:type="character" w:customStyle="1" w:styleId="448">
    <w:name w:val="引用 Char2"/>
    <w:qFormat/>
    <w:uiPriority w:val="99"/>
    <w:rPr>
      <w:i/>
      <w:iCs/>
      <w:color w:val="000000"/>
      <w:kern w:val="2"/>
      <w:sz w:val="21"/>
      <w:szCs w:val="24"/>
    </w:rPr>
  </w:style>
  <w:style w:type="character" w:customStyle="1" w:styleId="449">
    <w:name w:val="明显引用 Char2"/>
    <w:qFormat/>
    <w:uiPriority w:val="99"/>
    <w:rPr>
      <w:rFonts w:ascii="Times New Roman" w:hAnsi="Times New Roman" w:eastAsia="宋体"/>
      <w:b/>
      <w:i/>
      <w:color w:val="4F81BD"/>
      <w:sz w:val="24"/>
    </w:rPr>
  </w:style>
  <w:style w:type="character" w:customStyle="1" w:styleId="450">
    <w:name w:val="style131"/>
    <w:qFormat/>
    <w:uiPriority w:val="99"/>
    <w:rPr>
      <w:sz w:val="24"/>
    </w:rPr>
  </w:style>
  <w:style w:type="character" w:customStyle="1" w:styleId="451">
    <w:name w:val="正文文本 (2) + 间距 2 pt"/>
    <w:qFormat/>
    <w:uiPriority w:val="99"/>
    <w:rPr>
      <w:rFonts w:ascii="MingLiU" w:hAnsi="MingLiU" w:eastAsia="MingLiU" w:cs="MingLiU"/>
      <w:color w:val="000000"/>
      <w:spacing w:val="40"/>
      <w:w w:val="100"/>
      <w:position w:val="0"/>
      <w:sz w:val="11"/>
      <w:szCs w:val="11"/>
      <w:shd w:val="clear" w:color="auto" w:fill="FFFFFF"/>
      <w:lang w:val="zh-TW" w:eastAsia="zh-TW"/>
    </w:rPr>
  </w:style>
  <w:style w:type="character" w:customStyle="1" w:styleId="452">
    <w:name w:val="正文文本 (2) + Arial1"/>
    <w:qFormat/>
    <w:uiPriority w:val="99"/>
    <w:rPr>
      <w:rFonts w:ascii="Arial" w:hAnsi="Arial" w:eastAsia="Times New Roman" w:cs="Arial"/>
      <w:b/>
      <w:bCs/>
      <w:color w:val="000000"/>
      <w:spacing w:val="0"/>
      <w:w w:val="100"/>
      <w:position w:val="0"/>
      <w:sz w:val="10"/>
      <w:szCs w:val="10"/>
      <w:shd w:val="clear" w:color="auto" w:fill="FFFFFF"/>
      <w:lang w:val="en-US" w:eastAsia="en-US"/>
    </w:rPr>
  </w:style>
  <w:style w:type="character" w:customStyle="1" w:styleId="453">
    <w:name w:val="明显引用 Char1"/>
    <w:qFormat/>
    <w:uiPriority w:val="99"/>
    <w:rPr>
      <w:rFonts w:ascii="宋体" w:hAnsi="宋体"/>
      <w:b/>
      <w:bCs/>
      <w:i/>
      <w:iCs/>
      <w:color w:val="4F81BD"/>
      <w:kern w:val="2"/>
      <w:sz w:val="24"/>
      <w:szCs w:val="24"/>
    </w:rPr>
  </w:style>
  <w:style w:type="character" w:customStyle="1" w:styleId="454">
    <w:name w:val="标题4 Char Char"/>
    <w:link w:val="219"/>
    <w:qFormat/>
    <w:uiPriority w:val="0"/>
    <w:rPr>
      <w:rFonts w:ascii="Arial" w:hAnsi="Arial"/>
      <w:b/>
      <w:bCs/>
      <w:sz w:val="24"/>
      <w:szCs w:val="32"/>
    </w:rPr>
  </w:style>
  <w:style w:type="character" w:customStyle="1" w:styleId="455">
    <w:name w:val="hover5"/>
    <w:qFormat/>
    <w:uiPriority w:val="0"/>
    <w:rPr>
      <w:color w:val="000000"/>
      <w:shd w:val="clear" w:color="auto" w:fill="FFFFFF"/>
    </w:rPr>
  </w:style>
  <w:style w:type="character" w:customStyle="1" w:styleId="456">
    <w:name w:val="search-in-page-highlight-item"/>
    <w:basedOn w:val="51"/>
    <w:qFormat/>
    <w:uiPriority w:val="0"/>
  </w:style>
  <w:style w:type="character" w:customStyle="1" w:styleId="457">
    <w:name w:val="称呼 Char2"/>
    <w:semiHidden/>
    <w:qFormat/>
    <w:uiPriority w:val="99"/>
    <w:rPr>
      <w:kern w:val="2"/>
      <w:sz w:val="21"/>
      <w:szCs w:val="24"/>
    </w:rPr>
  </w:style>
  <w:style w:type="character" w:customStyle="1" w:styleId="458">
    <w:name w:val="XW正文 Char Char"/>
    <w:link w:val="89"/>
    <w:qFormat/>
    <w:uiPriority w:val="0"/>
    <w:rPr>
      <w:sz w:val="24"/>
    </w:rPr>
  </w:style>
  <w:style w:type="character" w:customStyle="1" w:styleId="459">
    <w:name w:val="日期 Char1"/>
    <w:qFormat/>
    <w:uiPriority w:val="99"/>
    <w:rPr>
      <w:kern w:val="2"/>
      <w:sz w:val="21"/>
      <w:szCs w:val="22"/>
    </w:rPr>
  </w:style>
  <w:style w:type="character" w:customStyle="1" w:styleId="460">
    <w:name w:val="样式1 Char Char"/>
    <w:qFormat/>
    <w:locked/>
    <w:uiPriority w:val="99"/>
    <w:rPr>
      <w:rFonts w:cs="Times New Roman"/>
      <w:b/>
      <w:kern w:val="2"/>
      <w:sz w:val="24"/>
      <w:szCs w:val="24"/>
    </w:rPr>
  </w:style>
  <w:style w:type="character" w:customStyle="1" w:styleId="461">
    <w:name w:val="正文 + 宋体 Char"/>
    <w:link w:val="136"/>
    <w:qFormat/>
    <w:uiPriority w:val="0"/>
    <w:rPr>
      <w:rFonts w:ascii="宋体" w:hAnsi="宋体"/>
      <w:sz w:val="28"/>
      <w:szCs w:val="24"/>
    </w:rPr>
  </w:style>
  <w:style w:type="character" w:customStyle="1" w:styleId="462">
    <w:name w:val="页眉 Char2"/>
    <w:qFormat/>
    <w:uiPriority w:val="99"/>
    <w:rPr>
      <w:rFonts w:ascii="Times New Roman" w:hAnsi="Times New Roman"/>
      <w:kern w:val="2"/>
      <w:sz w:val="18"/>
      <w:szCs w:val="18"/>
    </w:rPr>
  </w:style>
  <w:style w:type="character" w:customStyle="1" w:styleId="463">
    <w:name w:val="正文文本 Char1"/>
    <w:qFormat/>
    <w:uiPriority w:val="99"/>
    <w:rPr>
      <w:rFonts w:ascii="宋体" w:hAnsi="宋体"/>
      <w:kern w:val="2"/>
      <w:sz w:val="24"/>
      <w:szCs w:val="24"/>
    </w:rPr>
  </w:style>
  <w:style w:type="character" w:customStyle="1" w:styleId="464">
    <w:name w:val="search-in-page-highlight-wrapper"/>
    <w:basedOn w:val="51"/>
    <w:qFormat/>
    <w:uiPriority w:val="0"/>
  </w:style>
  <w:style w:type="character" w:customStyle="1" w:styleId="465">
    <w:name w:val=" Char Char Char"/>
    <w:qFormat/>
    <w:uiPriority w:val="0"/>
    <w:rPr>
      <w:rFonts w:ascii="宋体" w:hAnsi="Courier New" w:eastAsia="宋体"/>
      <w:kern w:val="2"/>
      <w:sz w:val="21"/>
      <w:lang w:val="en-US" w:eastAsia="zh-CN" w:bidi="ar-SA"/>
    </w:rPr>
  </w:style>
  <w:style w:type="character" w:customStyle="1" w:styleId="466">
    <w:name w:val="样式1 字符"/>
    <w:qFormat/>
    <w:uiPriority w:val="0"/>
    <w:rPr>
      <w:rFonts w:ascii="Calibri" w:hAnsi="Calibri" w:eastAsia="宋体" w:cs="Times New Roman"/>
      <w:b/>
      <w:kern w:val="44"/>
      <w:sz w:val="30"/>
      <w:szCs w:val="22"/>
    </w:rPr>
  </w:style>
  <w:style w:type="character" w:customStyle="1" w:styleId="467">
    <w:name w:val="访问过的超链接1"/>
    <w:unhideWhenUsed/>
    <w:qFormat/>
    <w:uiPriority w:val="99"/>
    <w:rPr>
      <w:color w:val="954F72"/>
      <w:u w:val="single"/>
    </w:rPr>
  </w:style>
  <w:style w:type="character" w:customStyle="1" w:styleId="468">
    <w:name w:val="页码 New"/>
    <w:qFormat/>
    <w:uiPriority w:val="99"/>
  </w:style>
  <w:style w:type="character" w:customStyle="1" w:styleId="469">
    <w:name w:val="标题 4 Char"/>
    <w:link w:val="8"/>
    <w:qFormat/>
    <w:uiPriority w:val="99"/>
    <w:rPr>
      <w:rFonts w:ascii="Arial" w:hAnsi="Arial" w:eastAsia="黑体"/>
      <w:b/>
      <w:bCs/>
      <w:kern w:val="2"/>
      <w:sz w:val="24"/>
      <w:szCs w:val="28"/>
      <w:lang w:val="en-US" w:eastAsia="zh-CN" w:bidi="ar-SA"/>
    </w:rPr>
  </w:style>
  <w:style w:type="character" w:customStyle="1" w:styleId="470">
    <w:name w:val="Para head"/>
    <w:qFormat/>
    <w:uiPriority w:val="0"/>
    <w:rPr>
      <w:rFonts w:ascii="Arial" w:hAnsi="Arial" w:eastAsia="Times New Roman"/>
      <w:sz w:val="20"/>
    </w:rPr>
  </w:style>
  <w:style w:type="character" w:customStyle="1" w:styleId="471">
    <w:name w:val="HTML 预设格式 Char"/>
    <w:link w:val="47"/>
    <w:qFormat/>
    <w:uiPriority w:val="99"/>
    <w:rPr>
      <w:rFonts w:ascii="Arial" w:hAnsi="Arial" w:cs="Arial"/>
      <w:sz w:val="24"/>
      <w:szCs w:val="24"/>
    </w:rPr>
  </w:style>
  <w:style w:type="character" w:customStyle="1" w:styleId="472">
    <w:name w:val="批注文字 Char2"/>
    <w:semiHidden/>
    <w:qFormat/>
    <w:uiPriority w:val="99"/>
    <w:rPr>
      <w:rFonts w:ascii="Times New Roman" w:hAnsi="Times New Roman"/>
      <w:kern w:val="2"/>
      <w:sz w:val="21"/>
    </w:rPr>
  </w:style>
  <w:style w:type="character" w:customStyle="1" w:styleId="473">
    <w:name w:val="批注文字 Char"/>
    <w:link w:val="15"/>
    <w:qFormat/>
    <w:uiPriority w:val="99"/>
    <w:rPr>
      <w:rFonts w:eastAsia="宋体"/>
      <w:kern w:val="2"/>
      <w:sz w:val="21"/>
      <w:szCs w:val="24"/>
      <w:lang w:val="en-US" w:eastAsia="zh-CN" w:bidi="ar-SA"/>
    </w:rPr>
  </w:style>
  <w:style w:type="character" w:customStyle="1" w:styleId="474">
    <w:name w:val="正文文本 (5)_"/>
    <w:link w:val="274"/>
    <w:qFormat/>
    <w:locked/>
    <w:uiPriority w:val="99"/>
    <w:rPr>
      <w:rFonts w:ascii="MingLiU" w:hAnsi="MingLiU" w:eastAsia="MingLiU" w:cs="MingLiU"/>
      <w:sz w:val="11"/>
      <w:szCs w:val="11"/>
      <w:shd w:val="clear" w:color="auto" w:fill="FFFFFF"/>
    </w:rPr>
  </w:style>
  <w:style w:type="character" w:customStyle="1" w:styleId="475">
    <w:name w:val="正文文本 2 Char3"/>
    <w:semiHidden/>
    <w:qFormat/>
    <w:uiPriority w:val="99"/>
    <w:rPr>
      <w:kern w:val="2"/>
      <w:sz w:val="21"/>
      <w:szCs w:val="24"/>
    </w:rPr>
  </w:style>
  <w:style w:type="character" w:customStyle="1" w:styleId="476">
    <w:name w:val="Char Char24"/>
    <w:qFormat/>
    <w:uiPriority w:val="99"/>
    <w:rPr>
      <w:rFonts w:ascii="宋体" w:eastAsia="宋体"/>
      <w:b/>
      <w:kern w:val="2"/>
      <w:sz w:val="24"/>
    </w:rPr>
  </w:style>
  <w:style w:type="character" w:customStyle="1" w:styleId="477">
    <w:name w:val="Char Char4"/>
    <w:qFormat/>
    <w:uiPriority w:val="0"/>
    <w:rPr>
      <w:rFonts w:ascii="宋体" w:hAnsi="宋体" w:eastAsia="宋体"/>
      <w:kern w:val="2"/>
      <w:sz w:val="18"/>
      <w:szCs w:val="18"/>
      <w:lang w:val="en-US" w:eastAsia="zh-CN" w:bidi="ar-SA"/>
    </w:rPr>
  </w:style>
  <w:style w:type="character" w:customStyle="1" w:styleId="478">
    <w:name w:val="正文文本 (2) + Arial4"/>
    <w:qFormat/>
    <w:uiPriority w:val="99"/>
    <w:rPr>
      <w:rFonts w:ascii="Arial" w:hAnsi="Arial" w:eastAsia="Times New Roman" w:cs="Arial"/>
      <w:color w:val="000000"/>
      <w:spacing w:val="0"/>
      <w:w w:val="100"/>
      <w:position w:val="0"/>
      <w:sz w:val="11"/>
      <w:szCs w:val="11"/>
      <w:shd w:val="clear" w:color="auto" w:fill="FFFFFF"/>
      <w:lang w:val="en-US" w:eastAsia="en-US"/>
    </w:rPr>
  </w:style>
  <w:style w:type="character" w:customStyle="1" w:styleId="479">
    <w:name w:val="纯文本 Char4"/>
    <w:semiHidden/>
    <w:qFormat/>
    <w:uiPriority w:val="99"/>
    <w:rPr>
      <w:rFonts w:ascii="宋体" w:hAnsi="Courier New" w:cs="Courier New"/>
      <w:kern w:val="2"/>
      <w:sz w:val="21"/>
      <w:szCs w:val="21"/>
    </w:rPr>
  </w:style>
  <w:style w:type="character" w:customStyle="1" w:styleId="480">
    <w:name w:val="页眉或页脚_"/>
    <w:link w:val="323"/>
    <w:qFormat/>
    <w:locked/>
    <w:uiPriority w:val="99"/>
    <w:rPr>
      <w:rFonts w:ascii="FrankRuehl" w:hAnsi="FrankRuehl" w:eastAsia="Times New Roman" w:cs="FrankRuehl"/>
      <w:sz w:val="10"/>
      <w:szCs w:val="10"/>
      <w:shd w:val="clear" w:color="auto" w:fill="FFFFFF"/>
      <w:lang w:bidi="he-IL"/>
    </w:rPr>
  </w:style>
  <w:style w:type="character" w:customStyle="1" w:styleId="481">
    <w:name w:val="正文文本 2 Char"/>
    <w:link w:val="46"/>
    <w:qFormat/>
    <w:uiPriority w:val="99"/>
    <w:rPr>
      <w:rFonts w:ascii="宋体" w:hAnsi="宋体"/>
      <w:b/>
      <w:bCs/>
      <w:kern w:val="2"/>
      <w:sz w:val="21"/>
      <w:szCs w:val="24"/>
    </w:rPr>
  </w:style>
  <w:style w:type="character" w:customStyle="1" w:styleId="482">
    <w:name w:val="Char Char21"/>
    <w:qFormat/>
    <w:uiPriority w:val="99"/>
    <w:rPr>
      <w:rFonts w:ascii="Calibri" w:hAnsi="Calibri"/>
      <w:b/>
      <w:sz w:val="28"/>
      <w:lang w:eastAsia="en-US"/>
    </w:rPr>
  </w:style>
  <w:style w:type="character" w:customStyle="1" w:styleId="483">
    <w:name w:val="页眉 Char Char"/>
    <w:qFormat/>
    <w:uiPriority w:val="0"/>
    <w:rPr>
      <w:rFonts w:ascii="宋体" w:hAnsi="宋体" w:eastAsia="宋体"/>
      <w:kern w:val="2"/>
      <w:sz w:val="18"/>
      <w:lang w:val="en-US" w:eastAsia="zh-CN"/>
    </w:rPr>
  </w:style>
  <w:style w:type="character" w:customStyle="1" w:styleId="484">
    <w:name w:val="标题 3 Char1"/>
    <w:qFormat/>
    <w:uiPriority w:val="0"/>
    <w:rPr>
      <w:rFonts w:ascii="宋体" w:hAnsi="宋体"/>
      <w:b/>
      <w:bCs/>
      <w:kern w:val="2"/>
      <w:sz w:val="32"/>
      <w:szCs w:val="32"/>
    </w:rPr>
  </w:style>
  <w:style w:type="character" w:customStyle="1" w:styleId="485">
    <w:name w:val="正文文本 (2) + Tahoma"/>
    <w:qFormat/>
    <w:uiPriority w:val="99"/>
    <w:rPr>
      <w:rFonts w:ascii="Tahoma" w:hAnsi="Tahoma" w:eastAsia="Times New Roman" w:cs="Tahoma"/>
      <w:color w:val="000000"/>
      <w:spacing w:val="0"/>
      <w:w w:val="100"/>
      <w:position w:val="0"/>
      <w:sz w:val="9"/>
      <w:szCs w:val="9"/>
      <w:shd w:val="clear" w:color="auto" w:fill="FFFFFF"/>
      <w:lang w:val="en-US" w:eastAsia="en-US"/>
    </w:rPr>
  </w:style>
  <w:style w:type="character" w:customStyle="1" w:styleId="486">
    <w:name w:val="_Style 485"/>
    <w:qFormat/>
    <w:uiPriority w:val="0"/>
    <w:rPr>
      <w:i/>
      <w:iCs/>
      <w:color w:val="808080"/>
    </w:rPr>
  </w:style>
  <w:style w:type="character" w:customStyle="1" w:styleId="487">
    <w:name w:val="不明显参考2"/>
    <w:qFormat/>
    <w:uiPriority w:val="99"/>
    <w:rPr>
      <w:sz w:val="24"/>
      <w:u w:val="single"/>
    </w:rPr>
  </w:style>
  <w:style w:type="character" w:customStyle="1" w:styleId="488">
    <w:name w:val="Char Char2"/>
    <w:qFormat/>
    <w:uiPriority w:val="0"/>
    <w:rPr>
      <w:rFonts w:ascii="宋体" w:hAnsi="Courier New" w:eastAsia="宋体"/>
      <w:kern w:val="2"/>
      <w:sz w:val="21"/>
      <w:lang w:val="en-US" w:eastAsia="zh-CN" w:bidi="ar-SA"/>
    </w:rPr>
  </w:style>
  <w:style w:type="character" w:customStyle="1" w:styleId="489">
    <w:name w:val="引用 Char1"/>
    <w:qFormat/>
    <w:uiPriority w:val="99"/>
    <w:rPr>
      <w:rFonts w:ascii="宋体" w:hAnsi="宋体"/>
      <w:i/>
      <w:iCs/>
      <w:color w:val="000000"/>
      <w:kern w:val="2"/>
      <w:sz w:val="24"/>
      <w:szCs w:val="24"/>
    </w:rPr>
  </w:style>
  <w:style w:type="character" w:customStyle="1" w:styleId="490">
    <w:name w:val="正文文本 (2) + FrankRuehl4"/>
    <w:qFormat/>
    <w:uiPriority w:val="99"/>
    <w:rPr>
      <w:rFonts w:ascii="FrankRuehl" w:hAnsi="FrankRuehl" w:eastAsia="Times New Roman" w:cs="FrankRuehl"/>
      <w:color w:val="000000"/>
      <w:spacing w:val="0"/>
      <w:w w:val="100"/>
      <w:position w:val="0"/>
      <w:sz w:val="15"/>
      <w:szCs w:val="15"/>
      <w:shd w:val="clear" w:color="auto" w:fill="FFFFFF"/>
      <w:lang w:val="en-US" w:eastAsia="en-US" w:bidi="he-IL"/>
    </w:rPr>
  </w:style>
  <w:style w:type="character" w:customStyle="1" w:styleId="491">
    <w:name w:val="页脚 Char1"/>
    <w:semiHidden/>
    <w:qFormat/>
    <w:uiPriority w:val="99"/>
    <w:rPr>
      <w:rFonts w:ascii="Times New Roman" w:hAnsi="Times New Roman" w:eastAsia="宋体" w:cs="Times New Roman"/>
      <w:sz w:val="18"/>
      <w:szCs w:val="18"/>
    </w:rPr>
  </w:style>
  <w:style w:type="character" w:customStyle="1" w:styleId="492">
    <w:name w:val="脚注文本 Char"/>
    <w:link w:val="41"/>
    <w:qFormat/>
    <w:uiPriority w:val="0"/>
    <w:rPr>
      <w:sz w:val="18"/>
    </w:rPr>
  </w:style>
  <w:style w:type="character" w:customStyle="1" w:styleId="493">
    <w:name w:val="正文文本 Char2"/>
    <w:semiHidden/>
    <w:qFormat/>
    <w:uiPriority w:val="99"/>
    <w:rPr>
      <w:rFonts w:ascii="Times New Roman" w:hAnsi="Times New Roman"/>
      <w:kern w:val="2"/>
      <w:sz w:val="21"/>
    </w:rPr>
  </w:style>
  <w:style w:type="character" w:customStyle="1" w:styleId="494">
    <w:name w:val="正文文本 3 Char2"/>
    <w:semiHidden/>
    <w:qFormat/>
    <w:uiPriority w:val="99"/>
    <w:rPr>
      <w:rFonts w:ascii="Times New Roman" w:hAnsi="Times New Roman"/>
      <w:kern w:val="2"/>
      <w:sz w:val="16"/>
      <w:szCs w:val="16"/>
    </w:rPr>
  </w:style>
  <w:style w:type="character" w:customStyle="1" w:styleId="495">
    <w:name w:val="明显引用 Char3"/>
    <w:qFormat/>
    <w:uiPriority w:val="99"/>
    <w:rPr>
      <w:b/>
      <w:bCs/>
      <w:i/>
      <w:iCs/>
      <w:color w:val="4F81BD"/>
      <w:kern w:val="2"/>
      <w:sz w:val="21"/>
      <w:szCs w:val="24"/>
    </w:rPr>
  </w:style>
  <w:style w:type="character" w:customStyle="1" w:styleId="496">
    <w:name w:val="zbggmain style9"/>
    <w:qFormat/>
    <w:uiPriority w:val="99"/>
  </w:style>
  <w:style w:type="character" w:customStyle="1" w:styleId="497">
    <w:name w:val="脚注文本 Char3"/>
    <w:semiHidden/>
    <w:qFormat/>
    <w:uiPriority w:val="99"/>
    <w:rPr>
      <w:kern w:val="2"/>
      <w:sz w:val="18"/>
      <w:szCs w:val="18"/>
    </w:rPr>
  </w:style>
  <w:style w:type="character" w:customStyle="1" w:styleId="498">
    <w:name w:val="Char Char16"/>
    <w:qFormat/>
    <w:uiPriority w:val="0"/>
    <w:rPr>
      <w:rFonts w:eastAsia="宋体"/>
      <w:b/>
      <w:bCs/>
      <w:kern w:val="2"/>
      <w:sz w:val="32"/>
      <w:szCs w:val="32"/>
      <w:lang w:val="en-US" w:eastAsia="zh-CN" w:bidi="ar-SA"/>
    </w:rPr>
  </w:style>
  <w:style w:type="character" w:customStyle="1" w:styleId="499">
    <w:name w:val="标题 #2_"/>
    <w:link w:val="86"/>
    <w:qFormat/>
    <w:locked/>
    <w:uiPriority w:val="99"/>
    <w:rPr>
      <w:rFonts w:ascii="MingLiU" w:hAnsi="MingLiU" w:eastAsia="MingLiU" w:cs="MingLiU"/>
      <w:spacing w:val="30"/>
      <w:sz w:val="21"/>
      <w:szCs w:val="21"/>
      <w:shd w:val="clear" w:color="auto" w:fill="FFFFFF"/>
    </w:rPr>
  </w:style>
  <w:style w:type="character" w:customStyle="1" w:styleId="500">
    <w:name w:val="ca-11"/>
    <w:qFormat/>
    <w:uiPriority w:val="99"/>
    <w:rPr>
      <w:rFonts w:ascii="仿宋_GB2312" w:eastAsia="仿宋_GB2312"/>
      <w:sz w:val="30"/>
    </w:rPr>
  </w:style>
  <w:style w:type="character" w:customStyle="1" w:styleId="501">
    <w:name w:val="Char Char20"/>
    <w:qFormat/>
    <w:uiPriority w:val="99"/>
    <w:rPr>
      <w:rFonts w:ascii="Calibri" w:hAnsi="Calibri"/>
      <w:b/>
      <w:i/>
      <w:sz w:val="26"/>
      <w:lang w:eastAsia="en-US"/>
    </w:rPr>
  </w:style>
  <w:style w:type="character" w:customStyle="1" w:styleId="502">
    <w:name w:val="Char Char3"/>
    <w:qFormat/>
    <w:uiPriority w:val="0"/>
    <w:rPr>
      <w:rFonts w:eastAsia="宋体"/>
      <w:kern w:val="2"/>
      <w:sz w:val="16"/>
      <w:lang w:val="en-US" w:eastAsia="zh-CN" w:bidi="ar-SA"/>
    </w:rPr>
  </w:style>
  <w:style w:type="character" w:customStyle="1" w:styleId="503">
    <w:name w:val="正文文本 (2) + FrankRuehl1"/>
    <w:qFormat/>
    <w:uiPriority w:val="99"/>
    <w:rPr>
      <w:rFonts w:ascii="FrankRuehl" w:hAnsi="FrankRuehl" w:eastAsia="Times New Roman" w:cs="FrankRuehl"/>
      <w:color w:val="000000"/>
      <w:spacing w:val="0"/>
      <w:w w:val="100"/>
      <w:position w:val="0"/>
      <w:sz w:val="20"/>
      <w:szCs w:val="20"/>
      <w:shd w:val="clear" w:color="auto" w:fill="FFFFFF"/>
      <w:lang w:val="en-US" w:eastAsia="en-US" w:bidi="he-IL"/>
    </w:rPr>
  </w:style>
  <w:style w:type="character" w:customStyle="1" w:styleId="504">
    <w:name w:val="Char Char5"/>
    <w:qFormat/>
    <w:uiPriority w:val="99"/>
    <w:rPr>
      <w:rFonts w:ascii="Arial" w:hAnsi="Arial" w:eastAsia="黑体" w:cs="Arial"/>
      <w:b/>
      <w:bCs/>
      <w:kern w:val="2"/>
      <w:sz w:val="28"/>
      <w:szCs w:val="28"/>
      <w:lang w:val="en-US" w:eastAsia="zh-CN"/>
    </w:rPr>
  </w:style>
  <w:style w:type="character" w:customStyle="1" w:styleId="505">
    <w:name w:val="页脚 Char2"/>
    <w:semiHidden/>
    <w:qFormat/>
    <w:uiPriority w:val="99"/>
    <w:rPr>
      <w:rFonts w:ascii="Times New Roman" w:hAnsi="Times New Roman"/>
      <w:kern w:val="2"/>
      <w:sz w:val="18"/>
      <w:szCs w:val="18"/>
    </w:rPr>
  </w:style>
  <w:style w:type="character" w:customStyle="1" w:styleId="506">
    <w:name w:val="Char Char17"/>
    <w:qFormat/>
    <w:uiPriority w:val="0"/>
    <w:rPr>
      <w:rFonts w:ascii="Arial" w:hAnsi="Arial" w:eastAsia="黑体"/>
      <w:b/>
      <w:bCs/>
      <w:kern w:val="2"/>
      <w:sz w:val="32"/>
      <w:szCs w:val="32"/>
      <w:lang w:val="en-US" w:eastAsia="zh-CN" w:bidi="ar-SA"/>
    </w:rPr>
  </w:style>
  <w:style w:type="character" w:customStyle="1" w:styleId="507">
    <w:name w:val="wx-space1"/>
    <w:basedOn w:val="51"/>
    <w:qFormat/>
    <w:uiPriority w:val="0"/>
  </w:style>
  <w:style w:type="character" w:customStyle="1" w:styleId="508">
    <w:name w:val="页脚 Char"/>
    <w:link w:val="35"/>
    <w:qFormat/>
    <w:uiPriority w:val="0"/>
    <w:rPr>
      <w:rFonts w:eastAsia="宋体"/>
      <w:kern w:val="2"/>
      <w:sz w:val="18"/>
      <w:szCs w:val="18"/>
      <w:lang w:val="en-US" w:eastAsia="zh-CN" w:bidi="ar-SA"/>
    </w:rPr>
  </w:style>
  <w:style w:type="character" w:customStyle="1" w:styleId="509">
    <w:name w:val="refer-count"/>
    <w:basedOn w:val="51"/>
    <w:qFormat/>
    <w:uiPriority w:val="0"/>
  </w:style>
  <w:style w:type="character" w:customStyle="1" w:styleId="510">
    <w:name w:val="text_edit editable-title"/>
    <w:qFormat/>
    <w:uiPriority w:val="0"/>
  </w:style>
  <w:style w:type="character" w:customStyle="1" w:styleId="511">
    <w:name w:val="ca-291"/>
    <w:qFormat/>
    <w:uiPriority w:val="99"/>
    <w:rPr>
      <w:color w:val="000000"/>
      <w:sz w:val="28"/>
    </w:rPr>
  </w:style>
  <w:style w:type="character" w:customStyle="1" w:styleId="512">
    <w:name w:val="Font Style125"/>
    <w:unhideWhenUsed/>
    <w:qFormat/>
    <w:uiPriority w:val="0"/>
    <w:rPr>
      <w:rFonts w:hint="eastAsia" w:ascii="宋体" w:hAnsi="宋体" w:eastAsia="宋体"/>
      <w:b/>
      <w:sz w:val="26"/>
    </w:rPr>
  </w:style>
  <w:style w:type="character" w:customStyle="1" w:styleId="513">
    <w:name w:val="标题 2 Char"/>
    <w:link w:val="6"/>
    <w:qFormat/>
    <w:uiPriority w:val="99"/>
    <w:rPr>
      <w:rFonts w:ascii="Arial" w:hAnsi="Arial" w:eastAsia="黑体"/>
      <w:b/>
      <w:bCs/>
      <w:kern w:val="2"/>
      <w:sz w:val="32"/>
      <w:szCs w:val="32"/>
      <w:lang w:val="en-US" w:eastAsia="zh-CN" w:bidi="ar-SA"/>
    </w:rPr>
  </w:style>
  <w:style w:type="character" w:customStyle="1" w:styleId="514">
    <w:name w:val="law-parenthese"/>
    <w:basedOn w:val="51"/>
    <w:qFormat/>
    <w:uiPriority w:val="0"/>
  </w:style>
  <w:style w:type="character" w:customStyle="1" w:styleId="515">
    <w:name w:val="样式 样式 报告正文 + 首行缩进:  2 字符 + 首行缩进:  2 字符 Char Char"/>
    <w:link w:val="292"/>
    <w:qFormat/>
    <w:locked/>
    <w:uiPriority w:val="99"/>
    <w:rPr>
      <w:sz w:val="24"/>
    </w:rPr>
  </w:style>
  <w:style w:type="character" w:customStyle="1" w:styleId="516">
    <w:name w:val="正文文本 (2) + 6.5 pt"/>
    <w:qFormat/>
    <w:uiPriority w:val="99"/>
    <w:rPr>
      <w:rFonts w:ascii="MingLiU" w:hAnsi="MingLiU" w:eastAsia="MingLiU" w:cs="MingLiU"/>
      <w:color w:val="000000"/>
      <w:spacing w:val="20"/>
      <w:w w:val="100"/>
      <w:position w:val="0"/>
      <w:sz w:val="13"/>
      <w:szCs w:val="13"/>
      <w:shd w:val="clear" w:color="auto" w:fill="FFFFFF"/>
      <w:lang w:val="zh-TW" w:eastAsia="zh-TW"/>
    </w:rPr>
  </w:style>
  <w:style w:type="character" w:customStyle="1" w:styleId="517">
    <w:name w:val="副标题 Char1"/>
    <w:qFormat/>
    <w:uiPriority w:val="99"/>
    <w:rPr>
      <w:rFonts w:ascii="Cambria" w:hAnsi="Cambria" w:cs="Times New Roman"/>
      <w:b/>
      <w:bCs/>
      <w:kern w:val="28"/>
      <w:sz w:val="32"/>
      <w:szCs w:val="32"/>
    </w:rPr>
  </w:style>
  <w:style w:type="character" w:customStyle="1" w:styleId="518">
    <w:name w:val="标题 5 Char"/>
    <w:link w:val="9"/>
    <w:qFormat/>
    <w:uiPriority w:val="9"/>
    <w:rPr>
      <w:rFonts w:ascii="Calibri" w:hAnsi="Calibri"/>
      <w:b/>
      <w:bCs/>
      <w:i/>
      <w:iCs/>
      <w:sz w:val="26"/>
      <w:szCs w:val="26"/>
      <w:lang w:eastAsia="en-US" w:bidi="en-US"/>
    </w:rPr>
  </w:style>
  <w:style w:type="character" w:customStyle="1" w:styleId="519">
    <w:name w:val="书籍标题1"/>
    <w:qFormat/>
    <w:uiPriority w:val="99"/>
    <w:rPr>
      <w:rFonts w:ascii="Cambria" w:hAnsi="Cambria" w:eastAsia="宋体"/>
      <w:b/>
      <w:i/>
      <w:sz w:val="24"/>
    </w:rPr>
  </w:style>
  <w:style w:type="character" w:customStyle="1" w:styleId="520">
    <w:name w:val="个人撰写风格"/>
    <w:qFormat/>
    <w:uiPriority w:val="99"/>
    <w:rPr>
      <w:rFonts w:ascii="Arial" w:hAnsi="Arial" w:eastAsia="宋体"/>
      <w:color w:val="auto"/>
      <w:sz w:val="20"/>
    </w:rPr>
  </w:style>
  <w:style w:type="character" w:customStyle="1" w:styleId="521">
    <w:name w:val="htd01"/>
    <w:qFormat/>
    <w:uiPriority w:val="99"/>
  </w:style>
  <w:style w:type="character" w:customStyle="1" w:styleId="522">
    <w:name w:val="p0 Char"/>
    <w:link w:val="71"/>
    <w:qFormat/>
    <w:uiPriority w:val="0"/>
    <w:rPr>
      <w:rFonts w:eastAsia="宋体"/>
      <w:kern w:val="2"/>
      <w:sz w:val="21"/>
      <w:szCs w:val="21"/>
      <w:lang w:val="en-US" w:eastAsia="zh-CN" w:bidi="ar-SA"/>
    </w:rPr>
  </w:style>
  <w:style w:type="character" w:customStyle="1" w:styleId="523">
    <w:name w:val="页眉或页脚"/>
    <w:qFormat/>
    <w:uiPriority w:val="99"/>
    <w:rPr>
      <w:rFonts w:ascii="FrankRuehl" w:hAnsi="FrankRuehl" w:eastAsia="Times New Roman" w:cs="FrankRuehl"/>
      <w:color w:val="000000"/>
      <w:spacing w:val="0"/>
      <w:w w:val="100"/>
      <w:position w:val="0"/>
      <w:sz w:val="10"/>
      <w:szCs w:val="10"/>
      <w:shd w:val="clear" w:color="auto" w:fill="FFFFFF"/>
      <w:lang w:val="zh-TW" w:eastAsia="zh-TW" w:bidi="he-IL"/>
    </w:rPr>
  </w:style>
  <w:style w:type="character" w:customStyle="1" w:styleId="524">
    <w:name w:val="正文文本 3 Char"/>
    <w:link w:val="23"/>
    <w:qFormat/>
    <w:uiPriority w:val="99"/>
    <w:rPr>
      <w:rFonts w:ascii="宋体"/>
      <w:kern w:val="2"/>
      <w:sz w:val="24"/>
    </w:rPr>
  </w:style>
  <w:style w:type="character" w:customStyle="1" w:styleId="525">
    <w:name w:val="明显参考1"/>
    <w:qFormat/>
    <w:uiPriority w:val="99"/>
    <w:rPr>
      <w:b/>
      <w:sz w:val="24"/>
      <w:u w:val="single"/>
    </w:rPr>
  </w:style>
  <w:style w:type="character" w:customStyle="1" w:styleId="526">
    <w:name w:val="标题 9 Char"/>
    <w:link w:val="13"/>
    <w:qFormat/>
    <w:uiPriority w:val="0"/>
    <w:rPr>
      <w:rFonts w:ascii="Arial" w:hAnsi="Arial" w:eastAsia="黑体"/>
      <w:sz w:val="21"/>
      <w:szCs w:val="21"/>
    </w:rPr>
  </w:style>
  <w:style w:type="character" w:customStyle="1" w:styleId="527">
    <w:name w:val="不明显强调2"/>
    <w:qFormat/>
    <w:uiPriority w:val="99"/>
    <w:rPr>
      <w:i/>
      <w:color w:val="5A5A5A"/>
    </w:rPr>
  </w:style>
  <w:style w:type="character" w:customStyle="1" w:styleId="528">
    <w:name w:val="正文文本 (7) + MingLiU"/>
    <w:qFormat/>
    <w:uiPriority w:val="99"/>
    <w:rPr>
      <w:rFonts w:ascii="MingLiU" w:hAnsi="MingLiU" w:eastAsia="MingLiU" w:cs="MingLiU"/>
      <w:color w:val="000000"/>
      <w:spacing w:val="0"/>
      <w:w w:val="100"/>
      <w:position w:val="0"/>
      <w:sz w:val="11"/>
      <w:szCs w:val="11"/>
      <w:shd w:val="clear" w:color="auto" w:fill="FFFFFF"/>
      <w:lang w:val="zh-TW" w:eastAsia="zh-TW" w:bidi="he-IL"/>
    </w:rPr>
  </w:style>
  <w:style w:type="character" w:customStyle="1" w:styleId="529">
    <w:name w:val="正文文本缩进 3 Char1"/>
    <w:qFormat/>
    <w:uiPriority w:val="99"/>
    <w:rPr>
      <w:rFonts w:ascii="宋体" w:hAnsi="宋体"/>
      <w:kern w:val="2"/>
      <w:sz w:val="16"/>
      <w:szCs w:val="16"/>
    </w:rPr>
  </w:style>
  <w:style w:type="character" w:customStyle="1" w:styleId="530">
    <w:name w:val="批注框文本 Char1"/>
    <w:qFormat/>
    <w:uiPriority w:val="99"/>
    <w:rPr>
      <w:kern w:val="2"/>
      <w:sz w:val="18"/>
      <w:szCs w:val="18"/>
    </w:rPr>
  </w:style>
  <w:style w:type="character" w:customStyle="1" w:styleId="531">
    <w:name w:val="文档结构图 Char"/>
    <w:link w:val="20"/>
    <w:qFormat/>
    <w:uiPriority w:val="99"/>
    <w:rPr>
      <w:rFonts w:eastAsia="宋体"/>
      <w:kern w:val="2"/>
      <w:sz w:val="21"/>
      <w:szCs w:val="24"/>
      <w:lang w:val="en-US" w:eastAsia="zh-CN" w:bidi="ar-SA"/>
    </w:rPr>
  </w:style>
  <w:style w:type="character" w:customStyle="1" w:styleId="532">
    <w:name w:val="正文文本 (7)_"/>
    <w:link w:val="250"/>
    <w:qFormat/>
    <w:locked/>
    <w:uiPriority w:val="99"/>
    <w:rPr>
      <w:rFonts w:ascii="FrankRuehl" w:hAnsi="FrankRuehl" w:eastAsia="Times New Roman" w:cs="FrankRuehl"/>
      <w:sz w:val="14"/>
      <w:szCs w:val="14"/>
      <w:shd w:val="clear" w:color="auto" w:fill="FFFFFF"/>
      <w:lang w:eastAsia="en-US" w:bidi="he-IL"/>
    </w:rPr>
  </w:style>
  <w:style w:type="character" w:customStyle="1" w:styleId="533">
    <w:name w:val="文档结构图 Char2"/>
    <w:semiHidden/>
    <w:qFormat/>
    <w:uiPriority w:val="99"/>
    <w:rPr>
      <w:rFonts w:ascii="Microsoft YaHei UI" w:hAnsi="Times New Roman" w:eastAsia="Microsoft YaHei UI"/>
      <w:kern w:val="2"/>
      <w:sz w:val="18"/>
      <w:szCs w:val="18"/>
    </w:rPr>
  </w:style>
  <w:style w:type="character" w:customStyle="1" w:styleId="534">
    <w:name w:val="正文文本 (6)_"/>
    <w:link w:val="208"/>
    <w:qFormat/>
    <w:locked/>
    <w:uiPriority w:val="99"/>
    <w:rPr>
      <w:rFonts w:ascii="MingLiU" w:hAnsi="MingLiU" w:eastAsia="MingLiU" w:cs="MingLiU"/>
      <w:spacing w:val="20"/>
      <w:sz w:val="13"/>
      <w:szCs w:val="13"/>
      <w:shd w:val="clear" w:color="auto" w:fill="FFFFFF"/>
    </w:rPr>
  </w:style>
  <w:style w:type="character" w:customStyle="1" w:styleId="535">
    <w:name w:val="标题 2 Char Char Char Char Char Char Char Char Char Char Char Char Char Char"/>
    <w:qFormat/>
    <w:uiPriority w:val="0"/>
    <w:rPr>
      <w:rFonts w:ascii="黑体" w:hAnsi="Arial" w:eastAsia="黑体"/>
      <w:kern w:val="2"/>
      <w:sz w:val="30"/>
      <w:szCs w:val="32"/>
      <w:lang w:val="en-US" w:eastAsia="zh-CN" w:bidi="ar-SA"/>
    </w:rPr>
  </w:style>
  <w:style w:type="character" w:customStyle="1" w:styleId="536">
    <w:name w:val="批注文字 Char Char"/>
    <w:qFormat/>
    <w:uiPriority w:val="99"/>
    <w:rPr>
      <w:kern w:val="2"/>
      <w:sz w:val="24"/>
    </w:rPr>
  </w:style>
  <w:style w:type="character" w:customStyle="1" w:styleId="537">
    <w:name w:val="_Style 536"/>
    <w:qFormat/>
    <w:uiPriority w:val="0"/>
    <w:rPr>
      <w:b/>
      <w:bCs/>
      <w:smallCaps/>
      <w:color w:val="C0504D"/>
      <w:spacing w:val="5"/>
      <w:u w:val="single"/>
    </w:rPr>
  </w:style>
  <w:style w:type="character" w:customStyle="1" w:styleId="538">
    <w:name w:val="正文首行缩进 Char"/>
    <w:basedOn w:val="370"/>
    <w:link w:val="17"/>
    <w:qFormat/>
    <w:uiPriority w:val="99"/>
  </w:style>
  <w:style w:type="character" w:customStyle="1" w:styleId="539">
    <w:name w:val="正文文本 (2) + CordiaUPC"/>
    <w:qFormat/>
    <w:uiPriority w:val="99"/>
    <w:rPr>
      <w:rFonts w:ascii="CordiaUPC" w:hAnsi="CordiaUPC" w:eastAsia="Times New Roman" w:cs="CordiaUPC"/>
      <w:color w:val="000000"/>
      <w:spacing w:val="-10"/>
      <w:w w:val="100"/>
      <w:position w:val="0"/>
      <w:sz w:val="17"/>
      <w:szCs w:val="17"/>
      <w:shd w:val="clear" w:color="auto" w:fill="FFFFFF"/>
      <w:lang w:val="en-US" w:eastAsia="en-US"/>
    </w:rPr>
  </w:style>
  <w:style w:type="character" w:customStyle="1" w:styleId="540">
    <w:name w:val="标题 7 Char"/>
    <w:link w:val="11"/>
    <w:qFormat/>
    <w:uiPriority w:val="0"/>
    <w:rPr>
      <w:b/>
      <w:bCs/>
      <w:sz w:val="24"/>
      <w:szCs w:val="24"/>
    </w:rPr>
  </w:style>
  <w:style w:type="character" w:customStyle="1" w:styleId="541">
    <w:name w:val="正文文本 (4)_"/>
    <w:link w:val="76"/>
    <w:qFormat/>
    <w:locked/>
    <w:uiPriority w:val="99"/>
    <w:rPr>
      <w:rFonts w:ascii="MingLiU" w:hAnsi="MingLiU" w:eastAsia="MingLiU" w:cs="MingLiU"/>
      <w:sz w:val="15"/>
      <w:szCs w:val="15"/>
      <w:shd w:val="clear" w:color="auto" w:fill="FFFFFF"/>
    </w:rPr>
  </w:style>
  <w:style w:type="character" w:customStyle="1" w:styleId="542">
    <w:name w:val="Char Char22"/>
    <w:qFormat/>
    <w:uiPriority w:val="99"/>
    <w:rPr>
      <w:rFonts w:ascii="Cambria" w:hAnsi="Cambria" w:eastAsia="宋体"/>
      <w:b/>
      <w:i/>
      <w:sz w:val="28"/>
    </w:rPr>
  </w:style>
  <w:style w:type="character" w:customStyle="1" w:styleId="543">
    <w:name w:val="正文缩进 Char"/>
    <w:link w:val="18"/>
    <w:qFormat/>
    <w:uiPriority w:val="0"/>
    <w:rPr>
      <w:kern w:val="2"/>
      <w:sz w:val="21"/>
      <w:szCs w:val="24"/>
    </w:rPr>
  </w:style>
  <w:style w:type="character" w:customStyle="1" w:styleId="544">
    <w:name w:val="文档结构图 Char1"/>
    <w:qFormat/>
    <w:uiPriority w:val="99"/>
    <w:rPr>
      <w:rFonts w:ascii="宋体"/>
      <w:kern w:val="2"/>
      <w:sz w:val="18"/>
      <w:szCs w:val="18"/>
    </w:rPr>
  </w:style>
  <w:style w:type="table" w:customStyle="1" w:styleId="545">
    <w:name w:val="TableGrid"/>
    <w:qFormat/>
    <w:uiPriority w:val="0"/>
    <w:rPr>
      <w:lang w:val="en-US" w:eastAsia="zh-CN" w:bidi="ar-SA"/>
    </w:rPr>
    <w:tblPr>
      <w:tblLayout w:type="fixed"/>
      <w:tblCellMar>
        <w:top w:w="0" w:type="dxa"/>
        <w:left w:w="0" w:type="dxa"/>
        <w:bottom w:w="0" w:type="dxa"/>
        <w:right w:w="0" w:type="dxa"/>
      </w:tblCellMar>
    </w:tblPr>
  </w:style>
  <w:style w:type="table" w:customStyle="1" w:styleId="546">
    <w:name w:val="Table Normal"/>
    <w:unhideWhenUsed/>
    <w:qFormat/>
    <w:uiPriority w:val="2"/>
    <w:rPr>
      <w:rFonts w:ascii="Calibri" w:hAnsi="Calibri"/>
      <w:lang w:val="en-US" w:eastAsia="zh-CN" w:bidi="ar-SA"/>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157</Pages>
  <Words>18232</Words>
  <Characters>103926</Characters>
  <Lines>866</Lines>
  <Paragraphs>243</Paragraphs>
  <ScaleCrop>false</ScaleCrop>
  <LinksUpToDate>false</LinksUpToDate>
  <CharactersWithSpaces>121915</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2021-02-06T03:19:00Z</dcterms:created>
  <dc:creator>1</dc:creator>
  <cp:lastModifiedBy>Administrator</cp:lastModifiedBy>
  <cp:lastPrinted>2021-03-11T02:41:00Z</cp:lastPrinted>
  <dcterms:modified xsi:type="dcterms:W3CDTF">2021-03-11T08:09:22Z</dcterms:modified>
  <dc:title>中华人民共和国</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